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8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417"/>
        <w:gridCol w:w="3120"/>
        <w:gridCol w:w="1700"/>
        <w:gridCol w:w="5242"/>
      </w:tblGrid>
      <w:tr w:rsidR="00D64566" w:rsidRPr="009721E5" w14:paraId="65BE8942" w14:textId="77777777" w:rsidTr="00EB08BB">
        <w:trPr>
          <w:tblHeader/>
        </w:trPr>
        <w:tc>
          <w:tcPr>
            <w:tcW w:w="103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6BD16DE" w14:textId="77777777" w:rsidR="00D64566" w:rsidRPr="009721E5" w:rsidRDefault="00D64566" w:rsidP="00521335">
            <w:pPr>
              <w:keepLines/>
              <w:widowControl w:val="0"/>
              <w:jc w:val="center"/>
              <w:rPr>
                <w:rFonts w:ascii="Arial" w:hAnsi="Arial" w:cs="Arial"/>
                <w:b/>
                <w:sz w:val="20"/>
                <w:szCs w:val="20"/>
              </w:rPr>
            </w:pPr>
            <w:r w:rsidRPr="009721E5">
              <w:rPr>
                <w:rFonts w:ascii="Arial" w:hAnsi="Arial" w:cs="Arial"/>
                <w:b/>
                <w:sz w:val="20"/>
                <w:szCs w:val="20"/>
              </w:rPr>
              <w:t>SPONSOR, TYPE OF SUBMISSION</w:t>
            </w:r>
          </w:p>
          <w:p w14:paraId="5F231E5C" w14:textId="77777777" w:rsidR="00D64566" w:rsidRPr="009721E5" w:rsidRDefault="00D64566" w:rsidP="00521335">
            <w:pPr>
              <w:keepLines/>
              <w:rPr>
                <w:rFonts w:ascii="Arial" w:hAnsi="Arial" w:cs="Arial"/>
                <w:color w:val="000000"/>
                <w:sz w:val="20"/>
                <w:szCs w:val="20"/>
              </w:rPr>
            </w:pPr>
          </w:p>
        </w:tc>
        <w:tc>
          <w:tcPr>
            <w:tcW w:w="49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15095D9" w14:textId="77777777" w:rsidR="00D64566" w:rsidRPr="009721E5" w:rsidRDefault="00D64566" w:rsidP="00521335">
            <w:pPr>
              <w:keepLines/>
              <w:widowControl w:val="0"/>
              <w:jc w:val="center"/>
              <w:rPr>
                <w:rFonts w:ascii="Arial" w:hAnsi="Arial" w:cs="Arial"/>
                <w:b/>
                <w:snapToGrid w:val="0"/>
                <w:sz w:val="20"/>
                <w:szCs w:val="20"/>
              </w:rPr>
            </w:pPr>
            <w:r w:rsidRPr="009721E5">
              <w:rPr>
                <w:rFonts w:ascii="Arial" w:hAnsi="Arial" w:cs="Arial"/>
                <w:b/>
                <w:snapToGrid w:val="0"/>
                <w:sz w:val="20"/>
                <w:szCs w:val="20"/>
              </w:rPr>
              <w:t>DRUG TYPE AND USE</w:t>
            </w:r>
          </w:p>
          <w:p w14:paraId="6B918B48" w14:textId="77777777" w:rsidR="00D64566" w:rsidRPr="009721E5" w:rsidRDefault="00D64566" w:rsidP="00521335">
            <w:pPr>
              <w:keepLines/>
              <w:widowControl w:val="0"/>
              <w:jc w:val="center"/>
              <w:rPr>
                <w:rFonts w:ascii="Arial" w:hAnsi="Arial" w:cs="Arial"/>
                <w:b/>
                <w:snapToGrid w:val="0"/>
                <w:sz w:val="20"/>
                <w:szCs w:val="20"/>
              </w:rPr>
            </w:pPr>
          </w:p>
        </w:tc>
        <w:tc>
          <w:tcPr>
            <w:tcW w:w="107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999471C" w14:textId="77777777" w:rsidR="00D64566" w:rsidRPr="009721E5" w:rsidRDefault="00D64566" w:rsidP="00521335">
            <w:pPr>
              <w:keepLines/>
              <w:widowControl w:val="0"/>
              <w:jc w:val="center"/>
              <w:rPr>
                <w:rFonts w:ascii="Arial" w:hAnsi="Arial" w:cs="Arial"/>
                <w:b/>
                <w:snapToGrid w:val="0"/>
                <w:sz w:val="20"/>
                <w:szCs w:val="20"/>
              </w:rPr>
            </w:pPr>
            <w:r w:rsidRPr="009721E5">
              <w:rPr>
                <w:rFonts w:ascii="Arial" w:hAnsi="Arial" w:cs="Arial"/>
                <w:b/>
                <w:snapToGrid w:val="0"/>
                <w:sz w:val="20"/>
                <w:szCs w:val="20"/>
              </w:rPr>
              <w:t>LISTING REQUESTED BY SPONSOR / PURPOSE OF SUBMISSION</w:t>
            </w:r>
          </w:p>
        </w:tc>
        <w:tc>
          <w:tcPr>
            <w:tcW w:w="2401" w:type="pct"/>
            <w:gridSpan w:val="2"/>
            <w:tcBorders>
              <w:top w:val="single" w:sz="4" w:space="0" w:color="auto"/>
              <w:left w:val="single" w:sz="4" w:space="0" w:color="auto"/>
              <w:bottom w:val="single" w:sz="4" w:space="0" w:color="auto"/>
              <w:right w:val="single" w:sz="4" w:space="0" w:color="auto"/>
            </w:tcBorders>
            <w:hideMark/>
          </w:tcPr>
          <w:p w14:paraId="1849E40D" w14:textId="77777777" w:rsidR="00D64566" w:rsidRPr="009721E5" w:rsidRDefault="00D64566" w:rsidP="00521335">
            <w:pPr>
              <w:pStyle w:val="Header"/>
              <w:keepLines/>
              <w:rPr>
                <w:rFonts w:ascii="Arial" w:hAnsi="Arial" w:cs="Arial"/>
                <w:b/>
                <w:snapToGrid w:val="0"/>
                <w:sz w:val="20"/>
                <w:szCs w:val="20"/>
              </w:rPr>
            </w:pPr>
            <w:r w:rsidRPr="009721E5">
              <w:rPr>
                <w:rFonts w:ascii="Arial" w:hAnsi="Arial" w:cs="Arial"/>
                <w:b/>
                <w:snapToGrid w:val="0"/>
                <w:sz w:val="20"/>
                <w:szCs w:val="20"/>
              </w:rPr>
              <w:t>PBAC OUTCOME</w:t>
            </w:r>
          </w:p>
        </w:tc>
      </w:tr>
      <w:tr w:rsidR="00EB08BB" w:rsidRPr="009721E5" w14:paraId="187DF19C" w14:textId="77777777" w:rsidTr="00EB08BB">
        <w:tc>
          <w:tcPr>
            <w:tcW w:w="103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5B5AC6A" w14:textId="0A0AF098" w:rsidR="00EB08BB" w:rsidRDefault="00EB08BB" w:rsidP="00AB15A6">
            <w:pPr>
              <w:pStyle w:val="Header"/>
              <w:spacing w:before="60" w:after="120"/>
              <w:jc w:val="left"/>
              <w:rPr>
                <w:rFonts w:ascii="Arial" w:hAnsi="Arial" w:cs="Arial"/>
                <w:sz w:val="20"/>
                <w:szCs w:val="20"/>
              </w:rPr>
            </w:pPr>
            <w:r w:rsidRPr="00D41E39">
              <w:rPr>
                <w:rFonts w:ascii="Arial" w:hAnsi="Arial" w:cs="Arial"/>
                <w:sz w:val="20"/>
                <w:szCs w:val="20"/>
              </w:rPr>
              <w:t>ELECTROLYTE REPLACEMENT, ORAL,</w:t>
            </w:r>
          </w:p>
          <w:p w14:paraId="05A44B88" w14:textId="60BCA200" w:rsidR="00EB08BB" w:rsidRDefault="00EB08BB" w:rsidP="00AB15A6">
            <w:pPr>
              <w:pStyle w:val="Header"/>
              <w:spacing w:after="120"/>
              <w:jc w:val="left"/>
              <w:rPr>
                <w:rFonts w:ascii="Arial" w:hAnsi="Arial" w:cs="Arial"/>
                <w:sz w:val="20"/>
                <w:szCs w:val="20"/>
              </w:rPr>
            </w:pPr>
            <w:r w:rsidRPr="00D41E39">
              <w:rPr>
                <w:rFonts w:ascii="Arial" w:hAnsi="Arial" w:cs="Arial"/>
                <w:sz w:val="20"/>
                <w:szCs w:val="20"/>
              </w:rPr>
              <w:t>Oral rehydration salts containing glucose monohydrate 3.56 g, sodium chloride 470 mg, potassium chloride 300 mg and sodium acid citrate 530 mg per sachet, 10,</w:t>
            </w:r>
          </w:p>
          <w:p w14:paraId="0AF25EE6" w14:textId="3F9FCF57" w:rsidR="00EB08BB" w:rsidRDefault="00EB08BB" w:rsidP="00AB15A6">
            <w:pPr>
              <w:pStyle w:val="Header"/>
              <w:spacing w:after="120"/>
              <w:jc w:val="left"/>
              <w:rPr>
                <w:rFonts w:ascii="Arial" w:hAnsi="Arial" w:cs="Arial"/>
                <w:sz w:val="20"/>
                <w:szCs w:val="20"/>
              </w:rPr>
            </w:pPr>
            <w:r w:rsidRPr="00D41E39">
              <w:rPr>
                <w:rFonts w:ascii="Arial" w:hAnsi="Arial" w:cs="Arial"/>
                <w:sz w:val="20"/>
                <w:szCs w:val="20"/>
              </w:rPr>
              <w:t>O.R.S.</w:t>
            </w:r>
            <w:r w:rsidRPr="00EB08BB">
              <w:rPr>
                <w:rFonts w:ascii="Arial" w:hAnsi="Arial" w:cs="Arial"/>
                <w:sz w:val="20"/>
                <w:szCs w:val="20"/>
                <w:vertAlign w:val="superscript"/>
              </w:rPr>
              <w:t>®</w:t>
            </w:r>
          </w:p>
          <w:p w14:paraId="28131140" w14:textId="70E20150" w:rsidR="00EB08BB" w:rsidRDefault="00EB08BB" w:rsidP="00AB15A6">
            <w:pPr>
              <w:pStyle w:val="Header"/>
              <w:spacing w:after="120"/>
              <w:jc w:val="left"/>
              <w:rPr>
                <w:rFonts w:ascii="Arial" w:hAnsi="Arial" w:cs="Arial"/>
                <w:sz w:val="20"/>
                <w:szCs w:val="20"/>
              </w:rPr>
            </w:pPr>
            <w:proofErr w:type="spellStart"/>
            <w:r w:rsidRPr="00D41E39">
              <w:rPr>
                <w:rFonts w:ascii="Arial" w:hAnsi="Arial" w:cs="Arial"/>
                <w:sz w:val="20"/>
                <w:szCs w:val="20"/>
              </w:rPr>
              <w:t>Alphapharm</w:t>
            </w:r>
            <w:proofErr w:type="spellEnd"/>
            <w:r w:rsidRPr="00D41E39">
              <w:rPr>
                <w:rFonts w:ascii="Arial" w:hAnsi="Arial" w:cs="Arial"/>
                <w:sz w:val="20"/>
                <w:szCs w:val="20"/>
              </w:rPr>
              <w:t xml:space="preserve"> Pty Ltd </w:t>
            </w:r>
          </w:p>
          <w:p w14:paraId="7E897CD1" w14:textId="77777777" w:rsidR="00EB08BB" w:rsidRDefault="00EB08BB" w:rsidP="00EB08BB">
            <w:pPr>
              <w:pStyle w:val="Header"/>
              <w:jc w:val="left"/>
              <w:rPr>
                <w:rFonts w:ascii="Arial" w:hAnsi="Arial" w:cs="Arial"/>
                <w:sz w:val="20"/>
                <w:szCs w:val="20"/>
              </w:rPr>
            </w:pPr>
            <w:r>
              <w:rPr>
                <w:rFonts w:ascii="Arial" w:hAnsi="Arial" w:cs="Arial"/>
                <w:sz w:val="20"/>
                <w:szCs w:val="20"/>
              </w:rPr>
              <w:t>Other Business</w:t>
            </w:r>
          </w:p>
          <w:p w14:paraId="6A770E1D" w14:textId="2959498F" w:rsidR="00EB08BB" w:rsidRPr="002A62E4" w:rsidRDefault="00EB08BB" w:rsidP="00AB15A6">
            <w:pPr>
              <w:pStyle w:val="Header"/>
              <w:spacing w:after="120"/>
              <w:jc w:val="left"/>
              <w:rPr>
                <w:rFonts w:ascii="Arial" w:hAnsi="Arial" w:cs="Arial"/>
                <w:sz w:val="20"/>
                <w:szCs w:val="20"/>
              </w:rPr>
            </w:pPr>
            <w:r>
              <w:rPr>
                <w:rFonts w:ascii="Arial" w:hAnsi="Arial" w:cs="Arial"/>
                <w:sz w:val="20"/>
                <w:szCs w:val="20"/>
              </w:rPr>
              <w:t>(Change to listing)</w:t>
            </w:r>
          </w:p>
        </w:tc>
        <w:tc>
          <w:tcPr>
            <w:tcW w:w="49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4654CCB" w14:textId="6DA200A0" w:rsidR="00EB08BB" w:rsidRDefault="00EB08BB" w:rsidP="00EB08BB">
            <w:pPr>
              <w:pStyle w:val="Header"/>
              <w:jc w:val="left"/>
              <w:rPr>
                <w:rFonts w:ascii="Arial" w:hAnsi="Arial" w:cs="Arial"/>
                <w:sz w:val="20"/>
                <w:szCs w:val="20"/>
              </w:rPr>
            </w:pPr>
            <w:r>
              <w:rPr>
                <w:rFonts w:ascii="Arial" w:hAnsi="Arial" w:cs="Arial"/>
                <w:sz w:val="20"/>
                <w:szCs w:val="20"/>
              </w:rPr>
              <w:t>Rehydration in intestinal failure</w:t>
            </w:r>
          </w:p>
        </w:tc>
        <w:tc>
          <w:tcPr>
            <w:tcW w:w="107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D3FF4EA" w14:textId="7AFEEFD6" w:rsidR="00EB08BB" w:rsidRPr="00752919" w:rsidRDefault="00EB08BB" w:rsidP="00EB08BB">
            <w:pPr>
              <w:pStyle w:val="Header"/>
              <w:jc w:val="left"/>
              <w:rPr>
                <w:rFonts w:ascii="Arial" w:hAnsi="Arial" w:cs="Arial"/>
                <w:sz w:val="20"/>
                <w:szCs w:val="20"/>
              </w:rPr>
            </w:pPr>
            <w:r w:rsidRPr="00D41E39">
              <w:rPr>
                <w:rFonts w:ascii="Arial" w:hAnsi="Arial" w:cs="Arial"/>
                <w:sz w:val="20"/>
                <w:szCs w:val="20"/>
              </w:rPr>
              <w:t>To seek the Pharmaceutical Benefits Advisory Committee's (PBAC) advice on whether it would be appropriate to amend the listing of O.R.S.</w:t>
            </w:r>
            <w:r w:rsidRPr="006E0A89">
              <w:rPr>
                <w:rFonts w:ascii="Arial" w:hAnsi="Arial" w:cs="Arial"/>
                <w:sz w:val="20"/>
                <w:szCs w:val="20"/>
                <w:vertAlign w:val="superscript"/>
              </w:rPr>
              <w:t>®</w:t>
            </w:r>
            <w:r w:rsidRPr="00D41E39">
              <w:rPr>
                <w:rFonts w:ascii="Arial" w:hAnsi="Arial" w:cs="Arial"/>
                <w:sz w:val="20"/>
                <w:szCs w:val="20"/>
              </w:rPr>
              <w:t xml:space="preserve"> on the Pharmaceutical Benefits Scheme (PBS) to include the indication ‘Rehydration in intestinal failure’ under the same circumstances as the previous brand listed for this indication</w:t>
            </w:r>
            <w:r w:rsidRPr="000225B7">
              <w:rPr>
                <w:rFonts w:ascii="Arial" w:hAnsi="Arial" w:cs="Arial"/>
                <w:sz w:val="20"/>
                <w:szCs w:val="20"/>
              </w:rPr>
              <w:t>.</w:t>
            </w:r>
          </w:p>
        </w:tc>
        <w:tc>
          <w:tcPr>
            <w:tcW w:w="588" w:type="pct"/>
            <w:tcBorders>
              <w:top w:val="single" w:sz="4" w:space="0" w:color="auto"/>
              <w:left w:val="single" w:sz="4" w:space="0" w:color="auto"/>
              <w:bottom w:val="single" w:sz="4" w:space="0" w:color="auto"/>
              <w:right w:val="single" w:sz="4" w:space="0" w:color="auto"/>
            </w:tcBorders>
            <w:vAlign w:val="center"/>
          </w:tcPr>
          <w:p w14:paraId="49A3A7DF" w14:textId="2143CC5F" w:rsidR="00EB08BB" w:rsidRDefault="00EB08BB" w:rsidP="00EB08BB">
            <w:pPr>
              <w:pStyle w:val="Header"/>
              <w:jc w:val="left"/>
              <w:rPr>
                <w:rFonts w:ascii="Arial" w:hAnsi="Arial" w:cs="Arial"/>
                <w:snapToGrid w:val="0"/>
                <w:sz w:val="20"/>
                <w:szCs w:val="20"/>
              </w:rPr>
            </w:pPr>
            <w:r>
              <w:rPr>
                <w:rFonts w:ascii="Arial" w:hAnsi="Arial" w:cs="Arial"/>
                <w:snapToGrid w:val="0"/>
                <w:sz w:val="20"/>
                <w:szCs w:val="20"/>
              </w:rPr>
              <w:t>Recommended</w:t>
            </w:r>
          </w:p>
        </w:tc>
        <w:tc>
          <w:tcPr>
            <w:tcW w:w="1813" w:type="pct"/>
            <w:tcBorders>
              <w:top w:val="single" w:sz="4" w:space="0" w:color="auto"/>
              <w:left w:val="single" w:sz="4" w:space="0" w:color="auto"/>
              <w:bottom w:val="single" w:sz="4" w:space="0" w:color="auto"/>
              <w:right w:val="single" w:sz="4" w:space="0" w:color="auto"/>
            </w:tcBorders>
            <w:vAlign w:val="center"/>
          </w:tcPr>
          <w:p w14:paraId="266C0163" w14:textId="41041414" w:rsidR="00EB08BB" w:rsidRDefault="00EB08BB" w:rsidP="004C64B3">
            <w:pPr>
              <w:pStyle w:val="3-BodyText"/>
              <w:numPr>
                <w:ilvl w:val="0"/>
                <w:numId w:val="0"/>
              </w:numPr>
              <w:jc w:val="left"/>
              <w:rPr>
                <w:rFonts w:ascii="Arial" w:eastAsia="Times New Roman" w:hAnsi="Arial" w:cs="Arial"/>
                <w:sz w:val="20"/>
                <w:szCs w:val="20"/>
                <w:lang w:eastAsia="en-AU"/>
              </w:rPr>
            </w:pPr>
            <w:r>
              <w:rPr>
                <w:rFonts w:ascii="Arial" w:hAnsi="Arial" w:cs="Arial"/>
                <w:sz w:val="20"/>
                <w:szCs w:val="20"/>
              </w:rPr>
              <w:t>T</w:t>
            </w:r>
            <w:r w:rsidRPr="00D41E39">
              <w:rPr>
                <w:rFonts w:ascii="Arial" w:hAnsi="Arial" w:cs="Arial"/>
                <w:sz w:val="20"/>
                <w:szCs w:val="20"/>
              </w:rPr>
              <w:t>he PBAC recommended amending the current PBS listing of O.R.S.</w:t>
            </w:r>
            <w:r w:rsidRPr="00EB08BB">
              <w:rPr>
                <w:rFonts w:ascii="Arial" w:hAnsi="Arial" w:cs="Arial"/>
                <w:sz w:val="20"/>
                <w:szCs w:val="20"/>
                <w:vertAlign w:val="superscript"/>
              </w:rPr>
              <w:t>®</w:t>
            </w:r>
            <w:r w:rsidRPr="00EB08BB">
              <w:rPr>
                <w:rFonts w:ascii="Arial" w:hAnsi="Arial" w:cs="Arial"/>
                <w:sz w:val="20"/>
                <w:szCs w:val="20"/>
              </w:rPr>
              <w:t xml:space="preserve"> </w:t>
            </w:r>
            <w:r w:rsidRPr="00D41E39">
              <w:rPr>
                <w:rFonts w:ascii="Arial" w:hAnsi="Arial" w:cs="Arial"/>
                <w:sz w:val="20"/>
                <w:szCs w:val="20"/>
              </w:rPr>
              <w:t>to include the indication ‘Rehydration in intestinal failure’ under the same circumstances and equivalent approved ex-manufacturer price as the previous listing of this drug for this indication.</w:t>
            </w:r>
          </w:p>
        </w:tc>
      </w:tr>
      <w:tr w:rsidR="00752919" w:rsidRPr="009721E5" w14:paraId="2E666A22" w14:textId="77777777" w:rsidTr="00EB08BB">
        <w:tc>
          <w:tcPr>
            <w:tcW w:w="103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15821A9" w14:textId="6FAE2163" w:rsidR="00EB08BB" w:rsidRDefault="00BA1579" w:rsidP="00AB15A6">
            <w:pPr>
              <w:pStyle w:val="Header"/>
              <w:spacing w:before="60" w:after="60"/>
              <w:jc w:val="left"/>
              <w:rPr>
                <w:rFonts w:ascii="Arial" w:hAnsi="Arial" w:cs="Arial"/>
                <w:sz w:val="20"/>
                <w:szCs w:val="20"/>
              </w:rPr>
            </w:pPr>
            <w:r w:rsidRPr="002A62E4">
              <w:rPr>
                <w:rFonts w:ascii="Arial" w:hAnsi="Arial" w:cs="Arial"/>
                <w:sz w:val="20"/>
                <w:szCs w:val="20"/>
              </w:rPr>
              <w:t>LENALIDOMIDE</w:t>
            </w:r>
            <w:r w:rsidR="002A62E4" w:rsidRPr="002A62E4">
              <w:rPr>
                <w:rFonts w:ascii="Arial" w:hAnsi="Arial" w:cs="Arial"/>
                <w:sz w:val="20"/>
                <w:szCs w:val="20"/>
              </w:rPr>
              <w:t xml:space="preserve"> </w:t>
            </w:r>
          </w:p>
          <w:p w14:paraId="24819C77" w14:textId="0643D592" w:rsidR="002A62E4" w:rsidRDefault="00EB08BB" w:rsidP="00EB08BB">
            <w:pPr>
              <w:pStyle w:val="Header"/>
              <w:spacing w:after="60"/>
              <w:jc w:val="left"/>
              <w:rPr>
                <w:rFonts w:ascii="Arial" w:hAnsi="Arial" w:cs="Arial"/>
                <w:sz w:val="20"/>
                <w:szCs w:val="20"/>
              </w:rPr>
            </w:pPr>
            <w:r>
              <w:rPr>
                <w:rFonts w:ascii="Arial" w:hAnsi="Arial" w:cs="Arial"/>
                <w:sz w:val="20"/>
                <w:szCs w:val="20"/>
              </w:rPr>
              <w:t>All forms</w:t>
            </w:r>
          </w:p>
          <w:p w14:paraId="2527FA2A" w14:textId="7364E63A" w:rsidR="002A62E4" w:rsidRDefault="002A62E4" w:rsidP="00EB08BB">
            <w:pPr>
              <w:pStyle w:val="Header"/>
              <w:spacing w:after="60"/>
              <w:jc w:val="left"/>
              <w:rPr>
                <w:rFonts w:ascii="Arial" w:hAnsi="Arial" w:cs="Arial"/>
                <w:sz w:val="20"/>
                <w:szCs w:val="20"/>
              </w:rPr>
            </w:pPr>
            <w:r w:rsidRPr="002A62E4">
              <w:rPr>
                <w:rFonts w:ascii="Arial" w:hAnsi="Arial" w:cs="Arial"/>
                <w:sz w:val="20"/>
                <w:szCs w:val="20"/>
              </w:rPr>
              <w:t>Revlimid</w:t>
            </w:r>
            <w:r w:rsidRPr="00EB08BB">
              <w:rPr>
                <w:rFonts w:ascii="Arial" w:hAnsi="Arial" w:cs="Arial"/>
                <w:sz w:val="20"/>
                <w:szCs w:val="20"/>
                <w:vertAlign w:val="superscript"/>
              </w:rPr>
              <w:t>®</w:t>
            </w:r>
            <w:r w:rsidRPr="002A62E4">
              <w:rPr>
                <w:rFonts w:ascii="Arial" w:hAnsi="Arial" w:cs="Arial"/>
                <w:sz w:val="20"/>
                <w:szCs w:val="20"/>
              </w:rPr>
              <w:t xml:space="preserve"> </w:t>
            </w:r>
          </w:p>
          <w:p w14:paraId="08DAF88A" w14:textId="5B69EF37" w:rsidR="0032310F" w:rsidRDefault="0032310F" w:rsidP="002A62E4">
            <w:pPr>
              <w:pStyle w:val="Header"/>
              <w:jc w:val="left"/>
              <w:rPr>
                <w:rFonts w:ascii="Arial" w:hAnsi="Arial" w:cs="Arial"/>
                <w:sz w:val="20"/>
                <w:szCs w:val="20"/>
              </w:rPr>
            </w:pPr>
            <w:r>
              <w:rPr>
                <w:rFonts w:ascii="Arial" w:hAnsi="Arial" w:cs="Arial"/>
                <w:sz w:val="20"/>
                <w:szCs w:val="20"/>
              </w:rPr>
              <w:t>Celgene Pty L</w:t>
            </w:r>
            <w:r w:rsidR="00AB15A6">
              <w:rPr>
                <w:rFonts w:ascii="Arial" w:hAnsi="Arial" w:cs="Arial"/>
                <w:sz w:val="20"/>
                <w:szCs w:val="20"/>
              </w:rPr>
              <w:t>imited</w:t>
            </w:r>
          </w:p>
          <w:p w14:paraId="220AA361" w14:textId="77777777" w:rsidR="002A62E4" w:rsidRDefault="002A62E4" w:rsidP="002A62E4">
            <w:pPr>
              <w:pStyle w:val="Header"/>
              <w:jc w:val="left"/>
              <w:rPr>
                <w:rFonts w:ascii="Arial" w:hAnsi="Arial" w:cs="Arial"/>
                <w:sz w:val="20"/>
                <w:szCs w:val="20"/>
              </w:rPr>
            </w:pPr>
          </w:p>
          <w:p w14:paraId="5198F97A" w14:textId="5ABB63F8" w:rsidR="00EB08BB" w:rsidRDefault="00BA1579" w:rsidP="00EB08BB">
            <w:pPr>
              <w:pStyle w:val="Header"/>
              <w:spacing w:after="60"/>
              <w:jc w:val="left"/>
              <w:rPr>
                <w:rFonts w:ascii="Arial" w:hAnsi="Arial" w:cs="Arial"/>
                <w:sz w:val="20"/>
                <w:szCs w:val="20"/>
              </w:rPr>
            </w:pPr>
            <w:r w:rsidRPr="002A62E4">
              <w:rPr>
                <w:rFonts w:ascii="Arial" w:hAnsi="Arial" w:cs="Arial"/>
                <w:sz w:val="20"/>
                <w:szCs w:val="20"/>
              </w:rPr>
              <w:t>POMALIDOMIDE</w:t>
            </w:r>
            <w:r w:rsidR="002A62E4" w:rsidRPr="002A62E4">
              <w:rPr>
                <w:rFonts w:ascii="Arial" w:hAnsi="Arial" w:cs="Arial"/>
                <w:sz w:val="20"/>
                <w:szCs w:val="20"/>
              </w:rPr>
              <w:t xml:space="preserve"> </w:t>
            </w:r>
          </w:p>
          <w:p w14:paraId="5DBD5B43" w14:textId="61F6FD8E" w:rsidR="002A62E4" w:rsidRDefault="00EB08BB" w:rsidP="00EB08BB">
            <w:pPr>
              <w:pStyle w:val="Header"/>
              <w:spacing w:after="60"/>
              <w:jc w:val="left"/>
              <w:rPr>
                <w:rFonts w:ascii="Arial" w:hAnsi="Arial" w:cs="Arial"/>
                <w:sz w:val="20"/>
                <w:szCs w:val="20"/>
              </w:rPr>
            </w:pPr>
            <w:r>
              <w:rPr>
                <w:rFonts w:ascii="Arial" w:hAnsi="Arial" w:cs="Arial"/>
                <w:sz w:val="20"/>
                <w:szCs w:val="20"/>
              </w:rPr>
              <w:t>All forms</w:t>
            </w:r>
          </w:p>
          <w:p w14:paraId="2722CED4" w14:textId="391DF28C" w:rsidR="002A62E4" w:rsidRDefault="002A62E4" w:rsidP="002A62E4">
            <w:pPr>
              <w:pStyle w:val="Header"/>
              <w:jc w:val="left"/>
              <w:rPr>
                <w:rFonts w:ascii="Arial" w:hAnsi="Arial" w:cs="Arial"/>
                <w:sz w:val="20"/>
                <w:szCs w:val="20"/>
              </w:rPr>
            </w:pPr>
            <w:proofErr w:type="spellStart"/>
            <w:r w:rsidRPr="002A62E4">
              <w:rPr>
                <w:rFonts w:ascii="Arial" w:hAnsi="Arial" w:cs="Arial"/>
                <w:sz w:val="20"/>
                <w:szCs w:val="20"/>
              </w:rPr>
              <w:t>Pomalyst</w:t>
            </w:r>
            <w:proofErr w:type="spellEnd"/>
            <w:r w:rsidRPr="00EB08BB">
              <w:rPr>
                <w:rFonts w:ascii="Arial" w:hAnsi="Arial" w:cs="Arial"/>
                <w:sz w:val="20"/>
                <w:szCs w:val="20"/>
                <w:vertAlign w:val="superscript"/>
              </w:rPr>
              <w:t>®</w:t>
            </w:r>
          </w:p>
          <w:p w14:paraId="3452B47F" w14:textId="77777777" w:rsidR="002A62E4" w:rsidRDefault="002A62E4" w:rsidP="002A62E4">
            <w:pPr>
              <w:pStyle w:val="Header"/>
              <w:jc w:val="left"/>
              <w:rPr>
                <w:rFonts w:ascii="Arial" w:hAnsi="Arial" w:cs="Arial"/>
                <w:sz w:val="20"/>
                <w:szCs w:val="20"/>
              </w:rPr>
            </w:pPr>
            <w:proofErr w:type="spellStart"/>
            <w:r w:rsidRPr="002A62E4">
              <w:rPr>
                <w:rFonts w:ascii="Arial" w:hAnsi="Arial" w:cs="Arial"/>
                <w:sz w:val="20"/>
                <w:szCs w:val="20"/>
              </w:rPr>
              <w:t>Pomolide</w:t>
            </w:r>
            <w:proofErr w:type="spellEnd"/>
            <w:r w:rsidRPr="00EB08BB">
              <w:rPr>
                <w:rFonts w:ascii="Arial" w:hAnsi="Arial" w:cs="Arial"/>
                <w:sz w:val="20"/>
                <w:szCs w:val="20"/>
                <w:vertAlign w:val="superscript"/>
              </w:rPr>
              <w:t>®</w:t>
            </w:r>
            <w:r w:rsidRPr="002A62E4">
              <w:rPr>
                <w:rFonts w:ascii="Arial" w:hAnsi="Arial" w:cs="Arial"/>
                <w:sz w:val="20"/>
                <w:szCs w:val="20"/>
              </w:rPr>
              <w:t xml:space="preserve"> </w:t>
            </w:r>
          </w:p>
          <w:p w14:paraId="3ECE474F" w14:textId="5B6A1B6F" w:rsidR="00752919" w:rsidRPr="00EB08BB" w:rsidRDefault="002A62E4" w:rsidP="00EB08BB">
            <w:pPr>
              <w:pStyle w:val="Header"/>
              <w:spacing w:after="60"/>
              <w:jc w:val="left"/>
              <w:rPr>
                <w:rFonts w:ascii="Arial" w:hAnsi="Arial" w:cs="Arial"/>
                <w:b/>
                <w:sz w:val="20"/>
                <w:szCs w:val="20"/>
              </w:rPr>
            </w:pPr>
            <w:r w:rsidRPr="002A62E4">
              <w:rPr>
                <w:rFonts w:ascii="Arial" w:hAnsi="Arial" w:cs="Arial"/>
                <w:sz w:val="20"/>
                <w:szCs w:val="20"/>
              </w:rPr>
              <w:t>Pomalidomide Sandoz</w:t>
            </w:r>
            <w:r w:rsidRPr="00EB08BB">
              <w:rPr>
                <w:rFonts w:ascii="Arial" w:hAnsi="Arial" w:cs="Arial"/>
                <w:b/>
                <w:sz w:val="20"/>
                <w:szCs w:val="20"/>
                <w:vertAlign w:val="superscript"/>
              </w:rPr>
              <w:t>®</w:t>
            </w:r>
          </w:p>
          <w:p w14:paraId="450F34BB" w14:textId="2A0339DB" w:rsidR="0032310F" w:rsidRDefault="0032310F" w:rsidP="00872AC0">
            <w:pPr>
              <w:pStyle w:val="Header"/>
              <w:jc w:val="left"/>
              <w:rPr>
                <w:rFonts w:ascii="Arial" w:hAnsi="Arial" w:cs="Arial"/>
                <w:sz w:val="20"/>
                <w:szCs w:val="20"/>
              </w:rPr>
            </w:pPr>
            <w:r>
              <w:rPr>
                <w:rFonts w:ascii="Arial" w:hAnsi="Arial" w:cs="Arial"/>
                <w:sz w:val="20"/>
                <w:szCs w:val="20"/>
              </w:rPr>
              <w:t>Celgene Pty L</w:t>
            </w:r>
            <w:r w:rsidR="001D4615">
              <w:rPr>
                <w:rFonts w:ascii="Arial" w:hAnsi="Arial" w:cs="Arial"/>
                <w:sz w:val="20"/>
                <w:szCs w:val="20"/>
              </w:rPr>
              <w:t>imited</w:t>
            </w:r>
          </w:p>
          <w:p w14:paraId="541E14A4" w14:textId="0CE03840" w:rsidR="0032310F" w:rsidRDefault="0032310F" w:rsidP="00872AC0">
            <w:pPr>
              <w:pStyle w:val="Header"/>
              <w:jc w:val="left"/>
              <w:rPr>
                <w:rFonts w:ascii="Arial" w:hAnsi="Arial" w:cs="Arial"/>
                <w:sz w:val="20"/>
                <w:szCs w:val="20"/>
              </w:rPr>
            </w:pPr>
            <w:r>
              <w:rPr>
                <w:rFonts w:ascii="Arial" w:hAnsi="Arial" w:cs="Arial"/>
                <w:sz w:val="20"/>
                <w:szCs w:val="20"/>
              </w:rPr>
              <w:t>Juno Pharma</w:t>
            </w:r>
            <w:r w:rsidR="00D41E39">
              <w:rPr>
                <w:rFonts w:ascii="Arial" w:hAnsi="Arial" w:cs="Arial"/>
                <w:sz w:val="20"/>
                <w:szCs w:val="20"/>
              </w:rPr>
              <w:t>c</w:t>
            </w:r>
            <w:r>
              <w:rPr>
                <w:rFonts w:ascii="Arial" w:hAnsi="Arial" w:cs="Arial"/>
                <w:sz w:val="20"/>
                <w:szCs w:val="20"/>
              </w:rPr>
              <w:t>euticals Pty Ltd</w:t>
            </w:r>
          </w:p>
          <w:p w14:paraId="11C58161" w14:textId="10AB4BEA" w:rsidR="00EB08BB" w:rsidRDefault="0032310F" w:rsidP="00872AC0">
            <w:pPr>
              <w:pStyle w:val="Header"/>
              <w:jc w:val="left"/>
              <w:rPr>
                <w:rFonts w:ascii="Arial" w:hAnsi="Arial" w:cs="Arial"/>
                <w:sz w:val="20"/>
                <w:szCs w:val="20"/>
              </w:rPr>
            </w:pPr>
            <w:r>
              <w:rPr>
                <w:rFonts w:ascii="Arial" w:hAnsi="Arial" w:cs="Arial"/>
                <w:sz w:val="20"/>
                <w:szCs w:val="20"/>
              </w:rPr>
              <w:t>Sandoz Pty Ltd</w:t>
            </w:r>
          </w:p>
          <w:p w14:paraId="40EEFC9A" w14:textId="77777777" w:rsidR="0032310F" w:rsidRPr="00752919" w:rsidRDefault="0032310F" w:rsidP="00872AC0">
            <w:pPr>
              <w:pStyle w:val="Header"/>
              <w:jc w:val="left"/>
              <w:rPr>
                <w:rFonts w:ascii="Arial" w:hAnsi="Arial" w:cs="Arial"/>
                <w:sz w:val="20"/>
                <w:szCs w:val="20"/>
              </w:rPr>
            </w:pPr>
          </w:p>
          <w:p w14:paraId="7E57404D" w14:textId="7B025F32" w:rsidR="00752919" w:rsidRDefault="002A62E4" w:rsidP="00872AC0">
            <w:pPr>
              <w:pStyle w:val="Header"/>
              <w:jc w:val="left"/>
              <w:rPr>
                <w:rFonts w:ascii="Arial" w:hAnsi="Arial" w:cs="Arial"/>
                <w:sz w:val="20"/>
                <w:szCs w:val="20"/>
              </w:rPr>
            </w:pPr>
            <w:r>
              <w:rPr>
                <w:rFonts w:ascii="Arial" w:hAnsi="Arial" w:cs="Arial"/>
                <w:sz w:val="20"/>
                <w:szCs w:val="20"/>
              </w:rPr>
              <w:t>Other Business</w:t>
            </w:r>
          </w:p>
          <w:p w14:paraId="0C177A44" w14:textId="516A2F75" w:rsidR="00EB08BB" w:rsidRDefault="0032310F" w:rsidP="004C64B3">
            <w:pPr>
              <w:pStyle w:val="Header"/>
              <w:spacing w:after="120"/>
              <w:jc w:val="left"/>
              <w:rPr>
                <w:rFonts w:ascii="Arial" w:hAnsi="Arial" w:cs="Arial"/>
                <w:sz w:val="20"/>
                <w:szCs w:val="20"/>
              </w:rPr>
            </w:pPr>
            <w:r>
              <w:rPr>
                <w:rFonts w:ascii="Arial" w:hAnsi="Arial" w:cs="Arial"/>
                <w:sz w:val="20"/>
                <w:szCs w:val="20"/>
              </w:rPr>
              <w:t>(Change to listing)</w:t>
            </w:r>
          </w:p>
        </w:tc>
        <w:tc>
          <w:tcPr>
            <w:tcW w:w="49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BBA34FA" w14:textId="53A6B5ED" w:rsidR="00752919" w:rsidRDefault="002A62E4" w:rsidP="00872AC0">
            <w:pPr>
              <w:pStyle w:val="Header"/>
              <w:jc w:val="left"/>
              <w:rPr>
                <w:rFonts w:ascii="Arial" w:hAnsi="Arial" w:cs="Arial"/>
                <w:sz w:val="20"/>
                <w:szCs w:val="20"/>
              </w:rPr>
            </w:pPr>
            <w:r>
              <w:rPr>
                <w:rFonts w:ascii="Arial" w:hAnsi="Arial" w:cs="Arial"/>
                <w:sz w:val="20"/>
                <w:szCs w:val="20"/>
              </w:rPr>
              <w:t>Multiple Myeloma</w:t>
            </w:r>
          </w:p>
        </w:tc>
        <w:tc>
          <w:tcPr>
            <w:tcW w:w="107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18F5674" w14:textId="0922BAA8" w:rsidR="00752919" w:rsidRPr="000225B7" w:rsidRDefault="00752919" w:rsidP="00872AC0">
            <w:pPr>
              <w:pStyle w:val="Header"/>
              <w:jc w:val="left"/>
              <w:rPr>
                <w:rFonts w:ascii="Arial" w:hAnsi="Arial" w:cs="Arial"/>
                <w:sz w:val="20"/>
                <w:szCs w:val="20"/>
              </w:rPr>
            </w:pPr>
            <w:r w:rsidRPr="00752919">
              <w:rPr>
                <w:rFonts w:ascii="Arial" w:hAnsi="Arial" w:cs="Arial"/>
                <w:sz w:val="20"/>
                <w:szCs w:val="20"/>
              </w:rPr>
              <w:t xml:space="preserve">To </w:t>
            </w:r>
            <w:r w:rsidR="002A62E4">
              <w:rPr>
                <w:rFonts w:ascii="Arial" w:hAnsi="Arial" w:cs="Arial"/>
                <w:sz w:val="20"/>
                <w:szCs w:val="20"/>
              </w:rPr>
              <w:t xml:space="preserve">seek the PBAC’s advice on </w:t>
            </w:r>
            <w:r w:rsidR="002A62E4" w:rsidRPr="002A62E4">
              <w:rPr>
                <w:rFonts w:ascii="Arial" w:hAnsi="Arial" w:cs="Arial"/>
                <w:sz w:val="20"/>
                <w:szCs w:val="20"/>
              </w:rPr>
              <w:t>the appropriateness of brand substitution at the pharmacy level (‘a’</w:t>
            </w:r>
            <w:r w:rsidR="002A62E4" w:rsidRPr="002A62E4">
              <w:rPr>
                <w:rFonts w:ascii="Arial" w:hAnsi="Arial" w:cs="Arial"/>
                <w:sz w:val="20"/>
                <w:szCs w:val="20"/>
              </w:rPr>
              <w:noBreakHyphen/>
              <w:t xml:space="preserve">flagging) </w:t>
            </w:r>
            <w:r w:rsidR="002A62E4">
              <w:rPr>
                <w:rFonts w:ascii="Arial" w:hAnsi="Arial" w:cs="Arial"/>
                <w:sz w:val="20"/>
                <w:szCs w:val="20"/>
              </w:rPr>
              <w:t xml:space="preserve">between brands of each drug </w:t>
            </w:r>
            <w:r w:rsidR="002A62E4" w:rsidRPr="002A62E4">
              <w:rPr>
                <w:rFonts w:ascii="Arial" w:hAnsi="Arial" w:cs="Arial"/>
                <w:sz w:val="20"/>
                <w:szCs w:val="20"/>
              </w:rPr>
              <w:t>and</w:t>
            </w:r>
            <w:r w:rsidR="002A62E4">
              <w:rPr>
                <w:rFonts w:ascii="Arial" w:hAnsi="Arial" w:cs="Arial"/>
                <w:sz w:val="20"/>
                <w:szCs w:val="20"/>
              </w:rPr>
              <w:t xml:space="preserve"> how the restriction text should </w:t>
            </w:r>
            <w:proofErr w:type="gramStart"/>
            <w:r w:rsidR="002A62E4">
              <w:rPr>
                <w:rFonts w:ascii="Arial" w:hAnsi="Arial" w:cs="Arial"/>
                <w:sz w:val="20"/>
                <w:szCs w:val="20"/>
              </w:rPr>
              <w:t>make reference</w:t>
            </w:r>
            <w:proofErr w:type="gramEnd"/>
            <w:r w:rsidR="002A62E4">
              <w:rPr>
                <w:rFonts w:ascii="Arial" w:hAnsi="Arial" w:cs="Arial"/>
                <w:sz w:val="20"/>
                <w:szCs w:val="20"/>
              </w:rPr>
              <w:t xml:space="preserve"> to the sponsor specific, patient </w:t>
            </w:r>
            <w:r w:rsidR="0032310F">
              <w:rPr>
                <w:rFonts w:ascii="Arial" w:hAnsi="Arial" w:cs="Arial"/>
                <w:sz w:val="20"/>
                <w:szCs w:val="20"/>
              </w:rPr>
              <w:t>risk management</w:t>
            </w:r>
            <w:r w:rsidR="002A62E4">
              <w:rPr>
                <w:rFonts w:ascii="Arial" w:hAnsi="Arial" w:cs="Arial"/>
                <w:sz w:val="20"/>
                <w:szCs w:val="20"/>
              </w:rPr>
              <w:t xml:space="preserve"> programs.</w:t>
            </w:r>
          </w:p>
        </w:tc>
        <w:tc>
          <w:tcPr>
            <w:tcW w:w="588" w:type="pct"/>
            <w:tcBorders>
              <w:top w:val="single" w:sz="4" w:space="0" w:color="auto"/>
              <w:left w:val="single" w:sz="4" w:space="0" w:color="auto"/>
              <w:bottom w:val="single" w:sz="4" w:space="0" w:color="auto"/>
              <w:right w:val="single" w:sz="4" w:space="0" w:color="auto"/>
            </w:tcBorders>
            <w:vAlign w:val="center"/>
          </w:tcPr>
          <w:p w14:paraId="62F46EE3" w14:textId="50C2AF8C" w:rsidR="00752919" w:rsidRDefault="0032310F" w:rsidP="00872AC0">
            <w:pPr>
              <w:pStyle w:val="Header"/>
              <w:jc w:val="left"/>
              <w:rPr>
                <w:rFonts w:ascii="Arial" w:hAnsi="Arial" w:cs="Arial"/>
                <w:snapToGrid w:val="0"/>
                <w:sz w:val="20"/>
                <w:szCs w:val="20"/>
              </w:rPr>
            </w:pPr>
            <w:r>
              <w:rPr>
                <w:rFonts w:ascii="Arial" w:hAnsi="Arial" w:cs="Arial"/>
                <w:snapToGrid w:val="0"/>
                <w:sz w:val="20"/>
                <w:szCs w:val="20"/>
              </w:rPr>
              <w:t>Recommended</w:t>
            </w:r>
          </w:p>
        </w:tc>
        <w:tc>
          <w:tcPr>
            <w:tcW w:w="1813" w:type="pct"/>
            <w:tcBorders>
              <w:top w:val="single" w:sz="4" w:space="0" w:color="auto"/>
              <w:left w:val="single" w:sz="4" w:space="0" w:color="auto"/>
              <w:bottom w:val="single" w:sz="4" w:space="0" w:color="auto"/>
              <w:right w:val="single" w:sz="4" w:space="0" w:color="auto"/>
            </w:tcBorders>
            <w:vAlign w:val="center"/>
          </w:tcPr>
          <w:p w14:paraId="4F3DCB99" w14:textId="2C7BBEB6" w:rsidR="002A62E4" w:rsidRDefault="002A62E4" w:rsidP="004C64B3">
            <w:pPr>
              <w:pStyle w:val="3-BodyText"/>
              <w:numPr>
                <w:ilvl w:val="0"/>
                <w:numId w:val="0"/>
              </w:numPr>
              <w:jc w:val="left"/>
              <w:rPr>
                <w:rFonts w:ascii="Arial" w:eastAsia="Times New Roman" w:hAnsi="Arial" w:cs="Arial"/>
                <w:sz w:val="20"/>
                <w:szCs w:val="20"/>
                <w:lang w:eastAsia="en-AU"/>
              </w:rPr>
            </w:pPr>
            <w:r>
              <w:rPr>
                <w:rFonts w:ascii="Arial" w:eastAsia="Times New Roman" w:hAnsi="Arial" w:cs="Arial"/>
                <w:sz w:val="20"/>
                <w:szCs w:val="20"/>
                <w:lang w:eastAsia="en-AU"/>
              </w:rPr>
              <w:t>The PBAC advised that the</w:t>
            </w:r>
            <w:r w:rsidRPr="002A62E4">
              <w:rPr>
                <w:rFonts w:ascii="Arial" w:eastAsia="Times New Roman" w:hAnsi="Arial" w:cs="Arial"/>
                <w:sz w:val="20"/>
                <w:szCs w:val="20"/>
                <w:lang w:eastAsia="en-AU"/>
              </w:rPr>
              <w:t xml:space="preserve"> bioequivalent brands of lenalidomide </w:t>
            </w:r>
            <w:r>
              <w:rPr>
                <w:rFonts w:ascii="Arial" w:eastAsia="Times New Roman" w:hAnsi="Arial" w:cs="Arial"/>
                <w:sz w:val="20"/>
                <w:szCs w:val="20"/>
                <w:lang w:eastAsia="en-AU"/>
              </w:rPr>
              <w:t xml:space="preserve">and </w:t>
            </w:r>
            <w:r w:rsidR="0032310F">
              <w:rPr>
                <w:rFonts w:ascii="Arial" w:eastAsia="Times New Roman" w:hAnsi="Arial" w:cs="Arial"/>
                <w:sz w:val="20"/>
                <w:szCs w:val="20"/>
                <w:lang w:eastAsia="en-AU"/>
              </w:rPr>
              <w:t>p</w:t>
            </w:r>
            <w:r>
              <w:rPr>
                <w:rFonts w:ascii="Arial" w:eastAsia="Times New Roman" w:hAnsi="Arial" w:cs="Arial"/>
                <w:sz w:val="20"/>
                <w:szCs w:val="20"/>
                <w:lang w:eastAsia="en-AU"/>
              </w:rPr>
              <w:t xml:space="preserve">omalidomide respectively </w:t>
            </w:r>
            <w:r w:rsidRPr="002A62E4">
              <w:rPr>
                <w:rFonts w:ascii="Arial" w:eastAsia="Times New Roman" w:hAnsi="Arial" w:cs="Arial"/>
                <w:sz w:val="20"/>
                <w:szCs w:val="20"/>
                <w:lang w:eastAsia="en-AU"/>
              </w:rPr>
              <w:t>should not be considered equivalent for the purposes of substitution (i.e., ‘a’-flagged in the Schedule</w:t>
            </w:r>
            <w:r>
              <w:rPr>
                <w:rFonts w:ascii="Arial" w:eastAsia="Times New Roman" w:hAnsi="Arial" w:cs="Arial"/>
                <w:sz w:val="20"/>
                <w:szCs w:val="20"/>
                <w:lang w:eastAsia="en-AU"/>
              </w:rPr>
              <w:t>).</w:t>
            </w:r>
          </w:p>
          <w:p w14:paraId="5D1D3320" w14:textId="17E6B5C3" w:rsidR="002A62E4" w:rsidRDefault="002A62E4" w:rsidP="004C64B3">
            <w:pPr>
              <w:pStyle w:val="3-BodyText"/>
              <w:numPr>
                <w:ilvl w:val="0"/>
                <w:numId w:val="0"/>
              </w:numPr>
              <w:jc w:val="left"/>
              <w:rPr>
                <w:rFonts w:ascii="Arial" w:hAnsi="Arial" w:cs="Arial"/>
                <w:sz w:val="20"/>
                <w:szCs w:val="20"/>
              </w:rPr>
            </w:pPr>
            <w:r w:rsidRPr="002A62E4">
              <w:rPr>
                <w:rFonts w:ascii="Arial" w:hAnsi="Arial" w:cs="Arial"/>
                <w:sz w:val="20"/>
                <w:szCs w:val="20"/>
              </w:rPr>
              <w:t>While the PBAC was supportive in principle of ‘a’-flagging between brands of bioequivalent medicines, it advised this was not practical for pomalidomide and lenalidomide while sponsor/brand specific patient risk management programs exist for these drugs. The PBAC noted potential for unnecessary administrative burden and confusion for prescribers and pharmacists that may delay patient access where an alternative brand is sought.</w:t>
            </w:r>
          </w:p>
          <w:p w14:paraId="564EF6FF" w14:textId="03EAE025" w:rsidR="00752919" w:rsidRPr="000225B7" w:rsidRDefault="002A62E4" w:rsidP="004C64B3">
            <w:pPr>
              <w:pStyle w:val="3-BodyText"/>
              <w:numPr>
                <w:ilvl w:val="0"/>
                <w:numId w:val="0"/>
              </w:numPr>
              <w:spacing w:after="60"/>
              <w:jc w:val="left"/>
              <w:rPr>
                <w:rFonts w:ascii="Arial" w:hAnsi="Arial" w:cs="Arial"/>
                <w:sz w:val="20"/>
                <w:szCs w:val="20"/>
              </w:rPr>
            </w:pPr>
            <w:r>
              <w:rPr>
                <w:rFonts w:ascii="Arial" w:hAnsi="Arial" w:cs="Arial"/>
                <w:sz w:val="20"/>
                <w:szCs w:val="20"/>
              </w:rPr>
              <w:t>The PBAC also provided advice as to how the restriction text could be modified to reflect the different patient risk management programs.</w:t>
            </w:r>
          </w:p>
        </w:tc>
      </w:tr>
    </w:tbl>
    <w:p w14:paraId="4AEC24E5" w14:textId="77777777" w:rsidR="00280050" w:rsidRDefault="00280050" w:rsidP="00362EA2">
      <w:pPr>
        <w:jc w:val="left"/>
      </w:pPr>
    </w:p>
    <w:sectPr w:rsidR="00280050" w:rsidSect="00752919">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2EE5E" w14:textId="77777777" w:rsidR="00362EA2" w:rsidRDefault="00362EA2" w:rsidP="00362EA2">
      <w:r>
        <w:separator/>
      </w:r>
    </w:p>
  </w:endnote>
  <w:endnote w:type="continuationSeparator" w:id="0">
    <w:p w14:paraId="343B3BE6" w14:textId="77777777" w:rsidR="00362EA2" w:rsidRDefault="00362EA2" w:rsidP="0036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6BA5" w14:textId="77777777" w:rsidR="00AC6D98" w:rsidRDefault="00AC6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5459" w14:textId="77777777" w:rsidR="00AC6D98" w:rsidRDefault="00AC6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996B" w14:textId="77777777" w:rsidR="00AC6D98" w:rsidRDefault="00AC6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B386" w14:textId="77777777" w:rsidR="00362EA2" w:rsidRDefault="00362EA2" w:rsidP="00362EA2">
      <w:r>
        <w:separator/>
      </w:r>
    </w:p>
  </w:footnote>
  <w:footnote w:type="continuationSeparator" w:id="0">
    <w:p w14:paraId="29592BB9" w14:textId="77777777" w:rsidR="00362EA2" w:rsidRDefault="00362EA2" w:rsidP="00362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0615" w14:textId="77777777" w:rsidR="00AC6D98" w:rsidRDefault="00AC6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4BB3" w14:textId="23F99CD5" w:rsidR="00362EA2" w:rsidRPr="00362EA2" w:rsidRDefault="00362EA2" w:rsidP="00362EA2">
    <w:pPr>
      <w:pStyle w:val="Header"/>
      <w:rPr>
        <w:rFonts w:ascii="Arial" w:hAnsi="Arial" w:cs="Arial"/>
        <w:b/>
        <w:snapToGrid w:val="0"/>
        <w:sz w:val="20"/>
        <w:szCs w:val="20"/>
      </w:rPr>
    </w:pPr>
    <w:r w:rsidRPr="00DE0821">
      <w:rPr>
        <w:rFonts w:ascii="Arial" w:hAnsi="Arial" w:cs="Arial"/>
        <w:b/>
        <w:snapToGrid w:val="0"/>
        <w:sz w:val="20"/>
        <w:szCs w:val="20"/>
      </w:rPr>
      <w:t xml:space="preserve">ITEMS RECOMMENDED </w:t>
    </w:r>
    <w:r>
      <w:rPr>
        <w:rFonts w:ascii="Arial" w:hAnsi="Arial" w:cs="Arial"/>
        <w:b/>
        <w:snapToGrid w:val="0"/>
        <w:sz w:val="20"/>
        <w:szCs w:val="20"/>
      </w:rPr>
      <w:t>BETWEEN ORDINARY MEETINGS (</w:t>
    </w:r>
    <w:r w:rsidR="00DC1DB5">
      <w:rPr>
        <w:rFonts w:ascii="Arial" w:hAnsi="Arial" w:cs="Arial"/>
        <w:b/>
        <w:snapToGrid w:val="0"/>
        <w:sz w:val="20"/>
        <w:szCs w:val="20"/>
      </w:rPr>
      <w:t>JULY 202</w:t>
    </w:r>
    <w:r w:rsidR="002A62E4">
      <w:rPr>
        <w:rFonts w:ascii="Arial" w:hAnsi="Arial" w:cs="Arial"/>
        <w:b/>
        <w:snapToGrid w:val="0"/>
        <w:sz w:val="20"/>
        <w:szCs w:val="20"/>
      </w:rPr>
      <w:t>2</w:t>
    </w:r>
    <w:r w:rsidR="00DC1DB5">
      <w:rPr>
        <w:rFonts w:ascii="Arial" w:hAnsi="Arial" w:cs="Arial"/>
        <w:b/>
        <w:snapToGrid w:val="0"/>
        <w:sz w:val="20"/>
        <w:szCs w:val="20"/>
      </w:rPr>
      <w:t xml:space="preserve"> - NOVEMBER 202</w:t>
    </w:r>
    <w:r w:rsidR="002A62E4">
      <w:rPr>
        <w:rFonts w:ascii="Arial" w:hAnsi="Arial" w:cs="Arial"/>
        <w:b/>
        <w:snapToGrid w:val="0"/>
        <w:sz w:val="20"/>
        <w:szCs w:val="20"/>
      </w:rPr>
      <w:t>2</w:t>
    </w:r>
    <w:r>
      <w:rPr>
        <w:rFonts w:ascii="Arial" w:hAnsi="Arial" w:cs="Arial"/>
        <w:b/>
        <w:snapToGrid w:val="0"/>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A522" w14:textId="77777777" w:rsidR="00AC6D98" w:rsidRDefault="00AC6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072F"/>
    <w:multiLevelType w:val="hybridMultilevel"/>
    <w:tmpl w:val="A8F2DD80"/>
    <w:lvl w:ilvl="0" w:tplc="0C090001">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275B18"/>
    <w:multiLevelType w:val="hybridMultilevel"/>
    <w:tmpl w:val="BBD67D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DAC5FFD"/>
    <w:multiLevelType w:val="multilevel"/>
    <w:tmpl w:val="5DBA10CA"/>
    <w:lvl w:ilvl="0">
      <w:start w:val="1"/>
      <w:numFmt w:val="decimal"/>
      <w:pStyle w:val="2-SectionHeading"/>
      <w:lvlText w:val="%1"/>
      <w:lvlJc w:val="left"/>
      <w:pPr>
        <w:ind w:left="720" w:hanging="720"/>
      </w:pPr>
    </w:lvl>
    <w:lvl w:ilvl="1">
      <w:start w:val="1"/>
      <w:numFmt w:val="decimal"/>
      <w:pStyle w:val="3-BodyText"/>
      <w:lvlText w:val="%1.%2"/>
      <w:lvlJc w:val="left"/>
      <w:pPr>
        <w:ind w:left="720" w:hanging="720"/>
      </w:pPr>
      <w:rPr>
        <w:i w:val="0"/>
        <w:iCs/>
        <w:color w:val="auto"/>
      </w:rPr>
    </w:lvl>
    <w:lvl w:ilvl="2">
      <w:start w:val="1"/>
      <w:numFmt w:val="lowerRoman"/>
      <w:lvlText w:val="%3."/>
      <w:lvlJc w:val="right"/>
      <w:pPr>
        <w:ind w:left="2517" w:hanging="177"/>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66"/>
    <w:rsid w:val="000225B7"/>
    <w:rsid w:val="000278F0"/>
    <w:rsid w:val="000B5C10"/>
    <w:rsid w:val="001003A6"/>
    <w:rsid w:val="0011614E"/>
    <w:rsid w:val="00116522"/>
    <w:rsid w:val="0014337F"/>
    <w:rsid w:val="00193999"/>
    <w:rsid w:val="001D4615"/>
    <w:rsid w:val="001D51BD"/>
    <w:rsid w:val="00200E0D"/>
    <w:rsid w:val="00280050"/>
    <w:rsid w:val="002A62E4"/>
    <w:rsid w:val="002E4E82"/>
    <w:rsid w:val="0032310F"/>
    <w:rsid w:val="00362EA2"/>
    <w:rsid w:val="003F12C2"/>
    <w:rsid w:val="0043349F"/>
    <w:rsid w:val="00435693"/>
    <w:rsid w:val="00444D35"/>
    <w:rsid w:val="004A0AA7"/>
    <w:rsid w:val="004C64B3"/>
    <w:rsid w:val="004E33EF"/>
    <w:rsid w:val="00521335"/>
    <w:rsid w:val="005660BF"/>
    <w:rsid w:val="00581655"/>
    <w:rsid w:val="00584AF4"/>
    <w:rsid w:val="005F3512"/>
    <w:rsid w:val="00682A1C"/>
    <w:rsid w:val="006E0A89"/>
    <w:rsid w:val="00752919"/>
    <w:rsid w:val="00760F63"/>
    <w:rsid w:val="007B0EAF"/>
    <w:rsid w:val="007B5622"/>
    <w:rsid w:val="007C5A2C"/>
    <w:rsid w:val="00872AC0"/>
    <w:rsid w:val="00882F5E"/>
    <w:rsid w:val="008A0C56"/>
    <w:rsid w:val="008C0C97"/>
    <w:rsid w:val="00956CCF"/>
    <w:rsid w:val="009C78B5"/>
    <w:rsid w:val="009E63E0"/>
    <w:rsid w:val="00AB15A6"/>
    <w:rsid w:val="00AC6D98"/>
    <w:rsid w:val="00BA1579"/>
    <w:rsid w:val="00C366EB"/>
    <w:rsid w:val="00C60770"/>
    <w:rsid w:val="00C92D45"/>
    <w:rsid w:val="00D41E39"/>
    <w:rsid w:val="00D50C95"/>
    <w:rsid w:val="00D64566"/>
    <w:rsid w:val="00D73B46"/>
    <w:rsid w:val="00DC1DB5"/>
    <w:rsid w:val="00E5153E"/>
    <w:rsid w:val="00E87EE2"/>
    <w:rsid w:val="00EB08BB"/>
    <w:rsid w:val="00ED351A"/>
    <w:rsid w:val="00EE05E4"/>
    <w:rsid w:val="00EE25B4"/>
    <w:rsid w:val="00F001C1"/>
    <w:rsid w:val="00F14D6C"/>
    <w:rsid w:val="00FA29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2C1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66"/>
    <w:pPr>
      <w:spacing w:after="0" w:line="240" w:lineRule="auto"/>
      <w:jc w:val="both"/>
    </w:pPr>
    <w:rPr>
      <w:rFonts w:ascii="Calibri" w:eastAsia="Times New Roman" w:hAnsi="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D6456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D64566"/>
    <w:rPr>
      <w:rFonts w:ascii="Calibri" w:eastAsia="Times New Roman" w:hAnsi="Calibri"/>
      <w:lang w:eastAsia="en-AU"/>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72"/>
    <w:qFormat/>
    <w:rsid w:val="00D64566"/>
    <w:pPr>
      <w:spacing w:after="120" w:line="240" w:lineRule="auto"/>
      <w:ind w:left="1134" w:hanging="357"/>
    </w:pPr>
    <w:rPr>
      <w:rFonts w:asciiTheme="minorHAnsi" w:eastAsia="Times New Roman" w:hAnsiTheme="minorHAnsi" w:cs="Arial"/>
      <w:snapToGrid w:val="0"/>
      <w:lang w:eastAsia="en-AU"/>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72"/>
    <w:qFormat/>
    <w:rsid w:val="00D64566"/>
    <w:rPr>
      <w:rFonts w:asciiTheme="minorHAnsi" w:eastAsia="Times New Roman" w:hAnsiTheme="minorHAnsi" w:cs="Arial"/>
      <w:snapToGrid w:val="0"/>
      <w:lang w:eastAsia="en-AU"/>
    </w:rPr>
  </w:style>
  <w:style w:type="paragraph" w:styleId="ListBullet">
    <w:name w:val="List Bullet"/>
    <w:basedOn w:val="Normal"/>
    <w:uiPriority w:val="99"/>
    <w:semiHidden/>
    <w:unhideWhenUsed/>
    <w:rsid w:val="00D64566"/>
    <w:pPr>
      <w:numPr>
        <w:numId w:val="1"/>
      </w:numPr>
      <w:contextualSpacing/>
    </w:pPr>
  </w:style>
  <w:style w:type="paragraph" w:styleId="Footer">
    <w:name w:val="footer"/>
    <w:basedOn w:val="Normal"/>
    <w:link w:val="FooterChar"/>
    <w:uiPriority w:val="99"/>
    <w:unhideWhenUsed/>
    <w:rsid w:val="00362EA2"/>
    <w:pPr>
      <w:tabs>
        <w:tab w:val="center" w:pos="4513"/>
        <w:tab w:val="right" w:pos="9026"/>
      </w:tabs>
    </w:pPr>
  </w:style>
  <w:style w:type="character" w:customStyle="1" w:styleId="FooterChar">
    <w:name w:val="Footer Char"/>
    <w:basedOn w:val="DefaultParagraphFont"/>
    <w:link w:val="Footer"/>
    <w:uiPriority w:val="99"/>
    <w:rsid w:val="00362EA2"/>
    <w:rPr>
      <w:rFonts w:ascii="Calibri" w:eastAsia="Times New Roman" w:hAnsi="Calibri"/>
      <w:lang w:eastAsia="en-AU"/>
    </w:rPr>
  </w:style>
  <w:style w:type="paragraph" w:styleId="BalloonText">
    <w:name w:val="Balloon Text"/>
    <w:basedOn w:val="Normal"/>
    <w:link w:val="BalloonTextChar"/>
    <w:uiPriority w:val="99"/>
    <w:semiHidden/>
    <w:unhideWhenUsed/>
    <w:rsid w:val="00362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EA2"/>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DC1DB5"/>
    <w:rPr>
      <w:sz w:val="16"/>
      <w:szCs w:val="16"/>
    </w:rPr>
  </w:style>
  <w:style w:type="paragraph" w:styleId="CommentText">
    <w:name w:val="annotation text"/>
    <w:basedOn w:val="Normal"/>
    <w:link w:val="CommentTextChar"/>
    <w:uiPriority w:val="99"/>
    <w:unhideWhenUsed/>
    <w:rsid w:val="00DC1DB5"/>
    <w:rPr>
      <w:sz w:val="20"/>
      <w:szCs w:val="20"/>
    </w:rPr>
  </w:style>
  <w:style w:type="character" w:customStyle="1" w:styleId="CommentTextChar">
    <w:name w:val="Comment Text Char"/>
    <w:basedOn w:val="DefaultParagraphFont"/>
    <w:link w:val="CommentText"/>
    <w:uiPriority w:val="99"/>
    <w:rsid w:val="00DC1DB5"/>
    <w:rPr>
      <w:rFonts w:ascii="Calibri" w:eastAsia="Times New Roman" w:hAnsi="Calibri"/>
      <w:sz w:val="20"/>
      <w:szCs w:val="20"/>
      <w:lang w:eastAsia="en-AU"/>
    </w:rPr>
  </w:style>
  <w:style w:type="paragraph" w:styleId="CommentSubject">
    <w:name w:val="annotation subject"/>
    <w:basedOn w:val="CommentText"/>
    <w:next w:val="CommentText"/>
    <w:link w:val="CommentSubjectChar"/>
    <w:uiPriority w:val="99"/>
    <w:semiHidden/>
    <w:unhideWhenUsed/>
    <w:rsid w:val="00DC1DB5"/>
    <w:rPr>
      <w:b/>
      <w:bCs/>
    </w:rPr>
  </w:style>
  <w:style w:type="character" w:customStyle="1" w:styleId="CommentSubjectChar">
    <w:name w:val="Comment Subject Char"/>
    <w:basedOn w:val="CommentTextChar"/>
    <w:link w:val="CommentSubject"/>
    <w:uiPriority w:val="99"/>
    <w:semiHidden/>
    <w:rsid w:val="00DC1DB5"/>
    <w:rPr>
      <w:rFonts w:ascii="Calibri" w:eastAsia="Times New Roman" w:hAnsi="Calibri"/>
      <w:b/>
      <w:bCs/>
      <w:sz w:val="20"/>
      <w:szCs w:val="20"/>
      <w:lang w:eastAsia="en-AU"/>
    </w:rPr>
  </w:style>
  <w:style w:type="paragraph" w:customStyle="1" w:styleId="2-SectionHeading">
    <w:name w:val="2-Section Heading"/>
    <w:basedOn w:val="Normal"/>
    <w:rsid w:val="00752919"/>
    <w:pPr>
      <w:keepNext/>
      <w:numPr>
        <w:numId w:val="3"/>
      </w:numPr>
      <w:snapToGrid w:val="0"/>
      <w:spacing w:before="240" w:after="120"/>
      <w:jc w:val="left"/>
    </w:pPr>
    <w:rPr>
      <w:rFonts w:eastAsiaTheme="minorHAnsi" w:cs="Calibri"/>
      <w:b/>
      <w:bCs/>
      <w:sz w:val="32"/>
      <w:szCs w:val="32"/>
    </w:rPr>
  </w:style>
  <w:style w:type="character" w:customStyle="1" w:styleId="3-BodyTextChar">
    <w:name w:val="3-Body Text Char"/>
    <w:basedOn w:val="DefaultParagraphFont"/>
    <w:link w:val="3-BodyText"/>
    <w:locked/>
    <w:rsid w:val="00752919"/>
    <w:rPr>
      <w:rFonts w:ascii="Calibri" w:hAnsi="Calibri" w:cs="Calibri"/>
    </w:rPr>
  </w:style>
  <w:style w:type="paragraph" w:customStyle="1" w:styleId="3-BodyText">
    <w:name w:val="3-Body Text"/>
    <w:basedOn w:val="Normal"/>
    <w:link w:val="3-BodyTextChar"/>
    <w:rsid w:val="00752919"/>
    <w:pPr>
      <w:numPr>
        <w:ilvl w:val="1"/>
        <w:numId w:val="3"/>
      </w:numPr>
      <w:spacing w:after="120"/>
    </w:pPr>
    <w:rPr>
      <w:rFonts w:eastAsiaTheme="minorHAns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62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2023-01-02T22:59:00Z</dcterms:created>
  <dcterms:modified xsi:type="dcterms:W3CDTF">2023-01-02T22:59:00Z</dcterms:modified>
</cp:coreProperties>
</file>