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00"/>
        <w:gridCol w:w="3120"/>
        <w:gridCol w:w="1700"/>
        <w:gridCol w:w="5242"/>
      </w:tblGrid>
      <w:tr w:rsidR="00D64566" w:rsidRPr="009721E5" w14:paraId="65BE8942" w14:textId="77777777" w:rsidTr="0052133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6BD16DE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z w:val="20"/>
                <w:szCs w:val="20"/>
              </w:rPr>
              <w:t>SPONSOR, TYPE OF SUBMISSION</w:t>
            </w:r>
          </w:p>
          <w:p w14:paraId="5F231E5C" w14:textId="77777777" w:rsidR="00D64566" w:rsidRPr="009721E5" w:rsidRDefault="00D64566" w:rsidP="00521335">
            <w:pPr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15095D9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DRUG TYPE AND USE</w:t>
            </w:r>
          </w:p>
          <w:p w14:paraId="6B918B48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4999471C" w14:textId="77777777"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LISTING REQUESTED BY SPONSOR / PURPOSE OF SUBMISSION</w:t>
            </w:r>
          </w:p>
        </w:tc>
        <w:tc>
          <w:tcPr>
            <w:tcW w:w="2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E40D" w14:textId="77777777" w:rsidR="00D64566" w:rsidRPr="009721E5" w:rsidRDefault="00D64566" w:rsidP="00521335">
            <w:pPr>
              <w:pStyle w:val="Header"/>
              <w:keepLines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PBAC OUTCOME</w:t>
            </w:r>
          </w:p>
        </w:tc>
      </w:tr>
      <w:tr w:rsidR="00752919" w:rsidRPr="009721E5" w14:paraId="2E666A22" w14:textId="77777777" w:rsidTr="00EE25B4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A7FB84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 xml:space="preserve">MELATONIN </w:t>
            </w:r>
          </w:p>
          <w:p w14:paraId="48AF6080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E92778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 xml:space="preserve">Tablet 1 mg </w:t>
            </w:r>
          </w:p>
          <w:p w14:paraId="03EB18E6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 xml:space="preserve">Tablet 5 mg </w:t>
            </w:r>
          </w:p>
          <w:p w14:paraId="07482270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A1C2FE2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2919">
              <w:rPr>
                <w:rFonts w:ascii="Arial" w:hAnsi="Arial" w:cs="Arial"/>
                <w:sz w:val="20"/>
                <w:szCs w:val="20"/>
              </w:rPr>
              <w:t>Slenyto</w:t>
            </w:r>
            <w:proofErr w:type="spellEnd"/>
            <w:r w:rsidRPr="00752919">
              <w:rPr>
                <w:rFonts w:ascii="Arial" w:hAnsi="Arial" w:cs="Arial"/>
                <w:sz w:val="20"/>
                <w:szCs w:val="20"/>
              </w:rPr>
              <w:t xml:space="preserve">® </w:t>
            </w:r>
          </w:p>
          <w:p w14:paraId="56A67992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857BB0B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 xml:space="preserve">Aspen Pharmacare Australia Pty Ltd Early </w:t>
            </w:r>
          </w:p>
          <w:p w14:paraId="3ECE474F" w14:textId="77777777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E57404D" w14:textId="77777777" w:rsid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 xml:space="preserve">Matters outstanding </w:t>
            </w:r>
          </w:p>
          <w:p w14:paraId="47C5FBD8" w14:textId="54CAACE2" w:rsidR="00752919" w:rsidRP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>(New listing)</w:t>
            </w:r>
          </w:p>
          <w:p w14:paraId="0C177A44" w14:textId="119CCF36" w:rsid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BA34FA" w14:textId="3BA7685C" w:rsidR="00752919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>Insomnia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8F5674" w14:textId="50CE4664" w:rsidR="00752919" w:rsidRPr="000225B7" w:rsidRDefault="00752919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52919">
              <w:rPr>
                <w:rFonts w:ascii="Arial" w:hAnsi="Arial" w:cs="Arial"/>
                <w:sz w:val="20"/>
                <w:szCs w:val="20"/>
              </w:rPr>
              <w:t>To request an Authority Required (Telephone) listing for the treatment of insomnia in patients between the ages of 2</w:t>
            </w:r>
            <w:r w:rsidR="00581655">
              <w:rPr>
                <w:rFonts w:ascii="Arial" w:hAnsi="Arial" w:cs="Arial"/>
                <w:sz w:val="20"/>
                <w:szCs w:val="20"/>
              </w:rPr>
              <w:t> and</w:t>
            </w:r>
            <w:bookmarkStart w:id="0" w:name="_GoBack"/>
            <w:bookmarkEnd w:id="0"/>
            <w:r w:rsidRPr="00752919">
              <w:rPr>
                <w:rFonts w:ascii="Arial" w:hAnsi="Arial" w:cs="Arial"/>
                <w:sz w:val="20"/>
                <w:szCs w:val="20"/>
              </w:rPr>
              <w:t xml:space="preserve"> 18 with Smith-</w:t>
            </w:r>
            <w:proofErr w:type="spellStart"/>
            <w:r w:rsidRPr="00752919">
              <w:rPr>
                <w:rFonts w:ascii="Arial" w:hAnsi="Arial" w:cs="Arial"/>
                <w:sz w:val="20"/>
                <w:szCs w:val="20"/>
              </w:rPr>
              <w:t>Magenis</w:t>
            </w:r>
            <w:proofErr w:type="spellEnd"/>
            <w:r w:rsidRPr="00752919">
              <w:rPr>
                <w:rFonts w:ascii="Arial" w:hAnsi="Arial" w:cs="Arial"/>
                <w:sz w:val="20"/>
                <w:szCs w:val="20"/>
              </w:rPr>
              <w:t xml:space="preserve"> syndrome.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6EE3" w14:textId="727E6123" w:rsidR="00752919" w:rsidRDefault="00752919" w:rsidP="00872AC0">
            <w:pPr>
              <w:pStyle w:val="Header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Recommended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ED7" w14:textId="379B53D6" w:rsidR="00752919" w:rsidRPr="00752919" w:rsidRDefault="00752919" w:rsidP="00752919">
            <w:pPr>
              <w:pStyle w:val="3-BodyText"/>
              <w:numPr>
                <w:ilvl w:val="0"/>
                <w:numId w:val="0"/>
              </w:num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75291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The PBAC recommended the listing of melatonin for the treatment of insomnia in patients with Smith-</w:t>
            </w:r>
            <w:proofErr w:type="spellStart"/>
            <w:r w:rsidRPr="0075291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Magenis</w:t>
            </w:r>
            <w:proofErr w:type="spellEnd"/>
            <w:r w:rsidRPr="00752919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 Syndrome. The PBAC’s recommendation for listing was based on, among other matters, its assessment that the cost-effectiveness of melatonin in this population would be acceptable at the </w:t>
            </w:r>
            <w:r w:rsidR="002E4E82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price proposed by the sponsor.</w:t>
            </w:r>
          </w:p>
          <w:p w14:paraId="564EF6FF" w14:textId="77777777" w:rsidR="00752919" w:rsidRPr="000225B7" w:rsidRDefault="00752919" w:rsidP="00682A1C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5B7" w:rsidRPr="009721E5" w14:paraId="5C04EB92" w14:textId="77777777" w:rsidTr="00752919">
        <w:trPr>
          <w:trHeight w:val="2429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7876E3D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RIBAVIRIN</w:t>
            </w:r>
          </w:p>
          <w:p w14:paraId="00A20F23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C70E03A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Tablet 200 mg</w:t>
            </w:r>
          </w:p>
          <w:p w14:paraId="7DF7A464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D171470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Ibavyr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®</w:t>
            </w:r>
          </w:p>
          <w:p w14:paraId="34CB7DA2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1427049" w14:textId="052D6075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Clinect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Pty Ltd</w:t>
            </w:r>
          </w:p>
          <w:p w14:paraId="38DA1F94" w14:textId="77777777" w:rsidR="00EE25B4" w:rsidRDefault="00EE25B4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6F1A440" w14:textId="75509092" w:rsidR="000225B7" w:rsidRDefault="004A0AA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11614E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usiness</w:t>
            </w:r>
          </w:p>
          <w:p w14:paraId="4B559E73" w14:textId="77777777" w:rsidR="000225B7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(New strength)</w:t>
            </w:r>
          </w:p>
          <w:p w14:paraId="7F16C90D" w14:textId="2FE3A59F" w:rsidR="00E87EE2" w:rsidRPr="00872AC0" w:rsidRDefault="00E87EE2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82BE3D9" w14:textId="70F4399F" w:rsidR="000225B7" w:rsidRPr="00872AC0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Chronic hepatitis C infection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D0B381" w14:textId="7033BCA1" w:rsidR="000225B7" w:rsidRPr="00872AC0" w:rsidRDefault="000225B7" w:rsidP="00872AC0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25B7">
              <w:rPr>
                <w:rFonts w:ascii="Arial" w:hAnsi="Arial" w:cs="Arial"/>
                <w:sz w:val="20"/>
                <w:szCs w:val="20"/>
              </w:rPr>
              <w:t>To request the listing of ribavirin (</w:t>
            </w:r>
            <w:proofErr w:type="spellStart"/>
            <w:r w:rsidRPr="000225B7">
              <w:rPr>
                <w:rFonts w:ascii="Arial" w:hAnsi="Arial" w:cs="Arial"/>
                <w:sz w:val="20"/>
                <w:szCs w:val="20"/>
              </w:rPr>
              <w:t>Ibavyr</w:t>
            </w:r>
            <w:proofErr w:type="spellEnd"/>
            <w:r w:rsidRPr="000225B7">
              <w:rPr>
                <w:rFonts w:ascii="Arial" w:hAnsi="Arial" w:cs="Arial"/>
                <w:sz w:val="20"/>
                <w:szCs w:val="20"/>
              </w:rPr>
              <w:t>®) 200 mg tablets (100</w:t>
            </w:r>
            <w:r w:rsidR="00682A1C">
              <w:rPr>
                <w:rFonts w:ascii="Arial" w:hAnsi="Arial" w:cs="Arial"/>
                <w:sz w:val="20"/>
                <w:szCs w:val="20"/>
              </w:rPr>
              <w:t> </w:t>
            </w:r>
            <w:r w:rsidRPr="000225B7">
              <w:rPr>
                <w:rFonts w:ascii="Arial" w:hAnsi="Arial" w:cs="Arial"/>
                <w:sz w:val="20"/>
                <w:szCs w:val="20"/>
              </w:rPr>
              <w:t>pack) on the PBS under the same conditions as the currently listed ribavirin 400 mg and 600 mg tablets.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3420" w14:textId="543BB142" w:rsidR="000225B7" w:rsidRPr="00872AC0" w:rsidRDefault="000225B7" w:rsidP="00872AC0">
            <w:pPr>
              <w:pStyle w:val="Header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Recommended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AEC7" w14:textId="2EC72E8C" w:rsidR="000225B7" w:rsidRPr="00872AC0" w:rsidRDefault="000225B7" w:rsidP="00682A1C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225B7">
              <w:rPr>
                <w:rFonts w:ascii="Arial" w:hAnsi="Arial" w:cs="Arial"/>
                <w:sz w:val="20"/>
                <w:szCs w:val="20"/>
              </w:rPr>
              <w:t>The PBAC recommended the listing of ribavirin (</w:t>
            </w:r>
            <w:proofErr w:type="spellStart"/>
            <w:r w:rsidRPr="000225B7">
              <w:rPr>
                <w:rFonts w:ascii="Arial" w:hAnsi="Arial" w:cs="Arial"/>
                <w:sz w:val="20"/>
                <w:szCs w:val="20"/>
              </w:rPr>
              <w:t>Ibavyr</w:t>
            </w:r>
            <w:proofErr w:type="spellEnd"/>
            <w:r w:rsidRPr="000225B7">
              <w:rPr>
                <w:rFonts w:ascii="Arial" w:hAnsi="Arial" w:cs="Arial"/>
                <w:sz w:val="20"/>
                <w:szCs w:val="20"/>
              </w:rPr>
              <w:t>®) 200 mg tablets (100 pack) on the PBS under the same conditions as the currently listed ribavirin 400</w:t>
            </w:r>
            <w:r w:rsidR="004A0AA7">
              <w:rPr>
                <w:rFonts w:ascii="Arial" w:hAnsi="Arial" w:cs="Arial"/>
                <w:sz w:val="20"/>
                <w:szCs w:val="20"/>
              </w:rPr>
              <w:t> </w:t>
            </w:r>
            <w:r w:rsidRPr="000225B7">
              <w:rPr>
                <w:rFonts w:ascii="Arial" w:hAnsi="Arial" w:cs="Arial"/>
                <w:sz w:val="20"/>
                <w:szCs w:val="20"/>
              </w:rPr>
              <w:t xml:space="preserve">mg and 600 mg tablets but with a maximum quantity of 200 tablets and a maximum of two repeats. This </w:t>
            </w:r>
            <w:r w:rsidR="00682A1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0225B7">
              <w:rPr>
                <w:rFonts w:ascii="Arial" w:hAnsi="Arial" w:cs="Arial"/>
                <w:sz w:val="20"/>
                <w:szCs w:val="20"/>
              </w:rPr>
              <w:t xml:space="preserve">provide one months’ supply per dispensing at the maximum dose and </w:t>
            </w:r>
            <w:r w:rsidR="00682A1C">
              <w:rPr>
                <w:rFonts w:ascii="Arial" w:hAnsi="Arial" w:cs="Arial"/>
                <w:sz w:val="20"/>
                <w:szCs w:val="20"/>
              </w:rPr>
              <w:t xml:space="preserve">will be </w:t>
            </w:r>
            <w:r w:rsidRPr="000225B7">
              <w:rPr>
                <w:rFonts w:ascii="Arial" w:hAnsi="Arial" w:cs="Arial"/>
                <w:sz w:val="20"/>
                <w:szCs w:val="20"/>
              </w:rPr>
              <w:t>enough to complete the treatment course for the available PBS listed hepatitis C regimens.</w:t>
            </w:r>
          </w:p>
        </w:tc>
      </w:tr>
      <w:tr w:rsidR="003F12C2" w:rsidRPr="009721E5" w14:paraId="4F7AEABF" w14:textId="77777777" w:rsidTr="00752919">
        <w:trPr>
          <w:trHeight w:val="2381"/>
        </w:trPr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7A166C" w14:textId="77777777" w:rsidR="003F12C2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2AC0">
              <w:rPr>
                <w:rFonts w:ascii="Arial" w:hAnsi="Arial" w:cs="Arial"/>
                <w:sz w:val="20"/>
                <w:szCs w:val="20"/>
              </w:rPr>
              <w:t>UPADACITINIB</w:t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  <w:t>Tablet 15 mg</w:t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  <w:t>Tablet 30 mg</w:t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2AC0">
              <w:rPr>
                <w:rFonts w:ascii="Arial" w:hAnsi="Arial" w:cs="Arial"/>
                <w:sz w:val="20"/>
                <w:szCs w:val="20"/>
              </w:rPr>
              <w:t>Rinvoq</w:t>
            </w:r>
            <w:proofErr w:type="spellEnd"/>
            <w:r w:rsidRPr="00872AC0">
              <w:rPr>
                <w:rFonts w:ascii="Arial" w:hAnsi="Arial" w:cs="Arial"/>
                <w:sz w:val="20"/>
                <w:szCs w:val="20"/>
              </w:rPr>
              <w:t>®</w:t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872AC0">
              <w:rPr>
                <w:rFonts w:ascii="Arial" w:hAnsi="Arial" w:cs="Arial"/>
                <w:sz w:val="20"/>
                <w:szCs w:val="20"/>
              </w:rPr>
              <w:t>Abbvie</w:t>
            </w:r>
            <w:proofErr w:type="spellEnd"/>
            <w:r w:rsidRPr="00872AC0">
              <w:rPr>
                <w:rFonts w:ascii="Arial" w:hAnsi="Arial" w:cs="Arial"/>
                <w:sz w:val="20"/>
                <w:szCs w:val="20"/>
              </w:rPr>
              <w:t xml:space="preserve"> Pty Ltd</w:t>
            </w:r>
          </w:p>
          <w:p w14:paraId="12BAE49D" w14:textId="77777777" w:rsidR="003F12C2" w:rsidRPr="00872AC0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96624D" w14:textId="26E10812" w:rsidR="003F12C2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Matters outstanding</w:t>
            </w:r>
            <w:r w:rsidRPr="00872AC0">
              <w:rPr>
                <w:rFonts w:ascii="Arial" w:hAnsi="Arial" w:cs="Arial"/>
                <w:sz w:val="20"/>
                <w:szCs w:val="20"/>
              </w:rPr>
              <w:br/>
              <w:t>(Change to listing)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345DECA" w14:textId="21FF5463" w:rsidR="003F12C2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2AC0">
              <w:rPr>
                <w:rFonts w:ascii="Arial" w:hAnsi="Arial" w:cs="Arial"/>
                <w:sz w:val="20"/>
                <w:szCs w:val="20"/>
              </w:rPr>
              <w:t>Severe atopic dermatitis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80DBC6" w14:textId="7D00DA76" w:rsidR="003F12C2" w:rsidRPr="000225B7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2AC0">
              <w:rPr>
                <w:rFonts w:ascii="Arial" w:hAnsi="Arial" w:cs="Arial"/>
                <w:sz w:val="20"/>
                <w:szCs w:val="20"/>
              </w:rPr>
              <w:t>To request a General Schedule, Authority Required</w:t>
            </w:r>
            <w:r w:rsidR="00E87EE2">
              <w:rPr>
                <w:rFonts w:ascii="Arial" w:hAnsi="Arial" w:cs="Arial"/>
                <w:sz w:val="20"/>
                <w:szCs w:val="20"/>
              </w:rPr>
              <w:t xml:space="preserve"> (Telephone)</w:t>
            </w:r>
            <w:r w:rsidRPr="00872AC0">
              <w:rPr>
                <w:rFonts w:ascii="Arial" w:hAnsi="Arial" w:cs="Arial"/>
                <w:sz w:val="20"/>
                <w:szCs w:val="20"/>
              </w:rPr>
              <w:t xml:space="preserve"> listing for the treatment of severe atopic dermatitis.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2674" w14:textId="6A3EEAB8" w:rsidR="003F12C2" w:rsidRDefault="003F12C2" w:rsidP="003F12C2">
            <w:pPr>
              <w:pStyle w:val="Header"/>
              <w:jc w:val="left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872AC0">
              <w:rPr>
                <w:rFonts w:ascii="Arial" w:hAnsi="Arial" w:cs="Arial"/>
                <w:snapToGrid w:val="0"/>
                <w:sz w:val="20"/>
                <w:szCs w:val="20"/>
              </w:rPr>
              <w:t>Recommended</w:t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CB7" w14:textId="0ABF82EB" w:rsidR="003F12C2" w:rsidRPr="000225B7" w:rsidRDefault="003F12C2" w:rsidP="003F12C2">
            <w:pPr>
              <w:pStyle w:val="Header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72AC0">
              <w:rPr>
                <w:rFonts w:ascii="Arial" w:hAnsi="Arial" w:cs="Arial"/>
                <w:sz w:val="20"/>
                <w:szCs w:val="20"/>
              </w:rPr>
              <w:t xml:space="preserve">The PBAC recommended the listing of </w:t>
            </w:r>
            <w:proofErr w:type="spellStart"/>
            <w:r w:rsidRPr="00872AC0">
              <w:rPr>
                <w:rFonts w:ascii="Arial" w:hAnsi="Arial" w:cs="Arial"/>
                <w:sz w:val="20"/>
                <w:szCs w:val="20"/>
              </w:rPr>
              <w:t>upadacitinib</w:t>
            </w:r>
            <w:proofErr w:type="spellEnd"/>
            <w:r w:rsidRPr="00872AC0">
              <w:rPr>
                <w:rFonts w:ascii="Arial" w:hAnsi="Arial" w:cs="Arial"/>
                <w:sz w:val="20"/>
                <w:szCs w:val="20"/>
              </w:rPr>
              <w:t xml:space="preserve"> for severe atopic dermatitis. The PBAC’s recommendation for listing was based on, among other matters, its assessment, that the cost-effectiveness of </w:t>
            </w:r>
            <w:proofErr w:type="spellStart"/>
            <w:r w:rsidRPr="00872AC0">
              <w:rPr>
                <w:rFonts w:ascii="Arial" w:hAnsi="Arial" w:cs="Arial"/>
                <w:sz w:val="20"/>
                <w:szCs w:val="20"/>
              </w:rPr>
              <w:t>upadacitinib</w:t>
            </w:r>
            <w:proofErr w:type="spellEnd"/>
            <w:r w:rsidRPr="00872AC0">
              <w:rPr>
                <w:rFonts w:ascii="Arial" w:hAnsi="Arial" w:cs="Arial"/>
                <w:sz w:val="20"/>
                <w:szCs w:val="20"/>
              </w:rPr>
              <w:t xml:space="preserve"> 15 mg or 30 mg would be acceptable if it were cost-minimised against dupilumab.</w:t>
            </w:r>
          </w:p>
        </w:tc>
      </w:tr>
    </w:tbl>
    <w:p w14:paraId="4AEC24E5" w14:textId="77777777" w:rsidR="00280050" w:rsidRDefault="00280050" w:rsidP="00362EA2">
      <w:pPr>
        <w:jc w:val="left"/>
      </w:pPr>
    </w:p>
    <w:sectPr w:rsidR="00280050" w:rsidSect="00752919">
      <w:headerReference w:type="default" r:id="rId7"/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2EE5E" w14:textId="77777777" w:rsidR="00362EA2" w:rsidRDefault="00362EA2" w:rsidP="00362EA2">
      <w:r>
        <w:separator/>
      </w:r>
    </w:p>
  </w:endnote>
  <w:endnote w:type="continuationSeparator" w:id="0">
    <w:p w14:paraId="343B3BE6" w14:textId="77777777" w:rsidR="00362EA2" w:rsidRDefault="00362EA2" w:rsidP="003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1B386" w14:textId="77777777" w:rsidR="00362EA2" w:rsidRDefault="00362EA2" w:rsidP="00362EA2">
      <w:r>
        <w:separator/>
      </w:r>
    </w:p>
  </w:footnote>
  <w:footnote w:type="continuationSeparator" w:id="0">
    <w:p w14:paraId="29592BB9" w14:textId="77777777" w:rsidR="00362EA2" w:rsidRDefault="00362EA2" w:rsidP="0036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34BB3" w14:textId="77777777" w:rsidR="00362EA2" w:rsidRPr="00362EA2" w:rsidRDefault="00362EA2" w:rsidP="00362EA2">
    <w:pPr>
      <w:pStyle w:val="Header"/>
      <w:rPr>
        <w:rFonts w:ascii="Arial" w:hAnsi="Arial" w:cs="Arial"/>
        <w:b/>
        <w:snapToGrid w:val="0"/>
        <w:sz w:val="20"/>
        <w:szCs w:val="20"/>
      </w:rPr>
    </w:pPr>
    <w:r w:rsidRPr="00DE0821">
      <w:rPr>
        <w:rFonts w:ascii="Arial" w:hAnsi="Arial" w:cs="Arial"/>
        <w:b/>
        <w:snapToGrid w:val="0"/>
        <w:sz w:val="20"/>
        <w:szCs w:val="20"/>
      </w:rPr>
      <w:t xml:space="preserve">ITEMS RECOMMENDED </w:t>
    </w:r>
    <w:r>
      <w:rPr>
        <w:rFonts w:ascii="Arial" w:hAnsi="Arial" w:cs="Arial"/>
        <w:b/>
        <w:snapToGrid w:val="0"/>
        <w:sz w:val="20"/>
        <w:szCs w:val="20"/>
      </w:rPr>
      <w:t>BETWEEN ORDINARY MEETINGS (</w:t>
    </w:r>
    <w:r w:rsidR="00DC1DB5">
      <w:rPr>
        <w:rFonts w:ascii="Arial" w:hAnsi="Arial" w:cs="Arial"/>
        <w:b/>
        <w:snapToGrid w:val="0"/>
        <w:sz w:val="20"/>
        <w:szCs w:val="20"/>
      </w:rPr>
      <w:t>JULY 2021 - NOVEMBER 2021</w:t>
    </w:r>
    <w:r>
      <w:rPr>
        <w:rFonts w:ascii="Arial" w:hAnsi="Arial" w:cs="Arial"/>
        <w:b/>
        <w:snapToGrid w:val="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72F"/>
    <w:multiLevelType w:val="hybridMultilevel"/>
    <w:tmpl w:val="A8F2DD80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5B18"/>
    <w:multiLevelType w:val="hybridMultilevel"/>
    <w:tmpl w:val="BBD67D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C5FFD"/>
    <w:multiLevelType w:val="multilevel"/>
    <w:tmpl w:val="5DBA10CA"/>
    <w:lvl w:ilvl="0">
      <w:start w:val="1"/>
      <w:numFmt w:val="decimal"/>
      <w:pStyle w:val="2-SectionHeading"/>
      <w:lvlText w:val="%1"/>
      <w:lvlJc w:val="left"/>
      <w:pPr>
        <w:ind w:left="720" w:hanging="720"/>
      </w:pPr>
    </w:lvl>
    <w:lvl w:ilvl="1">
      <w:start w:val="1"/>
      <w:numFmt w:val="decimal"/>
      <w:pStyle w:val="3-BodyText"/>
      <w:lvlText w:val="%1.%2"/>
      <w:lvlJc w:val="left"/>
      <w:pPr>
        <w:ind w:left="720" w:hanging="720"/>
      </w:pPr>
      <w:rPr>
        <w:i w:val="0"/>
        <w:iCs/>
        <w:color w:val="auto"/>
      </w:rPr>
    </w:lvl>
    <w:lvl w:ilvl="2">
      <w:start w:val="1"/>
      <w:numFmt w:val="lowerRoman"/>
      <w:lvlText w:val="%3."/>
      <w:lvlJc w:val="right"/>
      <w:pPr>
        <w:ind w:left="2517" w:hanging="177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66"/>
    <w:rsid w:val="000225B7"/>
    <w:rsid w:val="000B5C10"/>
    <w:rsid w:val="001003A6"/>
    <w:rsid w:val="0011614E"/>
    <w:rsid w:val="0014337F"/>
    <w:rsid w:val="00193999"/>
    <w:rsid w:val="001D51BD"/>
    <w:rsid w:val="00200E0D"/>
    <w:rsid w:val="00280050"/>
    <w:rsid w:val="002E4E82"/>
    <w:rsid w:val="00362EA2"/>
    <w:rsid w:val="003F12C2"/>
    <w:rsid w:val="0043349F"/>
    <w:rsid w:val="00435693"/>
    <w:rsid w:val="00444D35"/>
    <w:rsid w:val="004A0AA7"/>
    <w:rsid w:val="004E33EF"/>
    <w:rsid w:val="00521335"/>
    <w:rsid w:val="005660BF"/>
    <w:rsid w:val="00581655"/>
    <w:rsid w:val="00584AF4"/>
    <w:rsid w:val="005F3512"/>
    <w:rsid w:val="00682A1C"/>
    <w:rsid w:val="00752919"/>
    <w:rsid w:val="00760F63"/>
    <w:rsid w:val="007B0EAF"/>
    <w:rsid w:val="007B5622"/>
    <w:rsid w:val="007C5A2C"/>
    <w:rsid w:val="00872AC0"/>
    <w:rsid w:val="00882F5E"/>
    <w:rsid w:val="008A0C56"/>
    <w:rsid w:val="008C0C97"/>
    <w:rsid w:val="00956CCF"/>
    <w:rsid w:val="009C78B5"/>
    <w:rsid w:val="00C366EB"/>
    <w:rsid w:val="00C60770"/>
    <w:rsid w:val="00D50C95"/>
    <w:rsid w:val="00D64566"/>
    <w:rsid w:val="00D73B46"/>
    <w:rsid w:val="00DC1DB5"/>
    <w:rsid w:val="00E5153E"/>
    <w:rsid w:val="00E87EE2"/>
    <w:rsid w:val="00ED351A"/>
    <w:rsid w:val="00EE05E4"/>
    <w:rsid w:val="00EE25B4"/>
    <w:rsid w:val="00F001C1"/>
    <w:rsid w:val="00F14D6C"/>
    <w:rsid w:val="00FA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C13E"/>
  <w15:chartTrackingRefBased/>
  <w15:docId w15:val="{EA42C5F3-E2AA-4336-A37D-47AF861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66"/>
    <w:pPr>
      <w:spacing w:after="0" w:line="240" w:lineRule="auto"/>
      <w:jc w:val="both"/>
    </w:pPr>
    <w:rPr>
      <w:rFonts w:ascii="Calibri" w:eastAsia="Times New Roman" w:hAnsi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Header title,he=header,cntr/bld"/>
    <w:basedOn w:val="Normal"/>
    <w:link w:val="HeaderChar"/>
    <w:qFormat/>
    <w:rsid w:val="00D64566"/>
    <w:pPr>
      <w:keepNext/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rsid w:val="00D64566"/>
    <w:rPr>
      <w:rFonts w:ascii="Calibri" w:eastAsia="Times New Roman" w:hAnsi="Calibri"/>
      <w:lang w:eastAsia="en-AU"/>
    </w:rPr>
  </w:style>
  <w:style w:type="paragraph" w:styleId="ListParagraph">
    <w:name w:val="List Paragraph"/>
    <w:aliases w:val="BulletPoints,Numbered para,Body Text Bullet Points,List Paragraph1,Bullet point,List Paragraph11,Recommendation,Section heading,Footnote,L,Bullet Point,Bulletr List Paragraph,Content descriptions,FooterText,List Bullet 1,List Paragraph2"/>
    <w:next w:val="ListBullet"/>
    <w:link w:val="ListParagraphChar"/>
    <w:uiPriority w:val="72"/>
    <w:qFormat/>
    <w:rsid w:val="00D64566"/>
    <w:pPr>
      <w:spacing w:after="120" w:line="240" w:lineRule="auto"/>
      <w:ind w:left="1134" w:hanging="357"/>
    </w:pPr>
    <w:rPr>
      <w:rFonts w:asciiTheme="minorHAnsi" w:eastAsia="Times New Roman" w:hAnsiTheme="minorHAnsi" w:cs="Arial"/>
      <w:snapToGrid w:val="0"/>
      <w:lang w:eastAsia="en-AU"/>
    </w:rPr>
  </w:style>
  <w:style w:type="character" w:customStyle="1" w:styleId="ListParagraphChar">
    <w:name w:val="List Paragraph Char"/>
    <w:aliases w:val="BulletPoints Char,Numbered para Char,Body Text Bullet Points Char,List Paragraph1 Char,Bullet point Char,List Paragraph11 Char,Recommendation Char,Section heading Char,Footnote Char,L Char,Bullet Point Char,Content descriptions Char"/>
    <w:basedOn w:val="DefaultParagraphFont"/>
    <w:link w:val="ListParagraph"/>
    <w:uiPriority w:val="72"/>
    <w:qFormat/>
    <w:rsid w:val="00D64566"/>
    <w:rPr>
      <w:rFonts w:asciiTheme="minorHAnsi" w:eastAsia="Times New Roman" w:hAnsiTheme="minorHAnsi" w:cs="Arial"/>
      <w:snapToGrid w:val="0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D64566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362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EA2"/>
    <w:rPr>
      <w:rFonts w:ascii="Calibri" w:eastAsia="Times New Roman" w:hAnsi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A2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C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DB5"/>
    <w:rPr>
      <w:rFonts w:ascii="Calibri" w:eastAsia="Times New Roman" w:hAnsi="Calibri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DB5"/>
    <w:rPr>
      <w:rFonts w:ascii="Calibri" w:eastAsia="Times New Roman" w:hAnsi="Calibri"/>
      <w:b/>
      <w:bCs/>
      <w:sz w:val="20"/>
      <w:szCs w:val="20"/>
      <w:lang w:eastAsia="en-AU"/>
    </w:rPr>
  </w:style>
  <w:style w:type="paragraph" w:customStyle="1" w:styleId="2-SectionHeading">
    <w:name w:val="2-Section Heading"/>
    <w:basedOn w:val="Normal"/>
    <w:rsid w:val="00752919"/>
    <w:pPr>
      <w:keepNext/>
      <w:numPr>
        <w:numId w:val="3"/>
      </w:numPr>
      <w:snapToGrid w:val="0"/>
      <w:spacing w:before="240" w:after="120"/>
      <w:jc w:val="left"/>
    </w:pPr>
    <w:rPr>
      <w:rFonts w:eastAsiaTheme="minorHAnsi" w:cs="Calibri"/>
      <w:b/>
      <w:bCs/>
      <w:sz w:val="32"/>
      <w:szCs w:val="32"/>
    </w:rPr>
  </w:style>
  <w:style w:type="character" w:customStyle="1" w:styleId="3-BodyTextChar">
    <w:name w:val="3-Body Text Char"/>
    <w:basedOn w:val="DefaultParagraphFont"/>
    <w:link w:val="3-BodyText"/>
    <w:locked/>
    <w:rsid w:val="00752919"/>
    <w:rPr>
      <w:rFonts w:ascii="Calibri" w:hAnsi="Calibri" w:cs="Calibri"/>
    </w:rPr>
  </w:style>
  <w:style w:type="paragraph" w:customStyle="1" w:styleId="3-BodyText">
    <w:name w:val="3-Body Text"/>
    <w:basedOn w:val="Normal"/>
    <w:link w:val="3-BodyTextChar"/>
    <w:rsid w:val="00752919"/>
    <w:pPr>
      <w:numPr>
        <w:ilvl w:val="1"/>
        <w:numId w:val="3"/>
      </w:numPr>
      <w:spacing w:after="120"/>
    </w:pPr>
    <w:rPr>
      <w:rFonts w:eastAsiaTheme="minorHAns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Judy</dc:creator>
  <cp:keywords/>
  <dc:description/>
  <cp:lastModifiedBy>TRAN, Judy</cp:lastModifiedBy>
  <cp:revision>22</cp:revision>
  <dcterms:created xsi:type="dcterms:W3CDTF">2021-02-19T01:52:00Z</dcterms:created>
  <dcterms:modified xsi:type="dcterms:W3CDTF">2021-12-13T05:50:00Z</dcterms:modified>
</cp:coreProperties>
</file>