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8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1700"/>
        <w:gridCol w:w="3120"/>
        <w:gridCol w:w="6943"/>
      </w:tblGrid>
      <w:tr w:rsidR="00D64566" w:rsidRPr="009721E5" w:rsidTr="0052133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4566" w:rsidRPr="009721E5" w:rsidRDefault="00D64566" w:rsidP="00521335">
            <w:pPr>
              <w:keepLines/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z w:val="20"/>
                <w:szCs w:val="20"/>
              </w:rPr>
              <w:t>SPONSOR, TYPE OF SUBMISSION</w:t>
            </w:r>
          </w:p>
          <w:p w:rsidR="00D64566" w:rsidRPr="009721E5" w:rsidRDefault="00D64566" w:rsidP="00521335">
            <w:pPr>
              <w:keepLines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4566" w:rsidRPr="009721E5" w:rsidRDefault="00D64566" w:rsidP="00521335">
            <w:pPr>
              <w:keepLines/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napToGrid w:val="0"/>
                <w:sz w:val="20"/>
                <w:szCs w:val="20"/>
              </w:rPr>
              <w:t>DRUG TYPE AND USE</w:t>
            </w:r>
          </w:p>
          <w:p w:rsidR="00D64566" w:rsidRPr="009721E5" w:rsidRDefault="00D64566" w:rsidP="00521335">
            <w:pPr>
              <w:keepLines/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64566" w:rsidRPr="009721E5" w:rsidRDefault="00D64566" w:rsidP="00521335">
            <w:pPr>
              <w:keepLines/>
              <w:widowControl w:val="0"/>
              <w:jc w:val="center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napToGrid w:val="0"/>
                <w:sz w:val="20"/>
                <w:szCs w:val="20"/>
              </w:rPr>
              <w:t>LISTING REQUESTED BY SPONSOR / PURPOSE OF SUBMISSION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566" w:rsidRPr="009721E5" w:rsidRDefault="00D64566" w:rsidP="00521335">
            <w:pPr>
              <w:pStyle w:val="Header"/>
              <w:keepLines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9721E5">
              <w:rPr>
                <w:rFonts w:ascii="Arial" w:hAnsi="Arial" w:cs="Arial"/>
                <w:b/>
                <w:snapToGrid w:val="0"/>
                <w:sz w:val="20"/>
                <w:szCs w:val="20"/>
              </w:rPr>
              <w:t>PBAC OUTCOME</w:t>
            </w:r>
          </w:p>
        </w:tc>
      </w:tr>
      <w:tr w:rsidR="00362EA2" w:rsidRPr="009721E5" w:rsidTr="00521335"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D1D12" w:rsidRPr="00ED1D12" w:rsidRDefault="00ED1D12" w:rsidP="00ED1D12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 xml:space="preserve">INDACATEROL + GLYCOPYRRONIUM + MOMETASONE </w:t>
            </w:r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Capsule containing powder for oral inhalation </w:t>
            </w:r>
            <w:proofErr w:type="spellStart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mometasone</w:t>
            </w:r>
            <w:proofErr w:type="spellEnd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furoate</w:t>
            </w:r>
            <w:proofErr w:type="spellEnd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 xml:space="preserve"> 80 micrograms with </w:t>
            </w:r>
            <w:proofErr w:type="spellStart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indacaterol</w:t>
            </w:r>
            <w:proofErr w:type="spellEnd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 xml:space="preserve"> 150 micrograms (as acetate) with </w:t>
            </w:r>
            <w:proofErr w:type="spellStart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glycopyrronium</w:t>
            </w:r>
            <w:proofErr w:type="spellEnd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 xml:space="preserve"> 50 micrograms (as bromide) (for use in </w:t>
            </w:r>
            <w:proofErr w:type="spellStart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Breezhaler</w:t>
            </w:r>
            <w:proofErr w:type="spellEnd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Capsule containing powder for oral inhalation </w:t>
            </w:r>
            <w:proofErr w:type="spellStart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mometasone</w:t>
            </w:r>
            <w:proofErr w:type="spellEnd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furoate</w:t>
            </w:r>
            <w:proofErr w:type="spellEnd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 xml:space="preserve"> 160 micrograms  with </w:t>
            </w:r>
            <w:proofErr w:type="spellStart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indacaterol</w:t>
            </w:r>
            <w:proofErr w:type="spellEnd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 xml:space="preserve"> 150 micrograms (as acetate) with </w:t>
            </w:r>
            <w:proofErr w:type="spellStart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glycopyrronium</w:t>
            </w:r>
            <w:proofErr w:type="spellEnd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 xml:space="preserve"> 50 micrograms (as bromide) (for use in </w:t>
            </w:r>
            <w:proofErr w:type="spellStart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Breezhaler</w:t>
            </w:r>
            <w:proofErr w:type="spellEnd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proofErr w:type="spellStart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Enerzair</w:t>
            </w:r>
            <w:proofErr w:type="spellEnd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Breezhaler</w:t>
            </w:r>
            <w:proofErr w:type="spellEnd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®</w:t>
            </w:r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br/>
              <w:t>Novartis Pharmaceuticals Australia Pty Ltd</w:t>
            </w:r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br/>
              <w:t>New listing</w:t>
            </w:r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br/>
              <w:t>(Major Submission)</w:t>
            </w:r>
          </w:p>
          <w:p w:rsidR="00362EA2" w:rsidRPr="00ED1D12" w:rsidRDefault="00362EA2" w:rsidP="00ED1D12">
            <w:pPr>
              <w:keepLines/>
              <w:widowControl w:val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2EA2" w:rsidRPr="00ED1D12" w:rsidRDefault="00ED1D12" w:rsidP="00ED1D12">
            <w:pPr>
              <w:keepLines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Asthma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362EA2" w:rsidRPr="00ED1D12" w:rsidRDefault="00ED1D12" w:rsidP="00ED1D12">
            <w:pPr>
              <w:keepLines/>
              <w:widowControl w:val="0"/>
              <w:jc w:val="lef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 xml:space="preserve">To request an Authority Required (STREAMLINED) listing for the treatment of patients with severe asthma who </w:t>
            </w:r>
            <w:proofErr w:type="gramStart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>are inadequately controlled</w:t>
            </w:r>
            <w:proofErr w:type="gramEnd"/>
            <w:r w:rsidRPr="00ED1D12">
              <w:rPr>
                <w:rFonts w:ascii="Arial" w:hAnsi="Arial" w:cs="Arial"/>
                <w:color w:val="000000"/>
                <w:sz w:val="20"/>
                <w:szCs w:val="20"/>
              </w:rPr>
              <w:t xml:space="preserve"> on a long acting beta agonist in combination with an inhaled corticosteroid (LABA/ICS).</w:t>
            </w:r>
          </w:p>
        </w:tc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D12" w:rsidRPr="00ED1D12" w:rsidRDefault="00ED1D12" w:rsidP="00ED1D12">
            <w:pPr>
              <w:keepLines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D1D12">
              <w:rPr>
                <w:rFonts w:ascii="Arial" w:hAnsi="Arial" w:cs="Arial"/>
                <w:sz w:val="20"/>
                <w:szCs w:val="20"/>
              </w:rPr>
              <w:t xml:space="preserve">The PBAC recommended the Authority Required (Telephone/Electronic/Emergency) listing of </w:t>
            </w:r>
            <w:proofErr w:type="spellStart"/>
            <w:r w:rsidRPr="00ED1D12">
              <w:rPr>
                <w:rFonts w:ascii="Arial" w:hAnsi="Arial" w:cs="Arial"/>
                <w:sz w:val="20"/>
                <w:szCs w:val="20"/>
              </w:rPr>
              <w:t>mometasone</w:t>
            </w:r>
            <w:proofErr w:type="spellEnd"/>
            <w:r w:rsidRPr="00ED1D1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D1D12">
              <w:rPr>
                <w:rFonts w:ascii="Arial" w:hAnsi="Arial" w:cs="Arial"/>
                <w:sz w:val="20"/>
                <w:szCs w:val="20"/>
              </w:rPr>
              <w:t>furoate</w:t>
            </w:r>
            <w:proofErr w:type="spellEnd"/>
            <w:r w:rsidRPr="00ED1D12">
              <w:rPr>
                <w:rFonts w:ascii="Arial" w:hAnsi="Arial" w:cs="Arial"/>
                <w:sz w:val="20"/>
                <w:szCs w:val="20"/>
              </w:rPr>
              <w:t xml:space="preserve"> (MF), with </w:t>
            </w:r>
            <w:proofErr w:type="spellStart"/>
            <w:r w:rsidRPr="00ED1D12">
              <w:rPr>
                <w:rFonts w:ascii="Arial" w:hAnsi="Arial" w:cs="Arial"/>
                <w:sz w:val="20"/>
                <w:szCs w:val="20"/>
              </w:rPr>
              <w:t>indacaterol</w:t>
            </w:r>
            <w:proofErr w:type="spellEnd"/>
            <w:r w:rsidRPr="00ED1D12">
              <w:rPr>
                <w:rFonts w:ascii="Arial" w:hAnsi="Arial" w:cs="Arial"/>
                <w:sz w:val="20"/>
                <w:szCs w:val="20"/>
              </w:rPr>
              <w:t xml:space="preserve"> acetate (IND), and </w:t>
            </w:r>
            <w:proofErr w:type="spellStart"/>
            <w:r w:rsidRPr="00ED1D12">
              <w:rPr>
                <w:rFonts w:ascii="Arial" w:hAnsi="Arial" w:cs="Arial"/>
                <w:sz w:val="20"/>
                <w:szCs w:val="20"/>
              </w:rPr>
              <w:t>glycopyrronium</w:t>
            </w:r>
            <w:proofErr w:type="spellEnd"/>
            <w:r w:rsidRPr="00ED1D12">
              <w:rPr>
                <w:rFonts w:ascii="Arial" w:hAnsi="Arial" w:cs="Arial"/>
                <w:sz w:val="20"/>
                <w:szCs w:val="20"/>
              </w:rPr>
              <w:t xml:space="preserve"> (GLY) fixed dose combination (FDC) for maintenance therapy of severe asthma. Noting the TGA has registered both medium dose MF/IND/GLY and high dose MF/IND/GLY for this indication, the PBAC was satisfied the remaining outstanding issues relating to this application were satisfactorily resolved. </w:t>
            </w:r>
          </w:p>
          <w:p w:rsidR="00ED1D12" w:rsidRPr="00ED1D12" w:rsidRDefault="00ED1D12" w:rsidP="00ED1D12">
            <w:pPr>
              <w:pStyle w:val="Header"/>
              <w:keepLines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362EA2" w:rsidRPr="00ED1D12" w:rsidRDefault="00ED1D12" w:rsidP="00ED1D12">
            <w:pPr>
              <w:pStyle w:val="Header"/>
              <w:keepLines/>
              <w:jc w:val="left"/>
              <w:rPr>
                <w:rFonts w:ascii="Arial" w:hAnsi="Arial" w:cs="Arial"/>
                <w:b/>
                <w:snapToGrid w:val="0"/>
                <w:sz w:val="20"/>
                <w:szCs w:val="20"/>
              </w:rPr>
            </w:pPr>
            <w:r w:rsidRPr="00ED1D12">
              <w:rPr>
                <w:rFonts w:ascii="Arial" w:hAnsi="Arial" w:cs="Arial"/>
                <w:sz w:val="20"/>
                <w:szCs w:val="20"/>
              </w:rPr>
              <w:t xml:space="preserve">The PBAC considered that medium and high dose MF/IND/GLY </w:t>
            </w:r>
            <w:proofErr w:type="gramStart"/>
            <w:r w:rsidRPr="00ED1D12">
              <w:rPr>
                <w:rFonts w:ascii="Arial" w:hAnsi="Arial" w:cs="Arial"/>
                <w:sz w:val="20"/>
                <w:szCs w:val="20"/>
              </w:rPr>
              <w:t>should be priced</w:t>
            </w:r>
            <w:proofErr w:type="gramEnd"/>
            <w:r w:rsidRPr="00ED1D12">
              <w:rPr>
                <w:rFonts w:ascii="Arial" w:hAnsi="Arial" w:cs="Arial"/>
                <w:sz w:val="20"/>
                <w:szCs w:val="20"/>
              </w:rPr>
              <w:t xml:space="preserve"> no higher than the lowest cost combination of respective medium and high dose ICS/LABA plus LAMA combinations.</w:t>
            </w:r>
            <w:bookmarkStart w:id="0" w:name="_GoBack"/>
            <w:bookmarkEnd w:id="0"/>
          </w:p>
        </w:tc>
      </w:tr>
    </w:tbl>
    <w:p w:rsidR="00280050" w:rsidRDefault="00280050" w:rsidP="00362EA2">
      <w:pPr>
        <w:jc w:val="left"/>
      </w:pPr>
    </w:p>
    <w:sectPr w:rsidR="00280050" w:rsidSect="00D64566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EA2" w:rsidRDefault="00362EA2" w:rsidP="00362EA2">
      <w:r>
        <w:separator/>
      </w:r>
    </w:p>
  </w:endnote>
  <w:endnote w:type="continuationSeparator" w:id="0">
    <w:p w:rsidR="00362EA2" w:rsidRDefault="00362EA2" w:rsidP="0036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EA2" w:rsidRDefault="00362EA2" w:rsidP="00362EA2">
      <w:r>
        <w:separator/>
      </w:r>
    </w:p>
  </w:footnote>
  <w:footnote w:type="continuationSeparator" w:id="0">
    <w:p w:rsidR="00362EA2" w:rsidRDefault="00362EA2" w:rsidP="0036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EA2" w:rsidRPr="00362EA2" w:rsidRDefault="00362EA2" w:rsidP="00362EA2">
    <w:pPr>
      <w:pStyle w:val="Header"/>
      <w:rPr>
        <w:rFonts w:ascii="Arial" w:hAnsi="Arial" w:cs="Arial"/>
        <w:b/>
        <w:snapToGrid w:val="0"/>
        <w:sz w:val="20"/>
        <w:szCs w:val="20"/>
      </w:rPr>
    </w:pPr>
    <w:r w:rsidRPr="00DE0821">
      <w:rPr>
        <w:rFonts w:ascii="Arial" w:hAnsi="Arial" w:cs="Arial"/>
        <w:b/>
        <w:snapToGrid w:val="0"/>
        <w:sz w:val="20"/>
        <w:szCs w:val="20"/>
      </w:rPr>
      <w:t xml:space="preserve">ITEMS RECOMMENDED </w:t>
    </w:r>
    <w:r>
      <w:rPr>
        <w:rFonts w:ascii="Arial" w:hAnsi="Arial" w:cs="Arial"/>
        <w:b/>
        <w:snapToGrid w:val="0"/>
        <w:sz w:val="20"/>
        <w:szCs w:val="20"/>
      </w:rPr>
      <w:t>BETWEEN ORDINARY MEETINGS (</w:t>
    </w:r>
    <w:r w:rsidR="00ED1D12">
      <w:rPr>
        <w:rFonts w:ascii="Arial" w:hAnsi="Arial" w:cs="Arial"/>
        <w:b/>
        <w:snapToGrid w:val="0"/>
        <w:sz w:val="20"/>
        <w:szCs w:val="20"/>
      </w:rPr>
      <w:t xml:space="preserve">JULY 2020 – </w:t>
    </w:r>
    <w:r>
      <w:rPr>
        <w:rFonts w:ascii="Arial" w:hAnsi="Arial" w:cs="Arial"/>
        <w:b/>
        <w:snapToGrid w:val="0"/>
        <w:sz w:val="20"/>
        <w:szCs w:val="20"/>
      </w:rPr>
      <w:t>NOVEMBER 2020)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072F"/>
    <w:multiLevelType w:val="hybridMultilevel"/>
    <w:tmpl w:val="A8F2DD80"/>
    <w:lvl w:ilvl="0" w:tplc="0C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566"/>
    <w:rsid w:val="000B5C10"/>
    <w:rsid w:val="0014337F"/>
    <w:rsid w:val="00193999"/>
    <w:rsid w:val="001D51BD"/>
    <w:rsid w:val="00200E0D"/>
    <w:rsid w:val="00280050"/>
    <w:rsid w:val="00362EA2"/>
    <w:rsid w:val="0043349F"/>
    <w:rsid w:val="00435693"/>
    <w:rsid w:val="00444D35"/>
    <w:rsid w:val="004E33EF"/>
    <w:rsid w:val="00521335"/>
    <w:rsid w:val="005660BF"/>
    <w:rsid w:val="00584AF4"/>
    <w:rsid w:val="005F3512"/>
    <w:rsid w:val="00760F63"/>
    <w:rsid w:val="007B5622"/>
    <w:rsid w:val="007C5A2C"/>
    <w:rsid w:val="00882F5E"/>
    <w:rsid w:val="008A0C56"/>
    <w:rsid w:val="008C0C97"/>
    <w:rsid w:val="009C78B5"/>
    <w:rsid w:val="00C366EB"/>
    <w:rsid w:val="00D64566"/>
    <w:rsid w:val="00D73B46"/>
    <w:rsid w:val="00ED1D12"/>
    <w:rsid w:val="00ED351A"/>
    <w:rsid w:val="00EE05E4"/>
    <w:rsid w:val="00F1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14385"/>
  <w15:chartTrackingRefBased/>
  <w15:docId w15:val="{EA42C5F3-E2AA-4336-A37D-47AF8610F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4566"/>
    <w:pPr>
      <w:spacing w:after="0" w:line="240" w:lineRule="auto"/>
      <w:jc w:val="both"/>
    </w:pPr>
    <w:rPr>
      <w:rFonts w:ascii="Calibri" w:eastAsia="Times New Roman" w:hAnsi="Calibri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Page Header,Header title,he=header,cntr/bld"/>
    <w:basedOn w:val="Normal"/>
    <w:link w:val="HeaderChar"/>
    <w:qFormat/>
    <w:rsid w:val="00D64566"/>
    <w:pPr>
      <w:keepNext/>
      <w:tabs>
        <w:tab w:val="center" w:pos="4513"/>
        <w:tab w:val="right" w:pos="9026"/>
      </w:tabs>
      <w:jc w:val="center"/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rsid w:val="00D64566"/>
    <w:rPr>
      <w:rFonts w:ascii="Calibri" w:eastAsia="Times New Roman" w:hAnsi="Calibri"/>
      <w:lang w:eastAsia="en-AU"/>
    </w:rPr>
  </w:style>
  <w:style w:type="paragraph" w:styleId="ListParagraph">
    <w:name w:val="List Paragraph"/>
    <w:aliases w:val="BulletPoints,Numbered para,Body Text Bullet Points,List Paragraph1,Bullet point,List Paragraph11,Recommendation,Section heading,Footnote,L,Bullet Point,Bulletr List Paragraph,Content descriptions,FooterText,List Bullet 1,List Paragraph2"/>
    <w:next w:val="ListBullet"/>
    <w:link w:val="ListParagraphChar"/>
    <w:uiPriority w:val="72"/>
    <w:qFormat/>
    <w:rsid w:val="00D64566"/>
    <w:pPr>
      <w:spacing w:after="120" w:line="240" w:lineRule="auto"/>
      <w:ind w:left="1134" w:hanging="357"/>
    </w:pPr>
    <w:rPr>
      <w:rFonts w:asciiTheme="minorHAnsi" w:eastAsia="Times New Roman" w:hAnsiTheme="minorHAnsi" w:cs="Arial"/>
      <w:snapToGrid w:val="0"/>
      <w:lang w:eastAsia="en-AU"/>
    </w:rPr>
  </w:style>
  <w:style w:type="character" w:customStyle="1" w:styleId="ListParagraphChar">
    <w:name w:val="List Paragraph Char"/>
    <w:aliases w:val="BulletPoints Char,Numbered para Char,Body Text Bullet Points Char,List Paragraph1 Char,Bullet point Char,List Paragraph11 Char,Recommendation Char,Section heading Char,Footnote Char,L Char,Bullet Point Char,Content descriptions Char"/>
    <w:basedOn w:val="DefaultParagraphFont"/>
    <w:link w:val="ListParagraph"/>
    <w:uiPriority w:val="72"/>
    <w:qFormat/>
    <w:rsid w:val="00D64566"/>
    <w:rPr>
      <w:rFonts w:asciiTheme="minorHAnsi" w:eastAsia="Times New Roman" w:hAnsiTheme="minorHAnsi" w:cs="Arial"/>
      <w:snapToGrid w:val="0"/>
      <w:lang w:eastAsia="en-AU"/>
    </w:rPr>
  </w:style>
  <w:style w:type="paragraph" w:styleId="ListBullet">
    <w:name w:val="List Bullet"/>
    <w:basedOn w:val="Normal"/>
    <w:uiPriority w:val="99"/>
    <w:semiHidden/>
    <w:unhideWhenUsed/>
    <w:rsid w:val="00D64566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unhideWhenUsed/>
    <w:rsid w:val="00362E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2EA2"/>
    <w:rPr>
      <w:rFonts w:ascii="Calibri" w:eastAsia="Times New Roman" w:hAnsi="Calibri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EA2"/>
    <w:rPr>
      <w:rFonts w:ascii="Segoe UI" w:eastAsia="Times New Roman" w:hAnsi="Segoe UI" w:cs="Segoe UI"/>
      <w:sz w:val="18"/>
      <w:szCs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TRAN, Judy</dc:creator>
  <cp:keywords/>
  <dc:description/>
  <cp:lastModifiedBy>TRAN, Judy</cp:lastModifiedBy>
  <cp:revision>5</cp:revision>
  <dcterms:created xsi:type="dcterms:W3CDTF">2021-02-19T01:52:00Z</dcterms:created>
  <dcterms:modified xsi:type="dcterms:W3CDTF">2021-03-02T10:46:00Z</dcterms:modified>
</cp:coreProperties>
</file>