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53EA2" w14:textId="77777777" w:rsidR="00E71941" w:rsidRDefault="00824DBC" w:rsidP="00F36574">
      <w:pPr>
        <w:spacing w:after="0" w:line="240" w:lineRule="auto"/>
        <w:ind w:left="-709" w:right="645"/>
        <w:jc w:val="both"/>
        <w:textAlignment w:val="baseline"/>
        <w:rPr>
          <w:rFonts w:eastAsia="Times New Roman" w:cs="Arial"/>
          <w:color w:val="000000"/>
          <w:kern w:val="0"/>
          <w:szCs w:val="20"/>
          <w:lang w:eastAsia="en-AU"/>
          <w14:ligatures w14:val="none"/>
        </w:rPr>
      </w:pPr>
      <w:r w:rsidRPr="00824DBC">
        <w:rPr>
          <w:rFonts w:eastAsia="Times New Roman" w:cs="Arial"/>
          <w:color w:val="000000"/>
          <w:kern w:val="0"/>
          <w:szCs w:val="20"/>
          <w:lang w:eastAsia="en-AU"/>
          <w14:ligatures w14:val="none"/>
        </w:rPr>
        <w:t>The PBAC outcomes and recommendations are presented in alphabetical order by drug name. </w:t>
      </w:r>
    </w:p>
    <w:p w14:paraId="758CD8C7" w14:textId="77777777" w:rsidR="00E71941" w:rsidRDefault="00E71941" w:rsidP="00E71941">
      <w:pPr>
        <w:spacing w:after="0" w:line="240" w:lineRule="auto"/>
        <w:ind w:right="645"/>
        <w:jc w:val="both"/>
        <w:textAlignment w:val="baseline"/>
        <w:rPr>
          <w:rFonts w:eastAsia="Times New Roman" w:cs="Arial"/>
          <w:color w:val="000000"/>
          <w:kern w:val="0"/>
          <w:szCs w:val="20"/>
          <w:lang w:eastAsia="en-AU"/>
          <w14:ligatures w14:val="none"/>
        </w:rPr>
      </w:pPr>
    </w:p>
    <w:tbl>
      <w:tblPr>
        <w:tblpPr w:leftFromText="180" w:rightFromText="180" w:vertAnchor="text" w:tblpXSpec="center" w:tblpY="1"/>
        <w:tblOverlap w:val="never"/>
        <w:tblW w:w="13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28" w:type="dxa"/>
        </w:tblCellMar>
        <w:tblLook w:val="01E0" w:firstRow="1" w:lastRow="1" w:firstColumn="1" w:lastColumn="1" w:noHBand="0" w:noVBand="0"/>
      </w:tblPr>
      <w:tblGrid>
        <w:gridCol w:w="2946"/>
        <w:gridCol w:w="1983"/>
        <w:gridCol w:w="2389"/>
        <w:gridCol w:w="1415"/>
        <w:gridCol w:w="4729"/>
      </w:tblGrid>
      <w:tr w:rsidR="00925B4F" w:rsidRPr="00544E10" w14:paraId="3C8B708E" w14:textId="77777777" w:rsidTr="003921D1">
        <w:trPr>
          <w:cantSplit/>
          <w:trHeight w:val="300"/>
          <w:tblHeader/>
        </w:trPr>
        <w:tc>
          <w:tcPr>
            <w:tcW w:w="2946" w:type="dxa"/>
            <w:tcMar>
              <w:top w:w="28" w:type="dxa"/>
              <w:bottom w:w="28" w:type="dxa"/>
            </w:tcMar>
            <w:vAlign w:val="center"/>
          </w:tcPr>
          <w:p w14:paraId="539A3F16" w14:textId="77777777" w:rsidR="003725E7" w:rsidRPr="00544E10" w:rsidRDefault="003725E7" w:rsidP="007A6558">
            <w:pPr>
              <w:keepLines/>
              <w:widowControl w:val="0"/>
              <w:ind w:right="-106"/>
              <w:jc w:val="center"/>
              <w:rPr>
                <w:rFonts w:asciiTheme="minorHAnsi" w:hAnsiTheme="minorHAnsi" w:cstheme="minorHAnsi"/>
                <w:b/>
                <w:sz w:val="18"/>
                <w:szCs w:val="18"/>
              </w:rPr>
            </w:pPr>
            <w:r w:rsidRPr="00544E10">
              <w:rPr>
                <w:rFonts w:asciiTheme="minorHAnsi" w:hAnsiTheme="minorHAnsi" w:cstheme="minorHAnsi"/>
                <w:b/>
                <w:sz w:val="18"/>
                <w:szCs w:val="18"/>
              </w:rPr>
              <w:t>DRUG NAME, FORM(S), STRENGTH(S), SPONSOR, TYPE OF SUBMISSION</w:t>
            </w:r>
          </w:p>
        </w:tc>
        <w:tc>
          <w:tcPr>
            <w:tcW w:w="1983" w:type="dxa"/>
            <w:tcMar>
              <w:top w:w="28" w:type="dxa"/>
              <w:bottom w:w="28" w:type="dxa"/>
            </w:tcMar>
            <w:vAlign w:val="center"/>
          </w:tcPr>
          <w:p w14:paraId="5F731186" w14:textId="77777777" w:rsidR="003725E7" w:rsidRPr="00544E10" w:rsidRDefault="003725E7" w:rsidP="007A6558">
            <w:pPr>
              <w:keepLines/>
              <w:widowControl w:val="0"/>
              <w:jc w:val="center"/>
              <w:rPr>
                <w:rFonts w:asciiTheme="minorHAnsi" w:hAnsiTheme="minorHAnsi" w:cstheme="minorHAnsi"/>
                <w:b/>
                <w:snapToGrid w:val="0"/>
                <w:sz w:val="18"/>
                <w:szCs w:val="18"/>
              </w:rPr>
            </w:pPr>
            <w:r w:rsidRPr="00544E10">
              <w:rPr>
                <w:rFonts w:asciiTheme="minorHAnsi" w:hAnsiTheme="minorHAnsi" w:cstheme="minorHAnsi"/>
                <w:b/>
                <w:snapToGrid w:val="0"/>
                <w:sz w:val="18"/>
                <w:szCs w:val="18"/>
              </w:rPr>
              <w:t>DRUG TYPE AND USE</w:t>
            </w:r>
          </w:p>
        </w:tc>
        <w:tc>
          <w:tcPr>
            <w:tcW w:w="2389" w:type="dxa"/>
            <w:tcMar>
              <w:top w:w="28" w:type="dxa"/>
              <w:bottom w:w="28" w:type="dxa"/>
            </w:tcMar>
            <w:vAlign w:val="center"/>
          </w:tcPr>
          <w:p w14:paraId="5C742183" w14:textId="77777777" w:rsidR="003725E7" w:rsidRPr="00544E10" w:rsidRDefault="003725E7" w:rsidP="007A6558">
            <w:pPr>
              <w:keepLines/>
              <w:widowControl w:val="0"/>
              <w:jc w:val="center"/>
              <w:rPr>
                <w:rFonts w:asciiTheme="minorHAnsi" w:hAnsiTheme="minorHAnsi" w:cstheme="minorHAnsi"/>
                <w:b/>
                <w:snapToGrid w:val="0"/>
                <w:sz w:val="18"/>
                <w:szCs w:val="18"/>
              </w:rPr>
            </w:pPr>
            <w:r w:rsidRPr="00544E10">
              <w:rPr>
                <w:rFonts w:asciiTheme="minorHAnsi" w:hAnsiTheme="minorHAnsi" w:cstheme="minorHAnsi"/>
                <w:b/>
                <w:snapToGrid w:val="0"/>
                <w:sz w:val="18"/>
                <w:szCs w:val="18"/>
              </w:rPr>
              <w:t>LISTING REQUESTED BY SPONSOR / PURPOSE OF SUBMISSION</w:t>
            </w:r>
          </w:p>
        </w:tc>
        <w:tc>
          <w:tcPr>
            <w:tcW w:w="6144" w:type="dxa"/>
            <w:gridSpan w:val="2"/>
            <w:vAlign w:val="center"/>
          </w:tcPr>
          <w:p w14:paraId="6E3684A4" w14:textId="77777777" w:rsidR="003725E7" w:rsidRPr="00544E10" w:rsidRDefault="003725E7" w:rsidP="009F5C5B">
            <w:pPr>
              <w:pStyle w:val="Header"/>
              <w:keepLines/>
              <w:jc w:val="center"/>
              <w:rPr>
                <w:rFonts w:asciiTheme="minorHAnsi" w:hAnsiTheme="minorHAnsi" w:cstheme="minorHAnsi"/>
                <w:b/>
                <w:bCs/>
                <w:snapToGrid w:val="0"/>
                <w:sz w:val="18"/>
                <w:szCs w:val="18"/>
              </w:rPr>
            </w:pPr>
            <w:r w:rsidRPr="00544E10">
              <w:rPr>
                <w:rFonts w:asciiTheme="minorHAnsi" w:hAnsiTheme="minorHAnsi" w:cstheme="minorHAnsi"/>
                <w:b/>
                <w:bCs/>
                <w:snapToGrid w:val="0"/>
                <w:sz w:val="18"/>
                <w:szCs w:val="18"/>
              </w:rPr>
              <w:t>PBAC OUTCOME</w:t>
            </w:r>
          </w:p>
        </w:tc>
      </w:tr>
      <w:tr w:rsidR="00C312E5" w:rsidRPr="00544E10" w14:paraId="1BF35DCE" w14:textId="77777777" w:rsidTr="003921D1">
        <w:trPr>
          <w:cantSplit/>
          <w:trHeight w:val="868"/>
        </w:trPr>
        <w:tc>
          <w:tcPr>
            <w:tcW w:w="294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C69BD7E" w14:textId="6EF4C0EE" w:rsidR="00DA7585" w:rsidRPr="005F21D6" w:rsidRDefault="00DA7585" w:rsidP="00DA7585">
            <w:pPr>
              <w:jc w:val="center"/>
              <w:rPr>
                <w:rFonts w:asciiTheme="minorHAnsi" w:hAnsiTheme="minorHAnsi" w:cstheme="minorHAnsi"/>
                <w:color w:val="000000"/>
                <w:szCs w:val="20"/>
              </w:rPr>
            </w:pPr>
            <w:r>
              <w:rPr>
                <w:rFonts w:ascii="Calibri" w:hAnsi="Calibri" w:cs="Calibri"/>
                <w:color w:val="000000"/>
                <w:sz w:val="18"/>
                <w:szCs w:val="18"/>
              </w:rPr>
              <w:t>ADALIMUMAB</w:t>
            </w:r>
            <w:r>
              <w:rPr>
                <w:rFonts w:ascii="Calibri" w:hAnsi="Calibri" w:cs="Calibri"/>
                <w:color w:val="000000"/>
                <w:sz w:val="18"/>
                <w:szCs w:val="18"/>
              </w:rPr>
              <w:br/>
            </w:r>
            <w:r>
              <w:rPr>
                <w:rFonts w:ascii="Calibri" w:hAnsi="Calibri" w:cs="Calibri"/>
                <w:color w:val="000000"/>
                <w:sz w:val="18"/>
                <w:szCs w:val="18"/>
              </w:rPr>
              <w:br/>
              <w:t>Injection 20 mg in 0.2 mL pre-filled syringe</w:t>
            </w:r>
            <w:r>
              <w:rPr>
                <w:rFonts w:ascii="Calibri" w:hAnsi="Calibri" w:cs="Calibri"/>
                <w:color w:val="000000"/>
                <w:sz w:val="18"/>
                <w:szCs w:val="18"/>
              </w:rPr>
              <w:br/>
              <w:t>Injection 40 mg in 0.4 mL pre-filled syringe</w:t>
            </w:r>
            <w:r>
              <w:rPr>
                <w:rFonts w:ascii="Calibri" w:hAnsi="Calibri" w:cs="Calibri"/>
                <w:color w:val="000000"/>
                <w:sz w:val="18"/>
                <w:szCs w:val="18"/>
              </w:rPr>
              <w:br/>
              <w:t>Injection 40 mg in 0.4 mL pre-filled pen</w:t>
            </w:r>
            <w:r>
              <w:rPr>
                <w:rFonts w:ascii="Calibri" w:hAnsi="Calibri" w:cs="Calibri"/>
                <w:color w:val="000000"/>
                <w:sz w:val="18"/>
                <w:szCs w:val="18"/>
              </w:rPr>
              <w:br/>
              <w:t>Injection 80 mg in 0.8 mL pre-filled pen</w:t>
            </w:r>
            <w:r>
              <w:rPr>
                <w:rFonts w:ascii="Calibri" w:hAnsi="Calibri" w:cs="Calibri"/>
                <w:color w:val="000000"/>
                <w:sz w:val="18"/>
                <w:szCs w:val="18"/>
              </w:rPr>
              <w:br/>
            </w:r>
            <w:r>
              <w:rPr>
                <w:rFonts w:ascii="Calibri" w:hAnsi="Calibri" w:cs="Calibri"/>
                <w:color w:val="000000"/>
                <w:sz w:val="18"/>
                <w:szCs w:val="18"/>
              </w:rPr>
              <w:br/>
            </w:r>
            <w:r>
              <w:rPr>
                <w:rFonts w:ascii="Calibri" w:hAnsi="Calibri" w:cs="Calibri"/>
                <w:color w:val="000000"/>
                <w:sz w:val="18"/>
                <w:szCs w:val="18"/>
              </w:rPr>
              <w:br/>
            </w:r>
            <w:r>
              <w:rPr>
                <w:rFonts w:ascii="Calibri" w:hAnsi="Calibri" w:cs="Calibri"/>
                <w:color w:val="000000"/>
                <w:sz w:val="18"/>
                <w:szCs w:val="18"/>
              </w:rPr>
              <w:br/>
            </w:r>
            <w:proofErr w:type="spellStart"/>
            <w:r>
              <w:rPr>
                <w:rFonts w:ascii="Calibri" w:hAnsi="Calibri" w:cs="Calibri"/>
                <w:color w:val="000000"/>
                <w:sz w:val="18"/>
                <w:szCs w:val="18"/>
              </w:rPr>
              <w:t>Amgevita</w:t>
            </w:r>
            <w:proofErr w:type="spellEnd"/>
            <w:r>
              <w:rPr>
                <w:rFonts w:ascii="Calibri" w:hAnsi="Calibri" w:cs="Calibri"/>
                <w:color w:val="000000"/>
                <w:sz w:val="18"/>
                <w:szCs w:val="18"/>
              </w:rPr>
              <w:t>®</w:t>
            </w:r>
            <w:r>
              <w:rPr>
                <w:rFonts w:ascii="Calibri" w:hAnsi="Calibri" w:cs="Calibri"/>
                <w:color w:val="000000"/>
                <w:sz w:val="18"/>
                <w:szCs w:val="18"/>
              </w:rPr>
              <w:br/>
            </w:r>
            <w:r>
              <w:rPr>
                <w:rFonts w:ascii="Calibri" w:hAnsi="Calibri" w:cs="Calibri"/>
                <w:color w:val="000000"/>
                <w:sz w:val="18"/>
                <w:szCs w:val="18"/>
              </w:rPr>
              <w:br/>
              <w:t>AMGEN AUSTRALIA PTY LIMITED</w:t>
            </w:r>
            <w:r>
              <w:rPr>
                <w:rFonts w:ascii="Calibri" w:hAnsi="Calibri" w:cs="Calibri"/>
                <w:color w:val="000000"/>
                <w:sz w:val="18"/>
                <w:szCs w:val="18"/>
              </w:rPr>
              <w:br/>
            </w:r>
            <w:r>
              <w:rPr>
                <w:rFonts w:ascii="Calibri" w:hAnsi="Calibri" w:cs="Calibri"/>
                <w:color w:val="000000"/>
                <w:sz w:val="18"/>
                <w:szCs w:val="18"/>
              </w:rPr>
              <w:br/>
              <w:t>Category 4</w:t>
            </w:r>
            <w:r>
              <w:rPr>
                <w:rFonts w:ascii="Calibri" w:hAnsi="Calibri" w:cs="Calibri"/>
                <w:color w:val="000000"/>
                <w:sz w:val="18"/>
                <w:szCs w:val="18"/>
              </w:rPr>
              <w:br/>
              <w:t xml:space="preserve">(New PBS </w:t>
            </w:r>
            <w:r w:rsidR="00A71920">
              <w:rPr>
                <w:rFonts w:ascii="Calibri" w:hAnsi="Calibri" w:cs="Calibri"/>
                <w:color w:val="000000"/>
                <w:sz w:val="18"/>
                <w:szCs w:val="18"/>
              </w:rPr>
              <w:t>listing)</w:t>
            </w:r>
            <w:r>
              <w:rPr>
                <w:rFonts w:ascii="Calibri" w:hAnsi="Calibri" w:cs="Calibri"/>
                <w:color w:val="000000"/>
                <w:sz w:val="18"/>
                <w:szCs w:val="18"/>
              </w:rPr>
              <w:br/>
            </w:r>
            <w:r>
              <w:rPr>
                <w:rFonts w:ascii="Calibri" w:hAnsi="Calibri" w:cs="Calibri"/>
                <w:color w:val="000000"/>
                <w:sz w:val="18"/>
                <w:szCs w:val="18"/>
              </w:rPr>
              <w:br/>
              <w:t>PBS General Schedule</w:t>
            </w:r>
            <w:r>
              <w:rPr>
                <w:rFonts w:ascii="Calibri" w:hAnsi="Calibri" w:cs="Calibri"/>
                <w:color w:val="000000"/>
                <w:sz w:val="18"/>
                <w:szCs w:val="18"/>
              </w:rPr>
              <w:br/>
              <w:t xml:space="preserve">PBS Section 100 </w:t>
            </w:r>
            <w:r w:rsidR="00957109">
              <w:rPr>
                <w:rFonts w:ascii="Calibri" w:hAnsi="Calibri" w:cs="Calibri"/>
                <w:color w:val="000000"/>
                <w:sz w:val="18"/>
                <w:szCs w:val="18"/>
              </w:rPr>
              <w:br/>
            </w:r>
            <w:r>
              <w:rPr>
                <w:rFonts w:ascii="Calibri" w:hAnsi="Calibri" w:cs="Calibri"/>
                <w:color w:val="000000"/>
                <w:sz w:val="18"/>
                <w:szCs w:val="18"/>
              </w:rPr>
              <w:t>(Highly Specialised Drugs Program)</w:t>
            </w:r>
          </w:p>
        </w:tc>
        <w:tc>
          <w:tcPr>
            <w:tcW w:w="1983" w:type="dxa"/>
            <w:tcBorders>
              <w:top w:val="single" w:sz="4" w:space="0" w:color="auto"/>
              <w:left w:val="single" w:sz="4" w:space="0" w:color="auto"/>
              <w:bottom w:val="single" w:sz="4" w:space="0" w:color="auto"/>
              <w:right w:val="single" w:sz="4" w:space="0" w:color="auto"/>
            </w:tcBorders>
            <w:vAlign w:val="center"/>
          </w:tcPr>
          <w:p w14:paraId="0F9776AC" w14:textId="65EBE49E" w:rsidR="00DA7585" w:rsidRPr="005F21D6" w:rsidRDefault="00DA7585" w:rsidP="00DA7585">
            <w:pPr>
              <w:jc w:val="center"/>
              <w:rPr>
                <w:rFonts w:asciiTheme="minorHAnsi" w:hAnsiTheme="minorHAnsi" w:cstheme="minorHAnsi"/>
                <w:color w:val="000000"/>
                <w:sz w:val="18"/>
                <w:szCs w:val="18"/>
              </w:rPr>
            </w:pPr>
            <w:r>
              <w:rPr>
                <w:rFonts w:ascii="Calibri" w:hAnsi="Calibri" w:cs="Calibri"/>
                <w:color w:val="000000"/>
                <w:sz w:val="18"/>
                <w:szCs w:val="18"/>
              </w:rPr>
              <w:t>Crohn disease</w:t>
            </w:r>
            <w:r>
              <w:rPr>
                <w:rFonts w:ascii="Calibri" w:hAnsi="Calibri" w:cs="Calibri"/>
                <w:color w:val="000000"/>
                <w:sz w:val="18"/>
                <w:szCs w:val="18"/>
              </w:rPr>
              <w:br/>
              <w:t>Ulcerative colitis</w:t>
            </w:r>
            <w:r>
              <w:rPr>
                <w:rFonts w:ascii="Calibri" w:hAnsi="Calibri" w:cs="Calibri"/>
                <w:color w:val="000000"/>
                <w:sz w:val="18"/>
                <w:szCs w:val="18"/>
              </w:rPr>
              <w:br/>
              <w:t>Active juvenile idiopathic arthritis</w:t>
            </w:r>
            <w:r>
              <w:rPr>
                <w:rFonts w:ascii="Calibri" w:hAnsi="Calibri" w:cs="Calibri"/>
                <w:color w:val="000000"/>
                <w:sz w:val="18"/>
                <w:szCs w:val="18"/>
              </w:rPr>
              <w:br/>
              <w:t>Complex refractory fistulising Crohn disease</w:t>
            </w:r>
            <w:r>
              <w:rPr>
                <w:rFonts w:ascii="Calibri" w:hAnsi="Calibri" w:cs="Calibri"/>
                <w:color w:val="000000"/>
                <w:sz w:val="18"/>
                <w:szCs w:val="18"/>
              </w:rPr>
              <w:br/>
              <w:t xml:space="preserve">Active rheumatoid arthritis </w:t>
            </w:r>
            <w:r>
              <w:rPr>
                <w:rFonts w:ascii="Calibri" w:hAnsi="Calibri" w:cs="Calibri"/>
                <w:color w:val="000000"/>
                <w:sz w:val="18"/>
                <w:szCs w:val="18"/>
              </w:rPr>
              <w:br/>
              <w:t>Psoriatic arthritis</w:t>
            </w:r>
            <w:r>
              <w:rPr>
                <w:rFonts w:ascii="Calibri" w:hAnsi="Calibri" w:cs="Calibri"/>
                <w:color w:val="000000"/>
                <w:sz w:val="18"/>
                <w:szCs w:val="18"/>
              </w:rPr>
              <w:br/>
              <w:t>Ankylosing spondylitis</w:t>
            </w:r>
            <w:r>
              <w:rPr>
                <w:rFonts w:ascii="Calibri" w:hAnsi="Calibri" w:cs="Calibri"/>
                <w:color w:val="000000"/>
                <w:sz w:val="18"/>
                <w:szCs w:val="18"/>
              </w:rPr>
              <w:br/>
              <w:t>Chronic plaque psoriasis</w:t>
            </w:r>
            <w:r>
              <w:rPr>
                <w:rFonts w:ascii="Calibri" w:hAnsi="Calibri" w:cs="Calibri"/>
                <w:color w:val="000000"/>
                <w:sz w:val="18"/>
                <w:szCs w:val="18"/>
              </w:rPr>
              <w:br/>
              <w:t>Hidradenitis suppurativa</w:t>
            </w:r>
          </w:p>
        </w:tc>
        <w:tc>
          <w:tcPr>
            <w:tcW w:w="238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0B06D8A" w14:textId="25AE7610" w:rsidR="00DA7585" w:rsidRPr="005F21D6" w:rsidRDefault="00DA7585" w:rsidP="00DA7585">
            <w:pPr>
              <w:jc w:val="center"/>
              <w:rPr>
                <w:rFonts w:asciiTheme="minorHAnsi" w:hAnsiTheme="minorHAnsi" w:cstheme="minorHAnsi"/>
                <w:color w:val="000000"/>
                <w:sz w:val="18"/>
                <w:szCs w:val="18"/>
              </w:rPr>
            </w:pPr>
            <w:r>
              <w:rPr>
                <w:rFonts w:ascii="Calibri" w:hAnsi="Calibri" w:cs="Calibri"/>
                <w:color w:val="000000"/>
                <w:sz w:val="18"/>
                <w:szCs w:val="18"/>
              </w:rPr>
              <w:t xml:space="preserve">To request listing of four new higher concentration forms of the </w:t>
            </w:r>
            <w:proofErr w:type="spellStart"/>
            <w:r>
              <w:rPr>
                <w:rFonts w:ascii="Calibri" w:hAnsi="Calibri" w:cs="Calibri"/>
                <w:color w:val="000000"/>
                <w:sz w:val="18"/>
                <w:szCs w:val="18"/>
              </w:rPr>
              <w:t>Amgevita</w:t>
            </w:r>
            <w:proofErr w:type="spellEnd"/>
            <w:r>
              <w:rPr>
                <w:rFonts w:ascii="Calibri" w:hAnsi="Calibri" w:cs="Calibri"/>
                <w:color w:val="000000"/>
                <w:sz w:val="18"/>
                <w:szCs w:val="18"/>
              </w:rPr>
              <w:t xml:space="preserve"> biosimilar brand of adalimumab that mirror the current PBS-listed adalimumab brands with the same strengths and forms.</w:t>
            </w:r>
            <w:r>
              <w:rPr>
                <w:rFonts w:ascii="Calibri" w:hAnsi="Calibri" w:cs="Calibri"/>
                <w:color w:val="000000"/>
                <w:sz w:val="18"/>
                <w:szCs w:val="18"/>
              </w:rPr>
              <w:br/>
            </w:r>
            <w:r>
              <w:rPr>
                <w:rFonts w:ascii="Calibri" w:hAnsi="Calibri" w:cs="Calibri"/>
                <w:color w:val="000000"/>
                <w:sz w:val="18"/>
                <w:szCs w:val="18"/>
              </w:rPr>
              <w:br/>
              <w:t>Authority Required</w:t>
            </w:r>
          </w:p>
        </w:tc>
        <w:tc>
          <w:tcPr>
            <w:tcW w:w="1415" w:type="dxa"/>
            <w:vAlign w:val="center"/>
          </w:tcPr>
          <w:p w14:paraId="15EE2D74" w14:textId="30F41689" w:rsidR="00DA7585" w:rsidRPr="00544E10" w:rsidRDefault="00DA7585" w:rsidP="009F5C5B">
            <w:pPr>
              <w:ind w:left="11"/>
              <w:contextualSpacing/>
              <w:jc w:val="center"/>
              <w:rPr>
                <w:rFonts w:asciiTheme="minorHAnsi" w:hAnsiTheme="minorHAnsi" w:cstheme="minorHAnsi"/>
                <w:color w:val="000000" w:themeColor="text1"/>
                <w:sz w:val="18"/>
                <w:szCs w:val="18"/>
              </w:rPr>
            </w:pPr>
            <w:r>
              <w:rPr>
                <w:rFonts w:ascii="Calibri" w:hAnsi="Calibri" w:cs="Calibri"/>
                <w:color w:val="000000"/>
                <w:sz w:val="18"/>
                <w:szCs w:val="18"/>
              </w:rPr>
              <w:t>Recommended</w:t>
            </w:r>
          </w:p>
        </w:tc>
        <w:tc>
          <w:tcPr>
            <w:tcW w:w="4729" w:type="dxa"/>
            <w:vAlign w:val="center"/>
          </w:tcPr>
          <w:p w14:paraId="4EFB5B88" w14:textId="418BC19C" w:rsidR="00DA7585" w:rsidRPr="00544E10" w:rsidRDefault="00DA7585" w:rsidP="00241142">
            <w:pPr>
              <w:ind w:left="11"/>
              <w:contextualSpacing/>
              <w:rPr>
                <w:rFonts w:asciiTheme="minorHAnsi" w:hAnsiTheme="minorHAnsi" w:cstheme="minorHAnsi"/>
                <w:color w:val="000000" w:themeColor="text1"/>
                <w:sz w:val="18"/>
                <w:szCs w:val="18"/>
              </w:rPr>
            </w:pPr>
            <w:r>
              <w:rPr>
                <w:rFonts w:ascii="Calibri" w:hAnsi="Calibri" w:cs="Calibri"/>
                <w:color w:val="000000"/>
                <w:sz w:val="18"/>
                <w:szCs w:val="18"/>
              </w:rPr>
              <w:t>The PBAC recommended the listing of adalimumab (</w:t>
            </w:r>
            <w:proofErr w:type="spellStart"/>
            <w:r>
              <w:rPr>
                <w:rFonts w:ascii="Calibri" w:hAnsi="Calibri" w:cs="Calibri"/>
                <w:color w:val="000000"/>
                <w:sz w:val="18"/>
                <w:szCs w:val="18"/>
              </w:rPr>
              <w:t>Amgevita</w:t>
            </w:r>
            <w:proofErr w:type="spellEnd"/>
            <w:r>
              <w:rPr>
                <w:rFonts w:ascii="Calibri" w:hAnsi="Calibri" w:cs="Calibri"/>
                <w:color w:val="000000"/>
                <w:sz w:val="18"/>
                <w:szCs w:val="18"/>
              </w:rPr>
              <w:t xml:space="preserve"> HC®) in the forms and strengths of strengths of 20 mg in 0.2 mL, 40 mg in 0.4 mL, pre</w:t>
            </w:r>
            <w:r w:rsidR="00916A91">
              <w:rPr>
                <w:rFonts w:ascii="Calibri" w:hAnsi="Calibri" w:cs="Calibri"/>
                <w:color w:val="000000"/>
                <w:sz w:val="18"/>
                <w:szCs w:val="18"/>
              </w:rPr>
              <w:t>-</w:t>
            </w:r>
            <w:r>
              <w:rPr>
                <w:rFonts w:ascii="Calibri" w:hAnsi="Calibri" w:cs="Calibri"/>
                <w:color w:val="000000"/>
                <w:sz w:val="18"/>
                <w:szCs w:val="18"/>
              </w:rPr>
              <w:t>filled syringe (PFS) and 40 mg in 0.4 mL, 80 mg in 0.8 mL pre</w:t>
            </w:r>
            <w:r w:rsidR="00916A91">
              <w:rPr>
                <w:rFonts w:ascii="Calibri" w:hAnsi="Calibri" w:cs="Calibri"/>
                <w:color w:val="000000"/>
                <w:sz w:val="18"/>
                <w:szCs w:val="18"/>
              </w:rPr>
              <w:t>-</w:t>
            </w:r>
            <w:r>
              <w:rPr>
                <w:rFonts w:ascii="Calibri" w:hAnsi="Calibri" w:cs="Calibri"/>
                <w:color w:val="000000"/>
                <w:sz w:val="18"/>
                <w:szCs w:val="18"/>
              </w:rPr>
              <w:t xml:space="preserve">filled pen (PFP) under the same circumstances as the currently PBS listed reference biologic, Humira® and other brands of adalimumab. The PBAC’s recommendation for listing was based on, among other matters, its assessment that the cost effectiveness of </w:t>
            </w:r>
            <w:proofErr w:type="spellStart"/>
            <w:r>
              <w:rPr>
                <w:rFonts w:ascii="Calibri" w:hAnsi="Calibri" w:cs="Calibri"/>
                <w:color w:val="000000"/>
                <w:sz w:val="18"/>
                <w:szCs w:val="18"/>
              </w:rPr>
              <w:t>Amgevita</w:t>
            </w:r>
            <w:proofErr w:type="spellEnd"/>
            <w:r>
              <w:rPr>
                <w:rFonts w:ascii="Calibri" w:hAnsi="Calibri" w:cs="Calibri"/>
                <w:color w:val="000000"/>
                <w:sz w:val="18"/>
                <w:szCs w:val="18"/>
              </w:rPr>
              <w:t xml:space="preserve"> PFS and PFP would be acceptable if it were cost minimised to Humira PFS and PFP and all other biosimilar brands and formulations of adalimumab. The PBAC advised the </w:t>
            </w:r>
            <w:proofErr w:type="spellStart"/>
            <w:r>
              <w:rPr>
                <w:rFonts w:ascii="Calibri" w:hAnsi="Calibri" w:cs="Calibri"/>
                <w:color w:val="000000"/>
                <w:sz w:val="18"/>
                <w:szCs w:val="18"/>
              </w:rPr>
              <w:t>equi</w:t>
            </w:r>
            <w:proofErr w:type="spellEnd"/>
            <w:r>
              <w:rPr>
                <w:rFonts w:ascii="Calibri" w:hAnsi="Calibri" w:cs="Calibri"/>
                <w:color w:val="000000"/>
                <w:sz w:val="18"/>
                <w:szCs w:val="18"/>
              </w:rPr>
              <w:t xml:space="preserve"> effective doses to be 1 mg of </w:t>
            </w:r>
            <w:proofErr w:type="spellStart"/>
            <w:r>
              <w:rPr>
                <w:rFonts w:ascii="Calibri" w:hAnsi="Calibri" w:cs="Calibri"/>
                <w:color w:val="000000"/>
                <w:sz w:val="18"/>
                <w:szCs w:val="18"/>
              </w:rPr>
              <w:t>Amgevita</w:t>
            </w:r>
            <w:proofErr w:type="spellEnd"/>
            <w:r>
              <w:rPr>
                <w:rFonts w:ascii="Calibri" w:hAnsi="Calibri" w:cs="Calibri"/>
                <w:color w:val="000000"/>
                <w:sz w:val="18"/>
                <w:szCs w:val="18"/>
              </w:rPr>
              <w:t xml:space="preserve"> = 1 mg of Humira and all other biosimilar brands and formulations of adalimumab.</w:t>
            </w:r>
            <w:r>
              <w:rPr>
                <w:rFonts w:ascii="Calibri" w:hAnsi="Calibri" w:cs="Calibri"/>
                <w:color w:val="000000"/>
                <w:sz w:val="18"/>
                <w:szCs w:val="18"/>
              </w:rPr>
              <w:br/>
            </w:r>
            <w:r>
              <w:rPr>
                <w:rFonts w:ascii="Calibri" w:hAnsi="Calibri" w:cs="Calibri"/>
                <w:color w:val="000000"/>
                <w:sz w:val="18"/>
                <w:szCs w:val="18"/>
              </w:rPr>
              <w:br/>
              <w:t xml:space="preserve">The PBAC advised that </w:t>
            </w:r>
            <w:proofErr w:type="spellStart"/>
            <w:r>
              <w:rPr>
                <w:rFonts w:ascii="Calibri" w:hAnsi="Calibri" w:cs="Calibri"/>
                <w:color w:val="000000"/>
                <w:sz w:val="18"/>
                <w:szCs w:val="18"/>
              </w:rPr>
              <w:t>Amgevita</w:t>
            </w:r>
            <w:proofErr w:type="spellEnd"/>
            <w:r>
              <w:rPr>
                <w:rFonts w:ascii="Calibri" w:hAnsi="Calibri" w:cs="Calibri"/>
                <w:color w:val="000000"/>
                <w:sz w:val="18"/>
                <w:szCs w:val="18"/>
              </w:rPr>
              <w:t xml:space="preserve"> HC 20 mg/0.2 mL and 40 mg/0.4 mL PFS, and 40 mg/0.4 mL and 80 mg/0.8 mL PFP should be treated as </w:t>
            </w:r>
            <w:r w:rsidR="00F47C51">
              <w:rPr>
                <w:rFonts w:ascii="Calibri" w:hAnsi="Calibri" w:cs="Calibri"/>
                <w:color w:val="000000"/>
                <w:sz w:val="18"/>
                <w:szCs w:val="18"/>
              </w:rPr>
              <w:t>equivalent</w:t>
            </w:r>
            <w:r>
              <w:rPr>
                <w:rFonts w:ascii="Calibri" w:hAnsi="Calibri" w:cs="Calibri"/>
                <w:color w:val="000000"/>
                <w:sz w:val="18"/>
                <w:szCs w:val="18"/>
              </w:rPr>
              <w:t xml:space="preserve"> to Humira and other adalimumab brands in the same form and strengths for the purposes of substitution (i.e. ‘a’-flagged in the Schedule). The PBAC also advised that </w:t>
            </w:r>
            <w:proofErr w:type="spellStart"/>
            <w:r>
              <w:rPr>
                <w:rFonts w:ascii="Calibri" w:hAnsi="Calibri" w:cs="Calibri"/>
                <w:color w:val="000000"/>
                <w:sz w:val="18"/>
                <w:szCs w:val="18"/>
              </w:rPr>
              <w:t>Amgevita</w:t>
            </w:r>
            <w:proofErr w:type="spellEnd"/>
            <w:r>
              <w:rPr>
                <w:rFonts w:ascii="Calibri" w:hAnsi="Calibri" w:cs="Calibri"/>
                <w:color w:val="000000"/>
                <w:sz w:val="18"/>
                <w:szCs w:val="18"/>
              </w:rPr>
              <w:t xml:space="preserve"> HC 40 mg/0.4 mL PFS and PFP should be considered equivalent for substitution with adalimumab 40 mg/0.8 mL PFS and PFP, respectively. In addition, </w:t>
            </w:r>
            <w:proofErr w:type="spellStart"/>
            <w:r>
              <w:rPr>
                <w:rFonts w:ascii="Calibri" w:hAnsi="Calibri" w:cs="Calibri"/>
                <w:color w:val="000000"/>
                <w:sz w:val="18"/>
                <w:szCs w:val="18"/>
              </w:rPr>
              <w:t>Amgevita</w:t>
            </w:r>
            <w:proofErr w:type="spellEnd"/>
            <w:r>
              <w:rPr>
                <w:rFonts w:ascii="Calibri" w:hAnsi="Calibri" w:cs="Calibri"/>
                <w:color w:val="000000"/>
                <w:sz w:val="18"/>
                <w:szCs w:val="18"/>
              </w:rPr>
              <w:t xml:space="preserve"> HC 20 mg/0.2 mL PFS and PFP are considered equivalent to adalimumab 20 mg/0.4 mL PFS and PFP.</w:t>
            </w:r>
            <w:r>
              <w:rPr>
                <w:rFonts w:ascii="Calibri" w:hAnsi="Calibri" w:cs="Calibri"/>
                <w:color w:val="000000"/>
                <w:sz w:val="18"/>
                <w:szCs w:val="18"/>
              </w:rPr>
              <w:br/>
            </w:r>
            <w:r>
              <w:rPr>
                <w:rFonts w:ascii="Calibri" w:hAnsi="Calibri" w:cs="Calibri"/>
                <w:color w:val="000000"/>
                <w:sz w:val="18"/>
                <w:szCs w:val="18"/>
              </w:rPr>
              <w:br/>
              <w:t xml:space="preserve">The PBAC noted and welcomed the input from the Australasian Society of Clinical Immunology and Allergy and individuals. The PBAC acknowledge the new strengths and </w:t>
            </w:r>
            <w:r>
              <w:rPr>
                <w:rFonts w:ascii="Calibri" w:hAnsi="Calibri" w:cs="Calibri"/>
                <w:color w:val="000000"/>
                <w:sz w:val="18"/>
                <w:szCs w:val="18"/>
              </w:rPr>
              <w:lastRenderedPageBreak/>
              <w:t xml:space="preserve">forms of </w:t>
            </w:r>
            <w:proofErr w:type="spellStart"/>
            <w:r>
              <w:rPr>
                <w:rFonts w:ascii="Calibri" w:hAnsi="Calibri" w:cs="Calibri"/>
                <w:color w:val="000000"/>
                <w:sz w:val="18"/>
                <w:szCs w:val="18"/>
              </w:rPr>
              <w:t>Amgevita</w:t>
            </w:r>
            <w:proofErr w:type="spellEnd"/>
            <w:r>
              <w:rPr>
                <w:rFonts w:ascii="Calibri" w:hAnsi="Calibri" w:cs="Calibri"/>
                <w:color w:val="000000"/>
                <w:sz w:val="18"/>
                <w:szCs w:val="18"/>
              </w:rPr>
              <w:t xml:space="preserve"> would improve quality of life and financial burden to patients. and the healthcare system.</w:t>
            </w:r>
          </w:p>
        </w:tc>
      </w:tr>
      <w:tr w:rsidR="00C312E5" w:rsidRPr="00544E10" w14:paraId="1F44370A" w14:textId="77777777" w:rsidTr="003921D1">
        <w:trPr>
          <w:cantSplit/>
          <w:trHeight w:val="868"/>
        </w:trPr>
        <w:tc>
          <w:tcPr>
            <w:tcW w:w="294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92454D6" w14:textId="77777777" w:rsidR="00BC5794" w:rsidRDefault="00DA7585" w:rsidP="00DA7585">
            <w:pPr>
              <w:jc w:val="center"/>
              <w:rPr>
                <w:rFonts w:ascii="Calibri" w:hAnsi="Calibri" w:cs="Calibri"/>
                <w:color w:val="000000"/>
                <w:sz w:val="18"/>
                <w:szCs w:val="18"/>
              </w:rPr>
            </w:pPr>
            <w:r>
              <w:rPr>
                <w:rFonts w:ascii="Calibri" w:hAnsi="Calibri" w:cs="Calibri"/>
                <w:color w:val="000000"/>
                <w:sz w:val="18"/>
                <w:szCs w:val="18"/>
              </w:rPr>
              <w:lastRenderedPageBreak/>
              <w:t>ADALIMUMAB</w:t>
            </w:r>
            <w:r>
              <w:rPr>
                <w:rFonts w:ascii="Calibri" w:hAnsi="Calibri" w:cs="Calibri"/>
                <w:color w:val="000000"/>
                <w:sz w:val="18"/>
                <w:szCs w:val="18"/>
              </w:rPr>
              <w:br/>
            </w:r>
            <w:r>
              <w:rPr>
                <w:rFonts w:ascii="Calibri" w:hAnsi="Calibri" w:cs="Calibri"/>
                <w:color w:val="000000"/>
                <w:sz w:val="18"/>
                <w:szCs w:val="18"/>
              </w:rPr>
              <w:br/>
              <w:t>Injection 20 mg in 0.2 mL single use pre-filled syringe</w:t>
            </w:r>
            <w:r>
              <w:rPr>
                <w:rFonts w:ascii="Calibri" w:hAnsi="Calibri" w:cs="Calibri"/>
                <w:color w:val="000000"/>
                <w:sz w:val="18"/>
                <w:szCs w:val="18"/>
              </w:rPr>
              <w:br/>
            </w:r>
            <w:r>
              <w:rPr>
                <w:rFonts w:ascii="Calibri" w:hAnsi="Calibri" w:cs="Calibri"/>
                <w:color w:val="000000"/>
                <w:sz w:val="18"/>
                <w:szCs w:val="18"/>
              </w:rPr>
              <w:br/>
            </w:r>
            <w:proofErr w:type="spellStart"/>
            <w:r>
              <w:rPr>
                <w:rFonts w:ascii="Calibri" w:hAnsi="Calibri" w:cs="Calibri"/>
                <w:color w:val="000000"/>
                <w:sz w:val="18"/>
                <w:szCs w:val="18"/>
              </w:rPr>
              <w:t>Yuflyma</w:t>
            </w:r>
            <w:proofErr w:type="spellEnd"/>
            <w:r>
              <w:rPr>
                <w:rFonts w:ascii="Calibri" w:hAnsi="Calibri" w:cs="Calibri"/>
                <w:color w:val="000000"/>
                <w:sz w:val="18"/>
                <w:szCs w:val="18"/>
              </w:rPr>
              <w:t>®</w:t>
            </w:r>
            <w:r>
              <w:rPr>
                <w:rFonts w:ascii="Calibri" w:hAnsi="Calibri" w:cs="Calibri"/>
                <w:color w:val="000000"/>
                <w:sz w:val="18"/>
                <w:szCs w:val="18"/>
              </w:rPr>
              <w:br/>
            </w:r>
            <w:r>
              <w:rPr>
                <w:rFonts w:ascii="Calibri" w:hAnsi="Calibri" w:cs="Calibri"/>
                <w:color w:val="000000"/>
                <w:sz w:val="18"/>
                <w:szCs w:val="18"/>
              </w:rPr>
              <w:br/>
              <w:t>CELLTRION HEALTHCARE AUSTRALIA PTY LTD</w:t>
            </w:r>
            <w:r>
              <w:rPr>
                <w:rFonts w:ascii="Calibri" w:hAnsi="Calibri" w:cs="Calibri"/>
                <w:color w:val="000000"/>
                <w:sz w:val="18"/>
                <w:szCs w:val="18"/>
              </w:rPr>
              <w:br/>
            </w:r>
            <w:r>
              <w:rPr>
                <w:rFonts w:ascii="Calibri" w:hAnsi="Calibri" w:cs="Calibri"/>
                <w:color w:val="000000"/>
                <w:sz w:val="18"/>
                <w:szCs w:val="18"/>
              </w:rPr>
              <w:br/>
              <w:t>Category 4</w:t>
            </w:r>
            <w:r>
              <w:rPr>
                <w:rFonts w:ascii="Calibri" w:hAnsi="Calibri" w:cs="Calibri"/>
                <w:color w:val="000000"/>
                <w:sz w:val="18"/>
                <w:szCs w:val="18"/>
              </w:rPr>
              <w:br/>
              <w:t>(New PBS listing</w:t>
            </w:r>
            <w:r w:rsidR="00957109">
              <w:rPr>
                <w:rFonts w:ascii="Calibri" w:hAnsi="Calibri" w:cs="Calibri"/>
                <w:color w:val="000000"/>
                <w:sz w:val="18"/>
                <w:szCs w:val="18"/>
              </w:rPr>
              <w:t>)</w:t>
            </w:r>
          </w:p>
          <w:p w14:paraId="02946D4F" w14:textId="23135EB0" w:rsidR="00DA7585" w:rsidRPr="005F21D6" w:rsidRDefault="00DA7585" w:rsidP="00DA7585">
            <w:pPr>
              <w:jc w:val="center"/>
              <w:rPr>
                <w:rFonts w:asciiTheme="minorHAnsi" w:hAnsiTheme="minorHAnsi" w:cstheme="minorHAnsi"/>
                <w:color w:val="000000"/>
                <w:szCs w:val="20"/>
              </w:rPr>
            </w:pPr>
            <w:r>
              <w:rPr>
                <w:rFonts w:ascii="Calibri" w:hAnsi="Calibri" w:cs="Calibri"/>
                <w:color w:val="000000"/>
                <w:sz w:val="18"/>
                <w:szCs w:val="18"/>
              </w:rPr>
              <w:br/>
              <w:t>PBS General Schedule</w:t>
            </w:r>
            <w:r>
              <w:rPr>
                <w:rFonts w:ascii="Calibri" w:hAnsi="Calibri" w:cs="Calibri"/>
                <w:color w:val="000000"/>
                <w:sz w:val="18"/>
                <w:szCs w:val="18"/>
              </w:rPr>
              <w:br/>
              <w:t xml:space="preserve">PBS Section 100 </w:t>
            </w:r>
            <w:r w:rsidR="00957109">
              <w:rPr>
                <w:rFonts w:ascii="Calibri" w:hAnsi="Calibri" w:cs="Calibri"/>
                <w:color w:val="000000"/>
                <w:sz w:val="18"/>
                <w:szCs w:val="18"/>
              </w:rPr>
              <w:br/>
            </w:r>
            <w:r>
              <w:rPr>
                <w:rFonts w:ascii="Calibri" w:hAnsi="Calibri" w:cs="Calibri"/>
                <w:color w:val="000000"/>
                <w:sz w:val="18"/>
                <w:szCs w:val="18"/>
              </w:rPr>
              <w:t>(Highly Specialised Drugs Program)</w:t>
            </w:r>
          </w:p>
        </w:tc>
        <w:tc>
          <w:tcPr>
            <w:tcW w:w="1983" w:type="dxa"/>
            <w:tcBorders>
              <w:top w:val="single" w:sz="4" w:space="0" w:color="auto"/>
              <w:left w:val="single" w:sz="4" w:space="0" w:color="auto"/>
              <w:bottom w:val="single" w:sz="4" w:space="0" w:color="auto"/>
              <w:right w:val="single" w:sz="4" w:space="0" w:color="auto"/>
            </w:tcBorders>
            <w:vAlign w:val="center"/>
          </w:tcPr>
          <w:p w14:paraId="1332323D" w14:textId="0D6F849A" w:rsidR="00DA7585" w:rsidRPr="005F21D6" w:rsidRDefault="00DA7585" w:rsidP="00DA7585">
            <w:pPr>
              <w:jc w:val="center"/>
              <w:rPr>
                <w:rFonts w:asciiTheme="minorHAnsi" w:hAnsiTheme="minorHAnsi" w:cstheme="minorHAnsi"/>
                <w:color w:val="000000"/>
                <w:sz w:val="18"/>
                <w:szCs w:val="18"/>
              </w:rPr>
            </w:pPr>
            <w:r>
              <w:rPr>
                <w:rFonts w:ascii="Calibri" w:hAnsi="Calibri" w:cs="Calibri"/>
                <w:color w:val="000000"/>
                <w:sz w:val="18"/>
                <w:szCs w:val="18"/>
              </w:rPr>
              <w:t>Moderate to severe ulcerative colitis</w:t>
            </w:r>
            <w:r>
              <w:rPr>
                <w:rFonts w:ascii="Calibri" w:hAnsi="Calibri" w:cs="Calibri"/>
                <w:color w:val="000000"/>
                <w:sz w:val="18"/>
                <w:szCs w:val="18"/>
              </w:rPr>
              <w:br/>
              <w:t>Severe juvenile idiopathic arthritis</w:t>
            </w:r>
            <w:r>
              <w:rPr>
                <w:rFonts w:ascii="Calibri" w:hAnsi="Calibri" w:cs="Calibri"/>
                <w:color w:val="000000"/>
                <w:sz w:val="18"/>
                <w:szCs w:val="18"/>
              </w:rPr>
              <w:br/>
              <w:t>Severe chronic plaque psoriasis</w:t>
            </w:r>
            <w:r>
              <w:rPr>
                <w:rFonts w:ascii="Calibri" w:hAnsi="Calibri" w:cs="Calibri"/>
                <w:color w:val="000000"/>
                <w:sz w:val="18"/>
                <w:szCs w:val="18"/>
              </w:rPr>
              <w:br/>
              <w:t>Severe Crohn disease</w:t>
            </w:r>
            <w:r>
              <w:rPr>
                <w:rFonts w:ascii="Calibri" w:hAnsi="Calibri" w:cs="Calibri"/>
                <w:color w:val="000000"/>
                <w:sz w:val="18"/>
                <w:szCs w:val="18"/>
              </w:rPr>
              <w:br/>
              <w:t>Vision-threatening non-infectious uveitis</w:t>
            </w:r>
          </w:p>
        </w:tc>
        <w:tc>
          <w:tcPr>
            <w:tcW w:w="238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7BE0D08" w14:textId="6724C8EF" w:rsidR="00DA7585" w:rsidRPr="005F21D6" w:rsidRDefault="00DA7585" w:rsidP="00DA7585">
            <w:pPr>
              <w:jc w:val="center"/>
              <w:rPr>
                <w:rFonts w:asciiTheme="minorHAnsi" w:hAnsiTheme="minorHAnsi" w:cstheme="minorHAnsi"/>
                <w:color w:val="000000"/>
                <w:sz w:val="18"/>
                <w:szCs w:val="18"/>
              </w:rPr>
            </w:pPr>
            <w:r>
              <w:rPr>
                <w:rFonts w:ascii="Calibri" w:hAnsi="Calibri" w:cs="Calibri"/>
                <w:color w:val="000000"/>
                <w:sz w:val="18"/>
                <w:szCs w:val="18"/>
              </w:rPr>
              <w:t xml:space="preserve">To request listing of a new form of the </w:t>
            </w:r>
            <w:proofErr w:type="spellStart"/>
            <w:r>
              <w:rPr>
                <w:rFonts w:ascii="Calibri" w:hAnsi="Calibri" w:cs="Calibri"/>
                <w:color w:val="000000"/>
                <w:sz w:val="18"/>
                <w:szCs w:val="18"/>
              </w:rPr>
              <w:t>Yuflyma</w:t>
            </w:r>
            <w:proofErr w:type="spellEnd"/>
            <w:r>
              <w:rPr>
                <w:rFonts w:ascii="Calibri" w:hAnsi="Calibri" w:cs="Calibri"/>
                <w:color w:val="000000"/>
                <w:sz w:val="18"/>
                <w:szCs w:val="18"/>
              </w:rPr>
              <w:t xml:space="preserve"> biosimilar brand of adalimumab that mirrors the </w:t>
            </w:r>
            <w:r w:rsidR="003D28AF">
              <w:rPr>
                <w:rFonts w:ascii="Calibri" w:hAnsi="Calibri" w:cs="Calibri"/>
                <w:color w:val="000000"/>
                <w:sz w:val="18"/>
                <w:szCs w:val="18"/>
              </w:rPr>
              <w:t>originator</w:t>
            </w:r>
            <w:r>
              <w:rPr>
                <w:rFonts w:ascii="Calibri" w:hAnsi="Calibri" w:cs="Calibri"/>
                <w:color w:val="000000"/>
                <w:sz w:val="18"/>
                <w:szCs w:val="18"/>
              </w:rPr>
              <w:t xml:space="preserve"> brand's current listings with the same form. </w:t>
            </w:r>
            <w:r>
              <w:rPr>
                <w:rFonts w:ascii="Calibri" w:hAnsi="Calibri" w:cs="Calibri"/>
                <w:color w:val="000000"/>
                <w:sz w:val="18"/>
                <w:szCs w:val="18"/>
              </w:rPr>
              <w:br/>
            </w:r>
            <w:r>
              <w:rPr>
                <w:rFonts w:ascii="Calibri" w:hAnsi="Calibri" w:cs="Calibri"/>
                <w:color w:val="000000"/>
                <w:sz w:val="18"/>
                <w:szCs w:val="18"/>
              </w:rPr>
              <w:br/>
              <w:t>Authority Required</w:t>
            </w:r>
          </w:p>
        </w:tc>
        <w:tc>
          <w:tcPr>
            <w:tcW w:w="1415" w:type="dxa"/>
            <w:vAlign w:val="center"/>
          </w:tcPr>
          <w:p w14:paraId="21069F3C" w14:textId="25B4185F" w:rsidR="00DA7585" w:rsidRPr="00544E10" w:rsidRDefault="00DA7585" w:rsidP="00241142">
            <w:pPr>
              <w:ind w:left="11"/>
              <w:contextualSpacing/>
              <w:rPr>
                <w:rFonts w:asciiTheme="minorHAnsi" w:hAnsiTheme="minorHAnsi" w:cstheme="minorHAnsi"/>
                <w:color w:val="000000" w:themeColor="text1"/>
                <w:sz w:val="18"/>
                <w:szCs w:val="18"/>
              </w:rPr>
            </w:pPr>
            <w:r>
              <w:rPr>
                <w:rFonts w:ascii="Calibri" w:hAnsi="Calibri" w:cs="Calibri"/>
                <w:color w:val="000000"/>
                <w:sz w:val="18"/>
                <w:szCs w:val="18"/>
              </w:rPr>
              <w:t>Recommended</w:t>
            </w:r>
          </w:p>
        </w:tc>
        <w:tc>
          <w:tcPr>
            <w:tcW w:w="4729" w:type="dxa"/>
            <w:vAlign w:val="center"/>
          </w:tcPr>
          <w:p w14:paraId="16178489" w14:textId="111D4F7C" w:rsidR="00DA7585" w:rsidRPr="00544E10" w:rsidRDefault="00DA7585" w:rsidP="00241142">
            <w:pPr>
              <w:ind w:left="11"/>
              <w:contextualSpacing/>
              <w:rPr>
                <w:rFonts w:asciiTheme="minorHAnsi" w:hAnsiTheme="minorHAnsi" w:cstheme="minorHAnsi"/>
                <w:color w:val="000000" w:themeColor="text1"/>
                <w:sz w:val="18"/>
                <w:szCs w:val="18"/>
              </w:rPr>
            </w:pPr>
            <w:r>
              <w:rPr>
                <w:rFonts w:ascii="Calibri" w:hAnsi="Calibri" w:cs="Calibri"/>
                <w:color w:val="000000"/>
                <w:sz w:val="18"/>
                <w:szCs w:val="18"/>
              </w:rPr>
              <w:t>The PBAC recommended the listing of adalimumab (</w:t>
            </w:r>
            <w:proofErr w:type="spellStart"/>
            <w:r>
              <w:rPr>
                <w:rFonts w:ascii="Calibri" w:hAnsi="Calibri" w:cs="Calibri"/>
                <w:color w:val="000000"/>
                <w:sz w:val="18"/>
                <w:szCs w:val="18"/>
              </w:rPr>
              <w:t>Yuflyma</w:t>
            </w:r>
            <w:proofErr w:type="spellEnd"/>
            <w:r>
              <w:rPr>
                <w:rFonts w:ascii="Calibri" w:hAnsi="Calibri" w:cs="Calibri"/>
                <w:color w:val="000000"/>
                <w:sz w:val="18"/>
                <w:szCs w:val="18"/>
              </w:rPr>
              <w:t xml:space="preserve">) in the form of 20 mg in 0.2 mL pre-filled syringe (PFS) under the same circumstances as the PBS-listed reference biologic Humira 20 mg in 0.2 mL PFS and biosimilar brand </w:t>
            </w:r>
            <w:proofErr w:type="spellStart"/>
            <w:r>
              <w:rPr>
                <w:rFonts w:ascii="Calibri" w:hAnsi="Calibri" w:cs="Calibri"/>
                <w:color w:val="000000"/>
                <w:sz w:val="18"/>
                <w:szCs w:val="18"/>
              </w:rPr>
              <w:t>Amgevita</w:t>
            </w:r>
            <w:proofErr w:type="spellEnd"/>
            <w:r>
              <w:rPr>
                <w:rFonts w:ascii="Calibri" w:hAnsi="Calibri" w:cs="Calibri"/>
                <w:color w:val="000000"/>
                <w:sz w:val="18"/>
                <w:szCs w:val="18"/>
              </w:rPr>
              <w:t xml:space="preserve"> 20 mg in 0.4mL PFS. The PBAC recommended </w:t>
            </w:r>
            <w:proofErr w:type="spellStart"/>
            <w:r>
              <w:rPr>
                <w:rFonts w:ascii="Calibri" w:hAnsi="Calibri" w:cs="Calibri"/>
                <w:color w:val="000000"/>
                <w:sz w:val="18"/>
                <w:szCs w:val="18"/>
              </w:rPr>
              <w:t>Yuflyma</w:t>
            </w:r>
            <w:proofErr w:type="spellEnd"/>
            <w:r>
              <w:rPr>
                <w:rFonts w:ascii="Calibri" w:hAnsi="Calibri" w:cs="Calibri"/>
                <w:color w:val="000000"/>
                <w:sz w:val="18"/>
                <w:szCs w:val="18"/>
              </w:rPr>
              <w:t xml:space="preserve"> should also be listed for the treatment of enthesitis/spondylitis related juvenile idiopathic arthritis. The PBAC advised </w:t>
            </w:r>
            <w:proofErr w:type="spellStart"/>
            <w:r>
              <w:rPr>
                <w:rFonts w:ascii="Calibri" w:hAnsi="Calibri" w:cs="Calibri"/>
                <w:color w:val="000000"/>
                <w:sz w:val="18"/>
                <w:szCs w:val="18"/>
              </w:rPr>
              <w:t>Yuflyma</w:t>
            </w:r>
            <w:proofErr w:type="spellEnd"/>
            <w:r>
              <w:rPr>
                <w:rFonts w:ascii="Calibri" w:hAnsi="Calibri" w:cs="Calibri"/>
                <w:color w:val="000000"/>
                <w:sz w:val="18"/>
                <w:szCs w:val="18"/>
              </w:rPr>
              <w:t xml:space="preserve">, </w:t>
            </w:r>
            <w:proofErr w:type="spellStart"/>
            <w:r>
              <w:rPr>
                <w:rFonts w:ascii="Calibri" w:hAnsi="Calibri" w:cs="Calibri"/>
                <w:color w:val="000000"/>
                <w:sz w:val="18"/>
                <w:szCs w:val="18"/>
              </w:rPr>
              <w:t>Amgevita</w:t>
            </w:r>
            <w:proofErr w:type="spellEnd"/>
            <w:r>
              <w:rPr>
                <w:rFonts w:ascii="Calibri" w:hAnsi="Calibri" w:cs="Calibri"/>
                <w:color w:val="000000"/>
                <w:sz w:val="18"/>
                <w:szCs w:val="18"/>
              </w:rPr>
              <w:t xml:space="preserve"> and Humira should be considered equivalent for the purposes of </w:t>
            </w:r>
            <w:r w:rsidR="003D28AF">
              <w:rPr>
                <w:rFonts w:ascii="Calibri" w:hAnsi="Calibri" w:cs="Calibri"/>
                <w:color w:val="000000"/>
                <w:sz w:val="18"/>
                <w:szCs w:val="18"/>
              </w:rPr>
              <w:t>substitution</w:t>
            </w:r>
            <w:r>
              <w:rPr>
                <w:rFonts w:ascii="Calibri" w:hAnsi="Calibri" w:cs="Calibri"/>
                <w:color w:val="000000"/>
                <w:sz w:val="18"/>
                <w:szCs w:val="18"/>
              </w:rPr>
              <w:t xml:space="preserve"> (i.e. ‘a’-flagged in the Schedule).</w:t>
            </w:r>
          </w:p>
        </w:tc>
      </w:tr>
      <w:tr w:rsidR="00C312E5" w:rsidRPr="00544E10" w14:paraId="22AEEA36" w14:textId="77777777" w:rsidTr="003921D1">
        <w:trPr>
          <w:cantSplit/>
          <w:trHeight w:val="868"/>
        </w:trPr>
        <w:tc>
          <w:tcPr>
            <w:tcW w:w="294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2B8A293" w14:textId="7C394572" w:rsidR="00DA7585" w:rsidRPr="005F21D6" w:rsidRDefault="00DA7585" w:rsidP="00DA7585">
            <w:pPr>
              <w:jc w:val="center"/>
              <w:rPr>
                <w:rFonts w:asciiTheme="minorHAnsi" w:hAnsiTheme="minorHAnsi" w:cstheme="minorHAnsi"/>
                <w:color w:val="000000"/>
                <w:szCs w:val="20"/>
              </w:rPr>
            </w:pPr>
            <w:r>
              <w:rPr>
                <w:rFonts w:ascii="Calibri" w:hAnsi="Calibri" w:cs="Calibri"/>
                <w:color w:val="000000"/>
                <w:sz w:val="18"/>
                <w:szCs w:val="18"/>
              </w:rPr>
              <w:t>ADRENALINE (EPINEPHRINE)</w:t>
            </w:r>
            <w:r>
              <w:rPr>
                <w:rFonts w:ascii="Calibri" w:hAnsi="Calibri" w:cs="Calibri"/>
                <w:color w:val="000000"/>
                <w:sz w:val="18"/>
                <w:szCs w:val="18"/>
              </w:rPr>
              <w:br/>
            </w:r>
            <w:r>
              <w:rPr>
                <w:rFonts w:ascii="Calibri" w:hAnsi="Calibri" w:cs="Calibri"/>
                <w:color w:val="000000"/>
                <w:sz w:val="18"/>
                <w:szCs w:val="18"/>
              </w:rPr>
              <w:br/>
              <w:t>Nasal spray device 1 mg in 1 actuation</w:t>
            </w:r>
            <w:r>
              <w:rPr>
                <w:rFonts w:ascii="Calibri" w:hAnsi="Calibri" w:cs="Calibri"/>
                <w:color w:val="000000"/>
                <w:sz w:val="18"/>
                <w:szCs w:val="18"/>
              </w:rPr>
              <w:br/>
              <w:t>Nasal spray device 2 mg in 1 actuation</w:t>
            </w:r>
            <w:r>
              <w:rPr>
                <w:rFonts w:ascii="Calibri" w:hAnsi="Calibri" w:cs="Calibri"/>
                <w:color w:val="000000"/>
                <w:sz w:val="18"/>
                <w:szCs w:val="18"/>
              </w:rPr>
              <w:br/>
            </w:r>
            <w:r>
              <w:rPr>
                <w:rFonts w:ascii="Calibri" w:hAnsi="Calibri" w:cs="Calibri"/>
                <w:color w:val="000000"/>
                <w:sz w:val="18"/>
                <w:szCs w:val="18"/>
              </w:rPr>
              <w:br/>
            </w:r>
            <w:r>
              <w:rPr>
                <w:rFonts w:ascii="Calibri" w:hAnsi="Calibri" w:cs="Calibri"/>
                <w:color w:val="000000"/>
                <w:sz w:val="18"/>
                <w:szCs w:val="18"/>
              </w:rPr>
              <w:br/>
            </w:r>
            <w:proofErr w:type="spellStart"/>
            <w:r>
              <w:rPr>
                <w:rFonts w:ascii="Calibri" w:hAnsi="Calibri" w:cs="Calibri"/>
                <w:color w:val="000000"/>
                <w:sz w:val="18"/>
                <w:szCs w:val="18"/>
              </w:rPr>
              <w:t>Neffy</w:t>
            </w:r>
            <w:proofErr w:type="spellEnd"/>
            <w:r>
              <w:rPr>
                <w:rFonts w:ascii="Calibri" w:hAnsi="Calibri" w:cs="Calibri"/>
                <w:color w:val="000000"/>
                <w:sz w:val="18"/>
                <w:szCs w:val="18"/>
              </w:rPr>
              <w:t>®</w:t>
            </w:r>
            <w:r>
              <w:rPr>
                <w:rFonts w:ascii="Calibri" w:hAnsi="Calibri" w:cs="Calibri"/>
                <w:color w:val="000000"/>
                <w:sz w:val="18"/>
                <w:szCs w:val="18"/>
              </w:rPr>
              <w:br/>
            </w:r>
            <w:r>
              <w:rPr>
                <w:rFonts w:ascii="Calibri" w:hAnsi="Calibri" w:cs="Calibri"/>
                <w:color w:val="000000"/>
                <w:sz w:val="18"/>
                <w:szCs w:val="18"/>
              </w:rPr>
              <w:br/>
              <w:t>SEQIRUS (AUSTRALIA) PTY LTD</w:t>
            </w:r>
            <w:r>
              <w:rPr>
                <w:rFonts w:ascii="Calibri" w:hAnsi="Calibri" w:cs="Calibri"/>
                <w:color w:val="000000"/>
                <w:sz w:val="18"/>
                <w:szCs w:val="18"/>
              </w:rPr>
              <w:br/>
            </w:r>
            <w:r>
              <w:rPr>
                <w:rFonts w:ascii="Calibri" w:hAnsi="Calibri" w:cs="Calibri"/>
                <w:color w:val="000000"/>
                <w:sz w:val="18"/>
                <w:szCs w:val="18"/>
              </w:rPr>
              <w:lastRenderedPageBreak/>
              <w:br/>
              <w:t>Category 2</w:t>
            </w:r>
            <w:r>
              <w:rPr>
                <w:rFonts w:ascii="Calibri" w:hAnsi="Calibri" w:cs="Calibri"/>
                <w:color w:val="000000"/>
                <w:sz w:val="18"/>
                <w:szCs w:val="18"/>
              </w:rPr>
              <w:br/>
              <w:t>(New PBS listing</w:t>
            </w:r>
            <w:r w:rsidR="00957109">
              <w:rPr>
                <w:rFonts w:ascii="Calibri" w:hAnsi="Calibri" w:cs="Calibri"/>
                <w:color w:val="000000"/>
                <w:sz w:val="18"/>
                <w:szCs w:val="18"/>
              </w:rPr>
              <w:t>)</w:t>
            </w:r>
            <w:r>
              <w:rPr>
                <w:rFonts w:ascii="Calibri" w:hAnsi="Calibri" w:cs="Calibri"/>
                <w:color w:val="000000"/>
                <w:sz w:val="18"/>
                <w:szCs w:val="18"/>
              </w:rPr>
              <w:br/>
            </w:r>
            <w:r>
              <w:rPr>
                <w:rFonts w:ascii="Calibri" w:hAnsi="Calibri" w:cs="Calibri"/>
                <w:color w:val="000000"/>
                <w:sz w:val="18"/>
                <w:szCs w:val="18"/>
              </w:rPr>
              <w:br/>
              <w:t xml:space="preserve">PBS General Schedule </w:t>
            </w:r>
          </w:p>
        </w:tc>
        <w:tc>
          <w:tcPr>
            <w:tcW w:w="1983" w:type="dxa"/>
            <w:tcBorders>
              <w:top w:val="single" w:sz="4" w:space="0" w:color="auto"/>
              <w:left w:val="single" w:sz="4" w:space="0" w:color="auto"/>
              <w:bottom w:val="single" w:sz="4" w:space="0" w:color="auto"/>
              <w:right w:val="single" w:sz="4" w:space="0" w:color="auto"/>
            </w:tcBorders>
            <w:vAlign w:val="center"/>
          </w:tcPr>
          <w:p w14:paraId="4041C907" w14:textId="721DC9F3" w:rsidR="00DA7585" w:rsidRPr="005F21D6" w:rsidRDefault="00DA7585" w:rsidP="00DA7585">
            <w:pPr>
              <w:jc w:val="center"/>
              <w:rPr>
                <w:rFonts w:asciiTheme="minorHAnsi" w:hAnsiTheme="minorHAnsi" w:cstheme="minorHAnsi"/>
                <w:color w:val="000000"/>
                <w:sz w:val="18"/>
                <w:szCs w:val="18"/>
              </w:rPr>
            </w:pPr>
            <w:r>
              <w:rPr>
                <w:rFonts w:ascii="Calibri" w:hAnsi="Calibri" w:cs="Calibri"/>
                <w:color w:val="000000"/>
                <w:sz w:val="18"/>
                <w:szCs w:val="18"/>
              </w:rPr>
              <w:lastRenderedPageBreak/>
              <w:t>Acute allergic reaction with anaphylaxis</w:t>
            </w:r>
          </w:p>
        </w:tc>
        <w:tc>
          <w:tcPr>
            <w:tcW w:w="238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6C9F366" w14:textId="7BD973AC" w:rsidR="00DA7585" w:rsidRPr="005F21D6" w:rsidRDefault="00DA7585" w:rsidP="00DA7585">
            <w:pPr>
              <w:jc w:val="center"/>
              <w:rPr>
                <w:rFonts w:asciiTheme="minorHAnsi" w:hAnsiTheme="minorHAnsi" w:cstheme="minorHAnsi"/>
                <w:color w:val="000000"/>
                <w:sz w:val="18"/>
                <w:szCs w:val="18"/>
              </w:rPr>
            </w:pPr>
            <w:r>
              <w:rPr>
                <w:rFonts w:ascii="Calibri" w:hAnsi="Calibri" w:cs="Calibri"/>
                <w:color w:val="000000"/>
                <w:sz w:val="18"/>
                <w:szCs w:val="18"/>
              </w:rPr>
              <w:t>To request listing of a new form of adrenaline (epinephrine) for the emergency treatment of acute severe allergic reactions in children or adults at significant risk of anaphylaxis.</w:t>
            </w:r>
            <w:r>
              <w:rPr>
                <w:rFonts w:ascii="Calibri" w:hAnsi="Calibri" w:cs="Calibri"/>
                <w:color w:val="000000"/>
                <w:sz w:val="18"/>
                <w:szCs w:val="18"/>
              </w:rPr>
              <w:br/>
            </w:r>
            <w:r>
              <w:rPr>
                <w:rFonts w:ascii="Calibri" w:hAnsi="Calibri" w:cs="Calibri"/>
                <w:color w:val="000000"/>
                <w:sz w:val="18"/>
                <w:szCs w:val="18"/>
              </w:rPr>
              <w:br/>
            </w:r>
            <w:r>
              <w:rPr>
                <w:rFonts w:ascii="Calibri" w:hAnsi="Calibri" w:cs="Calibri"/>
                <w:color w:val="000000"/>
                <w:sz w:val="18"/>
                <w:szCs w:val="18"/>
              </w:rPr>
              <w:lastRenderedPageBreak/>
              <w:t>Authority Required (Telephone/Online)</w:t>
            </w:r>
          </w:p>
        </w:tc>
        <w:tc>
          <w:tcPr>
            <w:tcW w:w="1415" w:type="dxa"/>
            <w:vAlign w:val="center"/>
          </w:tcPr>
          <w:p w14:paraId="7C8B726F" w14:textId="60378C30" w:rsidR="00DA7585" w:rsidRPr="00544E10" w:rsidRDefault="00DA7585" w:rsidP="00BC5794">
            <w:pPr>
              <w:ind w:left="11"/>
              <w:contextualSpacing/>
              <w:jc w:val="center"/>
              <w:rPr>
                <w:rFonts w:asciiTheme="minorHAnsi" w:hAnsiTheme="minorHAnsi" w:cstheme="minorHAnsi"/>
                <w:color w:val="000000" w:themeColor="text1"/>
                <w:sz w:val="18"/>
                <w:szCs w:val="18"/>
              </w:rPr>
            </w:pPr>
            <w:r>
              <w:rPr>
                <w:rFonts w:ascii="Calibri" w:hAnsi="Calibri" w:cs="Calibri"/>
                <w:color w:val="000000"/>
                <w:sz w:val="18"/>
                <w:szCs w:val="18"/>
              </w:rPr>
              <w:lastRenderedPageBreak/>
              <w:t>Recommended</w:t>
            </w:r>
          </w:p>
        </w:tc>
        <w:tc>
          <w:tcPr>
            <w:tcW w:w="4729" w:type="dxa"/>
            <w:vAlign w:val="center"/>
          </w:tcPr>
          <w:p w14:paraId="0CB1F920" w14:textId="4E09ED45" w:rsidR="00DA7585" w:rsidRPr="00544E10" w:rsidRDefault="00DA7585" w:rsidP="00241142">
            <w:pPr>
              <w:ind w:left="11"/>
              <w:contextualSpacing/>
              <w:rPr>
                <w:rFonts w:asciiTheme="minorHAnsi" w:hAnsiTheme="minorHAnsi" w:cstheme="minorHAnsi"/>
                <w:color w:val="000000" w:themeColor="text1"/>
                <w:sz w:val="18"/>
                <w:szCs w:val="18"/>
              </w:rPr>
            </w:pPr>
            <w:r>
              <w:rPr>
                <w:rFonts w:ascii="Calibri" w:hAnsi="Calibri" w:cs="Calibri"/>
                <w:color w:val="000000"/>
                <w:sz w:val="18"/>
                <w:szCs w:val="18"/>
              </w:rPr>
              <w:t xml:space="preserve">The PBAC recommended the listing of </w:t>
            </w:r>
            <w:proofErr w:type="spellStart"/>
            <w:r>
              <w:rPr>
                <w:rFonts w:ascii="Calibri" w:hAnsi="Calibri" w:cs="Calibri"/>
                <w:color w:val="000000"/>
                <w:sz w:val="18"/>
                <w:szCs w:val="18"/>
              </w:rPr>
              <w:t>neffy</w:t>
            </w:r>
            <w:proofErr w:type="spellEnd"/>
            <w:r>
              <w:rPr>
                <w:rFonts w:ascii="Calibri" w:hAnsi="Calibri" w:cs="Calibri"/>
                <w:color w:val="000000"/>
                <w:sz w:val="18"/>
                <w:szCs w:val="18"/>
              </w:rPr>
              <w:t>® nasal spray, a new form of adrenaline (epinephrine), for the emergency treatment of acute severe allergic reactions in children (over 4 years and 15 kg) or adults at significant risk of anaphylaxis. The PBAC considered there was a clinical need for an alternative adrenaline product to the auto-injectable form EpiPen, given previous shortages with supply of adrenaline auto-injector pens.</w:t>
            </w:r>
            <w:r>
              <w:rPr>
                <w:rFonts w:ascii="Calibri" w:hAnsi="Calibri" w:cs="Calibri"/>
                <w:color w:val="000000"/>
                <w:sz w:val="18"/>
                <w:szCs w:val="18"/>
              </w:rPr>
              <w:br/>
            </w:r>
            <w:r>
              <w:rPr>
                <w:rFonts w:ascii="Calibri" w:hAnsi="Calibri" w:cs="Calibri"/>
                <w:color w:val="000000"/>
                <w:sz w:val="18"/>
                <w:szCs w:val="18"/>
              </w:rPr>
              <w:br/>
              <w:t xml:space="preserve">The PBAC welcomed input from health care organisations and a health care professional. This included input from a </w:t>
            </w:r>
            <w:r>
              <w:rPr>
                <w:rFonts w:ascii="Calibri" w:hAnsi="Calibri" w:cs="Calibri"/>
                <w:color w:val="000000"/>
                <w:sz w:val="18"/>
                <w:szCs w:val="18"/>
              </w:rPr>
              <w:lastRenderedPageBreak/>
              <w:t xml:space="preserve">clinical nurse consultant and multiple consumer and medical organisations (the National Allergy Council, the Australasian Society of Clinical Immunology and Allergy (ASCIA), Allergy &amp; Anaphylaxis Australia (A&amp;AA), National Paediatric Medicines Forum (NPMF), Pharmaceutical Society of Australia and National Aboriginal Community Controlled Health Organisation (NACCHO)). The PBAC acknowledged that </w:t>
            </w:r>
            <w:proofErr w:type="spellStart"/>
            <w:r>
              <w:rPr>
                <w:rFonts w:ascii="Calibri" w:hAnsi="Calibri" w:cs="Calibri"/>
                <w:color w:val="000000"/>
                <w:sz w:val="18"/>
                <w:szCs w:val="18"/>
              </w:rPr>
              <w:t>neffy</w:t>
            </w:r>
            <w:proofErr w:type="spellEnd"/>
            <w:r>
              <w:rPr>
                <w:rFonts w:ascii="Calibri" w:hAnsi="Calibri" w:cs="Calibri"/>
                <w:color w:val="000000"/>
                <w:sz w:val="18"/>
                <w:szCs w:val="18"/>
              </w:rPr>
              <w:t xml:space="preserve"> was more stable to temperature variations and has a longer shelf life than EpiPen. The PBAC accepted this could result in less frequent replacements, which is particularly important for rural and remote communities. </w:t>
            </w:r>
            <w:r>
              <w:rPr>
                <w:rFonts w:ascii="Calibri" w:hAnsi="Calibri" w:cs="Calibri"/>
                <w:color w:val="000000"/>
                <w:sz w:val="18"/>
                <w:szCs w:val="18"/>
              </w:rPr>
              <w:br/>
            </w:r>
            <w:r>
              <w:rPr>
                <w:rFonts w:ascii="Calibri" w:hAnsi="Calibri" w:cs="Calibri"/>
                <w:color w:val="000000"/>
                <w:sz w:val="18"/>
                <w:szCs w:val="18"/>
              </w:rPr>
              <w:br/>
              <w:t xml:space="preserve">Additionally, the PBAC noted that a needle-free option of adrenaline (epinephrine) may also be easier to carry and use for some patients. The PBAC noted the submission’s claim that adrenaline is underused in treating anaphylaxis, and delayed administration is associated with poorer clinical outcomes.  </w:t>
            </w:r>
            <w:r>
              <w:rPr>
                <w:rFonts w:ascii="Calibri" w:hAnsi="Calibri" w:cs="Calibri"/>
                <w:color w:val="000000"/>
                <w:sz w:val="18"/>
                <w:szCs w:val="18"/>
              </w:rPr>
              <w:br/>
            </w:r>
            <w:r>
              <w:rPr>
                <w:rFonts w:ascii="Calibri" w:hAnsi="Calibri" w:cs="Calibri"/>
                <w:color w:val="000000"/>
                <w:sz w:val="18"/>
                <w:szCs w:val="18"/>
              </w:rPr>
              <w:br/>
              <w:t xml:space="preserve">The PBAC considered that this new form of adrenaline (epinephrine) was as effective as EpiPen, in alleviating symptoms of anaphylaxis. The PBAC considered that there were potential reductions in hospital admissions from improvements in appropriate and timely use of </w:t>
            </w:r>
            <w:proofErr w:type="spellStart"/>
            <w:r>
              <w:rPr>
                <w:rFonts w:ascii="Calibri" w:hAnsi="Calibri" w:cs="Calibri"/>
                <w:color w:val="000000"/>
                <w:sz w:val="18"/>
                <w:szCs w:val="18"/>
              </w:rPr>
              <w:t>neffy</w:t>
            </w:r>
            <w:proofErr w:type="spellEnd"/>
            <w:r>
              <w:rPr>
                <w:rFonts w:ascii="Calibri" w:hAnsi="Calibri" w:cs="Calibri"/>
                <w:color w:val="000000"/>
                <w:sz w:val="18"/>
                <w:szCs w:val="18"/>
              </w:rPr>
              <w:t xml:space="preserve"> compared to EpiPen. Also, it noted potential cost savings from reduced prescription refills for expired devices. Overall, the PBAC considered a small price premium for </w:t>
            </w:r>
            <w:proofErr w:type="spellStart"/>
            <w:r>
              <w:rPr>
                <w:rFonts w:ascii="Calibri" w:hAnsi="Calibri" w:cs="Calibri"/>
                <w:color w:val="000000"/>
                <w:sz w:val="18"/>
                <w:szCs w:val="18"/>
              </w:rPr>
              <w:t>neffy</w:t>
            </w:r>
            <w:proofErr w:type="spellEnd"/>
            <w:r>
              <w:rPr>
                <w:rFonts w:ascii="Calibri" w:hAnsi="Calibri" w:cs="Calibri"/>
                <w:color w:val="000000"/>
                <w:sz w:val="18"/>
                <w:szCs w:val="18"/>
              </w:rPr>
              <w:t xml:space="preserve"> over EpiPen was justified. </w:t>
            </w:r>
            <w:r>
              <w:rPr>
                <w:rFonts w:ascii="Calibri" w:hAnsi="Calibri" w:cs="Calibri"/>
                <w:color w:val="000000"/>
                <w:sz w:val="18"/>
                <w:szCs w:val="18"/>
              </w:rPr>
              <w:br/>
            </w:r>
            <w:r>
              <w:rPr>
                <w:rFonts w:ascii="Calibri" w:hAnsi="Calibri" w:cs="Calibri"/>
                <w:color w:val="000000"/>
                <w:sz w:val="18"/>
                <w:szCs w:val="18"/>
              </w:rPr>
              <w:br/>
              <w:t xml:space="preserve">The </w:t>
            </w:r>
            <w:proofErr w:type="spellStart"/>
            <w:r>
              <w:rPr>
                <w:rFonts w:ascii="Calibri" w:hAnsi="Calibri" w:cs="Calibri"/>
                <w:color w:val="000000"/>
                <w:sz w:val="18"/>
                <w:szCs w:val="18"/>
              </w:rPr>
              <w:t>equi</w:t>
            </w:r>
            <w:proofErr w:type="spellEnd"/>
            <w:r>
              <w:rPr>
                <w:rFonts w:ascii="Calibri" w:hAnsi="Calibri" w:cs="Calibri"/>
                <w:color w:val="000000"/>
                <w:sz w:val="18"/>
                <w:szCs w:val="18"/>
              </w:rPr>
              <w:t xml:space="preserve">-effective doses of </w:t>
            </w:r>
            <w:proofErr w:type="spellStart"/>
            <w:r>
              <w:rPr>
                <w:rFonts w:ascii="Calibri" w:hAnsi="Calibri" w:cs="Calibri"/>
                <w:color w:val="000000"/>
                <w:sz w:val="18"/>
                <w:szCs w:val="18"/>
              </w:rPr>
              <w:t>neffy</w:t>
            </w:r>
            <w:proofErr w:type="spellEnd"/>
            <w:r>
              <w:rPr>
                <w:rFonts w:ascii="Calibri" w:hAnsi="Calibri" w:cs="Calibri"/>
                <w:color w:val="000000"/>
                <w:sz w:val="18"/>
                <w:szCs w:val="18"/>
              </w:rPr>
              <w:t xml:space="preserve"> and EpiPen are a one-for-one substitution: </w:t>
            </w:r>
            <w:r>
              <w:rPr>
                <w:rFonts w:ascii="Calibri" w:hAnsi="Calibri" w:cs="Calibri"/>
                <w:color w:val="000000"/>
                <w:sz w:val="18"/>
                <w:szCs w:val="18"/>
              </w:rPr>
              <w:br/>
              <w:t xml:space="preserve">• EpiPen 0.3 mg/0.3 mL = </w:t>
            </w:r>
            <w:proofErr w:type="spellStart"/>
            <w:r>
              <w:rPr>
                <w:rFonts w:ascii="Calibri" w:hAnsi="Calibri" w:cs="Calibri"/>
                <w:color w:val="000000"/>
                <w:sz w:val="18"/>
                <w:szCs w:val="18"/>
              </w:rPr>
              <w:t>neffy</w:t>
            </w:r>
            <w:proofErr w:type="spellEnd"/>
            <w:r>
              <w:rPr>
                <w:rFonts w:ascii="Calibri" w:hAnsi="Calibri" w:cs="Calibri"/>
                <w:color w:val="000000"/>
                <w:sz w:val="18"/>
                <w:szCs w:val="18"/>
              </w:rPr>
              <w:t xml:space="preserve"> 2 mg/0.1 mL</w:t>
            </w:r>
            <w:r>
              <w:rPr>
                <w:rFonts w:ascii="Calibri" w:hAnsi="Calibri" w:cs="Calibri"/>
                <w:color w:val="000000"/>
                <w:sz w:val="18"/>
                <w:szCs w:val="18"/>
              </w:rPr>
              <w:br/>
            </w:r>
            <w:r>
              <w:rPr>
                <w:rFonts w:ascii="Calibri" w:hAnsi="Calibri" w:cs="Calibri"/>
                <w:color w:val="000000"/>
                <w:sz w:val="18"/>
                <w:szCs w:val="18"/>
              </w:rPr>
              <w:lastRenderedPageBreak/>
              <w:t xml:space="preserve">• EpiPen 0.15 mg/0.3 mL = </w:t>
            </w:r>
            <w:proofErr w:type="spellStart"/>
            <w:r>
              <w:rPr>
                <w:rFonts w:ascii="Calibri" w:hAnsi="Calibri" w:cs="Calibri"/>
                <w:color w:val="000000"/>
                <w:sz w:val="18"/>
                <w:szCs w:val="18"/>
              </w:rPr>
              <w:t>neffy</w:t>
            </w:r>
            <w:proofErr w:type="spellEnd"/>
            <w:r>
              <w:rPr>
                <w:rFonts w:ascii="Calibri" w:hAnsi="Calibri" w:cs="Calibri"/>
                <w:color w:val="000000"/>
                <w:sz w:val="18"/>
                <w:szCs w:val="18"/>
              </w:rPr>
              <w:t xml:space="preserve"> 1 mg/0.1 mL</w:t>
            </w:r>
            <w:r>
              <w:rPr>
                <w:rFonts w:ascii="Calibri" w:hAnsi="Calibri" w:cs="Calibri"/>
                <w:color w:val="000000"/>
                <w:sz w:val="18"/>
                <w:szCs w:val="18"/>
              </w:rPr>
              <w:br/>
            </w:r>
            <w:r>
              <w:rPr>
                <w:rFonts w:ascii="Calibri" w:hAnsi="Calibri" w:cs="Calibri"/>
                <w:color w:val="000000"/>
                <w:sz w:val="18"/>
                <w:szCs w:val="18"/>
              </w:rPr>
              <w:br/>
              <w:t xml:space="preserve">The PBAC advised that the restriction wording for </w:t>
            </w:r>
            <w:proofErr w:type="spellStart"/>
            <w:r>
              <w:rPr>
                <w:rFonts w:ascii="Calibri" w:hAnsi="Calibri" w:cs="Calibri"/>
                <w:color w:val="000000"/>
                <w:sz w:val="18"/>
                <w:szCs w:val="18"/>
              </w:rPr>
              <w:t>neffy</w:t>
            </w:r>
            <w:proofErr w:type="spellEnd"/>
            <w:r>
              <w:rPr>
                <w:rFonts w:ascii="Calibri" w:hAnsi="Calibri" w:cs="Calibri"/>
                <w:color w:val="000000"/>
                <w:sz w:val="18"/>
                <w:szCs w:val="18"/>
              </w:rPr>
              <w:t xml:space="preserve"> should align with the existing restrictions except for the differences in age and weight, and noted that flow-on restriction changes to the Caution and Administrative notes for the auto-injector pens are required to acknowledge the different administration devices and techniques.</w:t>
            </w:r>
          </w:p>
        </w:tc>
      </w:tr>
      <w:tr w:rsidR="00C312E5" w:rsidRPr="00544E10" w14:paraId="6963ABB8" w14:textId="77777777" w:rsidTr="003921D1">
        <w:trPr>
          <w:cantSplit/>
          <w:trHeight w:val="868"/>
        </w:trPr>
        <w:tc>
          <w:tcPr>
            <w:tcW w:w="294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A9E58F7" w14:textId="1E28CDA6" w:rsidR="00F232A9" w:rsidRPr="005F21D6" w:rsidRDefault="00F232A9" w:rsidP="00F232A9">
            <w:pPr>
              <w:jc w:val="center"/>
              <w:rPr>
                <w:rFonts w:asciiTheme="minorHAnsi" w:hAnsiTheme="minorHAnsi" w:cstheme="minorHAnsi"/>
                <w:color w:val="000000"/>
                <w:szCs w:val="20"/>
              </w:rPr>
            </w:pPr>
            <w:r>
              <w:rPr>
                <w:rFonts w:ascii="Calibri" w:hAnsi="Calibri" w:cs="Calibri"/>
                <w:color w:val="000000"/>
                <w:sz w:val="18"/>
                <w:szCs w:val="18"/>
              </w:rPr>
              <w:lastRenderedPageBreak/>
              <w:t>ALECTINIB</w:t>
            </w:r>
            <w:r>
              <w:rPr>
                <w:rFonts w:ascii="Calibri" w:hAnsi="Calibri" w:cs="Calibri"/>
                <w:color w:val="000000"/>
                <w:sz w:val="18"/>
                <w:szCs w:val="18"/>
              </w:rPr>
              <w:br/>
            </w:r>
            <w:r>
              <w:rPr>
                <w:rFonts w:ascii="Calibri" w:hAnsi="Calibri" w:cs="Calibri"/>
                <w:color w:val="000000"/>
                <w:sz w:val="18"/>
                <w:szCs w:val="18"/>
              </w:rPr>
              <w:br/>
              <w:t>Capsule 150 mg</w:t>
            </w:r>
            <w:r>
              <w:rPr>
                <w:rFonts w:ascii="Calibri" w:hAnsi="Calibri" w:cs="Calibri"/>
                <w:color w:val="000000"/>
                <w:sz w:val="18"/>
                <w:szCs w:val="18"/>
              </w:rPr>
              <w:br/>
            </w:r>
            <w:r>
              <w:rPr>
                <w:rFonts w:ascii="Calibri" w:hAnsi="Calibri" w:cs="Calibri"/>
                <w:color w:val="000000"/>
                <w:sz w:val="18"/>
                <w:szCs w:val="18"/>
              </w:rPr>
              <w:br/>
            </w:r>
            <w:proofErr w:type="spellStart"/>
            <w:r>
              <w:rPr>
                <w:rFonts w:ascii="Calibri" w:hAnsi="Calibri" w:cs="Calibri"/>
                <w:color w:val="000000"/>
                <w:sz w:val="18"/>
                <w:szCs w:val="18"/>
              </w:rPr>
              <w:t>Alecensa</w:t>
            </w:r>
            <w:proofErr w:type="spellEnd"/>
            <w:r>
              <w:rPr>
                <w:rFonts w:ascii="Calibri" w:hAnsi="Calibri" w:cs="Calibri"/>
                <w:color w:val="000000"/>
                <w:sz w:val="18"/>
                <w:szCs w:val="18"/>
              </w:rPr>
              <w:t>®</w:t>
            </w:r>
            <w:r>
              <w:rPr>
                <w:rFonts w:ascii="Calibri" w:hAnsi="Calibri" w:cs="Calibri"/>
                <w:color w:val="000000"/>
                <w:sz w:val="18"/>
                <w:szCs w:val="18"/>
              </w:rPr>
              <w:br/>
            </w:r>
            <w:r>
              <w:rPr>
                <w:rFonts w:ascii="Calibri" w:hAnsi="Calibri" w:cs="Calibri"/>
                <w:color w:val="000000"/>
                <w:sz w:val="18"/>
                <w:szCs w:val="18"/>
              </w:rPr>
              <w:br/>
              <w:t xml:space="preserve">ROCHE PRODUCTS PTY LTD </w:t>
            </w:r>
            <w:r>
              <w:rPr>
                <w:rFonts w:ascii="Calibri" w:hAnsi="Calibri" w:cs="Calibri"/>
                <w:color w:val="000000"/>
                <w:sz w:val="18"/>
                <w:szCs w:val="18"/>
              </w:rPr>
              <w:br/>
            </w:r>
            <w:r>
              <w:rPr>
                <w:rFonts w:ascii="Calibri" w:hAnsi="Calibri" w:cs="Calibri"/>
                <w:color w:val="000000"/>
                <w:sz w:val="18"/>
                <w:szCs w:val="18"/>
              </w:rPr>
              <w:br/>
              <w:t>Matters arising from the minutes</w:t>
            </w:r>
            <w:r>
              <w:rPr>
                <w:rFonts w:ascii="Calibri" w:hAnsi="Calibri" w:cs="Calibri"/>
                <w:color w:val="000000"/>
                <w:sz w:val="18"/>
                <w:szCs w:val="18"/>
              </w:rPr>
              <w:br/>
              <w:t xml:space="preserve">(Change to existing </w:t>
            </w:r>
            <w:r w:rsidR="00957109">
              <w:rPr>
                <w:rFonts w:ascii="Calibri" w:hAnsi="Calibri" w:cs="Calibri"/>
                <w:color w:val="000000"/>
                <w:sz w:val="18"/>
                <w:szCs w:val="18"/>
              </w:rPr>
              <w:t>listing)</w:t>
            </w:r>
            <w:r>
              <w:rPr>
                <w:rFonts w:ascii="Calibri" w:hAnsi="Calibri" w:cs="Calibri"/>
                <w:color w:val="000000"/>
                <w:sz w:val="18"/>
                <w:szCs w:val="18"/>
              </w:rPr>
              <w:t xml:space="preserve"> </w:t>
            </w:r>
            <w:r>
              <w:rPr>
                <w:rFonts w:ascii="Calibri" w:hAnsi="Calibri" w:cs="Calibri"/>
                <w:color w:val="000000"/>
                <w:sz w:val="18"/>
                <w:szCs w:val="18"/>
              </w:rPr>
              <w:br/>
            </w:r>
            <w:r>
              <w:rPr>
                <w:rFonts w:ascii="Calibri" w:hAnsi="Calibri" w:cs="Calibri"/>
                <w:color w:val="000000"/>
                <w:sz w:val="18"/>
                <w:szCs w:val="18"/>
              </w:rPr>
              <w:br/>
              <w:t xml:space="preserve">PBS General Schedule </w:t>
            </w:r>
          </w:p>
        </w:tc>
        <w:tc>
          <w:tcPr>
            <w:tcW w:w="1983" w:type="dxa"/>
            <w:tcBorders>
              <w:top w:val="single" w:sz="4" w:space="0" w:color="auto"/>
              <w:left w:val="single" w:sz="4" w:space="0" w:color="auto"/>
              <w:bottom w:val="single" w:sz="4" w:space="0" w:color="auto"/>
              <w:right w:val="single" w:sz="4" w:space="0" w:color="auto"/>
            </w:tcBorders>
            <w:vAlign w:val="center"/>
          </w:tcPr>
          <w:p w14:paraId="47C7AA7C" w14:textId="1C85533C" w:rsidR="00F232A9" w:rsidRPr="005F21D6" w:rsidRDefault="00F232A9" w:rsidP="00F232A9">
            <w:pPr>
              <w:jc w:val="center"/>
              <w:rPr>
                <w:rFonts w:asciiTheme="minorHAnsi" w:hAnsiTheme="minorHAnsi" w:cstheme="minorHAnsi"/>
                <w:color w:val="000000"/>
                <w:sz w:val="18"/>
                <w:szCs w:val="18"/>
              </w:rPr>
            </w:pPr>
            <w:r>
              <w:rPr>
                <w:rFonts w:ascii="Calibri" w:hAnsi="Calibri" w:cs="Calibri"/>
                <w:color w:val="000000"/>
                <w:sz w:val="18"/>
                <w:szCs w:val="18"/>
              </w:rPr>
              <w:t xml:space="preserve">Non-small cell lung cancer </w:t>
            </w:r>
            <w:r>
              <w:rPr>
                <w:rFonts w:ascii="Calibri" w:hAnsi="Calibri" w:cs="Calibri"/>
                <w:color w:val="000000"/>
                <w:sz w:val="18"/>
                <w:szCs w:val="18"/>
              </w:rPr>
              <w:br/>
              <w:t xml:space="preserve">(NSCLC) </w:t>
            </w:r>
          </w:p>
        </w:tc>
        <w:tc>
          <w:tcPr>
            <w:tcW w:w="238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1E43E13" w14:textId="41D6D8B9" w:rsidR="00F232A9" w:rsidRPr="005F21D6" w:rsidRDefault="00F232A9" w:rsidP="00F232A9">
            <w:pPr>
              <w:jc w:val="center"/>
              <w:rPr>
                <w:rFonts w:asciiTheme="minorHAnsi" w:hAnsiTheme="minorHAnsi" w:cstheme="minorHAnsi"/>
                <w:color w:val="000000"/>
                <w:sz w:val="18"/>
                <w:szCs w:val="18"/>
              </w:rPr>
            </w:pPr>
            <w:r>
              <w:rPr>
                <w:rFonts w:ascii="Calibri" w:hAnsi="Calibri" w:cs="Calibri"/>
                <w:color w:val="000000"/>
                <w:sz w:val="18"/>
                <w:szCs w:val="18"/>
              </w:rPr>
              <w:t xml:space="preserve">To consider the sponsor’s proposal for listing </w:t>
            </w:r>
            <w:proofErr w:type="spellStart"/>
            <w:r>
              <w:rPr>
                <w:rFonts w:ascii="Calibri" w:hAnsi="Calibri" w:cs="Calibri"/>
                <w:color w:val="000000"/>
                <w:sz w:val="18"/>
                <w:szCs w:val="18"/>
              </w:rPr>
              <w:t>alectinib</w:t>
            </w:r>
            <w:proofErr w:type="spellEnd"/>
            <w:r>
              <w:rPr>
                <w:rFonts w:ascii="Calibri" w:hAnsi="Calibri" w:cs="Calibri"/>
                <w:color w:val="000000"/>
                <w:sz w:val="18"/>
                <w:szCs w:val="18"/>
              </w:rPr>
              <w:t xml:space="preserve"> for adjuvant treatment of adult patients following tumour resection of anaplastic lymphoma kinase (ALK)-positive non-small cell lung cancer (NSCLC). This item was previously recommended by the PBAC at its May 2025 meeting. </w:t>
            </w:r>
            <w:r>
              <w:rPr>
                <w:rFonts w:ascii="Calibri" w:hAnsi="Calibri" w:cs="Calibri"/>
                <w:color w:val="000000"/>
                <w:sz w:val="18"/>
                <w:szCs w:val="18"/>
              </w:rPr>
              <w:br/>
              <w:t xml:space="preserve">To consider consumer input regarding re-treatment with an ALK inhibitor in the metastatic setting following adjuvant </w:t>
            </w:r>
            <w:proofErr w:type="spellStart"/>
            <w:r>
              <w:rPr>
                <w:rFonts w:ascii="Calibri" w:hAnsi="Calibri" w:cs="Calibri"/>
                <w:color w:val="000000"/>
                <w:sz w:val="18"/>
                <w:szCs w:val="18"/>
              </w:rPr>
              <w:t>alectinib</w:t>
            </w:r>
            <w:proofErr w:type="spellEnd"/>
            <w:r>
              <w:rPr>
                <w:rFonts w:ascii="Calibri" w:hAnsi="Calibri" w:cs="Calibri"/>
                <w:color w:val="000000"/>
                <w:sz w:val="18"/>
                <w:szCs w:val="18"/>
              </w:rPr>
              <w:t xml:space="preserve"> treatment.</w:t>
            </w:r>
            <w:r>
              <w:rPr>
                <w:rFonts w:ascii="Calibri" w:hAnsi="Calibri" w:cs="Calibri"/>
                <w:color w:val="000000"/>
                <w:sz w:val="18"/>
                <w:szCs w:val="18"/>
              </w:rPr>
              <w:br/>
            </w:r>
            <w:r>
              <w:rPr>
                <w:rFonts w:ascii="Calibri" w:hAnsi="Calibri" w:cs="Calibri"/>
                <w:color w:val="000000"/>
                <w:sz w:val="18"/>
                <w:szCs w:val="18"/>
              </w:rPr>
              <w:br/>
              <w:t>Authority Required (Telephone/Online)</w:t>
            </w:r>
          </w:p>
        </w:tc>
        <w:tc>
          <w:tcPr>
            <w:tcW w:w="1415" w:type="dxa"/>
            <w:vAlign w:val="center"/>
          </w:tcPr>
          <w:p w14:paraId="3C2E2F60" w14:textId="6A450653" w:rsidR="00F232A9" w:rsidRPr="00544E10" w:rsidRDefault="00F232A9" w:rsidP="00BC5794">
            <w:pPr>
              <w:ind w:left="11"/>
              <w:contextualSpacing/>
              <w:jc w:val="center"/>
              <w:rPr>
                <w:rFonts w:asciiTheme="minorHAnsi" w:hAnsiTheme="minorHAnsi" w:cstheme="minorHAnsi"/>
                <w:color w:val="000000" w:themeColor="text1"/>
                <w:sz w:val="18"/>
                <w:szCs w:val="18"/>
              </w:rPr>
            </w:pPr>
            <w:r>
              <w:rPr>
                <w:rFonts w:ascii="Calibri" w:hAnsi="Calibri" w:cs="Calibri"/>
                <w:color w:val="000000"/>
                <w:sz w:val="18"/>
                <w:szCs w:val="18"/>
              </w:rPr>
              <w:t>Advice Provided</w:t>
            </w:r>
          </w:p>
        </w:tc>
        <w:tc>
          <w:tcPr>
            <w:tcW w:w="4729" w:type="dxa"/>
            <w:vAlign w:val="center"/>
          </w:tcPr>
          <w:p w14:paraId="52DC52DC" w14:textId="7510852D" w:rsidR="00F232A9" w:rsidRPr="00544E10" w:rsidRDefault="00F232A9" w:rsidP="00241142">
            <w:pPr>
              <w:ind w:left="11"/>
              <w:contextualSpacing/>
              <w:rPr>
                <w:rFonts w:asciiTheme="minorHAnsi" w:hAnsiTheme="minorHAnsi" w:cstheme="minorHAnsi"/>
                <w:color w:val="000000" w:themeColor="text1"/>
                <w:sz w:val="18"/>
                <w:szCs w:val="18"/>
              </w:rPr>
            </w:pPr>
            <w:r>
              <w:rPr>
                <w:rFonts w:ascii="Calibri" w:hAnsi="Calibri" w:cs="Calibri"/>
                <w:color w:val="000000"/>
                <w:sz w:val="18"/>
                <w:szCs w:val="18"/>
              </w:rPr>
              <w:t xml:space="preserve">The PBAC reaffirmed its May 2025 recommendation that </w:t>
            </w:r>
            <w:proofErr w:type="spellStart"/>
            <w:r>
              <w:rPr>
                <w:rFonts w:ascii="Calibri" w:hAnsi="Calibri" w:cs="Calibri"/>
                <w:color w:val="000000"/>
                <w:sz w:val="18"/>
                <w:szCs w:val="18"/>
              </w:rPr>
              <w:t>alectinib</w:t>
            </w:r>
            <w:proofErr w:type="spellEnd"/>
            <w:r>
              <w:rPr>
                <w:rFonts w:ascii="Calibri" w:hAnsi="Calibri" w:cs="Calibri"/>
                <w:color w:val="000000"/>
                <w:sz w:val="18"/>
                <w:szCs w:val="18"/>
              </w:rPr>
              <w:t xml:space="preserve"> be made available for the treatment of anaplastic lymphoma kinase (ALK)-positive non-small cell lung cancer (NSCLC) (tumours ≥4 cm or node positive) as adjuvant therapy after tumour resection. The PBAC provided additional advice on eligibility for access in the locally advanced/metastatic setting so that if </w:t>
            </w:r>
            <w:proofErr w:type="spellStart"/>
            <w:r>
              <w:rPr>
                <w:rFonts w:ascii="Calibri" w:hAnsi="Calibri" w:cs="Calibri"/>
                <w:color w:val="000000"/>
                <w:sz w:val="18"/>
                <w:szCs w:val="18"/>
              </w:rPr>
              <w:t>alectinib</w:t>
            </w:r>
            <w:proofErr w:type="spellEnd"/>
            <w:r>
              <w:rPr>
                <w:rFonts w:ascii="Calibri" w:hAnsi="Calibri" w:cs="Calibri"/>
                <w:color w:val="000000"/>
                <w:sz w:val="18"/>
                <w:szCs w:val="18"/>
              </w:rPr>
              <w:t xml:space="preserve"> is used following surgery to reduce the risk of cancer coming back, a different ALK inhibitor may be used later if needed.</w:t>
            </w:r>
            <w:r>
              <w:rPr>
                <w:rFonts w:ascii="Calibri" w:hAnsi="Calibri" w:cs="Calibri"/>
                <w:color w:val="000000"/>
                <w:sz w:val="18"/>
                <w:szCs w:val="18"/>
              </w:rPr>
              <w:br/>
            </w:r>
            <w:r>
              <w:rPr>
                <w:rFonts w:ascii="Calibri" w:hAnsi="Calibri" w:cs="Calibri"/>
                <w:color w:val="000000"/>
                <w:sz w:val="18"/>
                <w:szCs w:val="18"/>
              </w:rPr>
              <w:br/>
              <w:t xml:space="preserve">The PBAC recalled that it had previously wanted to increase patient access to ALK inhibitor treatment for locally advanced/metastatic cancer following treatment with </w:t>
            </w:r>
            <w:proofErr w:type="spellStart"/>
            <w:r>
              <w:rPr>
                <w:rFonts w:ascii="Calibri" w:hAnsi="Calibri" w:cs="Calibri"/>
                <w:color w:val="000000"/>
                <w:sz w:val="18"/>
                <w:szCs w:val="18"/>
              </w:rPr>
              <w:t>alectinib</w:t>
            </w:r>
            <w:proofErr w:type="spellEnd"/>
            <w:r>
              <w:rPr>
                <w:rFonts w:ascii="Calibri" w:hAnsi="Calibri" w:cs="Calibri"/>
                <w:color w:val="000000"/>
                <w:sz w:val="18"/>
                <w:szCs w:val="18"/>
              </w:rPr>
              <w:t xml:space="preserve"> after surgery but had not received enough evidence to make this recommendation. The PBAC welcomed the input provided by ALK-positive Australia and Medical Oncology Group of Australia, noting the equity issues associated with preventing re-treatment with an ALK inhibitor, the clinical rationale and expected outcomes of re-treatment with an ALK inhibitor after treatment with </w:t>
            </w:r>
            <w:proofErr w:type="spellStart"/>
            <w:r>
              <w:rPr>
                <w:rFonts w:ascii="Calibri" w:hAnsi="Calibri" w:cs="Calibri"/>
                <w:color w:val="000000"/>
                <w:sz w:val="18"/>
                <w:szCs w:val="18"/>
              </w:rPr>
              <w:t>alectinib</w:t>
            </w:r>
            <w:proofErr w:type="spellEnd"/>
            <w:r>
              <w:rPr>
                <w:rFonts w:ascii="Calibri" w:hAnsi="Calibri" w:cs="Calibri"/>
                <w:color w:val="000000"/>
                <w:sz w:val="18"/>
                <w:szCs w:val="18"/>
              </w:rPr>
              <w:t xml:space="preserve"> following surgery, and that the financial impact to the PBS of allowing re-treatment with an ALK inhibitor following treatment with </w:t>
            </w:r>
            <w:proofErr w:type="spellStart"/>
            <w:r>
              <w:rPr>
                <w:rFonts w:ascii="Calibri" w:hAnsi="Calibri" w:cs="Calibri"/>
                <w:color w:val="000000"/>
                <w:sz w:val="18"/>
                <w:szCs w:val="18"/>
              </w:rPr>
              <w:t>alectinib</w:t>
            </w:r>
            <w:proofErr w:type="spellEnd"/>
            <w:r>
              <w:rPr>
                <w:rFonts w:ascii="Calibri" w:hAnsi="Calibri" w:cs="Calibri"/>
                <w:color w:val="000000"/>
                <w:sz w:val="18"/>
                <w:szCs w:val="18"/>
              </w:rPr>
              <w:t xml:space="preserve"> would likely be minimal. After considering the additional input received from consumer and clinical groups, the PBAC advised that listing </w:t>
            </w:r>
            <w:proofErr w:type="spellStart"/>
            <w:r>
              <w:rPr>
                <w:rFonts w:ascii="Calibri" w:hAnsi="Calibri" w:cs="Calibri"/>
                <w:color w:val="000000"/>
                <w:sz w:val="18"/>
                <w:szCs w:val="18"/>
              </w:rPr>
              <w:t>alectinib</w:t>
            </w:r>
            <w:proofErr w:type="spellEnd"/>
            <w:r>
              <w:rPr>
                <w:rFonts w:ascii="Calibri" w:hAnsi="Calibri" w:cs="Calibri"/>
                <w:color w:val="000000"/>
                <w:sz w:val="18"/>
                <w:szCs w:val="18"/>
              </w:rPr>
              <w:t xml:space="preserve"> for ALK-positive NSCLC and allowing re-treatment with another ALK inhibitor if the cancer advances, would be cost-effective.</w:t>
            </w:r>
          </w:p>
        </w:tc>
      </w:tr>
      <w:tr w:rsidR="00C312E5" w:rsidRPr="00544E10" w14:paraId="1DAE8F31" w14:textId="77777777" w:rsidTr="003921D1">
        <w:trPr>
          <w:cantSplit/>
          <w:trHeight w:val="868"/>
        </w:trPr>
        <w:tc>
          <w:tcPr>
            <w:tcW w:w="294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A892B13" w14:textId="77777777" w:rsidR="007E77E4" w:rsidRDefault="00F232A9" w:rsidP="007E77E4">
            <w:pPr>
              <w:spacing w:after="0"/>
              <w:jc w:val="center"/>
              <w:rPr>
                <w:rFonts w:ascii="Calibri" w:hAnsi="Calibri" w:cs="Calibri"/>
                <w:color w:val="000000"/>
                <w:sz w:val="18"/>
                <w:szCs w:val="18"/>
              </w:rPr>
            </w:pPr>
            <w:r>
              <w:rPr>
                <w:rFonts w:ascii="Calibri" w:hAnsi="Calibri" w:cs="Calibri"/>
                <w:color w:val="000000"/>
                <w:sz w:val="18"/>
                <w:szCs w:val="18"/>
              </w:rPr>
              <w:t>AMIVANTAMAB</w:t>
            </w:r>
            <w:r>
              <w:rPr>
                <w:rFonts w:ascii="Calibri" w:hAnsi="Calibri" w:cs="Calibri"/>
                <w:color w:val="000000"/>
                <w:sz w:val="18"/>
                <w:szCs w:val="18"/>
              </w:rPr>
              <w:br/>
            </w:r>
            <w:r>
              <w:rPr>
                <w:rFonts w:ascii="Calibri" w:hAnsi="Calibri" w:cs="Calibri"/>
                <w:color w:val="000000"/>
                <w:sz w:val="18"/>
                <w:szCs w:val="18"/>
              </w:rPr>
              <w:br/>
              <w:t>Solution concentrate for I.V. infusion 350 mg in 7 mL</w:t>
            </w:r>
            <w:r>
              <w:rPr>
                <w:rFonts w:ascii="Calibri" w:hAnsi="Calibri" w:cs="Calibri"/>
                <w:color w:val="000000"/>
                <w:sz w:val="18"/>
                <w:szCs w:val="18"/>
              </w:rPr>
              <w:br/>
            </w:r>
            <w:r>
              <w:rPr>
                <w:rFonts w:ascii="Calibri" w:hAnsi="Calibri" w:cs="Calibri"/>
                <w:color w:val="000000"/>
                <w:sz w:val="18"/>
                <w:szCs w:val="18"/>
              </w:rPr>
              <w:br/>
            </w:r>
            <w:proofErr w:type="spellStart"/>
            <w:r>
              <w:rPr>
                <w:rFonts w:ascii="Calibri" w:hAnsi="Calibri" w:cs="Calibri"/>
                <w:color w:val="000000"/>
                <w:sz w:val="18"/>
                <w:szCs w:val="18"/>
              </w:rPr>
              <w:t>Rybrevant</w:t>
            </w:r>
            <w:proofErr w:type="spellEnd"/>
            <w:r>
              <w:rPr>
                <w:rFonts w:ascii="Calibri" w:hAnsi="Calibri" w:cs="Calibri"/>
                <w:color w:val="000000"/>
                <w:sz w:val="18"/>
                <w:szCs w:val="18"/>
              </w:rPr>
              <w:t>®</w:t>
            </w:r>
            <w:r>
              <w:rPr>
                <w:rFonts w:ascii="Calibri" w:hAnsi="Calibri" w:cs="Calibri"/>
                <w:color w:val="000000"/>
                <w:sz w:val="18"/>
                <w:szCs w:val="18"/>
              </w:rPr>
              <w:br/>
            </w:r>
            <w:r>
              <w:rPr>
                <w:rFonts w:ascii="Calibri" w:hAnsi="Calibri" w:cs="Calibri"/>
                <w:color w:val="000000"/>
                <w:sz w:val="18"/>
                <w:szCs w:val="18"/>
              </w:rPr>
              <w:br/>
              <w:t>JANSSEN-CILAG PTY LTD</w:t>
            </w:r>
            <w:r>
              <w:rPr>
                <w:rFonts w:ascii="Calibri" w:hAnsi="Calibri" w:cs="Calibri"/>
                <w:color w:val="000000"/>
                <w:sz w:val="18"/>
                <w:szCs w:val="18"/>
              </w:rPr>
              <w:br/>
            </w:r>
            <w:r>
              <w:rPr>
                <w:rFonts w:ascii="Calibri" w:hAnsi="Calibri" w:cs="Calibri"/>
                <w:color w:val="000000"/>
                <w:sz w:val="18"/>
                <w:szCs w:val="18"/>
              </w:rPr>
              <w:br/>
              <w:t>Category 2</w:t>
            </w:r>
            <w:r>
              <w:rPr>
                <w:rFonts w:ascii="Calibri" w:hAnsi="Calibri" w:cs="Calibri"/>
                <w:color w:val="000000"/>
                <w:sz w:val="18"/>
                <w:szCs w:val="18"/>
              </w:rPr>
              <w:br/>
              <w:t xml:space="preserve">(Change to existing </w:t>
            </w:r>
            <w:r w:rsidR="00957109">
              <w:rPr>
                <w:rFonts w:ascii="Calibri" w:hAnsi="Calibri" w:cs="Calibri"/>
                <w:color w:val="000000"/>
                <w:sz w:val="18"/>
                <w:szCs w:val="18"/>
              </w:rPr>
              <w:t>listing)</w:t>
            </w:r>
            <w:r>
              <w:rPr>
                <w:rFonts w:ascii="Calibri" w:hAnsi="Calibri" w:cs="Calibri"/>
                <w:color w:val="000000"/>
                <w:sz w:val="18"/>
                <w:szCs w:val="18"/>
              </w:rPr>
              <w:br/>
            </w:r>
            <w:r>
              <w:rPr>
                <w:rFonts w:ascii="Calibri" w:hAnsi="Calibri" w:cs="Calibri"/>
                <w:color w:val="000000"/>
                <w:sz w:val="18"/>
                <w:szCs w:val="18"/>
              </w:rPr>
              <w:br/>
              <w:t xml:space="preserve">PBS Section 100 </w:t>
            </w:r>
          </w:p>
          <w:p w14:paraId="2FBF9DF7" w14:textId="2DEE503E" w:rsidR="00F232A9" w:rsidRPr="005F21D6" w:rsidRDefault="00F232A9" w:rsidP="00F232A9">
            <w:pPr>
              <w:jc w:val="center"/>
              <w:rPr>
                <w:rFonts w:asciiTheme="minorHAnsi" w:hAnsiTheme="minorHAnsi" w:cstheme="minorHAnsi"/>
                <w:color w:val="000000"/>
                <w:szCs w:val="20"/>
              </w:rPr>
            </w:pPr>
            <w:r>
              <w:rPr>
                <w:rFonts w:ascii="Calibri" w:hAnsi="Calibri" w:cs="Calibri"/>
                <w:color w:val="000000"/>
                <w:sz w:val="18"/>
                <w:szCs w:val="18"/>
              </w:rPr>
              <w:t>(Efficient Funding of Chemotherapy Program)</w:t>
            </w:r>
          </w:p>
        </w:tc>
        <w:tc>
          <w:tcPr>
            <w:tcW w:w="1983" w:type="dxa"/>
            <w:tcBorders>
              <w:top w:val="single" w:sz="4" w:space="0" w:color="auto"/>
              <w:left w:val="single" w:sz="4" w:space="0" w:color="auto"/>
              <w:bottom w:val="single" w:sz="4" w:space="0" w:color="auto"/>
              <w:right w:val="single" w:sz="4" w:space="0" w:color="auto"/>
            </w:tcBorders>
            <w:vAlign w:val="center"/>
          </w:tcPr>
          <w:p w14:paraId="651BEAB0" w14:textId="35441636" w:rsidR="00F232A9" w:rsidRPr="005F21D6" w:rsidRDefault="00F232A9" w:rsidP="00F232A9">
            <w:pPr>
              <w:jc w:val="center"/>
              <w:rPr>
                <w:rFonts w:asciiTheme="minorHAnsi" w:hAnsiTheme="minorHAnsi" w:cstheme="minorHAnsi"/>
                <w:color w:val="000000"/>
                <w:sz w:val="18"/>
                <w:szCs w:val="18"/>
              </w:rPr>
            </w:pPr>
            <w:r>
              <w:rPr>
                <w:rFonts w:ascii="Calibri" w:hAnsi="Calibri" w:cs="Calibri"/>
                <w:color w:val="000000"/>
                <w:sz w:val="18"/>
                <w:szCs w:val="18"/>
              </w:rPr>
              <w:t>Non-small cell lung cancer (NSCLC)</w:t>
            </w:r>
          </w:p>
        </w:tc>
        <w:tc>
          <w:tcPr>
            <w:tcW w:w="238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B075998" w14:textId="1014E6FE" w:rsidR="00F232A9" w:rsidRPr="005F21D6" w:rsidRDefault="00F232A9" w:rsidP="00F232A9">
            <w:pPr>
              <w:jc w:val="center"/>
              <w:rPr>
                <w:rFonts w:asciiTheme="minorHAnsi" w:hAnsiTheme="minorHAnsi" w:cstheme="minorHAnsi"/>
                <w:color w:val="000000"/>
                <w:sz w:val="18"/>
                <w:szCs w:val="18"/>
              </w:rPr>
            </w:pPr>
            <w:r>
              <w:rPr>
                <w:rFonts w:ascii="Calibri" w:hAnsi="Calibri" w:cs="Calibri"/>
                <w:color w:val="000000"/>
                <w:sz w:val="18"/>
                <w:szCs w:val="18"/>
              </w:rPr>
              <w:t xml:space="preserve">To request listing of </w:t>
            </w:r>
            <w:proofErr w:type="spellStart"/>
            <w:r>
              <w:rPr>
                <w:rFonts w:ascii="Calibri" w:hAnsi="Calibri" w:cs="Calibri"/>
                <w:color w:val="000000"/>
                <w:sz w:val="18"/>
                <w:szCs w:val="18"/>
              </w:rPr>
              <w:t>amivantamab</w:t>
            </w:r>
            <w:proofErr w:type="spellEnd"/>
            <w:r>
              <w:rPr>
                <w:rFonts w:ascii="Calibri" w:hAnsi="Calibri" w:cs="Calibri"/>
                <w:color w:val="000000"/>
                <w:sz w:val="18"/>
                <w:szCs w:val="18"/>
              </w:rPr>
              <w:t xml:space="preserve"> for use in combination with platinum-based chemotherapy for the treatment of adult patients with locally advanced or metastatic NSCLC with an epidermal growth factor receptor (EGFR) gene mutation, whose condition has progressed on or after treatment with </w:t>
            </w:r>
            <w:proofErr w:type="spellStart"/>
            <w:r>
              <w:rPr>
                <w:rFonts w:ascii="Calibri" w:hAnsi="Calibri" w:cs="Calibri"/>
                <w:color w:val="000000"/>
                <w:sz w:val="18"/>
                <w:szCs w:val="18"/>
              </w:rPr>
              <w:t>osimertinib</w:t>
            </w:r>
            <w:proofErr w:type="spellEnd"/>
            <w:r>
              <w:rPr>
                <w:rFonts w:ascii="Calibri" w:hAnsi="Calibri" w:cs="Calibri"/>
                <w:color w:val="000000"/>
                <w:sz w:val="18"/>
                <w:szCs w:val="18"/>
              </w:rPr>
              <w:t>.</w:t>
            </w:r>
            <w:r>
              <w:rPr>
                <w:rFonts w:ascii="Calibri" w:hAnsi="Calibri" w:cs="Calibri"/>
                <w:color w:val="000000"/>
                <w:sz w:val="18"/>
                <w:szCs w:val="18"/>
              </w:rPr>
              <w:br/>
            </w:r>
            <w:r>
              <w:rPr>
                <w:rFonts w:ascii="Calibri" w:hAnsi="Calibri" w:cs="Calibri"/>
                <w:color w:val="000000"/>
                <w:sz w:val="18"/>
                <w:szCs w:val="18"/>
              </w:rPr>
              <w:br/>
              <w:t>Authority Required (Telephone/Online)</w:t>
            </w:r>
          </w:p>
        </w:tc>
        <w:tc>
          <w:tcPr>
            <w:tcW w:w="1415" w:type="dxa"/>
            <w:vAlign w:val="center"/>
          </w:tcPr>
          <w:p w14:paraId="64051F7E" w14:textId="0CEE5BCB" w:rsidR="00F232A9" w:rsidRPr="00544E10" w:rsidRDefault="00F232A9" w:rsidP="00BC5794">
            <w:pPr>
              <w:ind w:left="11"/>
              <w:contextualSpacing/>
              <w:jc w:val="center"/>
              <w:rPr>
                <w:rFonts w:asciiTheme="minorHAnsi" w:hAnsiTheme="minorHAnsi" w:cstheme="minorHAnsi"/>
                <w:color w:val="000000" w:themeColor="text1"/>
                <w:sz w:val="18"/>
                <w:szCs w:val="18"/>
              </w:rPr>
            </w:pPr>
            <w:r>
              <w:rPr>
                <w:rFonts w:ascii="Calibri" w:hAnsi="Calibri" w:cs="Calibri"/>
                <w:color w:val="000000"/>
                <w:sz w:val="18"/>
                <w:szCs w:val="18"/>
              </w:rPr>
              <w:t>Recommended</w:t>
            </w:r>
          </w:p>
        </w:tc>
        <w:tc>
          <w:tcPr>
            <w:tcW w:w="4729" w:type="dxa"/>
            <w:vAlign w:val="center"/>
          </w:tcPr>
          <w:p w14:paraId="3396079B" w14:textId="2F443318" w:rsidR="00F232A9" w:rsidRPr="00544E10" w:rsidRDefault="00F232A9" w:rsidP="00241142">
            <w:pPr>
              <w:ind w:left="11"/>
              <w:contextualSpacing/>
              <w:rPr>
                <w:rFonts w:asciiTheme="minorHAnsi" w:hAnsiTheme="minorHAnsi" w:cstheme="minorHAnsi"/>
                <w:color w:val="000000" w:themeColor="text1"/>
                <w:sz w:val="18"/>
                <w:szCs w:val="18"/>
              </w:rPr>
            </w:pPr>
            <w:r>
              <w:rPr>
                <w:rFonts w:ascii="Calibri" w:hAnsi="Calibri" w:cs="Calibri"/>
                <w:color w:val="000000"/>
                <w:sz w:val="18"/>
                <w:szCs w:val="18"/>
              </w:rPr>
              <w:t xml:space="preserve">The PBAC recommended the listing of </w:t>
            </w:r>
            <w:proofErr w:type="spellStart"/>
            <w:r>
              <w:rPr>
                <w:rFonts w:ascii="Calibri" w:hAnsi="Calibri" w:cs="Calibri"/>
                <w:color w:val="000000"/>
                <w:sz w:val="18"/>
                <w:szCs w:val="18"/>
              </w:rPr>
              <w:t>amivantamab</w:t>
            </w:r>
            <w:proofErr w:type="spellEnd"/>
            <w:r>
              <w:rPr>
                <w:rFonts w:ascii="Calibri" w:hAnsi="Calibri" w:cs="Calibri"/>
                <w:color w:val="000000"/>
                <w:sz w:val="18"/>
                <w:szCs w:val="18"/>
              </w:rPr>
              <w:t xml:space="preserve">, in combination with platinum-based doublet chemotherapy (PDC), for the treatment of patients with epidermal growth factor receptor gene mutated (EGFRm) locally advanced/metastatic non-small cell lung cancer (NSCLC), where the condition has progressed during or after treatment with </w:t>
            </w:r>
            <w:proofErr w:type="spellStart"/>
            <w:r>
              <w:rPr>
                <w:rFonts w:ascii="Calibri" w:hAnsi="Calibri" w:cs="Calibri"/>
                <w:color w:val="000000"/>
                <w:sz w:val="18"/>
                <w:szCs w:val="18"/>
              </w:rPr>
              <w:t>osimertinib</w:t>
            </w:r>
            <w:proofErr w:type="spellEnd"/>
            <w:r>
              <w:rPr>
                <w:rFonts w:ascii="Calibri" w:hAnsi="Calibri" w:cs="Calibri"/>
                <w:color w:val="000000"/>
                <w:sz w:val="18"/>
                <w:szCs w:val="18"/>
              </w:rPr>
              <w:t xml:space="preserve">, a medicine commonly used for patients with EGFRm NSCLC. </w:t>
            </w:r>
            <w:r>
              <w:rPr>
                <w:rFonts w:ascii="Calibri" w:hAnsi="Calibri" w:cs="Calibri"/>
                <w:color w:val="000000"/>
                <w:sz w:val="18"/>
                <w:szCs w:val="18"/>
              </w:rPr>
              <w:br/>
            </w:r>
            <w:r>
              <w:rPr>
                <w:rFonts w:ascii="Calibri" w:hAnsi="Calibri" w:cs="Calibri"/>
                <w:color w:val="000000"/>
                <w:sz w:val="18"/>
                <w:szCs w:val="18"/>
              </w:rPr>
              <w:br/>
              <w:t xml:space="preserve">The PBAC welcomed input from individuals, health care professionals and organisations. Input from individuals expressed hope that </w:t>
            </w:r>
            <w:proofErr w:type="spellStart"/>
            <w:r>
              <w:rPr>
                <w:rFonts w:ascii="Calibri" w:hAnsi="Calibri" w:cs="Calibri"/>
                <w:color w:val="000000"/>
                <w:sz w:val="18"/>
                <w:szCs w:val="18"/>
              </w:rPr>
              <w:t>amivantamab</w:t>
            </w:r>
            <w:proofErr w:type="spellEnd"/>
            <w:r>
              <w:rPr>
                <w:rFonts w:ascii="Calibri" w:hAnsi="Calibri" w:cs="Calibri"/>
                <w:color w:val="000000"/>
                <w:sz w:val="18"/>
                <w:szCs w:val="18"/>
              </w:rPr>
              <w:t xml:space="preserve"> could improve quality of life and prolong survival noting that there were significant negative side-effects such as lethargy, pain, difficulty breathing and reduced mobility associated with currently available treatment options. Input from health care professionals indicated that </w:t>
            </w:r>
            <w:proofErr w:type="spellStart"/>
            <w:r>
              <w:rPr>
                <w:rFonts w:ascii="Calibri" w:hAnsi="Calibri" w:cs="Calibri"/>
                <w:color w:val="000000"/>
                <w:sz w:val="18"/>
                <w:szCs w:val="18"/>
              </w:rPr>
              <w:t>amivantamab</w:t>
            </w:r>
            <w:proofErr w:type="spellEnd"/>
            <w:r>
              <w:rPr>
                <w:rFonts w:ascii="Calibri" w:hAnsi="Calibri" w:cs="Calibri"/>
                <w:color w:val="000000"/>
                <w:sz w:val="18"/>
                <w:szCs w:val="18"/>
              </w:rPr>
              <w:t xml:space="preserve"> would provide meaningful benefits for patients, helping people live longer and slowing the progression of their disease.</w:t>
            </w:r>
            <w:r>
              <w:rPr>
                <w:rFonts w:ascii="Calibri" w:hAnsi="Calibri" w:cs="Calibri"/>
                <w:color w:val="000000"/>
                <w:sz w:val="18"/>
                <w:szCs w:val="18"/>
              </w:rPr>
              <w:br/>
            </w:r>
            <w:r>
              <w:rPr>
                <w:rFonts w:ascii="Calibri" w:hAnsi="Calibri" w:cs="Calibri"/>
                <w:color w:val="000000"/>
                <w:sz w:val="18"/>
                <w:szCs w:val="18"/>
              </w:rPr>
              <w:br/>
              <w:t xml:space="preserve">The PBAC considered that the patient population most likely to be treated with </w:t>
            </w:r>
            <w:proofErr w:type="spellStart"/>
            <w:r>
              <w:rPr>
                <w:rFonts w:ascii="Calibri" w:hAnsi="Calibri" w:cs="Calibri"/>
                <w:color w:val="000000"/>
                <w:sz w:val="18"/>
                <w:szCs w:val="18"/>
              </w:rPr>
              <w:t>amivantamab</w:t>
            </w:r>
            <w:proofErr w:type="spellEnd"/>
            <w:r>
              <w:rPr>
                <w:rFonts w:ascii="Calibri" w:hAnsi="Calibri" w:cs="Calibri"/>
                <w:color w:val="000000"/>
                <w:sz w:val="18"/>
                <w:szCs w:val="18"/>
              </w:rPr>
              <w:t xml:space="preserve"> would have similar characteristics (patients who are otherwise well but whose cancer is widespread) to the patient population that is currently treated with atezolizumab plus bevacizumab with carboplatin and paclitaxel (ABCP), a currently available treatment option. </w:t>
            </w:r>
            <w:r>
              <w:rPr>
                <w:rFonts w:ascii="Calibri" w:hAnsi="Calibri" w:cs="Calibri"/>
                <w:color w:val="000000"/>
                <w:sz w:val="18"/>
                <w:szCs w:val="18"/>
              </w:rPr>
              <w:br/>
            </w:r>
            <w:r>
              <w:rPr>
                <w:rFonts w:ascii="Calibri" w:hAnsi="Calibri" w:cs="Calibri"/>
                <w:color w:val="000000"/>
                <w:sz w:val="18"/>
                <w:szCs w:val="18"/>
              </w:rPr>
              <w:br/>
              <w:t xml:space="preserve">The PBAC considered that based on the clinical evidence presented in the submission, </w:t>
            </w:r>
            <w:proofErr w:type="spellStart"/>
            <w:r>
              <w:rPr>
                <w:rFonts w:ascii="Calibri" w:hAnsi="Calibri" w:cs="Calibri"/>
                <w:color w:val="000000"/>
                <w:sz w:val="18"/>
                <w:szCs w:val="18"/>
              </w:rPr>
              <w:t>amivantamab</w:t>
            </w:r>
            <w:proofErr w:type="spellEnd"/>
            <w:r>
              <w:rPr>
                <w:rFonts w:ascii="Calibri" w:hAnsi="Calibri" w:cs="Calibri"/>
                <w:color w:val="000000"/>
                <w:sz w:val="18"/>
                <w:szCs w:val="18"/>
              </w:rPr>
              <w:t xml:space="preserve"> in combination with PDC was more effective than a currently available treatment option of PDC alone. The PBAC considered the benefit was modest and was associated with increased adverse events. </w:t>
            </w:r>
            <w:r>
              <w:rPr>
                <w:rFonts w:ascii="Calibri" w:hAnsi="Calibri" w:cs="Calibri"/>
                <w:color w:val="000000"/>
                <w:sz w:val="18"/>
                <w:szCs w:val="18"/>
              </w:rPr>
              <w:br/>
            </w:r>
            <w:r>
              <w:rPr>
                <w:rFonts w:ascii="Calibri" w:hAnsi="Calibri" w:cs="Calibri"/>
                <w:color w:val="000000"/>
                <w:sz w:val="18"/>
                <w:szCs w:val="18"/>
              </w:rPr>
              <w:br/>
              <w:t xml:space="preserve">However, the PBAC noted there was not enough clinical data available to determine whether </w:t>
            </w:r>
            <w:proofErr w:type="spellStart"/>
            <w:r>
              <w:rPr>
                <w:rFonts w:ascii="Calibri" w:hAnsi="Calibri" w:cs="Calibri"/>
                <w:color w:val="000000"/>
                <w:sz w:val="18"/>
                <w:szCs w:val="18"/>
              </w:rPr>
              <w:t>amivantamab</w:t>
            </w:r>
            <w:proofErr w:type="spellEnd"/>
            <w:r>
              <w:rPr>
                <w:rFonts w:ascii="Calibri" w:hAnsi="Calibri" w:cs="Calibri"/>
                <w:color w:val="000000"/>
                <w:sz w:val="18"/>
                <w:szCs w:val="18"/>
              </w:rPr>
              <w:t xml:space="preserve"> in combination with PDC provides additional benefit to patients compared with the existing treatment ABCP.  In this context, the PBAC considered that </w:t>
            </w:r>
            <w:proofErr w:type="spellStart"/>
            <w:r>
              <w:rPr>
                <w:rFonts w:ascii="Calibri" w:hAnsi="Calibri" w:cs="Calibri"/>
                <w:color w:val="000000"/>
                <w:sz w:val="18"/>
                <w:szCs w:val="18"/>
              </w:rPr>
              <w:t>amivantamab</w:t>
            </w:r>
            <w:proofErr w:type="spellEnd"/>
            <w:r>
              <w:rPr>
                <w:rFonts w:ascii="Calibri" w:hAnsi="Calibri" w:cs="Calibri"/>
                <w:color w:val="000000"/>
                <w:sz w:val="18"/>
                <w:szCs w:val="18"/>
              </w:rPr>
              <w:t xml:space="preserve"> for the treatment of EGFRm patients would be cost-effective if its price was based on the price of atezolizumab plus bevacizumab for the treatment of patients with non-squamous NSCLC, which includes patients with EGFRm. The PBAC considered </w:t>
            </w:r>
            <w:proofErr w:type="spellStart"/>
            <w:r>
              <w:rPr>
                <w:rFonts w:ascii="Calibri" w:hAnsi="Calibri" w:cs="Calibri"/>
                <w:color w:val="000000"/>
                <w:sz w:val="18"/>
                <w:szCs w:val="18"/>
              </w:rPr>
              <w:t>amivantamab</w:t>
            </w:r>
            <w:proofErr w:type="spellEnd"/>
            <w:r>
              <w:rPr>
                <w:rFonts w:ascii="Calibri" w:hAnsi="Calibri" w:cs="Calibri"/>
                <w:color w:val="000000"/>
                <w:sz w:val="18"/>
                <w:szCs w:val="18"/>
              </w:rPr>
              <w:t xml:space="preserve"> would be cost effective with a cost per 3-week treatment cycle no higher than that for atezolizumab plus bevacizumab. The PBAC considered the estimated number of patients who would be eligible for treatment with </w:t>
            </w:r>
            <w:proofErr w:type="spellStart"/>
            <w:r>
              <w:rPr>
                <w:rFonts w:ascii="Calibri" w:hAnsi="Calibri" w:cs="Calibri"/>
                <w:color w:val="000000"/>
                <w:sz w:val="18"/>
                <w:szCs w:val="18"/>
              </w:rPr>
              <w:t>amivantamab</w:t>
            </w:r>
            <w:proofErr w:type="spellEnd"/>
            <w:r>
              <w:rPr>
                <w:rFonts w:ascii="Calibri" w:hAnsi="Calibri" w:cs="Calibri"/>
                <w:color w:val="000000"/>
                <w:sz w:val="18"/>
                <w:szCs w:val="18"/>
              </w:rPr>
              <w:t xml:space="preserve"> presented in the submission was reasonable, but the submission overestimated the number of patients who would use the medicine.</w:t>
            </w:r>
          </w:p>
        </w:tc>
      </w:tr>
      <w:tr w:rsidR="003921D1" w:rsidRPr="00544E10" w14:paraId="4DDBC42E" w14:textId="77777777" w:rsidTr="000C5801">
        <w:trPr>
          <w:cantSplit/>
          <w:trHeight w:val="868"/>
        </w:trPr>
        <w:tc>
          <w:tcPr>
            <w:tcW w:w="29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bottom w:w="28" w:type="dxa"/>
            </w:tcMar>
            <w:vAlign w:val="center"/>
          </w:tcPr>
          <w:p w14:paraId="21A0F126" w14:textId="77777777" w:rsidR="000C5801" w:rsidRDefault="000C5801" w:rsidP="00F232A9">
            <w:pPr>
              <w:jc w:val="center"/>
              <w:rPr>
                <w:rFonts w:ascii="Calibri" w:hAnsi="Calibri" w:cs="Calibri"/>
                <w:color w:val="000000"/>
                <w:sz w:val="18"/>
                <w:szCs w:val="18"/>
              </w:rPr>
            </w:pPr>
          </w:p>
          <w:p w14:paraId="23B9280A" w14:textId="2FCA1445" w:rsidR="003921D1" w:rsidRDefault="003921D1" w:rsidP="00F232A9">
            <w:pPr>
              <w:jc w:val="center"/>
              <w:rPr>
                <w:rFonts w:ascii="Calibri" w:hAnsi="Calibri" w:cs="Calibri"/>
                <w:color w:val="000000"/>
                <w:sz w:val="18"/>
                <w:szCs w:val="18"/>
              </w:rPr>
            </w:pPr>
            <w:r>
              <w:rPr>
                <w:rFonts w:ascii="Calibri" w:hAnsi="Calibri" w:cs="Calibri"/>
                <w:color w:val="000000"/>
                <w:sz w:val="18"/>
                <w:szCs w:val="18"/>
              </w:rPr>
              <w:t>ASCIMINIB</w:t>
            </w:r>
            <w:r>
              <w:rPr>
                <w:rFonts w:ascii="Calibri" w:hAnsi="Calibri" w:cs="Calibri"/>
                <w:color w:val="000000"/>
                <w:sz w:val="18"/>
                <w:szCs w:val="18"/>
              </w:rPr>
              <w:br/>
            </w:r>
            <w:r>
              <w:rPr>
                <w:rFonts w:ascii="Calibri" w:hAnsi="Calibri" w:cs="Calibri"/>
                <w:color w:val="000000"/>
                <w:sz w:val="18"/>
                <w:szCs w:val="18"/>
              </w:rPr>
              <w:br/>
              <w:t>Tablet 20 mg</w:t>
            </w:r>
            <w:r>
              <w:rPr>
                <w:rFonts w:ascii="Calibri" w:hAnsi="Calibri" w:cs="Calibri"/>
                <w:color w:val="000000"/>
                <w:sz w:val="18"/>
                <w:szCs w:val="18"/>
              </w:rPr>
              <w:br/>
              <w:t>Tablet 40 mg</w:t>
            </w:r>
            <w:r>
              <w:rPr>
                <w:rFonts w:ascii="Calibri" w:hAnsi="Calibri" w:cs="Calibri"/>
                <w:color w:val="000000"/>
                <w:sz w:val="18"/>
                <w:szCs w:val="18"/>
              </w:rPr>
              <w:br/>
            </w:r>
            <w:r>
              <w:rPr>
                <w:rFonts w:ascii="Calibri" w:hAnsi="Calibri" w:cs="Calibri"/>
                <w:color w:val="000000"/>
                <w:sz w:val="18"/>
                <w:szCs w:val="18"/>
              </w:rPr>
              <w:br/>
              <w:t>NOVARTIS PHARMACEUTICALS AUSTRALIA PTY LIMITED</w:t>
            </w:r>
            <w:r>
              <w:rPr>
                <w:rFonts w:ascii="Calibri" w:hAnsi="Calibri" w:cs="Calibri"/>
                <w:color w:val="000000"/>
                <w:sz w:val="18"/>
                <w:szCs w:val="18"/>
              </w:rPr>
              <w:br/>
            </w:r>
          </w:p>
          <w:p w14:paraId="3B29B8A7" w14:textId="77777777" w:rsidR="003921D1" w:rsidRDefault="003921D1" w:rsidP="000C5801">
            <w:pPr>
              <w:jc w:val="center"/>
              <w:rPr>
                <w:rFonts w:ascii="Calibri" w:hAnsi="Calibri" w:cs="Calibri"/>
                <w:color w:val="000000"/>
                <w:sz w:val="18"/>
                <w:szCs w:val="18"/>
              </w:rPr>
            </w:pPr>
            <w:r>
              <w:rPr>
                <w:rFonts w:ascii="Calibri" w:hAnsi="Calibri" w:cs="Calibri"/>
                <w:color w:val="000000"/>
                <w:sz w:val="18"/>
                <w:szCs w:val="18"/>
              </w:rPr>
              <w:t xml:space="preserve">Category 2 </w:t>
            </w:r>
            <w:r>
              <w:rPr>
                <w:rFonts w:ascii="Calibri" w:hAnsi="Calibri" w:cs="Calibri"/>
                <w:color w:val="000000"/>
                <w:sz w:val="18"/>
                <w:szCs w:val="18"/>
              </w:rPr>
              <w:br/>
              <w:t>(Change to existing listing)</w:t>
            </w:r>
          </w:p>
          <w:p w14:paraId="25E2E78A" w14:textId="3734099E" w:rsidR="00CF024B" w:rsidRDefault="00CF024B" w:rsidP="000C5801">
            <w:pPr>
              <w:jc w:val="center"/>
              <w:rPr>
                <w:rFonts w:ascii="Calibri" w:hAnsi="Calibri" w:cs="Calibri"/>
                <w:color w:val="000000"/>
                <w:sz w:val="18"/>
                <w:szCs w:val="18"/>
              </w:rPr>
            </w:pPr>
            <w:r>
              <w:rPr>
                <w:rFonts w:ascii="Calibri" w:hAnsi="Calibri" w:cs="Calibri"/>
                <w:color w:val="000000"/>
                <w:sz w:val="18"/>
                <w:szCs w:val="18"/>
              </w:rPr>
              <w:t>PBS General Schedule</w:t>
            </w:r>
          </w:p>
        </w:tc>
        <w:tc>
          <w:tcPr>
            <w:tcW w:w="19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D96A49" w14:textId="58DAC99C" w:rsidR="003921D1" w:rsidRDefault="000C5801" w:rsidP="00F232A9">
            <w:pPr>
              <w:jc w:val="center"/>
              <w:rPr>
                <w:rFonts w:ascii="Calibri" w:hAnsi="Calibri" w:cs="Calibri"/>
                <w:color w:val="000000"/>
                <w:sz w:val="18"/>
                <w:szCs w:val="18"/>
              </w:rPr>
            </w:pPr>
            <w:r>
              <w:rPr>
                <w:rFonts w:ascii="Calibri" w:hAnsi="Calibri" w:cs="Calibri"/>
                <w:color w:val="000000"/>
                <w:sz w:val="18"/>
                <w:szCs w:val="18"/>
              </w:rPr>
              <w:t>Chronic myeloid leukaemia (CML)</w:t>
            </w:r>
          </w:p>
        </w:tc>
        <w:tc>
          <w:tcPr>
            <w:tcW w:w="23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bottom w:w="28" w:type="dxa"/>
            </w:tcMar>
            <w:vAlign w:val="center"/>
          </w:tcPr>
          <w:p w14:paraId="0DFA0DCE" w14:textId="77777777" w:rsidR="000C5801" w:rsidRDefault="000C5801" w:rsidP="00F232A9">
            <w:pPr>
              <w:jc w:val="center"/>
              <w:rPr>
                <w:rFonts w:ascii="Calibri" w:hAnsi="Calibri" w:cs="Calibri"/>
                <w:color w:val="000000"/>
                <w:sz w:val="18"/>
                <w:szCs w:val="18"/>
              </w:rPr>
            </w:pPr>
            <w:r w:rsidRPr="000C5801">
              <w:rPr>
                <w:rFonts w:ascii="Calibri" w:hAnsi="Calibri" w:cs="Calibri"/>
                <w:color w:val="000000"/>
                <w:sz w:val="18"/>
                <w:szCs w:val="18"/>
              </w:rPr>
              <w:t xml:space="preserve">To request listing of </w:t>
            </w:r>
            <w:proofErr w:type="spellStart"/>
            <w:r w:rsidRPr="000C5801">
              <w:rPr>
                <w:rFonts w:ascii="Calibri" w:hAnsi="Calibri" w:cs="Calibri"/>
                <w:color w:val="000000"/>
                <w:sz w:val="18"/>
                <w:szCs w:val="18"/>
              </w:rPr>
              <w:t>asciminib</w:t>
            </w:r>
            <w:proofErr w:type="spellEnd"/>
            <w:r w:rsidRPr="000C5801">
              <w:rPr>
                <w:rFonts w:ascii="Calibri" w:hAnsi="Calibri" w:cs="Calibri"/>
                <w:color w:val="000000"/>
                <w:sz w:val="18"/>
                <w:szCs w:val="18"/>
              </w:rPr>
              <w:t xml:space="preserve"> for the treatment of adult patients with newly diagnosed CML in chronic phase. </w:t>
            </w:r>
          </w:p>
          <w:p w14:paraId="0BCF1B22" w14:textId="08AA7292" w:rsidR="003921D1" w:rsidRDefault="000C5801" w:rsidP="00F232A9">
            <w:pPr>
              <w:jc w:val="center"/>
              <w:rPr>
                <w:rFonts w:ascii="Calibri" w:hAnsi="Calibri" w:cs="Calibri"/>
                <w:color w:val="000000"/>
                <w:sz w:val="18"/>
                <w:szCs w:val="18"/>
              </w:rPr>
            </w:pPr>
            <w:r w:rsidRPr="000C5801">
              <w:rPr>
                <w:rFonts w:ascii="Calibri" w:hAnsi="Calibri" w:cs="Calibri"/>
                <w:color w:val="000000"/>
                <w:sz w:val="18"/>
                <w:szCs w:val="18"/>
              </w:rPr>
              <w:t>Authority Required (Telephone/Online) for initial treatment Authority Required (STREAMLINED) for continuing treatment</w:t>
            </w:r>
          </w:p>
        </w:tc>
        <w:tc>
          <w:tcPr>
            <w:tcW w:w="1415" w:type="dxa"/>
            <w:shd w:val="clear" w:color="auto" w:fill="D9D9D9" w:themeFill="background1" w:themeFillShade="D9"/>
            <w:vAlign w:val="center"/>
          </w:tcPr>
          <w:p w14:paraId="2350AC10" w14:textId="1E5022C0" w:rsidR="003921D1" w:rsidRDefault="000C5801" w:rsidP="007E77E4">
            <w:pPr>
              <w:ind w:left="11"/>
              <w:contextualSpacing/>
              <w:jc w:val="center"/>
              <w:rPr>
                <w:rFonts w:ascii="Calibri" w:hAnsi="Calibri" w:cs="Calibri"/>
                <w:color w:val="000000"/>
                <w:sz w:val="18"/>
                <w:szCs w:val="18"/>
              </w:rPr>
            </w:pPr>
            <w:r>
              <w:rPr>
                <w:rFonts w:ascii="Calibri" w:hAnsi="Calibri" w:cs="Calibri"/>
                <w:color w:val="000000"/>
                <w:sz w:val="18"/>
                <w:szCs w:val="18"/>
              </w:rPr>
              <w:t>Not applicable</w:t>
            </w:r>
          </w:p>
        </w:tc>
        <w:tc>
          <w:tcPr>
            <w:tcW w:w="4729" w:type="dxa"/>
            <w:shd w:val="clear" w:color="auto" w:fill="D9D9D9" w:themeFill="background1" w:themeFillShade="D9"/>
            <w:vAlign w:val="center"/>
          </w:tcPr>
          <w:p w14:paraId="68E5AAF1" w14:textId="656F012A" w:rsidR="003921D1" w:rsidRDefault="000C5801" w:rsidP="00241142">
            <w:pPr>
              <w:ind w:left="11"/>
              <w:contextualSpacing/>
              <w:rPr>
                <w:rFonts w:ascii="Calibri" w:hAnsi="Calibri" w:cs="Calibri"/>
                <w:color w:val="000000"/>
                <w:sz w:val="18"/>
                <w:szCs w:val="18"/>
              </w:rPr>
            </w:pPr>
            <w:r>
              <w:rPr>
                <w:rFonts w:ascii="Calibri" w:hAnsi="Calibri" w:cs="Calibri"/>
                <w:color w:val="000000"/>
                <w:sz w:val="18"/>
                <w:szCs w:val="18"/>
              </w:rPr>
              <w:t>This item was withdrawn.</w:t>
            </w:r>
          </w:p>
        </w:tc>
      </w:tr>
      <w:tr w:rsidR="00C312E5" w:rsidRPr="00544E10" w14:paraId="01A99210" w14:textId="77777777" w:rsidTr="003921D1">
        <w:trPr>
          <w:cantSplit/>
          <w:trHeight w:val="868"/>
        </w:trPr>
        <w:tc>
          <w:tcPr>
            <w:tcW w:w="294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CB80206" w14:textId="4CD25E66" w:rsidR="00F232A9" w:rsidRPr="005F21D6" w:rsidRDefault="00F232A9" w:rsidP="00F232A9">
            <w:pPr>
              <w:jc w:val="center"/>
              <w:rPr>
                <w:rFonts w:asciiTheme="minorHAnsi" w:hAnsiTheme="minorHAnsi" w:cstheme="minorHAnsi"/>
                <w:color w:val="000000"/>
                <w:szCs w:val="20"/>
              </w:rPr>
            </w:pPr>
            <w:r>
              <w:rPr>
                <w:rFonts w:ascii="Calibri" w:hAnsi="Calibri" w:cs="Calibri"/>
                <w:color w:val="000000"/>
                <w:sz w:val="18"/>
                <w:szCs w:val="18"/>
              </w:rPr>
              <w:t>ASCIMINIB</w:t>
            </w:r>
            <w:r>
              <w:rPr>
                <w:rFonts w:ascii="Calibri" w:hAnsi="Calibri" w:cs="Calibri"/>
                <w:color w:val="000000"/>
                <w:sz w:val="18"/>
                <w:szCs w:val="18"/>
              </w:rPr>
              <w:br/>
            </w:r>
            <w:r>
              <w:rPr>
                <w:rFonts w:ascii="Calibri" w:hAnsi="Calibri" w:cs="Calibri"/>
                <w:color w:val="000000"/>
                <w:sz w:val="18"/>
                <w:szCs w:val="18"/>
              </w:rPr>
              <w:br/>
              <w:t>Tablet 20 mg</w:t>
            </w:r>
            <w:r>
              <w:rPr>
                <w:rFonts w:ascii="Calibri" w:hAnsi="Calibri" w:cs="Calibri"/>
                <w:color w:val="000000"/>
                <w:sz w:val="18"/>
                <w:szCs w:val="18"/>
              </w:rPr>
              <w:br/>
              <w:t>Tablet 40 mg</w:t>
            </w:r>
            <w:r>
              <w:rPr>
                <w:rFonts w:ascii="Calibri" w:hAnsi="Calibri" w:cs="Calibri"/>
                <w:color w:val="000000"/>
                <w:sz w:val="18"/>
                <w:szCs w:val="18"/>
              </w:rPr>
              <w:br/>
            </w:r>
            <w:r>
              <w:rPr>
                <w:rFonts w:ascii="Calibri" w:hAnsi="Calibri" w:cs="Calibri"/>
                <w:color w:val="000000"/>
                <w:sz w:val="18"/>
                <w:szCs w:val="18"/>
              </w:rPr>
              <w:br/>
            </w:r>
            <w:proofErr w:type="spellStart"/>
            <w:r>
              <w:rPr>
                <w:rFonts w:ascii="Calibri" w:hAnsi="Calibri" w:cs="Calibri"/>
                <w:color w:val="000000"/>
                <w:sz w:val="18"/>
                <w:szCs w:val="18"/>
              </w:rPr>
              <w:t>Scemblix</w:t>
            </w:r>
            <w:proofErr w:type="spellEnd"/>
            <w:r>
              <w:rPr>
                <w:rFonts w:ascii="Calibri" w:hAnsi="Calibri" w:cs="Calibri"/>
                <w:color w:val="000000"/>
                <w:sz w:val="18"/>
                <w:szCs w:val="18"/>
              </w:rPr>
              <w:t>®</w:t>
            </w:r>
            <w:r>
              <w:rPr>
                <w:rFonts w:ascii="Calibri" w:hAnsi="Calibri" w:cs="Calibri"/>
                <w:color w:val="000000"/>
                <w:sz w:val="18"/>
                <w:szCs w:val="18"/>
              </w:rPr>
              <w:br/>
            </w:r>
            <w:r>
              <w:rPr>
                <w:rFonts w:ascii="Calibri" w:hAnsi="Calibri" w:cs="Calibri"/>
                <w:color w:val="000000"/>
                <w:sz w:val="18"/>
                <w:szCs w:val="18"/>
              </w:rPr>
              <w:br/>
              <w:t>NOVARTIS PHARMACEUTICALS AUSTRALIA PTY LIMITED</w:t>
            </w:r>
            <w:r>
              <w:rPr>
                <w:rFonts w:ascii="Calibri" w:hAnsi="Calibri" w:cs="Calibri"/>
                <w:color w:val="000000"/>
                <w:sz w:val="18"/>
                <w:szCs w:val="18"/>
              </w:rPr>
              <w:br/>
            </w:r>
            <w:r>
              <w:rPr>
                <w:rFonts w:ascii="Calibri" w:hAnsi="Calibri" w:cs="Calibri"/>
                <w:color w:val="000000"/>
                <w:sz w:val="18"/>
                <w:szCs w:val="18"/>
              </w:rPr>
              <w:br/>
              <w:t>Category 4</w:t>
            </w:r>
            <w:r>
              <w:rPr>
                <w:rFonts w:ascii="Calibri" w:hAnsi="Calibri" w:cs="Calibri"/>
                <w:color w:val="000000"/>
                <w:sz w:val="18"/>
                <w:szCs w:val="18"/>
              </w:rPr>
              <w:br/>
              <w:t xml:space="preserve">(Change to existing </w:t>
            </w:r>
            <w:r w:rsidR="00957109">
              <w:rPr>
                <w:rFonts w:ascii="Calibri" w:hAnsi="Calibri" w:cs="Calibri"/>
                <w:color w:val="000000"/>
                <w:sz w:val="18"/>
                <w:szCs w:val="18"/>
              </w:rPr>
              <w:t>listing)</w:t>
            </w:r>
            <w:r>
              <w:rPr>
                <w:rFonts w:ascii="Calibri" w:hAnsi="Calibri" w:cs="Calibri"/>
                <w:color w:val="000000"/>
                <w:sz w:val="18"/>
                <w:szCs w:val="18"/>
              </w:rPr>
              <w:br/>
            </w:r>
            <w:r>
              <w:rPr>
                <w:rFonts w:ascii="Calibri" w:hAnsi="Calibri" w:cs="Calibri"/>
                <w:color w:val="000000"/>
                <w:sz w:val="18"/>
                <w:szCs w:val="18"/>
              </w:rPr>
              <w:br/>
              <w:t>PBS General Schedule</w:t>
            </w:r>
          </w:p>
        </w:tc>
        <w:tc>
          <w:tcPr>
            <w:tcW w:w="1983" w:type="dxa"/>
            <w:tcBorders>
              <w:top w:val="single" w:sz="4" w:space="0" w:color="auto"/>
              <w:left w:val="single" w:sz="4" w:space="0" w:color="auto"/>
              <w:bottom w:val="single" w:sz="4" w:space="0" w:color="auto"/>
              <w:right w:val="single" w:sz="4" w:space="0" w:color="auto"/>
            </w:tcBorders>
            <w:vAlign w:val="center"/>
          </w:tcPr>
          <w:p w14:paraId="4A327500" w14:textId="61E4CF85" w:rsidR="00F232A9" w:rsidRPr="005F21D6" w:rsidRDefault="00F232A9" w:rsidP="00F232A9">
            <w:pPr>
              <w:jc w:val="center"/>
              <w:rPr>
                <w:rFonts w:asciiTheme="minorHAnsi" w:hAnsiTheme="minorHAnsi" w:cstheme="minorHAnsi"/>
                <w:color w:val="000000"/>
                <w:sz w:val="18"/>
                <w:szCs w:val="18"/>
              </w:rPr>
            </w:pPr>
            <w:r>
              <w:rPr>
                <w:rFonts w:ascii="Calibri" w:hAnsi="Calibri" w:cs="Calibri"/>
                <w:color w:val="000000"/>
                <w:sz w:val="18"/>
                <w:szCs w:val="18"/>
              </w:rPr>
              <w:t>Chronic myeloid leukaemia (CML)</w:t>
            </w:r>
          </w:p>
        </w:tc>
        <w:tc>
          <w:tcPr>
            <w:tcW w:w="238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CBF4C28" w14:textId="21FA07E5" w:rsidR="00F232A9" w:rsidRPr="005F21D6" w:rsidRDefault="00F232A9" w:rsidP="00F232A9">
            <w:pPr>
              <w:jc w:val="center"/>
              <w:rPr>
                <w:rFonts w:asciiTheme="minorHAnsi" w:hAnsiTheme="minorHAnsi" w:cstheme="minorHAnsi"/>
                <w:color w:val="000000"/>
                <w:sz w:val="18"/>
                <w:szCs w:val="18"/>
              </w:rPr>
            </w:pPr>
            <w:r>
              <w:rPr>
                <w:rFonts w:ascii="Calibri" w:hAnsi="Calibri" w:cs="Calibri"/>
                <w:color w:val="000000"/>
                <w:sz w:val="18"/>
                <w:szCs w:val="18"/>
              </w:rPr>
              <w:t xml:space="preserve">To request a change to all listings of </w:t>
            </w:r>
            <w:proofErr w:type="spellStart"/>
            <w:r>
              <w:rPr>
                <w:rFonts w:ascii="Calibri" w:hAnsi="Calibri" w:cs="Calibri"/>
                <w:color w:val="000000"/>
                <w:sz w:val="18"/>
                <w:szCs w:val="18"/>
              </w:rPr>
              <w:t>asciminib</w:t>
            </w:r>
            <w:proofErr w:type="spellEnd"/>
            <w:r>
              <w:rPr>
                <w:rFonts w:ascii="Calibri" w:hAnsi="Calibri" w:cs="Calibri"/>
                <w:color w:val="000000"/>
                <w:sz w:val="18"/>
                <w:szCs w:val="18"/>
              </w:rPr>
              <w:t xml:space="preserve"> for the treatment of CML to allow prescribing by nurse practitioners.</w:t>
            </w:r>
            <w:r>
              <w:rPr>
                <w:rFonts w:ascii="Calibri" w:hAnsi="Calibri" w:cs="Calibri"/>
                <w:color w:val="000000"/>
                <w:sz w:val="18"/>
                <w:szCs w:val="18"/>
              </w:rPr>
              <w:br/>
            </w:r>
            <w:r>
              <w:rPr>
                <w:rFonts w:ascii="Calibri" w:hAnsi="Calibri" w:cs="Calibri"/>
                <w:color w:val="000000"/>
                <w:sz w:val="18"/>
                <w:szCs w:val="18"/>
              </w:rPr>
              <w:br/>
              <w:t xml:space="preserve">Authority Required </w:t>
            </w:r>
          </w:p>
        </w:tc>
        <w:tc>
          <w:tcPr>
            <w:tcW w:w="1415" w:type="dxa"/>
            <w:vAlign w:val="center"/>
          </w:tcPr>
          <w:p w14:paraId="21D95521" w14:textId="100DA939" w:rsidR="00F232A9" w:rsidRPr="00544E10" w:rsidRDefault="00F232A9" w:rsidP="007E77E4">
            <w:pPr>
              <w:ind w:left="11"/>
              <w:contextualSpacing/>
              <w:jc w:val="center"/>
              <w:rPr>
                <w:rFonts w:asciiTheme="minorHAnsi" w:hAnsiTheme="minorHAnsi" w:cstheme="minorHAnsi"/>
                <w:color w:val="000000" w:themeColor="text1"/>
                <w:sz w:val="18"/>
                <w:szCs w:val="18"/>
              </w:rPr>
            </w:pPr>
            <w:r>
              <w:rPr>
                <w:rFonts w:ascii="Calibri" w:hAnsi="Calibri" w:cs="Calibri"/>
                <w:color w:val="000000"/>
                <w:sz w:val="18"/>
                <w:szCs w:val="18"/>
              </w:rPr>
              <w:t>Recommended</w:t>
            </w:r>
          </w:p>
        </w:tc>
        <w:tc>
          <w:tcPr>
            <w:tcW w:w="4729" w:type="dxa"/>
            <w:vAlign w:val="center"/>
          </w:tcPr>
          <w:p w14:paraId="29A3881D" w14:textId="772198B1" w:rsidR="00F232A9" w:rsidRPr="00544E10" w:rsidRDefault="00F232A9" w:rsidP="00241142">
            <w:pPr>
              <w:ind w:left="11"/>
              <w:contextualSpacing/>
              <w:rPr>
                <w:rFonts w:asciiTheme="minorHAnsi" w:hAnsiTheme="minorHAnsi" w:cstheme="minorHAnsi"/>
                <w:color w:val="000000" w:themeColor="text1"/>
                <w:sz w:val="18"/>
                <w:szCs w:val="18"/>
              </w:rPr>
            </w:pPr>
            <w:r>
              <w:rPr>
                <w:rFonts w:ascii="Calibri" w:hAnsi="Calibri" w:cs="Calibri"/>
                <w:color w:val="000000"/>
                <w:sz w:val="18"/>
                <w:szCs w:val="18"/>
              </w:rPr>
              <w:t xml:space="preserve">The PBAC recommended the addition of nurse practitioners (NPs) as authorised prescribers for </w:t>
            </w:r>
            <w:proofErr w:type="spellStart"/>
            <w:r>
              <w:rPr>
                <w:rFonts w:ascii="Calibri" w:hAnsi="Calibri" w:cs="Calibri"/>
                <w:color w:val="000000"/>
                <w:sz w:val="18"/>
                <w:szCs w:val="18"/>
              </w:rPr>
              <w:t>asciminib</w:t>
            </w:r>
            <w:proofErr w:type="spellEnd"/>
            <w:r>
              <w:rPr>
                <w:rFonts w:ascii="Calibri" w:hAnsi="Calibri" w:cs="Calibri"/>
                <w:color w:val="000000"/>
                <w:sz w:val="18"/>
                <w:szCs w:val="18"/>
              </w:rPr>
              <w:t xml:space="preserve"> on the Pharmaceutical Benefits Scheme (PBS), in the continuing treatment phase of all current indications.</w:t>
            </w:r>
            <w:r>
              <w:rPr>
                <w:rFonts w:ascii="Calibri" w:hAnsi="Calibri" w:cs="Calibri"/>
                <w:color w:val="000000"/>
                <w:sz w:val="18"/>
                <w:szCs w:val="18"/>
              </w:rPr>
              <w:br/>
            </w:r>
            <w:proofErr w:type="spellStart"/>
            <w:r>
              <w:rPr>
                <w:rFonts w:ascii="Calibri" w:hAnsi="Calibri" w:cs="Calibri"/>
                <w:color w:val="000000"/>
                <w:sz w:val="18"/>
                <w:szCs w:val="18"/>
              </w:rPr>
              <w:t>Asciminib</w:t>
            </w:r>
            <w:proofErr w:type="spellEnd"/>
            <w:r>
              <w:rPr>
                <w:rFonts w:ascii="Calibri" w:hAnsi="Calibri" w:cs="Calibri"/>
                <w:color w:val="000000"/>
                <w:sz w:val="18"/>
                <w:szCs w:val="18"/>
              </w:rPr>
              <w:t xml:space="preserve"> is currently listed on the PBS for patients with Philadelphia chromosome-positive chronic myeloid leukaemia (Ph+ CML) in chronic phase (CP) or accelerated phase (AP), who had been previously treated with two or more tyrosine kinase inhibitors (TKIs). This is in the third-line setting or beyond. It is also PBS-listed for patients with Ph+ CML in CP or AP, who had been previously treated with one or more TKIs and harbouring the T315I mutation. This is in the second-line setting or beyond. The PBAC noted and welcomed input from individuals. The PBAC acknowledged CML as an insidious disease that brings emotional and physical pain to both patients and families.</w:t>
            </w:r>
            <w:r>
              <w:rPr>
                <w:rFonts w:ascii="Calibri" w:hAnsi="Calibri" w:cs="Calibri"/>
                <w:color w:val="000000"/>
                <w:sz w:val="18"/>
                <w:szCs w:val="18"/>
              </w:rPr>
              <w:br/>
              <w:t xml:space="preserve">In its consideration, the PBAC recalled its July 2025 review of General Schedule oncology and haematology medicines, and whether these should be eligible for NP prescribing. </w:t>
            </w:r>
            <w:proofErr w:type="spellStart"/>
            <w:r>
              <w:rPr>
                <w:rFonts w:ascii="Calibri" w:hAnsi="Calibri" w:cs="Calibri"/>
                <w:color w:val="000000"/>
                <w:sz w:val="18"/>
                <w:szCs w:val="18"/>
              </w:rPr>
              <w:t>Asciminib</w:t>
            </w:r>
            <w:proofErr w:type="spellEnd"/>
            <w:r>
              <w:rPr>
                <w:rFonts w:ascii="Calibri" w:hAnsi="Calibri" w:cs="Calibri"/>
                <w:color w:val="000000"/>
                <w:sz w:val="18"/>
                <w:szCs w:val="18"/>
              </w:rPr>
              <w:t xml:space="preserve"> was not considered at this meeting as it had not been identified for review by stakeholders. For oncological or haematological conditions in general, the PBAC considered that the clinical work up required for a diagnosis and differential diagnosis may be complex and likely require that a patient’s care be overseen by an oncologist or haematologist. As such, the PBAC was of a view that limiting NP prescribing to continuing therapy with a specific medicine was more suitable, rather than allowing NP prescribing in both initiation and continuing settings. It considered that NPs sharing patient care with a medical practitioner would assist in mitigating potential risks. </w:t>
            </w:r>
            <w:r>
              <w:rPr>
                <w:rFonts w:ascii="Calibri" w:hAnsi="Calibri" w:cs="Calibri"/>
                <w:color w:val="000000"/>
                <w:sz w:val="18"/>
                <w:szCs w:val="18"/>
              </w:rPr>
              <w:br/>
              <w:t xml:space="preserve">In its current decision, the PBAC advised that the listing for </w:t>
            </w:r>
            <w:proofErr w:type="spellStart"/>
            <w:r>
              <w:rPr>
                <w:rFonts w:ascii="Calibri" w:hAnsi="Calibri" w:cs="Calibri"/>
                <w:color w:val="000000"/>
                <w:sz w:val="18"/>
                <w:szCs w:val="18"/>
              </w:rPr>
              <w:t>asciminib</w:t>
            </w:r>
            <w:proofErr w:type="spellEnd"/>
            <w:r>
              <w:rPr>
                <w:rFonts w:ascii="Calibri" w:hAnsi="Calibri" w:cs="Calibri"/>
                <w:color w:val="000000"/>
                <w:sz w:val="18"/>
                <w:szCs w:val="18"/>
              </w:rPr>
              <w:t xml:space="preserve"> should follow precedent for other NP prescribing items for other drugs in this same class. The PBAC considered that its decision would result in no additional cost to the PBS. </w:t>
            </w:r>
          </w:p>
        </w:tc>
      </w:tr>
      <w:tr w:rsidR="00C312E5" w:rsidRPr="00544E10" w14:paraId="714DB97F" w14:textId="77777777" w:rsidTr="003921D1">
        <w:trPr>
          <w:cantSplit/>
          <w:trHeight w:val="868"/>
        </w:trPr>
        <w:tc>
          <w:tcPr>
            <w:tcW w:w="294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15514E6" w14:textId="676C43AD" w:rsidR="00F232A9" w:rsidRPr="005F21D6" w:rsidRDefault="00F232A9" w:rsidP="00F232A9">
            <w:pPr>
              <w:jc w:val="center"/>
              <w:rPr>
                <w:rFonts w:asciiTheme="minorHAnsi" w:hAnsiTheme="minorHAnsi" w:cstheme="minorHAnsi"/>
                <w:color w:val="000000"/>
                <w:szCs w:val="20"/>
              </w:rPr>
            </w:pPr>
            <w:r>
              <w:rPr>
                <w:rFonts w:ascii="Calibri" w:hAnsi="Calibri" w:cs="Calibri"/>
                <w:color w:val="000000"/>
                <w:sz w:val="18"/>
                <w:szCs w:val="18"/>
              </w:rPr>
              <w:t>AVACINCAPTAD PEGOL</w:t>
            </w:r>
            <w:r>
              <w:rPr>
                <w:rFonts w:ascii="Calibri" w:hAnsi="Calibri" w:cs="Calibri"/>
                <w:color w:val="000000"/>
                <w:sz w:val="18"/>
                <w:szCs w:val="18"/>
              </w:rPr>
              <w:br/>
            </w:r>
            <w:r>
              <w:rPr>
                <w:rFonts w:ascii="Calibri" w:hAnsi="Calibri" w:cs="Calibri"/>
                <w:color w:val="000000"/>
                <w:sz w:val="18"/>
                <w:szCs w:val="18"/>
              </w:rPr>
              <w:br/>
              <w:t>Solution for intravitreal injection 2 mg in 0.1 mL  (20 mg per mL)</w:t>
            </w:r>
            <w:r>
              <w:rPr>
                <w:rFonts w:ascii="Calibri" w:hAnsi="Calibri" w:cs="Calibri"/>
                <w:color w:val="000000"/>
                <w:sz w:val="18"/>
                <w:szCs w:val="18"/>
              </w:rPr>
              <w:br/>
            </w:r>
            <w:r>
              <w:rPr>
                <w:rFonts w:ascii="Calibri" w:hAnsi="Calibri" w:cs="Calibri"/>
                <w:color w:val="000000"/>
                <w:sz w:val="18"/>
                <w:szCs w:val="18"/>
              </w:rPr>
              <w:br/>
            </w:r>
            <w:proofErr w:type="spellStart"/>
            <w:r>
              <w:rPr>
                <w:rFonts w:ascii="Calibri" w:hAnsi="Calibri" w:cs="Calibri"/>
                <w:color w:val="000000"/>
                <w:sz w:val="18"/>
                <w:szCs w:val="18"/>
              </w:rPr>
              <w:t>Izervay</w:t>
            </w:r>
            <w:proofErr w:type="spellEnd"/>
            <w:r>
              <w:rPr>
                <w:rFonts w:ascii="Calibri" w:hAnsi="Calibri" w:cs="Calibri"/>
                <w:color w:val="000000"/>
                <w:sz w:val="18"/>
                <w:szCs w:val="18"/>
              </w:rPr>
              <w:t>®</w:t>
            </w:r>
            <w:r>
              <w:rPr>
                <w:rFonts w:ascii="Calibri" w:hAnsi="Calibri" w:cs="Calibri"/>
                <w:color w:val="000000"/>
                <w:sz w:val="18"/>
                <w:szCs w:val="18"/>
              </w:rPr>
              <w:br/>
            </w:r>
            <w:r>
              <w:rPr>
                <w:rFonts w:ascii="Calibri" w:hAnsi="Calibri" w:cs="Calibri"/>
                <w:color w:val="000000"/>
                <w:sz w:val="18"/>
                <w:szCs w:val="18"/>
              </w:rPr>
              <w:br/>
              <w:t>ASTELLAS PHARMA AUSTRALIA PTY LTD</w:t>
            </w:r>
            <w:r>
              <w:rPr>
                <w:rFonts w:ascii="Calibri" w:hAnsi="Calibri" w:cs="Calibri"/>
                <w:color w:val="000000"/>
                <w:sz w:val="18"/>
                <w:szCs w:val="18"/>
              </w:rPr>
              <w:br/>
            </w:r>
            <w:r>
              <w:rPr>
                <w:rFonts w:ascii="Calibri" w:hAnsi="Calibri" w:cs="Calibri"/>
                <w:color w:val="000000"/>
                <w:sz w:val="18"/>
                <w:szCs w:val="18"/>
              </w:rPr>
              <w:br/>
              <w:t>Category 1</w:t>
            </w:r>
            <w:r>
              <w:rPr>
                <w:rFonts w:ascii="Calibri" w:hAnsi="Calibri" w:cs="Calibri"/>
                <w:color w:val="000000"/>
                <w:sz w:val="18"/>
                <w:szCs w:val="18"/>
              </w:rPr>
              <w:br/>
              <w:t xml:space="preserve">(New PBS </w:t>
            </w:r>
            <w:r w:rsidR="00957109">
              <w:rPr>
                <w:rFonts w:ascii="Calibri" w:hAnsi="Calibri" w:cs="Calibri"/>
                <w:color w:val="000000"/>
                <w:sz w:val="18"/>
                <w:szCs w:val="18"/>
              </w:rPr>
              <w:t>listing)</w:t>
            </w:r>
            <w:r>
              <w:rPr>
                <w:rFonts w:ascii="Calibri" w:hAnsi="Calibri" w:cs="Calibri"/>
                <w:color w:val="000000"/>
                <w:sz w:val="18"/>
                <w:szCs w:val="18"/>
              </w:rPr>
              <w:br/>
            </w:r>
            <w:r>
              <w:rPr>
                <w:rFonts w:ascii="Calibri" w:hAnsi="Calibri" w:cs="Calibri"/>
                <w:color w:val="000000"/>
                <w:sz w:val="18"/>
                <w:szCs w:val="18"/>
              </w:rPr>
              <w:br/>
              <w:t>PBS General Schedule</w:t>
            </w:r>
          </w:p>
        </w:tc>
        <w:tc>
          <w:tcPr>
            <w:tcW w:w="1983" w:type="dxa"/>
            <w:tcBorders>
              <w:top w:val="single" w:sz="4" w:space="0" w:color="auto"/>
              <w:left w:val="single" w:sz="4" w:space="0" w:color="auto"/>
              <w:bottom w:val="single" w:sz="4" w:space="0" w:color="auto"/>
              <w:right w:val="single" w:sz="4" w:space="0" w:color="auto"/>
            </w:tcBorders>
            <w:vAlign w:val="center"/>
          </w:tcPr>
          <w:p w14:paraId="180FB864" w14:textId="1146773D" w:rsidR="00F232A9" w:rsidRPr="005F21D6" w:rsidRDefault="00F232A9" w:rsidP="00F232A9">
            <w:pPr>
              <w:jc w:val="center"/>
              <w:rPr>
                <w:rFonts w:asciiTheme="minorHAnsi" w:hAnsiTheme="minorHAnsi" w:cstheme="minorHAnsi"/>
                <w:color w:val="000000"/>
                <w:sz w:val="18"/>
                <w:szCs w:val="18"/>
              </w:rPr>
            </w:pPr>
            <w:r>
              <w:rPr>
                <w:rFonts w:ascii="Calibri" w:hAnsi="Calibri" w:cs="Calibri"/>
                <w:color w:val="000000"/>
                <w:sz w:val="18"/>
                <w:szCs w:val="18"/>
              </w:rPr>
              <w:t xml:space="preserve">Geographic atrophy (GA) secondary to age-related macular degeneration (AMD) </w:t>
            </w:r>
          </w:p>
        </w:tc>
        <w:tc>
          <w:tcPr>
            <w:tcW w:w="238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E21846F" w14:textId="575906DF" w:rsidR="00F232A9" w:rsidRPr="005F21D6" w:rsidRDefault="00F232A9" w:rsidP="00F232A9">
            <w:pPr>
              <w:jc w:val="center"/>
              <w:rPr>
                <w:rFonts w:asciiTheme="minorHAnsi" w:hAnsiTheme="minorHAnsi" w:cstheme="minorHAnsi"/>
                <w:color w:val="000000"/>
                <w:sz w:val="18"/>
                <w:szCs w:val="18"/>
              </w:rPr>
            </w:pPr>
            <w:r>
              <w:rPr>
                <w:rFonts w:ascii="Calibri" w:hAnsi="Calibri" w:cs="Calibri"/>
                <w:color w:val="000000"/>
                <w:sz w:val="18"/>
                <w:szCs w:val="18"/>
              </w:rPr>
              <w:t xml:space="preserve">To request listing of </w:t>
            </w:r>
            <w:proofErr w:type="spellStart"/>
            <w:r>
              <w:rPr>
                <w:rFonts w:ascii="Calibri" w:hAnsi="Calibri" w:cs="Calibri"/>
                <w:color w:val="000000"/>
                <w:sz w:val="18"/>
                <w:szCs w:val="18"/>
              </w:rPr>
              <w:t>avacincaptad</w:t>
            </w:r>
            <w:proofErr w:type="spellEnd"/>
            <w:r>
              <w:rPr>
                <w:rFonts w:ascii="Calibri" w:hAnsi="Calibri" w:cs="Calibri"/>
                <w:color w:val="000000"/>
                <w:sz w:val="18"/>
                <w:szCs w:val="18"/>
              </w:rPr>
              <w:t xml:space="preserve"> pegol for the treatment of adult patients with GA secondary to AMD, who have an intact fovea and where central vision is threatened by GA lesion growth. </w:t>
            </w:r>
            <w:r>
              <w:rPr>
                <w:rFonts w:ascii="Calibri" w:hAnsi="Calibri" w:cs="Calibri"/>
                <w:color w:val="000000"/>
                <w:sz w:val="18"/>
                <w:szCs w:val="18"/>
              </w:rPr>
              <w:br/>
            </w:r>
            <w:r>
              <w:rPr>
                <w:rFonts w:ascii="Calibri" w:hAnsi="Calibri" w:cs="Calibri"/>
                <w:color w:val="000000"/>
                <w:sz w:val="18"/>
                <w:szCs w:val="18"/>
              </w:rPr>
              <w:br/>
              <w:t>Authority Required (Written or Telephone/Online) for initial treatment</w:t>
            </w:r>
            <w:r>
              <w:rPr>
                <w:rFonts w:ascii="Calibri" w:hAnsi="Calibri" w:cs="Calibri"/>
                <w:color w:val="000000"/>
                <w:sz w:val="18"/>
                <w:szCs w:val="18"/>
              </w:rPr>
              <w:br/>
              <w:t>Authority Required (STREAMLINED) for continuing treatment</w:t>
            </w:r>
          </w:p>
        </w:tc>
        <w:tc>
          <w:tcPr>
            <w:tcW w:w="1415" w:type="dxa"/>
            <w:vAlign w:val="center"/>
          </w:tcPr>
          <w:p w14:paraId="56E26154" w14:textId="0D697D32" w:rsidR="00F232A9" w:rsidRPr="00544E10" w:rsidRDefault="00F232A9" w:rsidP="007E77E4">
            <w:pPr>
              <w:ind w:left="11"/>
              <w:contextualSpacing/>
              <w:jc w:val="center"/>
              <w:rPr>
                <w:rFonts w:asciiTheme="minorHAnsi" w:hAnsiTheme="minorHAnsi" w:cstheme="minorHAnsi"/>
                <w:color w:val="000000" w:themeColor="text1"/>
                <w:sz w:val="18"/>
                <w:szCs w:val="18"/>
              </w:rPr>
            </w:pPr>
            <w:r>
              <w:rPr>
                <w:rFonts w:ascii="Calibri" w:hAnsi="Calibri" w:cs="Calibri"/>
                <w:color w:val="000000"/>
                <w:sz w:val="18"/>
                <w:szCs w:val="18"/>
              </w:rPr>
              <w:t>Recommended</w:t>
            </w:r>
          </w:p>
        </w:tc>
        <w:tc>
          <w:tcPr>
            <w:tcW w:w="4729" w:type="dxa"/>
            <w:vAlign w:val="center"/>
          </w:tcPr>
          <w:p w14:paraId="45BCA689" w14:textId="0BF67D07" w:rsidR="00F232A9" w:rsidRPr="00544E10" w:rsidRDefault="00F232A9" w:rsidP="00241142">
            <w:pPr>
              <w:ind w:left="11"/>
              <w:contextualSpacing/>
              <w:rPr>
                <w:rFonts w:asciiTheme="minorHAnsi" w:hAnsiTheme="minorHAnsi" w:cstheme="minorHAnsi"/>
                <w:color w:val="000000" w:themeColor="text1"/>
                <w:sz w:val="18"/>
                <w:szCs w:val="18"/>
              </w:rPr>
            </w:pPr>
            <w:r>
              <w:rPr>
                <w:rFonts w:ascii="Calibri" w:hAnsi="Calibri" w:cs="Calibri"/>
                <w:color w:val="000000"/>
                <w:sz w:val="18"/>
                <w:szCs w:val="18"/>
              </w:rPr>
              <w:t xml:space="preserve">The PBAC recommended PBS listing of </w:t>
            </w:r>
            <w:proofErr w:type="spellStart"/>
            <w:r>
              <w:rPr>
                <w:rFonts w:ascii="Calibri" w:hAnsi="Calibri" w:cs="Calibri"/>
                <w:color w:val="000000"/>
                <w:sz w:val="18"/>
                <w:szCs w:val="18"/>
              </w:rPr>
              <w:t>avacincaptad</w:t>
            </w:r>
            <w:proofErr w:type="spellEnd"/>
            <w:r>
              <w:rPr>
                <w:rFonts w:ascii="Calibri" w:hAnsi="Calibri" w:cs="Calibri"/>
                <w:color w:val="000000"/>
                <w:sz w:val="18"/>
                <w:szCs w:val="18"/>
              </w:rPr>
              <w:t xml:space="preserve"> pegol (ACP) for the treatment of geographic atrophy (GA) or dry AMD secondary to age related macular degeneration. The PBAC welcomed input from consumers, health care professionals and Macular Disease Foundation Australia. The PBAC noted mixed support from health care professionals. Some suggested delayed progression of GA would help patients retain their sight for longer. Others suggested the evidence showed only small delays in progression of GA which may not lead to meaningful benefits for patients. The PBAC noted the differing opinions and acknowledged that there was a high clinical need for treatments for GA, which is a leading cause of irreversible vision loss in older Australians.</w:t>
            </w:r>
            <w:r>
              <w:rPr>
                <w:rFonts w:ascii="Calibri" w:hAnsi="Calibri" w:cs="Calibri"/>
                <w:color w:val="000000"/>
                <w:sz w:val="18"/>
                <w:szCs w:val="18"/>
              </w:rPr>
              <w:br/>
              <w:t xml:space="preserve"> </w:t>
            </w:r>
            <w:r>
              <w:rPr>
                <w:rFonts w:ascii="Calibri" w:hAnsi="Calibri" w:cs="Calibri"/>
                <w:color w:val="000000"/>
                <w:sz w:val="18"/>
                <w:szCs w:val="18"/>
              </w:rPr>
              <w:br/>
              <w:t>The PBAC noted that the clinical trials showed ACP reduced GA lesion growth when compared with placebo. The PBAC considered that, although the clinical trials did not demonstrate clear improvements in vision related activities, it was reasonable to assume that protecting the structure of the eye by slowing GA lesion growth would result in slower loss of functional vision than current care. Despite uncertainty about how large this benefit may be on preserving vision, the PBAC was satisfied that for some patients, ACP would provide a worthwhile improvement in efficacy over existing treatment options. The PBAC also noted an increase in ocular adverse events, especially chorionic neovascularisation (CNV or “wet” AMD), in patients treated with ACP for GA and recommended that treatment be restricted to patients with monocular vision who stood the most to benefit from ACP.</w:t>
            </w:r>
            <w:r>
              <w:rPr>
                <w:rFonts w:ascii="Calibri" w:hAnsi="Calibri" w:cs="Calibri"/>
                <w:color w:val="000000"/>
                <w:sz w:val="18"/>
                <w:szCs w:val="18"/>
              </w:rPr>
              <w:br/>
              <w:t xml:space="preserve"> </w:t>
            </w:r>
            <w:r>
              <w:rPr>
                <w:rFonts w:ascii="Calibri" w:hAnsi="Calibri" w:cs="Calibri"/>
                <w:color w:val="000000"/>
                <w:sz w:val="18"/>
                <w:szCs w:val="18"/>
              </w:rPr>
              <w:br/>
              <w:t xml:space="preserve">The PBAC considered there was some uncertainty about the extent to which benefits claimed by the sponsor in support of its proposed price would be realised in practice. The PBAC considered the benefits claimed by the Sponsor may be overestimated and, in particular, the extent to which delayed eye damage may translate to less vision loss. The PBAC therefore considered ACP would provide acceptable value for money if the proposed price was reduced. In addition, the PBAC considered a financial agreement with Astellas Pharma Australia would be required to manage uncertainty about how many patients would use ACP and to ensure PBS reimbursement was for treatment in one eye only. </w:t>
            </w:r>
            <w:r>
              <w:rPr>
                <w:rFonts w:ascii="Calibri" w:hAnsi="Calibri" w:cs="Calibri"/>
                <w:color w:val="000000"/>
                <w:sz w:val="18"/>
                <w:szCs w:val="18"/>
              </w:rPr>
              <w:br/>
              <w:t xml:space="preserve"> </w:t>
            </w:r>
            <w:r>
              <w:rPr>
                <w:rFonts w:ascii="Calibri" w:hAnsi="Calibri" w:cs="Calibri"/>
                <w:color w:val="000000"/>
                <w:sz w:val="18"/>
                <w:szCs w:val="18"/>
              </w:rPr>
              <w:br/>
              <w:t xml:space="preserve">The PBAC noted it had already recommended similar treatment, </w:t>
            </w:r>
            <w:proofErr w:type="spellStart"/>
            <w:r>
              <w:rPr>
                <w:rFonts w:ascii="Calibri" w:hAnsi="Calibri" w:cs="Calibri"/>
                <w:color w:val="000000"/>
                <w:sz w:val="18"/>
                <w:szCs w:val="18"/>
              </w:rPr>
              <w:t>pegcetacoplan</w:t>
            </w:r>
            <w:proofErr w:type="spellEnd"/>
            <w:r>
              <w:rPr>
                <w:rFonts w:ascii="Calibri" w:hAnsi="Calibri" w:cs="Calibri"/>
                <w:color w:val="000000"/>
                <w:sz w:val="18"/>
                <w:szCs w:val="18"/>
              </w:rPr>
              <w:t xml:space="preserve">, for the same disease at its November 2025 meeting. Although listing arrangements for </w:t>
            </w:r>
            <w:proofErr w:type="spellStart"/>
            <w:r>
              <w:rPr>
                <w:rFonts w:ascii="Calibri" w:hAnsi="Calibri" w:cs="Calibri"/>
                <w:color w:val="000000"/>
                <w:sz w:val="18"/>
                <w:szCs w:val="18"/>
              </w:rPr>
              <w:t>pegcetacoplan</w:t>
            </w:r>
            <w:proofErr w:type="spellEnd"/>
            <w:r>
              <w:rPr>
                <w:rFonts w:ascii="Calibri" w:hAnsi="Calibri" w:cs="Calibri"/>
                <w:color w:val="000000"/>
                <w:sz w:val="18"/>
                <w:szCs w:val="18"/>
              </w:rPr>
              <w:t xml:space="preserve"> were yet to be finalised at the time of the PBAC’s consideration of ACP, the PBAC considered that it both medicines show similar benefits in delaying disease progression with neither medicine being more effective than the other. Therefore, should </w:t>
            </w:r>
            <w:proofErr w:type="spellStart"/>
            <w:r>
              <w:rPr>
                <w:rFonts w:ascii="Calibri" w:hAnsi="Calibri" w:cs="Calibri"/>
                <w:color w:val="000000"/>
                <w:sz w:val="18"/>
                <w:szCs w:val="18"/>
              </w:rPr>
              <w:t>pegcetacoplan</w:t>
            </w:r>
            <w:proofErr w:type="spellEnd"/>
            <w:r>
              <w:rPr>
                <w:rFonts w:ascii="Calibri" w:hAnsi="Calibri" w:cs="Calibri"/>
                <w:color w:val="000000"/>
                <w:sz w:val="18"/>
                <w:szCs w:val="18"/>
              </w:rPr>
              <w:t xml:space="preserve"> proceed to PBS listing, the PBAC advised that ACP should be price matched with </w:t>
            </w:r>
            <w:proofErr w:type="spellStart"/>
            <w:r>
              <w:rPr>
                <w:rFonts w:ascii="Calibri" w:hAnsi="Calibri" w:cs="Calibri"/>
                <w:color w:val="000000"/>
                <w:sz w:val="18"/>
                <w:szCs w:val="18"/>
              </w:rPr>
              <w:t>pegcetacoplan</w:t>
            </w:r>
            <w:proofErr w:type="spellEnd"/>
            <w:r>
              <w:rPr>
                <w:rFonts w:ascii="Calibri" w:hAnsi="Calibri" w:cs="Calibri"/>
                <w:color w:val="000000"/>
                <w:sz w:val="18"/>
                <w:szCs w:val="18"/>
              </w:rPr>
              <w:t>.</w:t>
            </w:r>
            <w:r>
              <w:rPr>
                <w:rFonts w:ascii="Calibri" w:hAnsi="Calibri" w:cs="Calibri"/>
                <w:color w:val="000000"/>
                <w:sz w:val="18"/>
                <w:szCs w:val="18"/>
              </w:rPr>
              <w:br/>
            </w:r>
            <w:r>
              <w:rPr>
                <w:rFonts w:ascii="Calibri" w:hAnsi="Calibri" w:cs="Calibri"/>
                <w:color w:val="000000"/>
                <w:sz w:val="18"/>
                <w:szCs w:val="18"/>
              </w:rPr>
              <w:br/>
              <w:t xml:space="preserve">The PBAC noted the flow on changes to the </w:t>
            </w:r>
            <w:proofErr w:type="spellStart"/>
            <w:r>
              <w:rPr>
                <w:rFonts w:ascii="Calibri" w:hAnsi="Calibri" w:cs="Calibri"/>
                <w:color w:val="000000"/>
                <w:sz w:val="18"/>
                <w:szCs w:val="18"/>
              </w:rPr>
              <w:t>pegcetacoplan</w:t>
            </w:r>
            <w:proofErr w:type="spellEnd"/>
            <w:r>
              <w:rPr>
                <w:rFonts w:ascii="Calibri" w:hAnsi="Calibri" w:cs="Calibri"/>
                <w:color w:val="000000"/>
                <w:sz w:val="18"/>
                <w:szCs w:val="18"/>
              </w:rPr>
              <w:t xml:space="preserve"> listing, should </w:t>
            </w:r>
            <w:proofErr w:type="spellStart"/>
            <w:r>
              <w:rPr>
                <w:rFonts w:ascii="Calibri" w:hAnsi="Calibri" w:cs="Calibri"/>
                <w:color w:val="000000"/>
                <w:sz w:val="18"/>
                <w:szCs w:val="18"/>
              </w:rPr>
              <w:t>pegcetacoplan</w:t>
            </w:r>
            <w:proofErr w:type="spellEnd"/>
            <w:r>
              <w:rPr>
                <w:rFonts w:ascii="Calibri" w:hAnsi="Calibri" w:cs="Calibri"/>
                <w:color w:val="000000"/>
                <w:sz w:val="18"/>
                <w:szCs w:val="18"/>
              </w:rPr>
              <w:t xml:space="preserve"> be listed for this indication, with amendments to the restriction wording for the listings outlined in Section 8 of the </w:t>
            </w:r>
            <w:proofErr w:type="spellStart"/>
            <w:r>
              <w:rPr>
                <w:rFonts w:ascii="Calibri" w:hAnsi="Calibri" w:cs="Calibri"/>
                <w:color w:val="000000"/>
                <w:sz w:val="18"/>
                <w:szCs w:val="18"/>
              </w:rPr>
              <w:t>pegcetacoplan</w:t>
            </w:r>
            <w:proofErr w:type="spellEnd"/>
            <w:r>
              <w:rPr>
                <w:rFonts w:ascii="Calibri" w:hAnsi="Calibri" w:cs="Calibri"/>
                <w:color w:val="000000"/>
                <w:sz w:val="18"/>
                <w:szCs w:val="18"/>
              </w:rPr>
              <w:t xml:space="preserve"> Public Summary Document (November 2025 PBAC meeting) in order to remove the numerical values associated with confirmation of lesion growth and location.</w:t>
            </w:r>
          </w:p>
        </w:tc>
      </w:tr>
      <w:tr w:rsidR="00C312E5" w:rsidRPr="00544E10" w14:paraId="6B1B917A" w14:textId="77777777" w:rsidTr="003921D1">
        <w:trPr>
          <w:cantSplit/>
          <w:trHeight w:val="868"/>
        </w:trPr>
        <w:tc>
          <w:tcPr>
            <w:tcW w:w="294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BDAE61F" w14:textId="77777777" w:rsidR="00241142" w:rsidRDefault="00F232A9" w:rsidP="00D428AC">
            <w:pPr>
              <w:spacing w:after="0"/>
              <w:jc w:val="center"/>
              <w:rPr>
                <w:rFonts w:ascii="Calibri" w:hAnsi="Calibri" w:cs="Calibri"/>
                <w:color w:val="000000"/>
                <w:sz w:val="18"/>
                <w:szCs w:val="18"/>
              </w:rPr>
            </w:pPr>
            <w:r>
              <w:rPr>
                <w:rFonts w:ascii="Calibri" w:hAnsi="Calibri" w:cs="Calibri"/>
                <w:color w:val="000000"/>
                <w:sz w:val="18"/>
                <w:szCs w:val="18"/>
              </w:rPr>
              <w:t>BUROSUMAB</w:t>
            </w:r>
            <w:r>
              <w:rPr>
                <w:rFonts w:ascii="Calibri" w:hAnsi="Calibri" w:cs="Calibri"/>
                <w:color w:val="000000"/>
                <w:sz w:val="18"/>
                <w:szCs w:val="18"/>
              </w:rPr>
              <w:br/>
            </w:r>
            <w:r>
              <w:rPr>
                <w:rFonts w:ascii="Calibri" w:hAnsi="Calibri" w:cs="Calibri"/>
                <w:color w:val="000000"/>
                <w:sz w:val="18"/>
                <w:szCs w:val="18"/>
              </w:rPr>
              <w:br/>
              <w:t>Solution for injection 10 mg in 1 mL</w:t>
            </w:r>
            <w:r>
              <w:rPr>
                <w:rFonts w:ascii="Calibri" w:hAnsi="Calibri" w:cs="Calibri"/>
                <w:color w:val="000000"/>
                <w:sz w:val="18"/>
                <w:szCs w:val="18"/>
              </w:rPr>
              <w:br/>
              <w:t>Solution for injection 20 mg in 1 mL</w:t>
            </w:r>
            <w:r>
              <w:rPr>
                <w:rFonts w:ascii="Calibri" w:hAnsi="Calibri" w:cs="Calibri"/>
                <w:color w:val="000000"/>
                <w:sz w:val="18"/>
                <w:szCs w:val="18"/>
              </w:rPr>
              <w:br/>
              <w:t>Solution for injection 30 mg in 1 mL</w:t>
            </w:r>
            <w:r>
              <w:rPr>
                <w:rFonts w:ascii="Calibri" w:hAnsi="Calibri" w:cs="Calibri"/>
                <w:color w:val="000000"/>
                <w:sz w:val="18"/>
                <w:szCs w:val="18"/>
              </w:rPr>
              <w:br/>
            </w:r>
            <w:r>
              <w:rPr>
                <w:rFonts w:ascii="Calibri" w:hAnsi="Calibri" w:cs="Calibri"/>
                <w:color w:val="000000"/>
                <w:sz w:val="18"/>
                <w:szCs w:val="18"/>
              </w:rPr>
              <w:br/>
            </w:r>
            <w:proofErr w:type="spellStart"/>
            <w:r>
              <w:rPr>
                <w:rFonts w:ascii="Calibri" w:hAnsi="Calibri" w:cs="Calibri"/>
                <w:color w:val="000000"/>
                <w:sz w:val="18"/>
                <w:szCs w:val="18"/>
              </w:rPr>
              <w:t>Crysvita</w:t>
            </w:r>
            <w:proofErr w:type="spellEnd"/>
            <w:r>
              <w:rPr>
                <w:rFonts w:ascii="Calibri" w:hAnsi="Calibri" w:cs="Calibri"/>
                <w:color w:val="000000"/>
                <w:sz w:val="18"/>
                <w:szCs w:val="18"/>
              </w:rPr>
              <w:t xml:space="preserve"> ®</w:t>
            </w:r>
            <w:r>
              <w:rPr>
                <w:rFonts w:ascii="Calibri" w:hAnsi="Calibri" w:cs="Calibri"/>
                <w:color w:val="000000"/>
                <w:sz w:val="18"/>
                <w:szCs w:val="18"/>
              </w:rPr>
              <w:br/>
            </w:r>
            <w:r>
              <w:rPr>
                <w:rFonts w:ascii="Calibri" w:hAnsi="Calibri" w:cs="Calibri"/>
                <w:color w:val="000000"/>
                <w:sz w:val="18"/>
                <w:szCs w:val="18"/>
              </w:rPr>
              <w:br/>
              <w:t>KYOWA KIRIN AUSTRALIA PTY LTD</w:t>
            </w:r>
            <w:r>
              <w:rPr>
                <w:rFonts w:ascii="Calibri" w:hAnsi="Calibri" w:cs="Calibri"/>
                <w:color w:val="000000"/>
                <w:sz w:val="18"/>
                <w:szCs w:val="18"/>
              </w:rPr>
              <w:br/>
            </w:r>
            <w:r>
              <w:rPr>
                <w:rFonts w:ascii="Calibri" w:hAnsi="Calibri" w:cs="Calibri"/>
                <w:color w:val="000000"/>
                <w:sz w:val="18"/>
                <w:szCs w:val="18"/>
              </w:rPr>
              <w:br/>
              <w:t>Category 2</w:t>
            </w:r>
            <w:r>
              <w:rPr>
                <w:rFonts w:ascii="Calibri" w:hAnsi="Calibri" w:cs="Calibri"/>
                <w:color w:val="000000"/>
                <w:sz w:val="18"/>
                <w:szCs w:val="18"/>
              </w:rPr>
              <w:br/>
              <w:t xml:space="preserve">(Change to existing </w:t>
            </w:r>
            <w:r w:rsidR="00957109">
              <w:rPr>
                <w:rFonts w:ascii="Calibri" w:hAnsi="Calibri" w:cs="Calibri"/>
                <w:color w:val="000000"/>
                <w:sz w:val="18"/>
                <w:szCs w:val="18"/>
              </w:rPr>
              <w:t>listing)</w:t>
            </w:r>
            <w:r>
              <w:rPr>
                <w:rFonts w:ascii="Calibri" w:hAnsi="Calibri" w:cs="Calibri"/>
                <w:color w:val="000000"/>
                <w:sz w:val="18"/>
                <w:szCs w:val="18"/>
              </w:rPr>
              <w:br/>
            </w:r>
            <w:r>
              <w:rPr>
                <w:rFonts w:ascii="Calibri" w:hAnsi="Calibri" w:cs="Calibri"/>
                <w:color w:val="000000"/>
                <w:sz w:val="18"/>
                <w:szCs w:val="18"/>
              </w:rPr>
              <w:br/>
              <w:t xml:space="preserve">PBS Section 100 </w:t>
            </w:r>
          </w:p>
          <w:p w14:paraId="4DD23446" w14:textId="021D5F3A" w:rsidR="00F232A9" w:rsidRPr="005F21D6" w:rsidRDefault="00F232A9" w:rsidP="00F232A9">
            <w:pPr>
              <w:jc w:val="center"/>
              <w:rPr>
                <w:rFonts w:asciiTheme="minorHAnsi" w:hAnsiTheme="minorHAnsi" w:cstheme="minorHAnsi"/>
                <w:color w:val="000000"/>
                <w:szCs w:val="20"/>
              </w:rPr>
            </w:pPr>
            <w:r>
              <w:rPr>
                <w:rFonts w:ascii="Calibri" w:hAnsi="Calibri" w:cs="Calibri"/>
                <w:color w:val="000000"/>
                <w:sz w:val="18"/>
                <w:szCs w:val="18"/>
              </w:rPr>
              <w:t>(Highly Specialised Drugs Program)</w:t>
            </w:r>
          </w:p>
        </w:tc>
        <w:tc>
          <w:tcPr>
            <w:tcW w:w="1983" w:type="dxa"/>
            <w:tcBorders>
              <w:top w:val="single" w:sz="4" w:space="0" w:color="auto"/>
              <w:left w:val="single" w:sz="4" w:space="0" w:color="auto"/>
              <w:bottom w:val="single" w:sz="4" w:space="0" w:color="auto"/>
              <w:right w:val="single" w:sz="4" w:space="0" w:color="auto"/>
            </w:tcBorders>
            <w:vAlign w:val="center"/>
          </w:tcPr>
          <w:p w14:paraId="142C3414" w14:textId="23C805D7" w:rsidR="00F232A9" w:rsidRPr="005F21D6" w:rsidRDefault="00F232A9" w:rsidP="00F232A9">
            <w:pPr>
              <w:jc w:val="center"/>
              <w:rPr>
                <w:rFonts w:asciiTheme="minorHAnsi" w:hAnsiTheme="minorHAnsi" w:cstheme="minorHAnsi"/>
                <w:color w:val="000000"/>
                <w:sz w:val="18"/>
                <w:szCs w:val="18"/>
              </w:rPr>
            </w:pPr>
            <w:r>
              <w:rPr>
                <w:rFonts w:ascii="Calibri" w:hAnsi="Calibri" w:cs="Calibri"/>
                <w:color w:val="000000"/>
                <w:sz w:val="18"/>
                <w:szCs w:val="18"/>
              </w:rPr>
              <w:t>Tumour induced osteomalacia (TIO)</w:t>
            </w:r>
          </w:p>
        </w:tc>
        <w:tc>
          <w:tcPr>
            <w:tcW w:w="238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ED6A426" w14:textId="57B2397E" w:rsidR="00F232A9" w:rsidRPr="005F21D6" w:rsidRDefault="00F232A9" w:rsidP="00F232A9">
            <w:pPr>
              <w:jc w:val="center"/>
              <w:rPr>
                <w:rFonts w:asciiTheme="minorHAnsi" w:hAnsiTheme="minorHAnsi" w:cstheme="minorHAnsi"/>
                <w:color w:val="000000"/>
                <w:sz w:val="18"/>
                <w:szCs w:val="18"/>
              </w:rPr>
            </w:pPr>
            <w:r>
              <w:rPr>
                <w:rFonts w:ascii="Calibri" w:hAnsi="Calibri" w:cs="Calibri"/>
                <w:color w:val="000000"/>
                <w:sz w:val="18"/>
                <w:szCs w:val="18"/>
              </w:rPr>
              <w:t xml:space="preserve">To request listing of </w:t>
            </w:r>
            <w:proofErr w:type="spellStart"/>
            <w:r>
              <w:rPr>
                <w:rFonts w:ascii="Calibri" w:hAnsi="Calibri" w:cs="Calibri"/>
                <w:color w:val="000000"/>
                <w:sz w:val="18"/>
                <w:szCs w:val="18"/>
              </w:rPr>
              <w:t>burosumab</w:t>
            </w:r>
            <w:proofErr w:type="spellEnd"/>
            <w:r>
              <w:rPr>
                <w:rFonts w:ascii="Calibri" w:hAnsi="Calibri" w:cs="Calibri"/>
                <w:color w:val="000000"/>
                <w:sz w:val="18"/>
                <w:szCs w:val="18"/>
              </w:rPr>
              <w:t xml:space="preserve"> for the treatment of adult and </w:t>
            </w:r>
            <w:r w:rsidR="004A43A9">
              <w:rPr>
                <w:rFonts w:ascii="Calibri" w:hAnsi="Calibri" w:cs="Calibri"/>
                <w:color w:val="000000"/>
                <w:sz w:val="18"/>
                <w:szCs w:val="18"/>
              </w:rPr>
              <w:t>paediatric</w:t>
            </w:r>
            <w:r>
              <w:rPr>
                <w:rFonts w:ascii="Calibri" w:hAnsi="Calibri" w:cs="Calibri"/>
                <w:color w:val="000000"/>
                <w:sz w:val="18"/>
                <w:szCs w:val="18"/>
              </w:rPr>
              <w:t xml:space="preserve"> patients with TIO, presenting with </w:t>
            </w:r>
            <w:proofErr w:type="spellStart"/>
            <w:r>
              <w:rPr>
                <w:rFonts w:ascii="Calibri" w:hAnsi="Calibri" w:cs="Calibri"/>
                <w:color w:val="000000"/>
                <w:sz w:val="18"/>
                <w:szCs w:val="18"/>
              </w:rPr>
              <w:t>hypophosphataemia</w:t>
            </w:r>
            <w:proofErr w:type="spellEnd"/>
            <w:r>
              <w:rPr>
                <w:rFonts w:ascii="Calibri" w:hAnsi="Calibri" w:cs="Calibri"/>
                <w:color w:val="000000"/>
                <w:sz w:val="18"/>
                <w:szCs w:val="18"/>
              </w:rPr>
              <w:t xml:space="preserve"> due to fibroblast growth factor 23 (FGF23), where </w:t>
            </w:r>
            <w:proofErr w:type="spellStart"/>
            <w:r>
              <w:rPr>
                <w:rFonts w:ascii="Calibri" w:hAnsi="Calibri" w:cs="Calibri"/>
                <w:color w:val="000000"/>
                <w:sz w:val="18"/>
                <w:szCs w:val="18"/>
              </w:rPr>
              <w:t>phosphaturic</w:t>
            </w:r>
            <w:proofErr w:type="spellEnd"/>
            <w:r>
              <w:rPr>
                <w:rFonts w:ascii="Calibri" w:hAnsi="Calibri" w:cs="Calibri"/>
                <w:color w:val="000000"/>
                <w:sz w:val="18"/>
                <w:szCs w:val="18"/>
              </w:rPr>
              <w:t xml:space="preserve"> mesenchymal tumours cannot be curatively resected or localised.</w:t>
            </w:r>
            <w:r>
              <w:rPr>
                <w:rFonts w:ascii="Calibri" w:hAnsi="Calibri" w:cs="Calibri"/>
                <w:color w:val="000000"/>
                <w:sz w:val="18"/>
                <w:szCs w:val="18"/>
              </w:rPr>
              <w:br/>
            </w:r>
            <w:r>
              <w:rPr>
                <w:rFonts w:ascii="Calibri" w:hAnsi="Calibri" w:cs="Calibri"/>
                <w:color w:val="000000"/>
                <w:sz w:val="18"/>
                <w:szCs w:val="18"/>
              </w:rPr>
              <w:br/>
              <w:t>Authority Required</w:t>
            </w:r>
          </w:p>
        </w:tc>
        <w:tc>
          <w:tcPr>
            <w:tcW w:w="1415" w:type="dxa"/>
            <w:vAlign w:val="center"/>
          </w:tcPr>
          <w:p w14:paraId="0B64518D" w14:textId="299F71EA" w:rsidR="00F232A9" w:rsidRPr="00544E10" w:rsidRDefault="00F232A9" w:rsidP="00241142">
            <w:pPr>
              <w:ind w:left="11"/>
              <w:contextualSpacing/>
              <w:jc w:val="center"/>
              <w:rPr>
                <w:rFonts w:asciiTheme="minorHAnsi" w:hAnsiTheme="minorHAnsi" w:cstheme="minorHAnsi"/>
                <w:color w:val="000000" w:themeColor="text1"/>
                <w:sz w:val="18"/>
                <w:szCs w:val="18"/>
              </w:rPr>
            </w:pPr>
            <w:r>
              <w:rPr>
                <w:rFonts w:ascii="Calibri" w:hAnsi="Calibri" w:cs="Calibri"/>
                <w:color w:val="000000"/>
                <w:sz w:val="18"/>
                <w:szCs w:val="18"/>
              </w:rPr>
              <w:t>Recommended</w:t>
            </w:r>
          </w:p>
        </w:tc>
        <w:tc>
          <w:tcPr>
            <w:tcW w:w="4729" w:type="dxa"/>
            <w:vAlign w:val="center"/>
          </w:tcPr>
          <w:p w14:paraId="2299388F" w14:textId="64E1F4D9" w:rsidR="00F232A9" w:rsidRPr="00544E10" w:rsidRDefault="00F232A9" w:rsidP="00D428AC">
            <w:pPr>
              <w:ind w:left="11"/>
              <w:contextualSpacing/>
              <w:rPr>
                <w:rFonts w:asciiTheme="minorHAnsi" w:hAnsiTheme="minorHAnsi" w:cstheme="minorHAnsi"/>
                <w:color w:val="000000" w:themeColor="text1"/>
                <w:sz w:val="18"/>
                <w:szCs w:val="18"/>
              </w:rPr>
            </w:pPr>
            <w:r>
              <w:rPr>
                <w:rFonts w:ascii="Calibri" w:hAnsi="Calibri" w:cs="Calibri"/>
                <w:color w:val="000000"/>
                <w:sz w:val="18"/>
                <w:szCs w:val="18"/>
              </w:rPr>
              <w:t xml:space="preserve">The PBAC recommended </w:t>
            </w:r>
            <w:proofErr w:type="spellStart"/>
            <w:r>
              <w:rPr>
                <w:rFonts w:ascii="Calibri" w:hAnsi="Calibri" w:cs="Calibri"/>
                <w:color w:val="000000"/>
                <w:sz w:val="18"/>
                <w:szCs w:val="18"/>
              </w:rPr>
              <w:t>burosumab</w:t>
            </w:r>
            <w:proofErr w:type="spellEnd"/>
            <w:r>
              <w:rPr>
                <w:rFonts w:ascii="Calibri" w:hAnsi="Calibri" w:cs="Calibri"/>
                <w:color w:val="000000"/>
                <w:sz w:val="18"/>
                <w:szCs w:val="18"/>
              </w:rPr>
              <w:t xml:space="preserve"> for the treatment of unresectable tumour induced osteomalacia (TIO), an ultrarare condition caused by certain tumours that lead to low levels of phosphate in the blood (hypophosphatemia) which weakens bones over time. The PBAC noted the high unmet clinical need for treatments for this condition, as current therapies are difficult to take given the side effects and are not always effective. </w:t>
            </w:r>
            <w:r>
              <w:rPr>
                <w:rFonts w:ascii="Calibri" w:hAnsi="Calibri" w:cs="Calibri"/>
                <w:color w:val="000000"/>
                <w:sz w:val="18"/>
                <w:szCs w:val="18"/>
              </w:rPr>
              <w:br/>
            </w:r>
            <w:r>
              <w:rPr>
                <w:rFonts w:ascii="Calibri" w:hAnsi="Calibri" w:cs="Calibri"/>
                <w:color w:val="000000"/>
                <w:sz w:val="18"/>
                <w:szCs w:val="18"/>
              </w:rPr>
              <w:br/>
              <w:t xml:space="preserve">The PBAC considered that </w:t>
            </w:r>
            <w:proofErr w:type="spellStart"/>
            <w:r>
              <w:rPr>
                <w:rFonts w:ascii="Calibri" w:hAnsi="Calibri" w:cs="Calibri"/>
                <w:color w:val="000000"/>
                <w:sz w:val="18"/>
                <w:szCs w:val="18"/>
              </w:rPr>
              <w:t>burosumab</w:t>
            </w:r>
            <w:proofErr w:type="spellEnd"/>
            <w:r>
              <w:rPr>
                <w:rFonts w:ascii="Calibri" w:hAnsi="Calibri" w:cs="Calibri"/>
                <w:color w:val="000000"/>
                <w:sz w:val="18"/>
                <w:szCs w:val="18"/>
              </w:rPr>
              <w:t xml:space="preserve"> was likely superior to conventional therapy (which consists of oral phosphorus and oral calcitriol) at normalising phosphate levels and has a different, but non-inferior, safety profile. The PBAC noted that with normalisation of phosphate levels, the long-term health benefits would potentially include correcting established skeletal damage, reducing pain and fatigue, and improving physical function and quality of life. The PBAC noted this was supported by the sponsor’s hearing before the PBAC which included a testimonial from a patient who experienced substantial quality of life improvements from treatment with </w:t>
            </w:r>
            <w:proofErr w:type="spellStart"/>
            <w:r>
              <w:rPr>
                <w:rFonts w:ascii="Calibri" w:hAnsi="Calibri" w:cs="Calibri"/>
                <w:color w:val="000000"/>
                <w:sz w:val="18"/>
                <w:szCs w:val="18"/>
              </w:rPr>
              <w:t>burosumab</w:t>
            </w:r>
            <w:proofErr w:type="spellEnd"/>
            <w:r>
              <w:rPr>
                <w:rFonts w:ascii="Calibri" w:hAnsi="Calibri" w:cs="Calibri"/>
                <w:color w:val="000000"/>
                <w:sz w:val="18"/>
                <w:szCs w:val="18"/>
              </w:rPr>
              <w:t xml:space="preserve">. The PBAC noted input from XLH Australia which described the success of </w:t>
            </w:r>
            <w:proofErr w:type="spellStart"/>
            <w:r>
              <w:rPr>
                <w:rFonts w:ascii="Calibri" w:hAnsi="Calibri" w:cs="Calibri"/>
                <w:color w:val="000000"/>
                <w:sz w:val="18"/>
                <w:szCs w:val="18"/>
              </w:rPr>
              <w:t>burosumab</w:t>
            </w:r>
            <w:proofErr w:type="spellEnd"/>
            <w:r>
              <w:rPr>
                <w:rFonts w:ascii="Calibri" w:hAnsi="Calibri" w:cs="Calibri"/>
                <w:color w:val="000000"/>
                <w:sz w:val="18"/>
                <w:szCs w:val="18"/>
              </w:rPr>
              <w:t xml:space="preserve"> in X-Linked </w:t>
            </w:r>
            <w:proofErr w:type="spellStart"/>
            <w:r>
              <w:rPr>
                <w:rFonts w:ascii="Calibri" w:hAnsi="Calibri" w:cs="Calibri"/>
                <w:color w:val="000000"/>
                <w:sz w:val="18"/>
                <w:szCs w:val="18"/>
              </w:rPr>
              <w:t>hypophosphataemia</w:t>
            </w:r>
            <w:proofErr w:type="spellEnd"/>
            <w:r>
              <w:rPr>
                <w:rFonts w:ascii="Calibri" w:hAnsi="Calibri" w:cs="Calibri"/>
                <w:color w:val="000000"/>
                <w:sz w:val="18"/>
                <w:szCs w:val="18"/>
              </w:rPr>
              <w:t xml:space="preserve"> (XLH) patients and strongly supported its potential benefit for people with TIO, who experience a very similar disease burden as those with XLH, including severe bone pain, muscle weakness, fractures, fatigue and long delays to diagnosis. </w:t>
            </w:r>
            <w:r>
              <w:rPr>
                <w:rFonts w:ascii="Calibri" w:hAnsi="Calibri" w:cs="Calibri"/>
                <w:color w:val="000000"/>
                <w:sz w:val="18"/>
                <w:szCs w:val="18"/>
              </w:rPr>
              <w:br/>
            </w:r>
            <w:r>
              <w:rPr>
                <w:rFonts w:ascii="Calibri" w:hAnsi="Calibri" w:cs="Calibri"/>
                <w:color w:val="000000"/>
                <w:sz w:val="18"/>
                <w:szCs w:val="18"/>
              </w:rPr>
              <w:br/>
              <w:t xml:space="preserve">The PBAC accepted the submission’s assumption that the incremental costs and benefits of </w:t>
            </w:r>
            <w:proofErr w:type="spellStart"/>
            <w:r>
              <w:rPr>
                <w:rFonts w:ascii="Calibri" w:hAnsi="Calibri" w:cs="Calibri"/>
                <w:color w:val="000000"/>
                <w:sz w:val="18"/>
                <w:szCs w:val="18"/>
              </w:rPr>
              <w:t>burosumab</w:t>
            </w:r>
            <w:proofErr w:type="spellEnd"/>
            <w:r>
              <w:rPr>
                <w:rFonts w:ascii="Calibri" w:hAnsi="Calibri" w:cs="Calibri"/>
                <w:color w:val="000000"/>
                <w:sz w:val="18"/>
                <w:szCs w:val="18"/>
              </w:rPr>
              <w:t xml:space="preserve"> compared to conventional therapy are likely similar for adult patients with unresectable TIO and XLH, and recommended listing at the same price per vial. The PBAC considered that the estimated financial impact was reasonable and advised that the proposed risk sharing arrangement was adequate to manage uncertainties relating to how long </w:t>
            </w:r>
            <w:proofErr w:type="spellStart"/>
            <w:r>
              <w:rPr>
                <w:rFonts w:ascii="Calibri" w:hAnsi="Calibri" w:cs="Calibri"/>
                <w:color w:val="000000"/>
                <w:sz w:val="18"/>
                <w:szCs w:val="18"/>
              </w:rPr>
              <w:t>burosumab</w:t>
            </w:r>
            <w:proofErr w:type="spellEnd"/>
            <w:r>
              <w:rPr>
                <w:rFonts w:ascii="Calibri" w:hAnsi="Calibri" w:cs="Calibri"/>
                <w:color w:val="000000"/>
                <w:sz w:val="18"/>
                <w:szCs w:val="18"/>
              </w:rPr>
              <w:t xml:space="preserve"> would be used by patients and the long-term gains in health. </w:t>
            </w:r>
            <w:r>
              <w:rPr>
                <w:rFonts w:ascii="Calibri" w:hAnsi="Calibri" w:cs="Calibri"/>
                <w:color w:val="000000"/>
                <w:sz w:val="18"/>
                <w:szCs w:val="18"/>
              </w:rPr>
              <w:br/>
            </w:r>
            <w:r>
              <w:rPr>
                <w:rFonts w:ascii="Calibri" w:hAnsi="Calibri" w:cs="Calibri"/>
                <w:color w:val="000000"/>
                <w:sz w:val="18"/>
                <w:szCs w:val="18"/>
              </w:rPr>
              <w:br/>
              <w:t xml:space="preserve">The PBAC recommended that for patients to be eligible to continue receiving </w:t>
            </w:r>
            <w:proofErr w:type="spellStart"/>
            <w:r>
              <w:rPr>
                <w:rFonts w:ascii="Calibri" w:hAnsi="Calibri" w:cs="Calibri"/>
                <w:color w:val="000000"/>
                <w:sz w:val="18"/>
                <w:szCs w:val="18"/>
              </w:rPr>
              <w:t>burosumab</w:t>
            </w:r>
            <w:proofErr w:type="spellEnd"/>
            <w:r>
              <w:rPr>
                <w:rFonts w:ascii="Calibri" w:hAnsi="Calibri" w:cs="Calibri"/>
                <w:color w:val="000000"/>
                <w:sz w:val="18"/>
                <w:szCs w:val="18"/>
              </w:rPr>
              <w:t xml:space="preserve">  they must have achieved normal phosphate levels in the blood or, where an adequate response cannot be demonstrated, the treating physician must confirm that continuing treatment is clinically required by a second specialist physician. The PBAC advised that the requirements for continuing treatment should flow on to the restrictions for XLH.</w:t>
            </w:r>
          </w:p>
        </w:tc>
      </w:tr>
      <w:tr w:rsidR="00C312E5" w:rsidRPr="00544E10" w14:paraId="6A8ED782" w14:textId="77777777" w:rsidTr="003921D1">
        <w:trPr>
          <w:cantSplit/>
          <w:trHeight w:val="868"/>
        </w:trPr>
        <w:tc>
          <w:tcPr>
            <w:tcW w:w="294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037DD92" w14:textId="2B2BAD86" w:rsidR="00F232A9" w:rsidRPr="005F21D6" w:rsidRDefault="00F232A9" w:rsidP="00F232A9">
            <w:pPr>
              <w:jc w:val="center"/>
              <w:rPr>
                <w:rFonts w:asciiTheme="minorHAnsi" w:hAnsiTheme="minorHAnsi" w:cstheme="minorHAnsi"/>
                <w:color w:val="000000"/>
                <w:szCs w:val="20"/>
              </w:rPr>
            </w:pPr>
            <w:r>
              <w:rPr>
                <w:rFonts w:ascii="Calibri" w:hAnsi="Calibri" w:cs="Calibri"/>
                <w:color w:val="000000"/>
                <w:sz w:val="18"/>
                <w:szCs w:val="18"/>
              </w:rPr>
              <w:t xml:space="preserve">CANAKINUMAB </w:t>
            </w:r>
            <w:r>
              <w:rPr>
                <w:rFonts w:ascii="Calibri" w:hAnsi="Calibri" w:cs="Calibri"/>
                <w:color w:val="000000"/>
                <w:sz w:val="18"/>
                <w:szCs w:val="18"/>
              </w:rPr>
              <w:br/>
            </w:r>
            <w:r>
              <w:rPr>
                <w:rFonts w:ascii="Calibri" w:hAnsi="Calibri" w:cs="Calibri"/>
                <w:color w:val="000000"/>
                <w:sz w:val="18"/>
                <w:szCs w:val="18"/>
              </w:rPr>
              <w:br/>
              <w:t>Solution for injection 150 mg in 1 mL</w:t>
            </w:r>
            <w:r>
              <w:rPr>
                <w:rFonts w:ascii="Calibri" w:hAnsi="Calibri" w:cs="Calibri"/>
                <w:color w:val="000000"/>
                <w:sz w:val="18"/>
                <w:szCs w:val="18"/>
              </w:rPr>
              <w:br/>
            </w:r>
            <w:r>
              <w:rPr>
                <w:rFonts w:ascii="Calibri" w:hAnsi="Calibri" w:cs="Calibri"/>
                <w:color w:val="000000"/>
                <w:sz w:val="18"/>
                <w:szCs w:val="18"/>
              </w:rPr>
              <w:br/>
            </w:r>
            <w:proofErr w:type="spellStart"/>
            <w:r>
              <w:rPr>
                <w:rFonts w:ascii="Calibri" w:hAnsi="Calibri" w:cs="Calibri"/>
                <w:color w:val="000000"/>
                <w:sz w:val="18"/>
                <w:szCs w:val="18"/>
              </w:rPr>
              <w:t>Ilaris</w:t>
            </w:r>
            <w:proofErr w:type="spellEnd"/>
            <w:r>
              <w:rPr>
                <w:rFonts w:ascii="Calibri" w:hAnsi="Calibri" w:cs="Calibri"/>
                <w:color w:val="000000"/>
                <w:sz w:val="18"/>
                <w:szCs w:val="18"/>
              </w:rPr>
              <w:t>®</w:t>
            </w:r>
            <w:r>
              <w:rPr>
                <w:rFonts w:ascii="Calibri" w:hAnsi="Calibri" w:cs="Calibri"/>
                <w:color w:val="000000"/>
                <w:sz w:val="18"/>
                <w:szCs w:val="18"/>
              </w:rPr>
              <w:br/>
            </w:r>
            <w:r>
              <w:rPr>
                <w:rFonts w:ascii="Calibri" w:hAnsi="Calibri" w:cs="Calibri"/>
                <w:color w:val="000000"/>
                <w:sz w:val="18"/>
                <w:szCs w:val="18"/>
              </w:rPr>
              <w:br/>
              <w:t>NOVARTIS PHARMACEUTICALS AUSTRALIA PTY LIMITED</w:t>
            </w:r>
            <w:r>
              <w:rPr>
                <w:rFonts w:ascii="Calibri" w:hAnsi="Calibri" w:cs="Calibri"/>
                <w:color w:val="000000"/>
                <w:sz w:val="18"/>
                <w:szCs w:val="18"/>
              </w:rPr>
              <w:br/>
            </w:r>
            <w:r>
              <w:rPr>
                <w:rFonts w:ascii="Calibri" w:hAnsi="Calibri" w:cs="Calibri"/>
                <w:color w:val="000000"/>
                <w:sz w:val="18"/>
                <w:szCs w:val="18"/>
              </w:rPr>
              <w:br/>
              <w:t>Category 1</w:t>
            </w:r>
            <w:r>
              <w:rPr>
                <w:rFonts w:ascii="Calibri" w:hAnsi="Calibri" w:cs="Calibri"/>
                <w:color w:val="000000"/>
                <w:sz w:val="18"/>
                <w:szCs w:val="18"/>
              </w:rPr>
              <w:br/>
              <w:t xml:space="preserve">(New PBS </w:t>
            </w:r>
            <w:r w:rsidR="00957109">
              <w:rPr>
                <w:rFonts w:ascii="Calibri" w:hAnsi="Calibri" w:cs="Calibri"/>
                <w:color w:val="000000"/>
                <w:sz w:val="18"/>
                <w:szCs w:val="18"/>
              </w:rPr>
              <w:t>listing)</w:t>
            </w:r>
            <w:r>
              <w:rPr>
                <w:rFonts w:ascii="Calibri" w:hAnsi="Calibri" w:cs="Calibri"/>
                <w:color w:val="000000"/>
                <w:sz w:val="18"/>
                <w:szCs w:val="18"/>
              </w:rPr>
              <w:br/>
            </w:r>
            <w:r>
              <w:rPr>
                <w:rFonts w:ascii="Calibri" w:hAnsi="Calibri" w:cs="Calibri"/>
                <w:color w:val="000000"/>
                <w:sz w:val="18"/>
                <w:szCs w:val="18"/>
              </w:rPr>
              <w:br/>
              <w:t xml:space="preserve">PBS Section 100 </w:t>
            </w:r>
            <w:r w:rsidR="00A71920">
              <w:rPr>
                <w:rFonts w:ascii="Calibri" w:hAnsi="Calibri" w:cs="Calibri"/>
                <w:color w:val="000000"/>
                <w:sz w:val="18"/>
                <w:szCs w:val="18"/>
              </w:rPr>
              <w:br/>
            </w:r>
            <w:r>
              <w:rPr>
                <w:rFonts w:ascii="Calibri" w:hAnsi="Calibri" w:cs="Calibri"/>
                <w:color w:val="000000"/>
                <w:sz w:val="18"/>
                <w:szCs w:val="18"/>
              </w:rPr>
              <w:t>(Highly Specialised Drugs Program)</w:t>
            </w:r>
          </w:p>
        </w:tc>
        <w:tc>
          <w:tcPr>
            <w:tcW w:w="1983" w:type="dxa"/>
            <w:tcBorders>
              <w:top w:val="single" w:sz="4" w:space="0" w:color="auto"/>
              <w:left w:val="single" w:sz="4" w:space="0" w:color="auto"/>
              <w:bottom w:val="single" w:sz="4" w:space="0" w:color="auto"/>
              <w:right w:val="single" w:sz="4" w:space="0" w:color="auto"/>
            </w:tcBorders>
            <w:vAlign w:val="center"/>
          </w:tcPr>
          <w:p w14:paraId="6A3BFF3B" w14:textId="4F02745B" w:rsidR="00F232A9" w:rsidRPr="005F21D6" w:rsidRDefault="00F232A9" w:rsidP="00F232A9">
            <w:pPr>
              <w:jc w:val="center"/>
              <w:rPr>
                <w:rFonts w:asciiTheme="minorHAnsi" w:hAnsiTheme="minorHAnsi" w:cstheme="minorHAnsi"/>
                <w:color w:val="000000"/>
                <w:sz w:val="18"/>
                <w:szCs w:val="18"/>
              </w:rPr>
            </w:pPr>
            <w:r>
              <w:rPr>
                <w:rFonts w:ascii="Calibri" w:hAnsi="Calibri" w:cs="Calibri"/>
                <w:color w:val="000000"/>
                <w:sz w:val="18"/>
                <w:szCs w:val="18"/>
              </w:rPr>
              <w:t>Colchicine-resistant or intolerant Familial Mediterranean Fever (</w:t>
            </w:r>
            <w:proofErr w:type="spellStart"/>
            <w:r>
              <w:rPr>
                <w:rFonts w:ascii="Calibri" w:hAnsi="Calibri" w:cs="Calibri"/>
                <w:color w:val="000000"/>
                <w:sz w:val="18"/>
                <w:szCs w:val="18"/>
              </w:rPr>
              <w:t>crFMF</w:t>
            </w:r>
            <w:proofErr w:type="spellEnd"/>
            <w:r>
              <w:rPr>
                <w:rFonts w:ascii="Calibri" w:hAnsi="Calibri" w:cs="Calibri"/>
                <w:color w:val="000000"/>
                <w:sz w:val="18"/>
                <w:szCs w:val="18"/>
              </w:rPr>
              <w:t>)</w:t>
            </w:r>
          </w:p>
        </w:tc>
        <w:tc>
          <w:tcPr>
            <w:tcW w:w="238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ABB686E" w14:textId="2C36B3DB" w:rsidR="00F232A9" w:rsidRPr="005F21D6" w:rsidRDefault="00F232A9" w:rsidP="00D428AC">
            <w:pPr>
              <w:jc w:val="center"/>
              <w:rPr>
                <w:rFonts w:asciiTheme="minorHAnsi" w:hAnsiTheme="minorHAnsi" w:cstheme="minorHAnsi"/>
                <w:color w:val="000000"/>
                <w:sz w:val="18"/>
                <w:szCs w:val="18"/>
              </w:rPr>
            </w:pPr>
            <w:r>
              <w:rPr>
                <w:rFonts w:ascii="Calibri" w:hAnsi="Calibri" w:cs="Calibri"/>
                <w:color w:val="000000"/>
                <w:sz w:val="18"/>
                <w:szCs w:val="18"/>
              </w:rPr>
              <w:t xml:space="preserve">To request listing of canakinumab for the treatment of paediatric </w:t>
            </w:r>
            <w:proofErr w:type="spellStart"/>
            <w:r>
              <w:rPr>
                <w:rFonts w:ascii="Calibri" w:hAnsi="Calibri" w:cs="Calibri"/>
                <w:color w:val="000000"/>
                <w:sz w:val="18"/>
                <w:szCs w:val="18"/>
              </w:rPr>
              <w:t>crFMF</w:t>
            </w:r>
            <w:proofErr w:type="spellEnd"/>
            <w:r>
              <w:rPr>
                <w:rFonts w:ascii="Calibri" w:hAnsi="Calibri" w:cs="Calibri"/>
                <w:color w:val="000000"/>
                <w:sz w:val="18"/>
                <w:szCs w:val="18"/>
              </w:rPr>
              <w:t xml:space="preserve"> patients who continue canakinumab treatment into adulthood (provided they initiated canakinumab treatment before turning 18 years of age). </w:t>
            </w:r>
            <w:r>
              <w:rPr>
                <w:rFonts w:ascii="Calibri" w:hAnsi="Calibri" w:cs="Calibri"/>
                <w:color w:val="000000"/>
                <w:sz w:val="18"/>
                <w:szCs w:val="18"/>
              </w:rPr>
              <w:br/>
            </w:r>
            <w:r>
              <w:rPr>
                <w:rFonts w:ascii="Calibri" w:hAnsi="Calibri" w:cs="Calibri"/>
                <w:color w:val="000000"/>
                <w:sz w:val="18"/>
                <w:szCs w:val="18"/>
              </w:rPr>
              <w:br/>
              <w:t>Authority Required (Telephone/Online)</w:t>
            </w:r>
          </w:p>
        </w:tc>
        <w:tc>
          <w:tcPr>
            <w:tcW w:w="1415" w:type="dxa"/>
            <w:vAlign w:val="center"/>
          </w:tcPr>
          <w:p w14:paraId="22A21051" w14:textId="499EA882" w:rsidR="00F232A9" w:rsidRPr="00544E10" w:rsidRDefault="00F232A9" w:rsidP="00D428AC">
            <w:pPr>
              <w:ind w:left="11"/>
              <w:contextualSpacing/>
              <w:jc w:val="center"/>
              <w:rPr>
                <w:rFonts w:asciiTheme="minorHAnsi" w:hAnsiTheme="minorHAnsi" w:cstheme="minorHAnsi"/>
                <w:color w:val="000000" w:themeColor="text1"/>
                <w:sz w:val="18"/>
                <w:szCs w:val="18"/>
              </w:rPr>
            </w:pPr>
            <w:r>
              <w:rPr>
                <w:rFonts w:ascii="Calibri" w:hAnsi="Calibri" w:cs="Calibri"/>
                <w:color w:val="000000"/>
                <w:sz w:val="18"/>
                <w:szCs w:val="18"/>
              </w:rPr>
              <w:t>Recommended</w:t>
            </w:r>
          </w:p>
        </w:tc>
        <w:tc>
          <w:tcPr>
            <w:tcW w:w="4729" w:type="dxa"/>
            <w:vAlign w:val="center"/>
          </w:tcPr>
          <w:p w14:paraId="3E58AA6C" w14:textId="66B355CC" w:rsidR="00F232A9" w:rsidRPr="00544E10" w:rsidRDefault="00F232A9" w:rsidP="00D428AC">
            <w:pPr>
              <w:ind w:left="11"/>
              <w:contextualSpacing/>
              <w:rPr>
                <w:rFonts w:asciiTheme="minorHAnsi" w:hAnsiTheme="minorHAnsi" w:cstheme="minorHAnsi"/>
                <w:color w:val="000000" w:themeColor="text1"/>
                <w:sz w:val="18"/>
                <w:szCs w:val="18"/>
              </w:rPr>
            </w:pPr>
            <w:r>
              <w:rPr>
                <w:rFonts w:ascii="Calibri" w:hAnsi="Calibri" w:cs="Calibri"/>
                <w:color w:val="000000"/>
                <w:sz w:val="18"/>
                <w:szCs w:val="18"/>
              </w:rPr>
              <w:t>The PBAC recommended listing of canakinumab for the treatment of colchicine resistant Familial Mediterranean Fever (FMF) in adults and children aged 2 years and older. FMF is rare genetic condition that causes recurrent febrile attacks (flares) and severe systemic inflammation, which leads to deterioration in kidney function. The PBAC welcomed input from individuals, health care professionals and consumer organisations. The PBAC acknowledged the debilitating nature of the disease and the benefit of flare reduction on improving patients’ quality of life and life expectancy and the high unmet clinical need for treatment options for patients with FMF.</w:t>
            </w:r>
            <w:r>
              <w:rPr>
                <w:rFonts w:ascii="Calibri" w:hAnsi="Calibri" w:cs="Calibri"/>
                <w:color w:val="000000"/>
                <w:sz w:val="18"/>
                <w:szCs w:val="18"/>
              </w:rPr>
              <w:br/>
            </w:r>
            <w:r>
              <w:rPr>
                <w:rFonts w:ascii="Calibri" w:hAnsi="Calibri" w:cs="Calibri"/>
                <w:color w:val="000000"/>
                <w:sz w:val="18"/>
                <w:szCs w:val="18"/>
              </w:rPr>
              <w:br/>
              <w:t xml:space="preserve">The PBAC noted the clinical evidence provided in the submission demonstrating that canakinumab reduces the frequency of febrile attacks and reduces systemic inflammation, which is expected to reduce kidney deterioration and failure. </w:t>
            </w:r>
            <w:r>
              <w:rPr>
                <w:rFonts w:ascii="Calibri" w:hAnsi="Calibri" w:cs="Calibri"/>
                <w:color w:val="000000"/>
                <w:sz w:val="18"/>
                <w:szCs w:val="18"/>
              </w:rPr>
              <w:br/>
            </w:r>
            <w:r>
              <w:rPr>
                <w:rFonts w:ascii="Calibri" w:hAnsi="Calibri" w:cs="Calibri"/>
                <w:color w:val="000000"/>
                <w:sz w:val="18"/>
                <w:szCs w:val="18"/>
              </w:rPr>
              <w:br/>
              <w:t xml:space="preserve">The clinical evidence presented in the submission did not allow confidence about the extent to which the benefits claimed in support to the proposed price would be realised in practice. However, the PBAC also recognised the difficulty in obtaining clinical data for this condition due to its rarity. </w:t>
            </w:r>
            <w:r>
              <w:rPr>
                <w:rFonts w:ascii="Calibri" w:hAnsi="Calibri" w:cs="Calibri"/>
                <w:color w:val="000000"/>
                <w:sz w:val="18"/>
                <w:szCs w:val="18"/>
              </w:rPr>
              <w:br/>
            </w:r>
            <w:r>
              <w:rPr>
                <w:rFonts w:ascii="Calibri" w:hAnsi="Calibri" w:cs="Calibri"/>
                <w:color w:val="000000"/>
                <w:sz w:val="18"/>
                <w:szCs w:val="18"/>
              </w:rPr>
              <w:br/>
              <w:t xml:space="preserve">The PBAC considered the value for money of canakinumab at the price requested by the sponsor was uncertain due to the limited clinical data, but that in the context of this rare and life-limiting disease, canakinumab would be considered acceptably cost-effective with a price reduction. The PBAC noted this recommendation is in line with other treatments for rare diseases funded on the PBS and takes into account clinical need, available evidence, nature of the benefits, and the size of the patient population. </w:t>
            </w:r>
            <w:r>
              <w:rPr>
                <w:rFonts w:ascii="Calibri" w:hAnsi="Calibri" w:cs="Calibri"/>
                <w:color w:val="000000"/>
                <w:sz w:val="18"/>
                <w:szCs w:val="18"/>
              </w:rPr>
              <w:br/>
            </w:r>
            <w:r>
              <w:rPr>
                <w:rFonts w:ascii="Calibri" w:hAnsi="Calibri" w:cs="Calibri"/>
                <w:color w:val="000000"/>
                <w:sz w:val="18"/>
                <w:szCs w:val="18"/>
              </w:rPr>
              <w:br/>
              <w:t>The PBAC considered that a risk-sharing arrangement should be put in place to reduce the financial risk of the cost of the drug to the PBS being higher than expected.</w:t>
            </w:r>
          </w:p>
        </w:tc>
      </w:tr>
      <w:tr w:rsidR="00E8125A" w:rsidRPr="00544E10" w14:paraId="20016463" w14:textId="77777777" w:rsidTr="003921D1">
        <w:trPr>
          <w:cantSplit/>
          <w:trHeight w:val="868"/>
        </w:trPr>
        <w:tc>
          <w:tcPr>
            <w:tcW w:w="294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C96BC64" w14:textId="77777777" w:rsidR="00E8125A" w:rsidRDefault="00E8125A" w:rsidP="00E8125A">
            <w:pPr>
              <w:jc w:val="center"/>
              <w:rPr>
                <w:rFonts w:ascii="Calibri" w:hAnsi="Calibri" w:cs="Calibri"/>
                <w:color w:val="000000"/>
                <w:sz w:val="18"/>
                <w:szCs w:val="18"/>
              </w:rPr>
            </w:pPr>
            <w:r>
              <w:rPr>
                <w:rFonts w:ascii="Calibri" w:hAnsi="Calibri" w:cs="Calibri"/>
                <w:color w:val="000000"/>
                <w:sz w:val="18"/>
                <w:szCs w:val="18"/>
              </w:rPr>
              <w:t>CANNABIDIOL</w:t>
            </w:r>
            <w:r>
              <w:rPr>
                <w:rFonts w:ascii="Calibri" w:hAnsi="Calibri" w:cs="Calibri"/>
                <w:color w:val="000000"/>
                <w:sz w:val="18"/>
                <w:szCs w:val="18"/>
              </w:rPr>
              <w:br/>
            </w:r>
            <w:r>
              <w:rPr>
                <w:rFonts w:ascii="Calibri" w:hAnsi="Calibri" w:cs="Calibri"/>
                <w:color w:val="000000"/>
                <w:sz w:val="18"/>
                <w:szCs w:val="18"/>
              </w:rPr>
              <w:br/>
              <w:t>Oral liquid 100 mg per mL, 100 mL</w:t>
            </w:r>
            <w:r>
              <w:rPr>
                <w:rFonts w:ascii="Calibri" w:hAnsi="Calibri" w:cs="Calibri"/>
                <w:color w:val="000000"/>
                <w:sz w:val="18"/>
                <w:szCs w:val="18"/>
              </w:rPr>
              <w:br/>
            </w:r>
            <w:r>
              <w:rPr>
                <w:rFonts w:ascii="Calibri" w:hAnsi="Calibri" w:cs="Calibri"/>
                <w:color w:val="000000"/>
                <w:sz w:val="18"/>
                <w:szCs w:val="18"/>
              </w:rPr>
              <w:br/>
              <w:t xml:space="preserve"> </w:t>
            </w:r>
            <w:proofErr w:type="spellStart"/>
            <w:r>
              <w:rPr>
                <w:rFonts w:ascii="Calibri" w:hAnsi="Calibri" w:cs="Calibri"/>
                <w:color w:val="000000"/>
                <w:sz w:val="18"/>
                <w:szCs w:val="18"/>
              </w:rPr>
              <w:t>Epidyolex</w:t>
            </w:r>
            <w:proofErr w:type="spellEnd"/>
            <w:r>
              <w:rPr>
                <w:rFonts w:ascii="Calibri" w:hAnsi="Calibri" w:cs="Calibri"/>
                <w:color w:val="000000"/>
                <w:sz w:val="18"/>
                <w:szCs w:val="18"/>
              </w:rPr>
              <w:t>®</w:t>
            </w:r>
            <w:r>
              <w:rPr>
                <w:rFonts w:ascii="Calibri" w:hAnsi="Calibri" w:cs="Calibri"/>
                <w:color w:val="000000"/>
                <w:sz w:val="18"/>
                <w:szCs w:val="18"/>
              </w:rPr>
              <w:br/>
            </w:r>
            <w:r>
              <w:rPr>
                <w:rFonts w:ascii="Calibri" w:hAnsi="Calibri" w:cs="Calibri"/>
                <w:color w:val="000000"/>
                <w:sz w:val="18"/>
                <w:szCs w:val="18"/>
              </w:rPr>
              <w:br/>
              <w:t>JAZZ PHARMACEUTICALS ANZ PTY LTD</w:t>
            </w:r>
            <w:r>
              <w:rPr>
                <w:rFonts w:ascii="Calibri" w:hAnsi="Calibri" w:cs="Calibri"/>
                <w:color w:val="000000"/>
                <w:sz w:val="18"/>
                <w:szCs w:val="18"/>
              </w:rPr>
              <w:br/>
            </w:r>
            <w:r>
              <w:rPr>
                <w:rFonts w:ascii="Calibri" w:hAnsi="Calibri" w:cs="Calibri"/>
                <w:color w:val="000000"/>
                <w:sz w:val="18"/>
                <w:szCs w:val="18"/>
              </w:rPr>
              <w:br/>
              <w:t>Category 3</w:t>
            </w:r>
            <w:r>
              <w:rPr>
                <w:rFonts w:ascii="Calibri" w:hAnsi="Calibri" w:cs="Calibri"/>
                <w:color w:val="000000"/>
                <w:sz w:val="18"/>
                <w:szCs w:val="18"/>
              </w:rPr>
              <w:br/>
              <w:t>(Change to existing listing)</w:t>
            </w:r>
          </w:p>
          <w:p w14:paraId="77B53B12" w14:textId="4DC62923" w:rsidR="00E8125A" w:rsidRDefault="00E8125A" w:rsidP="00E8125A">
            <w:pPr>
              <w:jc w:val="center"/>
              <w:rPr>
                <w:rFonts w:ascii="Calibri" w:hAnsi="Calibri" w:cs="Calibri"/>
                <w:color w:val="000000"/>
                <w:sz w:val="18"/>
                <w:szCs w:val="18"/>
              </w:rPr>
            </w:pPr>
            <w:r>
              <w:rPr>
                <w:rFonts w:ascii="Calibri" w:hAnsi="Calibri" w:cs="Calibri"/>
                <w:color w:val="000000"/>
                <w:sz w:val="18"/>
                <w:szCs w:val="18"/>
              </w:rPr>
              <w:br/>
              <w:t>PBS General Schedule</w:t>
            </w:r>
          </w:p>
        </w:tc>
        <w:tc>
          <w:tcPr>
            <w:tcW w:w="1983" w:type="dxa"/>
            <w:tcBorders>
              <w:top w:val="single" w:sz="4" w:space="0" w:color="auto"/>
              <w:left w:val="single" w:sz="4" w:space="0" w:color="auto"/>
              <w:bottom w:val="single" w:sz="4" w:space="0" w:color="auto"/>
              <w:right w:val="single" w:sz="4" w:space="0" w:color="auto"/>
            </w:tcBorders>
            <w:vAlign w:val="center"/>
          </w:tcPr>
          <w:p w14:paraId="7EA8220A" w14:textId="4624F144" w:rsidR="00E8125A" w:rsidRDefault="00E8125A" w:rsidP="00E8125A">
            <w:pPr>
              <w:jc w:val="center"/>
              <w:rPr>
                <w:rFonts w:ascii="Calibri" w:hAnsi="Calibri" w:cs="Calibri"/>
                <w:color w:val="000000"/>
                <w:sz w:val="18"/>
                <w:szCs w:val="18"/>
              </w:rPr>
            </w:pPr>
            <w:r>
              <w:rPr>
                <w:rFonts w:ascii="Calibri" w:hAnsi="Calibri" w:cs="Calibri"/>
                <w:color w:val="000000"/>
                <w:sz w:val="18"/>
                <w:szCs w:val="18"/>
              </w:rPr>
              <w:t>Severe myoclonic epilepsy in infancy (Dravet syndrome)</w:t>
            </w:r>
          </w:p>
        </w:tc>
        <w:tc>
          <w:tcPr>
            <w:tcW w:w="238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32EC742" w14:textId="53782B34" w:rsidR="00E8125A" w:rsidRDefault="00E8125A" w:rsidP="00E8125A">
            <w:pPr>
              <w:jc w:val="center"/>
              <w:rPr>
                <w:rFonts w:ascii="Calibri" w:hAnsi="Calibri" w:cs="Calibri"/>
                <w:color w:val="000000"/>
                <w:sz w:val="18"/>
                <w:szCs w:val="18"/>
              </w:rPr>
            </w:pPr>
            <w:r>
              <w:rPr>
                <w:rFonts w:ascii="Calibri" w:hAnsi="Calibri" w:cs="Calibri"/>
                <w:color w:val="000000"/>
                <w:sz w:val="18"/>
                <w:szCs w:val="18"/>
              </w:rPr>
              <w:t>To request a change to the restriction level from Authority Required (Telephone/Online) to Authority Required (STREAMLINED) for the treatment of Dravet syndrome. The submission also requested amendments to the treatment criteria to allow prescribing by a paediatrician without the need for consultation with a neurologist, and continuation of therapy by a general practitioner with a paed</w:t>
            </w:r>
            <w:r w:rsidR="00C10DB6">
              <w:rPr>
                <w:rFonts w:ascii="Calibri" w:hAnsi="Calibri" w:cs="Calibri"/>
                <w:color w:val="000000"/>
                <w:sz w:val="18"/>
                <w:szCs w:val="18"/>
              </w:rPr>
              <w:t>ia</w:t>
            </w:r>
            <w:r>
              <w:rPr>
                <w:rFonts w:ascii="Calibri" w:hAnsi="Calibri" w:cs="Calibri"/>
                <w:color w:val="000000"/>
                <w:sz w:val="18"/>
                <w:szCs w:val="18"/>
              </w:rPr>
              <w:t xml:space="preserve">trician. </w:t>
            </w:r>
            <w:r>
              <w:rPr>
                <w:rFonts w:ascii="Calibri" w:hAnsi="Calibri" w:cs="Calibri"/>
                <w:color w:val="000000"/>
                <w:sz w:val="18"/>
                <w:szCs w:val="18"/>
              </w:rPr>
              <w:br/>
            </w:r>
            <w:r>
              <w:rPr>
                <w:rFonts w:ascii="Calibri" w:hAnsi="Calibri" w:cs="Calibri"/>
                <w:color w:val="000000"/>
                <w:sz w:val="18"/>
                <w:szCs w:val="18"/>
              </w:rPr>
              <w:br/>
              <w:t>Authority Required (STREAMLINED)</w:t>
            </w:r>
          </w:p>
        </w:tc>
        <w:tc>
          <w:tcPr>
            <w:tcW w:w="1415" w:type="dxa"/>
            <w:vAlign w:val="center"/>
          </w:tcPr>
          <w:p w14:paraId="049ED891" w14:textId="05E7A14D" w:rsidR="00E8125A" w:rsidRDefault="00E8125A" w:rsidP="00E8125A">
            <w:pPr>
              <w:ind w:left="11"/>
              <w:contextualSpacing/>
              <w:jc w:val="center"/>
              <w:rPr>
                <w:rFonts w:ascii="Calibri" w:hAnsi="Calibri" w:cs="Calibri"/>
                <w:color w:val="000000"/>
                <w:sz w:val="18"/>
                <w:szCs w:val="18"/>
              </w:rPr>
            </w:pPr>
            <w:r>
              <w:rPr>
                <w:rFonts w:ascii="Calibri" w:hAnsi="Calibri" w:cs="Calibri"/>
                <w:color w:val="000000"/>
                <w:sz w:val="18"/>
                <w:szCs w:val="18"/>
              </w:rPr>
              <w:t>Recommended</w:t>
            </w:r>
          </w:p>
        </w:tc>
        <w:tc>
          <w:tcPr>
            <w:tcW w:w="4729" w:type="dxa"/>
            <w:vAlign w:val="center"/>
          </w:tcPr>
          <w:p w14:paraId="5CE6DEE2" w14:textId="2223BE1F" w:rsidR="00E8125A" w:rsidRDefault="00E8125A" w:rsidP="00E8125A">
            <w:pPr>
              <w:ind w:left="11"/>
              <w:contextualSpacing/>
              <w:rPr>
                <w:rFonts w:ascii="Calibri" w:hAnsi="Calibri" w:cs="Calibri"/>
                <w:color w:val="000000"/>
                <w:sz w:val="18"/>
                <w:szCs w:val="18"/>
              </w:rPr>
            </w:pPr>
            <w:r>
              <w:rPr>
                <w:rFonts w:ascii="Calibri" w:hAnsi="Calibri" w:cs="Calibri"/>
                <w:color w:val="000000"/>
                <w:sz w:val="18"/>
                <w:szCs w:val="18"/>
              </w:rPr>
              <w:t>The PBAC recommended amending the authority requirements for cannabidiol for the treatment of seizures associated with Dravet syndrome (DS) from Authority Required (Telephone/online PBS Authorities system) to Authority Required (STREAMLINED). The PBAC also recommended amendments to the current PBS criteria for cannabidiol to improve access for patients with DS, including allowing prescribing by paediatricians for both initial and continuing treatment.</w:t>
            </w:r>
            <w:r>
              <w:rPr>
                <w:rFonts w:ascii="Calibri" w:hAnsi="Calibri" w:cs="Calibri"/>
                <w:color w:val="000000"/>
                <w:sz w:val="18"/>
                <w:szCs w:val="18"/>
              </w:rPr>
              <w:br/>
              <w:t xml:space="preserve">The PBAC advised that changes to the cannabidiol listing should flow on to fenfluramine and </w:t>
            </w:r>
            <w:proofErr w:type="spellStart"/>
            <w:r>
              <w:rPr>
                <w:rFonts w:ascii="Calibri" w:hAnsi="Calibri" w:cs="Calibri"/>
                <w:color w:val="000000"/>
                <w:sz w:val="18"/>
                <w:szCs w:val="18"/>
              </w:rPr>
              <w:t>stiripentol</w:t>
            </w:r>
            <w:proofErr w:type="spellEnd"/>
            <w:r>
              <w:rPr>
                <w:rFonts w:ascii="Calibri" w:hAnsi="Calibri" w:cs="Calibri"/>
                <w:color w:val="000000"/>
                <w:sz w:val="18"/>
                <w:szCs w:val="18"/>
              </w:rPr>
              <w:t>.</w:t>
            </w:r>
            <w:r>
              <w:rPr>
                <w:rFonts w:ascii="Calibri" w:hAnsi="Calibri" w:cs="Calibri"/>
                <w:color w:val="000000"/>
                <w:sz w:val="18"/>
                <w:szCs w:val="18"/>
              </w:rPr>
              <w:br/>
              <w:t>The PBAC noted and welcomed input from neurologists, Epilepsy Action Australia, the Epilepsy Foundation and Pharmaceutical Society of Australia. The PBAC noted that all inputs described that the recommended amendments to the restriction would improve access to cannabidiol and enhance the efficiency of the prescribing process.</w:t>
            </w:r>
            <w:r>
              <w:rPr>
                <w:rFonts w:ascii="Calibri" w:hAnsi="Calibri" w:cs="Calibri"/>
                <w:color w:val="000000"/>
                <w:sz w:val="18"/>
                <w:szCs w:val="18"/>
              </w:rPr>
              <w:br/>
              <w:t>The PBAC noted that there was a small population that benefits from this treatment and advised that the estimated nil net financial impact to the PBS/RPBS was appropriate.</w:t>
            </w:r>
          </w:p>
        </w:tc>
      </w:tr>
      <w:tr w:rsidR="00C312E5" w:rsidRPr="00544E10" w14:paraId="2F61596B" w14:textId="77777777" w:rsidTr="003921D1">
        <w:trPr>
          <w:cantSplit/>
          <w:trHeight w:val="868"/>
        </w:trPr>
        <w:tc>
          <w:tcPr>
            <w:tcW w:w="294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F6976C3" w14:textId="77777777" w:rsidR="00E1531F" w:rsidRDefault="00F232A9" w:rsidP="00F232A9">
            <w:pPr>
              <w:jc w:val="center"/>
              <w:rPr>
                <w:rFonts w:ascii="Calibri" w:hAnsi="Calibri" w:cs="Calibri"/>
                <w:color w:val="000000"/>
                <w:sz w:val="18"/>
                <w:szCs w:val="18"/>
              </w:rPr>
            </w:pPr>
            <w:r>
              <w:rPr>
                <w:rFonts w:ascii="Calibri" w:hAnsi="Calibri" w:cs="Calibri"/>
                <w:color w:val="000000"/>
                <w:sz w:val="18"/>
                <w:szCs w:val="18"/>
              </w:rPr>
              <w:t>CICLOSPORIN</w:t>
            </w:r>
            <w:r>
              <w:rPr>
                <w:rFonts w:ascii="Calibri" w:hAnsi="Calibri" w:cs="Calibri"/>
                <w:color w:val="000000"/>
                <w:sz w:val="18"/>
                <w:szCs w:val="18"/>
              </w:rPr>
              <w:br/>
            </w:r>
            <w:r>
              <w:rPr>
                <w:rFonts w:ascii="Calibri" w:hAnsi="Calibri" w:cs="Calibri"/>
                <w:color w:val="000000"/>
                <w:sz w:val="18"/>
                <w:szCs w:val="18"/>
              </w:rPr>
              <w:br/>
              <w:t>Eye drops containing ciclosporin 1 mg per mL, 2 mL</w:t>
            </w:r>
            <w:r>
              <w:rPr>
                <w:rFonts w:ascii="Calibri" w:hAnsi="Calibri" w:cs="Calibri"/>
                <w:color w:val="000000"/>
                <w:sz w:val="18"/>
                <w:szCs w:val="18"/>
              </w:rPr>
              <w:br/>
            </w:r>
            <w:r>
              <w:rPr>
                <w:rFonts w:ascii="Calibri" w:hAnsi="Calibri" w:cs="Calibri"/>
                <w:color w:val="000000"/>
                <w:sz w:val="18"/>
                <w:szCs w:val="18"/>
              </w:rPr>
              <w:br/>
            </w:r>
            <w:proofErr w:type="spellStart"/>
            <w:r>
              <w:rPr>
                <w:rFonts w:ascii="Calibri" w:hAnsi="Calibri" w:cs="Calibri"/>
                <w:color w:val="000000"/>
                <w:sz w:val="18"/>
                <w:szCs w:val="18"/>
              </w:rPr>
              <w:t>Vevye</w:t>
            </w:r>
            <w:proofErr w:type="spellEnd"/>
            <w:r>
              <w:rPr>
                <w:rFonts w:ascii="Calibri" w:hAnsi="Calibri" w:cs="Calibri"/>
                <w:color w:val="000000"/>
                <w:sz w:val="18"/>
                <w:szCs w:val="18"/>
              </w:rPr>
              <w:t>®</w:t>
            </w:r>
            <w:r>
              <w:rPr>
                <w:rFonts w:ascii="Calibri" w:hAnsi="Calibri" w:cs="Calibri"/>
                <w:color w:val="000000"/>
                <w:sz w:val="18"/>
                <w:szCs w:val="18"/>
              </w:rPr>
              <w:br/>
            </w:r>
            <w:r>
              <w:rPr>
                <w:rFonts w:ascii="Calibri" w:hAnsi="Calibri" w:cs="Calibri"/>
                <w:color w:val="000000"/>
                <w:sz w:val="18"/>
                <w:szCs w:val="18"/>
              </w:rPr>
              <w:br/>
              <w:t>AFT PHARMACEUTICALS (AU) PTY LTD</w:t>
            </w:r>
            <w:r>
              <w:rPr>
                <w:rFonts w:ascii="Calibri" w:hAnsi="Calibri" w:cs="Calibri"/>
                <w:color w:val="000000"/>
                <w:sz w:val="18"/>
                <w:szCs w:val="18"/>
              </w:rPr>
              <w:br/>
            </w:r>
            <w:r>
              <w:rPr>
                <w:rFonts w:ascii="Calibri" w:hAnsi="Calibri" w:cs="Calibri"/>
                <w:color w:val="000000"/>
                <w:sz w:val="18"/>
                <w:szCs w:val="18"/>
              </w:rPr>
              <w:br/>
              <w:t>Category 4</w:t>
            </w:r>
            <w:r>
              <w:rPr>
                <w:rFonts w:ascii="Calibri" w:hAnsi="Calibri" w:cs="Calibri"/>
                <w:color w:val="000000"/>
                <w:sz w:val="18"/>
                <w:szCs w:val="18"/>
              </w:rPr>
              <w:br/>
              <w:t>(New PBS Listing</w:t>
            </w:r>
            <w:r w:rsidR="00957109">
              <w:rPr>
                <w:rFonts w:ascii="Calibri" w:hAnsi="Calibri" w:cs="Calibri"/>
                <w:color w:val="000000"/>
                <w:sz w:val="18"/>
                <w:szCs w:val="18"/>
              </w:rPr>
              <w:t>)</w:t>
            </w:r>
          </w:p>
          <w:p w14:paraId="68FBD433" w14:textId="45ACC0B3" w:rsidR="00F232A9" w:rsidRPr="005F21D6" w:rsidRDefault="00F232A9" w:rsidP="00F232A9">
            <w:pPr>
              <w:jc w:val="center"/>
              <w:rPr>
                <w:rFonts w:asciiTheme="minorHAnsi" w:hAnsiTheme="minorHAnsi" w:cstheme="minorHAnsi"/>
                <w:color w:val="000000"/>
                <w:szCs w:val="20"/>
              </w:rPr>
            </w:pPr>
            <w:r>
              <w:rPr>
                <w:rFonts w:ascii="Calibri" w:hAnsi="Calibri" w:cs="Calibri"/>
                <w:color w:val="000000"/>
                <w:sz w:val="18"/>
                <w:szCs w:val="18"/>
              </w:rPr>
              <w:br/>
              <w:t>PBS General Schedule</w:t>
            </w:r>
          </w:p>
        </w:tc>
        <w:tc>
          <w:tcPr>
            <w:tcW w:w="1983" w:type="dxa"/>
            <w:tcBorders>
              <w:top w:val="single" w:sz="4" w:space="0" w:color="auto"/>
              <w:left w:val="single" w:sz="4" w:space="0" w:color="auto"/>
              <w:bottom w:val="single" w:sz="4" w:space="0" w:color="auto"/>
              <w:right w:val="single" w:sz="4" w:space="0" w:color="auto"/>
            </w:tcBorders>
            <w:vAlign w:val="center"/>
          </w:tcPr>
          <w:p w14:paraId="200885D1" w14:textId="70EE8942" w:rsidR="00F232A9" w:rsidRPr="005F21D6" w:rsidRDefault="00F232A9" w:rsidP="00F232A9">
            <w:pPr>
              <w:jc w:val="center"/>
              <w:rPr>
                <w:rFonts w:asciiTheme="minorHAnsi" w:hAnsiTheme="minorHAnsi" w:cstheme="minorHAnsi"/>
                <w:color w:val="000000"/>
                <w:sz w:val="18"/>
                <w:szCs w:val="18"/>
              </w:rPr>
            </w:pPr>
            <w:r>
              <w:rPr>
                <w:rFonts w:ascii="Calibri" w:hAnsi="Calibri" w:cs="Calibri"/>
                <w:color w:val="000000"/>
                <w:sz w:val="18"/>
                <w:szCs w:val="18"/>
              </w:rPr>
              <w:t xml:space="preserve">Dry eye disease with keratitis </w:t>
            </w:r>
          </w:p>
        </w:tc>
        <w:tc>
          <w:tcPr>
            <w:tcW w:w="238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2025BE0" w14:textId="0A1491BB" w:rsidR="00F232A9" w:rsidRPr="005F21D6" w:rsidRDefault="00F232A9" w:rsidP="00F232A9">
            <w:pPr>
              <w:jc w:val="center"/>
              <w:rPr>
                <w:rFonts w:asciiTheme="minorHAnsi" w:hAnsiTheme="minorHAnsi" w:cstheme="minorHAnsi"/>
                <w:color w:val="000000"/>
                <w:sz w:val="18"/>
                <w:szCs w:val="18"/>
              </w:rPr>
            </w:pPr>
            <w:r>
              <w:rPr>
                <w:rFonts w:ascii="Calibri" w:hAnsi="Calibri" w:cs="Calibri"/>
                <w:color w:val="000000"/>
                <w:sz w:val="18"/>
                <w:szCs w:val="18"/>
              </w:rPr>
              <w:t>To request listing of a new form of ciclosporin eye drops for the treatment of dry eye disease with keratitis in adult patients whose condition has not been adequately controlled by monotherapy with an artificial tears substitute.</w:t>
            </w:r>
            <w:r>
              <w:rPr>
                <w:rFonts w:ascii="Calibri" w:hAnsi="Calibri" w:cs="Calibri"/>
                <w:color w:val="000000"/>
                <w:sz w:val="18"/>
                <w:szCs w:val="18"/>
              </w:rPr>
              <w:br/>
            </w:r>
            <w:r>
              <w:rPr>
                <w:rFonts w:ascii="Calibri" w:hAnsi="Calibri" w:cs="Calibri"/>
                <w:color w:val="000000"/>
                <w:sz w:val="18"/>
                <w:szCs w:val="18"/>
              </w:rPr>
              <w:br/>
              <w:t>Authority Required (Telephone/Online)</w:t>
            </w:r>
          </w:p>
        </w:tc>
        <w:tc>
          <w:tcPr>
            <w:tcW w:w="1415" w:type="dxa"/>
            <w:vAlign w:val="center"/>
          </w:tcPr>
          <w:p w14:paraId="2F8B55A6" w14:textId="52276403" w:rsidR="00F232A9" w:rsidRPr="00544E10" w:rsidRDefault="00F232A9" w:rsidP="00D428AC">
            <w:pPr>
              <w:ind w:left="11"/>
              <w:contextualSpacing/>
              <w:jc w:val="center"/>
              <w:rPr>
                <w:rFonts w:asciiTheme="minorHAnsi" w:hAnsiTheme="minorHAnsi" w:cstheme="minorHAnsi"/>
                <w:color w:val="000000" w:themeColor="text1"/>
                <w:sz w:val="18"/>
                <w:szCs w:val="18"/>
              </w:rPr>
            </w:pPr>
            <w:r>
              <w:rPr>
                <w:rFonts w:ascii="Calibri" w:hAnsi="Calibri" w:cs="Calibri"/>
                <w:color w:val="000000"/>
                <w:sz w:val="18"/>
                <w:szCs w:val="18"/>
              </w:rPr>
              <w:t>Recommended</w:t>
            </w:r>
          </w:p>
        </w:tc>
        <w:tc>
          <w:tcPr>
            <w:tcW w:w="4729" w:type="dxa"/>
            <w:vAlign w:val="center"/>
          </w:tcPr>
          <w:p w14:paraId="0F61A0C5" w14:textId="4C349FF4" w:rsidR="00F232A9" w:rsidRPr="00544E10" w:rsidRDefault="00F232A9" w:rsidP="00D428AC">
            <w:pPr>
              <w:ind w:left="11"/>
              <w:contextualSpacing/>
              <w:rPr>
                <w:rFonts w:asciiTheme="minorHAnsi" w:hAnsiTheme="minorHAnsi" w:cstheme="minorHAnsi"/>
                <w:color w:val="000000" w:themeColor="text1"/>
                <w:sz w:val="18"/>
                <w:szCs w:val="18"/>
              </w:rPr>
            </w:pPr>
            <w:r>
              <w:rPr>
                <w:rFonts w:ascii="Calibri" w:hAnsi="Calibri" w:cs="Calibri"/>
                <w:color w:val="000000"/>
                <w:sz w:val="18"/>
                <w:szCs w:val="18"/>
              </w:rPr>
              <w:t>The PBAC recommended the General Schedule Authority Required (telephone/electronic) listing of ciclosporin eye drops (</w:t>
            </w:r>
            <w:proofErr w:type="spellStart"/>
            <w:r>
              <w:rPr>
                <w:rFonts w:ascii="Calibri" w:hAnsi="Calibri" w:cs="Calibri"/>
                <w:color w:val="000000"/>
                <w:sz w:val="18"/>
                <w:szCs w:val="18"/>
              </w:rPr>
              <w:t>Vevye</w:t>
            </w:r>
            <w:proofErr w:type="spellEnd"/>
            <w:r>
              <w:rPr>
                <w:rFonts w:ascii="Calibri" w:hAnsi="Calibri" w:cs="Calibri"/>
                <w:color w:val="000000"/>
                <w:sz w:val="18"/>
                <w:szCs w:val="18"/>
              </w:rPr>
              <w:t xml:space="preserve">) for the treatment of chronic severe dry eye disease with keratitis in adult patients whose condition has not been adequately controlled with an artificial tears substitute. The PBAC’s recommendation for listing was based on, among other matters, its assessment that </w:t>
            </w:r>
            <w:proofErr w:type="spellStart"/>
            <w:r>
              <w:rPr>
                <w:rFonts w:ascii="Calibri" w:hAnsi="Calibri" w:cs="Calibri"/>
                <w:color w:val="000000"/>
                <w:sz w:val="18"/>
                <w:szCs w:val="18"/>
              </w:rPr>
              <w:t>Vevye</w:t>
            </w:r>
            <w:proofErr w:type="spellEnd"/>
            <w:r>
              <w:rPr>
                <w:rFonts w:ascii="Calibri" w:hAnsi="Calibri" w:cs="Calibri"/>
                <w:color w:val="000000"/>
                <w:sz w:val="18"/>
                <w:szCs w:val="18"/>
              </w:rPr>
              <w:t xml:space="preserve"> should not cost any more than the currently PBS-listed ciclosporin eye drops.  The PBAC advised that </w:t>
            </w:r>
            <w:proofErr w:type="spellStart"/>
            <w:r>
              <w:rPr>
                <w:rFonts w:ascii="Calibri" w:hAnsi="Calibri" w:cs="Calibri"/>
                <w:color w:val="000000"/>
                <w:sz w:val="18"/>
                <w:szCs w:val="18"/>
              </w:rPr>
              <w:t>Vevye</w:t>
            </w:r>
            <w:proofErr w:type="spellEnd"/>
            <w:r>
              <w:rPr>
                <w:rFonts w:ascii="Calibri" w:hAnsi="Calibri" w:cs="Calibri"/>
                <w:color w:val="000000"/>
                <w:sz w:val="18"/>
                <w:szCs w:val="18"/>
              </w:rPr>
              <w:t xml:space="preserve"> should join the existing risk sharing arrangement (RSA) for ciclosporin eye drops and that there should be no increase to the expenditure caps.</w:t>
            </w:r>
          </w:p>
        </w:tc>
      </w:tr>
      <w:tr w:rsidR="00C312E5" w:rsidRPr="00544E10" w14:paraId="37EDFAFA" w14:textId="77777777" w:rsidTr="003921D1">
        <w:trPr>
          <w:cantSplit/>
          <w:trHeight w:val="868"/>
        </w:trPr>
        <w:tc>
          <w:tcPr>
            <w:tcW w:w="294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7354114" w14:textId="5833C27B" w:rsidR="000246AB" w:rsidRPr="005F21D6" w:rsidRDefault="000246AB" w:rsidP="000246AB">
            <w:pPr>
              <w:jc w:val="center"/>
              <w:rPr>
                <w:rFonts w:asciiTheme="minorHAnsi" w:hAnsiTheme="minorHAnsi" w:cstheme="minorHAnsi"/>
                <w:color w:val="000000"/>
                <w:szCs w:val="20"/>
              </w:rPr>
            </w:pPr>
            <w:r>
              <w:rPr>
                <w:rFonts w:ascii="Calibri" w:hAnsi="Calibri" w:cs="Calibri"/>
                <w:color w:val="000000"/>
                <w:sz w:val="18"/>
                <w:szCs w:val="18"/>
              </w:rPr>
              <w:t>DUPILUMAB</w:t>
            </w:r>
            <w:r>
              <w:rPr>
                <w:rFonts w:ascii="Calibri" w:hAnsi="Calibri" w:cs="Calibri"/>
                <w:color w:val="000000"/>
                <w:sz w:val="18"/>
                <w:szCs w:val="18"/>
              </w:rPr>
              <w:br/>
            </w:r>
            <w:r>
              <w:rPr>
                <w:rFonts w:ascii="Calibri" w:hAnsi="Calibri" w:cs="Calibri"/>
                <w:color w:val="000000"/>
                <w:sz w:val="18"/>
                <w:szCs w:val="18"/>
              </w:rPr>
              <w:br/>
              <w:t>Injection 300 mg in 2 mL single dose pre-filled syringe</w:t>
            </w:r>
            <w:r>
              <w:rPr>
                <w:rFonts w:ascii="Calibri" w:hAnsi="Calibri" w:cs="Calibri"/>
                <w:color w:val="000000"/>
                <w:sz w:val="18"/>
                <w:szCs w:val="18"/>
              </w:rPr>
              <w:br/>
              <w:t>Injection 300 mg in 2 mL single dose pre-filled pen</w:t>
            </w:r>
            <w:r>
              <w:rPr>
                <w:rFonts w:ascii="Calibri" w:hAnsi="Calibri" w:cs="Calibri"/>
                <w:color w:val="000000"/>
                <w:sz w:val="18"/>
                <w:szCs w:val="18"/>
              </w:rPr>
              <w:br/>
            </w:r>
            <w:r>
              <w:rPr>
                <w:rFonts w:ascii="Calibri" w:hAnsi="Calibri" w:cs="Calibri"/>
                <w:color w:val="000000"/>
                <w:sz w:val="18"/>
                <w:szCs w:val="18"/>
              </w:rPr>
              <w:br/>
              <w:t>Dupixent®</w:t>
            </w:r>
            <w:r>
              <w:rPr>
                <w:rFonts w:ascii="Calibri" w:hAnsi="Calibri" w:cs="Calibri"/>
                <w:color w:val="000000"/>
                <w:sz w:val="18"/>
                <w:szCs w:val="18"/>
              </w:rPr>
              <w:br/>
            </w:r>
            <w:r>
              <w:rPr>
                <w:rFonts w:ascii="Calibri" w:hAnsi="Calibri" w:cs="Calibri"/>
                <w:color w:val="000000"/>
                <w:sz w:val="18"/>
                <w:szCs w:val="18"/>
              </w:rPr>
              <w:br/>
              <w:t>SANOFI-AVENTIS AUSTRALIA PTY LTD</w:t>
            </w:r>
            <w:r>
              <w:rPr>
                <w:rFonts w:ascii="Calibri" w:hAnsi="Calibri" w:cs="Calibri"/>
                <w:color w:val="000000"/>
                <w:sz w:val="18"/>
                <w:szCs w:val="18"/>
              </w:rPr>
              <w:br/>
            </w:r>
            <w:r>
              <w:rPr>
                <w:rFonts w:ascii="Calibri" w:hAnsi="Calibri" w:cs="Calibri"/>
                <w:color w:val="000000"/>
                <w:sz w:val="18"/>
                <w:szCs w:val="18"/>
              </w:rPr>
              <w:br/>
              <w:t>Category 2</w:t>
            </w:r>
            <w:r>
              <w:rPr>
                <w:rFonts w:ascii="Calibri" w:hAnsi="Calibri" w:cs="Calibri"/>
                <w:color w:val="000000"/>
                <w:sz w:val="18"/>
                <w:szCs w:val="18"/>
              </w:rPr>
              <w:br/>
              <w:t xml:space="preserve">(Change to existing </w:t>
            </w:r>
            <w:r w:rsidR="00957109">
              <w:rPr>
                <w:rFonts w:ascii="Calibri" w:hAnsi="Calibri" w:cs="Calibri"/>
                <w:color w:val="000000"/>
                <w:sz w:val="18"/>
                <w:szCs w:val="18"/>
              </w:rPr>
              <w:t>listing)</w:t>
            </w:r>
            <w:r>
              <w:rPr>
                <w:rFonts w:ascii="Calibri" w:hAnsi="Calibri" w:cs="Calibri"/>
                <w:color w:val="000000"/>
                <w:sz w:val="18"/>
                <w:szCs w:val="18"/>
              </w:rPr>
              <w:br/>
            </w:r>
            <w:r>
              <w:rPr>
                <w:rFonts w:ascii="Calibri" w:hAnsi="Calibri" w:cs="Calibri"/>
                <w:color w:val="000000"/>
                <w:sz w:val="18"/>
                <w:szCs w:val="18"/>
              </w:rPr>
              <w:br/>
              <w:t>PBS General Schedule</w:t>
            </w:r>
          </w:p>
        </w:tc>
        <w:tc>
          <w:tcPr>
            <w:tcW w:w="1983" w:type="dxa"/>
            <w:tcBorders>
              <w:top w:val="single" w:sz="4" w:space="0" w:color="auto"/>
              <w:left w:val="single" w:sz="4" w:space="0" w:color="auto"/>
              <w:bottom w:val="single" w:sz="4" w:space="0" w:color="auto"/>
              <w:right w:val="single" w:sz="4" w:space="0" w:color="auto"/>
            </w:tcBorders>
            <w:vAlign w:val="center"/>
          </w:tcPr>
          <w:p w14:paraId="210E4913" w14:textId="7299FFDA" w:rsidR="000246AB" w:rsidRPr="005F21D6" w:rsidRDefault="000246AB" w:rsidP="000246AB">
            <w:pPr>
              <w:jc w:val="center"/>
              <w:rPr>
                <w:rFonts w:asciiTheme="minorHAnsi" w:hAnsiTheme="minorHAnsi" w:cstheme="minorHAnsi"/>
                <w:color w:val="000000"/>
                <w:sz w:val="18"/>
                <w:szCs w:val="18"/>
              </w:rPr>
            </w:pPr>
            <w:r>
              <w:rPr>
                <w:rFonts w:ascii="Calibri" w:hAnsi="Calibri" w:cs="Calibri"/>
                <w:color w:val="000000"/>
                <w:sz w:val="18"/>
                <w:szCs w:val="18"/>
              </w:rPr>
              <w:t>Chronic obstructive pulmonary disease (COPD)</w:t>
            </w:r>
          </w:p>
        </w:tc>
        <w:tc>
          <w:tcPr>
            <w:tcW w:w="238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C162935" w14:textId="18F93BBE" w:rsidR="000246AB" w:rsidRPr="005F21D6" w:rsidRDefault="000246AB" w:rsidP="000246AB">
            <w:pPr>
              <w:jc w:val="center"/>
              <w:rPr>
                <w:rFonts w:asciiTheme="minorHAnsi" w:hAnsiTheme="minorHAnsi" w:cstheme="minorHAnsi"/>
                <w:color w:val="000000"/>
                <w:sz w:val="18"/>
                <w:szCs w:val="18"/>
              </w:rPr>
            </w:pPr>
            <w:r>
              <w:rPr>
                <w:rFonts w:ascii="Calibri" w:hAnsi="Calibri" w:cs="Calibri"/>
                <w:color w:val="000000"/>
                <w:sz w:val="18"/>
                <w:szCs w:val="18"/>
              </w:rPr>
              <w:t xml:space="preserve">To request listing of dupilumab for use as add-on maintenance treatment for uncontrolled COPD in adult patients with raised blood eosinophils and on a stable combination of an inhaled corticosteroid (ICS), a long-acting beta2-agonist (LABA), and a long-acting muscarinic antagonist (LAMA). </w:t>
            </w:r>
            <w:r>
              <w:rPr>
                <w:rFonts w:ascii="Calibri" w:hAnsi="Calibri" w:cs="Calibri"/>
                <w:color w:val="000000"/>
                <w:sz w:val="18"/>
                <w:szCs w:val="18"/>
              </w:rPr>
              <w:br/>
            </w:r>
            <w:r>
              <w:rPr>
                <w:rFonts w:ascii="Calibri" w:hAnsi="Calibri" w:cs="Calibri"/>
                <w:color w:val="000000"/>
                <w:sz w:val="18"/>
                <w:szCs w:val="18"/>
              </w:rPr>
              <w:br/>
              <w:t>Authority Required (Telephone/Online)</w:t>
            </w:r>
          </w:p>
        </w:tc>
        <w:tc>
          <w:tcPr>
            <w:tcW w:w="1415" w:type="dxa"/>
            <w:vAlign w:val="center"/>
          </w:tcPr>
          <w:p w14:paraId="39379EC9" w14:textId="2C75B114" w:rsidR="000246AB" w:rsidRPr="00544E10" w:rsidRDefault="000246AB" w:rsidP="00D428AC">
            <w:pPr>
              <w:ind w:left="11"/>
              <w:contextualSpacing/>
              <w:jc w:val="center"/>
              <w:rPr>
                <w:rFonts w:asciiTheme="minorHAnsi" w:hAnsiTheme="minorHAnsi" w:cstheme="minorHAnsi"/>
                <w:color w:val="000000" w:themeColor="text1"/>
                <w:sz w:val="18"/>
                <w:szCs w:val="18"/>
              </w:rPr>
            </w:pPr>
            <w:r>
              <w:rPr>
                <w:rFonts w:ascii="Calibri" w:hAnsi="Calibri" w:cs="Calibri"/>
                <w:color w:val="000000"/>
                <w:sz w:val="18"/>
                <w:szCs w:val="18"/>
              </w:rPr>
              <w:t>Recommended</w:t>
            </w:r>
          </w:p>
        </w:tc>
        <w:tc>
          <w:tcPr>
            <w:tcW w:w="4729" w:type="dxa"/>
            <w:vAlign w:val="center"/>
          </w:tcPr>
          <w:p w14:paraId="25D35844" w14:textId="3A1729ED" w:rsidR="000246AB" w:rsidRPr="00544E10" w:rsidRDefault="000246AB" w:rsidP="00D428AC">
            <w:pPr>
              <w:ind w:left="11"/>
              <w:contextualSpacing/>
              <w:rPr>
                <w:rFonts w:asciiTheme="minorHAnsi" w:hAnsiTheme="minorHAnsi" w:cstheme="minorHAnsi"/>
                <w:color w:val="000000" w:themeColor="text1"/>
                <w:sz w:val="18"/>
                <w:szCs w:val="18"/>
              </w:rPr>
            </w:pPr>
            <w:r>
              <w:rPr>
                <w:rFonts w:ascii="Calibri" w:hAnsi="Calibri" w:cs="Calibri"/>
                <w:color w:val="000000"/>
                <w:sz w:val="18"/>
                <w:szCs w:val="18"/>
              </w:rPr>
              <w:t xml:space="preserve">The PBAC recommended the listing of dupilumab as an add-on maintenance treatment for adults with uncontrolled chronic obstructive pulmonary disease (COPD) and type 2 inflammation (defined by the submission as blood eosinophil ≥ 300 cells/µL). In making this recommendation, the PBAC accepted that there was a persistent clinical need for treatment options in patients who continue to experience exacerbations while receiving treatment with triple inhaled therapy. </w:t>
            </w:r>
            <w:r>
              <w:rPr>
                <w:rFonts w:ascii="Calibri" w:hAnsi="Calibri" w:cs="Calibri"/>
                <w:color w:val="000000"/>
                <w:sz w:val="18"/>
                <w:szCs w:val="18"/>
              </w:rPr>
              <w:br/>
              <w:t>The PBAC acknowledged the support for this listing from individuals who would like access to dupilumab, health care professionals and organisations. The PBAC noted comments describing the significant impact COPD had on the daily lives of patients, impacting their ability to work and socialise, which led to a decline in mental health. The PBAC noted the input highlighted the importance of additional treatment options to help manage impact of the disease on patients, reduce reliance on oral corticosteroids, and ultimately improve long-term health outcomes.</w:t>
            </w:r>
            <w:r>
              <w:rPr>
                <w:rFonts w:ascii="Calibri" w:hAnsi="Calibri" w:cs="Calibri"/>
                <w:color w:val="000000"/>
                <w:sz w:val="18"/>
                <w:szCs w:val="18"/>
              </w:rPr>
              <w:br/>
              <w:t>The PBAC considered that a price reduction was required for dupilumab to be considered cost-effective and that further revisions to the estimated costs were required. The PBAC considered that with these revisions, a risk sharing arrangement would address remaining uncertainty about the cost. The PBAC advised that if listed, the arrangement should include mepolizumab which the PBAC also considered at the March 2026 meeting for the treatment of the same population.</w:t>
            </w:r>
            <w:r>
              <w:rPr>
                <w:rFonts w:ascii="Calibri" w:hAnsi="Calibri" w:cs="Calibri"/>
                <w:color w:val="000000"/>
                <w:sz w:val="18"/>
                <w:szCs w:val="18"/>
              </w:rPr>
              <w:br/>
              <w:t>The PBAC noted that flow-on changes to all PBS-subsidised biological medicines listed for nasal polyps, uncontrolled severe allergic asthma, and uncontrolled severe asthma will be required to prevent use of more than one biologic at a time for these indications including uncontrolled COPD.</w:t>
            </w:r>
          </w:p>
        </w:tc>
      </w:tr>
      <w:tr w:rsidR="00C312E5" w:rsidRPr="00544E10" w14:paraId="0B296839" w14:textId="77777777" w:rsidTr="003921D1">
        <w:trPr>
          <w:cantSplit/>
          <w:trHeight w:val="868"/>
        </w:trPr>
        <w:tc>
          <w:tcPr>
            <w:tcW w:w="294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5E28EA5" w14:textId="77777777" w:rsidR="00E1531F" w:rsidRDefault="000246AB" w:rsidP="00E1531F">
            <w:pPr>
              <w:spacing w:after="0"/>
              <w:jc w:val="center"/>
              <w:rPr>
                <w:rFonts w:ascii="Calibri" w:hAnsi="Calibri" w:cs="Calibri"/>
                <w:color w:val="000000"/>
                <w:sz w:val="18"/>
                <w:szCs w:val="18"/>
              </w:rPr>
            </w:pPr>
            <w:r>
              <w:rPr>
                <w:rFonts w:ascii="Calibri" w:hAnsi="Calibri" w:cs="Calibri"/>
                <w:color w:val="000000"/>
                <w:sz w:val="18"/>
                <w:szCs w:val="18"/>
              </w:rPr>
              <w:t>DURVALUMAB</w:t>
            </w:r>
            <w:r>
              <w:rPr>
                <w:rFonts w:ascii="Calibri" w:hAnsi="Calibri" w:cs="Calibri"/>
                <w:color w:val="000000"/>
                <w:sz w:val="18"/>
                <w:szCs w:val="18"/>
              </w:rPr>
              <w:br/>
            </w:r>
            <w:r>
              <w:rPr>
                <w:rFonts w:ascii="Calibri" w:hAnsi="Calibri" w:cs="Calibri"/>
                <w:color w:val="000000"/>
                <w:sz w:val="18"/>
                <w:szCs w:val="18"/>
              </w:rPr>
              <w:br/>
              <w:t>Solution concentrate for I.V. infusion 120 mg in 2.4 mL</w:t>
            </w:r>
            <w:r>
              <w:rPr>
                <w:rFonts w:ascii="Calibri" w:hAnsi="Calibri" w:cs="Calibri"/>
                <w:color w:val="000000"/>
                <w:sz w:val="18"/>
                <w:szCs w:val="18"/>
              </w:rPr>
              <w:br/>
              <w:t>Solution concentrate for I.V. infusion 500 mg in 10 mL</w:t>
            </w:r>
            <w:r>
              <w:rPr>
                <w:rFonts w:ascii="Calibri" w:hAnsi="Calibri" w:cs="Calibri"/>
                <w:color w:val="000000"/>
                <w:sz w:val="18"/>
                <w:szCs w:val="18"/>
              </w:rPr>
              <w:br/>
            </w:r>
            <w:r>
              <w:rPr>
                <w:rFonts w:ascii="Calibri" w:hAnsi="Calibri" w:cs="Calibri"/>
                <w:color w:val="000000"/>
                <w:sz w:val="18"/>
                <w:szCs w:val="18"/>
              </w:rPr>
              <w:br/>
              <w:t>Imfinzi®</w:t>
            </w:r>
            <w:r>
              <w:rPr>
                <w:rFonts w:ascii="Calibri" w:hAnsi="Calibri" w:cs="Calibri"/>
                <w:color w:val="000000"/>
                <w:sz w:val="18"/>
                <w:szCs w:val="18"/>
              </w:rPr>
              <w:br/>
            </w:r>
            <w:r>
              <w:rPr>
                <w:rFonts w:ascii="Calibri" w:hAnsi="Calibri" w:cs="Calibri"/>
                <w:color w:val="000000"/>
                <w:sz w:val="18"/>
                <w:szCs w:val="18"/>
              </w:rPr>
              <w:br/>
              <w:t>ASTRAZENECA PTY LTD</w:t>
            </w:r>
            <w:r>
              <w:rPr>
                <w:rFonts w:ascii="Calibri" w:hAnsi="Calibri" w:cs="Calibri"/>
                <w:color w:val="000000"/>
                <w:sz w:val="18"/>
                <w:szCs w:val="18"/>
              </w:rPr>
              <w:br/>
            </w:r>
            <w:r>
              <w:rPr>
                <w:rFonts w:ascii="Calibri" w:hAnsi="Calibri" w:cs="Calibri"/>
                <w:color w:val="000000"/>
                <w:sz w:val="18"/>
                <w:szCs w:val="18"/>
              </w:rPr>
              <w:br/>
              <w:t>Category 2</w:t>
            </w:r>
            <w:r>
              <w:rPr>
                <w:rFonts w:ascii="Calibri" w:hAnsi="Calibri" w:cs="Calibri"/>
                <w:color w:val="000000"/>
                <w:sz w:val="18"/>
                <w:szCs w:val="18"/>
              </w:rPr>
              <w:br/>
              <w:t xml:space="preserve">(Change to existing </w:t>
            </w:r>
            <w:r w:rsidR="00957109">
              <w:rPr>
                <w:rFonts w:ascii="Calibri" w:hAnsi="Calibri" w:cs="Calibri"/>
                <w:color w:val="000000"/>
                <w:sz w:val="18"/>
                <w:szCs w:val="18"/>
              </w:rPr>
              <w:t>listing)</w:t>
            </w:r>
            <w:r>
              <w:rPr>
                <w:rFonts w:ascii="Calibri" w:hAnsi="Calibri" w:cs="Calibri"/>
                <w:color w:val="000000"/>
                <w:sz w:val="18"/>
                <w:szCs w:val="18"/>
              </w:rPr>
              <w:br/>
            </w:r>
            <w:r>
              <w:rPr>
                <w:rFonts w:ascii="Calibri" w:hAnsi="Calibri" w:cs="Calibri"/>
                <w:color w:val="000000"/>
                <w:sz w:val="18"/>
                <w:szCs w:val="18"/>
              </w:rPr>
              <w:br/>
              <w:t xml:space="preserve">PBS Section 100 </w:t>
            </w:r>
          </w:p>
          <w:p w14:paraId="3FC20D3B" w14:textId="569D26B3" w:rsidR="000246AB" w:rsidRPr="005F21D6" w:rsidRDefault="000246AB" w:rsidP="000246AB">
            <w:pPr>
              <w:jc w:val="center"/>
              <w:rPr>
                <w:rFonts w:asciiTheme="minorHAnsi" w:hAnsiTheme="minorHAnsi" w:cstheme="minorHAnsi"/>
                <w:color w:val="000000"/>
                <w:szCs w:val="20"/>
              </w:rPr>
            </w:pPr>
            <w:r>
              <w:rPr>
                <w:rFonts w:ascii="Calibri" w:hAnsi="Calibri" w:cs="Calibri"/>
                <w:color w:val="000000"/>
                <w:sz w:val="18"/>
                <w:szCs w:val="18"/>
              </w:rPr>
              <w:t xml:space="preserve">(Efficient Funding of </w:t>
            </w:r>
            <w:r>
              <w:rPr>
                <w:rFonts w:ascii="Calibri" w:hAnsi="Calibri" w:cs="Calibri"/>
                <w:color w:val="000000"/>
                <w:sz w:val="18"/>
                <w:szCs w:val="18"/>
              </w:rPr>
              <w:br/>
              <w:t>Chemotherapy Program)</w:t>
            </w:r>
          </w:p>
        </w:tc>
        <w:tc>
          <w:tcPr>
            <w:tcW w:w="1983" w:type="dxa"/>
            <w:tcBorders>
              <w:top w:val="single" w:sz="4" w:space="0" w:color="auto"/>
              <w:left w:val="single" w:sz="4" w:space="0" w:color="auto"/>
              <w:bottom w:val="single" w:sz="4" w:space="0" w:color="auto"/>
              <w:right w:val="single" w:sz="4" w:space="0" w:color="auto"/>
            </w:tcBorders>
            <w:vAlign w:val="center"/>
          </w:tcPr>
          <w:p w14:paraId="1282640F" w14:textId="764F7F7E" w:rsidR="000246AB" w:rsidRPr="005F21D6" w:rsidRDefault="000246AB" w:rsidP="000246AB">
            <w:pPr>
              <w:jc w:val="center"/>
              <w:rPr>
                <w:rFonts w:asciiTheme="minorHAnsi" w:hAnsiTheme="minorHAnsi" w:cstheme="minorHAnsi"/>
                <w:color w:val="000000"/>
                <w:sz w:val="18"/>
                <w:szCs w:val="18"/>
              </w:rPr>
            </w:pPr>
            <w:r>
              <w:rPr>
                <w:rFonts w:ascii="Calibri" w:hAnsi="Calibri" w:cs="Calibri"/>
                <w:color w:val="000000"/>
                <w:sz w:val="18"/>
                <w:szCs w:val="18"/>
              </w:rPr>
              <w:t>Gastric cancer (GC) or gastro-oesophageal junction cancer (GOJC)</w:t>
            </w:r>
          </w:p>
        </w:tc>
        <w:tc>
          <w:tcPr>
            <w:tcW w:w="238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F453BD6" w14:textId="62DB0C77" w:rsidR="000246AB" w:rsidRPr="005F21D6" w:rsidRDefault="000246AB" w:rsidP="000246AB">
            <w:pPr>
              <w:jc w:val="center"/>
              <w:rPr>
                <w:rFonts w:asciiTheme="minorHAnsi" w:hAnsiTheme="minorHAnsi" w:cstheme="minorHAnsi"/>
                <w:color w:val="000000"/>
                <w:sz w:val="18"/>
                <w:szCs w:val="18"/>
              </w:rPr>
            </w:pPr>
            <w:r>
              <w:rPr>
                <w:rFonts w:ascii="Calibri" w:hAnsi="Calibri" w:cs="Calibri"/>
                <w:color w:val="000000"/>
                <w:sz w:val="18"/>
                <w:szCs w:val="18"/>
              </w:rPr>
              <w:t>To request listing of durvalumab for the perioperative treatment (i.e., before and after surgery) of adult patients with GC or GOJC who are eligible for neoadjuvant FLOT (fluorouracil, leucovorin, oxaliplatin, docetaxel) chemotherapy.</w:t>
            </w:r>
            <w:r>
              <w:rPr>
                <w:rFonts w:ascii="Calibri" w:hAnsi="Calibri" w:cs="Calibri"/>
                <w:color w:val="000000"/>
                <w:sz w:val="18"/>
                <w:szCs w:val="18"/>
              </w:rPr>
              <w:br/>
            </w:r>
            <w:r>
              <w:rPr>
                <w:rFonts w:ascii="Calibri" w:hAnsi="Calibri" w:cs="Calibri"/>
                <w:color w:val="000000"/>
                <w:sz w:val="18"/>
                <w:szCs w:val="18"/>
              </w:rPr>
              <w:br/>
              <w:t>Authority Required (Telephone/Online)</w:t>
            </w:r>
          </w:p>
        </w:tc>
        <w:tc>
          <w:tcPr>
            <w:tcW w:w="1415" w:type="dxa"/>
            <w:vAlign w:val="center"/>
          </w:tcPr>
          <w:p w14:paraId="0E1556EA" w14:textId="087A2FA3" w:rsidR="000246AB" w:rsidRPr="00544E10" w:rsidRDefault="000246AB" w:rsidP="00D428AC">
            <w:pPr>
              <w:ind w:left="11"/>
              <w:contextualSpacing/>
              <w:jc w:val="center"/>
              <w:rPr>
                <w:rFonts w:asciiTheme="minorHAnsi" w:hAnsiTheme="minorHAnsi" w:cstheme="minorHAnsi"/>
                <w:color w:val="000000" w:themeColor="text1"/>
                <w:sz w:val="18"/>
                <w:szCs w:val="18"/>
              </w:rPr>
            </w:pPr>
            <w:r>
              <w:rPr>
                <w:rFonts w:ascii="Calibri" w:hAnsi="Calibri" w:cs="Calibri"/>
                <w:color w:val="000000"/>
                <w:sz w:val="18"/>
                <w:szCs w:val="18"/>
              </w:rPr>
              <w:t>Recommended</w:t>
            </w:r>
          </w:p>
        </w:tc>
        <w:tc>
          <w:tcPr>
            <w:tcW w:w="4729" w:type="dxa"/>
            <w:vAlign w:val="center"/>
          </w:tcPr>
          <w:p w14:paraId="63B3FE23" w14:textId="52824419" w:rsidR="000246AB" w:rsidRPr="00544E10" w:rsidRDefault="000246AB" w:rsidP="00D428AC">
            <w:pPr>
              <w:ind w:left="11"/>
              <w:contextualSpacing/>
              <w:rPr>
                <w:rFonts w:asciiTheme="minorHAnsi" w:hAnsiTheme="minorHAnsi" w:cstheme="minorHAnsi"/>
                <w:color w:val="000000" w:themeColor="text1"/>
                <w:sz w:val="18"/>
                <w:szCs w:val="18"/>
              </w:rPr>
            </w:pPr>
            <w:r>
              <w:rPr>
                <w:rFonts w:ascii="Calibri" w:hAnsi="Calibri" w:cs="Calibri"/>
                <w:color w:val="000000"/>
                <w:sz w:val="18"/>
                <w:szCs w:val="18"/>
              </w:rPr>
              <w:t>The PBAC recommended the listing of durvalumab for use both before and after surgery in patients with gastric or gastroesophageal junction cancers (GC/GOJC) who are eligible for the chemotherapy combination of fluorouracil, leucovorin, oxaliplatin, and docetaxel (FLOT) before surgery. The PBAC acknowledged that these cancers are challenging to treat and have significant impacts on quality of life despite currently available treatment options. The PBAC was satisfied that addition of durvalumab to existing treatment before and after surgery reduces the risk of the cancer returning and helps patients with GC/GOJC live longer when compared with current standard treatments. The PBAC considered durvalumab would be cost effective with a price reduction to reflect evidence of benefit, cost of other medicines it had recommended for use before and after surgery, uncertainty about subsequent immunotherapy, and the changing landscape with respect to PBS listings for immunotherapy. The PBAC considered that with some minor adjustments to the economic modelling, the estimated cost to the government was reasonable.</w:t>
            </w:r>
          </w:p>
        </w:tc>
      </w:tr>
      <w:tr w:rsidR="00E8125A" w:rsidRPr="00544E10" w14:paraId="043C9B11" w14:textId="77777777" w:rsidTr="000C5801">
        <w:trPr>
          <w:cantSplit/>
          <w:trHeight w:val="868"/>
        </w:trPr>
        <w:tc>
          <w:tcPr>
            <w:tcW w:w="29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bottom w:w="28" w:type="dxa"/>
            </w:tcMar>
            <w:vAlign w:val="center"/>
          </w:tcPr>
          <w:p w14:paraId="18A3EC61" w14:textId="77777777" w:rsidR="00C71C1A" w:rsidRDefault="00C71C1A" w:rsidP="000246AB">
            <w:pPr>
              <w:jc w:val="center"/>
              <w:rPr>
                <w:rFonts w:ascii="Calibri" w:hAnsi="Calibri" w:cs="Calibri"/>
                <w:color w:val="000000"/>
                <w:sz w:val="18"/>
                <w:szCs w:val="18"/>
              </w:rPr>
            </w:pPr>
          </w:p>
          <w:p w14:paraId="6DA61A61" w14:textId="1555D39D" w:rsidR="00E8125A" w:rsidRDefault="00E8125A" w:rsidP="000246AB">
            <w:pPr>
              <w:jc w:val="center"/>
              <w:rPr>
                <w:rFonts w:ascii="Calibri" w:hAnsi="Calibri" w:cs="Calibri"/>
                <w:color w:val="000000"/>
                <w:sz w:val="18"/>
                <w:szCs w:val="18"/>
              </w:rPr>
            </w:pPr>
            <w:r>
              <w:rPr>
                <w:rFonts w:ascii="Calibri" w:hAnsi="Calibri" w:cs="Calibri"/>
                <w:color w:val="000000"/>
                <w:sz w:val="18"/>
                <w:szCs w:val="18"/>
              </w:rPr>
              <w:t>EDARAVONE</w:t>
            </w:r>
          </w:p>
          <w:p w14:paraId="113C154E" w14:textId="2162BABF" w:rsidR="00C71C1A" w:rsidRDefault="00C71C1A" w:rsidP="000246AB">
            <w:pPr>
              <w:jc w:val="center"/>
              <w:rPr>
                <w:rFonts w:ascii="Calibri" w:hAnsi="Calibri" w:cs="Calibri"/>
                <w:color w:val="000000"/>
                <w:sz w:val="18"/>
                <w:szCs w:val="18"/>
              </w:rPr>
            </w:pPr>
            <w:r>
              <w:rPr>
                <w:rFonts w:ascii="Calibri" w:hAnsi="Calibri" w:cs="Calibri"/>
                <w:color w:val="000000"/>
                <w:sz w:val="18"/>
                <w:szCs w:val="18"/>
              </w:rPr>
              <w:t>Solution concentrate for I.V. infusion 30 mg in 20 mL</w:t>
            </w:r>
          </w:p>
          <w:p w14:paraId="6D641803" w14:textId="0ECA3E69" w:rsidR="00E8125A" w:rsidRDefault="00E8125A" w:rsidP="000246AB">
            <w:pPr>
              <w:jc w:val="center"/>
              <w:rPr>
                <w:rFonts w:ascii="Calibri" w:hAnsi="Calibri" w:cs="Calibri"/>
                <w:color w:val="000000"/>
                <w:sz w:val="18"/>
                <w:szCs w:val="18"/>
              </w:rPr>
            </w:pPr>
            <w:proofErr w:type="spellStart"/>
            <w:r>
              <w:rPr>
                <w:rFonts w:ascii="Calibri" w:hAnsi="Calibri" w:cs="Calibri"/>
                <w:color w:val="000000"/>
                <w:sz w:val="18"/>
                <w:szCs w:val="18"/>
              </w:rPr>
              <w:t>Radicava</w:t>
            </w:r>
            <w:proofErr w:type="spellEnd"/>
            <w:r>
              <w:rPr>
                <w:rFonts w:ascii="Calibri" w:hAnsi="Calibri" w:cs="Calibri"/>
                <w:color w:val="000000"/>
                <w:sz w:val="18"/>
                <w:szCs w:val="18"/>
              </w:rPr>
              <w:t>®</w:t>
            </w:r>
          </w:p>
          <w:p w14:paraId="7B69617F" w14:textId="52B70F26" w:rsidR="00C71C1A" w:rsidRDefault="00C71C1A" w:rsidP="000246AB">
            <w:pPr>
              <w:jc w:val="center"/>
              <w:rPr>
                <w:rFonts w:ascii="Calibri" w:hAnsi="Calibri" w:cs="Calibri"/>
                <w:color w:val="000000"/>
                <w:sz w:val="18"/>
                <w:szCs w:val="18"/>
              </w:rPr>
            </w:pPr>
            <w:r>
              <w:rPr>
                <w:rFonts w:ascii="Calibri" w:hAnsi="Calibri" w:cs="Calibri"/>
                <w:color w:val="000000"/>
                <w:sz w:val="18"/>
                <w:szCs w:val="18"/>
              </w:rPr>
              <w:t>TEVA PHARMA AUSRALIA PTY LTD</w:t>
            </w:r>
          </w:p>
          <w:p w14:paraId="57854444" w14:textId="4C79F3F4" w:rsidR="00E8125A" w:rsidRDefault="00C71C1A" w:rsidP="009E2A27">
            <w:pPr>
              <w:jc w:val="center"/>
              <w:rPr>
                <w:rFonts w:ascii="Calibri" w:hAnsi="Calibri" w:cs="Calibri"/>
                <w:color w:val="000000"/>
                <w:sz w:val="18"/>
                <w:szCs w:val="18"/>
              </w:rPr>
            </w:pPr>
            <w:r>
              <w:rPr>
                <w:rFonts w:ascii="Calibri" w:hAnsi="Calibri" w:cs="Calibri"/>
                <w:color w:val="000000"/>
                <w:sz w:val="18"/>
                <w:szCs w:val="18"/>
              </w:rPr>
              <w:t>Category 3</w:t>
            </w:r>
            <w:r>
              <w:rPr>
                <w:rFonts w:ascii="Calibri" w:hAnsi="Calibri" w:cs="Calibri"/>
                <w:color w:val="000000"/>
                <w:sz w:val="18"/>
                <w:szCs w:val="18"/>
              </w:rPr>
              <w:br/>
              <w:t>(Change to existing listing)</w:t>
            </w:r>
            <w:r>
              <w:rPr>
                <w:rFonts w:ascii="Calibri" w:hAnsi="Calibri" w:cs="Calibri"/>
                <w:color w:val="000000"/>
                <w:sz w:val="18"/>
                <w:szCs w:val="18"/>
              </w:rPr>
              <w:br/>
            </w:r>
            <w:r>
              <w:rPr>
                <w:rFonts w:ascii="Calibri" w:hAnsi="Calibri" w:cs="Calibri"/>
                <w:color w:val="000000"/>
                <w:sz w:val="18"/>
                <w:szCs w:val="18"/>
              </w:rPr>
              <w:br/>
              <w:t xml:space="preserve">PBS Section 100 </w:t>
            </w:r>
            <w:r>
              <w:rPr>
                <w:rFonts w:ascii="Calibri" w:hAnsi="Calibri" w:cs="Calibri"/>
                <w:color w:val="000000"/>
                <w:sz w:val="18"/>
                <w:szCs w:val="18"/>
              </w:rPr>
              <w:br/>
              <w:t>(Highly Specialised Drugs Program)</w:t>
            </w:r>
          </w:p>
        </w:tc>
        <w:tc>
          <w:tcPr>
            <w:tcW w:w="19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98CAE8" w14:textId="01B48A22" w:rsidR="00E8125A" w:rsidRDefault="00C71C1A" w:rsidP="000246AB">
            <w:pPr>
              <w:jc w:val="center"/>
              <w:rPr>
                <w:rFonts w:ascii="Calibri" w:hAnsi="Calibri" w:cs="Calibri"/>
                <w:color w:val="000000"/>
                <w:sz w:val="18"/>
                <w:szCs w:val="18"/>
              </w:rPr>
            </w:pPr>
            <w:r>
              <w:rPr>
                <w:rFonts w:ascii="Calibri" w:hAnsi="Calibri" w:cs="Calibri"/>
                <w:color w:val="000000"/>
                <w:sz w:val="18"/>
                <w:szCs w:val="18"/>
              </w:rPr>
              <w:t>Amyotrophic lateral sclerosis (ALS)</w:t>
            </w:r>
          </w:p>
        </w:tc>
        <w:tc>
          <w:tcPr>
            <w:tcW w:w="23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bottom w:w="28" w:type="dxa"/>
            </w:tcMar>
            <w:vAlign w:val="center"/>
          </w:tcPr>
          <w:p w14:paraId="3059F7AD" w14:textId="77777777" w:rsidR="00E8125A" w:rsidRDefault="00C71C1A" w:rsidP="000246AB">
            <w:pPr>
              <w:jc w:val="center"/>
              <w:rPr>
                <w:rFonts w:ascii="Calibri" w:hAnsi="Calibri" w:cs="Calibri"/>
                <w:color w:val="000000"/>
                <w:sz w:val="18"/>
                <w:szCs w:val="18"/>
              </w:rPr>
            </w:pPr>
            <w:r>
              <w:rPr>
                <w:rFonts w:ascii="Calibri" w:hAnsi="Calibri" w:cs="Calibri"/>
                <w:color w:val="000000"/>
                <w:sz w:val="18"/>
                <w:szCs w:val="18"/>
              </w:rPr>
              <w:t xml:space="preserve">To request a change to the existing listing of </w:t>
            </w:r>
            <w:proofErr w:type="spellStart"/>
            <w:r>
              <w:rPr>
                <w:rFonts w:ascii="Calibri" w:hAnsi="Calibri" w:cs="Calibri"/>
                <w:color w:val="000000"/>
                <w:sz w:val="18"/>
                <w:szCs w:val="18"/>
              </w:rPr>
              <w:t>edaravone</w:t>
            </w:r>
            <w:proofErr w:type="spellEnd"/>
            <w:r>
              <w:rPr>
                <w:rFonts w:ascii="Calibri" w:hAnsi="Calibri" w:cs="Calibri"/>
                <w:color w:val="000000"/>
                <w:sz w:val="18"/>
                <w:szCs w:val="18"/>
              </w:rPr>
              <w:t xml:space="preserve"> for the initial treatment of ALS, to allow initiation of treatment outside public or private hospital settings. </w:t>
            </w:r>
          </w:p>
          <w:p w14:paraId="6448D27D" w14:textId="77777777" w:rsidR="00C71C1A" w:rsidRDefault="00C71C1A" w:rsidP="000246AB">
            <w:pPr>
              <w:jc w:val="center"/>
              <w:rPr>
                <w:rFonts w:ascii="Calibri" w:hAnsi="Calibri" w:cs="Calibri"/>
                <w:color w:val="000000"/>
                <w:sz w:val="18"/>
                <w:szCs w:val="18"/>
              </w:rPr>
            </w:pPr>
          </w:p>
          <w:p w14:paraId="36ACF6D4" w14:textId="503827A5" w:rsidR="00C71C1A" w:rsidRDefault="00C71C1A" w:rsidP="000246AB">
            <w:pPr>
              <w:jc w:val="center"/>
              <w:rPr>
                <w:rFonts w:ascii="Calibri" w:hAnsi="Calibri" w:cs="Calibri"/>
                <w:color w:val="000000"/>
                <w:sz w:val="18"/>
                <w:szCs w:val="18"/>
              </w:rPr>
            </w:pPr>
            <w:r>
              <w:rPr>
                <w:rFonts w:ascii="Calibri" w:hAnsi="Calibri" w:cs="Calibri"/>
                <w:color w:val="000000"/>
                <w:sz w:val="18"/>
                <w:szCs w:val="18"/>
              </w:rPr>
              <w:t>Authority Required (Telephone/Online)</w:t>
            </w:r>
          </w:p>
        </w:tc>
        <w:tc>
          <w:tcPr>
            <w:tcW w:w="1415" w:type="dxa"/>
            <w:shd w:val="clear" w:color="auto" w:fill="D9D9D9" w:themeFill="background1" w:themeFillShade="D9"/>
            <w:vAlign w:val="center"/>
          </w:tcPr>
          <w:p w14:paraId="248606F9" w14:textId="6D3CE794" w:rsidR="00E8125A" w:rsidRDefault="00C71C1A" w:rsidP="00D428AC">
            <w:pPr>
              <w:ind w:left="11"/>
              <w:contextualSpacing/>
              <w:jc w:val="center"/>
              <w:rPr>
                <w:rFonts w:ascii="Calibri" w:hAnsi="Calibri" w:cs="Calibri"/>
                <w:color w:val="000000"/>
                <w:sz w:val="18"/>
                <w:szCs w:val="18"/>
              </w:rPr>
            </w:pPr>
            <w:r>
              <w:rPr>
                <w:rFonts w:ascii="Calibri" w:hAnsi="Calibri" w:cs="Calibri"/>
                <w:color w:val="000000"/>
                <w:sz w:val="18"/>
                <w:szCs w:val="18"/>
              </w:rPr>
              <w:t>Recommended</w:t>
            </w:r>
          </w:p>
        </w:tc>
        <w:tc>
          <w:tcPr>
            <w:tcW w:w="4729" w:type="dxa"/>
            <w:shd w:val="clear" w:color="auto" w:fill="D9D9D9" w:themeFill="background1" w:themeFillShade="D9"/>
            <w:vAlign w:val="center"/>
          </w:tcPr>
          <w:p w14:paraId="4700CB54" w14:textId="31874741" w:rsidR="00E8125A" w:rsidRDefault="00C71C1A" w:rsidP="00D428AC">
            <w:pPr>
              <w:ind w:left="11"/>
              <w:contextualSpacing/>
              <w:rPr>
                <w:rFonts w:ascii="Calibri" w:hAnsi="Calibri" w:cs="Calibri"/>
                <w:color w:val="000000"/>
                <w:sz w:val="18"/>
                <w:szCs w:val="18"/>
              </w:rPr>
            </w:pPr>
            <w:r>
              <w:rPr>
                <w:rFonts w:ascii="Calibri" w:hAnsi="Calibri" w:cs="Calibri"/>
                <w:color w:val="000000"/>
                <w:sz w:val="18"/>
                <w:szCs w:val="18"/>
              </w:rPr>
              <w:t xml:space="preserve">This item was considered out of session. The recommendation was made between the November 2025 and March 2026 PBAC meetings. Full outcome available at: </w:t>
            </w:r>
            <w:hyperlink r:id="rId11" w:history="1">
              <w:r w:rsidR="00EA6F96" w:rsidRPr="00EB6CAC">
                <w:rPr>
                  <w:rStyle w:val="Hyperlink"/>
                  <w:rFonts w:ascii="Calibri" w:hAnsi="Calibri" w:cs="Calibri"/>
                  <w:sz w:val="18"/>
                  <w:szCs w:val="18"/>
                </w:rPr>
                <w:t>www.pbs.gov.au/info/industry/listing/elements/pbac-meetings/pbac-outcomes/recommendations-made-out-of-session-by-the-pbac-between-meet</w:t>
              </w:r>
            </w:hyperlink>
          </w:p>
          <w:p w14:paraId="44C63DC5" w14:textId="3A3033D4" w:rsidR="00C71C1A" w:rsidRDefault="00C71C1A" w:rsidP="00C71C1A">
            <w:pPr>
              <w:contextualSpacing/>
              <w:rPr>
                <w:rFonts w:ascii="Calibri" w:hAnsi="Calibri" w:cs="Calibri"/>
                <w:color w:val="000000"/>
                <w:sz w:val="18"/>
                <w:szCs w:val="18"/>
              </w:rPr>
            </w:pPr>
          </w:p>
        </w:tc>
      </w:tr>
      <w:tr w:rsidR="00C312E5" w:rsidRPr="00544E10" w14:paraId="2CEB780A" w14:textId="77777777" w:rsidTr="003921D1">
        <w:trPr>
          <w:cantSplit/>
          <w:trHeight w:val="868"/>
        </w:trPr>
        <w:tc>
          <w:tcPr>
            <w:tcW w:w="294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E900E93" w14:textId="0D3671C0" w:rsidR="000246AB" w:rsidRPr="005F21D6" w:rsidRDefault="000246AB" w:rsidP="000246AB">
            <w:pPr>
              <w:jc w:val="center"/>
              <w:rPr>
                <w:rFonts w:asciiTheme="minorHAnsi" w:hAnsiTheme="minorHAnsi" w:cstheme="minorHAnsi"/>
                <w:color w:val="000000"/>
                <w:szCs w:val="20"/>
              </w:rPr>
            </w:pPr>
            <w:r>
              <w:rPr>
                <w:rFonts w:ascii="Calibri" w:hAnsi="Calibri" w:cs="Calibri"/>
                <w:color w:val="000000"/>
                <w:sz w:val="18"/>
                <w:szCs w:val="18"/>
              </w:rPr>
              <w:t>EFGARTIGIMOD ALFA</w:t>
            </w:r>
            <w:r>
              <w:rPr>
                <w:rFonts w:ascii="Calibri" w:hAnsi="Calibri" w:cs="Calibri"/>
                <w:color w:val="000000"/>
                <w:sz w:val="18"/>
                <w:szCs w:val="18"/>
              </w:rPr>
              <w:br/>
            </w:r>
            <w:r>
              <w:rPr>
                <w:rFonts w:ascii="Calibri" w:hAnsi="Calibri" w:cs="Calibri"/>
                <w:color w:val="000000"/>
                <w:sz w:val="18"/>
                <w:szCs w:val="18"/>
              </w:rPr>
              <w:br/>
              <w:t>Injection 1000 mg in 5 mL pre-filled syringe</w:t>
            </w:r>
            <w:r>
              <w:rPr>
                <w:rFonts w:ascii="Calibri" w:hAnsi="Calibri" w:cs="Calibri"/>
                <w:color w:val="000000"/>
                <w:sz w:val="18"/>
                <w:szCs w:val="18"/>
              </w:rPr>
              <w:br/>
            </w:r>
            <w:r>
              <w:rPr>
                <w:rFonts w:ascii="Calibri" w:hAnsi="Calibri" w:cs="Calibri"/>
                <w:color w:val="000000"/>
                <w:sz w:val="18"/>
                <w:szCs w:val="18"/>
              </w:rPr>
              <w:br/>
            </w:r>
            <w:proofErr w:type="spellStart"/>
            <w:r>
              <w:rPr>
                <w:rFonts w:ascii="Calibri" w:hAnsi="Calibri" w:cs="Calibri"/>
                <w:color w:val="000000"/>
                <w:sz w:val="18"/>
                <w:szCs w:val="18"/>
              </w:rPr>
              <w:t>Vyvgart</w:t>
            </w:r>
            <w:proofErr w:type="spellEnd"/>
            <w:r>
              <w:rPr>
                <w:rFonts w:ascii="Calibri" w:hAnsi="Calibri" w:cs="Calibri"/>
                <w:color w:val="000000"/>
                <w:sz w:val="18"/>
                <w:szCs w:val="18"/>
              </w:rPr>
              <w:t>®</w:t>
            </w:r>
            <w:r>
              <w:rPr>
                <w:rFonts w:ascii="Calibri" w:hAnsi="Calibri" w:cs="Calibri"/>
                <w:color w:val="000000"/>
                <w:sz w:val="18"/>
                <w:szCs w:val="18"/>
              </w:rPr>
              <w:br/>
            </w:r>
            <w:r>
              <w:rPr>
                <w:rFonts w:ascii="Calibri" w:hAnsi="Calibri" w:cs="Calibri"/>
                <w:color w:val="000000"/>
                <w:sz w:val="18"/>
                <w:szCs w:val="18"/>
              </w:rPr>
              <w:br/>
              <w:t>ARGENX AUSTRALIA PTY. LTD.</w:t>
            </w:r>
            <w:r>
              <w:rPr>
                <w:rFonts w:ascii="Calibri" w:hAnsi="Calibri" w:cs="Calibri"/>
                <w:color w:val="000000"/>
                <w:sz w:val="18"/>
                <w:szCs w:val="18"/>
              </w:rPr>
              <w:br/>
            </w:r>
            <w:r>
              <w:rPr>
                <w:rFonts w:ascii="Calibri" w:hAnsi="Calibri" w:cs="Calibri"/>
                <w:color w:val="000000"/>
                <w:sz w:val="18"/>
                <w:szCs w:val="18"/>
              </w:rPr>
              <w:br/>
              <w:t>Category 4</w:t>
            </w:r>
            <w:r>
              <w:rPr>
                <w:rFonts w:ascii="Calibri" w:hAnsi="Calibri" w:cs="Calibri"/>
                <w:color w:val="000000"/>
                <w:sz w:val="18"/>
                <w:szCs w:val="18"/>
              </w:rPr>
              <w:br/>
              <w:t xml:space="preserve">(New PBS </w:t>
            </w:r>
            <w:r w:rsidR="00957109">
              <w:rPr>
                <w:rFonts w:ascii="Calibri" w:hAnsi="Calibri" w:cs="Calibri"/>
                <w:color w:val="000000"/>
                <w:sz w:val="18"/>
                <w:szCs w:val="18"/>
              </w:rPr>
              <w:t>listing)</w:t>
            </w:r>
            <w:r>
              <w:rPr>
                <w:rFonts w:ascii="Calibri" w:hAnsi="Calibri" w:cs="Calibri"/>
                <w:color w:val="000000"/>
                <w:sz w:val="18"/>
                <w:szCs w:val="18"/>
              </w:rPr>
              <w:br/>
            </w:r>
            <w:r>
              <w:rPr>
                <w:rFonts w:ascii="Calibri" w:hAnsi="Calibri" w:cs="Calibri"/>
                <w:color w:val="000000"/>
                <w:sz w:val="18"/>
                <w:szCs w:val="18"/>
              </w:rPr>
              <w:br/>
              <w:t>PBS General Schedule</w:t>
            </w:r>
          </w:p>
        </w:tc>
        <w:tc>
          <w:tcPr>
            <w:tcW w:w="1983" w:type="dxa"/>
            <w:tcBorders>
              <w:top w:val="single" w:sz="4" w:space="0" w:color="auto"/>
              <w:left w:val="single" w:sz="4" w:space="0" w:color="auto"/>
              <w:bottom w:val="single" w:sz="4" w:space="0" w:color="auto"/>
              <w:right w:val="single" w:sz="4" w:space="0" w:color="auto"/>
            </w:tcBorders>
            <w:vAlign w:val="center"/>
          </w:tcPr>
          <w:p w14:paraId="078BFC44" w14:textId="1A8465E8" w:rsidR="000246AB" w:rsidRPr="005F21D6" w:rsidRDefault="000246AB" w:rsidP="000246AB">
            <w:pPr>
              <w:jc w:val="center"/>
              <w:rPr>
                <w:rFonts w:asciiTheme="minorHAnsi" w:hAnsiTheme="minorHAnsi" w:cstheme="minorHAnsi"/>
                <w:color w:val="000000"/>
                <w:sz w:val="18"/>
                <w:szCs w:val="18"/>
              </w:rPr>
            </w:pPr>
            <w:r>
              <w:rPr>
                <w:rFonts w:ascii="Calibri" w:hAnsi="Calibri" w:cs="Calibri"/>
                <w:color w:val="000000"/>
                <w:sz w:val="18"/>
                <w:szCs w:val="18"/>
              </w:rPr>
              <w:t xml:space="preserve">Generalised myasthenia gravis </w:t>
            </w:r>
            <w:r>
              <w:rPr>
                <w:rFonts w:ascii="Calibri" w:hAnsi="Calibri" w:cs="Calibri"/>
                <w:color w:val="000000"/>
                <w:sz w:val="18"/>
                <w:szCs w:val="18"/>
              </w:rPr>
              <w:br/>
              <w:t>(</w:t>
            </w:r>
            <w:proofErr w:type="spellStart"/>
            <w:r>
              <w:rPr>
                <w:rFonts w:ascii="Calibri" w:hAnsi="Calibri" w:cs="Calibri"/>
                <w:color w:val="000000"/>
                <w:sz w:val="18"/>
                <w:szCs w:val="18"/>
              </w:rPr>
              <w:t>gMG</w:t>
            </w:r>
            <w:proofErr w:type="spellEnd"/>
            <w:r>
              <w:rPr>
                <w:rFonts w:ascii="Calibri" w:hAnsi="Calibri" w:cs="Calibri"/>
                <w:color w:val="000000"/>
                <w:sz w:val="18"/>
                <w:szCs w:val="18"/>
              </w:rPr>
              <w:t>)</w:t>
            </w:r>
          </w:p>
        </w:tc>
        <w:tc>
          <w:tcPr>
            <w:tcW w:w="238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0596E88" w14:textId="7B3AC214" w:rsidR="000246AB" w:rsidRPr="005F21D6" w:rsidRDefault="000246AB" w:rsidP="000246AB">
            <w:pPr>
              <w:jc w:val="center"/>
              <w:rPr>
                <w:rFonts w:asciiTheme="minorHAnsi" w:hAnsiTheme="minorHAnsi" w:cstheme="minorHAnsi"/>
                <w:color w:val="000000"/>
                <w:sz w:val="18"/>
                <w:szCs w:val="18"/>
              </w:rPr>
            </w:pPr>
            <w:r>
              <w:rPr>
                <w:rFonts w:ascii="Calibri" w:hAnsi="Calibri" w:cs="Calibri"/>
                <w:color w:val="000000"/>
                <w:sz w:val="18"/>
                <w:szCs w:val="18"/>
              </w:rPr>
              <w:t xml:space="preserve">To request listing of a pre-filled syringe form of efgartigimod alfa for the initial and continuing treatment of adult patients with </w:t>
            </w:r>
            <w:proofErr w:type="spellStart"/>
            <w:r>
              <w:rPr>
                <w:rFonts w:ascii="Calibri" w:hAnsi="Calibri" w:cs="Calibri"/>
                <w:color w:val="000000"/>
                <w:sz w:val="18"/>
                <w:szCs w:val="18"/>
              </w:rPr>
              <w:t>gMG</w:t>
            </w:r>
            <w:proofErr w:type="spellEnd"/>
            <w:r>
              <w:rPr>
                <w:rFonts w:ascii="Calibri" w:hAnsi="Calibri" w:cs="Calibri"/>
                <w:color w:val="000000"/>
                <w:sz w:val="18"/>
                <w:szCs w:val="18"/>
              </w:rPr>
              <w:t xml:space="preserve"> who are anti-acetylcholine receptor antibody positive.</w:t>
            </w:r>
            <w:r>
              <w:rPr>
                <w:rFonts w:ascii="Calibri" w:hAnsi="Calibri" w:cs="Calibri"/>
                <w:color w:val="000000"/>
                <w:sz w:val="18"/>
                <w:szCs w:val="18"/>
              </w:rPr>
              <w:br/>
            </w:r>
            <w:r>
              <w:rPr>
                <w:rFonts w:ascii="Calibri" w:hAnsi="Calibri" w:cs="Calibri"/>
                <w:color w:val="000000"/>
                <w:sz w:val="18"/>
                <w:szCs w:val="18"/>
              </w:rPr>
              <w:br/>
              <w:t>Authority Required (Telephone/Online)</w:t>
            </w:r>
          </w:p>
        </w:tc>
        <w:tc>
          <w:tcPr>
            <w:tcW w:w="1415" w:type="dxa"/>
            <w:vAlign w:val="center"/>
          </w:tcPr>
          <w:p w14:paraId="21F2293B" w14:textId="71A4F702" w:rsidR="000246AB" w:rsidRPr="00544E10" w:rsidRDefault="000246AB" w:rsidP="00D428AC">
            <w:pPr>
              <w:ind w:left="11"/>
              <w:contextualSpacing/>
              <w:jc w:val="center"/>
              <w:rPr>
                <w:rFonts w:asciiTheme="minorHAnsi" w:hAnsiTheme="minorHAnsi" w:cstheme="minorHAnsi"/>
                <w:color w:val="000000" w:themeColor="text1"/>
                <w:sz w:val="18"/>
                <w:szCs w:val="18"/>
              </w:rPr>
            </w:pPr>
            <w:r>
              <w:rPr>
                <w:rFonts w:ascii="Calibri" w:hAnsi="Calibri" w:cs="Calibri"/>
                <w:color w:val="000000"/>
                <w:sz w:val="18"/>
                <w:szCs w:val="18"/>
              </w:rPr>
              <w:t>Recommended</w:t>
            </w:r>
          </w:p>
        </w:tc>
        <w:tc>
          <w:tcPr>
            <w:tcW w:w="4729" w:type="dxa"/>
            <w:vAlign w:val="center"/>
          </w:tcPr>
          <w:p w14:paraId="62247D65" w14:textId="60A50860" w:rsidR="000246AB" w:rsidRPr="00544E10" w:rsidRDefault="000246AB" w:rsidP="00D428AC">
            <w:pPr>
              <w:ind w:left="11"/>
              <w:contextualSpacing/>
              <w:rPr>
                <w:rFonts w:asciiTheme="minorHAnsi" w:hAnsiTheme="minorHAnsi" w:cstheme="minorHAnsi"/>
                <w:color w:val="000000" w:themeColor="text1"/>
                <w:sz w:val="18"/>
                <w:szCs w:val="18"/>
              </w:rPr>
            </w:pPr>
            <w:r>
              <w:rPr>
                <w:rFonts w:ascii="Calibri" w:hAnsi="Calibri" w:cs="Calibri"/>
                <w:color w:val="000000"/>
                <w:sz w:val="18"/>
                <w:szCs w:val="18"/>
              </w:rPr>
              <w:t>The PBAC recommended efgartigimod alfa (EFG) 1000 mg / 5.0 mL pre filled syringe (PFS), for the treatment of adult patients with generalised myasthenia gravis (</w:t>
            </w:r>
            <w:proofErr w:type="spellStart"/>
            <w:r>
              <w:rPr>
                <w:rFonts w:ascii="Calibri" w:hAnsi="Calibri" w:cs="Calibri"/>
                <w:color w:val="000000"/>
                <w:sz w:val="18"/>
                <w:szCs w:val="18"/>
              </w:rPr>
              <w:t>gMG</w:t>
            </w:r>
            <w:proofErr w:type="spellEnd"/>
            <w:r>
              <w:rPr>
                <w:rFonts w:ascii="Calibri" w:hAnsi="Calibri" w:cs="Calibri"/>
                <w:color w:val="000000"/>
                <w:sz w:val="18"/>
                <w:szCs w:val="18"/>
              </w:rPr>
              <w:t>) who are anti acetylcholine receptor (</w:t>
            </w:r>
            <w:proofErr w:type="spellStart"/>
            <w:r>
              <w:rPr>
                <w:rFonts w:ascii="Calibri" w:hAnsi="Calibri" w:cs="Calibri"/>
                <w:color w:val="000000"/>
                <w:sz w:val="18"/>
                <w:szCs w:val="18"/>
              </w:rPr>
              <w:t>AChR</w:t>
            </w:r>
            <w:proofErr w:type="spellEnd"/>
            <w:r>
              <w:rPr>
                <w:rFonts w:ascii="Calibri" w:hAnsi="Calibri" w:cs="Calibri"/>
                <w:color w:val="000000"/>
                <w:sz w:val="18"/>
                <w:szCs w:val="18"/>
              </w:rPr>
              <w:t xml:space="preserve">) antibody positive. The PBAC welcomed input from a health care professional and organisation that highlighted the significant and ongoing burden of symptoms that people with </w:t>
            </w:r>
            <w:proofErr w:type="spellStart"/>
            <w:r>
              <w:rPr>
                <w:rFonts w:ascii="Calibri" w:hAnsi="Calibri" w:cs="Calibri"/>
                <w:color w:val="000000"/>
                <w:sz w:val="18"/>
                <w:szCs w:val="18"/>
              </w:rPr>
              <w:t>gMG</w:t>
            </w:r>
            <w:proofErr w:type="spellEnd"/>
            <w:r>
              <w:rPr>
                <w:rFonts w:ascii="Calibri" w:hAnsi="Calibri" w:cs="Calibri"/>
                <w:color w:val="000000"/>
                <w:sz w:val="18"/>
                <w:szCs w:val="18"/>
              </w:rPr>
              <w:t xml:space="preserve"> experience.</w:t>
            </w:r>
            <w:r>
              <w:rPr>
                <w:rFonts w:ascii="Calibri" w:hAnsi="Calibri" w:cs="Calibri"/>
                <w:color w:val="000000"/>
                <w:sz w:val="18"/>
                <w:szCs w:val="18"/>
              </w:rPr>
              <w:br/>
            </w:r>
            <w:r>
              <w:rPr>
                <w:rFonts w:ascii="Calibri" w:hAnsi="Calibri" w:cs="Calibri"/>
                <w:color w:val="000000"/>
                <w:sz w:val="18"/>
                <w:szCs w:val="18"/>
              </w:rPr>
              <w:br/>
              <w:t xml:space="preserve">The PBAC recommended EFG PFS as a section 100 (Highly Specialised Drug) Authority Required (Written/Online) listing. The PBAC considered that a claim of </w:t>
            </w:r>
            <w:proofErr w:type="spellStart"/>
            <w:r>
              <w:rPr>
                <w:rFonts w:ascii="Calibri" w:hAnsi="Calibri" w:cs="Calibri"/>
                <w:color w:val="000000"/>
                <w:sz w:val="18"/>
                <w:szCs w:val="18"/>
              </w:rPr>
              <w:t>non inferior</w:t>
            </w:r>
            <w:proofErr w:type="spellEnd"/>
            <w:r>
              <w:rPr>
                <w:rFonts w:ascii="Calibri" w:hAnsi="Calibri" w:cs="Calibri"/>
                <w:color w:val="000000"/>
                <w:sz w:val="18"/>
                <w:szCs w:val="18"/>
              </w:rPr>
              <w:t xml:space="preserve"> effectiveness and </w:t>
            </w:r>
            <w:proofErr w:type="spellStart"/>
            <w:r>
              <w:rPr>
                <w:rFonts w:ascii="Calibri" w:hAnsi="Calibri" w:cs="Calibri"/>
                <w:color w:val="000000"/>
                <w:sz w:val="18"/>
                <w:szCs w:val="18"/>
              </w:rPr>
              <w:t>non inferior</w:t>
            </w:r>
            <w:proofErr w:type="spellEnd"/>
            <w:r>
              <w:rPr>
                <w:rFonts w:ascii="Calibri" w:hAnsi="Calibri" w:cs="Calibri"/>
                <w:color w:val="000000"/>
                <w:sz w:val="18"/>
                <w:szCs w:val="18"/>
              </w:rPr>
              <w:t xml:space="preserve"> comparative safety of EFG PFS versus EFG SC and EFG IV was reasonable, and noted that there was no data to establish clinical superiority and a higher price of EFG PFS over other therapies recommended for </w:t>
            </w:r>
            <w:proofErr w:type="spellStart"/>
            <w:r>
              <w:rPr>
                <w:rFonts w:ascii="Calibri" w:hAnsi="Calibri" w:cs="Calibri"/>
                <w:color w:val="000000"/>
                <w:sz w:val="18"/>
                <w:szCs w:val="18"/>
              </w:rPr>
              <w:t>gMG</w:t>
            </w:r>
            <w:proofErr w:type="spellEnd"/>
            <w:r>
              <w:rPr>
                <w:rFonts w:ascii="Calibri" w:hAnsi="Calibri" w:cs="Calibri"/>
                <w:color w:val="000000"/>
                <w:sz w:val="18"/>
                <w:szCs w:val="18"/>
              </w:rPr>
              <w:t xml:space="preserve"> at the March 2025 and November 2025 PBAC meetings (</w:t>
            </w:r>
            <w:proofErr w:type="spellStart"/>
            <w:r>
              <w:rPr>
                <w:rFonts w:ascii="Calibri" w:hAnsi="Calibri" w:cs="Calibri"/>
                <w:color w:val="000000"/>
                <w:sz w:val="18"/>
                <w:szCs w:val="18"/>
              </w:rPr>
              <w:t>ravulizumab</w:t>
            </w:r>
            <w:proofErr w:type="spellEnd"/>
            <w:r>
              <w:rPr>
                <w:rFonts w:ascii="Calibri" w:hAnsi="Calibri" w:cs="Calibri"/>
                <w:color w:val="000000"/>
                <w:sz w:val="18"/>
                <w:szCs w:val="18"/>
              </w:rPr>
              <w:t xml:space="preserve">, </w:t>
            </w:r>
            <w:proofErr w:type="spellStart"/>
            <w:r>
              <w:rPr>
                <w:rFonts w:ascii="Calibri" w:hAnsi="Calibri" w:cs="Calibri"/>
                <w:color w:val="000000"/>
                <w:sz w:val="18"/>
                <w:szCs w:val="18"/>
              </w:rPr>
              <w:t>rozanolixizumab</w:t>
            </w:r>
            <w:proofErr w:type="spellEnd"/>
            <w:r>
              <w:rPr>
                <w:rFonts w:ascii="Calibri" w:hAnsi="Calibri" w:cs="Calibri"/>
                <w:color w:val="000000"/>
                <w:sz w:val="18"/>
                <w:szCs w:val="18"/>
              </w:rPr>
              <w:t xml:space="preserve"> and </w:t>
            </w:r>
            <w:proofErr w:type="spellStart"/>
            <w:r>
              <w:rPr>
                <w:rFonts w:ascii="Calibri" w:hAnsi="Calibri" w:cs="Calibri"/>
                <w:color w:val="000000"/>
                <w:sz w:val="18"/>
                <w:szCs w:val="18"/>
              </w:rPr>
              <w:t>zilucoplan</w:t>
            </w:r>
            <w:proofErr w:type="spellEnd"/>
            <w:r>
              <w:rPr>
                <w:rFonts w:ascii="Calibri" w:hAnsi="Calibri" w:cs="Calibri"/>
                <w:color w:val="000000"/>
                <w:sz w:val="18"/>
                <w:szCs w:val="18"/>
              </w:rPr>
              <w:t xml:space="preserve">). The PBAC recommended EFG PFS on the basis that it be priced as per the other </w:t>
            </w:r>
            <w:proofErr w:type="spellStart"/>
            <w:r>
              <w:rPr>
                <w:rFonts w:ascii="Calibri" w:hAnsi="Calibri" w:cs="Calibri"/>
                <w:color w:val="000000"/>
                <w:sz w:val="18"/>
                <w:szCs w:val="18"/>
              </w:rPr>
              <w:t>gMG</w:t>
            </w:r>
            <w:proofErr w:type="spellEnd"/>
            <w:r>
              <w:rPr>
                <w:rFonts w:ascii="Calibri" w:hAnsi="Calibri" w:cs="Calibri"/>
                <w:color w:val="000000"/>
                <w:sz w:val="18"/>
                <w:szCs w:val="18"/>
              </w:rPr>
              <w:t xml:space="preserve"> medicines recommended (and noting that 1 vial EFG PFS should be priced equivalent to 1 vial EFG SC or 2.4 vials of EFG IV). The PBAC advised that EFG PFS should also enter into the Risk Sharing Arrangement for these previously recommended </w:t>
            </w:r>
            <w:proofErr w:type="spellStart"/>
            <w:r>
              <w:rPr>
                <w:rFonts w:ascii="Calibri" w:hAnsi="Calibri" w:cs="Calibri"/>
                <w:color w:val="000000"/>
                <w:sz w:val="18"/>
                <w:szCs w:val="18"/>
              </w:rPr>
              <w:t>gMG</w:t>
            </w:r>
            <w:proofErr w:type="spellEnd"/>
            <w:r>
              <w:rPr>
                <w:rFonts w:ascii="Calibri" w:hAnsi="Calibri" w:cs="Calibri"/>
                <w:color w:val="000000"/>
                <w:sz w:val="18"/>
                <w:szCs w:val="18"/>
              </w:rPr>
              <w:t xml:space="preserve"> medicines.</w:t>
            </w:r>
          </w:p>
        </w:tc>
      </w:tr>
      <w:tr w:rsidR="00C312E5" w:rsidRPr="00544E10" w14:paraId="31FBD8AE" w14:textId="77777777" w:rsidTr="003921D1">
        <w:trPr>
          <w:cantSplit/>
          <w:trHeight w:val="868"/>
        </w:trPr>
        <w:tc>
          <w:tcPr>
            <w:tcW w:w="294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068E422" w14:textId="518485AA" w:rsidR="000246AB" w:rsidRPr="005F21D6" w:rsidRDefault="000246AB" w:rsidP="000246AB">
            <w:pPr>
              <w:jc w:val="center"/>
              <w:rPr>
                <w:rFonts w:asciiTheme="minorHAnsi" w:hAnsiTheme="minorHAnsi" w:cstheme="minorHAnsi"/>
                <w:color w:val="000000"/>
                <w:szCs w:val="20"/>
              </w:rPr>
            </w:pPr>
            <w:r>
              <w:rPr>
                <w:rFonts w:ascii="Calibri" w:hAnsi="Calibri" w:cs="Calibri"/>
                <w:color w:val="000000"/>
                <w:sz w:val="18"/>
                <w:szCs w:val="18"/>
              </w:rPr>
              <w:t>EFGARTIGIMOD ALFA</w:t>
            </w:r>
            <w:r>
              <w:rPr>
                <w:rFonts w:ascii="Calibri" w:hAnsi="Calibri" w:cs="Calibri"/>
                <w:color w:val="000000"/>
                <w:sz w:val="18"/>
                <w:szCs w:val="18"/>
              </w:rPr>
              <w:br/>
            </w:r>
            <w:r>
              <w:rPr>
                <w:rFonts w:ascii="Calibri" w:hAnsi="Calibri" w:cs="Calibri"/>
                <w:color w:val="000000"/>
                <w:sz w:val="18"/>
                <w:szCs w:val="18"/>
              </w:rPr>
              <w:br/>
              <w:t>Solution for subcutaneous injection 1000 mg in 5.6</w:t>
            </w:r>
            <w:r>
              <w:rPr>
                <w:rFonts w:ascii="Calibri" w:hAnsi="Calibri" w:cs="Calibri"/>
                <w:color w:val="000000"/>
                <w:sz w:val="18"/>
                <w:szCs w:val="18"/>
              </w:rPr>
              <w:br/>
              <w:t>Injection 1000 mg in 5 mL pre-filled syringe</w:t>
            </w:r>
            <w:r>
              <w:rPr>
                <w:rFonts w:ascii="Calibri" w:hAnsi="Calibri" w:cs="Calibri"/>
                <w:color w:val="000000"/>
                <w:sz w:val="18"/>
                <w:szCs w:val="18"/>
              </w:rPr>
              <w:br/>
            </w:r>
            <w:r>
              <w:rPr>
                <w:rFonts w:ascii="Calibri" w:hAnsi="Calibri" w:cs="Calibri"/>
                <w:color w:val="000000"/>
                <w:sz w:val="18"/>
                <w:szCs w:val="18"/>
              </w:rPr>
              <w:br/>
            </w:r>
            <w:proofErr w:type="spellStart"/>
            <w:r>
              <w:rPr>
                <w:rFonts w:ascii="Calibri" w:hAnsi="Calibri" w:cs="Calibri"/>
                <w:color w:val="000000"/>
                <w:sz w:val="18"/>
                <w:szCs w:val="18"/>
              </w:rPr>
              <w:t>Vyvgart</w:t>
            </w:r>
            <w:proofErr w:type="spellEnd"/>
            <w:r>
              <w:rPr>
                <w:rFonts w:ascii="Calibri" w:hAnsi="Calibri" w:cs="Calibri"/>
                <w:color w:val="000000"/>
                <w:sz w:val="18"/>
                <w:szCs w:val="18"/>
              </w:rPr>
              <w:t>®</w:t>
            </w:r>
            <w:r>
              <w:rPr>
                <w:rFonts w:ascii="Calibri" w:hAnsi="Calibri" w:cs="Calibri"/>
                <w:color w:val="000000"/>
                <w:sz w:val="18"/>
                <w:szCs w:val="18"/>
              </w:rPr>
              <w:br/>
            </w:r>
            <w:r>
              <w:rPr>
                <w:rFonts w:ascii="Calibri" w:hAnsi="Calibri" w:cs="Calibri"/>
                <w:color w:val="000000"/>
                <w:sz w:val="18"/>
                <w:szCs w:val="18"/>
              </w:rPr>
              <w:br/>
              <w:t>ARGENX AUSTRALIA PTY. LTD.</w:t>
            </w:r>
            <w:r>
              <w:rPr>
                <w:rFonts w:ascii="Calibri" w:hAnsi="Calibri" w:cs="Calibri"/>
                <w:color w:val="000000"/>
                <w:sz w:val="18"/>
                <w:szCs w:val="18"/>
              </w:rPr>
              <w:br/>
            </w:r>
            <w:r>
              <w:rPr>
                <w:rFonts w:ascii="Calibri" w:hAnsi="Calibri" w:cs="Calibri"/>
                <w:color w:val="000000"/>
                <w:sz w:val="18"/>
                <w:szCs w:val="18"/>
              </w:rPr>
              <w:br/>
              <w:t>Category 1</w:t>
            </w:r>
            <w:r>
              <w:rPr>
                <w:rFonts w:ascii="Calibri" w:hAnsi="Calibri" w:cs="Calibri"/>
                <w:color w:val="000000"/>
                <w:sz w:val="18"/>
                <w:szCs w:val="18"/>
              </w:rPr>
              <w:br/>
              <w:t xml:space="preserve">(Change to existing </w:t>
            </w:r>
            <w:r w:rsidR="00957109">
              <w:rPr>
                <w:rFonts w:ascii="Calibri" w:hAnsi="Calibri" w:cs="Calibri"/>
                <w:color w:val="000000"/>
                <w:sz w:val="18"/>
                <w:szCs w:val="18"/>
              </w:rPr>
              <w:t>listing)</w:t>
            </w:r>
            <w:r>
              <w:rPr>
                <w:rFonts w:ascii="Calibri" w:hAnsi="Calibri" w:cs="Calibri"/>
                <w:color w:val="000000"/>
                <w:sz w:val="18"/>
                <w:szCs w:val="18"/>
              </w:rPr>
              <w:br/>
            </w:r>
            <w:r>
              <w:rPr>
                <w:rFonts w:ascii="Calibri" w:hAnsi="Calibri" w:cs="Calibri"/>
                <w:color w:val="000000"/>
                <w:sz w:val="18"/>
                <w:szCs w:val="18"/>
              </w:rPr>
              <w:br/>
              <w:t>PBS General Schedule</w:t>
            </w:r>
          </w:p>
        </w:tc>
        <w:tc>
          <w:tcPr>
            <w:tcW w:w="1983" w:type="dxa"/>
            <w:tcBorders>
              <w:top w:val="single" w:sz="4" w:space="0" w:color="auto"/>
              <w:left w:val="single" w:sz="4" w:space="0" w:color="auto"/>
              <w:bottom w:val="single" w:sz="4" w:space="0" w:color="auto"/>
              <w:right w:val="single" w:sz="4" w:space="0" w:color="auto"/>
            </w:tcBorders>
            <w:vAlign w:val="center"/>
          </w:tcPr>
          <w:p w14:paraId="3304D7A6" w14:textId="347DD7F5" w:rsidR="000246AB" w:rsidRPr="005F21D6" w:rsidRDefault="000246AB" w:rsidP="000246AB">
            <w:pPr>
              <w:jc w:val="center"/>
              <w:rPr>
                <w:rFonts w:asciiTheme="minorHAnsi" w:hAnsiTheme="minorHAnsi" w:cstheme="minorHAnsi"/>
                <w:color w:val="000000"/>
                <w:sz w:val="18"/>
                <w:szCs w:val="18"/>
              </w:rPr>
            </w:pPr>
            <w:r>
              <w:rPr>
                <w:rFonts w:ascii="Calibri" w:hAnsi="Calibri" w:cs="Calibri"/>
                <w:color w:val="000000"/>
                <w:sz w:val="18"/>
                <w:szCs w:val="18"/>
              </w:rPr>
              <w:t>Chronic inflammatory demyelinating polyneuropathy (CIDP)</w:t>
            </w:r>
          </w:p>
        </w:tc>
        <w:tc>
          <w:tcPr>
            <w:tcW w:w="238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BD1D957" w14:textId="5AD29E5B" w:rsidR="000246AB" w:rsidRPr="005F21D6" w:rsidRDefault="000246AB" w:rsidP="000246AB">
            <w:pPr>
              <w:jc w:val="center"/>
              <w:rPr>
                <w:rFonts w:asciiTheme="minorHAnsi" w:hAnsiTheme="minorHAnsi" w:cstheme="minorHAnsi"/>
                <w:color w:val="000000"/>
                <w:sz w:val="18"/>
                <w:szCs w:val="18"/>
              </w:rPr>
            </w:pPr>
            <w:r>
              <w:rPr>
                <w:rFonts w:ascii="Calibri" w:hAnsi="Calibri" w:cs="Calibri"/>
                <w:color w:val="000000"/>
                <w:sz w:val="18"/>
                <w:szCs w:val="18"/>
              </w:rPr>
              <w:t xml:space="preserve">To request listing of efgartigimod alfa for the treatment of adult patients with progressive or relapsing active CIDP who have had  an inadequate response to immunoglobulin (Ig) alone or in combination with another therapeutic treatment, or are refractory to Ig, or have an intolerance or contraindication to Ig. </w:t>
            </w:r>
            <w:r>
              <w:rPr>
                <w:rFonts w:ascii="Calibri" w:hAnsi="Calibri" w:cs="Calibri"/>
                <w:color w:val="000000"/>
                <w:sz w:val="18"/>
                <w:szCs w:val="18"/>
              </w:rPr>
              <w:br/>
            </w:r>
            <w:r>
              <w:rPr>
                <w:rFonts w:ascii="Calibri" w:hAnsi="Calibri" w:cs="Calibri"/>
                <w:color w:val="000000"/>
                <w:sz w:val="18"/>
                <w:szCs w:val="18"/>
              </w:rPr>
              <w:br/>
              <w:t>Authority Required (Written or Telephone/Online)</w:t>
            </w:r>
          </w:p>
        </w:tc>
        <w:tc>
          <w:tcPr>
            <w:tcW w:w="1415" w:type="dxa"/>
            <w:vAlign w:val="center"/>
          </w:tcPr>
          <w:p w14:paraId="1C8BB6E0" w14:textId="5D11E66B" w:rsidR="000246AB" w:rsidRPr="00544E10" w:rsidRDefault="000246AB" w:rsidP="00D428AC">
            <w:pPr>
              <w:ind w:left="11"/>
              <w:contextualSpacing/>
              <w:jc w:val="center"/>
              <w:rPr>
                <w:rFonts w:asciiTheme="minorHAnsi" w:hAnsiTheme="minorHAnsi" w:cstheme="minorHAnsi"/>
                <w:color w:val="000000" w:themeColor="text1"/>
                <w:sz w:val="18"/>
                <w:szCs w:val="18"/>
              </w:rPr>
            </w:pPr>
            <w:r>
              <w:rPr>
                <w:rFonts w:ascii="Calibri" w:hAnsi="Calibri" w:cs="Calibri"/>
                <w:color w:val="000000"/>
                <w:sz w:val="18"/>
                <w:szCs w:val="18"/>
              </w:rPr>
              <w:t>Not Recommended</w:t>
            </w:r>
          </w:p>
        </w:tc>
        <w:tc>
          <w:tcPr>
            <w:tcW w:w="4729" w:type="dxa"/>
            <w:vAlign w:val="center"/>
          </w:tcPr>
          <w:p w14:paraId="21BC221D" w14:textId="5B1E6396" w:rsidR="000246AB" w:rsidRPr="00597EDE" w:rsidRDefault="000246AB" w:rsidP="00D428AC">
            <w:pPr>
              <w:ind w:left="11"/>
              <w:contextualSpacing/>
              <w:rPr>
                <w:rFonts w:ascii="Calibri" w:hAnsi="Calibri" w:cs="Calibri"/>
                <w:color w:val="000000"/>
                <w:sz w:val="18"/>
                <w:szCs w:val="18"/>
              </w:rPr>
            </w:pPr>
            <w:r w:rsidRPr="00597EDE">
              <w:rPr>
                <w:rFonts w:ascii="Calibri" w:hAnsi="Calibri" w:cs="Calibri"/>
                <w:color w:val="000000"/>
                <w:sz w:val="18"/>
                <w:szCs w:val="18"/>
              </w:rPr>
              <w:t>The PBAC did not recommend efgartigimod alfa (</w:t>
            </w:r>
            <w:proofErr w:type="spellStart"/>
            <w:r w:rsidRPr="00597EDE">
              <w:rPr>
                <w:rFonts w:ascii="Calibri" w:hAnsi="Calibri" w:cs="Calibri"/>
                <w:color w:val="000000"/>
                <w:sz w:val="18"/>
                <w:szCs w:val="18"/>
              </w:rPr>
              <w:t>Vyvgart</w:t>
            </w:r>
            <w:proofErr w:type="spellEnd"/>
            <w:r w:rsidRPr="00597EDE">
              <w:rPr>
                <w:rFonts w:ascii="Calibri" w:hAnsi="Calibri" w:cs="Calibri"/>
                <w:color w:val="000000"/>
                <w:sz w:val="18"/>
                <w:szCs w:val="18"/>
              </w:rPr>
              <w:t xml:space="preserve">®) for the treatment </w:t>
            </w:r>
            <w:r w:rsidR="002353EE">
              <w:rPr>
                <w:rFonts w:ascii="Calibri" w:hAnsi="Calibri" w:cs="Calibri"/>
                <w:color w:val="000000"/>
                <w:sz w:val="18"/>
                <w:szCs w:val="18"/>
              </w:rPr>
              <w:t xml:space="preserve">of </w:t>
            </w:r>
            <w:r w:rsidRPr="00597EDE">
              <w:rPr>
                <w:rFonts w:ascii="Calibri" w:hAnsi="Calibri" w:cs="Calibri"/>
                <w:color w:val="000000"/>
                <w:sz w:val="18"/>
                <w:szCs w:val="18"/>
              </w:rPr>
              <w:t xml:space="preserve">active chronic inflammatory demyelinating polyneuropathy (CIDP) in patients whose symptoms continue despite treatment with blood products such as immunoglobulin and for those who cannot tolerate immunoglobulin. CIDP is a chronic autoimmune nerve disorder. </w:t>
            </w:r>
            <w:r w:rsidRPr="00597EDE">
              <w:rPr>
                <w:rFonts w:ascii="Calibri" w:hAnsi="Calibri" w:cs="Calibri"/>
                <w:color w:val="000000"/>
                <w:sz w:val="18"/>
                <w:szCs w:val="18"/>
              </w:rPr>
              <w:br/>
            </w:r>
            <w:r w:rsidRPr="00597EDE">
              <w:rPr>
                <w:rFonts w:ascii="Calibri" w:hAnsi="Calibri" w:cs="Calibri"/>
                <w:color w:val="000000"/>
                <w:sz w:val="18"/>
                <w:szCs w:val="18"/>
              </w:rPr>
              <w:br/>
              <w:t>The PBAC acknowledged the consumer input received and considered that there is a high unmet need for additional treatment options for people with CIDP. However, the PBAC was not satisfied that the available evidence clearly demonstrated which patients should receive efgartigimod in clinical practice, nor how patients would be safely switched from immunoglobulin treatment to efgartigimod alfa.</w:t>
            </w:r>
            <w:r w:rsidRPr="00597EDE">
              <w:rPr>
                <w:rFonts w:ascii="Calibri" w:hAnsi="Calibri" w:cs="Calibri"/>
                <w:color w:val="000000"/>
                <w:sz w:val="18"/>
                <w:szCs w:val="18"/>
              </w:rPr>
              <w:br/>
            </w:r>
            <w:r w:rsidRPr="00597EDE">
              <w:rPr>
                <w:rFonts w:ascii="Calibri" w:hAnsi="Calibri" w:cs="Calibri"/>
                <w:color w:val="000000"/>
                <w:sz w:val="18"/>
                <w:szCs w:val="18"/>
              </w:rPr>
              <w:br/>
              <w:t>As the clinical benefits compared with immunoglobulin treatment were uncertain, the PBAC considered that the economic analysis and high estimated cost to the public did not provide enough certainty or information for decision making.</w:t>
            </w:r>
          </w:p>
          <w:p w14:paraId="7D0BDD00" w14:textId="77777777" w:rsidR="00524A2B" w:rsidRPr="00597EDE" w:rsidRDefault="00524A2B" w:rsidP="00D428AC">
            <w:pPr>
              <w:ind w:left="11"/>
              <w:contextualSpacing/>
              <w:rPr>
                <w:rFonts w:ascii="Calibri" w:hAnsi="Calibri" w:cs="Calibri"/>
                <w:color w:val="000000"/>
                <w:sz w:val="18"/>
                <w:szCs w:val="18"/>
              </w:rPr>
            </w:pPr>
          </w:p>
          <w:p w14:paraId="3101F928" w14:textId="29FF0B8F" w:rsidR="00524A2B" w:rsidRPr="00597EDE" w:rsidRDefault="00524A2B" w:rsidP="00D428AC">
            <w:pPr>
              <w:ind w:left="11"/>
              <w:contextualSpacing/>
              <w:rPr>
                <w:rFonts w:ascii="Calibri" w:hAnsi="Calibri" w:cs="Calibri"/>
                <w:color w:val="000000"/>
                <w:sz w:val="18"/>
                <w:szCs w:val="18"/>
              </w:rPr>
            </w:pPr>
            <w:r w:rsidRPr="00597EDE">
              <w:rPr>
                <w:rFonts w:ascii="Calibri" w:hAnsi="Calibri" w:cs="Calibri"/>
                <w:color w:val="000000"/>
                <w:sz w:val="18"/>
                <w:szCs w:val="18"/>
              </w:rPr>
              <w:t>Sponsor’s comment:</w:t>
            </w:r>
          </w:p>
          <w:p w14:paraId="36F361CD" w14:textId="76A4BD16" w:rsidR="00524A2B" w:rsidRPr="00597EDE" w:rsidRDefault="00597EDE" w:rsidP="00D428AC">
            <w:pPr>
              <w:contextualSpacing/>
              <w:rPr>
                <w:rFonts w:ascii="Calibri" w:hAnsi="Calibri" w:cs="Calibri"/>
                <w:color w:val="000000" w:themeColor="text1"/>
                <w:sz w:val="18"/>
                <w:szCs w:val="18"/>
              </w:rPr>
            </w:pPr>
            <w:r w:rsidRPr="00597EDE">
              <w:rPr>
                <w:rFonts w:ascii="Calibri" w:hAnsi="Calibri" w:cs="Calibri"/>
                <w:color w:val="000000" w:themeColor="text1"/>
                <w:sz w:val="18"/>
                <w:szCs w:val="18"/>
              </w:rPr>
              <w:t xml:space="preserve">Given the PBAC's acknowledgement of the high unmet need in this patient population, </w:t>
            </w:r>
            <w:proofErr w:type="spellStart"/>
            <w:r w:rsidRPr="00597EDE">
              <w:rPr>
                <w:rFonts w:ascii="Calibri" w:hAnsi="Calibri" w:cs="Calibri"/>
                <w:color w:val="000000" w:themeColor="text1"/>
                <w:sz w:val="18"/>
                <w:szCs w:val="18"/>
              </w:rPr>
              <w:t>argenx</w:t>
            </w:r>
            <w:proofErr w:type="spellEnd"/>
            <w:r w:rsidRPr="00597EDE">
              <w:rPr>
                <w:rFonts w:ascii="Calibri" w:hAnsi="Calibri" w:cs="Calibri"/>
                <w:color w:val="000000" w:themeColor="text1"/>
                <w:sz w:val="18"/>
                <w:szCs w:val="18"/>
              </w:rPr>
              <w:t xml:space="preserve"> is disappointed with the decision not to recommend efgartigimod alfa (</w:t>
            </w:r>
            <w:proofErr w:type="spellStart"/>
            <w:r w:rsidRPr="00597EDE">
              <w:rPr>
                <w:rFonts w:ascii="Calibri" w:hAnsi="Calibri" w:cs="Calibri"/>
                <w:color w:val="000000" w:themeColor="text1"/>
                <w:sz w:val="18"/>
                <w:szCs w:val="18"/>
              </w:rPr>
              <w:t>Vyvgart</w:t>
            </w:r>
            <w:proofErr w:type="spellEnd"/>
            <w:r w:rsidRPr="00597EDE">
              <w:rPr>
                <w:rFonts w:ascii="Calibri" w:hAnsi="Calibri" w:cs="Calibri"/>
                <w:color w:val="000000" w:themeColor="text1"/>
                <w:sz w:val="18"/>
                <w:szCs w:val="18"/>
              </w:rPr>
              <w:t xml:space="preserve">®) for the treatment of CIDP. </w:t>
            </w:r>
            <w:proofErr w:type="spellStart"/>
            <w:r w:rsidRPr="00597EDE">
              <w:rPr>
                <w:rFonts w:ascii="Calibri" w:hAnsi="Calibri" w:cs="Calibri"/>
                <w:color w:val="000000" w:themeColor="text1"/>
                <w:sz w:val="18"/>
                <w:szCs w:val="18"/>
              </w:rPr>
              <w:t>argenx</w:t>
            </w:r>
            <w:proofErr w:type="spellEnd"/>
            <w:r w:rsidRPr="00597EDE">
              <w:rPr>
                <w:rFonts w:ascii="Calibri" w:hAnsi="Calibri" w:cs="Calibri"/>
                <w:color w:val="000000" w:themeColor="text1"/>
                <w:sz w:val="18"/>
                <w:szCs w:val="18"/>
              </w:rPr>
              <w:t xml:space="preserve"> thanks consumers for their input highlighting the significant patient and carer burden, as well as the need for new treatment options in CIDP. The company remains committed to working with the PBAC to ensure the clinical value of efgartigimod in CIDP is fully recognised, and to providing CIDP patients with sustainable access to innovative treatments that help them live healthier and more productive lives, while also reducing the demand on Australia’s constrained immunoglobulin supply.</w:t>
            </w:r>
          </w:p>
        </w:tc>
      </w:tr>
      <w:tr w:rsidR="00EA6F96" w:rsidRPr="00544E10" w14:paraId="5C58F95A" w14:textId="77777777" w:rsidTr="00D362C3">
        <w:trPr>
          <w:cantSplit/>
          <w:trHeight w:val="868"/>
        </w:trPr>
        <w:tc>
          <w:tcPr>
            <w:tcW w:w="29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bottom w:w="28" w:type="dxa"/>
            </w:tcMar>
            <w:vAlign w:val="center"/>
          </w:tcPr>
          <w:p w14:paraId="5145359A" w14:textId="77777777" w:rsidR="00C27073" w:rsidRPr="00C27073" w:rsidRDefault="00C27073" w:rsidP="00C27073">
            <w:pPr>
              <w:jc w:val="center"/>
              <w:rPr>
                <w:rFonts w:ascii="Calibri" w:hAnsi="Calibri" w:cs="Calibri"/>
                <w:color w:val="000000"/>
                <w:sz w:val="18"/>
                <w:szCs w:val="18"/>
              </w:rPr>
            </w:pPr>
            <w:r w:rsidRPr="00C27073">
              <w:rPr>
                <w:rFonts w:ascii="Calibri" w:hAnsi="Calibri" w:cs="Calibri"/>
                <w:color w:val="000000"/>
                <w:sz w:val="18"/>
                <w:szCs w:val="18"/>
              </w:rPr>
              <w:t>ENOXAPARIN</w:t>
            </w:r>
          </w:p>
          <w:p w14:paraId="64BC53DF" w14:textId="77777777" w:rsidR="006E3375" w:rsidRDefault="00C27073" w:rsidP="006E3375">
            <w:pPr>
              <w:spacing w:after="0"/>
              <w:jc w:val="center"/>
              <w:rPr>
                <w:rFonts w:ascii="Calibri" w:hAnsi="Calibri" w:cs="Calibri"/>
                <w:color w:val="000000"/>
                <w:sz w:val="18"/>
                <w:szCs w:val="18"/>
              </w:rPr>
            </w:pPr>
            <w:r w:rsidRPr="00C27073">
              <w:rPr>
                <w:rFonts w:ascii="Calibri" w:hAnsi="Calibri" w:cs="Calibri"/>
                <w:color w:val="000000"/>
                <w:sz w:val="18"/>
                <w:szCs w:val="18"/>
              </w:rPr>
              <w:t>Injection containing enoxaparin sodium 20</w:t>
            </w:r>
            <w:r w:rsidR="006E3375">
              <w:rPr>
                <w:rFonts w:ascii="Calibri" w:hAnsi="Calibri" w:cs="Calibri"/>
                <w:color w:val="000000"/>
                <w:sz w:val="18"/>
                <w:szCs w:val="18"/>
              </w:rPr>
              <w:t xml:space="preserve"> </w:t>
            </w:r>
            <w:r w:rsidRPr="00C27073">
              <w:rPr>
                <w:rFonts w:ascii="Calibri" w:hAnsi="Calibri" w:cs="Calibri"/>
                <w:color w:val="000000"/>
                <w:sz w:val="18"/>
                <w:szCs w:val="18"/>
              </w:rPr>
              <w:t>mg (2,000 I.U. anti-Xa) in 0.2 mL pre-filled</w:t>
            </w:r>
            <w:r w:rsidR="006E3375">
              <w:rPr>
                <w:rFonts w:ascii="Calibri" w:hAnsi="Calibri" w:cs="Calibri"/>
                <w:color w:val="000000"/>
                <w:sz w:val="18"/>
                <w:szCs w:val="18"/>
              </w:rPr>
              <w:t xml:space="preserve"> </w:t>
            </w:r>
            <w:r w:rsidRPr="00C27073">
              <w:rPr>
                <w:rFonts w:ascii="Calibri" w:hAnsi="Calibri" w:cs="Calibri"/>
                <w:color w:val="000000"/>
                <w:sz w:val="18"/>
                <w:szCs w:val="18"/>
              </w:rPr>
              <w:t>syringe</w:t>
            </w:r>
          </w:p>
          <w:p w14:paraId="6DE81495" w14:textId="4D9F51DB" w:rsidR="00C27073" w:rsidRPr="00C27073" w:rsidRDefault="00C27073" w:rsidP="00742C7B">
            <w:pPr>
              <w:spacing w:after="0"/>
              <w:jc w:val="center"/>
              <w:rPr>
                <w:rFonts w:ascii="Calibri" w:hAnsi="Calibri" w:cs="Calibri"/>
                <w:color w:val="000000"/>
                <w:sz w:val="18"/>
                <w:szCs w:val="18"/>
              </w:rPr>
            </w:pPr>
            <w:r w:rsidRPr="00C27073">
              <w:rPr>
                <w:rFonts w:ascii="Calibri" w:hAnsi="Calibri" w:cs="Calibri"/>
                <w:color w:val="000000"/>
                <w:sz w:val="18"/>
                <w:szCs w:val="18"/>
              </w:rPr>
              <w:t>Injection containing enoxaparin sodium 40</w:t>
            </w:r>
            <w:r w:rsidR="00742C7B">
              <w:rPr>
                <w:rFonts w:ascii="Calibri" w:hAnsi="Calibri" w:cs="Calibri"/>
                <w:color w:val="000000"/>
                <w:sz w:val="18"/>
                <w:szCs w:val="18"/>
              </w:rPr>
              <w:t xml:space="preserve"> </w:t>
            </w:r>
            <w:r w:rsidRPr="00C27073">
              <w:rPr>
                <w:rFonts w:ascii="Calibri" w:hAnsi="Calibri" w:cs="Calibri"/>
                <w:color w:val="000000"/>
                <w:sz w:val="18"/>
                <w:szCs w:val="18"/>
              </w:rPr>
              <w:t>mg (4,000 I.U. anti-Xa) in 0.4 mL pre-filled</w:t>
            </w:r>
            <w:r w:rsidR="00742C7B">
              <w:rPr>
                <w:rFonts w:ascii="Calibri" w:hAnsi="Calibri" w:cs="Calibri"/>
                <w:color w:val="000000"/>
                <w:sz w:val="18"/>
                <w:szCs w:val="18"/>
              </w:rPr>
              <w:t xml:space="preserve"> </w:t>
            </w:r>
            <w:r w:rsidRPr="00C27073">
              <w:rPr>
                <w:rFonts w:ascii="Calibri" w:hAnsi="Calibri" w:cs="Calibri"/>
                <w:color w:val="000000"/>
                <w:sz w:val="18"/>
                <w:szCs w:val="18"/>
              </w:rPr>
              <w:t>syringe</w:t>
            </w:r>
          </w:p>
          <w:p w14:paraId="25B84AE0" w14:textId="611713D3" w:rsidR="00C27073" w:rsidRPr="00C27073" w:rsidRDefault="00C27073" w:rsidP="00742C7B">
            <w:pPr>
              <w:spacing w:after="0"/>
              <w:jc w:val="center"/>
              <w:rPr>
                <w:rFonts w:ascii="Calibri" w:hAnsi="Calibri" w:cs="Calibri"/>
                <w:color w:val="000000"/>
                <w:sz w:val="18"/>
                <w:szCs w:val="18"/>
              </w:rPr>
            </w:pPr>
            <w:r w:rsidRPr="00C27073">
              <w:rPr>
                <w:rFonts w:ascii="Calibri" w:hAnsi="Calibri" w:cs="Calibri"/>
                <w:color w:val="000000"/>
                <w:sz w:val="18"/>
                <w:szCs w:val="18"/>
              </w:rPr>
              <w:t>Injection containing enoxaparin sodium 60</w:t>
            </w:r>
            <w:r w:rsidR="00742C7B">
              <w:rPr>
                <w:rFonts w:ascii="Calibri" w:hAnsi="Calibri" w:cs="Calibri"/>
                <w:color w:val="000000"/>
                <w:sz w:val="18"/>
                <w:szCs w:val="18"/>
              </w:rPr>
              <w:t xml:space="preserve"> </w:t>
            </w:r>
            <w:r w:rsidRPr="00C27073">
              <w:rPr>
                <w:rFonts w:ascii="Calibri" w:hAnsi="Calibri" w:cs="Calibri"/>
                <w:color w:val="000000"/>
                <w:sz w:val="18"/>
                <w:szCs w:val="18"/>
              </w:rPr>
              <w:t>mg (6,000 I.U. anti-Xa) in 0.6 mL pre-filled</w:t>
            </w:r>
            <w:r w:rsidR="00742C7B">
              <w:rPr>
                <w:rFonts w:ascii="Calibri" w:hAnsi="Calibri" w:cs="Calibri"/>
                <w:color w:val="000000"/>
                <w:sz w:val="18"/>
                <w:szCs w:val="18"/>
              </w:rPr>
              <w:t xml:space="preserve"> </w:t>
            </w:r>
            <w:r w:rsidRPr="00C27073">
              <w:rPr>
                <w:rFonts w:ascii="Calibri" w:hAnsi="Calibri" w:cs="Calibri"/>
                <w:color w:val="000000"/>
                <w:sz w:val="18"/>
                <w:szCs w:val="18"/>
              </w:rPr>
              <w:t>syringe</w:t>
            </w:r>
          </w:p>
          <w:p w14:paraId="44622667" w14:textId="7E6E264A" w:rsidR="00C27073" w:rsidRPr="00C27073" w:rsidRDefault="00C27073" w:rsidP="00A33CA8">
            <w:pPr>
              <w:spacing w:after="0"/>
              <w:jc w:val="center"/>
              <w:rPr>
                <w:rFonts w:ascii="Calibri" w:hAnsi="Calibri" w:cs="Calibri"/>
                <w:color w:val="000000"/>
                <w:sz w:val="18"/>
                <w:szCs w:val="18"/>
              </w:rPr>
            </w:pPr>
            <w:r w:rsidRPr="00C27073">
              <w:rPr>
                <w:rFonts w:ascii="Calibri" w:hAnsi="Calibri" w:cs="Calibri"/>
                <w:color w:val="000000"/>
                <w:sz w:val="18"/>
                <w:szCs w:val="18"/>
              </w:rPr>
              <w:t>Injection containing enoxaparin sodium 80</w:t>
            </w:r>
            <w:r w:rsidR="00742C7B">
              <w:rPr>
                <w:rFonts w:ascii="Calibri" w:hAnsi="Calibri" w:cs="Calibri"/>
                <w:color w:val="000000"/>
                <w:sz w:val="18"/>
                <w:szCs w:val="18"/>
              </w:rPr>
              <w:t xml:space="preserve"> </w:t>
            </w:r>
            <w:r w:rsidRPr="00C27073">
              <w:rPr>
                <w:rFonts w:ascii="Calibri" w:hAnsi="Calibri" w:cs="Calibri"/>
                <w:color w:val="000000"/>
                <w:sz w:val="18"/>
                <w:szCs w:val="18"/>
              </w:rPr>
              <w:t>mg (8,000 I.U. anti-Xa) in 0.8 mL pre-filled</w:t>
            </w:r>
            <w:r w:rsidR="00A33CA8">
              <w:rPr>
                <w:rFonts w:ascii="Calibri" w:hAnsi="Calibri" w:cs="Calibri"/>
                <w:color w:val="000000"/>
                <w:sz w:val="18"/>
                <w:szCs w:val="18"/>
              </w:rPr>
              <w:t xml:space="preserve"> </w:t>
            </w:r>
            <w:r w:rsidRPr="00C27073">
              <w:rPr>
                <w:rFonts w:ascii="Calibri" w:hAnsi="Calibri" w:cs="Calibri"/>
                <w:color w:val="000000"/>
                <w:sz w:val="18"/>
                <w:szCs w:val="18"/>
              </w:rPr>
              <w:t>syringe</w:t>
            </w:r>
          </w:p>
          <w:p w14:paraId="762C6471" w14:textId="072EEDE7" w:rsidR="00C27073" w:rsidRPr="00C27073" w:rsidRDefault="00C27073" w:rsidP="00066174">
            <w:pPr>
              <w:spacing w:after="0"/>
              <w:jc w:val="center"/>
              <w:rPr>
                <w:rFonts w:ascii="Calibri" w:hAnsi="Calibri" w:cs="Calibri"/>
                <w:color w:val="000000"/>
                <w:sz w:val="18"/>
                <w:szCs w:val="18"/>
              </w:rPr>
            </w:pPr>
            <w:r w:rsidRPr="00C27073">
              <w:rPr>
                <w:rFonts w:ascii="Calibri" w:hAnsi="Calibri" w:cs="Calibri"/>
                <w:color w:val="000000"/>
                <w:sz w:val="18"/>
                <w:szCs w:val="18"/>
              </w:rPr>
              <w:t>Injection containing enoxaparin sodium 100</w:t>
            </w:r>
            <w:r w:rsidR="00066174">
              <w:rPr>
                <w:rFonts w:ascii="Calibri" w:hAnsi="Calibri" w:cs="Calibri"/>
                <w:color w:val="000000"/>
                <w:sz w:val="18"/>
                <w:szCs w:val="18"/>
              </w:rPr>
              <w:t xml:space="preserve"> </w:t>
            </w:r>
            <w:r w:rsidRPr="00C27073">
              <w:rPr>
                <w:rFonts w:ascii="Calibri" w:hAnsi="Calibri" w:cs="Calibri"/>
                <w:color w:val="000000"/>
                <w:sz w:val="18"/>
                <w:szCs w:val="18"/>
              </w:rPr>
              <w:t>mg (10,000 I.U. anti-Xa) in 1 mL pre-filled</w:t>
            </w:r>
            <w:r w:rsidR="00066174">
              <w:rPr>
                <w:rFonts w:ascii="Calibri" w:hAnsi="Calibri" w:cs="Calibri"/>
                <w:color w:val="000000"/>
                <w:sz w:val="18"/>
                <w:szCs w:val="18"/>
              </w:rPr>
              <w:t xml:space="preserve"> </w:t>
            </w:r>
            <w:r w:rsidRPr="00C27073">
              <w:rPr>
                <w:rFonts w:ascii="Calibri" w:hAnsi="Calibri" w:cs="Calibri"/>
                <w:color w:val="000000"/>
                <w:sz w:val="18"/>
                <w:szCs w:val="18"/>
              </w:rPr>
              <w:t>syringe</w:t>
            </w:r>
          </w:p>
          <w:p w14:paraId="06D6809F" w14:textId="2231BACA" w:rsidR="00C27073" w:rsidRPr="00C27073" w:rsidRDefault="00C27073" w:rsidP="00066174">
            <w:pPr>
              <w:spacing w:after="0"/>
              <w:jc w:val="center"/>
              <w:rPr>
                <w:rFonts w:ascii="Calibri" w:hAnsi="Calibri" w:cs="Calibri"/>
                <w:color w:val="000000"/>
                <w:sz w:val="18"/>
                <w:szCs w:val="18"/>
              </w:rPr>
            </w:pPr>
            <w:r w:rsidRPr="00C27073">
              <w:rPr>
                <w:rFonts w:ascii="Calibri" w:hAnsi="Calibri" w:cs="Calibri"/>
                <w:color w:val="000000"/>
                <w:sz w:val="18"/>
                <w:szCs w:val="18"/>
              </w:rPr>
              <w:t>Injection containing enoxaparin sodium 120</w:t>
            </w:r>
            <w:r w:rsidR="00066174">
              <w:rPr>
                <w:rFonts w:ascii="Calibri" w:hAnsi="Calibri" w:cs="Calibri"/>
                <w:color w:val="000000"/>
                <w:sz w:val="18"/>
                <w:szCs w:val="18"/>
              </w:rPr>
              <w:t xml:space="preserve"> </w:t>
            </w:r>
            <w:r w:rsidRPr="00C27073">
              <w:rPr>
                <w:rFonts w:ascii="Calibri" w:hAnsi="Calibri" w:cs="Calibri"/>
                <w:color w:val="000000"/>
                <w:sz w:val="18"/>
                <w:szCs w:val="18"/>
              </w:rPr>
              <w:t>mg (12,000 I.U. anti-Xa) in 0.8 mL pre-filled</w:t>
            </w:r>
            <w:r w:rsidR="00066174">
              <w:rPr>
                <w:rFonts w:ascii="Calibri" w:hAnsi="Calibri" w:cs="Calibri"/>
                <w:color w:val="000000"/>
                <w:sz w:val="18"/>
                <w:szCs w:val="18"/>
              </w:rPr>
              <w:t xml:space="preserve"> </w:t>
            </w:r>
            <w:r w:rsidRPr="00C27073">
              <w:rPr>
                <w:rFonts w:ascii="Calibri" w:hAnsi="Calibri" w:cs="Calibri"/>
                <w:color w:val="000000"/>
                <w:sz w:val="18"/>
                <w:szCs w:val="18"/>
              </w:rPr>
              <w:t>syringe</w:t>
            </w:r>
          </w:p>
          <w:p w14:paraId="2C7E2B3B" w14:textId="6386BC30" w:rsidR="00C27073" w:rsidRPr="00C27073" w:rsidRDefault="00C27073" w:rsidP="00066174">
            <w:pPr>
              <w:jc w:val="center"/>
              <w:rPr>
                <w:rFonts w:ascii="Calibri" w:hAnsi="Calibri" w:cs="Calibri"/>
                <w:color w:val="000000"/>
                <w:sz w:val="18"/>
                <w:szCs w:val="18"/>
              </w:rPr>
            </w:pPr>
            <w:r w:rsidRPr="00C27073">
              <w:rPr>
                <w:rFonts w:ascii="Calibri" w:hAnsi="Calibri" w:cs="Calibri"/>
                <w:color w:val="000000"/>
                <w:sz w:val="18"/>
                <w:szCs w:val="18"/>
              </w:rPr>
              <w:t>Injection containing enoxaparin sodium 150</w:t>
            </w:r>
            <w:r w:rsidR="00066174">
              <w:rPr>
                <w:rFonts w:ascii="Calibri" w:hAnsi="Calibri" w:cs="Calibri"/>
                <w:color w:val="000000"/>
                <w:sz w:val="18"/>
                <w:szCs w:val="18"/>
              </w:rPr>
              <w:t xml:space="preserve"> </w:t>
            </w:r>
            <w:r w:rsidRPr="00C27073">
              <w:rPr>
                <w:rFonts w:ascii="Calibri" w:hAnsi="Calibri" w:cs="Calibri"/>
                <w:color w:val="000000"/>
                <w:sz w:val="18"/>
                <w:szCs w:val="18"/>
              </w:rPr>
              <w:t>mg (15,000 I.U. anti-Xa) in 1 mL pre-filled</w:t>
            </w:r>
            <w:r w:rsidR="00066174">
              <w:rPr>
                <w:rFonts w:ascii="Calibri" w:hAnsi="Calibri" w:cs="Calibri"/>
                <w:color w:val="000000"/>
                <w:sz w:val="18"/>
                <w:szCs w:val="18"/>
              </w:rPr>
              <w:t xml:space="preserve"> </w:t>
            </w:r>
            <w:r w:rsidRPr="00C27073">
              <w:rPr>
                <w:rFonts w:ascii="Calibri" w:hAnsi="Calibri" w:cs="Calibri"/>
                <w:color w:val="000000"/>
                <w:sz w:val="18"/>
                <w:szCs w:val="18"/>
              </w:rPr>
              <w:t>syringe</w:t>
            </w:r>
          </w:p>
          <w:p w14:paraId="7F4D36B8" w14:textId="77777777" w:rsidR="00C27073" w:rsidRPr="00C27073" w:rsidRDefault="00C27073" w:rsidP="00C27073">
            <w:pPr>
              <w:jc w:val="center"/>
              <w:rPr>
                <w:rFonts w:ascii="Calibri" w:hAnsi="Calibri" w:cs="Calibri"/>
                <w:color w:val="000000"/>
                <w:sz w:val="18"/>
                <w:szCs w:val="18"/>
              </w:rPr>
            </w:pPr>
            <w:r w:rsidRPr="00C27073">
              <w:rPr>
                <w:rFonts w:ascii="Calibri" w:hAnsi="Calibri" w:cs="Calibri"/>
                <w:color w:val="000000"/>
                <w:sz w:val="18"/>
                <w:szCs w:val="18"/>
              </w:rPr>
              <w:t>Clexane® Safety-Lock</w:t>
            </w:r>
          </w:p>
          <w:p w14:paraId="50392B33" w14:textId="77777777" w:rsidR="00C27073" w:rsidRPr="00C27073" w:rsidRDefault="00C27073" w:rsidP="00C27073">
            <w:pPr>
              <w:jc w:val="center"/>
              <w:rPr>
                <w:rFonts w:ascii="Calibri" w:hAnsi="Calibri" w:cs="Calibri"/>
                <w:color w:val="000000"/>
                <w:sz w:val="18"/>
                <w:szCs w:val="18"/>
              </w:rPr>
            </w:pPr>
            <w:r w:rsidRPr="00C27073">
              <w:rPr>
                <w:rFonts w:ascii="Calibri" w:hAnsi="Calibri" w:cs="Calibri"/>
                <w:color w:val="000000"/>
                <w:sz w:val="18"/>
                <w:szCs w:val="18"/>
              </w:rPr>
              <w:t>Clexane® Forte Safety-Lock</w:t>
            </w:r>
          </w:p>
          <w:p w14:paraId="3C3B3532" w14:textId="77777777" w:rsidR="00C27073" w:rsidRPr="00C27073" w:rsidRDefault="00C27073" w:rsidP="00C27073">
            <w:pPr>
              <w:jc w:val="center"/>
              <w:rPr>
                <w:rFonts w:ascii="Calibri" w:hAnsi="Calibri" w:cs="Calibri"/>
                <w:color w:val="000000"/>
                <w:sz w:val="18"/>
                <w:szCs w:val="18"/>
              </w:rPr>
            </w:pPr>
            <w:r w:rsidRPr="00C27073">
              <w:rPr>
                <w:rFonts w:ascii="Calibri" w:hAnsi="Calibri" w:cs="Calibri"/>
                <w:color w:val="000000"/>
                <w:sz w:val="18"/>
                <w:szCs w:val="18"/>
              </w:rPr>
              <w:t>SANOFI-AVENTIS AUSTRALIA PTY LTD</w:t>
            </w:r>
          </w:p>
          <w:p w14:paraId="467487B2" w14:textId="77777777" w:rsidR="00C27073" w:rsidRPr="00C27073" w:rsidRDefault="00C27073" w:rsidP="00C27073">
            <w:pPr>
              <w:jc w:val="center"/>
              <w:rPr>
                <w:rFonts w:ascii="Calibri" w:hAnsi="Calibri" w:cs="Calibri"/>
                <w:color w:val="000000"/>
                <w:sz w:val="18"/>
                <w:szCs w:val="18"/>
              </w:rPr>
            </w:pPr>
            <w:r w:rsidRPr="00C27073">
              <w:rPr>
                <w:rFonts w:ascii="Calibri" w:hAnsi="Calibri" w:cs="Calibri"/>
                <w:color w:val="000000"/>
                <w:sz w:val="18"/>
                <w:szCs w:val="18"/>
              </w:rPr>
              <w:t>(Other matters)</w:t>
            </w:r>
          </w:p>
          <w:p w14:paraId="6FECA0A4" w14:textId="7F868AE8" w:rsidR="00EA6F96" w:rsidRDefault="00C27073" w:rsidP="00C27073">
            <w:pPr>
              <w:jc w:val="center"/>
              <w:rPr>
                <w:rFonts w:ascii="Calibri" w:hAnsi="Calibri" w:cs="Calibri"/>
                <w:color w:val="000000"/>
                <w:sz w:val="18"/>
                <w:szCs w:val="18"/>
              </w:rPr>
            </w:pPr>
            <w:r w:rsidRPr="00C27073">
              <w:rPr>
                <w:rFonts w:ascii="Calibri" w:hAnsi="Calibri" w:cs="Calibri"/>
                <w:color w:val="000000"/>
                <w:sz w:val="18"/>
                <w:szCs w:val="18"/>
              </w:rPr>
              <w:t>PBS General Schedule</w:t>
            </w:r>
          </w:p>
        </w:tc>
        <w:tc>
          <w:tcPr>
            <w:tcW w:w="19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644DEE" w14:textId="77777777" w:rsidR="00774052" w:rsidRDefault="00774052" w:rsidP="00774052">
            <w:pPr>
              <w:spacing w:after="0"/>
              <w:jc w:val="center"/>
              <w:rPr>
                <w:rFonts w:ascii="Calibri" w:hAnsi="Calibri" w:cs="Calibri"/>
                <w:color w:val="000000"/>
                <w:sz w:val="18"/>
                <w:szCs w:val="18"/>
              </w:rPr>
            </w:pPr>
            <w:r w:rsidRPr="00774052">
              <w:rPr>
                <w:rFonts w:ascii="Calibri" w:hAnsi="Calibri" w:cs="Calibri"/>
                <w:color w:val="000000"/>
                <w:sz w:val="18"/>
                <w:szCs w:val="18"/>
              </w:rPr>
              <w:t>Prevention and treatment of</w:t>
            </w:r>
            <w:r>
              <w:rPr>
                <w:rFonts w:ascii="Calibri" w:hAnsi="Calibri" w:cs="Calibri"/>
                <w:color w:val="000000"/>
                <w:sz w:val="18"/>
                <w:szCs w:val="18"/>
              </w:rPr>
              <w:t xml:space="preserve"> </w:t>
            </w:r>
            <w:r w:rsidRPr="00774052">
              <w:rPr>
                <w:rFonts w:ascii="Calibri" w:hAnsi="Calibri" w:cs="Calibri"/>
                <w:color w:val="000000"/>
                <w:sz w:val="18"/>
                <w:szCs w:val="18"/>
              </w:rPr>
              <w:t>thrombo-embolic disorders</w:t>
            </w:r>
          </w:p>
          <w:p w14:paraId="63DBAE89" w14:textId="3A33E1A5" w:rsidR="00EA6F96" w:rsidRDefault="00774052" w:rsidP="00774052">
            <w:pPr>
              <w:jc w:val="center"/>
              <w:rPr>
                <w:rFonts w:ascii="Calibri" w:hAnsi="Calibri" w:cs="Calibri"/>
                <w:color w:val="000000"/>
                <w:sz w:val="18"/>
                <w:szCs w:val="18"/>
              </w:rPr>
            </w:pPr>
            <w:r w:rsidRPr="00774052">
              <w:rPr>
                <w:rFonts w:ascii="Calibri" w:hAnsi="Calibri" w:cs="Calibri"/>
                <w:color w:val="000000"/>
                <w:sz w:val="18"/>
                <w:szCs w:val="18"/>
              </w:rPr>
              <w:t>Haemodialysis</w:t>
            </w:r>
          </w:p>
        </w:tc>
        <w:tc>
          <w:tcPr>
            <w:tcW w:w="23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bottom w:w="28" w:type="dxa"/>
            </w:tcMar>
            <w:vAlign w:val="center"/>
          </w:tcPr>
          <w:p w14:paraId="7C6A33DC" w14:textId="4281A7C7" w:rsidR="00D362C3" w:rsidRPr="00D362C3" w:rsidRDefault="00D362C3" w:rsidP="00D362C3">
            <w:pPr>
              <w:jc w:val="center"/>
              <w:rPr>
                <w:rFonts w:ascii="Calibri" w:hAnsi="Calibri" w:cs="Calibri"/>
                <w:color w:val="000000"/>
                <w:sz w:val="18"/>
                <w:szCs w:val="18"/>
              </w:rPr>
            </w:pPr>
            <w:r w:rsidRPr="00D362C3">
              <w:rPr>
                <w:rFonts w:ascii="Calibri" w:hAnsi="Calibri" w:cs="Calibri"/>
                <w:color w:val="000000"/>
                <w:sz w:val="18"/>
                <w:szCs w:val="18"/>
              </w:rPr>
              <w:t>To request listing of Clexane with a new safety system, consistent with the</w:t>
            </w:r>
            <w:r>
              <w:rPr>
                <w:rFonts w:ascii="Calibri" w:hAnsi="Calibri" w:cs="Calibri"/>
                <w:color w:val="000000"/>
                <w:sz w:val="18"/>
                <w:szCs w:val="18"/>
              </w:rPr>
              <w:t xml:space="preserve"> </w:t>
            </w:r>
            <w:r w:rsidRPr="00D362C3">
              <w:rPr>
                <w:rFonts w:ascii="Calibri" w:hAnsi="Calibri" w:cs="Calibri"/>
                <w:color w:val="000000"/>
                <w:sz w:val="18"/>
                <w:szCs w:val="18"/>
              </w:rPr>
              <w:t>existing PBS listings for Clexane Safety-Lock and Clexane Forte Safety-Lock.</w:t>
            </w:r>
          </w:p>
          <w:p w14:paraId="7DC39A74" w14:textId="115488B8" w:rsidR="00EA6F96" w:rsidRDefault="00D362C3" w:rsidP="00D362C3">
            <w:pPr>
              <w:jc w:val="center"/>
              <w:rPr>
                <w:rFonts w:ascii="Calibri" w:hAnsi="Calibri" w:cs="Calibri"/>
                <w:color w:val="000000"/>
                <w:sz w:val="18"/>
                <w:szCs w:val="18"/>
              </w:rPr>
            </w:pPr>
            <w:r w:rsidRPr="00D362C3">
              <w:rPr>
                <w:rFonts w:ascii="Calibri" w:hAnsi="Calibri" w:cs="Calibri"/>
                <w:color w:val="000000"/>
                <w:sz w:val="18"/>
                <w:szCs w:val="18"/>
              </w:rPr>
              <w:t>Restricted Benefit</w:t>
            </w:r>
          </w:p>
        </w:tc>
        <w:tc>
          <w:tcPr>
            <w:tcW w:w="1415" w:type="dxa"/>
            <w:shd w:val="clear" w:color="auto" w:fill="D9D9D9" w:themeFill="background1" w:themeFillShade="D9"/>
            <w:vAlign w:val="center"/>
          </w:tcPr>
          <w:p w14:paraId="5409486E" w14:textId="7468F962" w:rsidR="00EA6F96" w:rsidRDefault="00D362C3" w:rsidP="00D428AC">
            <w:pPr>
              <w:ind w:left="11"/>
              <w:contextualSpacing/>
              <w:jc w:val="center"/>
              <w:rPr>
                <w:rFonts w:ascii="Calibri" w:hAnsi="Calibri" w:cs="Calibri"/>
                <w:color w:val="000000"/>
                <w:sz w:val="18"/>
                <w:szCs w:val="18"/>
              </w:rPr>
            </w:pPr>
            <w:r>
              <w:rPr>
                <w:rFonts w:ascii="Calibri" w:hAnsi="Calibri" w:cs="Calibri"/>
                <w:color w:val="000000"/>
                <w:sz w:val="18"/>
                <w:szCs w:val="18"/>
              </w:rPr>
              <w:t>Not applicable</w:t>
            </w:r>
          </w:p>
        </w:tc>
        <w:tc>
          <w:tcPr>
            <w:tcW w:w="4729" w:type="dxa"/>
            <w:shd w:val="clear" w:color="auto" w:fill="D9D9D9" w:themeFill="background1" w:themeFillShade="D9"/>
            <w:vAlign w:val="center"/>
          </w:tcPr>
          <w:p w14:paraId="032C7A35" w14:textId="09794DE9" w:rsidR="00EA6F96" w:rsidRDefault="00D362C3" w:rsidP="00D428AC">
            <w:pPr>
              <w:ind w:left="11"/>
              <w:contextualSpacing/>
              <w:rPr>
                <w:rFonts w:ascii="Calibri" w:hAnsi="Calibri" w:cs="Calibri"/>
                <w:color w:val="000000"/>
                <w:sz w:val="18"/>
                <w:szCs w:val="18"/>
              </w:rPr>
            </w:pPr>
            <w:r>
              <w:rPr>
                <w:rFonts w:ascii="Calibri" w:hAnsi="Calibri" w:cs="Calibri"/>
                <w:color w:val="000000"/>
                <w:sz w:val="18"/>
                <w:szCs w:val="18"/>
              </w:rPr>
              <w:t>This item was withdrawn.</w:t>
            </w:r>
          </w:p>
        </w:tc>
      </w:tr>
      <w:tr w:rsidR="00C312E5" w:rsidRPr="00544E10" w14:paraId="338D1A5E" w14:textId="77777777" w:rsidTr="003921D1">
        <w:trPr>
          <w:cantSplit/>
          <w:trHeight w:val="868"/>
        </w:trPr>
        <w:tc>
          <w:tcPr>
            <w:tcW w:w="294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5B45192" w14:textId="52031BA8" w:rsidR="000246AB" w:rsidRPr="005F21D6" w:rsidRDefault="000246AB" w:rsidP="000246AB">
            <w:pPr>
              <w:jc w:val="center"/>
              <w:rPr>
                <w:rFonts w:asciiTheme="minorHAnsi" w:hAnsiTheme="minorHAnsi" w:cstheme="minorHAnsi"/>
                <w:color w:val="000000"/>
                <w:szCs w:val="20"/>
              </w:rPr>
            </w:pPr>
            <w:r>
              <w:rPr>
                <w:rFonts w:ascii="Calibri" w:hAnsi="Calibri" w:cs="Calibri"/>
                <w:color w:val="000000"/>
                <w:sz w:val="18"/>
                <w:szCs w:val="18"/>
              </w:rPr>
              <w:t>ENZALUTAMIDE</w:t>
            </w:r>
            <w:r>
              <w:rPr>
                <w:rFonts w:ascii="Calibri" w:hAnsi="Calibri" w:cs="Calibri"/>
                <w:color w:val="000000"/>
                <w:sz w:val="18"/>
                <w:szCs w:val="18"/>
              </w:rPr>
              <w:br/>
            </w:r>
            <w:r>
              <w:rPr>
                <w:rFonts w:ascii="Calibri" w:hAnsi="Calibri" w:cs="Calibri"/>
                <w:color w:val="000000"/>
                <w:sz w:val="18"/>
                <w:szCs w:val="18"/>
              </w:rPr>
              <w:br/>
              <w:t xml:space="preserve">Capsule 40 mg </w:t>
            </w:r>
            <w:r>
              <w:rPr>
                <w:rFonts w:ascii="Calibri" w:hAnsi="Calibri" w:cs="Calibri"/>
                <w:color w:val="000000"/>
                <w:sz w:val="18"/>
                <w:szCs w:val="18"/>
              </w:rPr>
              <w:br/>
            </w:r>
            <w:r>
              <w:rPr>
                <w:rFonts w:ascii="Calibri" w:hAnsi="Calibri" w:cs="Calibri"/>
                <w:color w:val="000000"/>
                <w:sz w:val="18"/>
                <w:szCs w:val="18"/>
              </w:rPr>
              <w:br/>
              <w:t>Xtandi®</w:t>
            </w:r>
            <w:r>
              <w:rPr>
                <w:rFonts w:ascii="Calibri" w:hAnsi="Calibri" w:cs="Calibri"/>
                <w:color w:val="000000"/>
                <w:sz w:val="18"/>
                <w:szCs w:val="18"/>
              </w:rPr>
              <w:br/>
            </w:r>
            <w:r>
              <w:rPr>
                <w:rFonts w:ascii="Calibri" w:hAnsi="Calibri" w:cs="Calibri"/>
                <w:color w:val="000000"/>
                <w:sz w:val="18"/>
                <w:szCs w:val="18"/>
              </w:rPr>
              <w:br/>
              <w:t>ASTELLAS PHARMA AUSTRALIA PTY LTD</w:t>
            </w:r>
            <w:r>
              <w:rPr>
                <w:rFonts w:ascii="Calibri" w:hAnsi="Calibri" w:cs="Calibri"/>
                <w:color w:val="000000"/>
                <w:sz w:val="18"/>
                <w:szCs w:val="18"/>
              </w:rPr>
              <w:br/>
            </w:r>
            <w:r>
              <w:rPr>
                <w:rFonts w:ascii="Calibri" w:hAnsi="Calibri" w:cs="Calibri"/>
                <w:color w:val="000000"/>
                <w:sz w:val="18"/>
                <w:szCs w:val="18"/>
              </w:rPr>
              <w:br/>
              <w:t>Standard re-entry</w:t>
            </w:r>
            <w:r>
              <w:rPr>
                <w:rFonts w:ascii="Calibri" w:hAnsi="Calibri" w:cs="Calibri"/>
                <w:color w:val="000000"/>
                <w:sz w:val="18"/>
                <w:szCs w:val="18"/>
              </w:rPr>
              <w:br/>
              <w:t xml:space="preserve">(Change to existing </w:t>
            </w:r>
            <w:r w:rsidR="00957109">
              <w:rPr>
                <w:rFonts w:ascii="Calibri" w:hAnsi="Calibri" w:cs="Calibri"/>
                <w:color w:val="000000"/>
                <w:sz w:val="18"/>
                <w:szCs w:val="18"/>
              </w:rPr>
              <w:t>listing)</w:t>
            </w:r>
            <w:r>
              <w:rPr>
                <w:rFonts w:ascii="Calibri" w:hAnsi="Calibri" w:cs="Calibri"/>
                <w:color w:val="000000"/>
                <w:sz w:val="18"/>
                <w:szCs w:val="18"/>
              </w:rPr>
              <w:br/>
            </w:r>
            <w:r>
              <w:rPr>
                <w:rFonts w:ascii="Calibri" w:hAnsi="Calibri" w:cs="Calibri"/>
                <w:color w:val="000000"/>
                <w:sz w:val="18"/>
                <w:szCs w:val="18"/>
              </w:rPr>
              <w:br/>
              <w:t>PBS General Schedule</w:t>
            </w:r>
          </w:p>
        </w:tc>
        <w:tc>
          <w:tcPr>
            <w:tcW w:w="1983" w:type="dxa"/>
            <w:tcBorders>
              <w:top w:val="single" w:sz="4" w:space="0" w:color="auto"/>
              <w:left w:val="single" w:sz="4" w:space="0" w:color="auto"/>
              <w:bottom w:val="single" w:sz="4" w:space="0" w:color="auto"/>
              <w:right w:val="single" w:sz="4" w:space="0" w:color="auto"/>
            </w:tcBorders>
            <w:vAlign w:val="center"/>
          </w:tcPr>
          <w:p w14:paraId="11AA1706" w14:textId="075F13A0" w:rsidR="000246AB" w:rsidRPr="005F21D6" w:rsidRDefault="000246AB" w:rsidP="000246AB">
            <w:pPr>
              <w:jc w:val="center"/>
              <w:rPr>
                <w:rFonts w:asciiTheme="minorHAnsi" w:hAnsiTheme="minorHAnsi" w:cstheme="minorHAnsi"/>
                <w:color w:val="000000"/>
                <w:sz w:val="18"/>
                <w:szCs w:val="18"/>
              </w:rPr>
            </w:pPr>
            <w:r>
              <w:rPr>
                <w:rFonts w:ascii="Calibri" w:hAnsi="Calibri" w:cs="Calibri"/>
                <w:color w:val="000000"/>
                <w:sz w:val="18"/>
                <w:szCs w:val="18"/>
              </w:rPr>
              <w:t>Non-metastatic hormone sensitive prostate cancer (</w:t>
            </w:r>
            <w:proofErr w:type="spellStart"/>
            <w:r>
              <w:rPr>
                <w:rFonts w:ascii="Calibri" w:hAnsi="Calibri" w:cs="Calibri"/>
                <w:color w:val="000000"/>
                <w:sz w:val="18"/>
                <w:szCs w:val="18"/>
              </w:rPr>
              <w:t>nmHSPC</w:t>
            </w:r>
            <w:proofErr w:type="spellEnd"/>
            <w:r>
              <w:rPr>
                <w:rFonts w:ascii="Calibri" w:hAnsi="Calibri" w:cs="Calibri"/>
                <w:color w:val="000000"/>
                <w:sz w:val="18"/>
                <w:szCs w:val="18"/>
              </w:rPr>
              <w:t>)</w:t>
            </w:r>
          </w:p>
        </w:tc>
        <w:tc>
          <w:tcPr>
            <w:tcW w:w="238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541F182" w14:textId="6580A0D0" w:rsidR="000246AB" w:rsidRPr="005F21D6" w:rsidRDefault="000246AB" w:rsidP="000246AB">
            <w:pPr>
              <w:jc w:val="center"/>
              <w:rPr>
                <w:rFonts w:asciiTheme="minorHAnsi" w:hAnsiTheme="minorHAnsi" w:cstheme="minorHAnsi"/>
                <w:color w:val="000000"/>
                <w:sz w:val="18"/>
                <w:szCs w:val="18"/>
              </w:rPr>
            </w:pPr>
            <w:r>
              <w:rPr>
                <w:rFonts w:ascii="Calibri" w:hAnsi="Calibri" w:cs="Calibri"/>
                <w:color w:val="000000"/>
                <w:sz w:val="18"/>
                <w:szCs w:val="18"/>
              </w:rPr>
              <w:t xml:space="preserve">Resubmission to request listing of enzalutamide for use with concurrent androgen deprivation therapy in patients with </w:t>
            </w:r>
            <w:proofErr w:type="spellStart"/>
            <w:r>
              <w:rPr>
                <w:rFonts w:ascii="Calibri" w:hAnsi="Calibri" w:cs="Calibri"/>
                <w:color w:val="000000"/>
                <w:sz w:val="18"/>
                <w:szCs w:val="18"/>
              </w:rPr>
              <w:t>nmHSPC</w:t>
            </w:r>
            <w:proofErr w:type="spellEnd"/>
            <w:r>
              <w:rPr>
                <w:rFonts w:ascii="Calibri" w:hAnsi="Calibri" w:cs="Calibri"/>
                <w:color w:val="000000"/>
                <w:sz w:val="18"/>
                <w:szCs w:val="18"/>
              </w:rPr>
              <w:t xml:space="preserve"> with biochemical recurrence at high-risk for metastasis. </w:t>
            </w:r>
            <w:r>
              <w:rPr>
                <w:rFonts w:ascii="Calibri" w:hAnsi="Calibri" w:cs="Calibri"/>
                <w:color w:val="000000"/>
                <w:sz w:val="18"/>
                <w:szCs w:val="18"/>
              </w:rPr>
              <w:br/>
            </w:r>
            <w:r>
              <w:rPr>
                <w:rFonts w:ascii="Calibri" w:hAnsi="Calibri" w:cs="Calibri"/>
                <w:color w:val="000000"/>
                <w:sz w:val="18"/>
                <w:szCs w:val="18"/>
              </w:rPr>
              <w:br/>
              <w:t>Authority Required (Telephone/Online)</w:t>
            </w:r>
          </w:p>
        </w:tc>
        <w:tc>
          <w:tcPr>
            <w:tcW w:w="1415" w:type="dxa"/>
            <w:vAlign w:val="center"/>
          </w:tcPr>
          <w:p w14:paraId="0DDAE823" w14:textId="12A6348A" w:rsidR="000246AB" w:rsidRPr="00544E10" w:rsidRDefault="000246AB" w:rsidP="00D428AC">
            <w:pPr>
              <w:ind w:left="11"/>
              <w:contextualSpacing/>
              <w:jc w:val="center"/>
              <w:rPr>
                <w:rFonts w:asciiTheme="minorHAnsi" w:hAnsiTheme="minorHAnsi" w:cstheme="minorHAnsi"/>
                <w:color w:val="000000" w:themeColor="text1"/>
                <w:sz w:val="18"/>
                <w:szCs w:val="18"/>
              </w:rPr>
            </w:pPr>
            <w:r>
              <w:rPr>
                <w:rFonts w:ascii="Calibri" w:hAnsi="Calibri" w:cs="Calibri"/>
                <w:color w:val="000000"/>
                <w:sz w:val="18"/>
                <w:szCs w:val="18"/>
              </w:rPr>
              <w:t>Recommended</w:t>
            </w:r>
          </w:p>
        </w:tc>
        <w:tc>
          <w:tcPr>
            <w:tcW w:w="4729" w:type="dxa"/>
            <w:vAlign w:val="center"/>
          </w:tcPr>
          <w:p w14:paraId="22084D60" w14:textId="0D3A57F8" w:rsidR="000246AB" w:rsidRPr="00544E10" w:rsidRDefault="000246AB" w:rsidP="00D428AC">
            <w:pPr>
              <w:ind w:left="11"/>
              <w:contextualSpacing/>
              <w:rPr>
                <w:rFonts w:asciiTheme="minorHAnsi" w:hAnsiTheme="minorHAnsi" w:cstheme="minorHAnsi"/>
                <w:color w:val="000000" w:themeColor="text1"/>
                <w:sz w:val="18"/>
                <w:szCs w:val="18"/>
              </w:rPr>
            </w:pPr>
            <w:r>
              <w:rPr>
                <w:rFonts w:ascii="Calibri" w:hAnsi="Calibri" w:cs="Calibri"/>
                <w:color w:val="000000"/>
                <w:sz w:val="18"/>
                <w:szCs w:val="18"/>
              </w:rPr>
              <w:t>The PBAC recommended the listing of enzalutamide (Xtandi®), for use in combination with androgen deprivation therapy (ADT), for the treatment of patients who have non-metastatic hormone sensitive prostate cancer (m0HSPC) with high-risk biochemical recurrence (BCR). Patients with high-risk biochemical recurrence have a rapid increase in prostate-specific antigen following initial treatment indicating a greater risk of metastases and death from prostate cancer. The PBAC considered that for patients with m0HSPC enzalutamide plus ADT resulted in improved survival compared to the current treatment of ADT alone. The PBAC considered that the resubmission had largely addressed the key concerns it raised in relation to the previous November 2024 submission and accepted that enzalutamide was cost-effective at the price proposed in the resubmission. However, the PBAC considered that there remained some uncertainty in the estimated number of patients that would use enzalutamide. The PBAC advised that enzalutamide for the treatment of m0HSPC should join the current arrangement in place to manage financial risk of PBS-listed treatments for metastatic hormone sensitive prostate cancer (</w:t>
            </w:r>
            <w:proofErr w:type="spellStart"/>
            <w:r>
              <w:rPr>
                <w:rFonts w:ascii="Calibri" w:hAnsi="Calibri" w:cs="Calibri"/>
                <w:color w:val="000000"/>
                <w:sz w:val="18"/>
                <w:szCs w:val="18"/>
              </w:rPr>
              <w:t>mHSPC</w:t>
            </w:r>
            <w:proofErr w:type="spellEnd"/>
            <w:r>
              <w:rPr>
                <w:rFonts w:ascii="Calibri" w:hAnsi="Calibri" w:cs="Calibri"/>
                <w:color w:val="000000"/>
                <w:sz w:val="18"/>
                <w:szCs w:val="18"/>
              </w:rPr>
              <w:t>) risk sharing arrangement (RSA) with an increase to the expenditure limits.</w:t>
            </w:r>
          </w:p>
        </w:tc>
      </w:tr>
      <w:tr w:rsidR="00C312E5" w:rsidRPr="00544E10" w14:paraId="1E0568A2" w14:textId="77777777" w:rsidTr="003921D1">
        <w:trPr>
          <w:cantSplit/>
          <w:trHeight w:val="868"/>
        </w:trPr>
        <w:tc>
          <w:tcPr>
            <w:tcW w:w="294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7394E5B" w14:textId="722FFC53" w:rsidR="000246AB" w:rsidRPr="005F21D6" w:rsidRDefault="000246AB" w:rsidP="000246AB">
            <w:pPr>
              <w:jc w:val="center"/>
              <w:rPr>
                <w:rFonts w:asciiTheme="minorHAnsi" w:hAnsiTheme="minorHAnsi" w:cstheme="minorHAnsi"/>
                <w:color w:val="000000"/>
                <w:szCs w:val="20"/>
              </w:rPr>
            </w:pPr>
            <w:r>
              <w:rPr>
                <w:rFonts w:ascii="Calibri" w:hAnsi="Calibri" w:cs="Calibri"/>
                <w:color w:val="000000"/>
                <w:sz w:val="18"/>
                <w:szCs w:val="18"/>
              </w:rPr>
              <w:t>GLYCOMACROPEPTIDE FORMULA WITH DOCOSAHEXAENOIC ACID AND LOW PHENYLALANINE</w:t>
            </w:r>
            <w:r>
              <w:rPr>
                <w:rFonts w:ascii="Calibri" w:hAnsi="Calibri" w:cs="Calibri"/>
                <w:color w:val="000000"/>
                <w:sz w:val="18"/>
                <w:szCs w:val="18"/>
              </w:rPr>
              <w:br/>
            </w:r>
            <w:r>
              <w:rPr>
                <w:rFonts w:ascii="Calibri" w:hAnsi="Calibri" w:cs="Calibri"/>
                <w:color w:val="000000"/>
                <w:sz w:val="18"/>
                <w:szCs w:val="18"/>
              </w:rPr>
              <w:br/>
              <w:t xml:space="preserve">Sachets containing oral powder 40 g, 30 (PKU </w:t>
            </w:r>
            <w:proofErr w:type="spellStart"/>
            <w:r>
              <w:rPr>
                <w:rFonts w:ascii="Calibri" w:hAnsi="Calibri" w:cs="Calibri"/>
                <w:color w:val="000000"/>
                <w:sz w:val="18"/>
                <w:szCs w:val="18"/>
              </w:rPr>
              <w:t>GMPro</w:t>
            </w:r>
            <w:proofErr w:type="spellEnd"/>
            <w:r>
              <w:rPr>
                <w:rFonts w:ascii="Calibri" w:hAnsi="Calibri" w:cs="Calibri"/>
                <w:color w:val="000000"/>
                <w:sz w:val="18"/>
                <w:szCs w:val="18"/>
              </w:rPr>
              <w:t xml:space="preserve"> Delight)</w:t>
            </w:r>
            <w:r>
              <w:rPr>
                <w:rFonts w:ascii="Calibri" w:hAnsi="Calibri" w:cs="Calibri"/>
                <w:color w:val="000000"/>
                <w:sz w:val="18"/>
                <w:szCs w:val="18"/>
              </w:rPr>
              <w:br/>
            </w:r>
            <w:r>
              <w:rPr>
                <w:rFonts w:ascii="Calibri" w:hAnsi="Calibri" w:cs="Calibri"/>
                <w:color w:val="000000"/>
                <w:sz w:val="18"/>
                <w:szCs w:val="18"/>
              </w:rPr>
              <w:br/>
              <w:t xml:space="preserve">PKU </w:t>
            </w:r>
            <w:proofErr w:type="spellStart"/>
            <w:r>
              <w:rPr>
                <w:rFonts w:ascii="Calibri" w:hAnsi="Calibri" w:cs="Calibri"/>
                <w:color w:val="000000"/>
                <w:sz w:val="18"/>
                <w:szCs w:val="18"/>
              </w:rPr>
              <w:t>GMPro</w:t>
            </w:r>
            <w:proofErr w:type="spellEnd"/>
            <w:r>
              <w:rPr>
                <w:rFonts w:ascii="Calibri" w:hAnsi="Calibri" w:cs="Calibri"/>
                <w:color w:val="000000"/>
                <w:sz w:val="18"/>
                <w:szCs w:val="18"/>
              </w:rPr>
              <w:t>® Delight</w:t>
            </w:r>
            <w:r>
              <w:rPr>
                <w:rFonts w:ascii="Calibri" w:hAnsi="Calibri" w:cs="Calibri"/>
                <w:color w:val="000000"/>
                <w:sz w:val="18"/>
                <w:szCs w:val="18"/>
              </w:rPr>
              <w:br/>
            </w:r>
            <w:r>
              <w:rPr>
                <w:rFonts w:ascii="Calibri" w:hAnsi="Calibri" w:cs="Calibri"/>
                <w:color w:val="000000"/>
                <w:sz w:val="18"/>
                <w:szCs w:val="18"/>
              </w:rPr>
              <w:br/>
              <w:t>NUTRICIA AUSTRALIA PTY LIMITED</w:t>
            </w:r>
            <w:r>
              <w:rPr>
                <w:rFonts w:ascii="Calibri" w:hAnsi="Calibri" w:cs="Calibri"/>
                <w:color w:val="000000"/>
                <w:sz w:val="18"/>
                <w:szCs w:val="18"/>
              </w:rPr>
              <w:br/>
            </w:r>
            <w:r>
              <w:rPr>
                <w:rFonts w:ascii="Calibri" w:hAnsi="Calibri" w:cs="Calibri"/>
                <w:color w:val="000000"/>
                <w:sz w:val="18"/>
                <w:szCs w:val="18"/>
              </w:rPr>
              <w:br/>
              <w:t>Category 3</w:t>
            </w:r>
            <w:r>
              <w:rPr>
                <w:rFonts w:ascii="Calibri" w:hAnsi="Calibri" w:cs="Calibri"/>
                <w:color w:val="000000"/>
                <w:sz w:val="18"/>
                <w:szCs w:val="18"/>
              </w:rPr>
              <w:br/>
              <w:t xml:space="preserve">(New PBS </w:t>
            </w:r>
            <w:r w:rsidR="00957109">
              <w:rPr>
                <w:rFonts w:ascii="Calibri" w:hAnsi="Calibri" w:cs="Calibri"/>
                <w:color w:val="000000"/>
                <w:sz w:val="18"/>
                <w:szCs w:val="18"/>
              </w:rPr>
              <w:t>listing)</w:t>
            </w:r>
            <w:r>
              <w:rPr>
                <w:rFonts w:ascii="Calibri" w:hAnsi="Calibri" w:cs="Calibri"/>
                <w:color w:val="000000"/>
                <w:sz w:val="18"/>
                <w:szCs w:val="18"/>
              </w:rPr>
              <w:br/>
            </w:r>
            <w:r>
              <w:rPr>
                <w:rFonts w:ascii="Calibri" w:hAnsi="Calibri" w:cs="Calibri"/>
                <w:color w:val="000000"/>
                <w:sz w:val="18"/>
                <w:szCs w:val="18"/>
              </w:rPr>
              <w:br/>
              <w:t>PBS General Schedule</w:t>
            </w:r>
          </w:p>
        </w:tc>
        <w:tc>
          <w:tcPr>
            <w:tcW w:w="1983" w:type="dxa"/>
            <w:tcBorders>
              <w:top w:val="single" w:sz="4" w:space="0" w:color="auto"/>
              <w:left w:val="single" w:sz="4" w:space="0" w:color="auto"/>
              <w:bottom w:val="single" w:sz="4" w:space="0" w:color="auto"/>
              <w:right w:val="single" w:sz="4" w:space="0" w:color="auto"/>
            </w:tcBorders>
            <w:vAlign w:val="center"/>
          </w:tcPr>
          <w:p w14:paraId="7C7FDA76" w14:textId="42C0B792" w:rsidR="000246AB" w:rsidRPr="005F21D6" w:rsidRDefault="000246AB" w:rsidP="000246AB">
            <w:pPr>
              <w:jc w:val="center"/>
              <w:rPr>
                <w:rFonts w:asciiTheme="minorHAnsi" w:hAnsiTheme="minorHAnsi" w:cstheme="minorHAnsi"/>
                <w:color w:val="000000"/>
                <w:sz w:val="18"/>
                <w:szCs w:val="18"/>
              </w:rPr>
            </w:pPr>
            <w:r>
              <w:rPr>
                <w:rFonts w:ascii="Calibri" w:hAnsi="Calibri" w:cs="Calibri"/>
                <w:color w:val="000000"/>
                <w:sz w:val="18"/>
                <w:szCs w:val="18"/>
              </w:rPr>
              <w:t>Phenylketonuria (PKU)</w:t>
            </w:r>
          </w:p>
        </w:tc>
        <w:tc>
          <w:tcPr>
            <w:tcW w:w="238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FECE62A" w14:textId="764F3952" w:rsidR="000246AB" w:rsidRPr="005F21D6" w:rsidRDefault="000246AB" w:rsidP="000246AB">
            <w:pPr>
              <w:jc w:val="center"/>
              <w:rPr>
                <w:rFonts w:asciiTheme="minorHAnsi" w:hAnsiTheme="minorHAnsi" w:cstheme="minorHAnsi"/>
                <w:color w:val="000000"/>
                <w:sz w:val="18"/>
                <w:szCs w:val="18"/>
              </w:rPr>
            </w:pPr>
            <w:r>
              <w:rPr>
                <w:rFonts w:ascii="Calibri" w:hAnsi="Calibri" w:cs="Calibri"/>
                <w:color w:val="000000"/>
                <w:sz w:val="18"/>
                <w:szCs w:val="18"/>
              </w:rPr>
              <w:t xml:space="preserve">To request listing of PKU </w:t>
            </w:r>
            <w:proofErr w:type="spellStart"/>
            <w:r>
              <w:rPr>
                <w:rFonts w:ascii="Calibri" w:hAnsi="Calibri" w:cs="Calibri"/>
                <w:color w:val="000000"/>
                <w:sz w:val="18"/>
                <w:szCs w:val="18"/>
              </w:rPr>
              <w:t>GMPro</w:t>
            </w:r>
            <w:proofErr w:type="spellEnd"/>
            <w:r>
              <w:rPr>
                <w:rFonts w:ascii="Calibri" w:hAnsi="Calibri" w:cs="Calibri"/>
                <w:color w:val="000000"/>
                <w:sz w:val="18"/>
                <w:szCs w:val="18"/>
              </w:rPr>
              <w:t xml:space="preserve"> Delight for the dietary management of PKU in children (from 3 years of age) and adults.</w:t>
            </w:r>
            <w:r>
              <w:rPr>
                <w:rFonts w:ascii="Calibri" w:hAnsi="Calibri" w:cs="Calibri"/>
                <w:color w:val="000000"/>
                <w:sz w:val="18"/>
                <w:szCs w:val="18"/>
              </w:rPr>
              <w:br/>
            </w:r>
            <w:r>
              <w:rPr>
                <w:rFonts w:ascii="Calibri" w:hAnsi="Calibri" w:cs="Calibri"/>
                <w:color w:val="000000"/>
                <w:sz w:val="18"/>
                <w:szCs w:val="18"/>
              </w:rPr>
              <w:br/>
              <w:t>Restricted Benefit</w:t>
            </w:r>
          </w:p>
        </w:tc>
        <w:tc>
          <w:tcPr>
            <w:tcW w:w="1415" w:type="dxa"/>
            <w:vAlign w:val="center"/>
          </w:tcPr>
          <w:p w14:paraId="4E46B87E" w14:textId="58570476" w:rsidR="000246AB" w:rsidRPr="00544E10" w:rsidRDefault="000246AB" w:rsidP="00D428AC">
            <w:pPr>
              <w:ind w:left="11"/>
              <w:contextualSpacing/>
              <w:jc w:val="center"/>
              <w:rPr>
                <w:rFonts w:asciiTheme="minorHAnsi" w:hAnsiTheme="minorHAnsi" w:cstheme="minorHAnsi"/>
                <w:color w:val="000000" w:themeColor="text1"/>
                <w:sz w:val="18"/>
                <w:szCs w:val="18"/>
              </w:rPr>
            </w:pPr>
            <w:r>
              <w:rPr>
                <w:rFonts w:ascii="Calibri" w:hAnsi="Calibri" w:cs="Calibri"/>
                <w:color w:val="000000"/>
                <w:sz w:val="18"/>
                <w:szCs w:val="18"/>
              </w:rPr>
              <w:t>Recommended</w:t>
            </w:r>
          </w:p>
        </w:tc>
        <w:tc>
          <w:tcPr>
            <w:tcW w:w="4729" w:type="dxa"/>
            <w:vAlign w:val="center"/>
          </w:tcPr>
          <w:p w14:paraId="0A208E72" w14:textId="1D52FE82" w:rsidR="000246AB" w:rsidRPr="00544E10" w:rsidRDefault="000246AB" w:rsidP="00D428AC">
            <w:pPr>
              <w:ind w:left="11"/>
              <w:contextualSpacing/>
              <w:rPr>
                <w:rFonts w:asciiTheme="minorHAnsi" w:hAnsiTheme="minorHAnsi" w:cstheme="minorHAnsi"/>
                <w:color w:val="000000" w:themeColor="text1"/>
                <w:sz w:val="18"/>
                <w:szCs w:val="18"/>
              </w:rPr>
            </w:pPr>
            <w:r>
              <w:rPr>
                <w:rFonts w:ascii="Calibri" w:hAnsi="Calibri" w:cs="Calibri"/>
                <w:color w:val="000000"/>
                <w:sz w:val="18"/>
                <w:szCs w:val="18"/>
              </w:rPr>
              <w:t xml:space="preserve">The PBAC recommended listing </w:t>
            </w:r>
            <w:proofErr w:type="spellStart"/>
            <w:r>
              <w:rPr>
                <w:rFonts w:ascii="Calibri" w:hAnsi="Calibri" w:cs="Calibri"/>
                <w:color w:val="000000"/>
                <w:sz w:val="18"/>
                <w:szCs w:val="18"/>
              </w:rPr>
              <w:t>glycomacropeptide</w:t>
            </w:r>
            <w:proofErr w:type="spellEnd"/>
            <w:r>
              <w:rPr>
                <w:rFonts w:ascii="Calibri" w:hAnsi="Calibri" w:cs="Calibri"/>
                <w:color w:val="000000"/>
                <w:sz w:val="18"/>
                <w:szCs w:val="18"/>
              </w:rPr>
              <w:t xml:space="preserve"> formula with long chain polyunsaturated fatty acids docosahexaenoic acid and low in phenylalanine (PKU </w:t>
            </w:r>
            <w:proofErr w:type="spellStart"/>
            <w:r>
              <w:rPr>
                <w:rFonts w:ascii="Calibri" w:hAnsi="Calibri" w:cs="Calibri"/>
                <w:color w:val="000000"/>
                <w:sz w:val="18"/>
                <w:szCs w:val="18"/>
              </w:rPr>
              <w:t>GMPro</w:t>
            </w:r>
            <w:proofErr w:type="spellEnd"/>
            <w:r>
              <w:rPr>
                <w:rFonts w:ascii="Calibri" w:hAnsi="Calibri" w:cs="Calibri"/>
                <w:color w:val="000000"/>
                <w:sz w:val="18"/>
                <w:szCs w:val="18"/>
              </w:rPr>
              <w:t xml:space="preserve"> Delight®) sachets containing oral powder 40 g for the dietary management of phenylketonuria (PKU) under the same circumstances as </w:t>
            </w:r>
            <w:proofErr w:type="spellStart"/>
            <w:r>
              <w:rPr>
                <w:rFonts w:ascii="Calibri" w:hAnsi="Calibri" w:cs="Calibri"/>
                <w:color w:val="000000"/>
                <w:sz w:val="18"/>
                <w:szCs w:val="18"/>
              </w:rPr>
              <w:t>glycomacropeptide</w:t>
            </w:r>
            <w:proofErr w:type="spellEnd"/>
            <w:r>
              <w:rPr>
                <w:rFonts w:ascii="Calibri" w:hAnsi="Calibri" w:cs="Calibri"/>
                <w:color w:val="000000"/>
                <w:sz w:val="18"/>
                <w:szCs w:val="18"/>
              </w:rPr>
              <w:t xml:space="preserve"> formula with long chain polyunsaturated fatty acids and docosahexaenoic acid and low in phenylalanine (PKU Sphere20®) sachets containing oral powder 35 g for the same indication. The PBAC considered that PKU </w:t>
            </w:r>
            <w:proofErr w:type="spellStart"/>
            <w:r>
              <w:rPr>
                <w:rFonts w:ascii="Calibri" w:hAnsi="Calibri" w:cs="Calibri"/>
                <w:color w:val="000000"/>
                <w:sz w:val="18"/>
                <w:szCs w:val="18"/>
              </w:rPr>
              <w:t>GMPro</w:t>
            </w:r>
            <w:proofErr w:type="spellEnd"/>
            <w:r>
              <w:rPr>
                <w:rFonts w:ascii="Calibri" w:hAnsi="Calibri" w:cs="Calibri"/>
                <w:color w:val="000000"/>
                <w:sz w:val="18"/>
                <w:szCs w:val="18"/>
              </w:rPr>
              <w:t xml:space="preserve"> Delight should be cost-minimised to the comparator accepted by the NPWP (i.e. PKU Sphere20) at an equivalent price per gram of protein equivalent.  </w:t>
            </w:r>
          </w:p>
        </w:tc>
      </w:tr>
      <w:tr w:rsidR="00C312E5" w:rsidRPr="00544E10" w14:paraId="480BF245" w14:textId="77777777" w:rsidTr="003921D1">
        <w:trPr>
          <w:cantSplit/>
          <w:trHeight w:val="868"/>
        </w:trPr>
        <w:tc>
          <w:tcPr>
            <w:tcW w:w="294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699D5E2" w14:textId="77777777" w:rsidR="0074253F" w:rsidRDefault="000246AB" w:rsidP="0074253F">
            <w:pPr>
              <w:spacing w:after="0"/>
              <w:jc w:val="center"/>
              <w:rPr>
                <w:rFonts w:ascii="Calibri" w:hAnsi="Calibri" w:cs="Calibri"/>
                <w:color w:val="000000"/>
                <w:sz w:val="18"/>
                <w:szCs w:val="18"/>
              </w:rPr>
            </w:pPr>
            <w:r>
              <w:rPr>
                <w:rFonts w:ascii="Calibri" w:hAnsi="Calibri" w:cs="Calibri"/>
                <w:color w:val="000000"/>
                <w:sz w:val="18"/>
                <w:szCs w:val="18"/>
              </w:rPr>
              <w:t>INCOBOTULINUMTOXINA</w:t>
            </w:r>
            <w:r>
              <w:rPr>
                <w:rFonts w:ascii="Calibri" w:hAnsi="Calibri" w:cs="Calibri"/>
                <w:color w:val="000000"/>
                <w:sz w:val="18"/>
                <w:szCs w:val="18"/>
              </w:rPr>
              <w:br/>
            </w:r>
            <w:r>
              <w:rPr>
                <w:rFonts w:ascii="Calibri" w:hAnsi="Calibri" w:cs="Calibri"/>
                <w:color w:val="000000"/>
                <w:sz w:val="18"/>
                <w:szCs w:val="18"/>
              </w:rPr>
              <w:br/>
              <w:t>Lyophilised powder for injection 100 units</w:t>
            </w:r>
            <w:r>
              <w:rPr>
                <w:rFonts w:ascii="Calibri" w:hAnsi="Calibri" w:cs="Calibri"/>
                <w:color w:val="000000"/>
                <w:sz w:val="18"/>
                <w:szCs w:val="18"/>
              </w:rPr>
              <w:br/>
            </w:r>
            <w:r>
              <w:rPr>
                <w:rFonts w:ascii="Calibri" w:hAnsi="Calibri" w:cs="Calibri"/>
                <w:color w:val="000000"/>
                <w:sz w:val="18"/>
                <w:szCs w:val="18"/>
              </w:rPr>
              <w:br/>
            </w:r>
            <w:proofErr w:type="spellStart"/>
            <w:r>
              <w:rPr>
                <w:rFonts w:ascii="Calibri" w:hAnsi="Calibri" w:cs="Calibri"/>
                <w:color w:val="000000"/>
                <w:sz w:val="18"/>
                <w:szCs w:val="18"/>
              </w:rPr>
              <w:t>Xeomin</w:t>
            </w:r>
            <w:proofErr w:type="spellEnd"/>
            <w:r>
              <w:rPr>
                <w:rFonts w:ascii="Calibri" w:hAnsi="Calibri" w:cs="Calibri"/>
                <w:color w:val="000000"/>
                <w:sz w:val="18"/>
                <w:szCs w:val="18"/>
              </w:rPr>
              <w:t>®</w:t>
            </w:r>
            <w:r>
              <w:rPr>
                <w:rFonts w:ascii="Calibri" w:hAnsi="Calibri" w:cs="Calibri"/>
                <w:color w:val="000000"/>
                <w:sz w:val="18"/>
                <w:szCs w:val="18"/>
              </w:rPr>
              <w:br/>
            </w:r>
            <w:r>
              <w:rPr>
                <w:rFonts w:ascii="Calibri" w:hAnsi="Calibri" w:cs="Calibri"/>
                <w:color w:val="000000"/>
                <w:sz w:val="18"/>
                <w:szCs w:val="18"/>
              </w:rPr>
              <w:br/>
              <w:t>MERZ AUSTRALIA PTY LTD</w:t>
            </w:r>
            <w:r>
              <w:rPr>
                <w:rFonts w:ascii="Calibri" w:hAnsi="Calibri" w:cs="Calibri"/>
                <w:color w:val="000000"/>
                <w:sz w:val="18"/>
                <w:szCs w:val="18"/>
              </w:rPr>
              <w:br/>
            </w:r>
            <w:r>
              <w:rPr>
                <w:rFonts w:ascii="Calibri" w:hAnsi="Calibri" w:cs="Calibri"/>
                <w:color w:val="000000"/>
                <w:sz w:val="18"/>
                <w:szCs w:val="18"/>
              </w:rPr>
              <w:br/>
              <w:t>Category 2</w:t>
            </w:r>
            <w:r>
              <w:rPr>
                <w:rFonts w:ascii="Calibri" w:hAnsi="Calibri" w:cs="Calibri"/>
                <w:color w:val="000000"/>
                <w:sz w:val="18"/>
                <w:szCs w:val="18"/>
              </w:rPr>
              <w:br/>
              <w:t xml:space="preserve">(Change to existing </w:t>
            </w:r>
            <w:r w:rsidR="00957109">
              <w:rPr>
                <w:rFonts w:ascii="Calibri" w:hAnsi="Calibri" w:cs="Calibri"/>
                <w:color w:val="000000"/>
                <w:sz w:val="18"/>
                <w:szCs w:val="18"/>
              </w:rPr>
              <w:t>listing)</w:t>
            </w:r>
            <w:r>
              <w:rPr>
                <w:rFonts w:ascii="Calibri" w:hAnsi="Calibri" w:cs="Calibri"/>
                <w:color w:val="000000"/>
                <w:sz w:val="18"/>
                <w:szCs w:val="18"/>
              </w:rPr>
              <w:br/>
            </w:r>
            <w:r>
              <w:rPr>
                <w:rFonts w:ascii="Calibri" w:hAnsi="Calibri" w:cs="Calibri"/>
                <w:color w:val="000000"/>
                <w:sz w:val="18"/>
                <w:szCs w:val="18"/>
              </w:rPr>
              <w:br/>
              <w:t xml:space="preserve">PBS Section 100 </w:t>
            </w:r>
          </w:p>
          <w:p w14:paraId="0C9F221E" w14:textId="0E54CF1A" w:rsidR="000246AB" w:rsidRPr="005F21D6" w:rsidRDefault="000246AB" w:rsidP="000246AB">
            <w:pPr>
              <w:jc w:val="center"/>
              <w:rPr>
                <w:rFonts w:asciiTheme="minorHAnsi" w:hAnsiTheme="minorHAnsi" w:cstheme="minorHAnsi"/>
                <w:color w:val="000000"/>
                <w:szCs w:val="20"/>
              </w:rPr>
            </w:pPr>
            <w:r>
              <w:rPr>
                <w:rFonts w:ascii="Calibri" w:hAnsi="Calibri" w:cs="Calibri"/>
                <w:color w:val="000000"/>
                <w:sz w:val="18"/>
                <w:szCs w:val="18"/>
              </w:rPr>
              <w:t>(Botulinum Toxin Program)</w:t>
            </w:r>
          </w:p>
        </w:tc>
        <w:tc>
          <w:tcPr>
            <w:tcW w:w="1983" w:type="dxa"/>
            <w:tcBorders>
              <w:top w:val="single" w:sz="4" w:space="0" w:color="auto"/>
              <w:left w:val="single" w:sz="4" w:space="0" w:color="auto"/>
              <w:bottom w:val="single" w:sz="4" w:space="0" w:color="auto"/>
              <w:right w:val="single" w:sz="4" w:space="0" w:color="auto"/>
            </w:tcBorders>
            <w:vAlign w:val="center"/>
          </w:tcPr>
          <w:p w14:paraId="4FEC83AF" w14:textId="3EB8B93A" w:rsidR="000246AB" w:rsidRPr="005F21D6" w:rsidRDefault="000246AB" w:rsidP="000246AB">
            <w:pPr>
              <w:jc w:val="center"/>
              <w:rPr>
                <w:rFonts w:asciiTheme="minorHAnsi" w:hAnsiTheme="minorHAnsi" w:cstheme="minorHAnsi"/>
                <w:color w:val="000000"/>
                <w:sz w:val="18"/>
                <w:szCs w:val="18"/>
              </w:rPr>
            </w:pPr>
            <w:r>
              <w:rPr>
                <w:rFonts w:ascii="Calibri" w:hAnsi="Calibri" w:cs="Calibri"/>
                <w:color w:val="000000"/>
                <w:sz w:val="18"/>
                <w:szCs w:val="18"/>
              </w:rPr>
              <w:t>Moderate to severe spasticity of the lower limb in adults following an acute event</w:t>
            </w:r>
          </w:p>
        </w:tc>
        <w:tc>
          <w:tcPr>
            <w:tcW w:w="238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F849F8D" w14:textId="4FA6A90E" w:rsidR="000246AB" w:rsidRPr="005F21D6" w:rsidRDefault="000246AB" w:rsidP="000246AB">
            <w:pPr>
              <w:jc w:val="center"/>
              <w:rPr>
                <w:rFonts w:asciiTheme="minorHAnsi" w:hAnsiTheme="minorHAnsi" w:cstheme="minorHAnsi"/>
                <w:color w:val="000000"/>
                <w:sz w:val="18"/>
                <w:szCs w:val="18"/>
              </w:rPr>
            </w:pPr>
            <w:r>
              <w:rPr>
                <w:rFonts w:ascii="Calibri" w:hAnsi="Calibri" w:cs="Calibri"/>
                <w:color w:val="000000"/>
                <w:sz w:val="18"/>
                <w:szCs w:val="18"/>
              </w:rPr>
              <w:t xml:space="preserve">To request listing of </w:t>
            </w:r>
            <w:proofErr w:type="spellStart"/>
            <w:r>
              <w:rPr>
                <w:rFonts w:ascii="Calibri" w:hAnsi="Calibri" w:cs="Calibri"/>
                <w:color w:val="000000"/>
                <w:sz w:val="18"/>
                <w:szCs w:val="18"/>
              </w:rPr>
              <w:t>incobotulinumtoxinA</w:t>
            </w:r>
            <w:proofErr w:type="spellEnd"/>
            <w:r>
              <w:rPr>
                <w:rFonts w:ascii="Calibri" w:hAnsi="Calibri" w:cs="Calibri"/>
                <w:color w:val="000000"/>
                <w:sz w:val="18"/>
                <w:szCs w:val="18"/>
              </w:rPr>
              <w:t xml:space="preserve"> (</w:t>
            </w:r>
            <w:proofErr w:type="spellStart"/>
            <w:r>
              <w:rPr>
                <w:rFonts w:ascii="Calibri" w:hAnsi="Calibri" w:cs="Calibri"/>
                <w:color w:val="000000"/>
                <w:sz w:val="18"/>
                <w:szCs w:val="18"/>
              </w:rPr>
              <w:t>Xeomin</w:t>
            </w:r>
            <w:proofErr w:type="spellEnd"/>
            <w:r>
              <w:rPr>
                <w:rFonts w:ascii="Calibri" w:hAnsi="Calibri" w:cs="Calibri"/>
                <w:color w:val="000000"/>
                <w:sz w:val="18"/>
                <w:szCs w:val="18"/>
              </w:rPr>
              <w:t>®) for the treatment of moderate to severe spasticity of the lower limb in adults following an acute event.</w:t>
            </w:r>
            <w:r>
              <w:rPr>
                <w:rFonts w:ascii="Calibri" w:hAnsi="Calibri" w:cs="Calibri"/>
                <w:color w:val="000000"/>
                <w:sz w:val="18"/>
                <w:szCs w:val="18"/>
              </w:rPr>
              <w:br/>
            </w:r>
            <w:r>
              <w:rPr>
                <w:rFonts w:ascii="Calibri" w:hAnsi="Calibri" w:cs="Calibri"/>
                <w:color w:val="000000"/>
                <w:sz w:val="18"/>
                <w:szCs w:val="18"/>
              </w:rPr>
              <w:br/>
              <w:t>Authority Required (STREAMLINED)</w:t>
            </w:r>
          </w:p>
        </w:tc>
        <w:tc>
          <w:tcPr>
            <w:tcW w:w="1415" w:type="dxa"/>
            <w:vAlign w:val="center"/>
          </w:tcPr>
          <w:p w14:paraId="5DE9A8EE" w14:textId="47B066C3" w:rsidR="000246AB" w:rsidRPr="00544E10" w:rsidRDefault="000246AB" w:rsidP="00D428AC">
            <w:pPr>
              <w:ind w:left="11"/>
              <w:contextualSpacing/>
              <w:jc w:val="center"/>
              <w:rPr>
                <w:rFonts w:asciiTheme="minorHAnsi" w:hAnsiTheme="minorHAnsi" w:cstheme="minorHAnsi"/>
                <w:color w:val="000000" w:themeColor="text1"/>
                <w:sz w:val="18"/>
                <w:szCs w:val="18"/>
              </w:rPr>
            </w:pPr>
            <w:r>
              <w:rPr>
                <w:rFonts w:ascii="Calibri" w:hAnsi="Calibri" w:cs="Calibri"/>
                <w:color w:val="000000"/>
                <w:sz w:val="18"/>
                <w:szCs w:val="18"/>
              </w:rPr>
              <w:t>Recommended</w:t>
            </w:r>
          </w:p>
        </w:tc>
        <w:tc>
          <w:tcPr>
            <w:tcW w:w="4729" w:type="dxa"/>
            <w:vAlign w:val="center"/>
          </w:tcPr>
          <w:p w14:paraId="6802A1F4" w14:textId="55631729" w:rsidR="000246AB" w:rsidRPr="00544E10" w:rsidRDefault="000246AB" w:rsidP="00D428AC">
            <w:pPr>
              <w:ind w:left="11"/>
              <w:contextualSpacing/>
              <w:rPr>
                <w:rFonts w:asciiTheme="minorHAnsi" w:hAnsiTheme="minorHAnsi" w:cstheme="minorHAnsi"/>
                <w:color w:val="000000" w:themeColor="text1"/>
                <w:sz w:val="18"/>
                <w:szCs w:val="18"/>
              </w:rPr>
            </w:pPr>
            <w:r>
              <w:rPr>
                <w:rFonts w:ascii="Calibri" w:hAnsi="Calibri" w:cs="Calibri"/>
                <w:color w:val="000000"/>
                <w:sz w:val="18"/>
                <w:szCs w:val="18"/>
              </w:rPr>
              <w:t xml:space="preserve">The PBAC recommended the listing of </w:t>
            </w:r>
            <w:proofErr w:type="spellStart"/>
            <w:r>
              <w:rPr>
                <w:rFonts w:ascii="Calibri" w:hAnsi="Calibri" w:cs="Calibri"/>
                <w:color w:val="000000"/>
                <w:sz w:val="18"/>
                <w:szCs w:val="18"/>
              </w:rPr>
              <w:t>incobotulinumtoxinA</w:t>
            </w:r>
            <w:proofErr w:type="spellEnd"/>
            <w:r>
              <w:rPr>
                <w:rFonts w:ascii="Calibri" w:hAnsi="Calibri" w:cs="Calibri"/>
                <w:color w:val="000000"/>
                <w:sz w:val="18"/>
                <w:szCs w:val="18"/>
              </w:rPr>
              <w:t xml:space="preserve"> (</w:t>
            </w:r>
            <w:proofErr w:type="spellStart"/>
            <w:r>
              <w:rPr>
                <w:rFonts w:ascii="Calibri" w:hAnsi="Calibri" w:cs="Calibri"/>
                <w:color w:val="000000"/>
                <w:sz w:val="18"/>
                <w:szCs w:val="18"/>
              </w:rPr>
              <w:t>Xeomin</w:t>
            </w:r>
            <w:proofErr w:type="spellEnd"/>
            <w:r>
              <w:rPr>
                <w:rFonts w:ascii="Calibri" w:hAnsi="Calibri" w:cs="Calibri"/>
                <w:color w:val="000000"/>
                <w:sz w:val="18"/>
                <w:szCs w:val="18"/>
              </w:rPr>
              <w:t xml:space="preserve">®) for the treatment of moderate to severe spasticity of the lower limb in adults following stroke, traumatic brain injury, or spinal cord injury. The PBAC noted that the submission did not provide any trials comparing </w:t>
            </w:r>
            <w:proofErr w:type="spellStart"/>
            <w:r>
              <w:rPr>
                <w:rFonts w:ascii="Calibri" w:hAnsi="Calibri" w:cs="Calibri"/>
                <w:color w:val="000000"/>
                <w:sz w:val="18"/>
                <w:szCs w:val="18"/>
              </w:rPr>
              <w:t>Xeomin</w:t>
            </w:r>
            <w:proofErr w:type="spellEnd"/>
            <w:r>
              <w:rPr>
                <w:rFonts w:ascii="Calibri" w:hAnsi="Calibri" w:cs="Calibri"/>
                <w:color w:val="000000"/>
                <w:sz w:val="18"/>
                <w:szCs w:val="18"/>
              </w:rPr>
              <w:t xml:space="preserve"> directly to Botox and instead, compared </w:t>
            </w:r>
            <w:proofErr w:type="spellStart"/>
            <w:r>
              <w:rPr>
                <w:rFonts w:ascii="Calibri" w:hAnsi="Calibri" w:cs="Calibri"/>
                <w:color w:val="000000"/>
                <w:sz w:val="18"/>
                <w:szCs w:val="18"/>
              </w:rPr>
              <w:t>Xeomin</w:t>
            </w:r>
            <w:proofErr w:type="spellEnd"/>
            <w:r>
              <w:rPr>
                <w:rFonts w:ascii="Calibri" w:hAnsi="Calibri" w:cs="Calibri"/>
                <w:color w:val="000000"/>
                <w:sz w:val="18"/>
                <w:szCs w:val="18"/>
              </w:rPr>
              <w:t xml:space="preserve"> to Botox using one trial comparing Botox to placebo and two trials comparing </w:t>
            </w:r>
            <w:proofErr w:type="spellStart"/>
            <w:r>
              <w:rPr>
                <w:rFonts w:ascii="Calibri" w:hAnsi="Calibri" w:cs="Calibri"/>
                <w:color w:val="000000"/>
                <w:sz w:val="18"/>
                <w:szCs w:val="18"/>
              </w:rPr>
              <w:t>Xeomin</w:t>
            </w:r>
            <w:proofErr w:type="spellEnd"/>
            <w:r>
              <w:rPr>
                <w:rFonts w:ascii="Calibri" w:hAnsi="Calibri" w:cs="Calibri"/>
                <w:color w:val="000000"/>
                <w:sz w:val="18"/>
                <w:szCs w:val="18"/>
              </w:rPr>
              <w:t xml:space="preserve"> to placebo. While the PBAC noted there were some uncertainties with the clinical evidence, it considered that overall, </w:t>
            </w:r>
            <w:proofErr w:type="spellStart"/>
            <w:r>
              <w:rPr>
                <w:rFonts w:ascii="Calibri" w:hAnsi="Calibri" w:cs="Calibri"/>
                <w:color w:val="000000"/>
                <w:sz w:val="18"/>
                <w:szCs w:val="18"/>
              </w:rPr>
              <w:t>Xeomin</w:t>
            </w:r>
            <w:proofErr w:type="spellEnd"/>
            <w:r>
              <w:rPr>
                <w:rFonts w:ascii="Calibri" w:hAnsi="Calibri" w:cs="Calibri"/>
                <w:color w:val="000000"/>
                <w:sz w:val="18"/>
                <w:szCs w:val="18"/>
              </w:rPr>
              <w:t xml:space="preserve"> was likely as effective as botulinum toxin type A (Botox®). The PBAC’s recommendation was on the basis that it should be available only under special arrangements under Section 100 (Botulinum Toxin Program) and its assessment that </w:t>
            </w:r>
            <w:proofErr w:type="spellStart"/>
            <w:r>
              <w:rPr>
                <w:rFonts w:ascii="Calibri" w:hAnsi="Calibri" w:cs="Calibri"/>
                <w:color w:val="000000"/>
                <w:sz w:val="18"/>
                <w:szCs w:val="18"/>
              </w:rPr>
              <w:t>Xeomin</w:t>
            </w:r>
            <w:proofErr w:type="spellEnd"/>
            <w:r>
              <w:rPr>
                <w:rFonts w:ascii="Calibri" w:hAnsi="Calibri" w:cs="Calibri"/>
                <w:color w:val="000000"/>
                <w:sz w:val="18"/>
                <w:szCs w:val="18"/>
              </w:rPr>
              <w:t xml:space="preserve">® would be cost-effective if it cost no more than the least costly of either Botox or clostridium botulinum type A toxin-haemagglutinin complex (Dysport®). The PBAC advised the </w:t>
            </w:r>
            <w:proofErr w:type="spellStart"/>
            <w:r>
              <w:rPr>
                <w:rFonts w:ascii="Calibri" w:hAnsi="Calibri" w:cs="Calibri"/>
                <w:color w:val="000000"/>
                <w:sz w:val="18"/>
                <w:szCs w:val="18"/>
              </w:rPr>
              <w:t>equi</w:t>
            </w:r>
            <w:proofErr w:type="spellEnd"/>
            <w:r>
              <w:rPr>
                <w:rFonts w:ascii="Calibri" w:hAnsi="Calibri" w:cs="Calibri"/>
                <w:color w:val="000000"/>
                <w:sz w:val="18"/>
                <w:szCs w:val="18"/>
              </w:rPr>
              <w:t xml:space="preserve">-effective doses to be </w:t>
            </w:r>
            <w:proofErr w:type="spellStart"/>
            <w:r>
              <w:rPr>
                <w:rFonts w:ascii="Calibri" w:hAnsi="Calibri" w:cs="Calibri"/>
                <w:color w:val="000000"/>
                <w:sz w:val="18"/>
                <w:szCs w:val="18"/>
              </w:rPr>
              <w:t>Xeomin</w:t>
            </w:r>
            <w:proofErr w:type="spellEnd"/>
            <w:r>
              <w:rPr>
                <w:rFonts w:ascii="Calibri" w:hAnsi="Calibri" w:cs="Calibri"/>
                <w:color w:val="000000"/>
                <w:sz w:val="18"/>
                <w:szCs w:val="18"/>
              </w:rPr>
              <w:t xml:space="preserve"> 1 U = Botox 1 U = Dysport 3.75 U.</w:t>
            </w:r>
          </w:p>
        </w:tc>
      </w:tr>
      <w:tr w:rsidR="00C312E5" w:rsidRPr="00544E10" w14:paraId="6717A59A" w14:textId="77777777" w:rsidTr="003921D1">
        <w:trPr>
          <w:cantSplit/>
          <w:trHeight w:val="868"/>
        </w:trPr>
        <w:tc>
          <w:tcPr>
            <w:tcW w:w="294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AA32D0D" w14:textId="14337347" w:rsidR="0074253F" w:rsidRDefault="000246AB" w:rsidP="0074253F">
            <w:pPr>
              <w:spacing w:after="0"/>
              <w:jc w:val="center"/>
              <w:rPr>
                <w:rFonts w:ascii="Calibri" w:hAnsi="Calibri" w:cs="Calibri"/>
                <w:color w:val="000000"/>
                <w:sz w:val="18"/>
                <w:szCs w:val="18"/>
              </w:rPr>
            </w:pPr>
            <w:r>
              <w:rPr>
                <w:rFonts w:ascii="Calibri" w:hAnsi="Calibri" w:cs="Calibri"/>
                <w:color w:val="000000"/>
                <w:sz w:val="18"/>
                <w:szCs w:val="18"/>
              </w:rPr>
              <w:t>INOTUZUMAB OZOGAMICIN</w:t>
            </w:r>
            <w:r>
              <w:rPr>
                <w:rFonts w:ascii="Calibri" w:hAnsi="Calibri" w:cs="Calibri"/>
                <w:color w:val="000000"/>
                <w:sz w:val="18"/>
                <w:szCs w:val="18"/>
              </w:rPr>
              <w:br/>
            </w:r>
            <w:r>
              <w:rPr>
                <w:rFonts w:ascii="Calibri" w:hAnsi="Calibri" w:cs="Calibri"/>
                <w:color w:val="000000"/>
                <w:sz w:val="18"/>
                <w:szCs w:val="18"/>
              </w:rPr>
              <w:br/>
              <w:t>Powder for I.V. infusion 1 mg</w:t>
            </w:r>
            <w:r>
              <w:rPr>
                <w:rFonts w:ascii="Calibri" w:hAnsi="Calibri" w:cs="Calibri"/>
                <w:color w:val="000000"/>
                <w:sz w:val="18"/>
                <w:szCs w:val="18"/>
              </w:rPr>
              <w:br/>
            </w:r>
            <w:r>
              <w:rPr>
                <w:rFonts w:ascii="Calibri" w:hAnsi="Calibri" w:cs="Calibri"/>
                <w:color w:val="000000"/>
                <w:sz w:val="18"/>
                <w:szCs w:val="18"/>
              </w:rPr>
              <w:br/>
            </w:r>
            <w:proofErr w:type="spellStart"/>
            <w:r>
              <w:rPr>
                <w:rFonts w:ascii="Calibri" w:hAnsi="Calibri" w:cs="Calibri"/>
                <w:color w:val="000000"/>
                <w:sz w:val="18"/>
                <w:szCs w:val="18"/>
              </w:rPr>
              <w:t>Besponsa</w:t>
            </w:r>
            <w:proofErr w:type="spellEnd"/>
            <w:r>
              <w:rPr>
                <w:rFonts w:ascii="Calibri" w:hAnsi="Calibri" w:cs="Calibri"/>
                <w:color w:val="000000"/>
                <w:sz w:val="18"/>
                <w:szCs w:val="18"/>
              </w:rPr>
              <w:t>®</w:t>
            </w:r>
            <w:r>
              <w:rPr>
                <w:rFonts w:ascii="Calibri" w:hAnsi="Calibri" w:cs="Calibri"/>
                <w:color w:val="000000"/>
                <w:sz w:val="18"/>
                <w:szCs w:val="18"/>
              </w:rPr>
              <w:br/>
            </w:r>
            <w:r>
              <w:rPr>
                <w:rFonts w:ascii="Calibri" w:hAnsi="Calibri" w:cs="Calibri"/>
                <w:color w:val="000000"/>
                <w:sz w:val="18"/>
                <w:szCs w:val="18"/>
              </w:rPr>
              <w:br/>
              <w:t>PFIZER AUSTRALIA PTY LTD</w:t>
            </w:r>
            <w:r>
              <w:rPr>
                <w:rFonts w:ascii="Calibri" w:hAnsi="Calibri" w:cs="Calibri"/>
                <w:color w:val="000000"/>
                <w:sz w:val="18"/>
                <w:szCs w:val="18"/>
              </w:rPr>
              <w:br/>
            </w:r>
            <w:r>
              <w:rPr>
                <w:rFonts w:ascii="Calibri" w:hAnsi="Calibri" w:cs="Calibri"/>
                <w:color w:val="000000"/>
                <w:sz w:val="18"/>
                <w:szCs w:val="18"/>
              </w:rPr>
              <w:br/>
              <w:t>Category 3</w:t>
            </w:r>
            <w:r>
              <w:rPr>
                <w:rFonts w:ascii="Calibri" w:hAnsi="Calibri" w:cs="Calibri"/>
                <w:color w:val="000000"/>
                <w:sz w:val="18"/>
                <w:szCs w:val="18"/>
              </w:rPr>
              <w:br/>
              <w:t>(Other matters</w:t>
            </w:r>
            <w:r w:rsidR="00453201">
              <w:rPr>
                <w:rFonts w:ascii="Calibri" w:hAnsi="Calibri" w:cs="Calibri"/>
                <w:color w:val="000000"/>
                <w:sz w:val="18"/>
                <w:szCs w:val="18"/>
              </w:rPr>
              <w:t>)</w:t>
            </w:r>
            <w:r>
              <w:rPr>
                <w:rFonts w:ascii="Calibri" w:hAnsi="Calibri" w:cs="Calibri"/>
                <w:color w:val="000000"/>
                <w:sz w:val="18"/>
                <w:szCs w:val="18"/>
              </w:rPr>
              <w:br/>
            </w:r>
            <w:r>
              <w:rPr>
                <w:rFonts w:ascii="Calibri" w:hAnsi="Calibri" w:cs="Calibri"/>
                <w:color w:val="000000"/>
                <w:sz w:val="18"/>
                <w:szCs w:val="18"/>
              </w:rPr>
              <w:br/>
              <w:t xml:space="preserve">PBS Section 100 </w:t>
            </w:r>
          </w:p>
          <w:p w14:paraId="06F0CE51" w14:textId="0EEB0ECB" w:rsidR="000246AB" w:rsidRPr="005F21D6" w:rsidRDefault="000246AB" w:rsidP="000246AB">
            <w:pPr>
              <w:jc w:val="center"/>
              <w:rPr>
                <w:rFonts w:asciiTheme="minorHAnsi" w:hAnsiTheme="minorHAnsi" w:cstheme="minorHAnsi"/>
                <w:color w:val="000000"/>
                <w:szCs w:val="20"/>
              </w:rPr>
            </w:pPr>
            <w:r>
              <w:rPr>
                <w:rFonts w:ascii="Calibri" w:hAnsi="Calibri" w:cs="Calibri"/>
                <w:color w:val="000000"/>
                <w:sz w:val="18"/>
                <w:szCs w:val="18"/>
              </w:rPr>
              <w:t>(Efficient Funding of Chemotherapy Program)</w:t>
            </w:r>
          </w:p>
        </w:tc>
        <w:tc>
          <w:tcPr>
            <w:tcW w:w="1983" w:type="dxa"/>
            <w:tcBorders>
              <w:top w:val="single" w:sz="4" w:space="0" w:color="auto"/>
              <w:left w:val="single" w:sz="4" w:space="0" w:color="auto"/>
              <w:bottom w:val="single" w:sz="4" w:space="0" w:color="auto"/>
              <w:right w:val="single" w:sz="4" w:space="0" w:color="auto"/>
            </w:tcBorders>
            <w:vAlign w:val="center"/>
          </w:tcPr>
          <w:p w14:paraId="5F27B3DE" w14:textId="6A60C471" w:rsidR="000246AB" w:rsidRPr="005F21D6" w:rsidRDefault="000246AB" w:rsidP="000246AB">
            <w:pPr>
              <w:jc w:val="center"/>
              <w:rPr>
                <w:rFonts w:asciiTheme="minorHAnsi" w:hAnsiTheme="minorHAnsi" w:cstheme="minorHAnsi"/>
                <w:color w:val="000000"/>
                <w:sz w:val="18"/>
                <w:szCs w:val="18"/>
              </w:rPr>
            </w:pPr>
            <w:r>
              <w:rPr>
                <w:rFonts w:ascii="Calibri" w:hAnsi="Calibri" w:cs="Calibri"/>
                <w:color w:val="000000"/>
                <w:sz w:val="18"/>
                <w:szCs w:val="18"/>
              </w:rPr>
              <w:t>Acute lymphoblastic leukaemia (ALL)</w:t>
            </w:r>
          </w:p>
        </w:tc>
        <w:tc>
          <w:tcPr>
            <w:tcW w:w="238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12C3F91" w14:textId="5C9AB17E" w:rsidR="000246AB" w:rsidRPr="005F21D6" w:rsidRDefault="000246AB" w:rsidP="000246AB">
            <w:pPr>
              <w:jc w:val="center"/>
              <w:rPr>
                <w:rFonts w:asciiTheme="minorHAnsi" w:hAnsiTheme="minorHAnsi" w:cstheme="minorHAnsi"/>
                <w:color w:val="000000"/>
                <w:sz w:val="18"/>
                <w:szCs w:val="18"/>
              </w:rPr>
            </w:pPr>
            <w:r>
              <w:rPr>
                <w:rFonts w:ascii="Calibri" w:hAnsi="Calibri" w:cs="Calibri"/>
                <w:color w:val="000000"/>
                <w:sz w:val="18"/>
                <w:szCs w:val="18"/>
              </w:rPr>
              <w:t xml:space="preserve">To seek PBAC advice on the termination of the Risk Sharing </w:t>
            </w:r>
            <w:r w:rsidR="005C15CB">
              <w:rPr>
                <w:rFonts w:ascii="Calibri" w:hAnsi="Calibri" w:cs="Calibri"/>
                <w:color w:val="000000"/>
                <w:sz w:val="18"/>
                <w:szCs w:val="18"/>
              </w:rPr>
              <w:t>Arrangement</w:t>
            </w:r>
            <w:r>
              <w:rPr>
                <w:rFonts w:ascii="Calibri" w:hAnsi="Calibri" w:cs="Calibri"/>
                <w:color w:val="000000"/>
                <w:sz w:val="18"/>
                <w:szCs w:val="18"/>
              </w:rPr>
              <w:t xml:space="preserve"> (RSA) component of the Deed of agreement for </w:t>
            </w:r>
            <w:proofErr w:type="spellStart"/>
            <w:r>
              <w:rPr>
                <w:rFonts w:ascii="Calibri" w:hAnsi="Calibri" w:cs="Calibri"/>
                <w:color w:val="000000"/>
                <w:sz w:val="18"/>
                <w:szCs w:val="18"/>
              </w:rPr>
              <w:t>inotuzumab</w:t>
            </w:r>
            <w:proofErr w:type="spellEnd"/>
            <w:r>
              <w:rPr>
                <w:rFonts w:ascii="Calibri" w:hAnsi="Calibri" w:cs="Calibri"/>
                <w:color w:val="000000"/>
                <w:sz w:val="18"/>
                <w:szCs w:val="18"/>
              </w:rPr>
              <w:t xml:space="preserve"> </w:t>
            </w:r>
            <w:proofErr w:type="spellStart"/>
            <w:r>
              <w:rPr>
                <w:rFonts w:ascii="Calibri" w:hAnsi="Calibri" w:cs="Calibri"/>
                <w:color w:val="000000"/>
                <w:sz w:val="18"/>
                <w:szCs w:val="18"/>
              </w:rPr>
              <w:t>ozogamicin</w:t>
            </w:r>
            <w:proofErr w:type="spellEnd"/>
            <w:r>
              <w:rPr>
                <w:rFonts w:ascii="Calibri" w:hAnsi="Calibri" w:cs="Calibri"/>
                <w:color w:val="000000"/>
                <w:sz w:val="18"/>
                <w:szCs w:val="18"/>
              </w:rPr>
              <w:t xml:space="preserve"> for the treatment of ALL.</w:t>
            </w:r>
            <w:r>
              <w:rPr>
                <w:rFonts w:ascii="Calibri" w:hAnsi="Calibri" w:cs="Calibri"/>
                <w:color w:val="000000"/>
                <w:sz w:val="18"/>
                <w:szCs w:val="18"/>
              </w:rPr>
              <w:br/>
            </w:r>
            <w:r>
              <w:rPr>
                <w:rFonts w:ascii="Calibri" w:hAnsi="Calibri" w:cs="Calibri"/>
                <w:color w:val="000000"/>
                <w:sz w:val="18"/>
                <w:szCs w:val="18"/>
              </w:rPr>
              <w:br/>
              <w:t>Authority Required</w:t>
            </w:r>
          </w:p>
        </w:tc>
        <w:tc>
          <w:tcPr>
            <w:tcW w:w="1415" w:type="dxa"/>
            <w:vAlign w:val="center"/>
          </w:tcPr>
          <w:p w14:paraId="698F5113" w14:textId="18DC2943" w:rsidR="000246AB" w:rsidRPr="00544E10" w:rsidRDefault="000246AB" w:rsidP="00D428AC">
            <w:pPr>
              <w:ind w:left="11"/>
              <w:contextualSpacing/>
              <w:jc w:val="center"/>
              <w:rPr>
                <w:rFonts w:asciiTheme="minorHAnsi" w:hAnsiTheme="minorHAnsi" w:cstheme="minorHAnsi"/>
                <w:color w:val="000000" w:themeColor="text1"/>
                <w:sz w:val="18"/>
                <w:szCs w:val="18"/>
              </w:rPr>
            </w:pPr>
            <w:r>
              <w:rPr>
                <w:rFonts w:ascii="Calibri" w:hAnsi="Calibri" w:cs="Calibri"/>
                <w:color w:val="000000"/>
                <w:sz w:val="18"/>
                <w:szCs w:val="18"/>
              </w:rPr>
              <w:t>Advice Provided</w:t>
            </w:r>
          </w:p>
        </w:tc>
        <w:tc>
          <w:tcPr>
            <w:tcW w:w="4729" w:type="dxa"/>
            <w:vAlign w:val="center"/>
          </w:tcPr>
          <w:p w14:paraId="3A2636F8" w14:textId="5127B46C" w:rsidR="000246AB" w:rsidRPr="00544E10" w:rsidRDefault="000246AB" w:rsidP="00D428AC">
            <w:pPr>
              <w:ind w:left="11"/>
              <w:contextualSpacing/>
              <w:rPr>
                <w:rFonts w:asciiTheme="minorHAnsi" w:hAnsiTheme="minorHAnsi" w:cstheme="minorHAnsi"/>
                <w:color w:val="000000" w:themeColor="text1"/>
                <w:sz w:val="18"/>
                <w:szCs w:val="18"/>
              </w:rPr>
            </w:pPr>
            <w:r>
              <w:rPr>
                <w:rFonts w:ascii="Calibri" w:hAnsi="Calibri" w:cs="Calibri"/>
                <w:color w:val="000000"/>
                <w:sz w:val="18"/>
                <w:szCs w:val="18"/>
              </w:rPr>
              <w:t xml:space="preserve">The PBAC advised that the Risk Sharing Arrangement (RSA) for </w:t>
            </w:r>
            <w:proofErr w:type="spellStart"/>
            <w:r>
              <w:rPr>
                <w:rFonts w:ascii="Calibri" w:hAnsi="Calibri" w:cs="Calibri"/>
                <w:color w:val="000000"/>
                <w:sz w:val="18"/>
                <w:szCs w:val="18"/>
              </w:rPr>
              <w:t>inotuzumab</w:t>
            </w:r>
            <w:proofErr w:type="spellEnd"/>
            <w:r>
              <w:rPr>
                <w:rFonts w:ascii="Calibri" w:hAnsi="Calibri" w:cs="Calibri"/>
                <w:color w:val="000000"/>
                <w:sz w:val="18"/>
                <w:szCs w:val="18"/>
              </w:rPr>
              <w:t xml:space="preserve"> </w:t>
            </w:r>
            <w:proofErr w:type="spellStart"/>
            <w:r>
              <w:rPr>
                <w:rFonts w:ascii="Calibri" w:hAnsi="Calibri" w:cs="Calibri"/>
                <w:color w:val="000000"/>
                <w:sz w:val="18"/>
                <w:szCs w:val="18"/>
              </w:rPr>
              <w:t>ozogamicin</w:t>
            </w:r>
            <w:proofErr w:type="spellEnd"/>
            <w:r>
              <w:rPr>
                <w:rFonts w:ascii="Calibri" w:hAnsi="Calibri" w:cs="Calibri"/>
                <w:color w:val="000000"/>
                <w:sz w:val="18"/>
                <w:szCs w:val="18"/>
              </w:rPr>
              <w:t xml:space="preserve"> for the treatment of acute lymphoblastic leukaemia can be removed. In forming this view, the PBAC noted that utilisation of </w:t>
            </w:r>
            <w:proofErr w:type="spellStart"/>
            <w:r>
              <w:rPr>
                <w:rFonts w:ascii="Calibri" w:hAnsi="Calibri" w:cs="Calibri"/>
                <w:color w:val="000000"/>
                <w:sz w:val="18"/>
                <w:szCs w:val="18"/>
              </w:rPr>
              <w:t>inotuzumab</w:t>
            </w:r>
            <w:proofErr w:type="spellEnd"/>
            <w:r>
              <w:rPr>
                <w:rFonts w:ascii="Calibri" w:hAnsi="Calibri" w:cs="Calibri"/>
                <w:color w:val="000000"/>
                <w:sz w:val="18"/>
                <w:szCs w:val="18"/>
              </w:rPr>
              <w:t xml:space="preserve"> </w:t>
            </w:r>
            <w:proofErr w:type="spellStart"/>
            <w:r>
              <w:rPr>
                <w:rFonts w:ascii="Calibri" w:hAnsi="Calibri" w:cs="Calibri"/>
                <w:color w:val="000000"/>
                <w:sz w:val="18"/>
                <w:szCs w:val="18"/>
              </w:rPr>
              <w:t>ozogamicin</w:t>
            </w:r>
            <w:proofErr w:type="spellEnd"/>
            <w:r>
              <w:rPr>
                <w:rFonts w:ascii="Calibri" w:hAnsi="Calibri" w:cs="Calibri"/>
                <w:color w:val="000000"/>
                <w:sz w:val="18"/>
                <w:szCs w:val="18"/>
              </w:rPr>
              <w:t xml:space="preserve"> has remained low and relatively stable over time and that no new clinical uncertainties or changes to the PBS restriction had been identified for </w:t>
            </w:r>
            <w:proofErr w:type="spellStart"/>
            <w:r>
              <w:rPr>
                <w:rFonts w:ascii="Calibri" w:hAnsi="Calibri" w:cs="Calibri"/>
                <w:color w:val="000000"/>
                <w:sz w:val="18"/>
                <w:szCs w:val="18"/>
              </w:rPr>
              <w:t>inotuzumab</w:t>
            </w:r>
            <w:proofErr w:type="spellEnd"/>
            <w:r>
              <w:rPr>
                <w:rFonts w:ascii="Calibri" w:hAnsi="Calibri" w:cs="Calibri"/>
                <w:color w:val="000000"/>
                <w:sz w:val="18"/>
                <w:szCs w:val="18"/>
              </w:rPr>
              <w:t xml:space="preserve"> </w:t>
            </w:r>
            <w:proofErr w:type="spellStart"/>
            <w:r>
              <w:rPr>
                <w:rFonts w:ascii="Calibri" w:hAnsi="Calibri" w:cs="Calibri"/>
                <w:color w:val="000000"/>
                <w:sz w:val="18"/>
                <w:szCs w:val="18"/>
              </w:rPr>
              <w:t>ozogamicin</w:t>
            </w:r>
            <w:proofErr w:type="spellEnd"/>
            <w:r>
              <w:rPr>
                <w:rFonts w:ascii="Calibri" w:hAnsi="Calibri" w:cs="Calibri"/>
                <w:color w:val="000000"/>
                <w:sz w:val="18"/>
                <w:szCs w:val="18"/>
              </w:rPr>
              <w:t xml:space="preserve"> since listing. The PBAC considered that the original rationale for including </w:t>
            </w:r>
            <w:proofErr w:type="spellStart"/>
            <w:r>
              <w:rPr>
                <w:rFonts w:ascii="Calibri" w:hAnsi="Calibri" w:cs="Calibri"/>
                <w:color w:val="000000"/>
                <w:sz w:val="18"/>
                <w:szCs w:val="18"/>
              </w:rPr>
              <w:t>inotuzumab</w:t>
            </w:r>
            <w:proofErr w:type="spellEnd"/>
            <w:r>
              <w:rPr>
                <w:rFonts w:ascii="Calibri" w:hAnsi="Calibri" w:cs="Calibri"/>
                <w:color w:val="000000"/>
                <w:sz w:val="18"/>
                <w:szCs w:val="18"/>
              </w:rPr>
              <w:t xml:space="preserve"> </w:t>
            </w:r>
            <w:proofErr w:type="spellStart"/>
            <w:r>
              <w:rPr>
                <w:rFonts w:ascii="Calibri" w:hAnsi="Calibri" w:cs="Calibri"/>
                <w:color w:val="000000"/>
                <w:sz w:val="18"/>
                <w:szCs w:val="18"/>
              </w:rPr>
              <w:t>ozogamicin</w:t>
            </w:r>
            <w:proofErr w:type="spellEnd"/>
            <w:r>
              <w:rPr>
                <w:rFonts w:ascii="Calibri" w:hAnsi="Calibri" w:cs="Calibri"/>
                <w:color w:val="000000"/>
                <w:sz w:val="18"/>
                <w:szCs w:val="18"/>
              </w:rPr>
              <w:t xml:space="preserve"> in a shared RSA with blinatumomab, which was to manage uncertain financial estimates and a high incremental cost-effectiveness ratio, had diminished over time.</w:t>
            </w:r>
          </w:p>
        </w:tc>
      </w:tr>
      <w:tr w:rsidR="00C312E5" w:rsidRPr="00544E10" w14:paraId="14D7D028" w14:textId="77777777" w:rsidTr="003921D1">
        <w:trPr>
          <w:cantSplit/>
          <w:trHeight w:val="868"/>
        </w:trPr>
        <w:tc>
          <w:tcPr>
            <w:tcW w:w="294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8C9E3E9" w14:textId="77777777" w:rsidR="0074253F" w:rsidRDefault="000246AB" w:rsidP="0074253F">
            <w:pPr>
              <w:spacing w:after="0"/>
              <w:jc w:val="center"/>
              <w:rPr>
                <w:rFonts w:ascii="Calibri" w:hAnsi="Calibri" w:cs="Calibri"/>
                <w:color w:val="000000"/>
                <w:sz w:val="18"/>
                <w:szCs w:val="18"/>
              </w:rPr>
            </w:pPr>
            <w:r>
              <w:rPr>
                <w:rFonts w:ascii="Calibri" w:hAnsi="Calibri" w:cs="Calibri"/>
                <w:color w:val="000000"/>
                <w:sz w:val="18"/>
                <w:szCs w:val="18"/>
              </w:rPr>
              <w:t>LANREOTIDE</w:t>
            </w:r>
            <w:r>
              <w:rPr>
                <w:rFonts w:ascii="Calibri" w:hAnsi="Calibri" w:cs="Calibri"/>
                <w:color w:val="000000"/>
                <w:sz w:val="18"/>
                <w:szCs w:val="18"/>
              </w:rPr>
              <w:br/>
            </w:r>
            <w:r>
              <w:rPr>
                <w:rFonts w:ascii="Calibri" w:hAnsi="Calibri" w:cs="Calibri"/>
                <w:color w:val="000000"/>
                <w:sz w:val="18"/>
                <w:szCs w:val="18"/>
              </w:rPr>
              <w:br/>
              <w:t>Injection 60 mg (as acetate) in single dose pre-filled syringe</w:t>
            </w:r>
            <w:r>
              <w:rPr>
                <w:rFonts w:ascii="Calibri" w:hAnsi="Calibri" w:cs="Calibri"/>
                <w:color w:val="000000"/>
                <w:sz w:val="18"/>
                <w:szCs w:val="18"/>
              </w:rPr>
              <w:br/>
              <w:t>Injection 90 mg (as acetate) in single dose pre-filled syringe</w:t>
            </w:r>
            <w:r>
              <w:rPr>
                <w:rFonts w:ascii="Calibri" w:hAnsi="Calibri" w:cs="Calibri"/>
                <w:color w:val="000000"/>
                <w:sz w:val="18"/>
                <w:szCs w:val="18"/>
              </w:rPr>
              <w:br/>
              <w:t>Injection 120 mg (as acetate) in single dose pre-filled syringe</w:t>
            </w:r>
            <w:r>
              <w:rPr>
                <w:rFonts w:ascii="Calibri" w:hAnsi="Calibri" w:cs="Calibri"/>
                <w:color w:val="000000"/>
                <w:sz w:val="18"/>
                <w:szCs w:val="18"/>
              </w:rPr>
              <w:br/>
            </w:r>
            <w:r>
              <w:rPr>
                <w:rFonts w:ascii="Calibri" w:hAnsi="Calibri" w:cs="Calibri"/>
                <w:color w:val="000000"/>
                <w:sz w:val="18"/>
                <w:szCs w:val="18"/>
              </w:rPr>
              <w:br/>
            </w:r>
            <w:proofErr w:type="spellStart"/>
            <w:r>
              <w:rPr>
                <w:rFonts w:ascii="Calibri" w:hAnsi="Calibri" w:cs="Calibri"/>
                <w:color w:val="000000"/>
                <w:sz w:val="18"/>
                <w:szCs w:val="18"/>
              </w:rPr>
              <w:t>Lacreo</w:t>
            </w:r>
            <w:proofErr w:type="spellEnd"/>
            <w:r>
              <w:rPr>
                <w:rFonts w:ascii="Calibri" w:hAnsi="Calibri" w:cs="Calibri"/>
                <w:color w:val="000000"/>
                <w:sz w:val="18"/>
                <w:szCs w:val="18"/>
              </w:rPr>
              <w:br/>
            </w:r>
            <w:r>
              <w:rPr>
                <w:rFonts w:ascii="Calibri" w:hAnsi="Calibri" w:cs="Calibri"/>
                <w:color w:val="000000"/>
                <w:sz w:val="18"/>
                <w:szCs w:val="18"/>
              </w:rPr>
              <w:br/>
              <w:t>SUN PHARMA ANZ PTY LTD</w:t>
            </w:r>
            <w:r>
              <w:rPr>
                <w:rFonts w:ascii="Calibri" w:hAnsi="Calibri" w:cs="Calibri"/>
                <w:color w:val="000000"/>
                <w:sz w:val="18"/>
                <w:szCs w:val="18"/>
              </w:rPr>
              <w:br/>
            </w:r>
            <w:r>
              <w:rPr>
                <w:rFonts w:ascii="Calibri" w:hAnsi="Calibri" w:cs="Calibri"/>
                <w:color w:val="000000"/>
                <w:sz w:val="18"/>
                <w:szCs w:val="18"/>
              </w:rPr>
              <w:br/>
              <w:t>Category 4</w:t>
            </w:r>
            <w:r>
              <w:rPr>
                <w:rFonts w:ascii="Calibri" w:hAnsi="Calibri" w:cs="Calibri"/>
                <w:color w:val="000000"/>
                <w:sz w:val="18"/>
                <w:szCs w:val="18"/>
              </w:rPr>
              <w:br/>
              <w:t xml:space="preserve">(New PBS </w:t>
            </w:r>
            <w:r w:rsidR="00957109">
              <w:rPr>
                <w:rFonts w:ascii="Calibri" w:hAnsi="Calibri" w:cs="Calibri"/>
                <w:color w:val="000000"/>
                <w:sz w:val="18"/>
                <w:szCs w:val="18"/>
              </w:rPr>
              <w:t>listing)</w:t>
            </w:r>
            <w:r>
              <w:rPr>
                <w:rFonts w:ascii="Calibri" w:hAnsi="Calibri" w:cs="Calibri"/>
                <w:color w:val="000000"/>
                <w:sz w:val="18"/>
                <w:szCs w:val="18"/>
              </w:rPr>
              <w:br/>
            </w:r>
            <w:r>
              <w:rPr>
                <w:rFonts w:ascii="Calibri" w:hAnsi="Calibri" w:cs="Calibri"/>
                <w:color w:val="000000"/>
                <w:sz w:val="18"/>
                <w:szCs w:val="18"/>
              </w:rPr>
              <w:br/>
              <w:t xml:space="preserve">PBS Section 100 </w:t>
            </w:r>
          </w:p>
          <w:p w14:paraId="1138F92A" w14:textId="3C20FE55" w:rsidR="000246AB" w:rsidRPr="005F21D6" w:rsidRDefault="000246AB" w:rsidP="000246AB">
            <w:pPr>
              <w:jc w:val="center"/>
              <w:rPr>
                <w:rFonts w:asciiTheme="minorHAnsi" w:hAnsiTheme="minorHAnsi" w:cstheme="minorHAnsi"/>
                <w:color w:val="000000"/>
                <w:szCs w:val="20"/>
              </w:rPr>
            </w:pPr>
            <w:r>
              <w:rPr>
                <w:rFonts w:ascii="Calibri" w:hAnsi="Calibri" w:cs="Calibri"/>
                <w:color w:val="000000"/>
                <w:sz w:val="18"/>
                <w:szCs w:val="18"/>
              </w:rPr>
              <w:t>(Highly Specialised Drugs Program)</w:t>
            </w:r>
          </w:p>
        </w:tc>
        <w:tc>
          <w:tcPr>
            <w:tcW w:w="1983" w:type="dxa"/>
            <w:tcBorders>
              <w:top w:val="single" w:sz="4" w:space="0" w:color="auto"/>
              <w:left w:val="single" w:sz="4" w:space="0" w:color="auto"/>
              <w:bottom w:val="single" w:sz="4" w:space="0" w:color="auto"/>
              <w:right w:val="single" w:sz="4" w:space="0" w:color="auto"/>
            </w:tcBorders>
            <w:vAlign w:val="center"/>
          </w:tcPr>
          <w:p w14:paraId="51BB692B" w14:textId="1AB9E448" w:rsidR="000246AB" w:rsidRPr="005F21D6" w:rsidRDefault="000246AB" w:rsidP="000246AB">
            <w:pPr>
              <w:jc w:val="center"/>
              <w:rPr>
                <w:rFonts w:asciiTheme="minorHAnsi" w:hAnsiTheme="minorHAnsi" w:cstheme="minorHAnsi"/>
                <w:color w:val="000000"/>
                <w:sz w:val="18"/>
                <w:szCs w:val="18"/>
              </w:rPr>
            </w:pPr>
            <w:r>
              <w:rPr>
                <w:rFonts w:ascii="Calibri" w:hAnsi="Calibri" w:cs="Calibri"/>
                <w:color w:val="000000"/>
                <w:sz w:val="18"/>
                <w:szCs w:val="18"/>
              </w:rPr>
              <w:t>Acromegaly</w:t>
            </w:r>
            <w:r>
              <w:rPr>
                <w:rFonts w:ascii="Calibri" w:hAnsi="Calibri" w:cs="Calibri"/>
                <w:color w:val="000000"/>
                <w:sz w:val="18"/>
                <w:szCs w:val="18"/>
              </w:rPr>
              <w:br/>
              <w:t>Functional carcinoid tumour</w:t>
            </w:r>
            <w:r>
              <w:rPr>
                <w:rFonts w:ascii="Calibri" w:hAnsi="Calibri" w:cs="Calibri"/>
                <w:color w:val="000000"/>
                <w:sz w:val="18"/>
                <w:szCs w:val="18"/>
              </w:rPr>
              <w:br/>
              <w:t xml:space="preserve">Non-functional </w:t>
            </w:r>
            <w:proofErr w:type="spellStart"/>
            <w:r>
              <w:rPr>
                <w:rFonts w:ascii="Calibri" w:hAnsi="Calibri" w:cs="Calibri"/>
                <w:color w:val="000000"/>
                <w:sz w:val="18"/>
                <w:szCs w:val="18"/>
              </w:rPr>
              <w:t>gastroenteropancreatic</w:t>
            </w:r>
            <w:proofErr w:type="spellEnd"/>
            <w:r>
              <w:rPr>
                <w:rFonts w:ascii="Calibri" w:hAnsi="Calibri" w:cs="Calibri"/>
                <w:color w:val="000000"/>
                <w:sz w:val="18"/>
                <w:szCs w:val="18"/>
              </w:rPr>
              <w:t xml:space="preserve"> neuroendocrine tumour (GEP-NET)</w:t>
            </w:r>
          </w:p>
        </w:tc>
        <w:tc>
          <w:tcPr>
            <w:tcW w:w="238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DBE7735" w14:textId="68775155" w:rsidR="000246AB" w:rsidRPr="005F21D6" w:rsidRDefault="000246AB" w:rsidP="000246AB">
            <w:pPr>
              <w:jc w:val="center"/>
              <w:rPr>
                <w:rFonts w:asciiTheme="minorHAnsi" w:hAnsiTheme="minorHAnsi" w:cstheme="minorHAnsi"/>
                <w:color w:val="000000"/>
                <w:sz w:val="18"/>
                <w:szCs w:val="18"/>
              </w:rPr>
            </w:pPr>
            <w:r>
              <w:rPr>
                <w:rFonts w:ascii="Calibri" w:hAnsi="Calibri" w:cs="Calibri"/>
                <w:color w:val="000000"/>
                <w:sz w:val="18"/>
                <w:szCs w:val="18"/>
              </w:rPr>
              <w:t xml:space="preserve">To request listing of a new brand of </w:t>
            </w:r>
            <w:proofErr w:type="spellStart"/>
            <w:r>
              <w:rPr>
                <w:rFonts w:ascii="Calibri" w:hAnsi="Calibri" w:cs="Calibri"/>
                <w:color w:val="000000"/>
                <w:sz w:val="18"/>
                <w:szCs w:val="18"/>
              </w:rPr>
              <w:t>lanreotide</w:t>
            </w:r>
            <w:proofErr w:type="spellEnd"/>
            <w:r>
              <w:rPr>
                <w:rFonts w:ascii="Calibri" w:hAnsi="Calibri" w:cs="Calibri"/>
                <w:color w:val="000000"/>
                <w:sz w:val="18"/>
                <w:szCs w:val="18"/>
              </w:rPr>
              <w:t xml:space="preserve"> for the treatment of three conditions: </w:t>
            </w:r>
            <w:r>
              <w:rPr>
                <w:rFonts w:ascii="Calibri" w:hAnsi="Calibri" w:cs="Calibri"/>
                <w:color w:val="000000"/>
                <w:sz w:val="18"/>
                <w:szCs w:val="18"/>
              </w:rPr>
              <w:br/>
              <w:t xml:space="preserve">1. Patients with acromegaly when the circulating levels of growth hormone and IGF-1 remain abnormal after surgery and/or radiotherapy or in patients who are dopamine agonist treatment refractory; </w:t>
            </w:r>
            <w:r>
              <w:rPr>
                <w:rFonts w:ascii="Calibri" w:hAnsi="Calibri" w:cs="Calibri"/>
                <w:color w:val="000000"/>
                <w:sz w:val="18"/>
                <w:szCs w:val="18"/>
              </w:rPr>
              <w:br/>
              <w:t>2: Patients with symptoms of carcinoid syndrome associated with carcinoid tumours; and</w:t>
            </w:r>
            <w:r>
              <w:rPr>
                <w:rFonts w:ascii="Calibri" w:hAnsi="Calibri" w:cs="Calibri"/>
                <w:color w:val="000000"/>
                <w:sz w:val="18"/>
                <w:szCs w:val="18"/>
              </w:rPr>
              <w:br/>
              <w:t>3: Adult patients with unresectable locally advanced or metastatic GEP-NETs.</w:t>
            </w:r>
            <w:r>
              <w:rPr>
                <w:rFonts w:ascii="Calibri" w:hAnsi="Calibri" w:cs="Calibri"/>
                <w:color w:val="000000"/>
                <w:sz w:val="18"/>
                <w:szCs w:val="18"/>
              </w:rPr>
              <w:br/>
            </w:r>
            <w:r>
              <w:rPr>
                <w:rFonts w:ascii="Calibri" w:hAnsi="Calibri" w:cs="Calibri"/>
                <w:color w:val="000000"/>
                <w:sz w:val="18"/>
                <w:szCs w:val="18"/>
              </w:rPr>
              <w:br/>
              <w:t>Authority Required (STREAMLINED)</w:t>
            </w:r>
          </w:p>
        </w:tc>
        <w:tc>
          <w:tcPr>
            <w:tcW w:w="1415" w:type="dxa"/>
            <w:vAlign w:val="center"/>
          </w:tcPr>
          <w:p w14:paraId="2EEFE4E7" w14:textId="4478060A" w:rsidR="000246AB" w:rsidRPr="00544E10" w:rsidRDefault="000246AB" w:rsidP="00D428AC">
            <w:pPr>
              <w:ind w:left="11"/>
              <w:contextualSpacing/>
              <w:jc w:val="center"/>
              <w:rPr>
                <w:rFonts w:asciiTheme="minorHAnsi" w:hAnsiTheme="minorHAnsi" w:cstheme="minorHAnsi"/>
                <w:color w:val="000000" w:themeColor="text1"/>
                <w:sz w:val="18"/>
                <w:szCs w:val="18"/>
              </w:rPr>
            </w:pPr>
            <w:r>
              <w:rPr>
                <w:rFonts w:ascii="Calibri" w:hAnsi="Calibri" w:cs="Calibri"/>
                <w:color w:val="000000"/>
                <w:sz w:val="18"/>
                <w:szCs w:val="18"/>
              </w:rPr>
              <w:t>Recommended</w:t>
            </w:r>
          </w:p>
        </w:tc>
        <w:tc>
          <w:tcPr>
            <w:tcW w:w="4729" w:type="dxa"/>
            <w:vAlign w:val="center"/>
          </w:tcPr>
          <w:p w14:paraId="442D31AF" w14:textId="4B8C9782" w:rsidR="000246AB" w:rsidRPr="00544E10" w:rsidRDefault="000246AB" w:rsidP="00D428AC">
            <w:pPr>
              <w:ind w:left="11"/>
              <w:contextualSpacing/>
              <w:rPr>
                <w:rFonts w:asciiTheme="minorHAnsi" w:hAnsiTheme="minorHAnsi" w:cstheme="minorHAnsi"/>
                <w:color w:val="000000" w:themeColor="text1"/>
                <w:sz w:val="18"/>
                <w:szCs w:val="18"/>
              </w:rPr>
            </w:pPr>
            <w:r>
              <w:rPr>
                <w:rFonts w:ascii="Calibri" w:hAnsi="Calibri" w:cs="Calibri"/>
                <w:color w:val="000000"/>
                <w:sz w:val="18"/>
                <w:szCs w:val="18"/>
              </w:rPr>
              <w:t xml:space="preserve">The PBAC recommended </w:t>
            </w:r>
            <w:proofErr w:type="spellStart"/>
            <w:r>
              <w:rPr>
                <w:rFonts w:ascii="Calibri" w:hAnsi="Calibri" w:cs="Calibri"/>
                <w:color w:val="000000"/>
                <w:sz w:val="18"/>
                <w:szCs w:val="18"/>
              </w:rPr>
              <w:t>lanreotide</w:t>
            </w:r>
            <w:proofErr w:type="spellEnd"/>
            <w:r>
              <w:rPr>
                <w:rFonts w:ascii="Calibri" w:hAnsi="Calibri" w:cs="Calibri"/>
                <w:color w:val="000000"/>
                <w:sz w:val="18"/>
                <w:szCs w:val="18"/>
              </w:rPr>
              <w:t xml:space="preserve"> LACREO 60 mg/0.2 mL injection 0.2 mL syringe, LACREO 90 mg/0.3 mL injection 0.3 mL syringe and LACREO 120 mg/0.5 mL injection 0.5 mL syringe for the treatment of acromegaly, functional carcinoid tumour and non-functional </w:t>
            </w:r>
            <w:proofErr w:type="spellStart"/>
            <w:r>
              <w:rPr>
                <w:rFonts w:ascii="Calibri" w:hAnsi="Calibri" w:cs="Calibri"/>
                <w:color w:val="000000"/>
                <w:sz w:val="18"/>
                <w:szCs w:val="18"/>
              </w:rPr>
              <w:t>gastroenteropancreatic</w:t>
            </w:r>
            <w:proofErr w:type="spellEnd"/>
            <w:r>
              <w:rPr>
                <w:rFonts w:ascii="Calibri" w:hAnsi="Calibri" w:cs="Calibri"/>
                <w:color w:val="000000"/>
                <w:sz w:val="18"/>
                <w:szCs w:val="18"/>
              </w:rPr>
              <w:t xml:space="preserve"> neuroendocrine tumour (GEP-NET). The PBAC advised the </w:t>
            </w:r>
            <w:proofErr w:type="spellStart"/>
            <w:r>
              <w:rPr>
                <w:rFonts w:ascii="Calibri" w:hAnsi="Calibri" w:cs="Calibri"/>
                <w:color w:val="000000"/>
                <w:sz w:val="18"/>
                <w:szCs w:val="18"/>
              </w:rPr>
              <w:t>equi</w:t>
            </w:r>
            <w:proofErr w:type="spellEnd"/>
            <w:r>
              <w:rPr>
                <w:rFonts w:ascii="Calibri" w:hAnsi="Calibri" w:cs="Calibri"/>
                <w:color w:val="000000"/>
                <w:sz w:val="18"/>
                <w:szCs w:val="18"/>
              </w:rPr>
              <w:t xml:space="preserve">-effective doses to be 1 mg LACREO equals 1 mg </w:t>
            </w:r>
            <w:proofErr w:type="spellStart"/>
            <w:r>
              <w:rPr>
                <w:rFonts w:ascii="Calibri" w:hAnsi="Calibri" w:cs="Calibri"/>
                <w:color w:val="000000"/>
                <w:sz w:val="18"/>
                <w:szCs w:val="18"/>
              </w:rPr>
              <w:t>Somatuline</w:t>
            </w:r>
            <w:proofErr w:type="spellEnd"/>
            <w:r>
              <w:rPr>
                <w:rFonts w:ascii="Calibri" w:hAnsi="Calibri" w:cs="Calibri"/>
                <w:color w:val="000000"/>
                <w:sz w:val="18"/>
                <w:szCs w:val="18"/>
              </w:rPr>
              <w:t xml:space="preserve"> </w:t>
            </w:r>
            <w:proofErr w:type="spellStart"/>
            <w:r>
              <w:rPr>
                <w:rFonts w:ascii="Calibri" w:hAnsi="Calibri" w:cs="Calibri"/>
                <w:color w:val="000000"/>
                <w:sz w:val="18"/>
                <w:szCs w:val="18"/>
              </w:rPr>
              <w:t>Autogel</w:t>
            </w:r>
            <w:proofErr w:type="spellEnd"/>
            <w:r>
              <w:rPr>
                <w:rFonts w:ascii="Calibri" w:hAnsi="Calibri" w:cs="Calibri"/>
                <w:color w:val="000000"/>
                <w:sz w:val="18"/>
                <w:szCs w:val="18"/>
              </w:rPr>
              <w:t xml:space="preserve">. The PBAC noted and welcomed input from an organisation that outlined the physical, psychological and daily burden for patients living with acromegaly, functional carcinoid tumour and GEP-NET. Input from this organisation noted the benefits of </w:t>
            </w:r>
            <w:proofErr w:type="spellStart"/>
            <w:r>
              <w:rPr>
                <w:rFonts w:ascii="Calibri" w:hAnsi="Calibri" w:cs="Calibri"/>
                <w:color w:val="000000"/>
                <w:sz w:val="18"/>
                <w:szCs w:val="18"/>
              </w:rPr>
              <w:t>lanreotide</w:t>
            </w:r>
            <w:proofErr w:type="spellEnd"/>
            <w:r>
              <w:rPr>
                <w:rFonts w:ascii="Calibri" w:hAnsi="Calibri" w:cs="Calibri"/>
                <w:color w:val="000000"/>
                <w:sz w:val="18"/>
                <w:szCs w:val="18"/>
              </w:rPr>
              <w:t xml:space="preserve"> (LACREO) included reduced treatment and financial burden and improvement in overall quality of life. The PBAC advised that </w:t>
            </w:r>
            <w:proofErr w:type="spellStart"/>
            <w:r>
              <w:rPr>
                <w:rFonts w:ascii="Calibri" w:hAnsi="Calibri" w:cs="Calibri"/>
                <w:color w:val="000000"/>
                <w:sz w:val="18"/>
                <w:szCs w:val="18"/>
              </w:rPr>
              <w:t>lanreotide</w:t>
            </w:r>
            <w:proofErr w:type="spellEnd"/>
            <w:r>
              <w:rPr>
                <w:rFonts w:ascii="Calibri" w:hAnsi="Calibri" w:cs="Calibri"/>
                <w:color w:val="000000"/>
                <w:sz w:val="18"/>
                <w:szCs w:val="18"/>
              </w:rPr>
              <w:t xml:space="preserve"> LACREO, </w:t>
            </w:r>
            <w:proofErr w:type="spellStart"/>
            <w:r>
              <w:rPr>
                <w:rFonts w:ascii="Calibri" w:hAnsi="Calibri" w:cs="Calibri"/>
                <w:color w:val="000000"/>
                <w:sz w:val="18"/>
                <w:szCs w:val="18"/>
              </w:rPr>
              <w:t>Mytolac</w:t>
            </w:r>
            <w:proofErr w:type="spellEnd"/>
            <w:r>
              <w:rPr>
                <w:rFonts w:ascii="Calibri" w:hAnsi="Calibri" w:cs="Calibri"/>
                <w:color w:val="000000"/>
                <w:sz w:val="18"/>
                <w:szCs w:val="18"/>
              </w:rPr>
              <w:t xml:space="preserve"> and </w:t>
            </w:r>
            <w:proofErr w:type="spellStart"/>
            <w:r>
              <w:rPr>
                <w:rFonts w:ascii="Calibri" w:hAnsi="Calibri" w:cs="Calibri"/>
                <w:color w:val="000000"/>
                <w:sz w:val="18"/>
                <w:szCs w:val="18"/>
              </w:rPr>
              <w:t>Somatuline</w:t>
            </w:r>
            <w:proofErr w:type="spellEnd"/>
            <w:r>
              <w:rPr>
                <w:rFonts w:ascii="Calibri" w:hAnsi="Calibri" w:cs="Calibri"/>
                <w:color w:val="000000"/>
                <w:sz w:val="18"/>
                <w:szCs w:val="18"/>
              </w:rPr>
              <w:t xml:space="preserve"> </w:t>
            </w:r>
            <w:proofErr w:type="spellStart"/>
            <w:r>
              <w:rPr>
                <w:rFonts w:ascii="Calibri" w:hAnsi="Calibri" w:cs="Calibri"/>
                <w:color w:val="000000"/>
                <w:sz w:val="18"/>
                <w:szCs w:val="18"/>
              </w:rPr>
              <w:t>Autogel</w:t>
            </w:r>
            <w:proofErr w:type="spellEnd"/>
            <w:r>
              <w:rPr>
                <w:rFonts w:ascii="Calibri" w:hAnsi="Calibri" w:cs="Calibri"/>
                <w:color w:val="000000"/>
                <w:sz w:val="18"/>
                <w:szCs w:val="18"/>
              </w:rPr>
              <w:t xml:space="preserve"> will be considered equivalent for the purposes of substitution, and flow on changes to other brands will be noted.</w:t>
            </w:r>
          </w:p>
        </w:tc>
      </w:tr>
      <w:tr w:rsidR="00C312E5" w:rsidRPr="00544E10" w14:paraId="03FD3DED" w14:textId="77777777" w:rsidTr="003921D1">
        <w:trPr>
          <w:cantSplit/>
          <w:trHeight w:val="868"/>
        </w:trPr>
        <w:tc>
          <w:tcPr>
            <w:tcW w:w="294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702F638" w14:textId="77777777" w:rsidR="0074253F" w:rsidRDefault="000246AB" w:rsidP="0074253F">
            <w:pPr>
              <w:spacing w:after="0"/>
              <w:jc w:val="center"/>
              <w:rPr>
                <w:rFonts w:ascii="Calibri" w:hAnsi="Calibri" w:cs="Calibri"/>
                <w:color w:val="000000"/>
                <w:sz w:val="18"/>
                <w:szCs w:val="18"/>
              </w:rPr>
            </w:pPr>
            <w:r>
              <w:rPr>
                <w:rFonts w:ascii="Calibri" w:hAnsi="Calibri" w:cs="Calibri"/>
                <w:color w:val="000000"/>
                <w:sz w:val="18"/>
                <w:szCs w:val="18"/>
              </w:rPr>
              <w:t>LONCASTUXIMAB TESIRINE</w:t>
            </w:r>
            <w:r>
              <w:rPr>
                <w:rFonts w:ascii="Calibri" w:hAnsi="Calibri" w:cs="Calibri"/>
                <w:color w:val="000000"/>
                <w:sz w:val="18"/>
                <w:szCs w:val="18"/>
              </w:rPr>
              <w:br/>
            </w:r>
            <w:r>
              <w:rPr>
                <w:rFonts w:ascii="Calibri" w:hAnsi="Calibri" w:cs="Calibri"/>
                <w:color w:val="000000"/>
                <w:sz w:val="18"/>
                <w:szCs w:val="18"/>
              </w:rPr>
              <w:br/>
              <w:t>Powder for I.V. infusion 10 mg</w:t>
            </w:r>
            <w:r>
              <w:rPr>
                <w:rFonts w:ascii="Calibri" w:hAnsi="Calibri" w:cs="Calibri"/>
                <w:color w:val="000000"/>
                <w:sz w:val="18"/>
                <w:szCs w:val="18"/>
              </w:rPr>
              <w:br/>
            </w:r>
            <w:r>
              <w:rPr>
                <w:rFonts w:ascii="Calibri" w:hAnsi="Calibri" w:cs="Calibri"/>
                <w:color w:val="000000"/>
                <w:sz w:val="18"/>
                <w:szCs w:val="18"/>
              </w:rPr>
              <w:br/>
            </w:r>
            <w:r>
              <w:rPr>
                <w:rFonts w:ascii="Calibri" w:hAnsi="Calibri" w:cs="Calibri"/>
                <w:color w:val="000000"/>
                <w:sz w:val="18"/>
                <w:szCs w:val="18"/>
              </w:rPr>
              <w:br/>
            </w:r>
            <w:proofErr w:type="spellStart"/>
            <w:r>
              <w:rPr>
                <w:rFonts w:ascii="Calibri" w:hAnsi="Calibri" w:cs="Calibri"/>
                <w:color w:val="000000"/>
                <w:sz w:val="18"/>
                <w:szCs w:val="18"/>
              </w:rPr>
              <w:t>Zynlonta</w:t>
            </w:r>
            <w:proofErr w:type="spellEnd"/>
            <w:r>
              <w:rPr>
                <w:rFonts w:ascii="Calibri" w:hAnsi="Calibri" w:cs="Calibri"/>
                <w:color w:val="000000"/>
                <w:sz w:val="18"/>
                <w:szCs w:val="18"/>
              </w:rPr>
              <w:t>®</w:t>
            </w:r>
            <w:r>
              <w:rPr>
                <w:rFonts w:ascii="Calibri" w:hAnsi="Calibri" w:cs="Calibri"/>
                <w:color w:val="000000"/>
                <w:sz w:val="18"/>
                <w:szCs w:val="18"/>
              </w:rPr>
              <w:br/>
            </w:r>
            <w:r>
              <w:rPr>
                <w:rFonts w:ascii="Calibri" w:hAnsi="Calibri" w:cs="Calibri"/>
                <w:color w:val="000000"/>
                <w:sz w:val="18"/>
                <w:szCs w:val="18"/>
              </w:rPr>
              <w:br/>
              <w:t>SWEDISH ORPHAN BIOVITRUM PTY LTD</w:t>
            </w:r>
            <w:r>
              <w:rPr>
                <w:rFonts w:ascii="Calibri" w:hAnsi="Calibri" w:cs="Calibri"/>
                <w:color w:val="000000"/>
                <w:sz w:val="18"/>
                <w:szCs w:val="18"/>
              </w:rPr>
              <w:br/>
            </w:r>
            <w:r>
              <w:rPr>
                <w:rFonts w:ascii="Calibri" w:hAnsi="Calibri" w:cs="Calibri"/>
                <w:color w:val="000000"/>
                <w:sz w:val="18"/>
                <w:szCs w:val="18"/>
              </w:rPr>
              <w:br/>
              <w:t>Category 1</w:t>
            </w:r>
            <w:r>
              <w:rPr>
                <w:rFonts w:ascii="Calibri" w:hAnsi="Calibri" w:cs="Calibri"/>
                <w:color w:val="000000"/>
                <w:sz w:val="18"/>
                <w:szCs w:val="18"/>
              </w:rPr>
              <w:br/>
              <w:t xml:space="preserve">(New PBS </w:t>
            </w:r>
            <w:r w:rsidR="00957109">
              <w:rPr>
                <w:rFonts w:ascii="Calibri" w:hAnsi="Calibri" w:cs="Calibri"/>
                <w:color w:val="000000"/>
                <w:sz w:val="18"/>
                <w:szCs w:val="18"/>
              </w:rPr>
              <w:t>listing)</w:t>
            </w:r>
            <w:r>
              <w:rPr>
                <w:rFonts w:ascii="Calibri" w:hAnsi="Calibri" w:cs="Calibri"/>
                <w:color w:val="000000"/>
                <w:sz w:val="18"/>
                <w:szCs w:val="18"/>
              </w:rPr>
              <w:br/>
            </w:r>
            <w:r>
              <w:rPr>
                <w:rFonts w:ascii="Calibri" w:hAnsi="Calibri" w:cs="Calibri"/>
                <w:color w:val="000000"/>
                <w:sz w:val="18"/>
                <w:szCs w:val="18"/>
              </w:rPr>
              <w:br/>
              <w:t xml:space="preserve">PBS Section 100 </w:t>
            </w:r>
          </w:p>
          <w:p w14:paraId="3C9CB7CA" w14:textId="63582150" w:rsidR="000246AB" w:rsidRPr="005F21D6" w:rsidRDefault="000246AB" w:rsidP="000246AB">
            <w:pPr>
              <w:jc w:val="center"/>
              <w:rPr>
                <w:rFonts w:asciiTheme="minorHAnsi" w:hAnsiTheme="minorHAnsi" w:cstheme="minorHAnsi"/>
                <w:color w:val="000000"/>
                <w:szCs w:val="20"/>
              </w:rPr>
            </w:pPr>
            <w:r>
              <w:rPr>
                <w:rFonts w:ascii="Calibri" w:hAnsi="Calibri" w:cs="Calibri"/>
                <w:color w:val="000000"/>
                <w:sz w:val="18"/>
                <w:szCs w:val="18"/>
              </w:rPr>
              <w:t>(Efficient Funding Of Chemotherapy)</w:t>
            </w:r>
          </w:p>
        </w:tc>
        <w:tc>
          <w:tcPr>
            <w:tcW w:w="1983" w:type="dxa"/>
            <w:tcBorders>
              <w:top w:val="single" w:sz="4" w:space="0" w:color="auto"/>
              <w:left w:val="single" w:sz="4" w:space="0" w:color="auto"/>
              <w:bottom w:val="single" w:sz="4" w:space="0" w:color="auto"/>
              <w:right w:val="single" w:sz="4" w:space="0" w:color="auto"/>
            </w:tcBorders>
            <w:vAlign w:val="center"/>
          </w:tcPr>
          <w:p w14:paraId="63438CF5" w14:textId="4D81063F" w:rsidR="000246AB" w:rsidRPr="005F21D6" w:rsidRDefault="000246AB" w:rsidP="000246AB">
            <w:pPr>
              <w:jc w:val="center"/>
              <w:rPr>
                <w:rFonts w:asciiTheme="minorHAnsi" w:hAnsiTheme="minorHAnsi" w:cstheme="minorHAnsi"/>
                <w:color w:val="000000"/>
                <w:sz w:val="18"/>
                <w:szCs w:val="18"/>
              </w:rPr>
            </w:pPr>
            <w:r>
              <w:rPr>
                <w:rFonts w:ascii="Calibri" w:hAnsi="Calibri" w:cs="Calibri"/>
                <w:color w:val="000000"/>
                <w:sz w:val="18"/>
                <w:szCs w:val="18"/>
              </w:rPr>
              <w:t>Diffuse large B-cell lymphoma (DLBCL)</w:t>
            </w:r>
          </w:p>
        </w:tc>
        <w:tc>
          <w:tcPr>
            <w:tcW w:w="238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1838545" w14:textId="69D96B3D" w:rsidR="000246AB" w:rsidRPr="005F21D6" w:rsidRDefault="000246AB" w:rsidP="000246AB">
            <w:pPr>
              <w:jc w:val="center"/>
              <w:rPr>
                <w:rFonts w:asciiTheme="minorHAnsi" w:hAnsiTheme="minorHAnsi" w:cstheme="minorHAnsi"/>
                <w:color w:val="000000"/>
                <w:sz w:val="18"/>
                <w:szCs w:val="18"/>
              </w:rPr>
            </w:pPr>
            <w:r>
              <w:rPr>
                <w:rFonts w:ascii="Calibri" w:hAnsi="Calibri" w:cs="Calibri"/>
                <w:color w:val="000000"/>
                <w:sz w:val="18"/>
                <w:szCs w:val="18"/>
              </w:rPr>
              <w:t xml:space="preserve">To request listing of </w:t>
            </w:r>
            <w:proofErr w:type="spellStart"/>
            <w:r>
              <w:rPr>
                <w:rFonts w:ascii="Calibri" w:hAnsi="Calibri" w:cs="Calibri"/>
                <w:color w:val="000000"/>
                <w:sz w:val="18"/>
                <w:szCs w:val="18"/>
              </w:rPr>
              <w:t>loncastuximab</w:t>
            </w:r>
            <w:proofErr w:type="spellEnd"/>
            <w:r>
              <w:rPr>
                <w:rFonts w:ascii="Calibri" w:hAnsi="Calibri" w:cs="Calibri"/>
                <w:color w:val="000000"/>
                <w:sz w:val="18"/>
                <w:szCs w:val="18"/>
              </w:rPr>
              <w:t xml:space="preserve"> </w:t>
            </w:r>
            <w:proofErr w:type="spellStart"/>
            <w:r>
              <w:rPr>
                <w:rFonts w:ascii="Calibri" w:hAnsi="Calibri" w:cs="Calibri"/>
                <w:color w:val="000000"/>
                <w:sz w:val="18"/>
                <w:szCs w:val="18"/>
              </w:rPr>
              <w:t>tesirine</w:t>
            </w:r>
            <w:proofErr w:type="spellEnd"/>
            <w:r>
              <w:rPr>
                <w:rFonts w:ascii="Calibri" w:hAnsi="Calibri" w:cs="Calibri"/>
                <w:color w:val="000000"/>
                <w:sz w:val="18"/>
                <w:szCs w:val="18"/>
              </w:rPr>
              <w:t xml:space="preserve"> for the treatment of adult patients with relapsed or refractory DLBCL who have received two or more prior lines of therapy.  </w:t>
            </w:r>
            <w:r>
              <w:rPr>
                <w:rFonts w:ascii="Calibri" w:hAnsi="Calibri" w:cs="Calibri"/>
                <w:color w:val="000000"/>
                <w:sz w:val="18"/>
                <w:szCs w:val="18"/>
              </w:rPr>
              <w:br/>
            </w:r>
            <w:r>
              <w:rPr>
                <w:rFonts w:ascii="Calibri" w:hAnsi="Calibri" w:cs="Calibri"/>
                <w:color w:val="000000"/>
                <w:sz w:val="18"/>
                <w:szCs w:val="18"/>
              </w:rPr>
              <w:br/>
              <w:t>Authority Required (Telephone/Online) for initial treatment</w:t>
            </w:r>
            <w:r>
              <w:rPr>
                <w:rFonts w:ascii="Calibri" w:hAnsi="Calibri" w:cs="Calibri"/>
                <w:color w:val="000000"/>
                <w:sz w:val="18"/>
                <w:szCs w:val="18"/>
              </w:rPr>
              <w:br/>
              <w:t>Authority Required (STREAMLINED) for continuing treatment</w:t>
            </w:r>
          </w:p>
        </w:tc>
        <w:tc>
          <w:tcPr>
            <w:tcW w:w="1415" w:type="dxa"/>
            <w:vAlign w:val="center"/>
          </w:tcPr>
          <w:p w14:paraId="1D9C81FC" w14:textId="54F3E085" w:rsidR="000246AB" w:rsidRPr="00544E10" w:rsidRDefault="000246AB" w:rsidP="00D428AC">
            <w:pPr>
              <w:ind w:left="11"/>
              <w:contextualSpacing/>
              <w:jc w:val="center"/>
              <w:rPr>
                <w:rFonts w:asciiTheme="minorHAnsi" w:hAnsiTheme="minorHAnsi" w:cstheme="minorHAnsi"/>
                <w:color w:val="000000" w:themeColor="text1"/>
                <w:sz w:val="18"/>
                <w:szCs w:val="18"/>
              </w:rPr>
            </w:pPr>
            <w:r>
              <w:rPr>
                <w:rFonts w:ascii="Calibri" w:hAnsi="Calibri" w:cs="Calibri"/>
                <w:color w:val="000000"/>
                <w:sz w:val="18"/>
                <w:szCs w:val="18"/>
              </w:rPr>
              <w:t>Not Recommended</w:t>
            </w:r>
          </w:p>
        </w:tc>
        <w:tc>
          <w:tcPr>
            <w:tcW w:w="4729" w:type="dxa"/>
            <w:vAlign w:val="bottom"/>
          </w:tcPr>
          <w:p w14:paraId="3F17D4DB" w14:textId="77777777" w:rsidR="000246AB" w:rsidRDefault="000246AB" w:rsidP="00D428AC">
            <w:pPr>
              <w:ind w:left="11"/>
              <w:contextualSpacing/>
              <w:rPr>
                <w:rFonts w:ascii="Calibri" w:hAnsi="Calibri" w:cs="Calibri"/>
                <w:color w:val="000000"/>
                <w:sz w:val="18"/>
                <w:szCs w:val="18"/>
              </w:rPr>
            </w:pPr>
            <w:r>
              <w:rPr>
                <w:rFonts w:ascii="Calibri" w:hAnsi="Calibri" w:cs="Calibri"/>
                <w:color w:val="000000"/>
                <w:sz w:val="18"/>
                <w:szCs w:val="18"/>
              </w:rPr>
              <w:t xml:space="preserve">The PBAC did not recommend </w:t>
            </w:r>
            <w:proofErr w:type="spellStart"/>
            <w:r>
              <w:rPr>
                <w:rFonts w:ascii="Calibri" w:hAnsi="Calibri" w:cs="Calibri"/>
                <w:color w:val="000000"/>
                <w:sz w:val="18"/>
                <w:szCs w:val="18"/>
              </w:rPr>
              <w:t>loncastuximab</w:t>
            </w:r>
            <w:proofErr w:type="spellEnd"/>
            <w:r>
              <w:rPr>
                <w:rFonts w:ascii="Calibri" w:hAnsi="Calibri" w:cs="Calibri"/>
                <w:color w:val="000000"/>
                <w:sz w:val="18"/>
                <w:szCs w:val="18"/>
              </w:rPr>
              <w:t xml:space="preserve"> </w:t>
            </w:r>
            <w:proofErr w:type="spellStart"/>
            <w:r>
              <w:rPr>
                <w:rFonts w:ascii="Calibri" w:hAnsi="Calibri" w:cs="Calibri"/>
                <w:color w:val="000000"/>
                <w:sz w:val="18"/>
                <w:szCs w:val="18"/>
              </w:rPr>
              <w:t>tesirine</w:t>
            </w:r>
            <w:proofErr w:type="spellEnd"/>
            <w:r>
              <w:rPr>
                <w:rFonts w:ascii="Calibri" w:hAnsi="Calibri" w:cs="Calibri"/>
                <w:color w:val="000000"/>
                <w:sz w:val="18"/>
                <w:szCs w:val="18"/>
              </w:rPr>
              <w:t xml:space="preserve"> for the treatment of adult patients with relapsed or refractory (R/R) diffuse large B-cell lymphoma (DLBCL) who have received two or more prior lines of therapy. </w:t>
            </w:r>
            <w:r>
              <w:rPr>
                <w:rFonts w:ascii="Calibri" w:hAnsi="Calibri" w:cs="Calibri"/>
                <w:color w:val="000000"/>
                <w:sz w:val="18"/>
                <w:szCs w:val="18"/>
              </w:rPr>
              <w:br/>
            </w:r>
            <w:r>
              <w:rPr>
                <w:rFonts w:ascii="Calibri" w:hAnsi="Calibri" w:cs="Calibri"/>
                <w:color w:val="000000"/>
                <w:sz w:val="18"/>
                <w:szCs w:val="18"/>
              </w:rPr>
              <w:br/>
              <w:t>The PBAC welcomed input from health care professionals and organisations. The PBAC acknowledged the need for therapies for patients unsuitable for, or relapsing after, CAR-T or bispecific therapies. The PBAC also noted some access and equity considerations, including the potential for delivery in regional cancer centres.</w:t>
            </w:r>
            <w:r>
              <w:rPr>
                <w:rFonts w:ascii="Calibri" w:hAnsi="Calibri" w:cs="Calibri"/>
                <w:color w:val="000000"/>
                <w:sz w:val="18"/>
                <w:szCs w:val="18"/>
              </w:rPr>
              <w:br/>
            </w:r>
            <w:r>
              <w:rPr>
                <w:rFonts w:ascii="Calibri" w:hAnsi="Calibri" w:cs="Calibri"/>
                <w:color w:val="000000"/>
                <w:sz w:val="18"/>
                <w:szCs w:val="18"/>
              </w:rPr>
              <w:br/>
              <w:t xml:space="preserve">The PBAC considered that limitations in the submission evidence did not allow confidence about the extent to which </w:t>
            </w:r>
            <w:proofErr w:type="spellStart"/>
            <w:r>
              <w:rPr>
                <w:rFonts w:ascii="Calibri" w:hAnsi="Calibri" w:cs="Calibri"/>
                <w:color w:val="000000"/>
                <w:sz w:val="18"/>
                <w:szCs w:val="18"/>
              </w:rPr>
              <w:t>loncastuximab</w:t>
            </w:r>
            <w:proofErr w:type="spellEnd"/>
            <w:r>
              <w:rPr>
                <w:rFonts w:ascii="Calibri" w:hAnsi="Calibri" w:cs="Calibri"/>
                <w:color w:val="000000"/>
                <w:sz w:val="18"/>
                <w:szCs w:val="18"/>
              </w:rPr>
              <w:t xml:space="preserve"> </w:t>
            </w:r>
            <w:proofErr w:type="spellStart"/>
            <w:r>
              <w:rPr>
                <w:rFonts w:ascii="Calibri" w:hAnsi="Calibri" w:cs="Calibri"/>
                <w:color w:val="000000"/>
                <w:sz w:val="18"/>
                <w:szCs w:val="18"/>
              </w:rPr>
              <w:t>tesirine</w:t>
            </w:r>
            <w:proofErr w:type="spellEnd"/>
            <w:r>
              <w:rPr>
                <w:rFonts w:ascii="Calibri" w:hAnsi="Calibri" w:cs="Calibri"/>
                <w:color w:val="000000"/>
                <w:sz w:val="18"/>
                <w:szCs w:val="18"/>
              </w:rPr>
              <w:t xml:space="preserve"> was more effective than chemoimmunotherapy. However, the PBAC accepted that it was likely reasonable, if uncertain, that </w:t>
            </w:r>
            <w:proofErr w:type="spellStart"/>
            <w:r>
              <w:rPr>
                <w:rFonts w:ascii="Calibri" w:hAnsi="Calibri" w:cs="Calibri"/>
                <w:color w:val="000000"/>
                <w:sz w:val="18"/>
                <w:szCs w:val="18"/>
              </w:rPr>
              <w:t>loncastuximab</w:t>
            </w:r>
            <w:proofErr w:type="spellEnd"/>
            <w:r>
              <w:rPr>
                <w:rFonts w:ascii="Calibri" w:hAnsi="Calibri" w:cs="Calibri"/>
                <w:color w:val="000000"/>
                <w:sz w:val="18"/>
                <w:szCs w:val="18"/>
              </w:rPr>
              <w:t xml:space="preserve"> </w:t>
            </w:r>
            <w:proofErr w:type="spellStart"/>
            <w:r>
              <w:rPr>
                <w:rFonts w:ascii="Calibri" w:hAnsi="Calibri" w:cs="Calibri"/>
                <w:color w:val="000000"/>
                <w:sz w:val="18"/>
                <w:szCs w:val="18"/>
              </w:rPr>
              <w:t>tesirine</w:t>
            </w:r>
            <w:proofErr w:type="spellEnd"/>
            <w:r>
              <w:rPr>
                <w:rFonts w:ascii="Calibri" w:hAnsi="Calibri" w:cs="Calibri"/>
                <w:color w:val="000000"/>
                <w:sz w:val="18"/>
                <w:szCs w:val="18"/>
              </w:rPr>
              <w:t xml:space="preserve"> would improve overall survival (the length of time patients remain alive) compared to chemoimmunotherapy. The PBAC considered it was reasonable to accept that the safety of </w:t>
            </w:r>
            <w:proofErr w:type="spellStart"/>
            <w:r>
              <w:rPr>
                <w:rFonts w:ascii="Calibri" w:hAnsi="Calibri" w:cs="Calibri"/>
                <w:color w:val="000000"/>
                <w:sz w:val="18"/>
                <w:szCs w:val="18"/>
              </w:rPr>
              <w:t>loncastuximab</w:t>
            </w:r>
            <w:proofErr w:type="spellEnd"/>
            <w:r>
              <w:rPr>
                <w:rFonts w:ascii="Calibri" w:hAnsi="Calibri" w:cs="Calibri"/>
                <w:color w:val="000000"/>
                <w:sz w:val="18"/>
                <w:szCs w:val="18"/>
              </w:rPr>
              <w:t xml:space="preserve"> </w:t>
            </w:r>
            <w:proofErr w:type="spellStart"/>
            <w:r>
              <w:rPr>
                <w:rFonts w:ascii="Calibri" w:hAnsi="Calibri" w:cs="Calibri"/>
                <w:color w:val="000000"/>
                <w:sz w:val="18"/>
                <w:szCs w:val="18"/>
              </w:rPr>
              <w:t>tesirine</w:t>
            </w:r>
            <w:proofErr w:type="spellEnd"/>
            <w:r>
              <w:rPr>
                <w:rFonts w:ascii="Calibri" w:hAnsi="Calibri" w:cs="Calibri"/>
                <w:color w:val="000000"/>
                <w:sz w:val="18"/>
                <w:szCs w:val="18"/>
              </w:rPr>
              <w:t xml:space="preserve"> was similar to chemoimmunotherapy. </w:t>
            </w:r>
            <w:r>
              <w:rPr>
                <w:rFonts w:ascii="Calibri" w:hAnsi="Calibri" w:cs="Calibri"/>
                <w:color w:val="000000"/>
                <w:sz w:val="18"/>
                <w:szCs w:val="18"/>
              </w:rPr>
              <w:br/>
            </w:r>
            <w:r>
              <w:rPr>
                <w:rFonts w:ascii="Calibri" w:hAnsi="Calibri" w:cs="Calibri"/>
                <w:color w:val="000000"/>
                <w:sz w:val="18"/>
                <w:szCs w:val="18"/>
              </w:rPr>
              <w:br/>
              <w:t xml:space="preserve">The PBAC considered that the claims made by the sponsor on the benefits of </w:t>
            </w:r>
            <w:proofErr w:type="spellStart"/>
            <w:r>
              <w:rPr>
                <w:rFonts w:ascii="Calibri" w:hAnsi="Calibri" w:cs="Calibri"/>
                <w:color w:val="000000"/>
                <w:sz w:val="18"/>
                <w:szCs w:val="18"/>
              </w:rPr>
              <w:t>loncastuximab</w:t>
            </w:r>
            <w:proofErr w:type="spellEnd"/>
            <w:r>
              <w:rPr>
                <w:rFonts w:ascii="Calibri" w:hAnsi="Calibri" w:cs="Calibri"/>
                <w:color w:val="000000"/>
                <w:sz w:val="18"/>
                <w:szCs w:val="18"/>
              </w:rPr>
              <w:t xml:space="preserve"> </w:t>
            </w:r>
            <w:proofErr w:type="spellStart"/>
            <w:r>
              <w:rPr>
                <w:rFonts w:ascii="Calibri" w:hAnsi="Calibri" w:cs="Calibri"/>
                <w:color w:val="000000"/>
                <w:sz w:val="18"/>
                <w:szCs w:val="18"/>
              </w:rPr>
              <w:t>tesirine</w:t>
            </w:r>
            <w:proofErr w:type="spellEnd"/>
            <w:r>
              <w:rPr>
                <w:rFonts w:ascii="Calibri" w:hAnsi="Calibri" w:cs="Calibri"/>
                <w:color w:val="000000"/>
                <w:sz w:val="18"/>
                <w:szCs w:val="18"/>
              </w:rPr>
              <w:t xml:space="preserve"> to justify its requested price were too optimistic given the uncertain benefits from the clinical data. The PBAC considered that in, addition to the changes to the assessment of costs associated with </w:t>
            </w:r>
            <w:proofErr w:type="spellStart"/>
            <w:r>
              <w:rPr>
                <w:rFonts w:ascii="Calibri" w:hAnsi="Calibri" w:cs="Calibri"/>
                <w:color w:val="000000"/>
                <w:sz w:val="18"/>
                <w:szCs w:val="18"/>
              </w:rPr>
              <w:t>loncastuximab</w:t>
            </w:r>
            <w:proofErr w:type="spellEnd"/>
            <w:r>
              <w:rPr>
                <w:rFonts w:ascii="Calibri" w:hAnsi="Calibri" w:cs="Calibri"/>
                <w:color w:val="000000"/>
                <w:sz w:val="18"/>
                <w:szCs w:val="18"/>
              </w:rPr>
              <w:t xml:space="preserve"> </w:t>
            </w:r>
            <w:proofErr w:type="spellStart"/>
            <w:r>
              <w:rPr>
                <w:rFonts w:ascii="Calibri" w:hAnsi="Calibri" w:cs="Calibri"/>
                <w:color w:val="000000"/>
                <w:sz w:val="18"/>
                <w:szCs w:val="18"/>
              </w:rPr>
              <w:t>tesirine</w:t>
            </w:r>
            <w:proofErr w:type="spellEnd"/>
            <w:r>
              <w:rPr>
                <w:rFonts w:ascii="Calibri" w:hAnsi="Calibri" w:cs="Calibri"/>
                <w:color w:val="000000"/>
                <w:sz w:val="18"/>
                <w:szCs w:val="18"/>
              </w:rPr>
              <w:t xml:space="preserve"> proposed by its Sub-Committees, an additional price reduction to the price reduction proposed by the sponsor before the PBAC meeting would be required to achieve cost-effectiveness. The Committee indicated that a financial arrangement with the sponsor would be appropriate to manage any risk that the cost to the PBS of listing </w:t>
            </w:r>
            <w:proofErr w:type="spellStart"/>
            <w:r>
              <w:rPr>
                <w:rFonts w:ascii="Calibri" w:hAnsi="Calibri" w:cs="Calibri"/>
                <w:color w:val="000000"/>
                <w:sz w:val="18"/>
                <w:szCs w:val="18"/>
              </w:rPr>
              <w:t>loncastuximab</w:t>
            </w:r>
            <w:proofErr w:type="spellEnd"/>
            <w:r>
              <w:rPr>
                <w:rFonts w:ascii="Calibri" w:hAnsi="Calibri" w:cs="Calibri"/>
                <w:color w:val="000000"/>
                <w:sz w:val="18"/>
                <w:szCs w:val="18"/>
              </w:rPr>
              <w:t xml:space="preserve"> </w:t>
            </w:r>
            <w:proofErr w:type="spellStart"/>
            <w:r>
              <w:rPr>
                <w:rFonts w:ascii="Calibri" w:hAnsi="Calibri" w:cs="Calibri"/>
                <w:color w:val="000000"/>
                <w:sz w:val="18"/>
                <w:szCs w:val="18"/>
              </w:rPr>
              <w:t>tesirine</w:t>
            </w:r>
            <w:proofErr w:type="spellEnd"/>
            <w:r>
              <w:rPr>
                <w:rFonts w:ascii="Calibri" w:hAnsi="Calibri" w:cs="Calibri"/>
                <w:color w:val="000000"/>
                <w:sz w:val="18"/>
                <w:szCs w:val="18"/>
              </w:rPr>
              <w:t xml:space="preserve"> is higher than expected. The PBAC advised that these matters could be addressed in an early re-entry submission.</w:t>
            </w:r>
          </w:p>
          <w:p w14:paraId="0F6E4C4F" w14:textId="77777777" w:rsidR="00524A2B" w:rsidRDefault="00524A2B" w:rsidP="00D428AC">
            <w:pPr>
              <w:ind w:left="11"/>
              <w:contextualSpacing/>
              <w:rPr>
                <w:rFonts w:ascii="Calibri" w:hAnsi="Calibri" w:cs="Calibri"/>
                <w:color w:val="000000"/>
                <w:sz w:val="18"/>
                <w:szCs w:val="18"/>
              </w:rPr>
            </w:pPr>
          </w:p>
          <w:p w14:paraId="08DC2FFE" w14:textId="77777777" w:rsidR="00524A2B" w:rsidRDefault="00524A2B" w:rsidP="00D428AC">
            <w:pPr>
              <w:ind w:left="11"/>
              <w:contextualSpacing/>
              <w:rPr>
                <w:rFonts w:ascii="Calibri" w:hAnsi="Calibri" w:cs="Calibri"/>
                <w:color w:val="000000"/>
                <w:sz w:val="18"/>
                <w:szCs w:val="18"/>
              </w:rPr>
            </w:pPr>
            <w:r>
              <w:rPr>
                <w:rFonts w:ascii="Calibri" w:hAnsi="Calibri" w:cs="Calibri"/>
                <w:color w:val="000000"/>
                <w:sz w:val="18"/>
                <w:szCs w:val="18"/>
              </w:rPr>
              <w:t>Sponsor’s comment:</w:t>
            </w:r>
          </w:p>
          <w:p w14:paraId="183352D4" w14:textId="75EB732E" w:rsidR="00C312E5" w:rsidRPr="00544E10" w:rsidRDefault="00C312E5" w:rsidP="00C312E5">
            <w:pPr>
              <w:contextualSpacing/>
              <w:rPr>
                <w:rFonts w:asciiTheme="minorHAnsi" w:hAnsiTheme="minorHAnsi" w:cstheme="minorHAnsi"/>
                <w:color w:val="000000" w:themeColor="text1"/>
                <w:sz w:val="18"/>
                <w:szCs w:val="18"/>
              </w:rPr>
            </w:pPr>
            <w:r>
              <w:rPr>
                <w:rFonts w:ascii="Calibri" w:hAnsi="Calibri" w:cs="Calibri"/>
                <w:color w:val="000000"/>
                <w:sz w:val="18"/>
                <w:szCs w:val="18"/>
              </w:rPr>
              <w:t>The sponsor had no comment.</w:t>
            </w:r>
          </w:p>
        </w:tc>
      </w:tr>
      <w:tr w:rsidR="00C312E5" w:rsidRPr="00544E10" w14:paraId="75191D20" w14:textId="77777777" w:rsidTr="003921D1">
        <w:trPr>
          <w:cantSplit/>
          <w:trHeight w:val="868"/>
        </w:trPr>
        <w:tc>
          <w:tcPr>
            <w:tcW w:w="294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70BF4EC" w14:textId="77777777" w:rsidR="0074253F" w:rsidRDefault="000246AB" w:rsidP="0074253F">
            <w:pPr>
              <w:spacing w:after="0"/>
              <w:jc w:val="center"/>
              <w:rPr>
                <w:rFonts w:ascii="Calibri" w:hAnsi="Calibri" w:cs="Calibri"/>
                <w:color w:val="000000"/>
                <w:sz w:val="18"/>
                <w:szCs w:val="18"/>
              </w:rPr>
            </w:pPr>
            <w:r>
              <w:rPr>
                <w:rFonts w:ascii="Calibri" w:hAnsi="Calibri" w:cs="Calibri"/>
                <w:color w:val="000000"/>
                <w:sz w:val="18"/>
                <w:szCs w:val="18"/>
              </w:rPr>
              <w:t>MEPOLIZUMAB</w:t>
            </w:r>
            <w:r>
              <w:rPr>
                <w:rFonts w:ascii="Calibri" w:hAnsi="Calibri" w:cs="Calibri"/>
                <w:color w:val="000000"/>
                <w:sz w:val="18"/>
                <w:szCs w:val="18"/>
              </w:rPr>
              <w:br/>
            </w:r>
            <w:r>
              <w:rPr>
                <w:rFonts w:ascii="Calibri" w:hAnsi="Calibri" w:cs="Calibri"/>
                <w:color w:val="000000"/>
                <w:sz w:val="18"/>
                <w:szCs w:val="18"/>
              </w:rPr>
              <w:br/>
              <w:t>Injection 100 mg in 1 mL single dose pre-filled pen</w:t>
            </w:r>
            <w:r>
              <w:rPr>
                <w:rFonts w:ascii="Calibri" w:hAnsi="Calibri" w:cs="Calibri"/>
                <w:color w:val="000000"/>
                <w:sz w:val="18"/>
                <w:szCs w:val="18"/>
              </w:rPr>
              <w:br/>
            </w:r>
            <w:r>
              <w:rPr>
                <w:rFonts w:ascii="Calibri" w:hAnsi="Calibri" w:cs="Calibri"/>
                <w:color w:val="000000"/>
                <w:sz w:val="18"/>
                <w:szCs w:val="18"/>
              </w:rPr>
              <w:br/>
              <w:t>Nucala®</w:t>
            </w:r>
            <w:r>
              <w:rPr>
                <w:rFonts w:ascii="Calibri" w:hAnsi="Calibri" w:cs="Calibri"/>
                <w:color w:val="000000"/>
                <w:sz w:val="18"/>
                <w:szCs w:val="18"/>
              </w:rPr>
              <w:br/>
            </w:r>
            <w:r>
              <w:rPr>
                <w:rFonts w:ascii="Calibri" w:hAnsi="Calibri" w:cs="Calibri"/>
                <w:color w:val="000000"/>
                <w:sz w:val="18"/>
                <w:szCs w:val="18"/>
              </w:rPr>
              <w:br/>
              <w:t>GLAXOSMITHKLINE AUSTRALIA PTY LTD</w:t>
            </w:r>
            <w:r>
              <w:rPr>
                <w:rFonts w:ascii="Calibri" w:hAnsi="Calibri" w:cs="Calibri"/>
                <w:color w:val="000000"/>
                <w:sz w:val="18"/>
                <w:szCs w:val="18"/>
              </w:rPr>
              <w:br/>
            </w:r>
            <w:r>
              <w:rPr>
                <w:rFonts w:ascii="Calibri" w:hAnsi="Calibri" w:cs="Calibri"/>
                <w:color w:val="000000"/>
                <w:sz w:val="18"/>
                <w:szCs w:val="18"/>
              </w:rPr>
              <w:br/>
              <w:t>Category 2</w:t>
            </w:r>
            <w:r>
              <w:rPr>
                <w:rFonts w:ascii="Calibri" w:hAnsi="Calibri" w:cs="Calibri"/>
                <w:color w:val="000000"/>
                <w:sz w:val="18"/>
                <w:szCs w:val="18"/>
              </w:rPr>
              <w:br/>
              <w:t xml:space="preserve">(Change to existing </w:t>
            </w:r>
            <w:r w:rsidR="00957109">
              <w:rPr>
                <w:rFonts w:ascii="Calibri" w:hAnsi="Calibri" w:cs="Calibri"/>
                <w:color w:val="000000"/>
                <w:sz w:val="18"/>
                <w:szCs w:val="18"/>
              </w:rPr>
              <w:t>listing)</w:t>
            </w:r>
            <w:r>
              <w:rPr>
                <w:rFonts w:ascii="Calibri" w:hAnsi="Calibri" w:cs="Calibri"/>
                <w:color w:val="000000"/>
                <w:sz w:val="18"/>
                <w:szCs w:val="18"/>
              </w:rPr>
              <w:br/>
            </w:r>
            <w:r>
              <w:rPr>
                <w:rFonts w:ascii="Calibri" w:hAnsi="Calibri" w:cs="Calibri"/>
                <w:color w:val="000000"/>
                <w:sz w:val="18"/>
                <w:szCs w:val="18"/>
              </w:rPr>
              <w:br/>
              <w:t xml:space="preserve">PBS Section 100 </w:t>
            </w:r>
          </w:p>
          <w:p w14:paraId="253D5556" w14:textId="67DA917A" w:rsidR="000246AB" w:rsidRPr="005F21D6" w:rsidRDefault="000246AB" w:rsidP="000246AB">
            <w:pPr>
              <w:jc w:val="center"/>
              <w:rPr>
                <w:rFonts w:asciiTheme="minorHAnsi" w:hAnsiTheme="minorHAnsi" w:cstheme="minorHAnsi"/>
                <w:color w:val="000000"/>
                <w:szCs w:val="20"/>
              </w:rPr>
            </w:pPr>
            <w:r>
              <w:rPr>
                <w:rFonts w:ascii="Calibri" w:hAnsi="Calibri" w:cs="Calibri"/>
                <w:color w:val="000000"/>
                <w:sz w:val="18"/>
                <w:szCs w:val="18"/>
              </w:rPr>
              <w:t>(Highly Specialised Drugs Program)</w:t>
            </w:r>
          </w:p>
        </w:tc>
        <w:tc>
          <w:tcPr>
            <w:tcW w:w="1983" w:type="dxa"/>
            <w:tcBorders>
              <w:top w:val="single" w:sz="4" w:space="0" w:color="auto"/>
              <w:left w:val="single" w:sz="4" w:space="0" w:color="auto"/>
              <w:bottom w:val="single" w:sz="4" w:space="0" w:color="auto"/>
              <w:right w:val="single" w:sz="4" w:space="0" w:color="auto"/>
            </w:tcBorders>
            <w:vAlign w:val="center"/>
          </w:tcPr>
          <w:p w14:paraId="3CFF8C79" w14:textId="459B4621" w:rsidR="000246AB" w:rsidRPr="005F21D6" w:rsidRDefault="000246AB" w:rsidP="000246AB">
            <w:pPr>
              <w:jc w:val="center"/>
              <w:rPr>
                <w:rFonts w:asciiTheme="minorHAnsi" w:hAnsiTheme="minorHAnsi" w:cstheme="minorHAnsi"/>
                <w:color w:val="000000"/>
                <w:sz w:val="18"/>
                <w:szCs w:val="18"/>
              </w:rPr>
            </w:pPr>
            <w:r>
              <w:rPr>
                <w:rFonts w:ascii="Calibri" w:hAnsi="Calibri" w:cs="Calibri"/>
                <w:color w:val="000000"/>
                <w:sz w:val="18"/>
                <w:szCs w:val="18"/>
              </w:rPr>
              <w:t>Chronic obstructive pulmonary disease (COPD)</w:t>
            </w:r>
          </w:p>
        </w:tc>
        <w:tc>
          <w:tcPr>
            <w:tcW w:w="238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2BCDBB2" w14:textId="70DE460A" w:rsidR="000246AB" w:rsidRPr="005F21D6" w:rsidRDefault="000246AB" w:rsidP="000246AB">
            <w:pPr>
              <w:jc w:val="center"/>
              <w:rPr>
                <w:rFonts w:asciiTheme="minorHAnsi" w:hAnsiTheme="minorHAnsi" w:cstheme="minorHAnsi"/>
                <w:color w:val="000000"/>
                <w:sz w:val="18"/>
                <w:szCs w:val="18"/>
              </w:rPr>
            </w:pPr>
            <w:r>
              <w:rPr>
                <w:rFonts w:ascii="Calibri" w:hAnsi="Calibri" w:cs="Calibri"/>
                <w:color w:val="000000"/>
                <w:sz w:val="18"/>
                <w:szCs w:val="18"/>
              </w:rPr>
              <w:t>To request listing of mepolizumab for use in combination with an inhaled corticosteroid (ICS), a long-acting beta-agonist (LABA), and a long-acting muscarinic antagonist (LAMA) for the treatment of adult patients with COPD characterised by an eosinophilic phenotype who continue to experience exacerbations.</w:t>
            </w:r>
            <w:r>
              <w:rPr>
                <w:rFonts w:ascii="Calibri" w:hAnsi="Calibri" w:cs="Calibri"/>
                <w:color w:val="000000"/>
                <w:sz w:val="18"/>
                <w:szCs w:val="18"/>
              </w:rPr>
              <w:br/>
            </w:r>
            <w:r>
              <w:rPr>
                <w:rFonts w:ascii="Calibri" w:hAnsi="Calibri" w:cs="Calibri"/>
                <w:color w:val="000000"/>
                <w:sz w:val="18"/>
                <w:szCs w:val="18"/>
              </w:rPr>
              <w:br/>
              <w:t>Authority Required (Written)</w:t>
            </w:r>
          </w:p>
        </w:tc>
        <w:tc>
          <w:tcPr>
            <w:tcW w:w="1415" w:type="dxa"/>
            <w:vAlign w:val="center"/>
          </w:tcPr>
          <w:p w14:paraId="1244F80F" w14:textId="1A31D69C" w:rsidR="000246AB" w:rsidRPr="00544E10" w:rsidRDefault="000246AB" w:rsidP="00D428AC">
            <w:pPr>
              <w:ind w:left="11"/>
              <w:contextualSpacing/>
              <w:jc w:val="center"/>
              <w:rPr>
                <w:rFonts w:asciiTheme="minorHAnsi" w:hAnsiTheme="minorHAnsi" w:cstheme="minorHAnsi"/>
                <w:color w:val="000000" w:themeColor="text1"/>
                <w:sz w:val="18"/>
                <w:szCs w:val="18"/>
              </w:rPr>
            </w:pPr>
            <w:r>
              <w:rPr>
                <w:rFonts w:ascii="Calibri" w:hAnsi="Calibri" w:cs="Calibri"/>
                <w:color w:val="000000"/>
                <w:sz w:val="18"/>
                <w:szCs w:val="18"/>
              </w:rPr>
              <w:t>Recommended</w:t>
            </w:r>
          </w:p>
        </w:tc>
        <w:tc>
          <w:tcPr>
            <w:tcW w:w="4729" w:type="dxa"/>
            <w:vAlign w:val="center"/>
          </w:tcPr>
          <w:p w14:paraId="7AED1A5B" w14:textId="0502E495" w:rsidR="000246AB" w:rsidRPr="00544E10" w:rsidRDefault="000246AB" w:rsidP="00D428AC">
            <w:pPr>
              <w:ind w:left="11"/>
              <w:contextualSpacing/>
              <w:rPr>
                <w:rFonts w:asciiTheme="minorHAnsi" w:hAnsiTheme="minorHAnsi" w:cstheme="minorHAnsi"/>
                <w:color w:val="000000" w:themeColor="text1"/>
                <w:sz w:val="18"/>
                <w:szCs w:val="18"/>
              </w:rPr>
            </w:pPr>
            <w:r>
              <w:rPr>
                <w:rFonts w:ascii="Calibri" w:hAnsi="Calibri" w:cs="Calibri"/>
                <w:color w:val="000000"/>
                <w:sz w:val="18"/>
                <w:szCs w:val="18"/>
              </w:rPr>
              <w:t xml:space="preserve">The PBAC recommended the listing of mepolizumab as an add-on maintenance treatment for adults with uncontrolled chronic obstructive pulmonary disease (COPD) and type 2 inflammation (blood eosinophil ≥ 300 cells/µL). In making this recommendation, the PBAC accepted that there was a persistent clinical need for treatment options in patients who continue to experience exacerbations while receiving treatment with triple inhaled therapy. </w:t>
            </w:r>
            <w:r>
              <w:rPr>
                <w:rFonts w:ascii="Calibri" w:hAnsi="Calibri" w:cs="Calibri"/>
                <w:color w:val="000000"/>
                <w:sz w:val="18"/>
                <w:szCs w:val="18"/>
              </w:rPr>
              <w:br/>
            </w:r>
            <w:r>
              <w:rPr>
                <w:rFonts w:ascii="Calibri" w:hAnsi="Calibri" w:cs="Calibri"/>
                <w:color w:val="000000"/>
                <w:sz w:val="18"/>
                <w:szCs w:val="18"/>
              </w:rPr>
              <w:br/>
              <w:t>The PBAC acknowledged the support for this listing from individuals who would like access to mepolizumab, health care professionals and organisations. The PBAC noted that comments highlighted that COPD exacerbations (i.e. sudden worsening of symptoms) significantly limited daily functioning, contributed to a reduced quality of life, and increased the likelihood of future exacerbations. Comments also highlighted the importance of additional treatment options to help manage the significant disease burden, reduce reliance on oral corticosteroids, and ultimately improve long-term outcomes.</w:t>
            </w:r>
            <w:r>
              <w:rPr>
                <w:rFonts w:ascii="Calibri" w:hAnsi="Calibri" w:cs="Calibri"/>
                <w:color w:val="000000"/>
                <w:sz w:val="18"/>
                <w:szCs w:val="18"/>
              </w:rPr>
              <w:br/>
            </w:r>
            <w:r>
              <w:rPr>
                <w:rFonts w:ascii="Calibri" w:hAnsi="Calibri" w:cs="Calibri"/>
                <w:color w:val="000000"/>
                <w:sz w:val="18"/>
                <w:szCs w:val="18"/>
              </w:rPr>
              <w:br/>
              <w:t xml:space="preserve">Overall, the PBAC considered that the submission’s claim that mepolizumab was more effective compared to triple inhaled therapy alone was reasonable but that the evidence did not allow certainty about the extent to which the additional benefit would be realised. </w:t>
            </w:r>
            <w:r>
              <w:rPr>
                <w:rFonts w:ascii="Calibri" w:hAnsi="Calibri" w:cs="Calibri"/>
                <w:color w:val="000000"/>
                <w:sz w:val="18"/>
                <w:szCs w:val="18"/>
              </w:rPr>
              <w:br/>
            </w:r>
            <w:r>
              <w:rPr>
                <w:rFonts w:ascii="Calibri" w:hAnsi="Calibri" w:cs="Calibri"/>
                <w:color w:val="000000"/>
                <w:sz w:val="18"/>
                <w:szCs w:val="18"/>
              </w:rPr>
              <w:br/>
              <w:t>The PBAC considered that a price reduction was required for mepolizumab to be considered cost-effective and that further revisions to the estimated number of patients that would use mepolizumab were required. The PBAC considered that with these revisions, the remaining uncertainties related to the estimated costs of listing mepolizumab could be managed through an arrangement to manage financial risk. The PBAC advised that if listed, the arrangement should also include dupilumab, which the PBAC also considered at the March 2026 meeting for the treatment of the same population.</w:t>
            </w:r>
            <w:r>
              <w:rPr>
                <w:rFonts w:ascii="Calibri" w:hAnsi="Calibri" w:cs="Calibri"/>
                <w:color w:val="000000"/>
                <w:sz w:val="18"/>
                <w:szCs w:val="18"/>
              </w:rPr>
              <w:br/>
            </w:r>
            <w:r>
              <w:rPr>
                <w:rFonts w:ascii="Calibri" w:hAnsi="Calibri" w:cs="Calibri"/>
                <w:color w:val="000000"/>
                <w:sz w:val="18"/>
                <w:szCs w:val="18"/>
              </w:rPr>
              <w:br/>
              <w:t>The PBAC noted that flow-on changes to all PBS-subsidised biological medicines listed for nasal polyps, uncontrolled severe allergic asthma, and uncontrolled severe asthma will be required to prevent use of more than one biologic at a time for these indications including uncontrolled COPD.</w:t>
            </w:r>
          </w:p>
        </w:tc>
      </w:tr>
      <w:tr w:rsidR="00C312E5" w:rsidRPr="00544E10" w14:paraId="6E7F335F" w14:textId="77777777" w:rsidTr="003921D1">
        <w:trPr>
          <w:cantSplit/>
          <w:trHeight w:val="868"/>
        </w:trPr>
        <w:tc>
          <w:tcPr>
            <w:tcW w:w="294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F7F4F6E" w14:textId="441EA17A" w:rsidR="009B5D3F" w:rsidRPr="005F21D6" w:rsidRDefault="009B5D3F" w:rsidP="009B5D3F">
            <w:pPr>
              <w:jc w:val="center"/>
              <w:rPr>
                <w:rFonts w:asciiTheme="minorHAnsi" w:hAnsiTheme="minorHAnsi" w:cstheme="minorHAnsi"/>
                <w:color w:val="000000"/>
                <w:szCs w:val="20"/>
              </w:rPr>
            </w:pPr>
            <w:r>
              <w:rPr>
                <w:rFonts w:ascii="Calibri" w:hAnsi="Calibri" w:cs="Calibri"/>
                <w:color w:val="000000"/>
                <w:sz w:val="18"/>
                <w:szCs w:val="18"/>
              </w:rPr>
              <w:t>MULTICOMPONENT MENINGOCOCCAL GROUP B VACCINE</w:t>
            </w:r>
            <w:r>
              <w:rPr>
                <w:rFonts w:ascii="Calibri" w:hAnsi="Calibri" w:cs="Calibri"/>
                <w:color w:val="000000"/>
                <w:sz w:val="18"/>
                <w:szCs w:val="18"/>
              </w:rPr>
              <w:br/>
            </w:r>
            <w:r>
              <w:rPr>
                <w:rFonts w:ascii="Calibri" w:hAnsi="Calibri" w:cs="Calibri"/>
                <w:color w:val="000000"/>
                <w:sz w:val="18"/>
                <w:szCs w:val="18"/>
              </w:rPr>
              <w:br/>
              <w:t>Injection (0.5mL)</w:t>
            </w:r>
            <w:r>
              <w:rPr>
                <w:rFonts w:ascii="Calibri" w:hAnsi="Calibri" w:cs="Calibri"/>
                <w:color w:val="000000"/>
                <w:sz w:val="18"/>
                <w:szCs w:val="18"/>
              </w:rPr>
              <w:br/>
            </w:r>
            <w:r>
              <w:rPr>
                <w:rFonts w:ascii="Calibri" w:hAnsi="Calibri" w:cs="Calibri"/>
                <w:color w:val="000000"/>
                <w:sz w:val="18"/>
                <w:szCs w:val="18"/>
              </w:rPr>
              <w:br/>
              <w:t>Bexsero®</w:t>
            </w:r>
            <w:r>
              <w:rPr>
                <w:rFonts w:ascii="Calibri" w:hAnsi="Calibri" w:cs="Calibri"/>
                <w:color w:val="000000"/>
                <w:sz w:val="18"/>
                <w:szCs w:val="18"/>
              </w:rPr>
              <w:br/>
            </w:r>
            <w:r>
              <w:rPr>
                <w:rFonts w:ascii="Calibri" w:hAnsi="Calibri" w:cs="Calibri"/>
                <w:color w:val="000000"/>
                <w:sz w:val="18"/>
                <w:szCs w:val="18"/>
              </w:rPr>
              <w:br/>
              <w:t>GLAXOSMITHKLINE AUSTRALIA PTY LTD</w:t>
            </w:r>
            <w:r>
              <w:rPr>
                <w:rFonts w:ascii="Calibri" w:hAnsi="Calibri" w:cs="Calibri"/>
                <w:color w:val="000000"/>
                <w:sz w:val="18"/>
                <w:szCs w:val="18"/>
              </w:rPr>
              <w:br/>
            </w:r>
            <w:r>
              <w:rPr>
                <w:rFonts w:ascii="Calibri" w:hAnsi="Calibri" w:cs="Calibri"/>
                <w:color w:val="000000"/>
                <w:sz w:val="18"/>
                <w:szCs w:val="18"/>
              </w:rPr>
              <w:br/>
            </w:r>
            <w:r>
              <w:rPr>
                <w:rFonts w:ascii="Calibri" w:hAnsi="Calibri" w:cs="Calibri"/>
                <w:color w:val="000000"/>
                <w:sz w:val="18"/>
                <w:szCs w:val="18"/>
              </w:rPr>
              <w:br/>
              <w:t xml:space="preserve">(Change to existing NIP </w:t>
            </w:r>
            <w:r w:rsidR="00957109">
              <w:rPr>
                <w:rFonts w:ascii="Calibri" w:hAnsi="Calibri" w:cs="Calibri"/>
                <w:color w:val="000000"/>
                <w:sz w:val="18"/>
                <w:szCs w:val="18"/>
              </w:rPr>
              <w:t>listing)</w:t>
            </w:r>
          </w:p>
        </w:tc>
        <w:tc>
          <w:tcPr>
            <w:tcW w:w="1983" w:type="dxa"/>
            <w:tcBorders>
              <w:top w:val="single" w:sz="4" w:space="0" w:color="auto"/>
              <w:left w:val="single" w:sz="4" w:space="0" w:color="auto"/>
              <w:bottom w:val="single" w:sz="4" w:space="0" w:color="auto"/>
              <w:right w:val="single" w:sz="4" w:space="0" w:color="auto"/>
            </w:tcBorders>
            <w:vAlign w:val="center"/>
          </w:tcPr>
          <w:p w14:paraId="32172413" w14:textId="0BFBC95F" w:rsidR="009B5D3F" w:rsidRPr="005F21D6" w:rsidRDefault="009B5D3F" w:rsidP="009B5D3F">
            <w:pPr>
              <w:jc w:val="center"/>
              <w:rPr>
                <w:rFonts w:asciiTheme="minorHAnsi" w:hAnsiTheme="minorHAnsi" w:cstheme="minorHAnsi"/>
                <w:color w:val="000000"/>
                <w:sz w:val="18"/>
                <w:szCs w:val="18"/>
              </w:rPr>
            </w:pPr>
            <w:r>
              <w:rPr>
                <w:rFonts w:ascii="Calibri" w:hAnsi="Calibri" w:cs="Calibri"/>
                <w:color w:val="000000"/>
                <w:sz w:val="18"/>
                <w:szCs w:val="18"/>
              </w:rPr>
              <w:t>Prevention of invasive meningococcal disease (IMD) caused by Neisseria meningitidis group B strains</w:t>
            </w:r>
          </w:p>
        </w:tc>
        <w:tc>
          <w:tcPr>
            <w:tcW w:w="238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CCFC312" w14:textId="556900D3" w:rsidR="009B5D3F" w:rsidRPr="005F21D6" w:rsidRDefault="009B5D3F" w:rsidP="009B5D3F">
            <w:pPr>
              <w:jc w:val="center"/>
              <w:rPr>
                <w:rFonts w:asciiTheme="minorHAnsi" w:hAnsiTheme="minorHAnsi" w:cstheme="minorHAnsi"/>
                <w:color w:val="000000"/>
                <w:sz w:val="18"/>
                <w:szCs w:val="18"/>
              </w:rPr>
            </w:pPr>
            <w:r>
              <w:rPr>
                <w:rFonts w:ascii="Calibri" w:hAnsi="Calibri" w:cs="Calibri"/>
                <w:color w:val="000000"/>
                <w:sz w:val="18"/>
                <w:szCs w:val="18"/>
              </w:rPr>
              <w:t>To request  the PBAC consider a proposal to expand the current National Immunisation Program (NIP) listing of Bexsero for use in broader infant and adolescent populations to prevent IMD caused by Neisseria meningitidis group B.</w:t>
            </w:r>
          </w:p>
        </w:tc>
        <w:tc>
          <w:tcPr>
            <w:tcW w:w="1415" w:type="dxa"/>
            <w:vAlign w:val="center"/>
          </w:tcPr>
          <w:p w14:paraId="097B5F09" w14:textId="38518B26" w:rsidR="009B5D3F" w:rsidRPr="00544E10" w:rsidRDefault="009B5D3F" w:rsidP="00D428AC">
            <w:pPr>
              <w:ind w:left="11"/>
              <w:contextualSpacing/>
              <w:jc w:val="center"/>
              <w:rPr>
                <w:rFonts w:asciiTheme="minorHAnsi" w:hAnsiTheme="minorHAnsi" w:cstheme="minorHAnsi"/>
                <w:color w:val="000000" w:themeColor="text1"/>
                <w:sz w:val="18"/>
                <w:szCs w:val="18"/>
              </w:rPr>
            </w:pPr>
            <w:r>
              <w:rPr>
                <w:rFonts w:ascii="Calibri" w:hAnsi="Calibri" w:cs="Calibri"/>
                <w:color w:val="000000"/>
                <w:sz w:val="18"/>
                <w:szCs w:val="18"/>
              </w:rPr>
              <w:t>Advice Provided</w:t>
            </w:r>
          </w:p>
        </w:tc>
        <w:tc>
          <w:tcPr>
            <w:tcW w:w="4729" w:type="dxa"/>
            <w:vAlign w:val="center"/>
          </w:tcPr>
          <w:p w14:paraId="5CF99969" w14:textId="2B540B3F" w:rsidR="009B5D3F" w:rsidRPr="00544E10" w:rsidRDefault="009B5D3F" w:rsidP="00D428AC">
            <w:pPr>
              <w:ind w:left="11"/>
              <w:contextualSpacing/>
              <w:rPr>
                <w:rFonts w:asciiTheme="minorHAnsi" w:hAnsiTheme="minorHAnsi" w:cstheme="minorHAnsi"/>
                <w:color w:val="000000" w:themeColor="text1"/>
                <w:sz w:val="18"/>
                <w:szCs w:val="18"/>
              </w:rPr>
            </w:pPr>
            <w:r>
              <w:rPr>
                <w:rFonts w:ascii="Calibri" w:hAnsi="Calibri" w:cs="Calibri"/>
                <w:color w:val="000000"/>
                <w:sz w:val="18"/>
                <w:szCs w:val="18"/>
              </w:rPr>
              <w:t xml:space="preserve">The PBAC considered that there was not enough evidence provided to change its previous advice on expanding the population who are eligible for Bexsero immunisation against disease caused by Meningococcal B strains on the National Immunisation Program to include all infants under 2 years old and adolescents through catch-up programs. The PBAC accepted that the clinical need for Bexsero remains well established, the vaccine was effective and the safety profile was acceptable. The PBAC noted that there may be potential public health benefits associated with routine Bexsero vaccination, however these were outside the remit of PBAC’s standard decision-making criteria and did not justify potential additional costs to Australian taxpayers. The PBAC advised that a price reduction would be required to achieve acceptable cost-effectiveness for Bexsero. </w:t>
            </w:r>
          </w:p>
        </w:tc>
      </w:tr>
      <w:tr w:rsidR="00C312E5" w:rsidRPr="00544E10" w14:paraId="546CBAE4" w14:textId="77777777" w:rsidTr="003921D1">
        <w:trPr>
          <w:cantSplit/>
          <w:trHeight w:val="868"/>
        </w:trPr>
        <w:tc>
          <w:tcPr>
            <w:tcW w:w="294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0E2C8BD" w14:textId="6625AFDE" w:rsidR="009B5D3F" w:rsidRPr="005F21D6" w:rsidRDefault="009B5D3F" w:rsidP="009B5D3F">
            <w:pPr>
              <w:jc w:val="center"/>
              <w:rPr>
                <w:rFonts w:asciiTheme="minorHAnsi" w:hAnsiTheme="minorHAnsi" w:cstheme="minorHAnsi"/>
                <w:color w:val="000000"/>
                <w:szCs w:val="20"/>
              </w:rPr>
            </w:pPr>
            <w:r>
              <w:rPr>
                <w:rFonts w:ascii="Calibri" w:hAnsi="Calibri" w:cs="Calibri"/>
                <w:color w:val="000000"/>
                <w:sz w:val="18"/>
                <w:szCs w:val="18"/>
              </w:rPr>
              <w:t>NEMOLIZUMAB</w:t>
            </w:r>
            <w:r>
              <w:rPr>
                <w:rFonts w:ascii="Calibri" w:hAnsi="Calibri" w:cs="Calibri"/>
                <w:color w:val="000000"/>
                <w:sz w:val="18"/>
                <w:szCs w:val="18"/>
              </w:rPr>
              <w:br/>
            </w:r>
            <w:r>
              <w:rPr>
                <w:rFonts w:ascii="Calibri" w:hAnsi="Calibri" w:cs="Calibri"/>
                <w:color w:val="000000"/>
                <w:sz w:val="18"/>
                <w:szCs w:val="18"/>
              </w:rPr>
              <w:br/>
              <w:t xml:space="preserve">Powder for injection containing </w:t>
            </w:r>
            <w:proofErr w:type="spellStart"/>
            <w:r>
              <w:rPr>
                <w:rFonts w:ascii="Calibri" w:hAnsi="Calibri" w:cs="Calibri"/>
                <w:color w:val="000000"/>
                <w:sz w:val="18"/>
                <w:szCs w:val="18"/>
              </w:rPr>
              <w:t>nemolizumab</w:t>
            </w:r>
            <w:proofErr w:type="spellEnd"/>
            <w:r>
              <w:rPr>
                <w:rFonts w:ascii="Calibri" w:hAnsi="Calibri" w:cs="Calibri"/>
                <w:color w:val="000000"/>
                <w:sz w:val="18"/>
                <w:szCs w:val="18"/>
              </w:rPr>
              <w:t xml:space="preserve"> 30 mg with diluent in pre-filled dual-chamber pen</w:t>
            </w:r>
            <w:r>
              <w:rPr>
                <w:rFonts w:ascii="Calibri" w:hAnsi="Calibri" w:cs="Calibri"/>
                <w:color w:val="000000"/>
                <w:sz w:val="18"/>
                <w:szCs w:val="18"/>
              </w:rPr>
              <w:br/>
            </w:r>
            <w:r>
              <w:rPr>
                <w:rFonts w:ascii="Calibri" w:hAnsi="Calibri" w:cs="Calibri"/>
                <w:color w:val="000000"/>
                <w:sz w:val="18"/>
                <w:szCs w:val="18"/>
              </w:rPr>
              <w:br/>
            </w:r>
            <w:proofErr w:type="spellStart"/>
            <w:r>
              <w:rPr>
                <w:rFonts w:ascii="Calibri" w:hAnsi="Calibri" w:cs="Calibri"/>
                <w:color w:val="000000"/>
                <w:sz w:val="18"/>
                <w:szCs w:val="18"/>
              </w:rPr>
              <w:t>Nemluvio</w:t>
            </w:r>
            <w:proofErr w:type="spellEnd"/>
            <w:r>
              <w:rPr>
                <w:rFonts w:ascii="Calibri" w:hAnsi="Calibri" w:cs="Calibri"/>
                <w:color w:val="000000"/>
                <w:sz w:val="18"/>
                <w:szCs w:val="18"/>
              </w:rPr>
              <w:t>®</w:t>
            </w:r>
            <w:r>
              <w:rPr>
                <w:rFonts w:ascii="Calibri" w:hAnsi="Calibri" w:cs="Calibri"/>
                <w:color w:val="000000"/>
                <w:sz w:val="18"/>
                <w:szCs w:val="18"/>
              </w:rPr>
              <w:br/>
            </w:r>
            <w:r>
              <w:rPr>
                <w:rFonts w:ascii="Calibri" w:hAnsi="Calibri" w:cs="Calibri"/>
                <w:color w:val="000000"/>
                <w:sz w:val="18"/>
                <w:szCs w:val="18"/>
              </w:rPr>
              <w:br/>
              <w:t>GALDERMA AUSTRALIA PTY LTD</w:t>
            </w:r>
            <w:r>
              <w:rPr>
                <w:rFonts w:ascii="Calibri" w:hAnsi="Calibri" w:cs="Calibri"/>
                <w:color w:val="000000"/>
                <w:sz w:val="18"/>
                <w:szCs w:val="18"/>
              </w:rPr>
              <w:br/>
            </w:r>
            <w:r>
              <w:rPr>
                <w:rFonts w:ascii="Calibri" w:hAnsi="Calibri" w:cs="Calibri"/>
                <w:color w:val="000000"/>
                <w:sz w:val="18"/>
                <w:szCs w:val="18"/>
              </w:rPr>
              <w:br/>
              <w:t>Standard re-entry</w:t>
            </w:r>
            <w:r>
              <w:rPr>
                <w:rFonts w:ascii="Calibri" w:hAnsi="Calibri" w:cs="Calibri"/>
                <w:color w:val="000000"/>
                <w:sz w:val="18"/>
                <w:szCs w:val="18"/>
              </w:rPr>
              <w:br/>
              <w:t>(New PBS listing</w:t>
            </w:r>
            <w:r w:rsidR="00957109">
              <w:rPr>
                <w:rFonts w:ascii="Calibri" w:hAnsi="Calibri" w:cs="Calibri"/>
                <w:color w:val="000000"/>
                <w:sz w:val="18"/>
                <w:szCs w:val="18"/>
              </w:rPr>
              <w:t>)</w:t>
            </w:r>
            <w:r>
              <w:rPr>
                <w:rFonts w:ascii="Calibri" w:hAnsi="Calibri" w:cs="Calibri"/>
                <w:color w:val="000000"/>
                <w:sz w:val="18"/>
                <w:szCs w:val="18"/>
              </w:rPr>
              <w:br/>
            </w:r>
            <w:r>
              <w:rPr>
                <w:rFonts w:ascii="Calibri" w:hAnsi="Calibri" w:cs="Calibri"/>
                <w:color w:val="000000"/>
                <w:sz w:val="18"/>
                <w:szCs w:val="18"/>
              </w:rPr>
              <w:br/>
              <w:t>PBS General Schedule</w:t>
            </w:r>
          </w:p>
        </w:tc>
        <w:tc>
          <w:tcPr>
            <w:tcW w:w="1983" w:type="dxa"/>
            <w:tcBorders>
              <w:top w:val="single" w:sz="4" w:space="0" w:color="auto"/>
              <w:left w:val="single" w:sz="4" w:space="0" w:color="auto"/>
              <w:bottom w:val="single" w:sz="4" w:space="0" w:color="auto"/>
              <w:right w:val="single" w:sz="4" w:space="0" w:color="auto"/>
            </w:tcBorders>
            <w:vAlign w:val="center"/>
          </w:tcPr>
          <w:p w14:paraId="373BACA3" w14:textId="02FB088E" w:rsidR="009B5D3F" w:rsidRPr="005F21D6" w:rsidRDefault="009B5D3F" w:rsidP="009B5D3F">
            <w:pPr>
              <w:jc w:val="center"/>
              <w:rPr>
                <w:rFonts w:asciiTheme="minorHAnsi" w:hAnsiTheme="minorHAnsi" w:cstheme="minorHAnsi"/>
                <w:color w:val="000000"/>
                <w:sz w:val="18"/>
                <w:szCs w:val="18"/>
              </w:rPr>
            </w:pPr>
            <w:r>
              <w:rPr>
                <w:rFonts w:ascii="Calibri" w:hAnsi="Calibri" w:cs="Calibri"/>
                <w:color w:val="000000"/>
                <w:sz w:val="18"/>
                <w:szCs w:val="18"/>
              </w:rPr>
              <w:t>Atopic dermatitis</w:t>
            </w:r>
          </w:p>
        </w:tc>
        <w:tc>
          <w:tcPr>
            <w:tcW w:w="238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75AC8FA" w14:textId="7383DA71" w:rsidR="009B5D3F" w:rsidRPr="005F21D6" w:rsidRDefault="009B5D3F" w:rsidP="009B5D3F">
            <w:pPr>
              <w:jc w:val="center"/>
              <w:rPr>
                <w:rFonts w:asciiTheme="minorHAnsi" w:hAnsiTheme="minorHAnsi" w:cstheme="minorHAnsi"/>
                <w:color w:val="000000"/>
                <w:sz w:val="18"/>
                <w:szCs w:val="18"/>
              </w:rPr>
            </w:pPr>
            <w:r>
              <w:rPr>
                <w:rFonts w:ascii="Calibri" w:hAnsi="Calibri" w:cs="Calibri"/>
                <w:color w:val="000000"/>
                <w:sz w:val="18"/>
                <w:szCs w:val="18"/>
              </w:rPr>
              <w:t xml:space="preserve">Resubmission to request listing of </w:t>
            </w:r>
            <w:proofErr w:type="spellStart"/>
            <w:r>
              <w:rPr>
                <w:rFonts w:ascii="Calibri" w:hAnsi="Calibri" w:cs="Calibri"/>
                <w:color w:val="000000"/>
                <w:sz w:val="18"/>
                <w:szCs w:val="18"/>
              </w:rPr>
              <w:t>nemolizumab</w:t>
            </w:r>
            <w:proofErr w:type="spellEnd"/>
            <w:r>
              <w:rPr>
                <w:rFonts w:ascii="Calibri" w:hAnsi="Calibri" w:cs="Calibri"/>
                <w:color w:val="000000"/>
                <w:sz w:val="18"/>
                <w:szCs w:val="18"/>
              </w:rPr>
              <w:t xml:space="preserve"> for the treatment of moderate to severe atopic dermatitis in patients aged 12 years and older who are eligible for systemic therapy.</w:t>
            </w:r>
            <w:r>
              <w:rPr>
                <w:rFonts w:ascii="Calibri" w:hAnsi="Calibri" w:cs="Calibri"/>
                <w:color w:val="000000"/>
                <w:sz w:val="18"/>
                <w:szCs w:val="18"/>
              </w:rPr>
              <w:br/>
            </w:r>
            <w:r>
              <w:rPr>
                <w:rFonts w:ascii="Calibri" w:hAnsi="Calibri" w:cs="Calibri"/>
                <w:color w:val="000000"/>
                <w:sz w:val="18"/>
                <w:szCs w:val="18"/>
              </w:rPr>
              <w:br/>
              <w:t xml:space="preserve">Authority Required (Telephone/Online) </w:t>
            </w:r>
          </w:p>
        </w:tc>
        <w:tc>
          <w:tcPr>
            <w:tcW w:w="1415" w:type="dxa"/>
            <w:vAlign w:val="center"/>
          </w:tcPr>
          <w:p w14:paraId="40DCD78B" w14:textId="24601D5C" w:rsidR="009B5D3F" w:rsidRPr="00544E10" w:rsidRDefault="009B5D3F" w:rsidP="00D428AC">
            <w:pPr>
              <w:ind w:left="11"/>
              <w:contextualSpacing/>
              <w:jc w:val="center"/>
              <w:rPr>
                <w:rFonts w:asciiTheme="minorHAnsi" w:hAnsiTheme="minorHAnsi" w:cstheme="minorHAnsi"/>
                <w:color w:val="000000" w:themeColor="text1"/>
                <w:sz w:val="18"/>
                <w:szCs w:val="18"/>
              </w:rPr>
            </w:pPr>
            <w:r>
              <w:rPr>
                <w:rFonts w:ascii="Calibri" w:hAnsi="Calibri" w:cs="Calibri"/>
                <w:color w:val="000000"/>
                <w:sz w:val="18"/>
                <w:szCs w:val="18"/>
              </w:rPr>
              <w:t>Recommended</w:t>
            </w:r>
          </w:p>
        </w:tc>
        <w:tc>
          <w:tcPr>
            <w:tcW w:w="4729" w:type="dxa"/>
            <w:vAlign w:val="center"/>
          </w:tcPr>
          <w:p w14:paraId="7345B63A" w14:textId="16532A04" w:rsidR="009B5D3F" w:rsidRPr="00544E10" w:rsidRDefault="009B5D3F" w:rsidP="00D428AC">
            <w:pPr>
              <w:ind w:left="11"/>
              <w:contextualSpacing/>
              <w:rPr>
                <w:rFonts w:asciiTheme="minorHAnsi" w:hAnsiTheme="minorHAnsi" w:cstheme="minorHAnsi"/>
                <w:color w:val="000000" w:themeColor="text1"/>
                <w:sz w:val="18"/>
                <w:szCs w:val="18"/>
              </w:rPr>
            </w:pPr>
            <w:r>
              <w:rPr>
                <w:rFonts w:ascii="Calibri" w:hAnsi="Calibri" w:cs="Calibri"/>
                <w:color w:val="000000"/>
                <w:sz w:val="18"/>
                <w:szCs w:val="18"/>
              </w:rPr>
              <w:t xml:space="preserve">The PBAC recommend the listing of </w:t>
            </w:r>
            <w:proofErr w:type="spellStart"/>
            <w:r>
              <w:rPr>
                <w:rFonts w:ascii="Calibri" w:hAnsi="Calibri" w:cs="Calibri"/>
                <w:color w:val="000000"/>
                <w:sz w:val="18"/>
                <w:szCs w:val="18"/>
              </w:rPr>
              <w:t>nemolizumab</w:t>
            </w:r>
            <w:proofErr w:type="spellEnd"/>
            <w:r>
              <w:rPr>
                <w:rFonts w:ascii="Calibri" w:hAnsi="Calibri" w:cs="Calibri"/>
                <w:color w:val="000000"/>
                <w:sz w:val="18"/>
                <w:szCs w:val="18"/>
              </w:rPr>
              <w:t xml:space="preserve"> (NEMO) for the treatment of patients with severe atopic dermatitis (AD) affecting the whole body, face, and/or hands. The PBAC welcomed input from organisations and an individual which supported the resubmission. The PBAC recalled it previously did not recommend listing NEMO as it considered the previous submission’s claim that NEMO is similarly effective to dupilumab (DUPI) was not adequately supported by the clinical data comparing NEMO and DUPI. The PBAC noted that the resubmission presented additional information which included patients who underwent a longer  period (to Week 24) of treatment with NEMO following an inadequate response after treatment with NEMO for 16 weeks. The PBAC considered that based on this new information, NEMO was likely as effective as DUPI. The PBAC’s recommendation was based on, among other matters, its assessment that the cost of NEMO should be no more than the least costly of either DUPI or upadacitinib.  The PBAC advised that NEMO should join the current risk sharing arrangement for severe AD with no increase to the expenditure caps.  </w:t>
            </w:r>
          </w:p>
        </w:tc>
      </w:tr>
      <w:tr w:rsidR="00C312E5" w:rsidRPr="00544E10" w14:paraId="4C943EFA" w14:textId="77777777" w:rsidTr="003921D1">
        <w:trPr>
          <w:cantSplit/>
          <w:trHeight w:val="868"/>
        </w:trPr>
        <w:tc>
          <w:tcPr>
            <w:tcW w:w="294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30CDBCA" w14:textId="77777777" w:rsidR="0074253F" w:rsidRDefault="009B5D3F" w:rsidP="0074253F">
            <w:pPr>
              <w:spacing w:after="0"/>
              <w:jc w:val="center"/>
              <w:rPr>
                <w:rFonts w:ascii="Calibri" w:hAnsi="Calibri" w:cs="Calibri"/>
                <w:color w:val="000000"/>
                <w:sz w:val="18"/>
                <w:szCs w:val="18"/>
              </w:rPr>
            </w:pPr>
            <w:r>
              <w:rPr>
                <w:rFonts w:ascii="Calibri" w:hAnsi="Calibri" w:cs="Calibri"/>
                <w:color w:val="000000"/>
                <w:sz w:val="18"/>
                <w:szCs w:val="18"/>
              </w:rPr>
              <w:t>NIVOLUMAB</w:t>
            </w:r>
            <w:r>
              <w:rPr>
                <w:rFonts w:ascii="Calibri" w:hAnsi="Calibri" w:cs="Calibri"/>
                <w:color w:val="000000"/>
                <w:sz w:val="18"/>
                <w:szCs w:val="18"/>
              </w:rPr>
              <w:br/>
            </w:r>
            <w:r>
              <w:rPr>
                <w:rFonts w:ascii="Calibri" w:hAnsi="Calibri" w:cs="Calibri"/>
                <w:color w:val="000000"/>
                <w:sz w:val="18"/>
                <w:szCs w:val="18"/>
              </w:rPr>
              <w:br/>
              <w:t>Solution for subcutaneous injection 600 mg in 5 mL</w:t>
            </w:r>
            <w:r>
              <w:rPr>
                <w:rFonts w:ascii="Calibri" w:hAnsi="Calibri" w:cs="Calibri"/>
                <w:color w:val="000000"/>
                <w:sz w:val="18"/>
                <w:szCs w:val="18"/>
              </w:rPr>
              <w:br/>
            </w:r>
            <w:r>
              <w:rPr>
                <w:rFonts w:ascii="Calibri" w:hAnsi="Calibri" w:cs="Calibri"/>
                <w:color w:val="000000"/>
                <w:sz w:val="18"/>
                <w:szCs w:val="18"/>
              </w:rPr>
              <w:br/>
              <w:t>Opdivo®</w:t>
            </w:r>
            <w:r>
              <w:rPr>
                <w:rFonts w:ascii="Calibri" w:hAnsi="Calibri" w:cs="Calibri"/>
                <w:color w:val="000000"/>
                <w:sz w:val="18"/>
                <w:szCs w:val="18"/>
              </w:rPr>
              <w:br/>
            </w:r>
            <w:r>
              <w:rPr>
                <w:rFonts w:ascii="Calibri" w:hAnsi="Calibri" w:cs="Calibri"/>
                <w:color w:val="000000"/>
                <w:sz w:val="18"/>
                <w:szCs w:val="18"/>
              </w:rPr>
              <w:br/>
              <w:t>BRISTOL-MYERS SQUIBB AUSTRALIA PTY LTD</w:t>
            </w:r>
            <w:r>
              <w:rPr>
                <w:rFonts w:ascii="Calibri" w:hAnsi="Calibri" w:cs="Calibri"/>
                <w:color w:val="000000"/>
                <w:sz w:val="18"/>
                <w:szCs w:val="18"/>
              </w:rPr>
              <w:br/>
            </w:r>
            <w:r>
              <w:rPr>
                <w:rFonts w:ascii="Calibri" w:hAnsi="Calibri" w:cs="Calibri"/>
                <w:color w:val="000000"/>
                <w:sz w:val="18"/>
                <w:szCs w:val="18"/>
              </w:rPr>
              <w:br/>
              <w:t>Category 4</w:t>
            </w:r>
            <w:r>
              <w:rPr>
                <w:rFonts w:ascii="Calibri" w:hAnsi="Calibri" w:cs="Calibri"/>
                <w:color w:val="000000"/>
                <w:sz w:val="18"/>
                <w:szCs w:val="18"/>
              </w:rPr>
              <w:br/>
              <w:t xml:space="preserve">(New PBS </w:t>
            </w:r>
            <w:r w:rsidR="00957109">
              <w:rPr>
                <w:rFonts w:ascii="Calibri" w:hAnsi="Calibri" w:cs="Calibri"/>
                <w:color w:val="000000"/>
                <w:sz w:val="18"/>
                <w:szCs w:val="18"/>
              </w:rPr>
              <w:t>listing)</w:t>
            </w:r>
            <w:r>
              <w:rPr>
                <w:rFonts w:ascii="Calibri" w:hAnsi="Calibri" w:cs="Calibri"/>
                <w:color w:val="000000"/>
                <w:sz w:val="18"/>
                <w:szCs w:val="18"/>
              </w:rPr>
              <w:br/>
            </w:r>
            <w:r>
              <w:rPr>
                <w:rFonts w:ascii="Calibri" w:hAnsi="Calibri" w:cs="Calibri"/>
                <w:color w:val="000000"/>
                <w:sz w:val="18"/>
                <w:szCs w:val="18"/>
              </w:rPr>
              <w:br/>
              <w:t>PBS General Schedule</w:t>
            </w:r>
            <w:r>
              <w:rPr>
                <w:rFonts w:ascii="Calibri" w:hAnsi="Calibri" w:cs="Calibri"/>
                <w:color w:val="000000"/>
                <w:sz w:val="18"/>
                <w:szCs w:val="18"/>
              </w:rPr>
              <w:br/>
              <w:t xml:space="preserve">PBS Section 100 </w:t>
            </w:r>
          </w:p>
          <w:p w14:paraId="6A4AA55A" w14:textId="7DC7BF8F" w:rsidR="009B5D3F" w:rsidRPr="005F21D6" w:rsidRDefault="009B5D3F" w:rsidP="009B5D3F">
            <w:pPr>
              <w:jc w:val="center"/>
              <w:rPr>
                <w:rFonts w:asciiTheme="minorHAnsi" w:hAnsiTheme="minorHAnsi" w:cstheme="minorHAnsi"/>
                <w:color w:val="000000"/>
                <w:szCs w:val="20"/>
              </w:rPr>
            </w:pPr>
            <w:r>
              <w:rPr>
                <w:rFonts w:ascii="Calibri" w:hAnsi="Calibri" w:cs="Calibri"/>
                <w:color w:val="000000"/>
                <w:sz w:val="18"/>
                <w:szCs w:val="18"/>
              </w:rPr>
              <w:t>(Efficient Funding of Chemotherapy Program)</w:t>
            </w:r>
          </w:p>
        </w:tc>
        <w:tc>
          <w:tcPr>
            <w:tcW w:w="1983" w:type="dxa"/>
            <w:tcBorders>
              <w:top w:val="single" w:sz="4" w:space="0" w:color="auto"/>
              <w:left w:val="single" w:sz="4" w:space="0" w:color="auto"/>
              <w:bottom w:val="single" w:sz="4" w:space="0" w:color="auto"/>
              <w:right w:val="single" w:sz="4" w:space="0" w:color="auto"/>
            </w:tcBorders>
            <w:vAlign w:val="center"/>
          </w:tcPr>
          <w:p w14:paraId="4CB65672" w14:textId="2D8C5BC3" w:rsidR="009B5D3F" w:rsidRPr="005F21D6" w:rsidRDefault="009B5D3F" w:rsidP="009B5D3F">
            <w:pPr>
              <w:jc w:val="center"/>
              <w:rPr>
                <w:rFonts w:asciiTheme="minorHAnsi" w:hAnsiTheme="minorHAnsi" w:cstheme="minorHAnsi"/>
                <w:color w:val="000000"/>
                <w:sz w:val="18"/>
                <w:szCs w:val="18"/>
              </w:rPr>
            </w:pPr>
            <w:r>
              <w:rPr>
                <w:rFonts w:ascii="Calibri" w:hAnsi="Calibri" w:cs="Calibri"/>
                <w:color w:val="000000"/>
                <w:sz w:val="18"/>
                <w:szCs w:val="18"/>
              </w:rPr>
              <w:t>Malignant melanoma</w:t>
            </w:r>
            <w:r>
              <w:rPr>
                <w:rFonts w:ascii="Calibri" w:hAnsi="Calibri" w:cs="Calibri"/>
                <w:color w:val="000000"/>
                <w:sz w:val="18"/>
                <w:szCs w:val="18"/>
              </w:rPr>
              <w:br/>
              <w:t>Non-Small Cell Lung Cancer (NSCLC)</w:t>
            </w:r>
            <w:r>
              <w:rPr>
                <w:rFonts w:ascii="Calibri" w:hAnsi="Calibri" w:cs="Calibri"/>
                <w:color w:val="000000"/>
                <w:sz w:val="18"/>
                <w:szCs w:val="18"/>
              </w:rPr>
              <w:br/>
              <w:t>Renal Cell Carcinoma (RCC)</w:t>
            </w:r>
            <w:r>
              <w:rPr>
                <w:rFonts w:ascii="Calibri" w:hAnsi="Calibri" w:cs="Calibri"/>
                <w:color w:val="000000"/>
                <w:sz w:val="18"/>
                <w:szCs w:val="18"/>
              </w:rPr>
              <w:br/>
              <w:t>Squamous Cell Carcinoma of the Head and Neck (SCCHN)</w:t>
            </w:r>
            <w:r>
              <w:rPr>
                <w:rFonts w:ascii="Calibri" w:hAnsi="Calibri" w:cs="Calibri"/>
                <w:color w:val="000000"/>
                <w:sz w:val="18"/>
                <w:szCs w:val="18"/>
              </w:rPr>
              <w:br/>
              <w:t>Urothelial Carcinoma (UC)</w:t>
            </w:r>
            <w:r>
              <w:rPr>
                <w:rFonts w:ascii="Calibri" w:hAnsi="Calibri" w:cs="Calibri"/>
                <w:color w:val="000000"/>
                <w:sz w:val="18"/>
                <w:szCs w:val="18"/>
              </w:rPr>
              <w:br/>
              <w:t>Oesophageal / Gastro-oesophageal cancers(OC/GC)</w:t>
            </w:r>
          </w:p>
        </w:tc>
        <w:tc>
          <w:tcPr>
            <w:tcW w:w="238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A1F2AB6" w14:textId="7CA90AD3" w:rsidR="009B5D3F" w:rsidRPr="005F21D6" w:rsidRDefault="009B5D3F" w:rsidP="009B5D3F">
            <w:pPr>
              <w:jc w:val="center"/>
              <w:rPr>
                <w:rFonts w:asciiTheme="minorHAnsi" w:hAnsiTheme="minorHAnsi" w:cstheme="minorHAnsi"/>
                <w:color w:val="000000"/>
                <w:sz w:val="18"/>
                <w:szCs w:val="18"/>
              </w:rPr>
            </w:pPr>
            <w:r>
              <w:rPr>
                <w:rFonts w:ascii="Calibri" w:hAnsi="Calibri" w:cs="Calibri"/>
                <w:color w:val="000000"/>
                <w:sz w:val="18"/>
                <w:szCs w:val="18"/>
              </w:rPr>
              <w:t>To request listing of a new strength and form of nivolumab for the existing PBS-listed indications, except where nivolumab is administered every three weeks in combination with ipilimumab.</w:t>
            </w:r>
            <w:r>
              <w:rPr>
                <w:rFonts w:ascii="Calibri" w:hAnsi="Calibri" w:cs="Calibri"/>
                <w:color w:val="000000"/>
                <w:sz w:val="18"/>
                <w:szCs w:val="18"/>
              </w:rPr>
              <w:br/>
            </w:r>
            <w:r>
              <w:rPr>
                <w:rFonts w:ascii="Calibri" w:hAnsi="Calibri" w:cs="Calibri"/>
                <w:color w:val="000000"/>
                <w:sz w:val="18"/>
                <w:szCs w:val="18"/>
              </w:rPr>
              <w:br/>
              <w:t>Authority Required (Telephone/Online)</w:t>
            </w:r>
            <w:r>
              <w:rPr>
                <w:rFonts w:ascii="Calibri" w:hAnsi="Calibri" w:cs="Calibri"/>
                <w:color w:val="000000"/>
                <w:sz w:val="18"/>
                <w:szCs w:val="18"/>
              </w:rPr>
              <w:br/>
              <w:t>Authority Required (STREAMLINED)</w:t>
            </w:r>
          </w:p>
        </w:tc>
        <w:tc>
          <w:tcPr>
            <w:tcW w:w="1415" w:type="dxa"/>
            <w:vAlign w:val="center"/>
          </w:tcPr>
          <w:p w14:paraId="68B62CAE" w14:textId="7C112953" w:rsidR="009B5D3F" w:rsidRPr="00544E10" w:rsidRDefault="009B5D3F" w:rsidP="00D428AC">
            <w:pPr>
              <w:ind w:left="11"/>
              <w:contextualSpacing/>
              <w:jc w:val="center"/>
              <w:rPr>
                <w:rFonts w:asciiTheme="minorHAnsi" w:hAnsiTheme="minorHAnsi" w:cstheme="minorHAnsi"/>
                <w:color w:val="000000" w:themeColor="text1"/>
                <w:sz w:val="18"/>
                <w:szCs w:val="18"/>
              </w:rPr>
            </w:pPr>
            <w:r>
              <w:rPr>
                <w:rFonts w:ascii="Calibri" w:hAnsi="Calibri" w:cs="Calibri"/>
                <w:color w:val="000000"/>
                <w:sz w:val="18"/>
                <w:szCs w:val="18"/>
              </w:rPr>
              <w:t>Recommended</w:t>
            </w:r>
          </w:p>
        </w:tc>
        <w:tc>
          <w:tcPr>
            <w:tcW w:w="4729" w:type="dxa"/>
            <w:vAlign w:val="center"/>
          </w:tcPr>
          <w:p w14:paraId="2FDD01A1" w14:textId="5EFB7B40" w:rsidR="009B5D3F" w:rsidRPr="00544E10" w:rsidRDefault="00736DD6" w:rsidP="00D428AC">
            <w:pPr>
              <w:ind w:left="11"/>
              <w:contextualSpacing/>
              <w:rPr>
                <w:rFonts w:asciiTheme="minorHAnsi" w:hAnsiTheme="minorHAnsi" w:cstheme="minorHAnsi"/>
                <w:color w:val="000000" w:themeColor="text1"/>
                <w:sz w:val="18"/>
                <w:szCs w:val="18"/>
              </w:rPr>
            </w:pPr>
            <w:r w:rsidRPr="00736DD6">
              <w:rPr>
                <w:rFonts w:ascii="Calibri" w:hAnsi="Calibri" w:cs="Calibri"/>
                <w:color w:val="000000"/>
                <w:sz w:val="18"/>
                <w:szCs w:val="18"/>
              </w:rPr>
              <w:t xml:space="preserve">The PBAC recommended the listing of nivolumab solution for subcutaneous injection 600 mg in 5 mL for use across the existing PBS listed indications for nivolumab, except where nivolumab is administered 3-weekly </w:t>
            </w:r>
            <w:r w:rsidR="00993E51">
              <w:rPr>
                <w:rFonts w:ascii="Calibri" w:hAnsi="Calibri" w:cs="Calibri"/>
                <w:color w:val="000000"/>
                <w:sz w:val="18"/>
                <w:szCs w:val="18"/>
              </w:rPr>
              <w:t>or</w:t>
            </w:r>
            <w:r w:rsidRPr="00736DD6">
              <w:rPr>
                <w:rFonts w:ascii="Calibri" w:hAnsi="Calibri" w:cs="Calibri"/>
                <w:color w:val="000000"/>
                <w:sz w:val="18"/>
                <w:szCs w:val="18"/>
              </w:rPr>
              <w:t xml:space="preserve"> where nivolumab is used in combination with ipilimumab.</w:t>
            </w:r>
            <w:r>
              <w:rPr>
                <w:rFonts w:ascii="Calibri" w:hAnsi="Calibri" w:cs="Calibri"/>
                <w:color w:val="000000"/>
                <w:sz w:val="18"/>
                <w:szCs w:val="18"/>
              </w:rPr>
              <w:t xml:space="preserve"> </w:t>
            </w:r>
            <w:r w:rsidR="009B5D3F">
              <w:rPr>
                <w:rFonts w:ascii="Calibri" w:hAnsi="Calibri" w:cs="Calibri"/>
                <w:color w:val="000000"/>
                <w:sz w:val="18"/>
                <w:szCs w:val="18"/>
              </w:rPr>
              <w:t>The PBAC agreed that nivolumab subcutaneous injection should be included in the existing multi</w:t>
            </w:r>
            <w:r w:rsidR="009B5D3F">
              <w:rPr>
                <w:rFonts w:ascii="Calibri" w:hAnsi="Calibri" w:cs="Calibri"/>
                <w:color w:val="000000"/>
                <w:sz w:val="18"/>
                <w:szCs w:val="18"/>
              </w:rPr>
              <w:noBreakHyphen/>
              <w:t>indication (broad) listing for the treatment of immunotherapy</w:t>
            </w:r>
            <w:r w:rsidR="009B5D3F">
              <w:rPr>
                <w:rFonts w:ascii="Calibri" w:hAnsi="Calibri" w:cs="Calibri"/>
                <w:color w:val="000000"/>
                <w:sz w:val="18"/>
                <w:szCs w:val="18"/>
              </w:rPr>
              <w:noBreakHyphen/>
              <w:t>sensitive advanced or metastatic cancers, and that a dual Section 100 (Efficient Funding of Chemotherapy – Related Benefits) and Section 85 (General Schedule) listing was appropriate.</w:t>
            </w:r>
            <w:r w:rsidR="009B5D3F">
              <w:rPr>
                <w:rFonts w:ascii="Calibri" w:hAnsi="Calibri" w:cs="Calibri"/>
                <w:color w:val="000000"/>
                <w:sz w:val="18"/>
                <w:szCs w:val="18"/>
              </w:rPr>
              <w:br/>
            </w:r>
            <w:r w:rsidR="009B5D3F">
              <w:rPr>
                <w:rFonts w:ascii="Calibri" w:hAnsi="Calibri" w:cs="Calibri"/>
                <w:color w:val="000000"/>
                <w:sz w:val="18"/>
                <w:szCs w:val="18"/>
              </w:rPr>
              <w:br/>
              <w:t>The PBAC considered evidence from a head</w:t>
            </w:r>
            <w:r w:rsidR="009B5D3F">
              <w:rPr>
                <w:rFonts w:ascii="Calibri" w:hAnsi="Calibri" w:cs="Calibri"/>
                <w:color w:val="000000"/>
                <w:sz w:val="18"/>
                <w:szCs w:val="18"/>
              </w:rPr>
              <w:noBreakHyphen/>
              <w:t>to</w:t>
            </w:r>
            <w:r w:rsidR="009B5D3F">
              <w:rPr>
                <w:rFonts w:ascii="Calibri" w:hAnsi="Calibri" w:cs="Calibri"/>
                <w:color w:val="000000"/>
                <w:sz w:val="18"/>
                <w:szCs w:val="18"/>
              </w:rPr>
              <w:noBreakHyphen/>
              <w:t>head clinical trial and supporting pharmacokinetic studies and concluded that subcutaneous nivolumab was non</w:t>
            </w:r>
            <w:r w:rsidR="009B5D3F">
              <w:rPr>
                <w:rFonts w:ascii="Calibri" w:hAnsi="Calibri" w:cs="Calibri"/>
                <w:color w:val="000000"/>
                <w:sz w:val="18"/>
                <w:szCs w:val="18"/>
              </w:rPr>
              <w:noBreakHyphen/>
              <w:t>inferior to intravenous nivolumab in terms of effectiveness and safety. The PBAC accepted that subcutaneous nivolumab offers a less invasive mode of administration and may reduce treatment time and infusion chair utilisation, without increasing system burden.</w:t>
            </w:r>
            <w:r w:rsidR="009B5D3F">
              <w:rPr>
                <w:rFonts w:ascii="Calibri" w:hAnsi="Calibri" w:cs="Calibri"/>
                <w:color w:val="000000"/>
                <w:sz w:val="18"/>
                <w:szCs w:val="18"/>
              </w:rPr>
              <w:br/>
            </w:r>
            <w:r w:rsidR="009B5D3F">
              <w:rPr>
                <w:rFonts w:ascii="Calibri" w:hAnsi="Calibri" w:cs="Calibri"/>
                <w:color w:val="000000"/>
                <w:sz w:val="18"/>
                <w:szCs w:val="18"/>
              </w:rPr>
              <w:br/>
              <w:t>The PBAC recommended listing on a cost</w:t>
            </w:r>
            <w:r w:rsidR="009B5D3F">
              <w:rPr>
                <w:rFonts w:ascii="Calibri" w:hAnsi="Calibri" w:cs="Calibri"/>
                <w:color w:val="000000"/>
                <w:sz w:val="18"/>
                <w:szCs w:val="18"/>
              </w:rPr>
              <w:noBreakHyphen/>
              <w:t xml:space="preserve">minimisation basis, accepting that 600 mg every two weeks or 1200 mg every four weeks of subcutaneous nivolumab is </w:t>
            </w:r>
            <w:proofErr w:type="spellStart"/>
            <w:r w:rsidR="009B5D3F">
              <w:rPr>
                <w:rFonts w:ascii="Calibri" w:hAnsi="Calibri" w:cs="Calibri"/>
                <w:color w:val="000000"/>
                <w:sz w:val="18"/>
                <w:szCs w:val="18"/>
              </w:rPr>
              <w:t>equi</w:t>
            </w:r>
            <w:proofErr w:type="spellEnd"/>
            <w:r w:rsidR="009B5D3F">
              <w:rPr>
                <w:rFonts w:ascii="Calibri" w:hAnsi="Calibri" w:cs="Calibri"/>
                <w:color w:val="000000"/>
                <w:sz w:val="18"/>
                <w:szCs w:val="18"/>
              </w:rPr>
              <w:noBreakHyphen/>
              <w:t>effective to 240 mg every two weeks or 480 mg every four weeks of intravenous nivolumab, respectively. The PBAC noted that the estimated financial impact to the PBS was a net cost saving, with modest savings over time.</w:t>
            </w:r>
            <w:r w:rsidR="009B5D3F">
              <w:rPr>
                <w:rFonts w:ascii="Calibri" w:hAnsi="Calibri" w:cs="Calibri"/>
                <w:color w:val="000000"/>
                <w:sz w:val="18"/>
                <w:szCs w:val="18"/>
              </w:rPr>
              <w:br/>
            </w:r>
            <w:r w:rsidR="009B5D3F">
              <w:rPr>
                <w:rFonts w:ascii="Calibri" w:hAnsi="Calibri" w:cs="Calibri"/>
                <w:color w:val="000000"/>
                <w:sz w:val="18"/>
                <w:szCs w:val="18"/>
              </w:rPr>
              <w:br/>
              <w:t>The PBAC considered that the proposed prescribing instructions differentiating use to flat dosing regimens were appropriate and would support alignment with the existing broad listing arrangements. The PBAC considered that it would be appropriate for NIVO SC to join the existing risk-sharing arrangements in place for NIVO IV without any changes to caps.</w:t>
            </w:r>
          </w:p>
        </w:tc>
      </w:tr>
      <w:tr w:rsidR="00C312E5" w:rsidRPr="00544E10" w14:paraId="3ABE2E76" w14:textId="77777777" w:rsidTr="003921D1">
        <w:trPr>
          <w:cantSplit/>
          <w:trHeight w:val="868"/>
        </w:trPr>
        <w:tc>
          <w:tcPr>
            <w:tcW w:w="294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8B48F39" w14:textId="474BCAF3" w:rsidR="009B5D3F" w:rsidRPr="005F21D6" w:rsidRDefault="009B5D3F" w:rsidP="0074253F">
            <w:pPr>
              <w:jc w:val="center"/>
              <w:rPr>
                <w:rFonts w:asciiTheme="minorHAnsi" w:hAnsiTheme="minorHAnsi" w:cstheme="minorHAnsi"/>
                <w:color w:val="000000"/>
                <w:szCs w:val="20"/>
              </w:rPr>
            </w:pPr>
            <w:r>
              <w:rPr>
                <w:rFonts w:ascii="Calibri" w:hAnsi="Calibri" w:cs="Calibri"/>
                <w:color w:val="000000"/>
                <w:sz w:val="18"/>
                <w:szCs w:val="18"/>
              </w:rPr>
              <w:t>OBINUTUZUMAB</w:t>
            </w:r>
            <w:r>
              <w:rPr>
                <w:rFonts w:ascii="Calibri" w:hAnsi="Calibri" w:cs="Calibri"/>
                <w:color w:val="000000"/>
                <w:sz w:val="18"/>
                <w:szCs w:val="18"/>
              </w:rPr>
              <w:br/>
            </w:r>
            <w:r>
              <w:rPr>
                <w:rFonts w:ascii="Calibri" w:hAnsi="Calibri" w:cs="Calibri"/>
                <w:color w:val="000000"/>
                <w:sz w:val="18"/>
                <w:szCs w:val="18"/>
              </w:rPr>
              <w:br/>
              <w:t>Solution for I.V. infusion 1000 mg in 40 mL</w:t>
            </w:r>
            <w:r>
              <w:rPr>
                <w:rFonts w:ascii="Calibri" w:hAnsi="Calibri" w:cs="Calibri"/>
                <w:color w:val="000000"/>
                <w:sz w:val="18"/>
                <w:szCs w:val="18"/>
              </w:rPr>
              <w:br/>
            </w:r>
            <w:r>
              <w:rPr>
                <w:rFonts w:ascii="Calibri" w:hAnsi="Calibri" w:cs="Calibri"/>
                <w:color w:val="000000"/>
                <w:sz w:val="18"/>
                <w:szCs w:val="18"/>
              </w:rPr>
              <w:br/>
            </w:r>
            <w:r>
              <w:rPr>
                <w:rFonts w:ascii="Calibri" w:hAnsi="Calibri" w:cs="Calibri"/>
                <w:color w:val="000000"/>
                <w:sz w:val="18"/>
                <w:szCs w:val="18"/>
              </w:rPr>
              <w:br/>
            </w:r>
            <w:proofErr w:type="spellStart"/>
            <w:r>
              <w:rPr>
                <w:rFonts w:ascii="Calibri" w:hAnsi="Calibri" w:cs="Calibri"/>
                <w:color w:val="000000"/>
                <w:sz w:val="18"/>
                <w:szCs w:val="18"/>
              </w:rPr>
              <w:t>Gazyva</w:t>
            </w:r>
            <w:proofErr w:type="spellEnd"/>
            <w:r>
              <w:rPr>
                <w:rFonts w:ascii="Calibri" w:hAnsi="Calibri" w:cs="Calibri"/>
                <w:color w:val="000000"/>
                <w:sz w:val="18"/>
                <w:szCs w:val="18"/>
              </w:rPr>
              <w:t>®</w:t>
            </w:r>
            <w:r>
              <w:rPr>
                <w:rFonts w:ascii="Calibri" w:hAnsi="Calibri" w:cs="Calibri"/>
                <w:color w:val="000000"/>
                <w:sz w:val="18"/>
                <w:szCs w:val="18"/>
              </w:rPr>
              <w:br/>
            </w:r>
            <w:r>
              <w:rPr>
                <w:rFonts w:ascii="Calibri" w:hAnsi="Calibri" w:cs="Calibri"/>
                <w:color w:val="000000"/>
                <w:sz w:val="18"/>
                <w:szCs w:val="18"/>
              </w:rPr>
              <w:br/>
              <w:t>ROCHE PRODUCTS PTY LTD</w:t>
            </w:r>
            <w:r>
              <w:rPr>
                <w:rFonts w:ascii="Calibri" w:hAnsi="Calibri" w:cs="Calibri"/>
                <w:color w:val="000000"/>
                <w:sz w:val="18"/>
                <w:szCs w:val="18"/>
              </w:rPr>
              <w:br/>
            </w:r>
            <w:r>
              <w:rPr>
                <w:rFonts w:ascii="Calibri" w:hAnsi="Calibri" w:cs="Calibri"/>
                <w:color w:val="000000"/>
                <w:sz w:val="18"/>
                <w:szCs w:val="18"/>
              </w:rPr>
              <w:br/>
              <w:t>Category 2</w:t>
            </w:r>
            <w:r>
              <w:rPr>
                <w:rFonts w:ascii="Calibri" w:hAnsi="Calibri" w:cs="Calibri"/>
                <w:color w:val="000000"/>
                <w:sz w:val="18"/>
                <w:szCs w:val="18"/>
              </w:rPr>
              <w:br/>
              <w:t xml:space="preserve">(Change to existing </w:t>
            </w:r>
            <w:r w:rsidR="00957109">
              <w:rPr>
                <w:rFonts w:ascii="Calibri" w:hAnsi="Calibri" w:cs="Calibri"/>
                <w:color w:val="000000"/>
                <w:sz w:val="18"/>
                <w:szCs w:val="18"/>
              </w:rPr>
              <w:t>listing)</w:t>
            </w:r>
            <w:r>
              <w:rPr>
                <w:rFonts w:ascii="Calibri" w:hAnsi="Calibri" w:cs="Calibri"/>
                <w:color w:val="000000"/>
                <w:sz w:val="18"/>
                <w:szCs w:val="18"/>
              </w:rPr>
              <w:br/>
            </w:r>
            <w:r w:rsidR="00BF7130">
              <w:rPr>
                <w:rFonts w:ascii="Calibri" w:hAnsi="Calibri" w:cs="Calibri"/>
                <w:color w:val="000000"/>
                <w:sz w:val="18"/>
                <w:szCs w:val="18"/>
              </w:rPr>
              <w:br/>
            </w:r>
            <w:r w:rsidR="00265DF3">
              <w:rPr>
                <w:rFonts w:ascii="Calibri" w:hAnsi="Calibri" w:cs="Calibri"/>
                <w:color w:val="000000"/>
                <w:sz w:val="18"/>
                <w:szCs w:val="18"/>
              </w:rPr>
              <w:t xml:space="preserve"> PBS Section 100 </w:t>
            </w:r>
            <w:r w:rsidR="00265DF3">
              <w:rPr>
                <w:rFonts w:ascii="Calibri" w:hAnsi="Calibri" w:cs="Calibri"/>
                <w:color w:val="000000"/>
                <w:sz w:val="18"/>
                <w:szCs w:val="18"/>
              </w:rPr>
              <w:br/>
              <w:t>(Highly Specialised Drugs Program)</w:t>
            </w:r>
          </w:p>
        </w:tc>
        <w:tc>
          <w:tcPr>
            <w:tcW w:w="1983" w:type="dxa"/>
            <w:tcBorders>
              <w:top w:val="single" w:sz="4" w:space="0" w:color="auto"/>
              <w:left w:val="single" w:sz="4" w:space="0" w:color="auto"/>
              <w:bottom w:val="single" w:sz="4" w:space="0" w:color="auto"/>
              <w:right w:val="single" w:sz="4" w:space="0" w:color="auto"/>
            </w:tcBorders>
            <w:vAlign w:val="center"/>
          </w:tcPr>
          <w:p w14:paraId="61E7341A" w14:textId="78F2E6B6" w:rsidR="009B5D3F" w:rsidRPr="005F21D6" w:rsidRDefault="009B5D3F" w:rsidP="009B5D3F">
            <w:pPr>
              <w:jc w:val="center"/>
              <w:rPr>
                <w:rFonts w:asciiTheme="minorHAnsi" w:hAnsiTheme="minorHAnsi" w:cstheme="minorHAnsi"/>
                <w:color w:val="000000"/>
                <w:sz w:val="18"/>
                <w:szCs w:val="18"/>
              </w:rPr>
            </w:pPr>
            <w:r>
              <w:rPr>
                <w:rFonts w:ascii="Calibri" w:hAnsi="Calibri" w:cs="Calibri"/>
                <w:color w:val="000000"/>
                <w:sz w:val="18"/>
                <w:szCs w:val="18"/>
              </w:rPr>
              <w:t>Lupus nephritis</w:t>
            </w:r>
          </w:p>
        </w:tc>
        <w:tc>
          <w:tcPr>
            <w:tcW w:w="238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DC6C4B3" w14:textId="1989CD0E" w:rsidR="009B5D3F" w:rsidRPr="005F21D6" w:rsidRDefault="009B5D3F" w:rsidP="009B5D3F">
            <w:pPr>
              <w:jc w:val="center"/>
              <w:rPr>
                <w:rFonts w:asciiTheme="minorHAnsi" w:hAnsiTheme="minorHAnsi" w:cstheme="minorHAnsi"/>
                <w:color w:val="000000"/>
                <w:sz w:val="18"/>
                <w:szCs w:val="18"/>
              </w:rPr>
            </w:pPr>
            <w:r>
              <w:rPr>
                <w:rFonts w:ascii="Calibri" w:hAnsi="Calibri" w:cs="Calibri"/>
                <w:color w:val="000000"/>
                <w:sz w:val="18"/>
                <w:szCs w:val="18"/>
              </w:rPr>
              <w:t>To request listing of obinutuzumab for the treatment of adult patients with a confirmed diagnosis of active class III or IV lupus nephritis with or without class V who are receiving standard therapy with mycophenolate and corticosteroids.</w:t>
            </w:r>
            <w:r>
              <w:rPr>
                <w:rFonts w:ascii="Calibri" w:hAnsi="Calibri" w:cs="Calibri"/>
                <w:color w:val="000000"/>
                <w:sz w:val="18"/>
                <w:szCs w:val="18"/>
              </w:rPr>
              <w:br/>
            </w:r>
            <w:r>
              <w:rPr>
                <w:rFonts w:ascii="Calibri" w:hAnsi="Calibri" w:cs="Calibri"/>
                <w:color w:val="000000"/>
                <w:sz w:val="18"/>
                <w:szCs w:val="18"/>
              </w:rPr>
              <w:br/>
              <w:t>Authority Required (Telephone/Online)</w:t>
            </w:r>
          </w:p>
        </w:tc>
        <w:tc>
          <w:tcPr>
            <w:tcW w:w="1415" w:type="dxa"/>
            <w:vAlign w:val="center"/>
          </w:tcPr>
          <w:p w14:paraId="4D74FF83" w14:textId="568C4C28" w:rsidR="009B5D3F" w:rsidRPr="00544E10" w:rsidRDefault="009B5D3F" w:rsidP="00D428AC">
            <w:pPr>
              <w:ind w:left="11"/>
              <w:contextualSpacing/>
              <w:jc w:val="center"/>
              <w:rPr>
                <w:rFonts w:asciiTheme="minorHAnsi" w:hAnsiTheme="minorHAnsi" w:cstheme="minorHAnsi"/>
                <w:color w:val="000000" w:themeColor="text1"/>
                <w:sz w:val="18"/>
                <w:szCs w:val="18"/>
              </w:rPr>
            </w:pPr>
            <w:r>
              <w:rPr>
                <w:rFonts w:ascii="Calibri" w:hAnsi="Calibri" w:cs="Calibri"/>
                <w:color w:val="000000"/>
                <w:sz w:val="18"/>
                <w:szCs w:val="18"/>
              </w:rPr>
              <w:t>Recommended</w:t>
            </w:r>
          </w:p>
        </w:tc>
        <w:tc>
          <w:tcPr>
            <w:tcW w:w="4729" w:type="dxa"/>
            <w:vAlign w:val="center"/>
          </w:tcPr>
          <w:p w14:paraId="1C7B216E" w14:textId="5F526B9A" w:rsidR="009B5D3F" w:rsidRPr="00544E10" w:rsidRDefault="009B5D3F" w:rsidP="00D428AC">
            <w:pPr>
              <w:ind w:left="11"/>
              <w:contextualSpacing/>
              <w:rPr>
                <w:rFonts w:asciiTheme="minorHAnsi" w:hAnsiTheme="minorHAnsi" w:cstheme="minorHAnsi"/>
                <w:color w:val="000000" w:themeColor="text1"/>
                <w:sz w:val="18"/>
                <w:szCs w:val="18"/>
              </w:rPr>
            </w:pPr>
            <w:r>
              <w:rPr>
                <w:rFonts w:ascii="Calibri" w:hAnsi="Calibri" w:cs="Calibri"/>
                <w:color w:val="000000"/>
                <w:sz w:val="18"/>
                <w:szCs w:val="18"/>
              </w:rPr>
              <w:t xml:space="preserve">The PBAC recommended obinutuzumab for the treatment of patients with active class III or IV lupus nephritis with or without class V (based in ISN/RPS 2003 classification) who are receiving standard therapy with mycophenolate mofetil (MMF) and corticosteroids. </w:t>
            </w:r>
            <w:r>
              <w:rPr>
                <w:rFonts w:ascii="Calibri" w:hAnsi="Calibri" w:cs="Calibri"/>
                <w:color w:val="000000"/>
                <w:sz w:val="18"/>
                <w:szCs w:val="18"/>
              </w:rPr>
              <w:br/>
            </w:r>
            <w:r>
              <w:rPr>
                <w:rFonts w:ascii="Calibri" w:hAnsi="Calibri" w:cs="Calibri"/>
                <w:color w:val="000000"/>
                <w:sz w:val="18"/>
                <w:szCs w:val="18"/>
              </w:rPr>
              <w:br/>
              <w:t xml:space="preserve">The PBAC welcomed input from health care professionals and consumer and medical organisations highlighting the high clinical need for effective therapies for lupus nephritis. The PBAC acknowledged the impact of lupus nephritis on young women, First Nations people and individuals of Asian and African ancestry. The PBAC noted that lupus nephritis is not only more prevalent in First Nations people but is also associated with a significantly higher disease burden characterised by more severe disease, increased morbidity and higher mortality rates compared to people who are not of First Nations descent. The input outlined that obinutuzumab is associated with reductions in corticosteroid doses and described the clinical meaningfulness of the potential for reductions in corticosteroid related side effects and harms. </w:t>
            </w:r>
            <w:r>
              <w:rPr>
                <w:rFonts w:ascii="Calibri" w:hAnsi="Calibri" w:cs="Calibri"/>
                <w:color w:val="000000"/>
                <w:sz w:val="18"/>
                <w:szCs w:val="18"/>
              </w:rPr>
              <w:br/>
            </w:r>
            <w:r>
              <w:rPr>
                <w:rFonts w:ascii="Calibri" w:hAnsi="Calibri" w:cs="Calibri"/>
                <w:color w:val="000000"/>
                <w:sz w:val="18"/>
                <w:szCs w:val="18"/>
              </w:rPr>
              <w:br/>
              <w:t>The PBAC accepted that obinutuzumab was more effective than standard therapy at improving kidney function, such as improved rates of complete kidney recovery when compared with standard therapy alone. However, the REGENCY clinical trial showed that obinutuzumab had higher rates of side effects, including infections and reactions related to administering infusions.</w:t>
            </w:r>
            <w:r>
              <w:rPr>
                <w:rFonts w:ascii="Calibri" w:hAnsi="Calibri" w:cs="Calibri"/>
                <w:color w:val="000000"/>
                <w:sz w:val="18"/>
                <w:szCs w:val="18"/>
              </w:rPr>
              <w:br/>
            </w:r>
            <w:r>
              <w:rPr>
                <w:rFonts w:ascii="Calibri" w:hAnsi="Calibri" w:cs="Calibri"/>
                <w:color w:val="000000"/>
                <w:sz w:val="18"/>
                <w:szCs w:val="18"/>
              </w:rPr>
              <w:br/>
              <w:t xml:space="preserve">In support of its requested price, the sponsor claimed that obinutuzumab would substantially reduce rates of kidney dialysis, transplants and deaths. However, the PBAC considered some of the assumptions of continued benefit beyond the trial duration for these outcomes were overly optimistic. As such, the PBAC advised obinutuzumab would be represent value for money with a price reduction reflecting more realistic estimates of some of the long term benefits and costs. </w:t>
            </w:r>
            <w:r>
              <w:rPr>
                <w:rFonts w:ascii="Calibri" w:hAnsi="Calibri" w:cs="Calibri"/>
                <w:color w:val="000000"/>
                <w:sz w:val="18"/>
                <w:szCs w:val="18"/>
              </w:rPr>
              <w:br/>
            </w:r>
            <w:r>
              <w:rPr>
                <w:rFonts w:ascii="Calibri" w:hAnsi="Calibri" w:cs="Calibri"/>
                <w:color w:val="000000"/>
                <w:sz w:val="18"/>
                <w:szCs w:val="18"/>
              </w:rPr>
              <w:br/>
              <w:t>The PBAC considered that revisions were also required to the submission’s financial estimates around the prevalence and assumptions about the number of patients who would start using obinutuzumab. The PBAC considered there was a significant risk that people would use obinutuzumab for a longer duration than estimated by the sponsor. The PBAC therefore advised that a risk sharing arrangement with the sponsor would be required to mitigate this risk.</w:t>
            </w:r>
            <w:r>
              <w:rPr>
                <w:rFonts w:ascii="Calibri" w:hAnsi="Calibri" w:cs="Calibri"/>
                <w:color w:val="000000"/>
                <w:sz w:val="18"/>
                <w:szCs w:val="18"/>
              </w:rPr>
              <w:br/>
            </w:r>
            <w:r>
              <w:rPr>
                <w:rFonts w:ascii="Calibri" w:hAnsi="Calibri" w:cs="Calibri"/>
                <w:color w:val="000000"/>
                <w:sz w:val="18"/>
                <w:szCs w:val="18"/>
              </w:rPr>
              <w:br/>
              <w:t xml:space="preserve">The PBAC advised that the listing would necessitate a change to another PBS listing for </w:t>
            </w:r>
            <w:proofErr w:type="spellStart"/>
            <w:r>
              <w:rPr>
                <w:rFonts w:ascii="Calibri" w:hAnsi="Calibri" w:cs="Calibri"/>
                <w:color w:val="000000"/>
                <w:sz w:val="18"/>
                <w:szCs w:val="18"/>
              </w:rPr>
              <w:t>anifrolumab</w:t>
            </w:r>
            <w:proofErr w:type="spellEnd"/>
            <w:r>
              <w:rPr>
                <w:rFonts w:ascii="Calibri" w:hAnsi="Calibri" w:cs="Calibri"/>
                <w:color w:val="000000"/>
                <w:sz w:val="18"/>
                <w:szCs w:val="18"/>
              </w:rPr>
              <w:t xml:space="preserve">, a medicine that treats systemic lupus erythematosus, to prevent combination use of </w:t>
            </w:r>
            <w:proofErr w:type="spellStart"/>
            <w:r>
              <w:rPr>
                <w:rFonts w:ascii="Calibri" w:hAnsi="Calibri" w:cs="Calibri"/>
                <w:color w:val="000000"/>
                <w:sz w:val="18"/>
                <w:szCs w:val="18"/>
              </w:rPr>
              <w:t>anifrolumab</w:t>
            </w:r>
            <w:proofErr w:type="spellEnd"/>
            <w:r>
              <w:rPr>
                <w:rFonts w:ascii="Calibri" w:hAnsi="Calibri" w:cs="Calibri"/>
                <w:color w:val="000000"/>
                <w:sz w:val="18"/>
                <w:szCs w:val="18"/>
              </w:rPr>
              <w:t xml:space="preserve"> with obinutuzumab.</w:t>
            </w:r>
          </w:p>
        </w:tc>
      </w:tr>
      <w:tr w:rsidR="00C312E5" w:rsidRPr="00544E10" w14:paraId="0B3FF2CB" w14:textId="77777777" w:rsidTr="003921D1">
        <w:trPr>
          <w:cantSplit/>
          <w:trHeight w:val="868"/>
        </w:trPr>
        <w:tc>
          <w:tcPr>
            <w:tcW w:w="294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DE79F84" w14:textId="3D6BC7AB" w:rsidR="009B5D3F" w:rsidRPr="005F21D6" w:rsidRDefault="009B5D3F" w:rsidP="009B5D3F">
            <w:pPr>
              <w:jc w:val="center"/>
              <w:rPr>
                <w:rFonts w:asciiTheme="minorHAnsi" w:hAnsiTheme="minorHAnsi" w:cstheme="minorHAnsi"/>
                <w:color w:val="000000"/>
                <w:szCs w:val="20"/>
              </w:rPr>
            </w:pPr>
            <w:r>
              <w:rPr>
                <w:rFonts w:ascii="Calibri" w:hAnsi="Calibri" w:cs="Calibri"/>
                <w:color w:val="000000"/>
                <w:sz w:val="18"/>
                <w:szCs w:val="18"/>
              </w:rPr>
              <w:t>OMALIZUMAB</w:t>
            </w:r>
            <w:r>
              <w:rPr>
                <w:rFonts w:ascii="Calibri" w:hAnsi="Calibri" w:cs="Calibri"/>
                <w:color w:val="000000"/>
                <w:sz w:val="18"/>
                <w:szCs w:val="18"/>
              </w:rPr>
              <w:br/>
            </w:r>
            <w:r>
              <w:rPr>
                <w:rFonts w:ascii="Calibri" w:hAnsi="Calibri" w:cs="Calibri"/>
                <w:color w:val="000000"/>
                <w:sz w:val="18"/>
                <w:szCs w:val="18"/>
              </w:rPr>
              <w:br/>
              <w:t>Injection 75 mg in 0.5 mL single dose pre-filled pen</w:t>
            </w:r>
            <w:r>
              <w:rPr>
                <w:rFonts w:ascii="Calibri" w:hAnsi="Calibri" w:cs="Calibri"/>
                <w:color w:val="000000"/>
                <w:sz w:val="18"/>
                <w:szCs w:val="18"/>
              </w:rPr>
              <w:br/>
              <w:t>Injection 150 mg in 1 mL single dose pre-filled pen</w:t>
            </w:r>
            <w:r>
              <w:rPr>
                <w:rFonts w:ascii="Calibri" w:hAnsi="Calibri" w:cs="Calibri"/>
                <w:color w:val="000000"/>
                <w:sz w:val="18"/>
                <w:szCs w:val="18"/>
              </w:rPr>
              <w:br/>
            </w:r>
            <w:r>
              <w:rPr>
                <w:rFonts w:ascii="Calibri" w:hAnsi="Calibri" w:cs="Calibri"/>
                <w:color w:val="000000"/>
                <w:sz w:val="18"/>
                <w:szCs w:val="18"/>
              </w:rPr>
              <w:br/>
            </w:r>
            <w:proofErr w:type="spellStart"/>
            <w:r>
              <w:rPr>
                <w:rFonts w:ascii="Calibri" w:hAnsi="Calibri" w:cs="Calibri"/>
                <w:color w:val="000000"/>
                <w:sz w:val="18"/>
                <w:szCs w:val="18"/>
              </w:rPr>
              <w:t>Omlyclo</w:t>
            </w:r>
            <w:proofErr w:type="spellEnd"/>
            <w:r>
              <w:rPr>
                <w:rFonts w:ascii="Calibri" w:hAnsi="Calibri" w:cs="Calibri"/>
                <w:color w:val="000000"/>
                <w:sz w:val="18"/>
                <w:szCs w:val="18"/>
              </w:rPr>
              <w:t>®</w:t>
            </w:r>
            <w:r>
              <w:rPr>
                <w:rFonts w:ascii="Calibri" w:hAnsi="Calibri" w:cs="Calibri"/>
                <w:color w:val="000000"/>
                <w:sz w:val="18"/>
                <w:szCs w:val="18"/>
              </w:rPr>
              <w:br/>
            </w:r>
            <w:r>
              <w:rPr>
                <w:rFonts w:ascii="Calibri" w:hAnsi="Calibri" w:cs="Calibri"/>
                <w:color w:val="000000"/>
                <w:sz w:val="18"/>
                <w:szCs w:val="18"/>
              </w:rPr>
              <w:br/>
              <w:t>CELLTRION HEALTHCARE AUSTRALIA PTY LTD</w:t>
            </w:r>
            <w:r>
              <w:rPr>
                <w:rFonts w:ascii="Calibri" w:hAnsi="Calibri" w:cs="Calibri"/>
                <w:color w:val="000000"/>
                <w:sz w:val="18"/>
                <w:szCs w:val="18"/>
              </w:rPr>
              <w:br/>
            </w:r>
            <w:r>
              <w:rPr>
                <w:rFonts w:ascii="Calibri" w:hAnsi="Calibri" w:cs="Calibri"/>
                <w:color w:val="000000"/>
                <w:sz w:val="18"/>
                <w:szCs w:val="18"/>
              </w:rPr>
              <w:br/>
              <w:t>Category 4</w:t>
            </w:r>
            <w:r>
              <w:rPr>
                <w:rFonts w:ascii="Calibri" w:hAnsi="Calibri" w:cs="Calibri"/>
                <w:color w:val="000000"/>
                <w:sz w:val="18"/>
                <w:szCs w:val="18"/>
              </w:rPr>
              <w:br/>
              <w:t xml:space="preserve">(New PBS </w:t>
            </w:r>
            <w:r w:rsidR="00957109">
              <w:rPr>
                <w:rFonts w:ascii="Calibri" w:hAnsi="Calibri" w:cs="Calibri"/>
                <w:color w:val="000000"/>
                <w:sz w:val="18"/>
                <w:szCs w:val="18"/>
              </w:rPr>
              <w:t>listing)</w:t>
            </w:r>
            <w:r>
              <w:rPr>
                <w:rFonts w:ascii="Calibri" w:hAnsi="Calibri" w:cs="Calibri"/>
                <w:color w:val="000000"/>
                <w:sz w:val="18"/>
                <w:szCs w:val="18"/>
              </w:rPr>
              <w:br/>
            </w:r>
            <w:r>
              <w:rPr>
                <w:rFonts w:ascii="Calibri" w:hAnsi="Calibri" w:cs="Calibri"/>
                <w:color w:val="000000"/>
                <w:sz w:val="18"/>
                <w:szCs w:val="18"/>
              </w:rPr>
              <w:br/>
              <w:t xml:space="preserve">PBS Section 100 </w:t>
            </w:r>
            <w:r w:rsidR="00BF7130">
              <w:rPr>
                <w:rFonts w:ascii="Calibri" w:hAnsi="Calibri" w:cs="Calibri"/>
                <w:color w:val="000000"/>
                <w:sz w:val="18"/>
                <w:szCs w:val="18"/>
              </w:rPr>
              <w:br/>
            </w:r>
            <w:r>
              <w:rPr>
                <w:rFonts w:ascii="Calibri" w:hAnsi="Calibri" w:cs="Calibri"/>
                <w:color w:val="000000"/>
                <w:sz w:val="18"/>
                <w:szCs w:val="18"/>
              </w:rPr>
              <w:t>(Highly Specialised Drugs Program)</w:t>
            </w:r>
          </w:p>
        </w:tc>
        <w:tc>
          <w:tcPr>
            <w:tcW w:w="1983" w:type="dxa"/>
            <w:tcBorders>
              <w:top w:val="single" w:sz="4" w:space="0" w:color="auto"/>
              <w:left w:val="single" w:sz="4" w:space="0" w:color="auto"/>
              <w:bottom w:val="single" w:sz="4" w:space="0" w:color="auto"/>
              <w:right w:val="single" w:sz="4" w:space="0" w:color="auto"/>
            </w:tcBorders>
            <w:vAlign w:val="center"/>
          </w:tcPr>
          <w:p w14:paraId="69DF7367" w14:textId="127FD5FB" w:rsidR="009B5D3F" w:rsidRPr="005F21D6" w:rsidRDefault="009B5D3F" w:rsidP="009B5D3F">
            <w:pPr>
              <w:jc w:val="center"/>
              <w:rPr>
                <w:rFonts w:asciiTheme="minorHAnsi" w:hAnsiTheme="minorHAnsi" w:cstheme="minorHAnsi"/>
                <w:color w:val="000000"/>
                <w:sz w:val="18"/>
                <w:szCs w:val="18"/>
              </w:rPr>
            </w:pPr>
            <w:r>
              <w:rPr>
                <w:rFonts w:ascii="Calibri" w:hAnsi="Calibri" w:cs="Calibri"/>
                <w:color w:val="000000"/>
                <w:sz w:val="18"/>
                <w:szCs w:val="18"/>
              </w:rPr>
              <w:t>Uncontrolled severe asthma</w:t>
            </w:r>
            <w:r>
              <w:rPr>
                <w:rFonts w:ascii="Calibri" w:hAnsi="Calibri" w:cs="Calibri"/>
                <w:color w:val="000000"/>
                <w:sz w:val="18"/>
                <w:szCs w:val="18"/>
              </w:rPr>
              <w:br/>
              <w:t>Uncontrolled severe allergic asthma</w:t>
            </w:r>
            <w:r>
              <w:rPr>
                <w:rFonts w:ascii="Calibri" w:hAnsi="Calibri" w:cs="Calibri"/>
                <w:color w:val="000000"/>
                <w:sz w:val="18"/>
                <w:szCs w:val="18"/>
              </w:rPr>
              <w:br/>
              <w:t>Severe chronic spontaneous urticaria</w:t>
            </w:r>
          </w:p>
        </w:tc>
        <w:tc>
          <w:tcPr>
            <w:tcW w:w="238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C5B185A" w14:textId="4032ACD2" w:rsidR="009B5D3F" w:rsidRPr="005F21D6" w:rsidRDefault="009B5D3F" w:rsidP="009B5D3F">
            <w:pPr>
              <w:jc w:val="center"/>
              <w:rPr>
                <w:rFonts w:asciiTheme="minorHAnsi" w:hAnsiTheme="minorHAnsi" w:cstheme="minorHAnsi"/>
                <w:color w:val="000000"/>
                <w:sz w:val="18"/>
                <w:szCs w:val="18"/>
              </w:rPr>
            </w:pPr>
            <w:r>
              <w:rPr>
                <w:rFonts w:ascii="Calibri" w:hAnsi="Calibri" w:cs="Calibri"/>
                <w:color w:val="000000"/>
                <w:sz w:val="18"/>
                <w:szCs w:val="18"/>
              </w:rPr>
              <w:t xml:space="preserve">To request listing of two new forms of the </w:t>
            </w:r>
            <w:proofErr w:type="spellStart"/>
            <w:r>
              <w:rPr>
                <w:rFonts w:ascii="Calibri" w:hAnsi="Calibri" w:cs="Calibri"/>
                <w:color w:val="000000"/>
                <w:sz w:val="18"/>
                <w:szCs w:val="18"/>
              </w:rPr>
              <w:t>Omlyclo</w:t>
            </w:r>
            <w:proofErr w:type="spellEnd"/>
            <w:r>
              <w:rPr>
                <w:rFonts w:ascii="Calibri" w:hAnsi="Calibri" w:cs="Calibri"/>
                <w:color w:val="000000"/>
                <w:sz w:val="18"/>
                <w:szCs w:val="18"/>
              </w:rPr>
              <w:t xml:space="preserve"> biosimilar brand of omalizumab that mirror the </w:t>
            </w:r>
            <w:r w:rsidR="00CC5BE3">
              <w:rPr>
                <w:rFonts w:ascii="Calibri" w:hAnsi="Calibri" w:cs="Calibri"/>
                <w:color w:val="000000"/>
                <w:sz w:val="18"/>
                <w:szCs w:val="18"/>
              </w:rPr>
              <w:t>originator</w:t>
            </w:r>
            <w:r>
              <w:rPr>
                <w:rFonts w:ascii="Calibri" w:hAnsi="Calibri" w:cs="Calibri"/>
                <w:color w:val="000000"/>
                <w:sz w:val="18"/>
                <w:szCs w:val="18"/>
              </w:rPr>
              <w:t xml:space="preserve"> brand's current listings with the same strengths and forms. </w:t>
            </w:r>
            <w:r>
              <w:rPr>
                <w:rFonts w:ascii="Calibri" w:hAnsi="Calibri" w:cs="Calibri"/>
                <w:color w:val="000000"/>
                <w:sz w:val="18"/>
                <w:szCs w:val="18"/>
              </w:rPr>
              <w:br/>
            </w:r>
            <w:r>
              <w:rPr>
                <w:rFonts w:ascii="Calibri" w:hAnsi="Calibri" w:cs="Calibri"/>
                <w:color w:val="000000"/>
                <w:sz w:val="18"/>
                <w:szCs w:val="18"/>
              </w:rPr>
              <w:br/>
              <w:t>Authority Required</w:t>
            </w:r>
          </w:p>
        </w:tc>
        <w:tc>
          <w:tcPr>
            <w:tcW w:w="1415" w:type="dxa"/>
            <w:vAlign w:val="center"/>
          </w:tcPr>
          <w:p w14:paraId="0DC1F7AF" w14:textId="469BCA2D" w:rsidR="009B5D3F" w:rsidRPr="00544E10" w:rsidRDefault="009B5D3F" w:rsidP="00D428AC">
            <w:pPr>
              <w:ind w:left="11"/>
              <w:contextualSpacing/>
              <w:jc w:val="center"/>
              <w:rPr>
                <w:rFonts w:asciiTheme="minorHAnsi" w:hAnsiTheme="minorHAnsi" w:cstheme="minorHAnsi"/>
                <w:color w:val="000000" w:themeColor="text1"/>
                <w:sz w:val="18"/>
                <w:szCs w:val="18"/>
              </w:rPr>
            </w:pPr>
            <w:r>
              <w:rPr>
                <w:rFonts w:ascii="Calibri" w:hAnsi="Calibri" w:cs="Calibri"/>
                <w:color w:val="000000"/>
                <w:sz w:val="18"/>
                <w:szCs w:val="18"/>
              </w:rPr>
              <w:t>Recommended</w:t>
            </w:r>
          </w:p>
        </w:tc>
        <w:tc>
          <w:tcPr>
            <w:tcW w:w="4729" w:type="dxa"/>
            <w:vAlign w:val="center"/>
          </w:tcPr>
          <w:p w14:paraId="6547B6E2" w14:textId="61A80AE5" w:rsidR="009B5D3F" w:rsidRPr="00544E10" w:rsidRDefault="009B5D3F" w:rsidP="00D428AC">
            <w:pPr>
              <w:ind w:left="11"/>
              <w:contextualSpacing/>
              <w:rPr>
                <w:rFonts w:asciiTheme="minorHAnsi" w:hAnsiTheme="minorHAnsi" w:cstheme="minorHAnsi"/>
                <w:color w:val="000000" w:themeColor="text1"/>
                <w:sz w:val="18"/>
                <w:szCs w:val="18"/>
              </w:rPr>
            </w:pPr>
            <w:r>
              <w:rPr>
                <w:rFonts w:ascii="Calibri" w:hAnsi="Calibri" w:cs="Calibri"/>
                <w:color w:val="000000"/>
                <w:sz w:val="18"/>
                <w:szCs w:val="18"/>
              </w:rPr>
              <w:t>The PBAC recommended the listing of omalizumab 75mg and 150mg (</w:t>
            </w:r>
            <w:proofErr w:type="spellStart"/>
            <w:r>
              <w:rPr>
                <w:rFonts w:ascii="Calibri" w:hAnsi="Calibri" w:cs="Calibri"/>
                <w:color w:val="000000"/>
                <w:sz w:val="18"/>
                <w:szCs w:val="18"/>
              </w:rPr>
              <w:t>Omlyclo</w:t>
            </w:r>
            <w:proofErr w:type="spellEnd"/>
            <w:r>
              <w:rPr>
                <w:rFonts w:ascii="Calibri" w:hAnsi="Calibri" w:cs="Calibri"/>
                <w:color w:val="000000"/>
                <w:sz w:val="18"/>
                <w:szCs w:val="18"/>
              </w:rPr>
              <w:t xml:space="preserve">®) in the pre-filled pen (PFP) form on the PBS for use in specialist settings for uncontrolled severe asthma and severe chronic spontaneous urticaria. These new PFP pen forms for the 75mg and 150mg strength can be used in the same situations as the existing </w:t>
            </w:r>
            <w:proofErr w:type="spellStart"/>
            <w:r>
              <w:rPr>
                <w:rFonts w:ascii="Calibri" w:hAnsi="Calibri" w:cs="Calibri"/>
                <w:color w:val="000000"/>
                <w:sz w:val="18"/>
                <w:szCs w:val="18"/>
              </w:rPr>
              <w:t>Omlyclo</w:t>
            </w:r>
            <w:proofErr w:type="spellEnd"/>
            <w:r>
              <w:rPr>
                <w:rFonts w:ascii="Calibri" w:hAnsi="Calibri" w:cs="Calibri"/>
                <w:color w:val="000000"/>
                <w:sz w:val="18"/>
                <w:szCs w:val="18"/>
              </w:rPr>
              <w:t xml:space="preserve"> pre-filled syringe (PFS) forms. The PBAC noted that </w:t>
            </w:r>
            <w:proofErr w:type="spellStart"/>
            <w:r>
              <w:rPr>
                <w:rFonts w:ascii="Calibri" w:hAnsi="Calibri" w:cs="Calibri"/>
                <w:color w:val="000000"/>
                <w:sz w:val="18"/>
                <w:szCs w:val="18"/>
              </w:rPr>
              <w:t>Omlyclo</w:t>
            </w:r>
            <w:proofErr w:type="spellEnd"/>
            <w:r>
              <w:rPr>
                <w:rFonts w:ascii="Calibri" w:hAnsi="Calibri" w:cs="Calibri"/>
                <w:color w:val="000000"/>
                <w:sz w:val="18"/>
                <w:szCs w:val="18"/>
              </w:rPr>
              <w:t xml:space="preserve"> is a biosimilar to the originator Xolair® and allowed substitution of the brands for one another. However, since current PBS listing of omalizumab for uncontrolled severe allergic asthma in children aged 6 to 12 years is for PFS only, the PBAC decided it would not be appropriate to link the PFP to PFS products for this age group and indication.</w:t>
            </w:r>
            <w:r>
              <w:rPr>
                <w:rFonts w:ascii="Calibri" w:hAnsi="Calibri" w:cs="Calibri"/>
                <w:color w:val="000000"/>
                <w:sz w:val="18"/>
                <w:szCs w:val="18"/>
              </w:rPr>
              <w:br/>
            </w:r>
            <w:r>
              <w:rPr>
                <w:rFonts w:ascii="Calibri" w:hAnsi="Calibri" w:cs="Calibri"/>
                <w:color w:val="000000"/>
                <w:sz w:val="18"/>
                <w:szCs w:val="18"/>
              </w:rPr>
              <w:br/>
              <w:t xml:space="preserve">The PBAC considered that the listing of these new </w:t>
            </w:r>
            <w:proofErr w:type="spellStart"/>
            <w:r>
              <w:rPr>
                <w:rFonts w:ascii="Calibri" w:hAnsi="Calibri" w:cs="Calibri"/>
                <w:color w:val="000000"/>
                <w:sz w:val="18"/>
                <w:szCs w:val="18"/>
              </w:rPr>
              <w:t>Omlyclo</w:t>
            </w:r>
            <w:proofErr w:type="spellEnd"/>
            <w:r>
              <w:rPr>
                <w:rFonts w:ascii="Calibri" w:hAnsi="Calibri" w:cs="Calibri"/>
                <w:color w:val="000000"/>
                <w:sz w:val="18"/>
                <w:szCs w:val="18"/>
              </w:rPr>
              <w:t xml:space="preserve"> forms would not increase the cost to the Australian public as it is expected to replace existing Xolair or </w:t>
            </w:r>
            <w:proofErr w:type="spellStart"/>
            <w:r>
              <w:rPr>
                <w:rFonts w:ascii="Calibri" w:hAnsi="Calibri" w:cs="Calibri"/>
                <w:color w:val="000000"/>
                <w:sz w:val="18"/>
                <w:szCs w:val="18"/>
              </w:rPr>
              <w:t>Omlyclo</w:t>
            </w:r>
            <w:proofErr w:type="spellEnd"/>
            <w:r>
              <w:rPr>
                <w:rFonts w:ascii="Calibri" w:hAnsi="Calibri" w:cs="Calibri"/>
                <w:color w:val="000000"/>
                <w:sz w:val="18"/>
                <w:szCs w:val="18"/>
              </w:rPr>
              <w:t xml:space="preserve"> pre-filled syringe use.</w:t>
            </w:r>
          </w:p>
        </w:tc>
      </w:tr>
      <w:tr w:rsidR="00C312E5" w:rsidRPr="00544E10" w14:paraId="75D4BF03" w14:textId="77777777" w:rsidTr="003921D1">
        <w:trPr>
          <w:cantSplit/>
          <w:trHeight w:val="868"/>
        </w:trPr>
        <w:tc>
          <w:tcPr>
            <w:tcW w:w="294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DBB1B65" w14:textId="684CC653" w:rsidR="00BE0687" w:rsidRDefault="00BE0687" w:rsidP="00BE0687">
            <w:pPr>
              <w:jc w:val="center"/>
              <w:rPr>
                <w:rFonts w:ascii="Calibri" w:hAnsi="Calibri" w:cs="Calibri"/>
                <w:color w:val="000000"/>
                <w:sz w:val="18"/>
                <w:szCs w:val="18"/>
              </w:rPr>
            </w:pPr>
            <w:r>
              <w:rPr>
                <w:rFonts w:ascii="Calibri" w:hAnsi="Calibri" w:cs="Calibri"/>
                <w:color w:val="000000"/>
                <w:sz w:val="18"/>
                <w:szCs w:val="18"/>
              </w:rPr>
              <w:t>ODEVIXIBAT</w:t>
            </w:r>
            <w:r>
              <w:rPr>
                <w:rFonts w:ascii="Calibri" w:hAnsi="Calibri" w:cs="Calibri"/>
                <w:color w:val="000000"/>
                <w:sz w:val="18"/>
                <w:szCs w:val="18"/>
              </w:rPr>
              <w:br/>
            </w:r>
            <w:r>
              <w:rPr>
                <w:rFonts w:ascii="Calibri" w:hAnsi="Calibri" w:cs="Calibri"/>
                <w:color w:val="000000"/>
                <w:sz w:val="18"/>
                <w:szCs w:val="18"/>
              </w:rPr>
              <w:br/>
              <w:t>Capsule 200 micrograms</w:t>
            </w:r>
            <w:r>
              <w:rPr>
                <w:rFonts w:ascii="Calibri" w:hAnsi="Calibri" w:cs="Calibri"/>
                <w:color w:val="000000"/>
                <w:sz w:val="18"/>
                <w:szCs w:val="18"/>
              </w:rPr>
              <w:br/>
              <w:t>Capsule 400 micrograms</w:t>
            </w:r>
            <w:r>
              <w:rPr>
                <w:rFonts w:ascii="Calibri" w:hAnsi="Calibri" w:cs="Calibri"/>
                <w:color w:val="000000"/>
                <w:sz w:val="18"/>
                <w:szCs w:val="18"/>
              </w:rPr>
              <w:br/>
              <w:t>Capsule 600 micrograms</w:t>
            </w:r>
            <w:r>
              <w:rPr>
                <w:rFonts w:ascii="Calibri" w:hAnsi="Calibri" w:cs="Calibri"/>
                <w:color w:val="000000"/>
                <w:sz w:val="18"/>
                <w:szCs w:val="18"/>
              </w:rPr>
              <w:br/>
              <w:t>Capsule 1200 micrograms</w:t>
            </w:r>
            <w:r>
              <w:rPr>
                <w:rFonts w:ascii="Calibri" w:hAnsi="Calibri" w:cs="Calibri"/>
                <w:color w:val="000000"/>
                <w:sz w:val="18"/>
                <w:szCs w:val="18"/>
              </w:rPr>
              <w:br/>
            </w:r>
            <w:r>
              <w:rPr>
                <w:rFonts w:ascii="Calibri" w:hAnsi="Calibri" w:cs="Calibri"/>
                <w:color w:val="000000"/>
                <w:sz w:val="18"/>
                <w:szCs w:val="18"/>
              </w:rPr>
              <w:br/>
            </w:r>
            <w:proofErr w:type="spellStart"/>
            <w:r>
              <w:rPr>
                <w:rFonts w:ascii="Calibri" w:hAnsi="Calibri" w:cs="Calibri"/>
                <w:color w:val="000000"/>
                <w:sz w:val="18"/>
                <w:szCs w:val="18"/>
              </w:rPr>
              <w:t>Bylvay</w:t>
            </w:r>
            <w:proofErr w:type="spellEnd"/>
            <w:r>
              <w:rPr>
                <w:rFonts w:ascii="Calibri" w:hAnsi="Calibri" w:cs="Calibri"/>
                <w:color w:val="000000"/>
                <w:sz w:val="18"/>
                <w:szCs w:val="18"/>
              </w:rPr>
              <w:t>®</w:t>
            </w:r>
            <w:r>
              <w:rPr>
                <w:rFonts w:ascii="Calibri" w:hAnsi="Calibri" w:cs="Calibri"/>
                <w:color w:val="000000"/>
                <w:sz w:val="18"/>
                <w:szCs w:val="18"/>
              </w:rPr>
              <w:br/>
            </w:r>
            <w:r>
              <w:rPr>
                <w:rFonts w:ascii="Calibri" w:hAnsi="Calibri" w:cs="Calibri"/>
                <w:color w:val="000000"/>
                <w:sz w:val="18"/>
                <w:szCs w:val="18"/>
              </w:rPr>
              <w:br/>
              <w:t>IPSEN PTY LTD</w:t>
            </w:r>
            <w:r>
              <w:rPr>
                <w:rFonts w:ascii="Calibri" w:hAnsi="Calibri" w:cs="Calibri"/>
                <w:color w:val="000000"/>
                <w:sz w:val="18"/>
                <w:szCs w:val="18"/>
              </w:rPr>
              <w:br/>
            </w:r>
            <w:r>
              <w:rPr>
                <w:rFonts w:ascii="Calibri" w:hAnsi="Calibri" w:cs="Calibri"/>
                <w:color w:val="000000"/>
                <w:sz w:val="18"/>
                <w:szCs w:val="18"/>
              </w:rPr>
              <w:br/>
              <w:t>Category 1</w:t>
            </w:r>
            <w:r>
              <w:rPr>
                <w:rFonts w:ascii="Calibri" w:hAnsi="Calibri" w:cs="Calibri"/>
                <w:color w:val="000000"/>
                <w:sz w:val="18"/>
                <w:szCs w:val="18"/>
              </w:rPr>
              <w:br/>
              <w:t>(Change to existing listing)</w:t>
            </w:r>
            <w:r>
              <w:rPr>
                <w:rFonts w:ascii="Calibri" w:hAnsi="Calibri" w:cs="Calibri"/>
                <w:color w:val="000000"/>
                <w:sz w:val="18"/>
                <w:szCs w:val="18"/>
              </w:rPr>
              <w:br/>
            </w:r>
            <w:r>
              <w:rPr>
                <w:rFonts w:ascii="Calibri" w:hAnsi="Calibri" w:cs="Calibri"/>
                <w:color w:val="000000"/>
                <w:sz w:val="18"/>
                <w:szCs w:val="18"/>
              </w:rPr>
              <w:br/>
              <w:t>PBS General Schedule</w:t>
            </w:r>
          </w:p>
        </w:tc>
        <w:tc>
          <w:tcPr>
            <w:tcW w:w="1983" w:type="dxa"/>
            <w:tcBorders>
              <w:top w:val="single" w:sz="4" w:space="0" w:color="auto"/>
              <w:left w:val="single" w:sz="4" w:space="0" w:color="auto"/>
              <w:bottom w:val="single" w:sz="4" w:space="0" w:color="auto"/>
              <w:right w:val="single" w:sz="4" w:space="0" w:color="auto"/>
            </w:tcBorders>
            <w:vAlign w:val="center"/>
          </w:tcPr>
          <w:p w14:paraId="7E16C828" w14:textId="63244533" w:rsidR="00BE0687" w:rsidRDefault="00BE0687" w:rsidP="00BE0687">
            <w:pPr>
              <w:jc w:val="center"/>
              <w:rPr>
                <w:rFonts w:ascii="Calibri" w:hAnsi="Calibri" w:cs="Calibri"/>
                <w:color w:val="000000"/>
                <w:sz w:val="18"/>
                <w:szCs w:val="18"/>
              </w:rPr>
            </w:pPr>
            <w:r>
              <w:rPr>
                <w:rFonts w:ascii="Calibri" w:hAnsi="Calibri" w:cs="Calibri"/>
                <w:color w:val="000000"/>
                <w:sz w:val="18"/>
                <w:szCs w:val="18"/>
              </w:rPr>
              <w:t>Alagille syndrome (ALGS)</w:t>
            </w:r>
          </w:p>
        </w:tc>
        <w:tc>
          <w:tcPr>
            <w:tcW w:w="238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B0997E6" w14:textId="017FA028" w:rsidR="00BE0687" w:rsidRDefault="00BE0687" w:rsidP="00BE0687">
            <w:pPr>
              <w:jc w:val="center"/>
              <w:rPr>
                <w:rFonts w:ascii="Calibri" w:hAnsi="Calibri" w:cs="Calibri"/>
                <w:color w:val="000000"/>
                <w:sz w:val="18"/>
                <w:szCs w:val="18"/>
              </w:rPr>
            </w:pPr>
            <w:r>
              <w:rPr>
                <w:rFonts w:ascii="Calibri" w:hAnsi="Calibri" w:cs="Calibri"/>
                <w:color w:val="000000"/>
                <w:sz w:val="18"/>
                <w:szCs w:val="18"/>
              </w:rPr>
              <w:t xml:space="preserve">To request listing of </w:t>
            </w:r>
            <w:proofErr w:type="spellStart"/>
            <w:r>
              <w:rPr>
                <w:rFonts w:ascii="Calibri" w:hAnsi="Calibri" w:cs="Calibri"/>
                <w:color w:val="000000"/>
                <w:sz w:val="18"/>
                <w:szCs w:val="18"/>
              </w:rPr>
              <w:t>odevixibat</w:t>
            </w:r>
            <w:proofErr w:type="spellEnd"/>
            <w:r>
              <w:rPr>
                <w:rFonts w:ascii="Calibri" w:hAnsi="Calibri" w:cs="Calibri"/>
                <w:color w:val="000000"/>
                <w:sz w:val="18"/>
                <w:szCs w:val="18"/>
              </w:rPr>
              <w:t xml:space="preserve"> for the treatment of cholestatic </w:t>
            </w:r>
            <w:proofErr w:type="spellStart"/>
            <w:r>
              <w:rPr>
                <w:rFonts w:ascii="Calibri" w:hAnsi="Calibri" w:cs="Calibri"/>
                <w:color w:val="000000"/>
                <w:sz w:val="18"/>
                <w:szCs w:val="18"/>
              </w:rPr>
              <w:t>pruritis</w:t>
            </w:r>
            <w:proofErr w:type="spellEnd"/>
            <w:r>
              <w:rPr>
                <w:rFonts w:ascii="Calibri" w:hAnsi="Calibri" w:cs="Calibri"/>
                <w:color w:val="000000"/>
                <w:sz w:val="18"/>
                <w:szCs w:val="18"/>
              </w:rPr>
              <w:t xml:space="preserve"> in ALGS in patients aged 6 months and older. </w:t>
            </w:r>
            <w:r>
              <w:rPr>
                <w:rFonts w:ascii="Calibri" w:hAnsi="Calibri" w:cs="Calibri"/>
                <w:color w:val="000000"/>
                <w:sz w:val="18"/>
                <w:szCs w:val="18"/>
              </w:rPr>
              <w:br/>
            </w:r>
            <w:r>
              <w:rPr>
                <w:rFonts w:ascii="Calibri" w:hAnsi="Calibri" w:cs="Calibri"/>
                <w:color w:val="000000"/>
                <w:sz w:val="18"/>
                <w:szCs w:val="18"/>
              </w:rPr>
              <w:br/>
              <w:t>Authority Required</w:t>
            </w:r>
          </w:p>
        </w:tc>
        <w:tc>
          <w:tcPr>
            <w:tcW w:w="1415" w:type="dxa"/>
            <w:vAlign w:val="center"/>
          </w:tcPr>
          <w:p w14:paraId="4A1525A6" w14:textId="5A054E0B" w:rsidR="00BE0687" w:rsidRDefault="00BE0687" w:rsidP="00D428AC">
            <w:pPr>
              <w:ind w:left="11"/>
              <w:contextualSpacing/>
              <w:jc w:val="center"/>
              <w:rPr>
                <w:rFonts w:ascii="Calibri" w:hAnsi="Calibri" w:cs="Calibri"/>
                <w:color w:val="000000"/>
                <w:sz w:val="18"/>
                <w:szCs w:val="18"/>
              </w:rPr>
            </w:pPr>
            <w:r>
              <w:rPr>
                <w:rFonts w:ascii="Calibri" w:hAnsi="Calibri" w:cs="Calibri"/>
                <w:color w:val="000000"/>
                <w:sz w:val="18"/>
                <w:szCs w:val="18"/>
              </w:rPr>
              <w:t>Not Recommended</w:t>
            </w:r>
          </w:p>
        </w:tc>
        <w:tc>
          <w:tcPr>
            <w:tcW w:w="4729" w:type="dxa"/>
            <w:vAlign w:val="center"/>
          </w:tcPr>
          <w:p w14:paraId="3C1F67B2" w14:textId="77777777" w:rsidR="00BE0687" w:rsidRDefault="00BE0687" w:rsidP="00D428AC">
            <w:pPr>
              <w:ind w:left="11"/>
              <w:contextualSpacing/>
              <w:rPr>
                <w:rFonts w:ascii="Calibri" w:hAnsi="Calibri" w:cs="Calibri"/>
                <w:color w:val="000000"/>
                <w:sz w:val="18"/>
                <w:szCs w:val="18"/>
              </w:rPr>
            </w:pPr>
            <w:r>
              <w:rPr>
                <w:rFonts w:ascii="Calibri" w:hAnsi="Calibri" w:cs="Calibri"/>
                <w:color w:val="000000"/>
                <w:sz w:val="18"/>
                <w:szCs w:val="18"/>
              </w:rPr>
              <w:t xml:space="preserve">The PBAC did not recommend </w:t>
            </w:r>
            <w:proofErr w:type="spellStart"/>
            <w:r>
              <w:rPr>
                <w:rFonts w:ascii="Calibri" w:hAnsi="Calibri" w:cs="Calibri"/>
                <w:color w:val="000000"/>
                <w:sz w:val="18"/>
                <w:szCs w:val="18"/>
              </w:rPr>
              <w:t>odevixibat</w:t>
            </w:r>
            <w:proofErr w:type="spellEnd"/>
            <w:r>
              <w:rPr>
                <w:rFonts w:ascii="Calibri" w:hAnsi="Calibri" w:cs="Calibri"/>
                <w:color w:val="000000"/>
                <w:sz w:val="18"/>
                <w:szCs w:val="18"/>
              </w:rPr>
              <w:t xml:space="preserve"> for the treatment of cholestatic pruritus (severe itching caused by bile build up) in Alagille syndrome (ALGS) in patients aged six months and older.</w:t>
            </w:r>
            <w:r>
              <w:rPr>
                <w:rFonts w:ascii="Calibri" w:hAnsi="Calibri" w:cs="Calibri"/>
                <w:color w:val="000000"/>
                <w:sz w:val="18"/>
                <w:szCs w:val="18"/>
              </w:rPr>
              <w:br/>
            </w:r>
            <w:r>
              <w:rPr>
                <w:rFonts w:ascii="Calibri" w:hAnsi="Calibri" w:cs="Calibri"/>
                <w:color w:val="000000"/>
                <w:sz w:val="18"/>
                <w:szCs w:val="18"/>
              </w:rPr>
              <w:br/>
              <w:t xml:space="preserve">The PBAC noted that ALGS is a rare condition with severe impacts on quality of life, including sleep, comfort, and wellbeing. The PBAC acknowledged the input from consumers, healthcare professionals and organisations describing the substantial burden of cholestatic pruritus in ALGS in this vulnerable population, noting that persistent and severe pruritus may significantly impair sleep, schooling, development, family functioning and mental health. The PBAC considered that there is a clear need for better treatments for this condition. </w:t>
            </w:r>
            <w:r>
              <w:rPr>
                <w:rFonts w:ascii="Calibri" w:hAnsi="Calibri" w:cs="Calibri"/>
                <w:color w:val="000000"/>
                <w:sz w:val="18"/>
                <w:szCs w:val="18"/>
              </w:rPr>
              <w:br/>
            </w:r>
            <w:r>
              <w:rPr>
                <w:rFonts w:ascii="Calibri" w:hAnsi="Calibri" w:cs="Calibri"/>
                <w:color w:val="000000"/>
                <w:sz w:val="18"/>
                <w:szCs w:val="18"/>
              </w:rPr>
              <w:br/>
              <w:t xml:space="preserve">The PBAC considered that there was evidence showing that </w:t>
            </w:r>
            <w:proofErr w:type="spellStart"/>
            <w:r>
              <w:rPr>
                <w:rFonts w:ascii="Calibri" w:hAnsi="Calibri" w:cs="Calibri"/>
                <w:color w:val="000000"/>
                <w:sz w:val="18"/>
                <w:szCs w:val="18"/>
              </w:rPr>
              <w:t>odevixibat</w:t>
            </w:r>
            <w:proofErr w:type="spellEnd"/>
            <w:r>
              <w:rPr>
                <w:rFonts w:ascii="Calibri" w:hAnsi="Calibri" w:cs="Calibri"/>
                <w:color w:val="000000"/>
                <w:sz w:val="18"/>
                <w:szCs w:val="18"/>
              </w:rPr>
              <w:t xml:space="preserve"> can reduce itching more than current treatments for some patients with ALGS. However, the PBAC noted that no evidence was presented to support any benefit for </w:t>
            </w:r>
            <w:proofErr w:type="spellStart"/>
            <w:r>
              <w:rPr>
                <w:rFonts w:ascii="Calibri" w:hAnsi="Calibri" w:cs="Calibri"/>
                <w:color w:val="000000"/>
                <w:sz w:val="18"/>
                <w:szCs w:val="18"/>
              </w:rPr>
              <w:t>odevixibat</w:t>
            </w:r>
            <w:proofErr w:type="spellEnd"/>
            <w:r>
              <w:rPr>
                <w:rFonts w:ascii="Calibri" w:hAnsi="Calibri" w:cs="Calibri"/>
                <w:color w:val="000000"/>
                <w:sz w:val="18"/>
                <w:szCs w:val="18"/>
              </w:rPr>
              <w:t xml:space="preserve"> in slowing ALGS progression, helping patients with ALGS to keep their own liver for longer, or improving overall survival. Additionally, the long</w:t>
            </w:r>
            <w:r>
              <w:rPr>
                <w:rFonts w:ascii="Calibri" w:hAnsi="Calibri" w:cs="Calibri"/>
                <w:color w:val="000000"/>
                <w:sz w:val="18"/>
                <w:szCs w:val="18"/>
              </w:rPr>
              <w:noBreakHyphen/>
              <w:t>term benefits remain uncertain.</w:t>
            </w:r>
            <w:r>
              <w:rPr>
                <w:rFonts w:ascii="Calibri" w:hAnsi="Calibri" w:cs="Calibri"/>
                <w:color w:val="000000"/>
                <w:sz w:val="18"/>
                <w:szCs w:val="18"/>
              </w:rPr>
              <w:br/>
            </w:r>
            <w:r>
              <w:rPr>
                <w:rFonts w:ascii="Calibri" w:hAnsi="Calibri" w:cs="Calibri"/>
                <w:color w:val="000000"/>
                <w:sz w:val="18"/>
                <w:szCs w:val="18"/>
              </w:rPr>
              <w:br/>
              <w:t xml:space="preserve">The PBAC considered that the economic model used to estimate value for money was not reliable due to unsupported assumptions, and the PBAC could not be confident that the benefits justify the requested price. Further, the estimates of the total cost to government were uncertain due to unsupported assumptions about how many people would be eligible for, and receive, treatment. </w:t>
            </w:r>
          </w:p>
          <w:p w14:paraId="14D5FF3C" w14:textId="77777777" w:rsidR="00BE0687" w:rsidRDefault="00BE0687" w:rsidP="00D428AC">
            <w:pPr>
              <w:ind w:left="11"/>
              <w:contextualSpacing/>
              <w:rPr>
                <w:rFonts w:ascii="Calibri" w:hAnsi="Calibri" w:cs="Calibri"/>
                <w:color w:val="000000"/>
                <w:sz w:val="18"/>
                <w:szCs w:val="18"/>
              </w:rPr>
            </w:pPr>
          </w:p>
          <w:p w14:paraId="4BBD338A" w14:textId="77777777" w:rsidR="00BE0687" w:rsidRDefault="00BE0687" w:rsidP="00D428AC">
            <w:pPr>
              <w:ind w:left="11"/>
              <w:contextualSpacing/>
              <w:rPr>
                <w:rFonts w:ascii="Calibri" w:hAnsi="Calibri" w:cs="Calibri"/>
                <w:color w:val="000000"/>
                <w:sz w:val="18"/>
                <w:szCs w:val="18"/>
              </w:rPr>
            </w:pPr>
            <w:r>
              <w:rPr>
                <w:rFonts w:ascii="Calibri" w:hAnsi="Calibri" w:cs="Calibri"/>
                <w:color w:val="000000"/>
                <w:sz w:val="18"/>
                <w:szCs w:val="18"/>
              </w:rPr>
              <w:t>Sponsor’s comment:</w:t>
            </w:r>
          </w:p>
          <w:p w14:paraId="28523C01" w14:textId="29EA7EF5" w:rsidR="00BE0687" w:rsidRDefault="0051084A" w:rsidP="00D428AC">
            <w:pPr>
              <w:ind w:left="11"/>
              <w:contextualSpacing/>
              <w:rPr>
                <w:rFonts w:ascii="Calibri" w:hAnsi="Calibri" w:cs="Calibri"/>
                <w:color w:val="000000"/>
                <w:sz w:val="18"/>
                <w:szCs w:val="18"/>
              </w:rPr>
            </w:pPr>
            <w:r>
              <w:rPr>
                <w:rFonts w:ascii="Calibri" w:hAnsi="Calibri" w:cs="Calibri"/>
                <w:color w:val="000000"/>
                <w:sz w:val="18"/>
                <w:szCs w:val="18"/>
              </w:rPr>
              <w:t>The sponsor had no comment.</w:t>
            </w:r>
          </w:p>
        </w:tc>
      </w:tr>
      <w:tr w:rsidR="00C312E5" w:rsidRPr="00544E10" w14:paraId="5D932223" w14:textId="77777777" w:rsidTr="003921D1">
        <w:trPr>
          <w:cantSplit/>
          <w:trHeight w:val="868"/>
        </w:trPr>
        <w:tc>
          <w:tcPr>
            <w:tcW w:w="294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F51FE6F" w14:textId="41B59F5F" w:rsidR="009B5D3F" w:rsidRPr="005F21D6" w:rsidRDefault="009B5D3F" w:rsidP="009B5D3F">
            <w:pPr>
              <w:jc w:val="center"/>
              <w:rPr>
                <w:rFonts w:asciiTheme="minorHAnsi" w:hAnsiTheme="minorHAnsi" w:cstheme="minorHAnsi"/>
                <w:color w:val="000000"/>
                <w:szCs w:val="20"/>
              </w:rPr>
            </w:pPr>
            <w:r>
              <w:rPr>
                <w:rFonts w:ascii="Calibri" w:hAnsi="Calibri" w:cs="Calibri"/>
                <w:color w:val="000000"/>
                <w:sz w:val="18"/>
                <w:szCs w:val="18"/>
              </w:rPr>
              <w:t>PEGCETACOPLAN</w:t>
            </w:r>
            <w:r>
              <w:rPr>
                <w:rFonts w:ascii="Calibri" w:hAnsi="Calibri" w:cs="Calibri"/>
                <w:color w:val="000000"/>
                <w:sz w:val="18"/>
                <w:szCs w:val="18"/>
              </w:rPr>
              <w:br/>
            </w:r>
            <w:r>
              <w:rPr>
                <w:rFonts w:ascii="Calibri" w:hAnsi="Calibri" w:cs="Calibri"/>
                <w:color w:val="000000"/>
                <w:sz w:val="18"/>
                <w:szCs w:val="18"/>
              </w:rPr>
              <w:br/>
              <w:t>Solution for subcutaneous infusion 1,080 mg in 20 mL</w:t>
            </w:r>
            <w:r>
              <w:rPr>
                <w:rFonts w:ascii="Calibri" w:hAnsi="Calibri" w:cs="Calibri"/>
                <w:color w:val="000000"/>
                <w:sz w:val="18"/>
                <w:szCs w:val="18"/>
              </w:rPr>
              <w:br/>
            </w:r>
            <w:r>
              <w:rPr>
                <w:rFonts w:ascii="Calibri" w:hAnsi="Calibri" w:cs="Calibri"/>
                <w:color w:val="000000"/>
                <w:sz w:val="18"/>
                <w:szCs w:val="18"/>
              </w:rPr>
              <w:br/>
            </w:r>
            <w:proofErr w:type="spellStart"/>
            <w:r>
              <w:rPr>
                <w:rFonts w:ascii="Calibri" w:hAnsi="Calibri" w:cs="Calibri"/>
                <w:color w:val="000000"/>
                <w:sz w:val="18"/>
                <w:szCs w:val="18"/>
              </w:rPr>
              <w:t>Empaveli</w:t>
            </w:r>
            <w:proofErr w:type="spellEnd"/>
            <w:r>
              <w:rPr>
                <w:rFonts w:ascii="Calibri" w:hAnsi="Calibri" w:cs="Calibri"/>
                <w:color w:val="000000"/>
                <w:sz w:val="18"/>
                <w:szCs w:val="18"/>
              </w:rPr>
              <w:t xml:space="preserve">® </w:t>
            </w:r>
            <w:r>
              <w:rPr>
                <w:rFonts w:ascii="Calibri" w:hAnsi="Calibri" w:cs="Calibri"/>
                <w:color w:val="000000"/>
                <w:sz w:val="18"/>
                <w:szCs w:val="18"/>
              </w:rPr>
              <w:br/>
            </w:r>
            <w:r>
              <w:rPr>
                <w:rFonts w:ascii="Calibri" w:hAnsi="Calibri" w:cs="Calibri"/>
                <w:color w:val="000000"/>
                <w:sz w:val="18"/>
                <w:szCs w:val="18"/>
              </w:rPr>
              <w:br/>
              <w:t>SWEDISH ORPHAN BIOVITRUM PTY LTD</w:t>
            </w:r>
            <w:r>
              <w:rPr>
                <w:rFonts w:ascii="Calibri" w:hAnsi="Calibri" w:cs="Calibri"/>
                <w:color w:val="000000"/>
                <w:sz w:val="18"/>
                <w:szCs w:val="18"/>
              </w:rPr>
              <w:br/>
            </w:r>
            <w:r>
              <w:rPr>
                <w:rFonts w:ascii="Calibri" w:hAnsi="Calibri" w:cs="Calibri"/>
                <w:color w:val="000000"/>
                <w:sz w:val="18"/>
                <w:szCs w:val="18"/>
              </w:rPr>
              <w:br/>
              <w:t>Category 2</w:t>
            </w:r>
            <w:r>
              <w:rPr>
                <w:rFonts w:ascii="Calibri" w:hAnsi="Calibri" w:cs="Calibri"/>
                <w:color w:val="000000"/>
                <w:sz w:val="18"/>
                <w:szCs w:val="18"/>
              </w:rPr>
              <w:br/>
              <w:t xml:space="preserve">(Change to existing </w:t>
            </w:r>
            <w:r w:rsidR="00957109">
              <w:rPr>
                <w:rFonts w:ascii="Calibri" w:hAnsi="Calibri" w:cs="Calibri"/>
                <w:color w:val="000000"/>
                <w:sz w:val="18"/>
                <w:szCs w:val="18"/>
              </w:rPr>
              <w:t>listing)</w:t>
            </w:r>
            <w:r>
              <w:rPr>
                <w:rFonts w:ascii="Calibri" w:hAnsi="Calibri" w:cs="Calibri"/>
                <w:color w:val="000000"/>
                <w:sz w:val="18"/>
                <w:szCs w:val="18"/>
              </w:rPr>
              <w:br/>
            </w:r>
            <w:r>
              <w:rPr>
                <w:rFonts w:ascii="Calibri" w:hAnsi="Calibri" w:cs="Calibri"/>
                <w:color w:val="000000"/>
                <w:sz w:val="18"/>
                <w:szCs w:val="18"/>
              </w:rPr>
              <w:br/>
              <w:t xml:space="preserve">PBS Section 100 </w:t>
            </w:r>
            <w:r w:rsidR="00BF7130">
              <w:rPr>
                <w:rFonts w:ascii="Calibri" w:hAnsi="Calibri" w:cs="Calibri"/>
                <w:color w:val="000000"/>
                <w:sz w:val="18"/>
                <w:szCs w:val="18"/>
              </w:rPr>
              <w:br/>
            </w:r>
            <w:r>
              <w:rPr>
                <w:rFonts w:ascii="Calibri" w:hAnsi="Calibri" w:cs="Calibri"/>
                <w:color w:val="000000"/>
                <w:sz w:val="18"/>
                <w:szCs w:val="18"/>
              </w:rPr>
              <w:t>(Highly Specialised Drugs Program)</w:t>
            </w:r>
          </w:p>
        </w:tc>
        <w:tc>
          <w:tcPr>
            <w:tcW w:w="1983" w:type="dxa"/>
            <w:tcBorders>
              <w:top w:val="single" w:sz="4" w:space="0" w:color="auto"/>
              <w:left w:val="single" w:sz="4" w:space="0" w:color="auto"/>
              <w:bottom w:val="single" w:sz="4" w:space="0" w:color="auto"/>
              <w:right w:val="single" w:sz="4" w:space="0" w:color="auto"/>
            </w:tcBorders>
            <w:vAlign w:val="center"/>
          </w:tcPr>
          <w:p w14:paraId="779AB400" w14:textId="2F93AA2E" w:rsidR="009B5D3F" w:rsidRPr="005F21D6" w:rsidRDefault="009B5D3F" w:rsidP="009B5D3F">
            <w:pPr>
              <w:jc w:val="center"/>
              <w:rPr>
                <w:rFonts w:asciiTheme="minorHAnsi" w:hAnsiTheme="minorHAnsi" w:cstheme="minorHAnsi"/>
                <w:color w:val="000000"/>
                <w:sz w:val="18"/>
                <w:szCs w:val="18"/>
              </w:rPr>
            </w:pPr>
            <w:r>
              <w:rPr>
                <w:rFonts w:ascii="Calibri" w:hAnsi="Calibri" w:cs="Calibri"/>
                <w:color w:val="000000"/>
                <w:sz w:val="18"/>
                <w:szCs w:val="18"/>
              </w:rPr>
              <w:t xml:space="preserve">Complement 3 glomerulopathy </w:t>
            </w:r>
            <w:r>
              <w:rPr>
                <w:rFonts w:ascii="Calibri" w:hAnsi="Calibri" w:cs="Calibri"/>
                <w:color w:val="000000"/>
                <w:sz w:val="18"/>
                <w:szCs w:val="18"/>
              </w:rPr>
              <w:br/>
              <w:t>(C3G) or primary immune complex membranoproliferative glomerulonephritis (IC-MPGN)</w:t>
            </w:r>
          </w:p>
        </w:tc>
        <w:tc>
          <w:tcPr>
            <w:tcW w:w="238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4F84F60" w14:textId="4EF47BC1" w:rsidR="009B5D3F" w:rsidRPr="005F21D6" w:rsidRDefault="009B5D3F" w:rsidP="009B5D3F">
            <w:pPr>
              <w:jc w:val="center"/>
              <w:rPr>
                <w:rFonts w:asciiTheme="minorHAnsi" w:hAnsiTheme="minorHAnsi" w:cstheme="minorHAnsi"/>
                <w:color w:val="000000"/>
                <w:sz w:val="18"/>
                <w:szCs w:val="18"/>
              </w:rPr>
            </w:pPr>
            <w:r>
              <w:rPr>
                <w:rFonts w:ascii="Calibri" w:hAnsi="Calibri" w:cs="Calibri"/>
                <w:color w:val="000000"/>
                <w:sz w:val="18"/>
                <w:szCs w:val="18"/>
              </w:rPr>
              <w:t xml:space="preserve">To request listing of </w:t>
            </w:r>
            <w:proofErr w:type="spellStart"/>
            <w:r>
              <w:rPr>
                <w:rFonts w:ascii="Calibri" w:hAnsi="Calibri" w:cs="Calibri"/>
                <w:color w:val="000000"/>
                <w:sz w:val="18"/>
                <w:szCs w:val="18"/>
              </w:rPr>
              <w:t>pegcetacoplan</w:t>
            </w:r>
            <w:proofErr w:type="spellEnd"/>
            <w:r>
              <w:rPr>
                <w:rFonts w:ascii="Calibri" w:hAnsi="Calibri" w:cs="Calibri"/>
                <w:color w:val="000000"/>
                <w:sz w:val="18"/>
                <w:szCs w:val="18"/>
              </w:rPr>
              <w:t xml:space="preserve"> for the treatment of patients aged 12 years and older with C3G or primary IC-MPGN. </w:t>
            </w:r>
            <w:r>
              <w:rPr>
                <w:rFonts w:ascii="Calibri" w:hAnsi="Calibri" w:cs="Calibri"/>
                <w:color w:val="000000"/>
                <w:sz w:val="18"/>
                <w:szCs w:val="18"/>
              </w:rPr>
              <w:br/>
            </w:r>
            <w:r>
              <w:rPr>
                <w:rFonts w:ascii="Calibri" w:hAnsi="Calibri" w:cs="Calibri"/>
                <w:color w:val="000000"/>
                <w:sz w:val="18"/>
                <w:szCs w:val="18"/>
              </w:rPr>
              <w:br/>
              <w:t>Authority Required (Written)</w:t>
            </w:r>
          </w:p>
        </w:tc>
        <w:tc>
          <w:tcPr>
            <w:tcW w:w="1415" w:type="dxa"/>
            <w:vAlign w:val="center"/>
          </w:tcPr>
          <w:p w14:paraId="4509D497" w14:textId="143C7B2D" w:rsidR="009B5D3F" w:rsidRPr="00544E10" w:rsidRDefault="009B5D3F" w:rsidP="00D428AC">
            <w:pPr>
              <w:ind w:left="11"/>
              <w:contextualSpacing/>
              <w:jc w:val="center"/>
              <w:rPr>
                <w:rFonts w:asciiTheme="minorHAnsi" w:hAnsiTheme="minorHAnsi" w:cstheme="minorHAnsi"/>
                <w:color w:val="000000" w:themeColor="text1"/>
                <w:sz w:val="18"/>
                <w:szCs w:val="18"/>
              </w:rPr>
            </w:pPr>
            <w:r>
              <w:rPr>
                <w:rFonts w:ascii="Calibri" w:hAnsi="Calibri" w:cs="Calibri"/>
                <w:color w:val="000000"/>
                <w:sz w:val="18"/>
                <w:szCs w:val="18"/>
              </w:rPr>
              <w:t>Not Recommended</w:t>
            </w:r>
          </w:p>
        </w:tc>
        <w:tc>
          <w:tcPr>
            <w:tcW w:w="4729" w:type="dxa"/>
            <w:vAlign w:val="center"/>
          </w:tcPr>
          <w:p w14:paraId="252D7FF8" w14:textId="6F4E1B93" w:rsidR="009B5D3F" w:rsidRPr="00544E10" w:rsidRDefault="009B5D3F" w:rsidP="00D428AC">
            <w:pPr>
              <w:ind w:left="11"/>
              <w:contextualSpacing/>
              <w:rPr>
                <w:rFonts w:asciiTheme="minorHAnsi" w:hAnsiTheme="minorHAnsi" w:cstheme="minorHAnsi"/>
                <w:color w:val="000000" w:themeColor="text1"/>
                <w:sz w:val="18"/>
                <w:szCs w:val="18"/>
              </w:rPr>
            </w:pPr>
            <w:r>
              <w:rPr>
                <w:rFonts w:ascii="Calibri" w:hAnsi="Calibri" w:cs="Calibri"/>
                <w:color w:val="000000"/>
                <w:sz w:val="18"/>
                <w:szCs w:val="18"/>
              </w:rPr>
              <w:t xml:space="preserve">The PBAC did not recommend listing </w:t>
            </w:r>
            <w:proofErr w:type="spellStart"/>
            <w:r>
              <w:rPr>
                <w:rFonts w:ascii="Calibri" w:hAnsi="Calibri" w:cs="Calibri"/>
                <w:color w:val="000000"/>
                <w:sz w:val="18"/>
                <w:szCs w:val="18"/>
              </w:rPr>
              <w:t>pegcetacoplan</w:t>
            </w:r>
            <w:proofErr w:type="spellEnd"/>
            <w:r>
              <w:rPr>
                <w:rFonts w:ascii="Calibri" w:hAnsi="Calibri" w:cs="Calibri"/>
                <w:color w:val="000000"/>
                <w:sz w:val="18"/>
                <w:szCs w:val="18"/>
              </w:rPr>
              <w:t xml:space="preserve"> for treatment of complement 3 glomerulopathy (C3G) or primary immune complex membranoproliferative glomerulonephritis (IC-MPGN). </w:t>
            </w:r>
            <w:r>
              <w:rPr>
                <w:rFonts w:ascii="Calibri" w:hAnsi="Calibri" w:cs="Calibri"/>
                <w:color w:val="000000"/>
                <w:sz w:val="18"/>
                <w:szCs w:val="18"/>
              </w:rPr>
              <w:br/>
            </w:r>
            <w:r>
              <w:rPr>
                <w:rFonts w:ascii="Calibri" w:hAnsi="Calibri" w:cs="Calibri"/>
                <w:color w:val="000000"/>
                <w:sz w:val="18"/>
                <w:szCs w:val="18"/>
              </w:rPr>
              <w:br/>
              <w:t xml:space="preserve">The PBAC welcomed input from individuals, health professionals and organisations. The PBAC considered that there is a high clinical need for treatments for C3G and primary IC-MPGN, which are rare conditions that impact predominantly young people and cause decline in kidney function. The PBAC acknowledged that existing treatments provide only modest improvements in maintaining kidney function. The PBAC acknowledged the impact of C3G and primary IC-MPGN on individuals who are often young adults, working, and raising or starting families. The PBAC noted the impact of chronic kidney disease, relapses and the burden of treatment on their ability to participate in daily activities and their mental health. </w:t>
            </w:r>
            <w:r>
              <w:rPr>
                <w:rFonts w:ascii="Calibri" w:hAnsi="Calibri" w:cs="Calibri"/>
                <w:color w:val="000000"/>
                <w:sz w:val="18"/>
                <w:szCs w:val="18"/>
              </w:rPr>
              <w:br/>
            </w:r>
            <w:r>
              <w:rPr>
                <w:rFonts w:ascii="Calibri" w:hAnsi="Calibri" w:cs="Calibri"/>
                <w:color w:val="000000"/>
                <w:sz w:val="18"/>
                <w:szCs w:val="18"/>
              </w:rPr>
              <w:br/>
              <w:t xml:space="preserve">The PBAC reviewed the clinical evidence comparing the effectiveness and safety of </w:t>
            </w:r>
            <w:proofErr w:type="spellStart"/>
            <w:r>
              <w:rPr>
                <w:rFonts w:ascii="Calibri" w:hAnsi="Calibri" w:cs="Calibri"/>
                <w:color w:val="000000"/>
                <w:sz w:val="18"/>
                <w:szCs w:val="18"/>
              </w:rPr>
              <w:t>pegcetacoplan</w:t>
            </w:r>
            <w:proofErr w:type="spellEnd"/>
            <w:r>
              <w:rPr>
                <w:rFonts w:ascii="Calibri" w:hAnsi="Calibri" w:cs="Calibri"/>
                <w:color w:val="000000"/>
                <w:sz w:val="18"/>
                <w:szCs w:val="18"/>
              </w:rPr>
              <w:t xml:space="preserve"> with the current standard of care for both people with native kidneys and with C3G/IC-MPGN recurrence following kidney transplantation. The PBAC considered it is possible that </w:t>
            </w:r>
            <w:proofErr w:type="spellStart"/>
            <w:r>
              <w:rPr>
                <w:rFonts w:ascii="Calibri" w:hAnsi="Calibri" w:cs="Calibri"/>
                <w:color w:val="000000"/>
                <w:sz w:val="18"/>
                <w:szCs w:val="18"/>
              </w:rPr>
              <w:t>pegcetacoplan</w:t>
            </w:r>
            <w:proofErr w:type="spellEnd"/>
            <w:r>
              <w:rPr>
                <w:rFonts w:ascii="Calibri" w:hAnsi="Calibri" w:cs="Calibri"/>
                <w:color w:val="000000"/>
                <w:sz w:val="18"/>
                <w:szCs w:val="18"/>
              </w:rPr>
              <w:t xml:space="preserve"> provides a clinical benefit for some patients in terms of slowing progression to end-stage kidney disease. However, the PBAC noted the clinical benefit was only supported by evidence of improvement in indirect measures of health benefit - reduction in proteinuria (unusually high levels of protein in urine), and slower decline in eGFR (estimated glomerular filtration rate; a test that measures how well your kidneys are filtering waste from your blood) compared to placebo. The clinical evidence also showed that </w:t>
            </w:r>
            <w:proofErr w:type="spellStart"/>
            <w:r>
              <w:rPr>
                <w:rFonts w:ascii="Calibri" w:hAnsi="Calibri" w:cs="Calibri"/>
                <w:color w:val="000000"/>
                <w:sz w:val="18"/>
                <w:szCs w:val="18"/>
              </w:rPr>
              <w:t>pegcetacoplan</w:t>
            </w:r>
            <w:proofErr w:type="spellEnd"/>
            <w:r>
              <w:rPr>
                <w:rFonts w:ascii="Calibri" w:hAnsi="Calibri" w:cs="Calibri"/>
                <w:color w:val="000000"/>
                <w:sz w:val="18"/>
                <w:szCs w:val="18"/>
              </w:rPr>
              <w:t xml:space="preserve"> was less safe than standard of care, with increased risk of infection. </w:t>
            </w:r>
            <w:r>
              <w:rPr>
                <w:rFonts w:ascii="Calibri" w:hAnsi="Calibri" w:cs="Calibri"/>
                <w:color w:val="000000"/>
                <w:sz w:val="18"/>
                <w:szCs w:val="18"/>
              </w:rPr>
              <w:br/>
            </w:r>
            <w:r>
              <w:rPr>
                <w:rFonts w:ascii="Calibri" w:hAnsi="Calibri" w:cs="Calibri"/>
                <w:color w:val="000000"/>
                <w:sz w:val="18"/>
                <w:szCs w:val="18"/>
              </w:rPr>
              <w:br/>
              <w:t xml:space="preserve">The PBAC considered that the estimated benefits relating to avoiding long-term dialysis and transplant were improbable and highly uncertain due to the limited clinical data, reliance on indirect measures of health benefit, and unsupported assumptions. The PBAC considered that the cost-effectiveness of </w:t>
            </w:r>
            <w:proofErr w:type="spellStart"/>
            <w:r>
              <w:rPr>
                <w:rFonts w:ascii="Calibri" w:hAnsi="Calibri" w:cs="Calibri"/>
                <w:color w:val="000000"/>
                <w:sz w:val="18"/>
                <w:szCs w:val="18"/>
              </w:rPr>
              <w:t>pegcetacoplan</w:t>
            </w:r>
            <w:proofErr w:type="spellEnd"/>
            <w:r>
              <w:rPr>
                <w:rFonts w:ascii="Calibri" w:hAnsi="Calibri" w:cs="Calibri"/>
                <w:color w:val="000000"/>
                <w:sz w:val="18"/>
                <w:szCs w:val="18"/>
              </w:rPr>
              <w:t xml:space="preserve"> had not been established.</w:t>
            </w:r>
            <w:r>
              <w:rPr>
                <w:rFonts w:ascii="Calibri" w:hAnsi="Calibri" w:cs="Calibri"/>
                <w:color w:val="000000"/>
                <w:sz w:val="18"/>
                <w:szCs w:val="18"/>
              </w:rPr>
              <w:br/>
            </w:r>
            <w:r>
              <w:rPr>
                <w:rFonts w:ascii="Calibri" w:hAnsi="Calibri" w:cs="Calibri"/>
                <w:color w:val="000000"/>
                <w:sz w:val="18"/>
                <w:szCs w:val="18"/>
              </w:rPr>
              <w:br/>
              <w:t xml:space="preserve">In the context of a substantial price reduction for </w:t>
            </w:r>
            <w:proofErr w:type="spellStart"/>
            <w:r>
              <w:rPr>
                <w:rFonts w:ascii="Calibri" w:hAnsi="Calibri" w:cs="Calibri"/>
                <w:color w:val="000000"/>
                <w:sz w:val="18"/>
                <w:szCs w:val="18"/>
              </w:rPr>
              <w:t>pegcetacoplan</w:t>
            </w:r>
            <w:proofErr w:type="spellEnd"/>
            <w:r>
              <w:rPr>
                <w:rFonts w:ascii="Calibri" w:hAnsi="Calibri" w:cs="Calibri"/>
                <w:color w:val="000000"/>
                <w:sz w:val="18"/>
                <w:szCs w:val="18"/>
              </w:rPr>
              <w:t>, and noting the clinical need and available evidence, the PBAC considered the cost-effectiveness may be able to be assessed using a cost per responder approach. The PBAC considered that a cost per responder approach should provide interpretation, and quantification where possible, of the clinically meaningful benefits that are expected to result from reduced proteinuria and potential reduction in decline in eGFR response, for example, avoiding or delaying dialysis and transplants.  The PBAC advised that these matters could be addressed in an early re-entry submission.</w:t>
            </w:r>
          </w:p>
        </w:tc>
      </w:tr>
      <w:tr w:rsidR="00C312E5" w:rsidRPr="00544E10" w14:paraId="4B1B4BE7" w14:textId="77777777" w:rsidTr="003921D1">
        <w:trPr>
          <w:cantSplit/>
          <w:trHeight w:val="868"/>
        </w:trPr>
        <w:tc>
          <w:tcPr>
            <w:tcW w:w="294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09178C5" w14:textId="396B391C" w:rsidR="009B5D3F" w:rsidRPr="005F21D6" w:rsidRDefault="009B5D3F" w:rsidP="009B5D3F">
            <w:pPr>
              <w:jc w:val="center"/>
              <w:rPr>
                <w:rFonts w:asciiTheme="minorHAnsi" w:hAnsiTheme="minorHAnsi" w:cstheme="minorHAnsi"/>
                <w:color w:val="000000"/>
                <w:szCs w:val="20"/>
              </w:rPr>
            </w:pPr>
            <w:r>
              <w:rPr>
                <w:rFonts w:ascii="Calibri" w:hAnsi="Calibri" w:cs="Calibri"/>
                <w:color w:val="000000"/>
                <w:sz w:val="18"/>
                <w:szCs w:val="18"/>
              </w:rPr>
              <w:t>PEGVALIASE</w:t>
            </w:r>
            <w:r>
              <w:rPr>
                <w:rFonts w:ascii="Calibri" w:hAnsi="Calibri" w:cs="Calibri"/>
                <w:color w:val="000000"/>
                <w:sz w:val="18"/>
                <w:szCs w:val="18"/>
              </w:rPr>
              <w:br/>
            </w:r>
            <w:r>
              <w:rPr>
                <w:rFonts w:ascii="Calibri" w:hAnsi="Calibri" w:cs="Calibri"/>
                <w:color w:val="000000"/>
                <w:sz w:val="18"/>
                <w:szCs w:val="18"/>
              </w:rPr>
              <w:br/>
              <w:t>Injection 2.5 mg in 0.5 mL pre-filled syringe</w:t>
            </w:r>
            <w:r>
              <w:rPr>
                <w:rFonts w:ascii="Calibri" w:hAnsi="Calibri" w:cs="Calibri"/>
                <w:color w:val="000000"/>
                <w:sz w:val="18"/>
                <w:szCs w:val="18"/>
              </w:rPr>
              <w:br/>
              <w:t>Injection 10 mg in 0.5 mL pre-filled syringe</w:t>
            </w:r>
            <w:r>
              <w:rPr>
                <w:rFonts w:ascii="Calibri" w:hAnsi="Calibri" w:cs="Calibri"/>
                <w:color w:val="000000"/>
                <w:sz w:val="18"/>
                <w:szCs w:val="18"/>
              </w:rPr>
              <w:br/>
              <w:t>Injection 20 mg in 1 mL pre-filled syringe</w:t>
            </w:r>
            <w:r>
              <w:rPr>
                <w:rFonts w:ascii="Calibri" w:hAnsi="Calibri" w:cs="Calibri"/>
                <w:color w:val="000000"/>
                <w:sz w:val="18"/>
                <w:szCs w:val="18"/>
              </w:rPr>
              <w:br/>
            </w:r>
            <w:r>
              <w:rPr>
                <w:rFonts w:ascii="Calibri" w:hAnsi="Calibri" w:cs="Calibri"/>
                <w:color w:val="000000"/>
                <w:sz w:val="18"/>
                <w:szCs w:val="18"/>
              </w:rPr>
              <w:br/>
              <w:t>Palynziq®</w:t>
            </w:r>
            <w:r>
              <w:rPr>
                <w:rFonts w:ascii="Calibri" w:hAnsi="Calibri" w:cs="Calibri"/>
                <w:color w:val="000000"/>
                <w:sz w:val="18"/>
                <w:szCs w:val="18"/>
              </w:rPr>
              <w:br/>
            </w:r>
            <w:r>
              <w:rPr>
                <w:rFonts w:ascii="Calibri" w:hAnsi="Calibri" w:cs="Calibri"/>
                <w:color w:val="000000"/>
                <w:sz w:val="18"/>
                <w:szCs w:val="18"/>
              </w:rPr>
              <w:br/>
              <w:t>BIOMARIN PHARMACEUTICAL AUSTRALIA PTY LTD</w:t>
            </w:r>
            <w:r>
              <w:rPr>
                <w:rFonts w:ascii="Calibri" w:hAnsi="Calibri" w:cs="Calibri"/>
                <w:color w:val="000000"/>
                <w:sz w:val="18"/>
                <w:szCs w:val="18"/>
              </w:rPr>
              <w:br/>
            </w:r>
            <w:r>
              <w:rPr>
                <w:rFonts w:ascii="Calibri" w:hAnsi="Calibri" w:cs="Calibri"/>
                <w:color w:val="000000"/>
                <w:sz w:val="18"/>
                <w:szCs w:val="18"/>
              </w:rPr>
              <w:br/>
              <w:t>Standard re-entry</w:t>
            </w:r>
            <w:r>
              <w:rPr>
                <w:rFonts w:ascii="Calibri" w:hAnsi="Calibri" w:cs="Calibri"/>
                <w:color w:val="000000"/>
                <w:sz w:val="18"/>
                <w:szCs w:val="18"/>
              </w:rPr>
              <w:br/>
              <w:t xml:space="preserve">(New PBS </w:t>
            </w:r>
            <w:r w:rsidR="00957109">
              <w:rPr>
                <w:rFonts w:ascii="Calibri" w:hAnsi="Calibri" w:cs="Calibri"/>
                <w:color w:val="000000"/>
                <w:sz w:val="18"/>
                <w:szCs w:val="18"/>
              </w:rPr>
              <w:t>listing)</w:t>
            </w:r>
            <w:r>
              <w:rPr>
                <w:rFonts w:ascii="Calibri" w:hAnsi="Calibri" w:cs="Calibri"/>
                <w:color w:val="000000"/>
                <w:sz w:val="18"/>
                <w:szCs w:val="18"/>
              </w:rPr>
              <w:br/>
            </w:r>
            <w:r>
              <w:rPr>
                <w:rFonts w:ascii="Calibri" w:hAnsi="Calibri" w:cs="Calibri"/>
                <w:color w:val="000000"/>
                <w:sz w:val="18"/>
                <w:szCs w:val="18"/>
              </w:rPr>
              <w:br/>
              <w:t xml:space="preserve">PBS General Schedule </w:t>
            </w:r>
          </w:p>
        </w:tc>
        <w:tc>
          <w:tcPr>
            <w:tcW w:w="1983" w:type="dxa"/>
            <w:tcBorders>
              <w:top w:val="single" w:sz="4" w:space="0" w:color="auto"/>
              <w:left w:val="single" w:sz="4" w:space="0" w:color="auto"/>
              <w:bottom w:val="single" w:sz="4" w:space="0" w:color="auto"/>
              <w:right w:val="single" w:sz="4" w:space="0" w:color="auto"/>
            </w:tcBorders>
            <w:vAlign w:val="center"/>
          </w:tcPr>
          <w:p w14:paraId="17D31887" w14:textId="5D942532" w:rsidR="009B5D3F" w:rsidRPr="005F21D6" w:rsidRDefault="009B5D3F" w:rsidP="009B5D3F">
            <w:pPr>
              <w:jc w:val="center"/>
              <w:rPr>
                <w:rFonts w:asciiTheme="minorHAnsi" w:hAnsiTheme="minorHAnsi" w:cstheme="minorHAnsi"/>
                <w:color w:val="000000"/>
                <w:sz w:val="18"/>
                <w:szCs w:val="18"/>
              </w:rPr>
            </w:pPr>
            <w:r>
              <w:rPr>
                <w:rFonts w:ascii="Calibri" w:hAnsi="Calibri" w:cs="Calibri"/>
                <w:color w:val="000000"/>
                <w:sz w:val="18"/>
                <w:szCs w:val="18"/>
              </w:rPr>
              <w:t>Phenylketonuria (PKU)</w:t>
            </w:r>
          </w:p>
        </w:tc>
        <w:tc>
          <w:tcPr>
            <w:tcW w:w="238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860A95E" w14:textId="2619C57F" w:rsidR="009B5D3F" w:rsidRPr="005F21D6" w:rsidRDefault="009B5D3F" w:rsidP="009B5D3F">
            <w:pPr>
              <w:jc w:val="center"/>
              <w:rPr>
                <w:rFonts w:asciiTheme="minorHAnsi" w:hAnsiTheme="minorHAnsi" w:cstheme="minorHAnsi"/>
                <w:color w:val="000000"/>
                <w:sz w:val="18"/>
                <w:szCs w:val="18"/>
              </w:rPr>
            </w:pPr>
            <w:r>
              <w:rPr>
                <w:rFonts w:ascii="Calibri" w:hAnsi="Calibri" w:cs="Calibri"/>
                <w:color w:val="000000"/>
                <w:sz w:val="18"/>
                <w:szCs w:val="18"/>
              </w:rPr>
              <w:t xml:space="preserve">To request listing of </w:t>
            </w:r>
            <w:proofErr w:type="spellStart"/>
            <w:r>
              <w:rPr>
                <w:rFonts w:ascii="Calibri" w:hAnsi="Calibri" w:cs="Calibri"/>
                <w:color w:val="000000"/>
                <w:sz w:val="18"/>
                <w:szCs w:val="18"/>
              </w:rPr>
              <w:t>pegvaliase</w:t>
            </w:r>
            <w:proofErr w:type="spellEnd"/>
            <w:r>
              <w:rPr>
                <w:rFonts w:ascii="Calibri" w:hAnsi="Calibri" w:cs="Calibri"/>
                <w:color w:val="000000"/>
                <w:sz w:val="18"/>
                <w:szCs w:val="18"/>
              </w:rPr>
              <w:t xml:space="preserve"> for the treatment of patients aged 16 years and older with PKU  who have inadequate blood phenylalanine control (baseline blood phenylalanine level above 600 micromole per L) despite prior management with available treatment options (</w:t>
            </w:r>
            <w:r w:rsidR="00EA598F">
              <w:rPr>
                <w:rFonts w:ascii="Calibri" w:hAnsi="Calibri" w:cs="Calibri"/>
                <w:color w:val="000000"/>
                <w:sz w:val="18"/>
                <w:szCs w:val="18"/>
              </w:rPr>
              <w:t>including</w:t>
            </w:r>
            <w:r>
              <w:rPr>
                <w:rFonts w:ascii="Calibri" w:hAnsi="Calibri" w:cs="Calibri"/>
                <w:color w:val="000000"/>
                <w:sz w:val="18"/>
                <w:szCs w:val="18"/>
              </w:rPr>
              <w:t xml:space="preserve"> a phenylalanine restricted diet and </w:t>
            </w:r>
            <w:proofErr w:type="spellStart"/>
            <w:r>
              <w:rPr>
                <w:rFonts w:ascii="Calibri" w:hAnsi="Calibri" w:cs="Calibri"/>
                <w:color w:val="000000"/>
                <w:sz w:val="18"/>
                <w:szCs w:val="18"/>
              </w:rPr>
              <w:t>sapropterin</w:t>
            </w:r>
            <w:proofErr w:type="spellEnd"/>
            <w:r>
              <w:rPr>
                <w:rFonts w:ascii="Calibri" w:hAnsi="Calibri" w:cs="Calibri"/>
                <w:color w:val="000000"/>
                <w:sz w:val="18"/>
                <w:szCs w:val="18"/>
              </w:rPr>
              <w:t xml:space="preserve">). An inadequate response to a trial of </w:t>
            </w:r>
            <w:proofErr w:type="spellStart"/>
            <w:r>
              <w:rPr>
                <w:rFonts w:ascii="Calibri" w:hAnsi="Calibri" w:cs="Calibri"/>
                <w:color w:val="000000"/>
                <w:sz w:val="18"/>
                <w:szCs w:val="18"/>
              </w:rPr>
              <w:t>sapropterin</w:t>
            </w:r>
            <w:proofErr w:type="spellEnd"/>
            <w:r>
              <w:rPr>
                <w:rFonts w:ascii="Calibri" w:hAnsi="Calibri" w:cs="Calibri"/>
                <w:color w:val="000000"/>
                <w:sz w:val="18"/>
                <w:szCs w:val="18"/>
              </w:rPr>
              <w:t xml:space="preserve"> is defined as failure to achieve a 30 per cent or greater reduction in blood phenylalanine from baseline following initial treatment with </w:t>
            </w:r>
            <w:proofErr w:type="spellStart"/>
            <w:r>
              <w:rPr>
                <w:rFonts w:ascii="Calibri" w:hAnsi="Calibri" w:cs="Calibri"/>
                <w:color w:val="000000"/>
                <w:sz w:val="18"/>
                <w:szCs w:val="18"/>
              </w:rPr>
              <w:t>sapropterin</w:t>
            </w:r>
            <w:proofErr w:type="spellEnd"/>
            <w:r>
              <w:rPr>
                <w:rFonts w:ascii="Calibri" w:hAnsi="Calibri" w:cs="Calibri"/>
                <w:color w:val="000000"/>
                <w:sz w:val="18"/>
                <w:szCs w:val="18"/>
              </w:rPr>
              <w:t xml:space="preserve">. The submission also seeks PBAC consideration for extending eligibility to patients aged 16 years and older with PKU who have a protein tolerance of less than 15 grams per day, even if </w:t>
            </w:r>
            <w:proofErr w:type="spellStart"/>
            <w:r>
              <w:rPr>
                <w:rFonts w:ascii="Calibri" w:hAnsi="Calibri" w:cs="Calibri"/>
                <w:color w:val="000000"/>
                <w:sz w:val="18"/>
                <w:szCs w:val="18"/>
              </w:rPr>
              <w:t>sapropterin</w:t>
            </w:r>
            <w:proofErr w:type="spellEnd"/>
            <w:r>
              <w:rPr>
                <w:rFonts w:ascii="Calibri" w:hAnsi="Calibri" w:cs="Calibri"/>
                <w:color w:val="000000"/>
                <w:sz w:val="18"/>
                <w:szCs w:val="18"/>
              </w:rPr>
              <w:t xml:space="preserve"> responsive. </w:t>
            </w:r>
            <w:r>
              <w:rPr>
                <w:rFonts w:ascii="Calibri" w:hAnsi="Calibri" w:cs="Calibri"/>
                <w:color w:val="000000"/>
                <w:sz w:val="18"/>
                <w:szCs w:val="18"/>
              </w:rPr>
              <w:br/>
            </w:r>
            <w:r>
              <w:rPr>
                <w:rFonts w:ascii="Calibri" w:hAnsi="Calibri" w:cs="Calibri"/>
                <w:color w:val="000000"/>
                <w:sz w:val="18"/>
                <w:szCs w:val="18"/>
              </w:rPr>
              <w:br/>
              <w:t>Authority Required (Telephone/Online)</w:t>
            </w:r>
          </w:p>
        </w:tc>
        <w:tc>
          <w:tcPr>
            <w:tcW w:w="1415" w:type="dxa"/>
            <w:vAlign w:val="center"/>
          </w:tcPr>
          <w:p w14:paraId="4F4E4913" w14:textId="6A371C21" w:rsidR="009B5D3F" w:rsidRPr="00BF7130" w:rsidRDefault="009B5D3F" w:rsidP="00D428AC">
            <w:pPr>
              <w:ind w:left="11"/>
              <w:contextualSpacing/>
              <w:jc w:val="center"/>
              <w:rPr>
                <w:rFonts w:asciiTheme="minorHAnsi" w:hAnsiTheme="minorHAnsi" w:cstheme="minorHAnsi"/>
                <w:color w:val="000000" w:themeColor="text1"/>
                <w:sz w:val="18"/>
                <w:szCs w:val="18"/>
              </w:rPr>
            </w:pPr>
            <w:r w:rsidRPr="00BF7130">
              <w:rPr>
                <w:rFonts w:ascii="Calibri" w:hAnsi="Calibri" w:cs="Calibri"/>
                <w:color w:val="000000"/>
                <w:sz w:val="18"/>
                <w:szCs w:val="18"/>
              </w:rPr>
              <w:t>Deferred</w:t>
            </w:r>
          </w:p>
        </w:tc>
        <w:tc>
          <w:tcPr>
            <w:tcW w:w="4729" w:type="dxa"/>
            <w:vAlign w:val="center"/>
          </w:tcPr>
          <w:p w14:paraId="3E48ED4C" w14:textId="77777777" w:rsidR="009B5D3F" w:rsidRDefault="009B5D3F" w:rsidP="00D428AC">
            <w:pPr>
              <w:ind w:left="11"/>
              <w:contextualSpacing/>
              <w:rPr>
                <w:rFonts w:ascii="Calibri" w:hAnsi="Calibri" w:cs="Calibri"/>
                <w:color w:val="000000"/>
                <w:sz w:val="18"/>
                <w:szCs w:val="18"/>
              </w:rPr>
            </w:pPr>
            <w:r>
              <w:rPr>
                <w:rFonts w:ascii="Calibri" w:hAnsi="Calibri" w:cs="Calibri"/>
                <w:color w:val="000000"/>
                <w:sz w:val="18"/>
                <w:szCs w:val="18"/>
              </w:rPr>
              <w:t xml:space="preserve">The PBAC deferred making a recommendation for listing </w:t>
            </w:r>
            <w:proofErr w:type="spellStart"/>
            <w:r>
              <w:rPr>
                <w:rFonts w:ascii="Calibri" w:hAnsi="Calibri" w:cs="Calibri"/>
                <w:color w:val="000000"/>
                <w:sz w:val="18"/>
                <w:szCs w:val="18"/>
              </w:rPr>
              <w:t>pegvaliase</w:t>
            </w:r>
            <w:proofErr w:type="spellEnd"/>
            <w:r>
              <w:rPr>
                <w:rFonts w:ascii="Calibri" w:hAnsi="Calibri" w:cs="Calibri"/>
                <w:color w:val="000000"/>
                <w:sz w:val="18"/>
                <w:szCs w:val="18"/>
              </w:rPr>
              <w:t xml:space="preserve"> for the treatment of patients with phenylketonuria (PKU) who have inadequate blood phenylalanine (</w:t>
            </w:r>
            <w:proofErr w:type="spellStart"/>
            <w:r>
              <w:rPr>
                <w:rFonts w:ascii="Calibri" w:hAnsi="Calibri" w:cs="Calibri"/>
                <w:color w:val="000000"/>
                <w:sz w:val="18"/>
                <w:szCs w:val="18"/>
              </w:rPr>
              <w:t>Phe</w:t>
            </w:r>
            <w:proofErr w:type="spellEnd"/>
            <w:r>
              <w:rPr>
                <w:rFonts w:ascii="Calibri" w:hAnsi="Calibri" w:cs="Calibri"/>
                <w:color w:val="000000"/>
                <w:sz w:val="18"/>
                <w:szCs w:val="18"/>
              </w:rPr>
              <w:t xml:space="preserve">) control despite prior management with available treatment options including a </w:t>
            </w:r>
            <w:proofErr w:type="spellStart"/>
            <w:r>
              <w:rPr>
                <w:rFonts w:ascii="Calibri" w:hAnsi="Calibri" w:cs="Calibri"/>
                <w:color w:val="000000"/>
                <w:sz w:val="18"/>
                <w:szCs w:val="18"/>
              </w:rPr>
              <w:t>Phe</w:t>
            </w:r>
            <w:proofErr w:type="spellEnd"/>
            <w:r>
              <w:rPr>
                <w:rFonts w:ascii="Calibri" w:hAnsi="Calibri" w:cs="Calibri"/>
                <w:color w:val="000000"/>
                <w:sz w:val="18"/>
                <w:szCs w:val="18"/>
              </w:rPr>
              <w:t xml:space="preserve">-restricted diet and </w:t>
            </w:r>
            <w:proofErr w:type="spellStart"/>
            <w:r>
              <w:rPr>
                <w:rFonts w:ascii="Calibri" w:hAnsi="Calibri" w:cs="Calibri"/>
                <w:color w:val="000000"/>
                <w:sz w:val="18"/>
                <w:szCs w:val="18"/>
              </w:rPr>
              <w:t>sapropterin</w:t>
            </w:r>
            <w:proofErr w:type="spellEnd"/>
            <w:r>
              <w:rPr>
                <w:rFonts w:ascii="Calibri" w:hAnsi="Calibri" w:cs="Calibri"/>
                <w:color w:val="000000"/>
                <w:sz w:val="18"/>
                <w:szCs w:val="18"/>
              </w:rPr>
              <w:t xml:space="preserve">.  </w:t>
            </w:r>
            <w:r>
              <w:rPr>
                <w:rFonts w:ascii="Calibri" w:hAnsi="Calibri" w:cs="Calibri"/>
                <w:color w:val="000000"/>
                <w:sz w:val="18"/>
                <w:szCs w:val="18"/>
              </w:rPr>
              <w:br/>
            </w:r>
            <w:r>
              <w:rPr>
                <w:rFonts w:ascii="Calibri" w:hAnsi="Calibri" w:cs="Calibri"/>
                <w:color w:val="000000"/>
                <w:sz w:val="18"/>
                <w:szCs w:val="18"/>
              </w:rPr>
              <w:br/>
              <w:t xml:space="preserve">The PBAC welcomed input from individuals, clinicians and groups. The PBAC acknowledged the challenges of living with PKU including the severe and lifelong burden of dietary restrictions. The PBAC also noted the cognitive impacts of high </w:t>
            </w:r>
            <w:proofErr w:type="spellStart"/>
            <w:r>
              <w:rPr>
                <w:rFonts w:ascii="Calibri" w:hAnsi="Calibri" w:cs="Calibri"/>
                <w:color w:val="000000"/>
                <w:sz w:val="18"/>
                <w:szCs w:val="18"/>
              </w:rPr>
              <w:t>Phe</w:t>
            </w:r>
            <w:proofErr w:type="spellEnd"/>
            <w:r>
              <w:rPr>
                <w:rFonts w:ascii="Calibri" w:hAnsi="Calibri" w:cs="Calibri"/>
                <w:color w:val="000000"/>
                <w:sz w:val="18"/>
                <w:szCs w:val="18"/>
              </w:rPr>
              <w:t xml:space="preserve"> levels including difficulty concentrating, reduced mental clarity, anxiety and fatigue.  </w:t>
            </w:r>
            <w:r>
              <w:rPr>
                <w:rFonts w:ascii="Calibri" w:hAnsi="Calibri" w:cs="Calibri"/>
                <w:color w:val="000000"/>
                <w:sz w:val="18"/>
                <w:szCs w:val="18"/>
              </w:rPr>
              <w:br/>
              <w:t xml:space="preserve"> </w:t>
            </w:r>
            <w:r>
              <w:rPr>
                <w:rFonts w:ascii="Calibri" w:hAnsi="Calibri" w:cs="Calibri"/>
                <w:color w:val="000000"/>
                <w:sz w:val="18"/>
                <w:szCs w:val="18"/>
              </w:rPr>
              <w:br/>
              <w:t xml:space="preserve">The PBAC acknowledged that the existing treatment, </w:t>
            </w:r>
            <w:proofErr w:type="spellStart"/>
            <w:r>
              <w:rPr>
                <w:rFonts w:ascii="Calibri" w:hAnsi="Calibri" w:cs="Calibri"/>
                <w:color w:val="000000"/>
                <w:sz w:val="18"/>
                <w:szCs w:val="18"/>
              </w:rPr>
              <w:t>sapropterin</w:t>
            </w:r>
            <w:proofErr w:type="spellEnd"/>
            <w:r>
              <w:rPr>
                <w:rFonts w:ascii="Calibri" w:hAnsi="Calibri" w:cs="Calibri"/>
                <w:color w:val="000000"/>
                <w:sz w:val="18"/>
                <w:szCs w:val="18"/>
              </w:rPr>
              <w:t xml:space="preserve">, does not work adequately in all patients in terms of reducing blood </w:t>
            </w:r>
            <w:proofErr w:type="spellStart"/>
            <w:r>
              <w:rPr>
                <w:rFonts w:ascii="Calibri" w:hAnsi="Calibri" w:cs="Calibri"/>
                <w:color w:val="000000"/>
                <w:sz w:val="18"/>
                <w:szCs w:val="18"/>
              </w:rPr>
              <w:t>Phe</w:t>
            </w:r>
            <w:proofErr w:type="spellEnd"/>
            <w:r>
              <w:rPr>
                <w:rFonts w:ascii="Calibri" w:hAnsi="Calibri" w:cs="Calibri"/>
                <w:color w:val="000000"/>
                <w:sz w:val="18"/>
                <w:szCs w:val="18"/>
              </w:rPr>
              <w:t xml:space="preserve"> levels and improving dietary restrictions. As such, the PBAC recognised the high unmet clinical need for effective treatments in the proposed patient population. </w:t>
            </w:r>
            <w:r>
              <w:rPr>
                <w:rFonts w:ascii="Calibri" w:hAnsi="Calibri" w:cs="Calibri"/>
                <w:color w:val="000000"/>
                <w:sz w:val="18"/>
                <w:szCs w:val="18"/>
              </w:rPr>
              <w:br/>
              <w:t xml:space="preserve"> </w:t>
            </w:r>
            <w:r>
              <w:rPr>
                <w:rFonts w:ascii="Calibri" w:hAnsi="Calibri" w:cs="Calibri"/>
                <w:color w:val="000000"/>
                <w:sz w:val="18"/>
                <w:szCs w:val="18"/>
              </w:rPr>
              <w:br/>
              <w:t xml:space="preserve">The PBAC accepted that </w:t>
            </w:r>
            <w:proofErr w:type="spellStart"/>
            <w:r>
              <w:rPr>
                <w:rFonts w:ascii="Calibri" w:hAnsi="Calibri" w:cs="Calibri"/>
                <w:color w:val="000000"/>
                <w:sz w:val="18"/>
                <w:szCs w:val="18"/>
              </w:rPr>
              <w:t>pegvaliase</w:t>
            </w:r>
            <w:proofErr w:type="spellEnd"/>
            <w:r>
              <w:rPr>
                <w:rFonts w:ascii="Calibri" w:hAnsi="Calibri" w:cs="Calibri"/>
                <w:color w:val="000000"/>
                <w:sz w:val="18"/>
                <w:szCs w:val="18"/>
              </w:rPr>
              <w:t xml:space="preserve"> is more effective than a </w:t>
            </w:r>
            <w:proofErr w:type="spellStart"/>
            <w:r>
              <w:rPr>
                <w:rFonts w:ascii="Calibri" w:hAnsi="Calibri" w:cs="Calibri"/>
                <w:color w:val="000000"/>
                <w:sz w:val="18"/>
                <w:szCs w:val="18"/>
              </w:rPr>
              <w:t>Phe</w:t>
            </w:r>
            <w:proofErr w:type="spellEnd"/>
            <w:r>
              <w:rPr>
                <w:rFonts w:ascii="Calibri" w:hAnsi="Calibri" w:cs="Calibri"/>
                <w:color w:val="000000"/>
                <w:sz w:val="18"/>
                <w:szCs w:val="18"/>
              </w:rPr>
              <w:t xml:space="preserve">-restricted diet alone at reducing blood </w:t>
            </w:r>
            <w:proofErr w:type="spellStart"/>
            <w:r>
              <w:rPr>
                <w:rFonts w:ascii="Calibri" w:hAnsi="Calibri" w:cs="Calibri"/>
                <w:color w:val="000000"/>
                <w:sz w:val="18"/>
                <w:szCs w:val="18"/>
              </w:rPr>
              <w:t>Phe</w:t>
            </w:r>
            <w:proofErr w:type="spellEnd"/>
            <w:r>
              <w:rPr>
                <w:rFonts w:ascii="Calibri" w:hAnsi="Calibri" w:cs="Calibri"/>
                <w:color w:val="000000"/>
                <w:sz w:val="18"/>
                <w:szCs w:val="18"/>
              </w:rPr>
              <w:t xml:space="preserve"> levels. However, the PBAC considered the evidence presented in the submission did not allow confidence about the extent to which </w:t>
            </w:r>
            <w:proofErr w:type="spellStart"/>
            <w:r>
              <w:rPr>
                <w:rFonts w:ascii="Calibri" w:hAnsi="Calibri" w:cs="Calibri"/>
                <w:color w:val="000000"/>
                <w:sz w:val="18"/>
                <w:szCs w:val="18"/>
              </w:rPr>
              <w:t>pegvaliase</w:t>
            </w:r>
            <w:proofErr w:type="spellEnd"/>
            <w:r>
              <w:rPr>
                <w:rFonts w:ascii="Calibri" w:hAnsi="Calibri" w:cs="Calibri"/>
                <w:color w:val="000000"/>
                <w:sz w:val="18"/>
                <w:szCs w:val="18"/>
              </w:rPr>
              <w:t xml:space="preserve"> would provide benefits compared to a </w:t>
            </w:r>
            <w:proofErr w:type="spellStart"/>
            <w:r>
              <w:rPr>
                <w:rFonts w:ascii="Calibri" w:hAnsi="Calibri" w:cs="Calibri"/>
                <w:color w:val="000000"/>
                <w:sz w:val="18"/>
                <w:szCs w:val="18"/>
              </w:rPr>
              <w:t>Phe</w:t>
            </w:r>
            <w:proofErr w:type="spellEnd"/>
            <w:r>
              <w:rPr>
                <w:rFonts w:ascii="Calibri" w:hAnsi="Calibri" w:cs="Calibri"/>
                <w:color w:val="000000"/>
                <w:sz w:val="18"/>
                <w:szCs w:val="18"/>
              </w:rPr>
              <w:t xml:space="preserve">-restricted diet alone. This was because of limitations in the quality of clinical evidence and methodological concerns with available studies. The PBAC acknowledged reliable clinical data were difficult to obtain given the rarity of disease. The PBAC noted that </w:t>
            </w:r>
            <w:proofErr w:type="spellStart"/>
            <w:r>
              <w:rPr>
                <w:rFonts w:ascii="Calibri" w:hAnsi="Calibri" w:cs="Calibri"/>
                <w:color w:val="000000"/>
                <w:sz w:val="18"/>
                <w:szCs w:val="18"/>
              </w:rPr>
              <w:t>pegvaliase</w:t>
            </w:r>
            <w:proofErr w:type="spellEnd"/>
            <w:r>
              <w:rPr>
                <w:rFonts w:ascii="Calibri" w:hAnsi="Calibri" w:cs="Calibri"/>
                <w:color w:val="000000"/>
                <w:sz w:val="18"/>
                <w:szCs w:val="18"/>
              </w:rPr>
              <w:t xml:space="preserve"> was associated with higher rates of hypersensitivity and skin reactions compared with a </w:t>
            </w:r>
            <w:proofErr w:type="spellStart"/>
            <w:r>
              <w:rPr>
                <w:rFonts w:ascii="Calibri" w:hAnsi="Calibri" w:cs="Calibri"/>
                <w:color w:val="000000"/>
                <w:sz w:val="18"/>
                <w:szCs w:val="18"/>
              </w:rPr>
              <w:t>Phe</w:t>
            </w:r>
            <w:proofErr w:type="spellEnd"/>
            <w:r>
              <w:rPr>
                <w:rFonts w:ascii="Calibri" w:hAnsi="Calibri" w:cs="Calibri"/>
                <w:color w:val="000000"/>
                <w:sz w:val="18"/>
                <w:szCs w:val="18"/>
              </w:rPr>
              <w:t>-restricted diet alone.</w:t>
            </w:r>
            <w:r>
              <w:rPr>
                <w:rFonts w:ascii="Calibri" w:hAnsi="Calibri" w:cs="Calibri"/>
                <w:color w:val="000000"/>
                <w:sz w:val="18"/>
                <w:szCs w:val="18"/>
              </w:rPr>
              <w:br/>
              <w:t xml:space="preserve"> </w:t>
            </w:r>
            <w:r>
              <w:rPr>
                <w:rFonts w:ascii="Calibri" w:hAnsi="Calibri" w:cs="Calibri"/>
                <w:color w:val="000000"/>
                <w:sz w:val="18"/>
                <w:szCs w:val="18"/>
              </w:rPr>
              <w:br/>
              <w:t xml:space="preserve">However, the PBAC considered it was unclear whether the sponsor’s proposed pricing structure and risk sharing arrangement (RSA) proposal would achieve a cost-effective price and adequately manage the financial risk to the Commonwealth. The deferral was to allow further consultation with the sponsor and the Department regarding how best to implement the intent of the sponsor’s requested pricing and RSA proposal.  </w:t>
            </w:r>
          </w:p>
          <w:p w14:paraId="1E438DAE" w14:textId="77777777" w:rsidR="004212C6" w:rsidRPr="00BD3A24" w:rsidRDefault="004212C6" w:rsidP="00D428AC">
            <w:pPr>
              <w:ind w:left="11"/>
              <w:contextualSpacing/>
              <w:rPr>
                <w:rFonts w:ascii="Calibri" w:hAnsi="Calibri" w:cs="Calibri"/>
                <w:color w:val="000000" w:themeColor="text1"/>
                <w:sz w:val="18"/>
                <w:szCs w:val="18"/>
              </w:rPr>
            </w:pPr>
          </w:p>
          <w:p w14:paraId="6504BF50" w14:textId="77777777" w:rsidR="004212C6" w:rsidRPr="00BD3A24" w:rsidRDefault="004212C6" w:rsidP="00D428AC">
            <w:pPr>
              <w:ind w:left="11"/>
              <w:contextualSpacing/>
              <w:rPr>
                <w:rFonts w:ascii="Calibri" w:hAnsi="Calibri" w:cs="Calibri"/>
                <w:color w:val="000000" w:themeColor="text1"/>
                <w:sz w:val="18"/>
                <w:szCs w:val="18"/>
              </w:rPr>
            </w:pPr>
            <w:r w:rsidRPr="00BD3A24">
              <w:rPr>
                <w:rFonts w:ascii="Calibri" w:hAnsi="Calibri" w:cs="Calibri"/>
                <w:color w:val="000000" w:themeColor="text1"/>
                <w:sz w:val="18"/>
                <w:szCs w:val="18"/>
              </w:rPr>
              <w:t>Sponsor’s comment:</w:t>
            </w:r>
          </w:p>
          <w:p w14:paraId="77CFAC67" w14:textId="204A3571" w:rsidR="004212C6" w:rsidRPr="001D1EA4" w:rsidRDefault="00237939" w:rsidP="00D428AC">
            <w:pPr>
              <w:ind w:left="11"/>
              <w:contextualSpacing/>
              <w:rPr>
                <w:rFonts w:ascii="Calibri" w:hAnsi="Calibri" w:cs="Calibri"/>
                <w:color w:val="000000" w:themeColor="text1"/>
                <w:sz w:val="18"/>
                <w:szCs w:val="18"/>
              </w:rPr>
            </w:pPr>
            <w:r w:rsidRPr="001D1EA4">
              <w:rPr>
                <w:rFonts w:ascii="Calibri" w:hAnsi="Calibri" w:cs="Calibri"/>
                <w:color w:val="000000" w:themeColor="text1"/>
                <w:sz w:val="18"/>
                <w:szCs w:val="18"/>
              </w:rPr>
              <w:t xml:space="preserve">BioMarin welcomes the PBAC’s acknowledgment of the significant unmet clinical need faced by people living with PKU who are unable to achieve adequate blood </w:t>
            </w:r>
            <w:proofErr w:type="spellStart"/>
            <w:r w:rsidRPr="001D1EA4">
              <w:rPr>
                <w:rFonts w:ascii="Calibri" w:hAnsi="Calibri" w:cs="Calibri"/>
                <w:color w:val="000000" w:themeColor="text1"/>
                <w:sz w:val="18"/>
                <w:szCs w:val="18"/>
              </w:rPr>
              <w:t>Phe</w:t>
            </w:r>
            <w:proofErr w:type="spellEnd"/>
            <w:r w:rsidRPr="001D1EA4">
              <w:rPr>
                <w:rFonts w:ascii="Calibri" w:hAnsi="Calibri" w:cs="Calibri"/>
                <w:color w:val="000000" w:themeColor="text1"/>
                <w:sz w:val="18"/>
                <w:szCs w:val="18"/>
              </w:rPr>
              <w:t xml:space="preserve"> control despite existing treatment options. We look forward to working collaboratively with the PBAC and the Department to explore a path forward for these patients.</w:t>
            </w:r>
          </w:p>
          <w:p w14:paraId="09563426" w14:textId="60A612E4" w:rsidR="004212C6" w:rsidRPr="00544E10" w:rsidRDefault="004212C6" w:rsidP="00D428AC">
            <w:pPr>
              <w:ind w:left="11"/>
              <w:contextualSpacing/>
              <w:rPr>
                <w:rFonts w:asciiTheme="minorHAnsi" w:hAnsiTheme="minorHAnsi" w:cstheme="minorHAnsi"/>
                <w:color w:val="000000" w:themeColor="text1"/>
                <w:sz w:val="18"/>
                <w:szCs w:val="18"/>
              </w:rPr>
            </w:pPr>
          </w:p>
        </w:tc>
      </w:tr>
      <w:tr w:rsidR="00C312E5" w:rsidRPr="00544E10" w14:paraId="7345F5AE" w14:textId="77777777" w:rsidTr="003921D1">
        <w:trPr>
          <w:cantSplit/>
          <w:trHeight w:val="868"/>
        </w:trPr>
        <w:tc>
          <w:tcPr>
            <w:tcW w:w="294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13BBC4D" w14:textId="60E841C8" w:rsidR="00BC4BA6" w:rsidRPr="005F21D6" w:rsidRDefault="00BC4BA6" w:rsidP="00BC4BA6">
            <w:pPr>
              <w:jc w:val="center"/>
              <w:rPr>
                <w:rFonts w:asciiTheme="minorHAnsi" w:hAnsiTheme="minorHAnsi" w:cstheme="minorHAnsi"/>
                <w:color w:val="000000"/>
                <w:szCs w:val="20"/>
              </w:rPr>
            </w:pPr>
            <w:r>
              <w:rPr>
                <w:rFonts w:ascii="Calibri" w:hAnsi="Calibri" w:cs="Calibri"/>
                <w:color w:val="000000"/>
                <w:sz w:val="18"/>
                <w:szCs w:val="18"/>
              </w:rPr>
              <w:t>RESPIRATORY SYNCYTIAL VIRUS VACCINE</w:t>
            </w:r>
            <w:r>
              <w:rPr>
                <w:rFonts w:ascii="Calibri" w:hAnsi="Calibri" w:cs="Calibri"/>
                <w:color w:val="000000"/>
                <w:sz w:val="18"/>
                <w:szCs w:val="18"/>
              </w:rPr>
              <w:br/>
            </w:r>
            <w:r>
              <w:rPr>
                <w:rFonts w:ascii="Calibri" w:hAnsi="Calibri" w:cs="Calibri"/>
                <w:color w:val="000000"/>
                <w:sz w:val="18"/>
                <w:szCs w:val="18"/>
              </w:rPr>
              <w:br/>
              <w:t xml:space="preserve">Powder and suspension for injection </w:t>
            </w:r>
            <w:r w:rsidR="00BF7130">
              <w:rPr>
                <w:rFonts w:ascii="Calibri" w:hAnsi="Calibri" w:cs="Calibri"/>
                <w:color w:val="000000"/>
                <w:sz w:val="18"/>
                <w:szCs w:val="18"/>
              </w:rPr>
              <w:br/>
            </w:r>
            <w:r>
              <w:rPr>
                <w:rFonts w:ascii="Calibri" w:hAnsi="Calibri" w:cs="Calibri"/>
                <w:color w:val="000000"/>
                <w:sz w:val="18"/>
                <w:szCs w:val="18"/>
              </w:rPr>
              <w:t>(0.5 mL)</w:t>
            </w:r>
            <w:r>
              <w:rPr>
                <w:rFonts w:ascii="Calibri" w:hAnsi="Calibri" w:cs="Calibri"/>
                <w:color w:val="000000"/>
                <w:sz w:val="18"/>
                <w:szCs w:val="18"/>
              </w:rPr>
              <w:br/>
            </w:r>
            <w:r>
              <w:rPr>
                <w:rFonts w:ascii="Calibri" w:hAnsi="Calibri" w:cs="Calibri"/>
                <w:color w:val="000000"/>
                <w:sz w:val="18"/>
                <w:szCs w:val="18"/>
              </w:rPr>
              <w:br/>
            </w:r>
            <w:proofErr w:type="spellStart"/>
            <w:r>
              <w:rPr>
                <w:rFonts w:ascii="Calibri" w:hAnsi="Calibri" w:cs="Calibri"/>
                <w:color w:val="000000"/>
                <w:sz w:val="18"/>
                <w:szCs w:val="18"/>
              </w:rPr>
              <w:t>Arexvy</w:t>
            </w:r>
            <w:proofErr w:type="spellEnd"/>
            <w:r>
              <w:rPr>
                <w:rFonts w:ascii="Calibri" w:hAnsi="Calibri" w:cs="Calibri"/>
                <w:color w:val="000000"/>
                <w:sz w:val="18"/>
                <w:szCs w:val="18"/>
              </w:rPr>
              <w:t>®</w:t>
            </w:r>
            <w:r>
              <w:rPr>
                <w:rFonts w:ascii="Calibri" w:hAnsi="Calibri" w:cs="Calibri"/>
                <w:color w:val="000000"/>
                <w:sz w:val="18"/>
                <w:szCs w:val="18"/>
              </w:rPr>
              <w:br/>
            </w:r>
            <w:r>
              <w:rPr>
                <w:rFonts w:ascii="Calibri" w:hAnsi="Calibri" w:cs="Calibri"/>
                <w:color w:val="000000"/>
                <w:sz w:val="18"/>
                <w:szCs w:val="18"/>
              </w:rPr>
              <w:br/>
              <w:t xml:space="preserve"> GLAXOSMITHKLINE AUSTRALIA PTY LT</w:t>
            </w:r>
            <w:r>
              <w:rPr>
                <w:rFonts w:ascii="Calibri" w:hAnsi="Calibri" w:cs="Calibri"/>
                <w:color w:val="000000"/>
                <w:sz w:val="18"/>
                <w:szCs w:val="18"/>
              </w:rPr>
              <w:br/>
            </w:r>
            <w:r>
              <w:rPr>
                <w:rFonts w:ascii="Calibri" w:hAnsi="Calibri" w:cs="Calibri"/>
                <w:color w:val="000000"/>
                <w:sz w:val="18"/>
                <w:szCs w:val="18"/>
              </w:rPr>
              <w:br/>
              <w:t>Standard re-entry</w:t>
            </w:r>
            <w:r>
              <w:rPr>
                <w:rFonts w:ascii="Calibri" w:hAnsi="Calibri" w:cs="Calibri"/>
                <w:color w:val="000000"/>
                <w:sz w:val="18"/>
                <w:szCs w:val="18"/>
              </w:rPr>
              <w:br/>
              <w:t xml:space="preserve">(Change to existing NIP </w:t>
            </w:r>
            <w:r w:rsidR="00957109">
              <w:rPr>
                <w:rFonts w:ascii="Calibri" w:hAnsi="Calibri" w:cs="Calibri"/>
                <w:color w:val="000000"/>
                <w:sz w:val="18"/>
                <w:szCs w:val="18"/>
              </w:rPr>
              <w:t>listing)</w:t>
            </w:r>
          </w:p>
        </w:tc>
        <w:tc>
          <w:tcPr>
            <w:tcW w:w="1983" w:type="dxa"/>
            <w:tcBorders>
              <w:top w:val="single" w:sz="4" w:space="0" w:color="auto"/>
              <w:left w:val="single" w:sz="4" w:space="0" w:color="auto"/>
              <w:bottom w:val="single" w:sz="4" w:space="0" w:color="auto"/>
              <w:right w:val="single" w:sz="4" w:space="0" w:color="auto"/>
            </w:tcBorders>
            <w:vAlign w:val="center"/>
          </w:tcPr>
          <w:p w14:paraId="1BB3B895" w14:textId="0BA22A6F" w:rsidR="00BC4BA6" w:rsidRPr="005F21D6" w:rsidRDefault="00BC4BA6" w:rsidP="00BC4BA6">
            <w:pPr>
              <w:jc w:val="center"/>
              <w:rPr>
                <w:rFonts w:asciiTheme="minorHAnsi" w:hAnsiTheme="minorHAnsi" w:cstheme="minorHAnsi"/>
                <w:color w:val="000000"/>
                <w:sz w:val="18"/>
                <w:szCs w:val="18"/>
              </w:rPr>
            </w:pPr>
            <w:r>
              <w:rPr>
                <w:rFonts w:ascii="Calibri" w:hAnsi="Calibri" w:cs="Calibri"/>
                <w:color w:val="000000"/>
                <w:sz w:val="18"/>
                <w:szCs w:val="18"/>
              </w:rPr>
              <w:t>Prevention of lower respiratory tract disease caused by respiratory syncytial virus (RSV)</w:t>
            </w:r>
          </w:p>
        </w:tc>
        <w:tc>
          <w:tcPr>
            <w:tcW w:w="238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8BCE11A" w14:textId="674289B6" w:rsidR="00BC4BA6" w:rsidRPr="005F21D6" w:rsidRDefault="00BC4BA6" w:rsidP="00BC4BA6">
            <w:pPr>
              <w:jc w:val="center"/>
              <w:rPr>
                <w:rFonts w:asciiTheme="minorHAnsi" w:hAnsiTheme="minorHAnsi" w:cstheme="minorHAnsi"/>
                <w:color w:val="000000"/>
                <w:sz w:val="18"/>
                <w:szCs w:val="18"/>
              </w:rPr>
            </w:pPr>
            <w:r>
              <w:rPr>
                <w:rFonts w:ascii="Calibri" w:hAnsi="Calibri" w:cs="Calibri"/>
                <w:color w:val="000000"/>
                <w:sz w:val="18"/>
                <w:szCs w:val="18"/>
              </w:rPr>
              <w:t xml:space="preserve">Resubmission to request a change to the National Immunisation Program (NIP) listing of </w:t>
            </w:r>
            <w:proofErr w:type="spellStart"/>
            <w:r>
              <w:rPr>
                <w:rFonts w:ascii="Calibri" w:hAnsi="Calibri" w:cs="Calibri"/>
                <w:color w:val="000000"/>
                <w:sz w:val="18"/>
                <w:szCs w:val="18"/>
              </w:rPr>
              <w:t>Arexvy</w:t>
            </w:r>
            <w:proofErr w:type="spellEnd"/>
            <w:r>
              <w:rPr>
                <w:rFonts w:ascii="Calibri" w:hAnsi="Calibri" w:cs="Calibri"/>
                <w:color w:val="000000"/>
                <w:sz w:val="18"/>
                <w:szCs w:val="18"/>
              </w:rPr>
              <w:t xml:space="preserve"> to extend eligibility to individuals aged 60 to 74 years who are at high risk of lower respiratory tract disease caused by RSV. The resubmission also requests that the PBAC reconsider the parameters upon which the cost-effectiveness of </w:t>
            </w:r>
            <w:proofErr w:type="spellStart"/>
            <w:r>
              <w:rPr>
                <w:rFonts w:ascii="Calibri" w:hAnsi="Calibri" w:cs="Calibri"/>
                <w:color w:val="000000"/>
                <w:sz w:val="18"/>
                <w:szCs w:val="18"/>
              </w:rPr>
              <w:t>Arexvy</w:t>
            </w:r>
            <w:proofErr w:type="spellEnd"/>
            <w:r>
              <w:rPr>
                <w:rFonts w:ascii="Calibri" w:hAnsi="Calibri" w:cs="Calibri"/>
                <w:color w:val="000000"/>
                <w:sz w:val="18"/>
                <w:szCs w:val="18"/>
              </w:rPr>
              <w:t xml:space="preserve"> was previously recommended for older adults aged 75 years and older and First Nations adults aged 60 to 74 years based on updated clinical and epidemiological evidence. </w:t>
            </w:r>
          </w:p>
        </w:tc>
        <w:tc>
          <w:tcPr>
            <w:tcW w:w="1415" w:type="dxa"/>
            <w:vAlign w:val="center"/>
          </w:tcPr>
          <w:p w14:paraId="61148C64" w14:textId="7EA9FD74" w:rsidR="00BC4BA6" w:rsidRPr="00544E10" w:rsidRDefault="00BC4BA6" w:rsidP="00D428AC">
            <w:pPr>
              <w:ind w:left="11"/>
              <w:contextualSpacing/>
              <w:jc w:val="center"/>
              <w:rPr>
                <w:rFonts w:asciiTheme="minorHAnsi" w:hAnsiTheme="minorHAnsi" w:cstheme="minorHAnsi"/>
                <w:color w:val="000000" w:themeColor="text1"/>
                <w:sz w:val="18"/>
                <w:szCs w:val="18"/>
              </w:rPr>
            </w:pPr>
            <w:r>
              <w:rPr>
                <w:rFonts w:ascii="Calibri" w:hAnsi="Calibri" w:cs="Calibri"/>
                <w:color w:val="000000"/>
                <w:sz w:val="18"/>
                <w:szCs w:val="18"/>
              </w:rPr>
              <w:t>Recommended</w:t>
            </w:r>
          </w:p>
        </w:tc>
        <w:tc>
          <w:tcPr>
            <w:tcW w:w="4729" w:type="dxa"/>
            <w:vAlign w:val="center"/>
          </w:tcPr>
          <w:p w14:paraId="6C5AD262" w14:textId="5A6D5263" w:rsidR="00BC4BA6" w:rsidRPr="00544E10" w:rsidRDefault="00BC4BA6" w:rsidP="00D428AC">
            <w:pPr>
              <w:ind w:left="11"/>
              <w:contextualSpacing/>
              <w:rPr>
                <w:rFonts w:asciiTheme="minorHAnsi" w:hAnsiTheme="minorHAnsi" w:cstheme="minorHAnsi"/>
                <w:color w:val="000000" w:themeColor="text1"/>
                <w:sz w:val="18"/>
                <w:szCs w:val="18"/>
              </w:rPr>
            </w:pPr>
            <w:r>
              <w:rPr>
                <w:rFonts w:ascii="Calibri" w:hAnsi="Calibri" w:cs="Calibri"/>
                <w:color w:val="000000"/>
                <w:sz w:val="18"/>
                <w:szCs w:val="18"/>
              </w:rPr>
              <w:t xml:space="preserve">The PBAC recommended a change to the previously recommended National Immunisation Program (NIP) listing for respiratory syncytial virus vaccine (RSVPreF3 OA, </w:t>
            </w:r>
            <w:proofErr w:type="spellStart"/>
            <w:r>
              <w:rPr>
                <w:rFonts w:ascii="Calibri" w:hAnsi="Calibri" w:cs="Calibri"/>
                <w:color w:val="000000"/>
                <w:sz w:val="18"/>
                <w:szCs w:val="18"/>
              </w:rPr>
              <w:t>Arexvy</w:t>
            </w:r>
            <w:proofErr w:type="spellEnd"/>
            <w:r>
              <w:rPr>
                <w:rFonts w:ascii="Calibri" w:hAnsi="Calibri" w:cs="Calibri"/>
                <w:color w:val="000000"/>
                <w:sz w:val="18"/>
                <w:szCs w:val="18"/>
              </w:rPr>
              <w:t xml:space="preserve">®).  The submission requested NIP listing for adults aged 60-74 years with at least one condition associated with increased risk of severe respiratory syncytial virus vaccine (RSV) disease as described in the Australian Immunisation Handbook (AIH). </w:t>
            </w:r>
            <w:r>
              <w:rPr>
                <w:rFonts w:ascii="Calibri" w:hAnsi="Calibri" w:cs="Calibri"/>
                <w:color w:val="000000"/>
                <w:sz w:val="18"/>
                <w:szCs w:val="18"/>
              </w:rPr>
              <w:br/>
            </w:r>
            <w:r>
              <w:rPr>
                <w:rFonts w:ascii="Calibri" w:hAnsi="Calibri" w:cs="Calibri"/>
                <w:color w:val="000000"/>
                <w:sz w:val="18"/>
                <w:szCs w:val="18"/>
              </w:rPr>
              <w:br/>
              <w:t>The PBAC welcomed input from health care professionals and organisations, which supported the proposed listing, especially for patients aged 60-74 years with underlying medical conditions.  The PBAC considered that there is a high clinical need for vaccines to reduce the risk of RSV in older adults.</w:t>
            </w:r>
            <w:r>
              <w:rPr>
                <w:rFonts w:ascii="Calibri" w:hAnsi="Calibri" w:cs="Calibri"/>
                <w:color w:val="000000"/>
                <w:sz w:val="18"/>
                <w:szCs w:val="18"/>
              </w:rPr>
              <w:br/>
            </w:r>
            <w:r>
              <w:rPr>
                <w:rFonts w:ascii="Calibri" w:hAnsi="Calibri" w:cs="Calibri"/>
                <w:color w:val="000000"/>
                <w:sz w:val="18"/>
                <w:szCs w:val="18"/>
              </w:rPr>
              <w:br/>
              <w:t xml:space="preserve">Noting (i) the varying risk profiles for severe RSV among the subgroups within the proposed population, (ii) that it was likely that more than half of the population aged 60-74 years would meet the criteria for increased risk, and (iii) the potential for improved outcomes at the population level with a broader listing, the PBAC recommended expanding the eligible population to include all people aged 60-74 years.  As the PBAC previously recommended RSVPreF3 OA for all adults aged 75 years and above, the revised NIP listing would allow a single dose of vaccine for all people aged 60 years and above.  </w:t>
            </w:r>
            <w:r>
              <w:rPr>
                <w:rFonts w:ascii="Calibri" w:hAnsi="Calibri" w:cs="Calibri"/>
                <w:color w:val="000000"/>
                <w:sz w:val="18"/>
                <w:szCs w:val="18"/>
              </w:rPr>
              <w:br/>
            </w:r>
            <w:r>
              <w:rPr>
                <w:rFonts w:ascii="Calibri" w:hAnsi="Calibri" w:cs="Calibri"/>
                <w:color w:val="000000"/>
                <w:sz w:val="18"/>
                <w:szCs w:val="18"/>
              </w:rPr>
              <w:br/>
              <w:t>Consistent with its previous advice in July 2025, the PBAC considered that the vaccine was superior to no vaccine in terms of effectiveness with an acceptable safety profile.  However, some of the claims made by the sponsor to support its requested price were, in the PBAC’s view, not adequately supported by the clinical evidence. The PBAC advised the cost of the vaccine would be acceptable with a price reduction reflecting more realistic estimates of benefits and costs.</w:t>
            </w:r>
            <w:r>
              <w:rPr>
                <w:rFonts w:ascii="Calibri" w:hAnsi="Calibri" w:cs="Calibri"/>
                <w:color w:val="000000"/>
                <w:sz w:val="18"/>
                <w:szCs w:val="18"/>
              </w:rPr>
              <w:br/>
            </w:r>
            <w:r>
              <w:rPr>
                <w:rFonts w:ascii="Calibri" w:hAnsi="Calibri" w:cs="Calibri"/>
                <w:color w:val="000000"/>
                <w:sz w:val="18"/>
                <w:szCs w:val="18"/>
              </w:rPr>
              <w:br/>
              <w:t>The PBAC acknowledged the sponsor may be unwilling to proceed with a recommendation for the eligible population to include all people aged 60-74 years, based on comments in the pre-PBAC response. The PBAC noted the sponsor’s proposal to further restrict eligibility to people aged 65-74 years at increased risk of severe RSV. The PBAC did not consider there was a sound clinical basis to restrict the population at increased risk to those aged above 65 years. However, it accepted that the population with the highest clinical need was those with increased risk. The PBAC therefore recommended, in the event that a listing for all people aged 60-74 years was unable to be progressed, restricting the eligible population to those aged 60-74 years at increased risk of severe RSV disease (as defined by ATAGI).</w:t>
            </w:r>
            <w:r>
              <w:rPr>
                <w:rFonts w:ascii="Calibri" w:hAnsi="Calibri" w:cs="Calibri"/>
                <w:color w:val="000000"/>
                <w:sz w:val="18"/>
                <w:szCs w:val="18"/>
              </w:rPr>
              <w:br/>
            </w:r>
            <w:r>
              <w:rPr>
                <w:rFonts w:ascii="Calibri" w:hAnsi="Calibri" w:cs="Calibri"/>
                <w:color w:val="000000"/>
                <w:sz w:val="18"/>
                <w:szCs w:val="18"/>
              </w:rPr>
              <w:br/>
              <w:t>The resubmission also requested further consideration of the PBAC’s July 2025 positive recommendation for RSVPreF3 OA, which had recommended NIP listing of PSVPreF3 for those at least 75 years and First Nations adults 60-74 years. The resubmission sought a higher price based on more favourable estimates of benefits than those accepted by the PBAC in December 2025.  The PBAC advised that the resubmission evidence did not adequately justify these revisions and therefore did not support any changes.</w:t>
            </w:r>
          </w:p>
        </w:tc>
      </w:tr>
      <w:tr w:rsidR="00C312E5" w:rsidRPr="00544E10" w14:paraId="4DD15C3C" w14:textId="77777777" w:rsidTr="003921D1">
        <w:trPr>
          <w:cantSplit/>
          <w:trHeight w:val="868"/>
        </w:trPr>
        <w:tc>
          <w:tcPr>
            <w:tcW w:w="294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107425C" w14:textId="77777777" w:rsidR="003A004F" w:rsidRDefault="00BC4BA6" w:rsidP="003A004F">
            <w:pPr>
              <w:spacing w:after="0"/>
              <w:jc w:val="center"/>
              <w:rPr>
                <w:rFonts w:ascii="Calibri" w:hAnsi="Calibri" w:cs="Calibri"/>
                <w:color w:val="000000"/>
                <w:sz w:val="18"/>
                <w:szCs w:val="18"/>
              </w:rPr>
            </w:pPr>
            <w:r>
              <w:rPr>
                <w:rFonts w:ascii="Calibri" w:hAnsi="Calibri" w:cs="Calibri"/>
                <w:color w:val="000000"/>
                <w:sz w:val="18"/>
                <w:szCs w:val="18"/>
              </w:rPr>
              <w:t>RETIFANLIMAB</w:t>
            </w:r>
            <w:r>
              <w:rPr>
                <w:rFonts w:ascii="Calibri" w:hAnsi="Calibri" w:cs="Calibri"/>
                <w:color w:val="000000"/>
                <w:sz w:val="18"/>
                <w:szCs w:val="18"/>
              </w:rPr>
              <w:br/>
            </w:r>
            <w:r>
              <w:rPr>
                <w:rFonts w:ascii="Calibri" w:hAnsi="Calibri" w:cs="Calibri"/>
                <w:color w:val="000000"/>
                <w:sz w:val="18"/>
                <w:szCs w:val="18"/>
              </w:rPr>
              <w:br/>
              <w:t>Solution concentrate for  I.V. infusion 500 mg in 20 mL</w:t>
            </w:r>
            <w:r>
              <w:rPr>
                <w:rFonts w:ascii="Calibri" w:hAnsi="Calibri" w:cs="Calibri"/>
                <w:color w:val="000000"/>
                <w:sz w:val="18"/>
                <w:szCs w:val="18"/>
              </w:rPr>
              <w:br/>
            </w:r>
            <w:r>
              <w:rPr>
                <w:rFonts w:ascii="Calibri" w:hAnsi="Calibri" w:cs="Calibri"/>
                <w:color w:val="000000"/>
                <w:sz w:val="18"/>
                <w:szCs w:val="18"/>
              </w:rPr>
              <w:br/>
            </w:r>
            <w:proofErr w:type="spellStart"/>
            <w:r>
              <w:rPr>
                <w:rFonts w:ascii="Calibri" w:hAnsi="Calibri" w:cs="Calibri"/>
                <w:color w:val="000000"/>
                <w:sz w:val="18"/>
                <w:szCs w:val="18"/>
              </w:rPr>
              <w:t>Zynyz</w:t>
            </w:r>
            <w:proofErr w:type="spellEnd"/>
            <w:r>
              <w:rPr>
                <w:rFonts w:ascii="Calibri" w:hAnsi="Calibri" w:cs="Calibri"/>
                <w:color w:val="000000"/>
                <w:sz w:val="18"/>
                <w:szCs w:val="18"/>
              </w:rPr>
              <w:t>®</w:t>
            </w:r>
            <w:r>
              <w:rPr>
                <w:rFonts w:ascii="Calibri" w:hAnsi="Calibri" w:cs="Calibri"/>
                <w:color w:val="000000"/>
                <w:sz w:val="18"/>
                <w:szCs w:val="18"/>
              </w:rPr>
              <w:br/>
            </w:r>
            <w:r>
              <w:rPr>
                <w:rFonts w:ascii="Calibri" w:hAnsi="Calibri" w:cs="Calibri"/>
                <w:color w:val="000000"/>
                <w:sz w:val="18"/>
                <w:szCs w:val="18"/>
              </w:rPr>
              <w:br/>
              <w:t>SPECIALISED THERAPEUTICS ALIM PTY LTD</w:t>
            </w:r>
            <w:r>
              <w:rPr>
                <w:rFonts w:ascii="Calibri" w:hAnsi="Calibri" w:cs="Calibri"/>
                <w:color w:val="000000"/>
                <w:sz w:val="18"/>
                <w:szCs w:val="18"/>
              </w:rPr>
              <w:br/>
            </w:r>
            <w:r>
              <w:rPr>
                <w:rFonts w:ascii="Calibri" w:hAnsi="Calibri" w:cs="Calibri"/>
                <w:color w:val="000000"/>
                <w:sz w:val="18"/>
                <w:szCs w:val="18"/>
              </w:rPr>
              <w:br/>
              <w:t xml:space="preserve">Matters outstanding </w:t>
            </w:r>
            <w:r>
              <w:rPr>
                <w:rFonts w:ascii="Calibri" w:hAnsi="Calibri" w:cs="Calibri"/>
                <w:color w:val="000000"/>
                <w:sz w:val="18"/>
                <w:szCs w:val="18"/>
              </w:rPr>
              <w:br/>
              <w:t xml:space="preserve">(New PBS </w:t>
            </w:r>
            <w:r w:rsidR="00957109">
              <w:rPr>
                <w:rFonts w:ascii="Calibri" w:hAnsi="Calibri" w:cs="Calibri"/>
                <w:color w:val="000000"/>
                <w:sz w:val="18"/>
                <w:szCs w:val="18"/>
              </w:rPr>
              <w:t>listing)</w:t>
            </w:r>
            <w:r>
              <w:rPr>
                <w:rFonts w:ascii="Calibri" w:hAnsi="Calibri" w:cs="Calibri"/>
                <w:color w:val="000000"/>
                <w:sz w:val="18"/>
                <w:szCs w:val="18"/>
              </w:rPr>
              <w:t xml:space="preserve"> </w:t>
            </w:r>
            <w:r>
              <w:rPr>
                <w:rFonts w:ascii="Calibri" w:hAnsi="Calibri" w:cs="Calibri"/>
                <w:color w:val="000000"/>
                <w:sz w:val="18"/>
                <w:szCs w:val="18"/>
              </w:rPr>
              <w:br/>
            </w:r>
            <w:r>
              <w:rPr>
                <w:rFonts w:ascii="Calibri" w:hAnsi="Calibri" w:cs="Calibri"/>
                <w:color w:val="000000"/>
                <w:sz w:val="18"/>
                <w:szCs w:val="18"/>
              </w:rPr>
              <w:br/>
              <w:t>PBS Section 100</w:t>
            </w:r>
          </w:p>
          <w:p w14:paraId="5DEF0C9F" w14:textId="0AB47DD7" w:rsidR="00BC4BA6" w:rsidRPr="005F21D6" w:rsidRDefault="00BC4BA6" w:rsidP="00BC4BA6">
            <w:pPr>
              <w:jc w:val="center"/>
              <w:rPr>
                <w:rFonts w:asciiTheme="minorHAnsi" w:hAnsiTheme="minorHAnsi" w:cstheme="minorHAnsi"/>
                <w:color w:val="000000"/>
                <w:szCs w:val="20"/>
              </w:rPr>
            </w:pPr>
            <w:r>
              <w:rPr>
                <w:rFonts w:ascii="Calibri" w:hAnsi="Calibri" w:cs="Calibri"/>
                <w:color w:val="000000"/>
                <w:sz w:val="18"/>
                <w:szCs w:val="18"/>
              </w:rPr>
              <w:t xml:space="preserve"> (Efficient Funding of Chemotherapy</w:t>
            </w:r>
            <w:r w:rsidR="009662AE">
              <w:rPr>
                <w:rFonts w:ascii="Calibri" w:hAnsi="Calibri" w:cs="Calibri"/>
                <w:color w:val="000000"/>
                <w:sz w:val="18"/>
                <w:szCs w:val="18"/>
              </w:rPr>
              <w:t xml:space="preserve"> </w:t>
            </w:r>
            <w:r>
              <w:rPr>
                <w:rFonts w:ascii="Calibri" w:hAnsi="Calibri" w:cs="Calibri"/>
                <w:color w:val="000000"/>
                <w:sz w:val="18"/>
                <w:szCs w:val="18"/>
              </w:rPr>
              <w:t xml:space="preserve">Program) </w:t>
            </w:r>
          </w:p>
        </w:tc>
        <w:tc>
          <w:tcPr>
            <w:tcW w:w="1983" w:type="dxa"/>
            <w:tcBorders>
              <w:top w:val="single" w:sz="4" w:space="0" w:color="auto"/>
              <w:left w:val="single" w:sz="4" w:space="0" w:color="auto"/>
              <w:bottom w:val="single" w:sz="4" w:space="0" w:color="auto"/>
              <w:right w:val="single" w:sz="4" w:space="0" w:color="auto"/>
            </w:tcBorders>
            <w:vAlign w:val="center"/>
          </w:tcPr>
          <w:p w14:paraId="36C405B5" w14:textId="72CA6E8F" w:rsidR="00BC4BA6" w:rsidRPr="005F21D6" w:rsidRDefault="00BC4BA6" w:rsidP="00BC4BA6">
            <w:pPr>
              <w:jc w:val="center"/>
              <w:rPr>
                <w:rFonts w:asciiTheme="minorHAnsi" w:hAnsiTheme="minorHAnsi" w:cstheme="minorHAnsi"/>
                <w:color w:val="000000"/>
                <w:sz w:val="18"/>
                <w:szCs w:val="18"/>
              </w:rPr>
            </w:pPr>
            <w:r>
              <w:rPr>
                <w:rFonts w:ascii="Calibri" w:hAnsi="Calibri" w:cs="Calibri"/>
                <w:color w:val="000000"/>
                <w:sz w:val="18"/>
                <w:szCs w:val="18"/>
              </w:rPr>
              <w:t>Squamous cell anal carcinoma (SCAC)</w:t>
            </w:r>
          </w:p>
        </w:tc>
        <w:tc>
          <w:tcPr>
            <w:tcW w:w="238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91BB158" w14:textId="5B005145" w:rsidR="00BC4BA6" w:rsidRPr="005F21D6" w:rsidRDefault="00BC4BA6" w:rsidP="00BC4BA6">
            <w:pPr>
              <w:jc w:val="center"/>
              <w:rPr>
                <w:rFonts w:asciiTheme="minorHAnsi" w:hAnsiTheme="minorHAnsi" w:cstheme="minorHAnsi"/>
                <w:color w:val="000000"/>
                <w:sz w:val="18"/>
                <w:szCs w:val="18"/>
              </w:rPr>
            </w:pPr>
            <w:r>
              <w:rPr>
                <w:rFonts w:ascii="Calibri" w:hAnsi="Calibri" w:cs="Calibri"/>
                <w:color w:val="000000"/>
                <w:sz w:val="18"/>
                <w:szCs w:val="18"/>
              </w:rPr>
              <w:t xml:space="preserve">To request listing of </w:t>
            </w:r>
            <w:proofErr w:type="spellStart"/>
            <w:r>
              <w:rPr>
                <w:rFonts w:ascii="Calibri" w:hAnsi="Calibri" w:cs="Calibri"/>
                <w:color w:val="000000"/>
                <w:sz w:val="18"/>
                <w:szCs w:val="18"/>
              </w:rPr>
              <w:t>retifanlimab</w:t>
            </w:r>
            <w:proofErr w:type="spellEnd"/>
            <w:r>
              <w:rPr>
                <w:rFonts w:ascii="Calibri" w:hAnsi="Calibri" w:cs="Calibri"/>
                <w:color w:val="000000"/>
                <w:sz w:val="18"/>
                <w:szCs w:val="18"/>
              </w:rPr>
              <w:t xml:space="preserve"> for use in combination with carboplatin and paclitaxel for the treatment of inoperable locally recurrent or metastatic SCAC not previously treated with systemic chemotherapy. This item was deferred at the November 2025 PBAC meeting. </w:t>
            </w:r>
            <w:r>
              <w:rPr>
                <w:rFonts w:ascii="Calibri" w:hAnsi="Calibri" w:cs="Calibri"/>
                <w:color w:val="000000"/>
                <w:sz w:val="18"/>
                <w:szCs w:val="18"/>
              </w:rPr>
              <w:br/>
            </w:r>
            <w:r>
              <w:rPr>
                <w:rFonts w:ascii="Calibri" w:hAnsi="Calibri" w:cs="Calibri"/>
                <w:color w:val="000000"/>
                <w:sz w:val="18"/>
                <w:szCs w:val="18"/>
              </w:rPr>
              <w:br/>
              <w:t>Authority Required (STREAMLINED)</w:t>
            </w:r>
          </w:p>
        </w:tc>
        <w:tc>
          <w:tcPr>
            <w:tcW w:w="1415" w:type="dxa"/>
            <w:vAlign w:val="center"/>
          </w:tcPr>
          <w:p w14:paraId="566F4679" w14:textId="363A9E81" w:rsidR="00BC4BA6" w:rsidRPr="00544E10" w:rsidRDefault="00BC4BA6" w:rsidP="00D428AC">
            <w:pPr>
              <w:ind w:left="11"/>
              <w:contextualSpacing/>
              <w:jc w:val="center"/>
              <w:rPr>
                <w:rFonts w:asciiTheme="minorHAnsi" w:hAnsiTheme="minorHAnsi" w:cstheme="minorHAnsi"/>
                <w:color w:val="000000" w:themeColor="text1"/>
                <w:sz w:val="18"/>
                <w:szCs w:val="18"/>
              </w:rPr>
            </w:pPr>
            <w:r>
              <w:rPr>
                <w:rFonts w:ascii="Calibri" w:hAnsi="Calibri" w:cs="Calibri"/>
                <w:color w:val="000000"/>
                <w:sz w:val="18"/>
                <w:szCs w:val="18"/>
              </w:rPr>
              <w:t>Recommended</w:t>
            </w:r>
          </w:p>
        </w:tc>
        <w:tc>
          <w:tcPr>
            <w:tcW w:w="4729" w:type="dxa"/>
            <w:vAlign w:val="center"/>
          </w:tcPr>
          <w:p w14:paraId="05EF7111" w14:textId="01DF9DEC" w:rsidR="00BC4BA6" w:rsidRPr="00544E10" w:rsidRDefault="00BC4BA6" w:rsidP="00D428AC">
            <w:pPr>
              <w:ind w:left="11"/>
              <w:contextualSpacing/>
              <w:rPr>
                <w:rFonts w:asciiTheme="minorHAnsi" w:hAnsiTheme="minorHAnsi" w:cstheme="minorHAnsi"/>
                <w:color w:val="000000" w:themeColor="text1"/>
                <w:sz w:val="18"/>
                <w:szCs w:val="18"/>
              </w:rPr>
            </w:pPr>
            <w:r>
              <w:rPr>
                <w:rFonts w:ascii="Calibri" w:hAnsi="Calibri" w:cs="Calibri"/>
                <w:color w:val="000000"/>
                <w:sz w:val="18"/>
                <w:szCs w:val="18"/>
              </w:rPr>
              <w:t xml:space="preserve">The PBAC recommended the listing of </w:t>
            </w:r>
            <w:proofErr w:type="spellStart"/>
            <w:r>
              <w:rPr>
                <w:rFonts w:ascii="Calibri" w:hAnsi="Calibri" w:cs="Calibri"/>
                <w:color w:val="000000"/>
                <w:sz w:val="18"/>
                <w:szCs w:val="18"/>
              </w:rPr>
              <w:t>retifanlimab</w:t>
            </w:r>
            <w:proofErr w:type="spellEnd"/>
            <w:r>
              <w:rPr>
                <w:rFonts w:ascii="Calibri" w:hAnsi="Calibri" w:cs="Calibri"/>
                <w:color w:val="000000"/>
                <w:sz w:val="18"/>
                <w:szCs w:val="18"/>
              </w:rPr>
              <w:t xml:space="preserve"> when used together with chemotherapy (carboplatin and paclitaxel), to treat people with cancer of the lining of the anus, specifically those with squamous cell anal cancer (SCAC) that cannot be removed by surgery, has spread, and has not been previously treated with chemotherapy. </w:t>
            </w:r>
            <w:r>
              <w:rPr>
                <w:rFonts w:ascii="Calibri" w:hAnsi="Calibri" w:cs="Calibri"/>
                <w:color w:val="000000"/>
                <w:sz w:val="18"/>
                <w:szCs w:val="18"/>
              </w:rPr>
              <w:br/>
              <w:t xml:space="preserve">The PBAC recalled input from health professionals and organisations in relation to the November 2025 submission, noting the severity of disease and need for new treatments for this rare cancer. The PBAC recalled it previously accepted that </w:t>
            </w:r>
            <w:proofErr w:type="spellStart"/>
            <w:r>
              <w:rPr>
                <w:rFonts w:ascii="Calibri" w:hAnsi="Calibri" w:cs="Calibri"/>
                <w:color w:val="000000"/>
                <w:sz w:val="18"/>
                <w:szCs w:val="18"/>
              </w:rPr>
              <w:t>retifanlimab</w:t>
            </w:r>
            <w:proofErr w:type="spellEnd"/>
            <w:r>
              <w:rPr>
                <w:rFonts w:ascii="Calibri" w:hAnsi="Calibri" w:cs="Calibri"/>
                <w:color w:val="000000"/>
                <w:sz w:val="18"/>
                <w:szCs w:val="18"/>
              </w:rPr>
              <w:t xml:space="preserve"> was more effective than chemotherapy alone at delaying cancer progression.</w:t>
            </w:r>
            <w:r>
              <w:rPr>
                <w:rFonts w:ascii="Calibri" w:hAnsi="Calibri" w:cs="Calibri"/>
                <w:color w:val="000000"/>
                <w:sz w:val="18"/>
                <w:szCs w:val="18"/>
              </w:rPr>
              <w:br/>
              <w:t xml:space="preserve">The PBAC recalled it had previously deferred making a decision on the PBS listing of </w:t>
            </w:r>
            <w:proofErr w:type="spellStart"/>
            <w:r>
              <w:rPr>
                <w:rFonts w:ascii="Calibri" w:hAnsi="Calibri" w:cs="Calibri"/>
                <w:color w:val="000000"/>
                <w:sz w:val="18"/>
                <w:szCs w:val="18"/>
              </w:rPr>
              <w:t>retifanlimab</w:t>
            </w:r>
            <w:proofErr w:type="spellEnd"/>
            <w:r>
              <w:rPr>
                <w:rFonts w:ascii="Calibri" w:hAnsi="Calibri" w:cs="Calibri"/>
                <w:color w:val="000000"/>
                <w:sz w:val="18"/>
                <w:szCs w:val="18"/>
              </w:rPr>
              <w:t xml:space="preserve"> as it was unknown at the time if the Therapeutic Goods Administration (TGA) would approve its registration. After receiving confirmation that the TGA was likely to approve </w:t>
            </w:r>
            <w:proofErr w:type="spellStart"/>
            <w:r>
              <w:rPr>
                <w:rFonts w:ascii="Calibri" w:hAnsi="Calibri" w:cs="Calibri"/>
                <w:color w:val="000000"/>
                <w:sz w:val="18"/>
                <w:szCs w:val="18"/>
              </w:rPr>
              <w:t>retifanlimab</w:t>
            </w:r>
            <w:proofErr w:type="spellEnd"/>
            <w:r>
              <w:rPr>
                <w:rFonts w:ascii="Calibri" w:hAnsi="Calibri" w:cs="Calibri"/>
                <w:color w:val="000000"/>
                <w:sz w:val="18"/>
                <w:szCs w:val="18"/>
              </w:rPr>
              <w:t xml:space="preserve">, the PBAC recommended that </w:t>
            </w:r>
            <w:proofErr w:type="spellStart"/>
            <w:r>
              <w:rPr>
                <w:rFonts w:ascii="Calibri" w:hAnsi="Calibri" w:cs="Calibri"/>
                <w:color w:val="000000"/>
                <w:sz w:val="18"/>
                <w:szCs w:val="18"/>
              </w:rPr>
              <w:t>retifanlimab</w:t>
            </w:r>
            <w:proofErr w:type="spellEnd"/>
            <w:r>
              <w:rPr>
                <w:rFonts w:ascii="Calibri" w:hAnsi="Calibri" w:cs="Calibri"/>
                <w:color w:val="000000"/>
                <w:sz w:val="18"/>
                <w:szCs w:val="18"/>
              </w:rPr>
              <w:t xml:space="preserve"> be listed at a lower price commensurate with the benefit it provides over chemotherapy. The PBAC considered that the lower price should be determined based on the economic model with updated inputs provided by the sponsor prior to the PBAC meeting. </w:t>
            </w:r>
          </w:p>
        </w:tc>
      </w:tr>
      <w:tr w:rsidR="00C312E5" w:rsidRPr="00544E10" w14:paraId="402FE112" w14:textId="77777777" w:rsidTr="003921D1">
        <w:trPr>
          <w:cantSplit/>
          <w:trHeight w:val="868"/>
        </w:trPr>
        <w:tc>
          <w:tcPr>
            <w:tcW w:w="294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3CC5970" w14:textId="6ABE72C3" w:rsidR="00BC4BA6" w:rsidRPr="005F21D6" w:rsidRDefault="00BC4BA6" w:rsidP="00BC4BA6">
            <w:pPr>
              <w:jc w:val="center"/>
              <w:rPr>
                <w:rFonts w:asciiTheme="minorHAnsi" w:hAnsiTheme="minorHAnsi" w:cstheme="minorHAnsi"/>
                <w:color w:val="000000"/>
                <w:szCs w:val="20"/>
              </w:rPr>
            </w:pPr>
            <w:r>
              <w:rPr>
                <w:rFonts w:ascii="Calibri" w:hAnsi="Calibri" w:cs="Calibri"/>
                <w:color w:val="000000"/>
                <w:sz w:val="18"/>
                <w:szCs w:val="18"/>
              </w:rPr>
              <w:t>RETIFANLIMAB</w:t>
            </w:r>
            <w:r>
              <w:rPr>
                <w:rFonts w:ascii="Calibri" w:hAnsi="Calibri" w:cs="Calibri"/>
                <w:color w:val="000000"/>
                <w:sz w:val="18"/>
                <w:szCs w:val="18"/>
              </w:rPr>
              <w:br/>
            </w:r>
            <w:r>
              <w:rPr>
                <w:rFonts w:ascii="Calibri" w:hAnsi="Calibri" w:cs="Calibri"/>
                <w:color w:val="000000"/>
                <w:sz w:val="18"/>
                <w:szCs w:val="18"/>
              </w:rPr>
              <w:br/>
              <w:t>Solution concentrate for  I.V. infusion 500 mg in 20 mL</w:t>
            </w:r>
            <w:r>
              <w:rPr>
                <w:rFonts w:ascii="Calibri" w:hAnsi="Calibri" w:cs="Calibri"/>
                <w:color w:val="000000"/>
                <w:sz w:val="18"/>
                <w:szCs w:val="18"/>
              </w:rPr>
              <w:br/>
            </w:r>
            <w:r>
              <w:rPr>
                <w:rFonts w:ascii="Calibri" w:hAnsi="Calibri" w:cs="Calibri"/>
                <w:color w:val="000000"/>
                <w:sz w:val="18"/>
                <w:szCs w:val="18"/>
              </w:rPr>
              <w:br/>
            </w:r>
            <w:proofErr w:type="spellStart"/>
            <w:r>
              <w:rPr>
                <w:rFonts w:ascii="Calibri" w:hAnsi="Calibri" w:cs="Calibri"/>
                <w:color w:val="000000"/>
                <w:sz w:val="18"/>
                <w:szCs w:val="18"/>
              </w:rPr>
              <w:t>Zynyz</w:t>
            </w:r>
            <w:proofErr w:type="spellEnd"/>
            <w:r>
              <w:rPr>
                <w:rFonts w:ascii="Calibri" w:hAnsi="Calibri" w:cs="Calibri"/>
                <w:color w:val="000000"/>
                <w:sz w:val="18"/>
                <w:szCs w:val="18"/>
              </w:rPr>
              <w:t>®</w:t>
            </w:r>
            <w:r>
              <w:rPr>
                <w:rFonts w:ascii="Calibri" w:hAnsi="Calibri" w:cs="Calibri"/>
                <w:color w:val="000000"/>
                <w:sz w:val="18"/>
                <w:szCs w:val="18"/>
              </w:rPr>
              <w:br/>
            </w:r>
            <w:r>
              <w:rPr>
                <w:rFonts w:ascii="Calibri" w:hAnsi="Calibri" w:cs="Calibri"/>
                <w:color w:val="000000"/>
                <w:sz w:val="18"/>
                <w:szCs w:val="18"/>
              </w:rPr>
              <w:br/>
              <w:t>SPECIALISED THERAPEUTICS ALIM PTY LTD</w:t>
            </w:r>
            <w:r>
              <w:rPr>
                <w:rFonts w:ascii="Calibri" w:hAnsi="Calibri" w:cs="Calibri"/>
                <w:color w:val="000000"/>
                <w:sz w:val="18"/>
                <w:szCs w:val="18"/>
              </w:rPr>
              <w:br/>
            </w:r>
            <w:r>
              <w:rPr>
                <w:rFonts w:ascii="Calibri" w:hAnsi="Calibri" w:cs="Calibri"/>
                <w:color w:val="000000"/>
                <w:sz w:val="18"/>
                <w:szCs w:val="18"/>
              </w:rPr>
              <w:br/>
              <w:t xml:space="preserve">Matters outstanding </w:t>
            </w:r>
            <w:r>
              <w:rPr>
                <w:rFonts w:ascii="Calibri" w:hAnsi="Calibri" w:cs="Calibri"/>
                <w:color w:val="000000"/>
                <w:sz w:val="18"/>
                <w:szCs w:val="18"/>
              </w:rPr>
              <w:br/>
              <w:t xml:space="preserve">(New PBS </w:t>
            </w:r>
            <w:r w:rsidR="00957109">
              <w:rPr>
                <w:rFonts w:ascii="Calibri" w:hAnsi="Calibri" w:cs="Calibri"/>
                <w:color w:val="000000"/>
                <w:sz w:val="18"/>
                <w:szCs w:val="18"/>
              </w:rPr>
              <w:t>listing)</w:t>
            </w:r>
            <w:r>
              <w:rPr>
                <w:rFonts w:ascii="Calibri" w:hAnsi="Calibri" w:cs="Calibri"/>
                <w:color w:val="000000"/>
                <w:sz w:val="18"/>
                <w:szCs w:val="18"/>
              </w:rPr>
              <w:br/>
            </w:r>
            <w:r>
              <w:rPr>
                <w:rFonts w:ascii="Calibri" w:hAnsi="Calibri" w:cs="Calibri"/>
                <w:color w:val="000000"/>
                <w:sz w:val="18"/>
                <w:szCs w:val="18"/>
              </w:rPr>
              <w:br/>
              <w:t xml:space="preserve">PBS Section 100 (Efficient Funding of </w:t>
            </w:r>
            <w:r>
              <w:rPr>
                <w:rFonts w:ascii="Calibri" w:hAnsi="Calibri" w:cs="Calibri"/>
                <w:color w:val="000000"/>
                <w:sz w:val="18"/>
                <w:szCs w:val="18"/>
              </w:rPr>
              <w:br/>
              <w:t xml:space="preserve">Chemotherapy Program) </w:t>
            </w:r>
          </w:p>
        </w:tc>
        <w:tc>
          <w:tcPr>
            <w:tcW w:w="1983" w:type="dxa"/>
            <w:tcBorders>
              <w:top w:val="single" w:sz="4" w:space="0" w:color="auto"/>
              <w:left w:val="single" w:sz="4" w:space="0" w:color="auto"/>
              <w:bottom w:val="single" w:sz="4" w:space="0" w:color="auto"/>
              <w:right w:val="single" w:sz="4" w:space="0" w:color="auto"/>
            </w:tcBorders>
            <w:vAlign w:val="center"/>
          </w:tcPr>
          <w:p w14:paraId="01901042" w14:textId="514A12C1" w:rsidR="00BC4BA6" w:rsidRPr="005F21D6" w:rsidRDefault="00BC4BA6" w:rsidP="00BC4BA6">
            <w:pPr>
              <w:jc w:val="center"/>
              <w:rPr>
                <w:rFonts w:asciiTheme="minorHAnsi" w:hAnsiTheme="minorHAnsi" w:cstheme="minorHAnsi"/>
                <w:color w:val="000000"/>
                <w:sz w:val="18"/>
                <w:szCs w:val="18"/>
              </w:rPr>
            </w:pPr>
            <w:r>
              <w:rPr>
                <w:rFonts w:ascii="Calibri" w:hAnsi="Calibri" w:cs="Calibri"/>
                <w:color w:val="000000"/>
                <w:sz w:val="18"/>
                <w:szCs w:val="18"/>
              </w:rPr>
              <w:t>Merkel cell carcinoma (MCC)</w:t>
            </w:r>
          </w:p>
        </w:tc>
        <w:tc>
          <w:tcPr>
            <w:tcW w:w="238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ECC5D1E" w14:textId="21BE6323" w:rsidR="00BC4BA6" w:rsidRPr="005F21D6" w:rsidRDefault="00BC4BA6" w:rsidP="00BC4BA6">
            <w:pPr>
              <w:jc w:val="center"/>
              <w:rPr>
                <w:rFonts w:asciiTheme="minorHAnsi" w:hAnsiTheme="minorHAnsi" w:cstheme="minorHAnsi"/>
                <w:color w:val="000000"/>
                <w:sz w:val="18"/>
                <w:szCs w:val="18"/>
              </w:rPr>
            </w:pPr>
            <w:r>
              <w:rPr>
                <w:rFonts w:ascii="Calibri" w:hAnsi="Calibri" w:cs="Calibri"/>
                <w:color w:val="000000"/>
                <w:sz w:val="18"/>
                <w:szCs w:val="18"/>
              </w:rPr>
              <w:t xml:space="preserve">To request listing of </w:t>
            </w:r>
            <w:proofErr w:type="spellStart"/>
            <w:r>
              <w:rPr>
                <w:rFonts w:ascii="Calibri" w:hAnsi="Calibri" w:cs="Calibri"/>
                <w:color w:val="000000"/>
                <w:sz w:val="18"/>
                <w:szCs w:val="18"/>
              </w:rPr>
              <w:t>retifanlimab</w:t>
            </w:r>
            <w:proofErr w:type="spellEnd"/>
            <w:r>
              <w:rPr>
                <w:rFonts w:ascii="Calibri" w:hAnsi="Calibri" w:cs="Calibri"/>
                <w:color w:val="000000"/>
                <w:sz w:val="18"/>
                <w:szCs w:val="18"/>
              </w:rPr>
              <w:t xml:space="preserve"> for the treatment of metastatic or recurrent, locally advanced MCC not amenable to curative surgery or radiation. This item was deferred at the November 2025 PBAC meeting. </w:t>
            </w:r>
            <w:r>
              <w:rPr>
                <w:rFonts w:ascii="Calibri" w:hAnsi="Calibri" w:cs="Calibri"/>
                <w:color w:val="000000"/>
                <w:sz w:val="18"/>
                <w:szCs w:val="18"/>
              </w:rPr>
              <w:br/>
            </w:r>
            <w:r>
              <w:rPr>
                <w:rFonts w:ascii="Calibri" w:hAnsi="Calibri" w:cs="Calibri"/>
                <w:color w:val="000000"/>
                <w:sz w:val="18"/>
                <w:szCs w:val="18"/>
              </w:rPr>
              <w:br/>
              <w:t>Authority Required (STREAMLINED)</w:t>
            </w:r>
          </w:p>
        </w:tc>
        <w:tc>
          <w:tcPr>
            <w:tcW w:w="1415" w:type="dxa"/>
            <w:vAlign w:val="center"/>
          </w:tcPr>
          <w:p w14:paraId="511CF0A9" w14:textId="1FEDF435" w:rsidR="00BC4BA6" w:rsidRPr="00544E10" w:rsidRDefault="00BC4BA6" w:rsidP="00D428AC">
            <w:pPr>
              <w:ind w:left="11"/>
              <w:contextualSpacing/>
              <w:jc w:val="center"/>
              <w:rPr>
                <w:rFonts w:asciiTheme="minorHAnsi" w:hAnsiTheme="minorHAnsi" w:cstheme="minorHAnsi"/>
                <w:color w:val="000000" w:themeColor="text1"/>
                <w:sz w:val="18"/>
                <w:szCs w:val="18"/>
              </w:rPr>
            </w:pPr>
            <w:r>
              <w:rPr>
                <w:rFonts w:ascii="Calibri" w:hAnsi="Calibri" w:cs="Calibri"/>
                <w:color w:val="000000"/>
                <w:sz w:val="18"/>
                <w:szCs w:val="18"/>
              </w:rPr>
              <w:t>Recommended</w:t>
            </w:r>
          </w:p>
        </w:tc>
        <w:tc>
          <w:tcPr>
            <w:tcW w:w="4729" w:type="dxa"/>
            <w:vAlign w:val="center"/>
          </w:tcPr>
          <w:p w14:paraId="5E49618A" w14:textId="06BE5B77" w:rsidR="00BC4BA6" w:rsidRPr="00544E10" w:rsidRDefault="00BC4BA6" w:rsidP="00D428AC">
            <w:pPr>
              <w:ind w:left="11"/>
              <w:contextualSpacing/>
              <w:rPr>
                <w:rFonts w:asciiTheme="minorHAnsi" w:hAnsiTheme="minorHAnsi" w:cstheme="minorHAnsi"/>
                <w:color w:val="000000" w:themeColor="text1"/>
                <w:sz w:val="18"/>
                <w:szCs w:val="18"/>
              </w:rPr>
            </w:pPr>
            <w:r>
              <w:rPr>
                <w:rFonts w:ascii="Calibri" w:hAnsi="Calibri" w:cs="Calibri"/>
                <w:color w:val="000000"/>
                <w:sz w:val="18"/>
                <w:szCs w:val="18"/>
              </w:rPr>
              <w:t xml:space="preserve">The PBAC recommended the listing of </w:t>
            </w:r>
            <w:proofErr w:type="spellStart"/>
            <w:r>
              <w:rPr>
                <w:rFonts w:ascii="Calibri" w:hAnsi="Calibri" w:cs="Calibri"/>
                <w:color w:val="000000"/>
                <w:sz w:val="18"/>
                <w:szCs w:val="18"/>
              </w:rPr>
              <w:t>retifanlimab</w:t>
            </w:r>
            <w:proofErr w:type="spellEnd"/>
            <w:r>
              <w:rPr>
                <w:rFonts w:ascii="Calibri" w:hAnsi="Calibri" w:cs="Calibri"/>
                <w:color w:val="000000"/>
                <w:sz w:val="18"/>
                <w:szCs w:val="18"/>
              </w:rPr>
              <w:t xml:space="preserve"> for the treatment of Merkel cell carcinoma (MCC, a type of skin cancer) which has spread to another part of the body or recurred and cannot be cured by surgery or radiation. </w:t>
            </w:r>
            <w:r>
              <w:rPr>
                <w:rFonts w:ascii="Calibri" w:hAnsi="Calibri" w:cs="Calibri"/>
                <w:color w:val="000000"/>
                <w:sz w:val="18"/>
                <w:szCs w:val="18"/>
              </w:rPr>
              <w:br/>
            </w:r>
            <w:r>
              <w:rPr>
                <w:rFonts w:ascii="Calibri" w:hAnsi="Calibri" w:cs="Calibri"/>
                <w:color w:val="000000"/>
                <w:sz w:val="18"/>
                <w:szCs w:val="18"/>
              </w:rPr>
              <w:br/>
              <w:t xml:space="preserve">The PBAC recalled input from individuals, health care professionals and organisations from its November 2025 consideration, and noted there is an unmet clinical need for treatments of MCC. The PBAC recalled it previously did not accept the sponsor’s claim that </w:t>
            </w:r>
            <w:proofErr w:type="spellStart"/>
            <w:r>
              <w:rPr>
                <w:rFonts w:ascii="Calibri" w:hAnsi="Calibri" w:cs="Calibri"/>
                <w:color w:val="000000"/>
                <w:sz w:val="18"/>
                <w:szCs w:val="18"/>
              </w:rPr>
              <w:t>retifanlimab</w:t>
            </w:r>
            <w:proofErr w:type="spellEnd"/>
            <w:r>
              <w:rPr>
                <w:rFonts w:ascii="Calibri" w:hAnsi="Calibri" w:cs="Calibri"/>
                <w:color w:val="000000"/>
                <w:sz w:val="18"/>
                <w:szCs w:val="18"/>
              </w:rPr>
              <w:t xml:space="preserve"> is more safe and effective than avelumab for the treatment of MCC but accepted that </w:t>
            </w:r>
            <w:proofErr w:type="spellStart"/>
            <w:r>
              <w:rPr>
                <w:rFonts w:ascii="Calibri" w:hAnsi="Calibri" w:cs="Calibri"/>
                <w:color w:val="000000"/>
                <w:sz w:val="18"/>
                <w:szCs w:val="18"/>
              </w:rPr>
              <w:t>retifanlimab</w:t>
            </w:r>
            <w:proofErr w:type="spellEnd"/>
            <w:r>
              <w:rPr>
                <w:rFonts w:ascii="Calibri" w:hAnsi="Calibri" w:cs="Calibri"/>
                <w:color w:val="000000"/>
                <w:sz w:val="18"/>
                <w:szCs w:val="18"/>
              </w:rPr>
              <w:t xml:space="preserve"> is as safe and effective as avelumab for MCC. </w:t>
            </w:r>
            <w:r>
              <w:rPr>
                <w:rFonts w:ascii="Calibri" w:hAnsi="Calibri" w:cs="Calibri"/>
                <w:color w:val="000000"/>
                <w:sz w:val="18"/>
                <w:szCs w:val="18"/>
              </w:rPr>
              <w:br/>
            </w:r>
            <w:r>
              <w:rPr>
                <w:rFonts w:ascii="Calibri" w:hAnsi="Calibri" w:cs="Calibri"/>
                <w:color w:val="000000"/>
                <w:sz w:val="18"/>
                <w:szCs w:val="18"/>
              </w:rPr>
              <w:br/>
              <w:t xml:space="preserve">The PBAC recalled it previously deferred making a decision on the PBS listing of </w:t>
            </w:r>
            <w:proofErr w:type="spellStart"/>
            <w:r>
              <w:rPr>
                <w:rFonts w:ascii="Calibri" w:hAnsi="Calibri" w:cs="Calibri"/>
                <w:color w:val="000000"/>
                <w:sz w:val="18"/>
                <w:szCs w:val="18"/>
              </w:rPr>
              <w:t>retifanlimab</w:t>
            </w:r>
            <w:proofErr w:type="spellEnd"/>
            <w:r>
              <w:rPr>
                <w:rFonts w:ascii="Calibri" w:hAnsi="Calibri" w:cs="Calibri"/>
                <w:color w:val="000000"/>
                <w:sz w:val="18"/>
                <w:szCs w:val="18"/>
              </w:rPr>
              <w:t xml:space="preserve"> as it was unknown at the time if the Therapeutic Goods Administration (TGA) would approve the registration of </w:t>
            </w:r>
            <w:proofErr w:type="spellStart"/>
            <w:r>
              <w:rPr>
                <w:rFonts w:ascii="Calibri" w:hAnsi="Calibri" w:cs="Calibri"/>
                <w:color w:val="000000"/>
                <w:sz w:val="18"/>
                <w:szCs w:val="18"/>
              </w:rPr>
              <w:t>retifanlimab</w:t>
            </w:r>
            <w:proofErr w:type="spellEnd"/>
            <w:r>
              <w:rPr>
                <w:rFonts w:ascii="Calibri" w:hAnsi="Calibri" w:cs="Calibri"/>
                <w:color w:val="000000"/>
                <w:sz w:val="18"/>
                <w:szCs w:val="18"/>
              </w:rPr>
              <w:t xml:space="preserve">. After receiving confirmation that the TGA was likely to approve </w:t>
            </w:r>
            <w:proofErr w:type="spellStart"/>
            <w:r>
              <w:rPr>
                <w:rFonts w:ascii="Calibri" w:hAnsi="Calibri" w:cs="Calibri"/>
                <w:color w:val="000000"/>
                <w:sz w:val="18"/>
                <w:szCs w:val="18"/>
              </w:rPr>
              <w:t>retifanlimab</w:t>
            </w:r>
            <w:proofErr w:type="spellEnd"/>
            <w:r>
              <w:rPr>
                <w:rFonts w:ascii="Calibri" w:hAnsi="Calibri" w:cs="Calibri"/>
                <w:color w:val="000000"/>
                <w:sz w:val="18"/>
                <w:szCs w:val="18"/>
              </w:rPr>
              <w:t xml:space="preserve">, the PBAC recommended listing </w:t>
            </w:r>
            <w:proofErr w:type="spellStart"/>
            <w:r>
              <w:rPr>
                <w:rFonts w:ascii="Calibri" w:hAnsi="Calibri" w:cs="Calibri"/>
                <w:color w:val="000000"/>
                <w:sz w:val="18"/>
                <w:szCs w:val="18"/>
              </w:rPr>
              <w:t>retifanlimab</w:t>
            </w:r>
            <w:proofErr w:type="spellEnd"/>
            <w:r>
              <w:rPr>
                <w:rFonts w:ascii="Calibri" w:hAnsi="Calibri" w:cs="Calibri"/>
                <w:color w:val="000000"/>
                <w:sz w:val="18"/>
                <w:szCs w:val="18"/>
              </w:rPr>
              <w:t xml:space="preserve"> at a cost no higher than that of a course of treatment of avelumab. </w:t>
            </w:r>
            <w:r>
              <w:rPr>
                <w:rFonts w:ascii="Calibri" w:hAnsi="Calibri" w:cs="Calibri"/>
                <w:color w:val="000000"/>
                <w:sz w:val="18"/>
                <w:szCs w:val="18"/>
              </w:rPr>
              <w:br/>
            </w:r>
            <w:r>
              <w:rPr>
                <w:rFonts w:ascii="Calibri" w:hAnsi="Calibri" w:cs="Calibri"/>
                <w:color w:val="000000"/>
                <w:sz w:val="18"/>
                <w:szCs w:val="18"/>
              </w:rPr>
              <w:br/>
              <w:t xml:space="preserve">The PBAC expected that the overall financial cost would increase slightly once </w:t>
            </w:r>
            <w:proofErr w:type="spellStart"/>
            <w:r>
              <w:rPr>
                <w:rFonts w:ascii="Calibri" w:hAnsi="Calibri" w:cs="Calibri"/>
                <w:color w:val="000000"/>
                <w:sz w:val="18"/>
                <w:szCs w:val="18"/>
              </w:rPr>
              <w:t>retifanlimab</w:t>
            </w:r>
            <w:proofErr w:type="spellEnd"/>
            <w:r>
              <w:rPr>
                <w:rFonts w:ascii="Calibri" w:hAnsi="Calibri" w:cs="Calibri"/>
                <w:color w:val="000000"/>
                <w:sz w:val="18"/>
                <w:szCs w:val="18"/>
              </w:rPr>
              <w:t xml:space="preserve"> was available on the PBS, as </w:t>
            </w:r>
            <w:proofErr w:type="spellStart"/>
            <w:r>
              <w:rPr>
                <w:rFonts w:ascii="Calibri" w:hAnsi="Calibri" w:cs="Calibri"/>
                <w:color w:val="000000"/>
                <w:sz w:val="18"/>
                <w:szCs w:val="18"/>
              </w:rPr>
              <w:t>retifanlimab</w:t>
            </w:r>
            <w:proofErr w:type="spellEnd"/>
            <w:r>
              <w:rPr>
                <w:rFonts w:ascii="Calibri" w:hAnsi="Calibri" w:cs="Calibri"/>
                <w:color w:val="000000"/>
                <w:sz w:val="18"/>
                <w:szCs w:val="18"/>
              </w:rPr>
              <w:t xml:space="preserve"> would provide access to a small number of extra patients with locally advanced MCC. The PBAC considered that </w:t>
            </w:r>
            <w:proofErr w:type="spellStart"/>
            <w:r>
              <w:rPr>
                <w:rFonts w:ascii="Calibri" w:hAnsi="Calibri" w:cs="Calibri"/>
                <w:color w:val="000000"/>
                <w:sz w:val="18"/>
                <w:szCs w:val="18"/>
              </w:rPr>
              <w:t>retifanlimab</w:t>
            </w:r>
            <w:proofErr w:type="spellEnd"/>
            <w:r>
              <w:rPr>
                <w:rFonts w:ascii="Calibri" w:hAnsi="Calibri" w:cs="Calibri"/>
                <w:color w:val="000000"/>
                <w:sz w:val="18"/>
                <w:szCs w:val="18"/>
              </w:rPr>
              <w:t xml:space="preserve"> should be included in the existing risk sharing arrangement for MCC. The PBAC considered that 500 mg of </w:t>
            </w:r>
            <w:proofErr w:type="spellStart"/>
            <w:r>
              <w:rPr>
                <w:rFonts w:ascii="Calibri" w:hAnsi="Calibri" w:cs="Calibri"/>
                <w:color w:val="000000"/>
                <w:sz w:val="18"/>
                <w:szCs w:val="18"/>
              </w:rPr>
              <w:t>retifanlimab</w:t>
            </w:r>
            <w:proofErr w:type="spellEnd"/>
            <w:r>
              <w:rPr>
                <w:rFonts w:ascii="Calibri" w:hAnsi="Calibri" w:cs="Calibri"/>
                <w:color w:val="000000"/>
                <w:sz w:val="18"/>
                <w:szCs w:val="18"/>
              </w:rPr>
              <w:t xml:space="preserve"> every 4 weeks would be equivalent to 800 mg of avelumab every 2 weeks, based on the flat dosing regimens recommended in their respective product information. The PBAC noted that flow on changes to the avelumab PBS listing would be required to include the clinical criterion ‘Patient must be untreated with programmed cell death-1/ligand 1 (PD-1/PD-L1) inhibitor therapy at initiation therapy for this condition’.</w:t>
            </w:r>
          </w:p>
        </w:tc>
      </w:tr>
      <w:tr w:rsidR="00C312E5" w:rsidRPr="00544E10" w14:paraId="27559966" w14:textId="77777777" w:rsidTr="003921D1">
        <w:trPr>
          <w:cantSplit/>
          <w:trHeight w:val="868"/>
        </w:trPr>
        <w:tc>
          <w:tcPr>
            <w:tcW w:w="294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D1A7AFF" w14:textId="34AC78C2" w:rsidR="00BC4BA6" w:rsidRPr="005F21D6" w:rsidRDefault="00BC4BA6" w:rsidP="00BC4BA6">
            <w:pPr>
              <w:jc w:val="center"/>
              <w:rPr>
                <w:rFonts w:asciiTheme="minorHAnsi" w:hAnsiTheme="minorHAnsi" w:cstheme="minorHAnsi"/>
                <w:color w:val="000000"/>
                <w:szCs w:val="20"/>
              </w:rPr>
            </w:pPr>
            <w:r>
              <w:rPr>
                <w:rFonts w:ascii="Calibri" w:hAnsi="Calibri" w:cs="Calibri"/>
                <w:color w:val="000000"/>
                <w:sz w:val="18"/>
                <w:szCs w:val="18"/>
              </w:rPr>
              <w:t>RILUZOLE</w:t>
            </w:r>
            <w:r>
              <w:rPr>
                <w:rFonts w:ascii="Calibri" w:hAnsi="Calibri" w:cs="Calibri"/>
                <w:color w:val="000000"/>
                <w:sz w:val="18"/>
                <w:szCs w:val="18"/>
              </w:rPr>
              <w:br/>
            </w:r>
            <w:r>
              <w:rPr>
                <w:rFonts w:ascii="Calibri" w:hAnsi="Calibri" w:cs="Calibri"/>
                <w:color w:val="000000"/>
                <w:sz w:val="18"/>
                <w:szCs w:val="18"/>
              </w:rPr>
              <w:br/>
              <w:t>Oral suspension 50 mg per 10 mL, 300 mL</w:t>
            </w:r>
            <w:r>
              <w:rPr>
                <w:rFonts w:ascii="Calibri" w:hAnsi="Calibri" w:cs="Calibri"/>
                <w:color w:val="000000"/>
                <w:sz w:val="18"/>
                <w:szCs w:val="18"/>
              </w:rPr>
              <w:br/>
            </w:r>
            <w:r>
              <w:rPr>
                <w:rFonts w:ascii="Calibri" w:hAnsi="Calibri" w:cs="Calibri"/>
                <w:color w:val="000000"/>
                <w:sz w:val="18"/>
                <w:szCs w:val="18"/>
              </w:rPr>
              <w:br/>
              <w:t>Teglutik®</w:t>
            </w:r>
            <w:r>
              <w:rPr>
                <w:rFonts w:ascii="Calibri" w:hAnsi="Calibri" w:cs="Calibri"/>
                <w:color w:val="000000"/>
                <w:sz w:val="18"/>
                <w:szCs w:val="18"/>
              </w:rPr>
              <w:br/>
            </w:r>
            <w:r>
              <w:rPr>
                <w:rFonts w:ascii="Calibri" w:hAnsi="Calibri" w:cs="Calibri"/>
                <w:color w:val="000000"/>
                <w:sz w:val="18"/>
                <w:szCs w:val="18"/>
              </w:rPr>
              <w:br/>
              <w:t>ASTERI PHARMA PTY LTD</w:t>
            </w:r>
            <w:r>
              <w:rPr>
                <w:rFonts w:ascii="Calibri" w:hAnsi="Calibri" w:cs="Calibri"/>
                <w:color w:val="000000"/>
                <w:sz w:val="18"/>
                <w:szCs w:val="18"/>
              </w:rPr>
              <w:br/>
            </w:r>
            <w:r>
              <w:rPr>
                <w:rFonts w:ascii="Calibri" w:hAnsi="Calibri" w:cs="Calibri"/>
                <w:color w:val="000000"/>
                <w:sz w:val="18"/>
                <w:szCs w:val="18"/>
              </w:rPr>
              <w:br/>
              <w:t>Category 4</w:t>
            </w:r>
            <w:r>
              <w:rPr>
                <w:rFonts w:ascii="Calibri" w:hAnsi="Calibri" w:cs="Calibri"/>
                <w:color w:val="000000"/>
                <w:sz w:val="18"/>
                <w:szCs w:val="18"/>
              </w:rPr>
              <w:br/>
              <w:t xml:space="preserve">(Change to existing </w:t>
            </w:r>
            <w:r w:rsidR="00957109">
              <w:rPr>
                <w:rFonts w:ascii="Calibri" w:hAnsi="Calibri" w:cs="Calibri"/>
                <w:color w:val="000000"/>
                <w:sz w:val="18"/>
                <w:szCs w:val="18"/>
              </w:rPr>
              <w:t>listing)</w:t>
            </w:r>
            <w:r>
              <w:rPr>
                <w:rFonts w:ascii="Calibri" w:hAnsi="Calibri" w:cs="Calibri"/>
                <w:color w:val="000000"/>
                <w:sz w:val="18"/>
                <w:szCs w:val="18"/>
              </w:rPr>
              <w:br/>
            </w:r>
            <w:r>
              <w:rPr>
                <w:rFonts w:ascii="Calibri" w:hAnsi="Calibri" w:cs="Calibri"/>
                <w:color w:val="000000"/>
                <w:sz w:val="18"/>
                <w:szCs w:val="18"/>
              </w:rPr>
              <w:br/>
              <w:t xml:space="preserve">PBS General Schedule </w:t>
            </w:r>
          </w:p>
        </w:tc>
        <w:tc>
          <w:tcPr>
            <w:tcW w:w="1983" w:type="dxa"/>
            <w:tcBorders>
              <w:top w:val="single" w:sz="4" w:space="0" w:color="auto"/>
              <w:left w:val="single" w:sz="4" w:space="0" w:color="auto"/>
              <w:bottom w:val="single" w:sz="4" w:space="0" w:color="auto"/>
              <w:right w:val="single" w:sz="4" w:space="0" w:color="auto"/>
            </w:tcBorders>
            <w:vAlign w:val="center"/>
          </w:tcPr>
          <w:p w14:paraId="6BED5B35" w14:textId="3DCCB899" w:rsidR="00BC4BA6" w:rsidRPr="005F21D6" w:rsidRDefault="00BC4BA6" w:rsidP="00BC4BA6">
            <w:pPr>
              <w:jc w:val="center"/>
              <w:rPr>
                <w:rFonts w:asciiTheme="minorHAnsi" w:hAnsiTheme="minorHAnsi" w:cstheme="minorHAnsi"/>
                <w:color w:val="000000"/>
                <w:sz w:val="18"/>
                <w:szCs w:val="18"/>
              </w:rPr>
            </w:pPr>
            <w:r>
              <w:rPr>
                <w:rFonts w:ascii="Calibri" w:hAnsi="Calibri" w:cs="Calibri"/>
                <w:color w:val="000000"/>
                <w:sz w:val="18"/>
                <w:szCs w:val="18"/>
              </w:rPr>
              <w:t>Amyotrophic lateral sclerosis</w:t>
            </w:r>
          </w:p>
        </w:tc>
        <w:tc>
          <w:tcPr>
            <w:tcW w:w="238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BD0E08A" w14:textId="71D2936E" w:rsidR="00BC4BA6" w:rsidRPr="005F21D6" w:rsidRDefault="00BC4BA6" w:rsidP="00BC4BA6">
            <w:pPr>
              <w:jc w:val="center"/>
              <w:rPr>
                <w:rFonts w:asciiTheme="minorHAnsi" w:hAnsiTheme="minorHAnsi" w:cstheme="minorHAnsi"/>
                <w:color w:val="000000"/>
                <w:sz w:val="18"/>
                <w:szCs w:val="18"/>
              </w:rPr>
            </w:pPr>
            <w:r>
              <w:rPr>
                <w:rFonts w:ascii="Calibri" w:hAnsi="Calibri" w:cs="Calibri"/>
                <w:color w:val="000000"/>
                <w:sz w:val="18"/>
                <w:szCs w:val="18"/>
              </w:rPr>
              <w:t xml:space="preserve">To request that riluzole oral liquid be considered as an exempt item under section 84AH of the National Health Act 1953. Where a pharmaceutical item is determined to be an exempt item, that pharmaceutical item is excluded from fifteen year Anniversary Price, first new brand and price disclosure reductions. Exempt items are not exempt from five and ten year Anniversary Price reductions. </w:t>
            </w:r>
            <w:r>
              <w:rPr>
                <w:rFonts w:ascii="Calibri" w:hAnsi="Calibri" w:cs="Calibri"/>
                <w:color w:val="000000"/>
                <w:sz w:val="18"/>
                <w:szCs w:val="18"/>
              </w:rPr>
              <w:br/>
            </w:r>
            <w:r>
              <w:rPr>
                <w:rFonts w:ascii="Calibri" w:hAnsi="Calibri" w:cs="Calibri"/>
                <w:color w:val="000000"/>
                <w:sz w:val="18"/>
                <w:szCs w:val="18"/>
              </w:rPr>
              <w:br/>
              <w:t>Authority Required (Telephone/Online)</w:t>
            </w:r>
          </w:p>
        </w:tc>
        <w:tc>
          <w:tcPr>
            <w:tcW w:w="1415" w:type="dxa"/>
            <w:vAlign w:val="center"/>
          </w:tcPr>
          <w:p w14:paraId="6742D157" w14:textId="366ED899" w:rsidR="00BC4BA6" w:rsidRPr="00544E10" w:rsidRDefault="00BC4BA6" w:rsidP="00D428AC">
            <w:pPr>
              <w:ind w:left="11"/>
              <w:contextualSpacing/>
              <w:jc w:val="center"/>
              <w:rPr>
                <w:rFonts w:asciiTheme="minorHAnsi" w:hAnsiTheme="minorHAnsi" w:cstheme="minorHAnsi"/>
                <w:color w:val="000000" w:themeColor="text1"/>
                <w:sz w:val="18"/>
                <w:szCs w:val="18"/>
              </w:rPr>
            </w:pPr>
            <w:r>
              <w:rPr>
                <w:rFonts w:ascii="Calibri" w:hAnsi="Calibri" w:cs="Calibri"/>
                <w:color w:val="000000"/>
                <w:sz w:val="18"/>
                <w:szCs w:val="18"/>
              </w:rPr>
              <w:t>Advice Provided</w:t>
            </w:r>
          </w:p>
        </w:tc>
        <w:tc>
          <w:tcPr>
            <w:tcW w:w="4729" w:type="dxa"/>
            <w:vAlign w:val="center"/>
          </w:tcPr>
          <w:p w14:paraId="0965F430" w14:textId="515B85B2" w:rsidR="00BC4BA6" w:rsidRPr="00635D12" w:rsidRDefault="0061324D" w:rsidP="00D428AC">
            <w:pPr>
              <w:ind w:left="11"/>
              <w:contextualSpacing/>
              <w:rPr>
                <w:rFonts w:asciiTheme="minorHAnsi" w:hAnsiTheme="minorHAnsi" w:cstheme="minorHAnsi"/>
                <w:color w:val="000000" w:themeColor="text1"/>
                <w:sz w:val="18"/>
                <w:szCs w:val="18"/>
                <w:highlight w:val="yellow"/>
              </w:rPr>
            </w:pPr>
            <w:r w:rsidRPr="0061324D">
              <w:rPr>
                <w:rFonts w:ascii="Calibri" w:hAnsi="Calibri" w:cs="Calibri"/>
                <w:color w:val="000000"/>
                <w:sz w:val="18"/>
                <w:szCs w:val="18"/>
              </w:rPr>
              <w:t>The PBAC advised that riluzole oral suspension 50 mg per 10 mL, 300 mL (Teglutik®) can be considered as an exempt item under section 84AH of the National Health Act 1953 on the basis that the oral suspension form of riluzole is the only suitable option for patients for whom the PBS-listed tablet form is unsuitable due to difficulties in swallowing. The PBAC considered that no other PBS listed product is bioequivalent, biosimilar or ‘a’ flagged to riluzole oral suspension, and noted there were no alternative brands of the riluzole oral suspension.</w:t>
            </w:r>
          </w:p>
        </w:tc>
      </w:tr>
      <w:tr w:rsidR="00C312E5" w:rsidRPr="00544E10" w14:paraId="61D2A913" w14:textId="77777777" w:rsidTr="003921D1">
        <w:trPr>
          <w:cantSplit/>
          <w:trHeight w:val="868"/>
        </w:trPr>
        <w:tc>
          <w:tcPr>
            <w:tcW w:w="294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9EAAE3B" w14:textId="66BA92FF" w:rsidR="00BC4BA6" w:rsidRPr="005F21D6" w:rsidRDefault="00BC4BA6" w:rsidP="00BC4BA6">
            <w:pPr>
              <w:jc w:val="center"/>
              <w:rPr>
                <w:rFonts w:asciiTheme="minorHAnsi" w:hAnsiTheme="minorHAnsi" w:cstheme="minorHAnsi"/>
                <w:color w:val="000000"/>
                <w:szCs w:val="20"/>
              </w:rPr>
            </w:pPr>
            <w:r>
              <w:rPr>
                <w:rFonts w:ascii="Calibri" w:hAnsi="Calibri" w:cs="Calibri"/>
                <w:color w:val="000000"/>
                <w:sz w:val="18"/>
                <w:szCs w:val="18"/>
              </w:rPr>
              <w:t>RISPERIDONE</w:t>
            </w:r>
            <w:r>
              <w:rPr>
                <w:rFonts w:ascii="Calibri" w:hAnsi="Calibri" w:cs="Calibri"/>
                <w:color w:val="000000"/>
                <w:sz w:val="18"/>
                <w:szCs w:val="18"/>
              </w:rPr>
              <w:br/>
            </w:r>
            <w:r>
              <w:rPr>
                <w:rFonts w:ascii="Calibri" w:hAnsi="Calibri" w:cs="Calibri"/>
                <w:color w:val="000000"/>
                <w:sz w:val="18"/>
                <w:szCs w:val="18"/>
              </w:rPr>
              <w:br/>
              <w:t>Subcutaneous injection (modified release) 50 mg in 0.14 mL pre-filled syringe</w:t>
            </w:r>
            <w:r>
              <w:rPr>
                <w:rFonts w:ascii="Calibri" w:hAnsi="Calibri" w:cs="Calibri"/>
                <w:color w:val="000000"/>
                <w:sz w:val="18"/>
                <w:szCs w:val="18"/>
              </w:rPr>
              <w:br/>
              <w:t>Subcutaneous injection (modified release) 75 mg in 0.21 mL pre-filled syringe</w:t>
            </w:r>
            <w:r>
              <w:rPr>
                <w:rFonts w:ascii="Calibri" w:hAnsi="Calibri" w:cs="Calibri"/>
                <w:color w:val="000000"/>
                <w:sz w:val="18"/>
                <w:szCs w:val="18"/>
              </w:rPr>
              <w:br/>
              <w:t>Subcutaneous injection (modified release) 100 mg in 0.28 mL pre-filled syringe</w:t>
            </w:r>
            <w:r>
              <w:rPr>
                <w:rFonts w:ascii="Calibri" w:hAnsi="Calibri" w:cs="Calibri"/>
                <w:color w:val="000000"/>
                <w:sz w:val="18"/>
                <w:szCs w:val="18"/>
              </w:rPr>
              <w:br/>
              <w:t>Subcutaneous injection (modified release) 125 mg in 0.35 mL pre-filled syringe</w:t>
            </w:r>
            <w:r>
              <w:rPr>
                <w:rFonts w:ascii="Calibri" w:hAnsi="Calibri" w:cs="Calibri"/>
                <w:color w:val="000000"/>
                <w:sz w:val="18"/>
                <w:szCs w:val="18"/>
              </w:rPr>
              <w:br/>
            </w:r>
            <w:r>
              <w:rPr>
                <w:rFonts w:ascii="Calibri" w:hAnsi="Calibri" w:cs="Calibri"/>
                <w:color w:val="000000"/>
                <w:sz w:val="18"/>
                <w:szCs w:val="18"/>
              </w:rPr>
              <w:br/>
            </w:r>
            <w:proofErr w:type="spellStart"/>
            <w:r>
              <w:rPr>
                <w:rFonts w:ascii="Calibri" w:hAnsi="Calibri" w:cs="Calibri"/>
                <w:color w:val="000000"/>
                <w:sz w:val="18"/>
                <w:szCs w:val="18"/>
              </w:rPr>
              <w:t>Uzedy</w:t>
            </w:r>
            <w:proofErr w:type="spellEnd"/>
            <w:r>
              <w:rPr>
                <w:rFonts w:ascii="Calibri" w:hAnsi="Calibri" w:cs="Calibri"/>
                <w:color w:val="000000"/>
                <w:sz w:val="18"/>
                <w:szCs w:val="18"/>
              </w:rPr>
              <w:t>®</w:t>
            </w:r>
            <w:r>
              <w:rPr>
                <w:rFonts w:ascii="Calibri" w:hAnsi="Calibri" w:cs="Calibri"/>
                <w:color w:val="000000"/>
                <w:sz w:val="18"/>
                <w:szCs w:val="18"/>
              </w:rPr>
              <w:br/>
            </w:r>
            <w:r>
              <w:rPr>
                <w:rFonts w:ascii="Calibri" w:hAnsi="Calibri" w:cs="Calibri"/>
                <w:color w:val="000000"/>
                <w:sz w:val="18"/>
                <w:szCs w:val="18"/>
              </w:rPr>
              <w:br/>
              <w:t>TEVA PHARMA AUSTRALIA PTY LTD</w:t>
            </w:r>
            <w:r>
              <w:rPr>
                <w:rFonts w:ascii="Calibri" w:hAnsi="Calibri" w:cs="Calibri"/>
                <w:color w:val="000000"/>
                <w:sz w:val="18"/>
                <w:szCs w:val="18"/>
              </w:rPr>
              <w:br/>
            </w:r>
            <w:r>
              <w:rPr>
                <w:rFonts w:ascii="Calibri" w:hAnsi="Calibri" w:cs="Calibri"/>
                <w:color w:val="000000"/>
                <w:sz w:val="18"/>
                <w:szCs w:val="18"/>
              </w:rPr>
              <w:br/>
              <w:t>Category 2</w:t>
            </w:r>
            <w:r>
              <w:rPr>
                <w:rFonts w:ascii="Calibri" w:hAnsi="Calibri" w:cs="Calibri"/>
                <w:color w:val="000000"/>
                <w:sz w:val="18"/>
                <w:szCs w:val="18"/>
              </w:rPr>
              <w:br/>
              <w:t xml:space="preserve">(New PBS </w:t>
            </w:r>
            <w:r w:rsidR="00957109">
              <w:rPr>
                <w:rFonts w:ascii="Calibri" w:hAnsi="Calibri" w:cs="Calibri"/>
                <w:color w:val="000000"/>
                <w:sz w:val="18"/>
                <w:szCs w:val="18"/>
              </w:rPr>
              <w:t>listing)</w:t>
            </w:r>
            <w:r>
              <w:rPr>
                <w:rFonts w:ascii="Calibri" w:hAnsi="Calibri" w:cs="Calibri"/>
                <w:color w:val="000000"/>
                <w:sz w:val="18"/>
                <w:szCs w:val="18"/>
              </w:rPr>
              <w:br/>
            </w:r>
            <w:r>
              <w:rPr>
                <w:rFonts w:ascii="Calibri" w:hAnsi="Calibri" w:cs="Calibri"/>
                <w:color w:val="000000"/>
                <w:sz w:val="18"/>
                <w:szCs w:val="18"/>
              </w:rPr>
              <w:br/>
              <w:t>PBS General Schedule</w:t>
            </w:r>
          </w:p>
        </w:tc>
        <w:tc>
          <w:tcPr>
            <w:tcW w:w="1983" w:type="dxa"/>
            <w:tcBorders>
              <w:top w:val="single" w:sz="4" w:space="0" w:color="auto"/>
              <w:left w:val="single" w:sz="4" w:space="0" w:color="auto"/>
              <w:bottom w:val="single" w:sz="4" w:space="0" w:color="auto"/>
              <w:right w:val="single" w:sz="4" w:space="0" w:color="auto"/>
            </w:tcBorders>
            <w:vAlign w:val="center"/>
          </w:tcPr>
          <w:p w14:paraId="5B2ACE8C" w14:textId="46F3229D" w:rsidR="00BC4BA6" w:rsidRPr="005F21D6" w:rsidRDefault="00BC4BA6" w:rsidP="00BC4BA6">
            <w:pPr>
              <w:jc w:val="center"/>
              <w:rPr>
                <w:rFonts w:asciiTheme="minorHAnsi" w:hAnsiTheme="minorHAnsi" w:cstheme="minorHAnsi"/>
                <w:color w:val="000000"/>
                <w:sz w:val="18"/>
                <w:szCs w:val="18"/>
              </w:rPr>
            </w:pPr>
            <w:r>
              <w:rPr>
                <w:rFonts w:ascii="Calibri" w:hAnsi="Calibri" w:cs="Calibri"/>
                <w:color w:val="000000"/>
                <w:sz w:val="18"/>
                <w:szCs w:val="18"/>
              </w:rPr>
              <w:t>Schizophrenia</w:t>
            </w:r>
          </w:p>
        </w:tc>
        <w:tc>
          <w:tcPr>
            <w:tcW w:w="238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442A4C8" w14:textId="7883AB5D" w:rsidR="00BC4BA6" w:rsidRPr="005F21D6" w:rsidRDefault="00BC4BA6" w:rsidP="00BC4BA6">
            <w:pPr>
              <w:jc w:val="center"/>
              <w:rPr>
                <w:rFonts w:asciiTheme="minorHAnsi" w:hAnsiTheme="minorHAnsi" w:cstheme="minorHAnsi"/>
                <w:color w:val="000000"/>
                <w:sz w:val="18"/>
                <w:szCs w:val="18"/>
              </w:rPr>
            </w:pPr>
            <w:r>
              <w:rPr>
                <w:rFonts w:ascii="Calibri" w:hAnsi="Calibri" w:cs="Calibri"/>
                <w:color w:val="000000"/>
                <w:sz w:val="18"/>
                <w:szCs w:val="18"/>
              </w:rPr>
              <w:t>To request listing of a new subcutaneous form of risperidone with multiple strengths for the treatment of adult patients with schizophrenia.</w:t>
            </w:r>
            <w:r>
              <w:rPr>
                <w:rFonts w:ascii="Calibri" w:hAnsi="Calibri" w:cs="Calibri"/>
                <w:color w:val="000000"/>
                <w:sz w:val="18"/>
                <w:szCs w:val="18"/>
              </w:rPr>
              <w:br/>
            </w:r>
            <w:r>
              <w:rPr>
                <w:rFonts w:ascii="Calibri" w:hAnsi="Calibri" w:cs="Calibri"/>
                <w:color w:val="000000"/>
                <w:sz w:val="18"/>
                <w:szCs w:val="18"/>
              </w:rPr>
              <w:br/>
              <w:t xml:space="preserve">Authority Required (STREAMLINED) </w:t>
            </w:r>
          </w:p>
        </w:tc>
        <w:tc>
          <w:tcPr>
            <w:tcW w:w="1415" w:type="dxa"/>
            <w:vAlign w:val="center"/>
          </w:tcPr>
          <w:p w14:paraId="5BB850EA" w14:textId="6E5206D1" w:rsidR="00BC4BA6" w:rsidRPr="00544E10" w:rsidRDefault="00BC4BA6" w:rsidP="00D428AC">
            <w:pPr>
              <w:ind w:left="11"/>
              <w:contextualSpacing/>
              <w:jc w:val="center"/>
              <w:rPr>
                <w:rFonts w:asciiTheme="minorHAnsi" w:hAnsiTheme="minorHAnsi" w:cstheme="minorHAnsi"/>
                <w:color w:val="000000" w:themeColor="text1"/>
                <w:sz w:val="18"/>
                <w:szCs w:val="18"/>
              </w:rPr>
            </w:pPr>
            <w:r>
              <w:rPr>
                <w:rFonts w:ascii="Calibri" w:hAnsi="Calibri" w:cs="Calibri"/>
                <w:color w:val="000000"/>
                <w:sz w:val="18"/>
                <w:szCs w:val="18"/>
              </w:rPr>
              <w:t>Recommended</w:t>
            </w:r>
          </w:p>
        </w:tc>
        <w:tc>
          <w:tcPr>
            <w:tcW w:w="4729" w:type="dxa"/>
            <w:vAlign w:val="center"/>
          </w:tcPr>
          <w:p w14:paraId="49050D0E" w14:textId="5BDC7FD4" w:rsidR="00BC4BA6" w:rsidRPr="00544E10" w:rsidRDefault="00BC4BA6" w:rsidP="00D428AC">
            <w:pPr>
              <w:ind w:left="11"/>
              <w:contextualSpacing/>
              <w:rPr>
                <w:rFonts w:asciiTheme="minorHAnsi" w:hAnsiTheme="minorHAnsi" w:cstheme="minorHAnsi"/>
                <w:color w:val="000000" w:themeColor="text1"/>
                <w:sz w:val="18"/>
                <w:szCs w:val="18"/>
              </w:rPr>
            </w:pPr>
            <w:r>
              <w:rPr>
                <w:rFonts w:ascii="Calibri" w:hAnsi="Calibri" w:cs="Calibri"/>
                <w:color w:val="000000"/>
                <w:sz w:val="18"/>
                <w:szCs w:val="18"/>
              </w:rPr>
              <w:t xml:space="preserve">The PBAC recommended the listing of a long acting (modified release (MR)) subcutaneous (SC) injectable form of risperidone for the treatment of adult patients with schizophrenia. The PBAC welcomed input from health care professionals and a joint letter from organisations. The PBAC agreed that the introduction of MRSC risperidone may support more consistent use of antipsychotic therapy for patients with schizophrenia. </w:t>
            </w:r>
            <w:r>
              <w:rPr>
                <w:rFonts w:ascii="Calibri" w:hAnsi="Calibri" w:cs="Calibri"/>
                <w:color w:val="000000"/>
                <w:sz w:val="18"/>
                <w:szCs w:val="18"/>
              </w:rPr>
              <w:br/>
            </w:r>
            <w:r>
              <w:rPr>
                <w:rFonts w:ascii="Calibri" w:hAnsi="Calibri" w:cs="Calibri"/>
                <w:color w:val="000000"/>
                <w:sz w:val="18"/>
                <w:szCs w:val="18"/>
              </w:rPr>
              <w:br/>
              <w:t xml:space="preserve">The PBAC considered that MRSC risperidone had similar safety and effectiveness to paliperidone 1 monthly (PP1M) long acting injection (LAI) and aripiprazole 1 monthly (A1M) LAI. The PBAC also considered MRSC risperidone had similar safety and effectiveness to risperidone 2 weekly intramuscular LAI, and risperidone 4 weekly intramuscular LAI. </w:t>
            </w:r>
            <w:r>
              <w:rPr>
                <w:rFonts w:ascii="Calibri" w:hAnsi="Calibri" w:cs="Calibri"/>
                <w:color w:val="000000"/>
                <w:sz w:val="18"/>
                <w:szCs w:val="18"/>
              </w:rPr>
              <w:br/>
            </w:r>
            <w:r>
              <w:rPr>
                <w:rFonts w:ascii="Calibri" w:hAnsi="Calibri" w:cs="Calibri"/>
                <w:color w:val="000000"/>
                <w:sz w:val="18"/>
                <w:szCs w:val="18"/>
              </w:rPr>
              <w:br/>
              <w:t xml:space="preserve">The PBAC considered MRSC risperidone 75 mg administered once monthly to be </w:t>
            </w:r>
            <w:proofErr w:type="spellStart"/>
            <w:r>
              <w:rPr>
                <w:rFonts w:ascii="Calibri" w:hAnsi="Calibri" w:cs="Calibri"/>
                <w:color w:val="000000"/>
                <w:sz w:val="18"/>
                <w:szCs w:val="18"/>
              </w:rPr>
              <w:t>equi</w:t>
            </w:r>
            <w:proofErr w:type="spellEnd"/>
            <w:r>
              <w:rPr>
                <w:rFonts w:ascii="Calibri" w:hAnsi="Calibri" w:cs="Calibri"/>
                <w:color w:val="000000"/>
                <w:sz w:val="18"/>
                <w:szCs w:val="18"/>
              </w:rPr>
              <w:noBreakHyphen/>
              <w:t>effective to PP1M 37.5 mg once monthly and A1M 352 mg once monthly. The PBAC advised that the cost of MRSC would be acceptable if the overall cost was not higher than the lowest cost LAI antipsychotic therapy of aripiprazole, paliperidone, or risperidone.</w:t>
            </w:r>
          </w:p>
        </w:tc>
      </w:tr>
      <w:tr w:rsidR="00C312E5" w:rsidRPr="00544E10" w14:paraId="4E22DC85" w14:textId="77777777" w:rsidTr="003921D1">
        <w:trPr>
          <w:cantSplit/>
          <w:trHeight w:val="868"/>
        </w:trPr>
        <w:tc>
          <w:tcPr>
            <w:tcW w:w="294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28367B5" w14:textId="77777777" w:rsidR="009662AE" w:rsidRDefault="00BC4BA6" w:rsidP="009662AE">
            <w:pPr>
              <w:spacing w:after="0"/>
              <w:jc w:val="center"/>
              <w:rPr>
                <w:rFonts w:ascii="Calibri" w:hAnsi="Calibri" w:cs="Calibri"/>
                <w:color w:val="000000"/>
                <w:sz w:val="18"/>
                <w:szCs w:val="18"/>
              </w:rPr>
            </w:pPr>
            <w:r>
              <w:rPr>
                <w:rFonts w:ascii="Calibri" w:hAnsi="Calibri" w:cs="Calibri"/>
                <w:color w:val="000000"/>
                <w:sz w:val="18"/>
                <w:szCs w:val="18"/>
              </w:rPr>
              <w:t>ROMIDEPSIN</w:t>
            </w:r>
            <w:r>
              <w:rPr>
                <w:rFonts w:ascii="Calibri" w:hAnsi="Calibri" w:cs="Calibri"/>
                <w:color w:val="000000"/>
                <w:sz w:val="18"/>
                <w:szCs w:val="18"/>
              </w:rPr>
              <w:br/>
            </w:r>
            <w:r>
              <w:rPr>
                <w:rFonts w:ascii="Calibri" w:hAnsi="Calibri" w:cs="Calibri"/>
                <w:color w:val="000000"/>
                <w:sz w:val="18"/>
                <w:szCs w:val="18"/>
              </w:rPr>
              <w:br/>
              <w:t>Injection set including 1 vial powder for injection 10 mg and 2 mL solvent</w:t>
            </w:r>
            <w:r>
              <w:rPr>
                <w:rFonts w:ascii="Calibri" w:hAnsi="Calibri" w:cs="Calibri"/>
                <w:color w:val="000000"/>
                <w:sz w:val="18"/>
                <w:szCs w:val="18"/>
              </w:rPr>
              <w:br/>
            </w:r>
            <w:r>
              <w:rPr>
                <w:rFonts w:ascii="Calibri" w:hAnsi="Calibri" w:cs="Calibri"/>
                <w:color w:val="000000"/>
                <w:sz w:val="18"/>
                <w:szCs w:val="18"/>
              </w:rPr>
              <w:br/>
              <w:t>ROMIDEPSIN-REACH</w:t>
            </w:r>
            <w:r>
              <w:rPr>
                <w:rFonts w:ascii="Calibri" w:hAnsi="Calibri" w:cs="Calibri"/>
                <w:color w:val="000000"/>
                <w:sz w:val="18"/>
                <w:szCs w:val="18"/>
              </w:rPr>
              <w:br/>
            </w:r>
            <w:r>
              <w:rPr>
                <w:rFonts w:ascii="Calibri" w:hAnsi="Calibri" w:cs="Calibri"/>
                <w:color w:val="000000"/>
                <w:sz w:val="18"/>
                <w:szCs w:val="18"/>
              </w:rPr>
              <w:br/>
              <w:t>REACH PHARMACEUTICALS PTY LTD</w:t>
            </w:r>
            <w:r>
              <w:rPr>
                <w:rFonts w:ascii="Calibri" w:hAnsi="Calibri" w:cs="Calibri"/>
                <w:color w:val="000000"/>
                <w:sz w:val="18"/>
                <w:szCs w:val="18"/>
              </w:rPr>
              <w:br/>
            </w:r>
            <w:r>
              <w:rPr>
                <w:rFonts w:ascii="Calibri" w:hAnsi="Calibri" w:cs="Calibri"/>
                <w:color w:val="000000"/>
                <w:sz w:val="18"/>
                <w:szCs w:val="18"/>
              </w:rPr>
              <w:br/>
              <w:t>Category 2</w:t>
            </w:r>
            <w:r>
              <w:rPr>
                <w:rFonts w:ascii="Calibri" w:hAnsi="Calibri" w:cs="Calibri"/>
                <w:color w:val="000000"/>
                <w:sz w:val="18"/>
                <w:szCs w:val="18"/>
              </w:rPr>
              <w:br/>
              <w:t xml:space="preserve">(New PBS </w:t>
            </w:r>
            <w:r w:rsidR="00957109">
              <w:rPr>
                <w:rFonts w:ascii="Calibri" w:hAnsi="Calibri" w:cs="Calibri"/>
                <w:color w:val="000000"/>
                <w:sz w:val="18"/>
                <w:szCs w:val="18"/>
              </w:rPr>
              <w:t>listing)</w:t>
            </w:r>
            <w:r>
              <w:rPr>
                <w:rFonts w:ascii="Calibri" w:hAnsi="Calibri" w:cs="Calibri"/>
                <w:color w:val="000000"/>
                <w:sz w:val="18"/>
                <w:szCs w:val="18"/>
              </w:rPr>
              <w:br/>
            </w:r>
            <w:r>
              <w:rPr>
                <w:rFonts w:ascii="Calibri" w:hAnsi="Calibri" w:cs="Calibri"/>
                <w:color w:val="000000"/>
                <w:sz w:val="18"/>
                <w:szCs w:val="18"/>
              </w:rPr>
              <w:br/>
              <w:t xml:space="preserve">PBS Section 100 </w:t>
            </w:r>
          </w:p>
          <w:p w14:paraId="69AD39AF" w14:textId="2BC60F36" w:rsidR="00BC4BA6" w:rsidRPr="005F21D6" w:rsidRDefault="00BC4BA6" w:rsidP="00BC4BA6">
            <w:pPr>
              <w:jc w:val="center"/>
              <w:rPr>
                <w:rFonts w:asciiTheme="minorHAnsi" w:hAnsiTheme="minorHAnsi" w:cstheme="minorHAnsi"/>
                <w:color w:val="000000"/>
                <w:szCs w:val="20"/>
              </w:rPr>
            </w:pPr>
            <w:r>
              <w:rPr>
                <w:rFonts w:ascii="Calibri" w:hAnsi="Calibri" w:cs="Calibri"/>
                <w:color w:val="000000"/>
                <w:sz w:val="18"/>
                <w:szCs w:val="18"/>
              </w:rPr>
              <w:t>(Efficient Funding of Chemotherapy</w:t>
            </w:r>
            <w:r w:rsidR="009662AE">
              <w:rPr>
                <w:rFonts w:ascii="Calibri" w:hAnsi="Calibri" w:cs="Calibri"/>
                <w:color w:val="000000"/>
                <w:sz w:val="18"/>
                <w:szCs w:val="18"/>
              </w:rPr>
              <w:t xml:space="preserve"> </w:t>
            </w:r>
            <w:r>
              <w:rPr>
                <w:rFonts w:ascii="Calibri" w:hAnsi="Calibri" w:cs="Calibri"/>
                <w:color w:val="000000"/>
                <w:sz w:val="18"/>
                <w:szCs w:val="18"/>
              </w:rPr>
              <w:t>Program)</w:t>
            </w:r>
          </w:p>
        </w:tc>
        <w:tc>
          <w:tcPr>
            <w:tcW w:w="1983" w:type="dxa"/>
            <w:tcBorders>
              <w:top w:val="single" w:sz="4" w:space="0" w:color="auto"/>
              <w:left w:val="single" w:sz="4" w:space="0" w:color="auto"/>
              <w:bottom w:val="single" w:sz="4" w:space="0" w:color="auto"/>
              <w:right w:val="single" w:sz="4" w:space="0" w:color="auto"/>
            </w:tcBorders>
            <w:vAlign w:val="center"/>
          </w:tcPr>
          <w:p w14:paraId="358ACB1D" w14:textId="4515BC18" w:rsidR="00BC4BA6" w:rsidRPr="005F21D6" w:rsidRDefault="00BC4BA6" w:rsidP="00BC4BA6">
            <w:pPr>
              <w:jc w:val="center"/>
              <w:rPr>
                <w:rFonts w:asciiTheme="minorHAnsi" w:hAnsiTheme="minorHAnsi" w:cstheme="minorHAnsi"/>
                <w:color w:val="000000"/>
                <w:sz w:val="18"/>
                <w:szCs w:val="18"/>
              </w:rPr>
            </w:pPr>
            <w:r>
              <w:rPr>
                <w:rFonts w:ascii="Calibri" w:hAnsi="Calibri" w:cs="Calibri"/>
                <w:color w:val="000000"/>
                <w:sz w:val="18"/>
                <w:szCs w:val="18"/>
              </w:rPr>
              <w:t>Relapsed or refractory peripheral T-cell lymphoma</w:t>
            </w:r>
          </w:p>
        </w:tc>
        <w:tc>
          <w:tcPr>
            <w:tcW w:w="238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89ED787" w14:textId="6DDDAD52" w:rsidR="00BC4BA6" w:rsidRPr="005F21D6" w:rsidRDefault="00BC4BA6" w:rsidP="00BC4BA6">
            <w:pPr>
              <w:jc w:val="center"/>
              <w:rPr>
                <w:rFonts w:asciiTheme="minorHAnsi" w:hAnsiTheme="minorHAnsi" w:cstheme="minorHAnsi"/>
                <w:color w:val="000000"/>
                <w:sz w:val="18"/>
                <w:szCs w:val="18"/>
              </w:rPr>
            </w:pPr>
            <w:r>
              <w:rPr>
                <w:rFonts w:ascii="Calibri" w:hAnsi="Calibri" w:cs="Calibri"/>
                <w:color w:val="000000"/>
                <w:sz w:val="18"/>
                <w:szCs w:val="18"/>
              </w:rPr>
              <w:t xml:space="preserve">To request listing of </w:t>
            </w:r>
            <w:proofErr w:type="spellStart"/>
            <w:r>
              <w:rPr>
                <w:rFonts w:ascii="Calibri" w:hAnsi="Calibri" w:cs="Calibri"/>
                <w:color w:val="000000"/>
                <w:sz w:val="18"/>
                <w:szCs w:val="18"/>
              </w:rPr>
              <w:t>romidepsin</w:t>
            </w:r>
            <w:proofErr w:type="spellEnd"/>
            <w:r>
              <w:rPr>
                <w:rFonts w:ascii="Calibri" w:hAnsi="Calibri" w:cs="Calibri"/>
                <w:color w:val="000000"/>
                <w:sz w:val="18"/>
                <w:szCs w:val="18"/>
              </w:rPr>
              <w:t xml:space="preserve"> for the treatment of adults patients with peripheral T-cell lymphoma who have received at least one prior systemic therapy.</w:t>
            </w:r>
            <w:r>
              <w:rPr>
                <w:rFonts w:ascii="Calibri" w:hAnsi="Calibri" w:cs="Calibri"/>
                <w:color w:val="000000"/>
                <w:sz w:val="18"/>
                <w:szCs w:val="18"/>
              </w:rPr>
              <w:br/>
            </w:r>
            <w:r>
              <w:rPr>
                <w:rFonts w:ascii="Calibri" w:hAnsi="Calibri" w:cs="Calibri"/>
                <w:color w:val="000000"/>
                <w:sz w:val="18"/>
                <w:szCs w:val="18"/>
              </w:rPr>
              <w:br/>
              <w:t>Authority Required (Telephone/Online)</w:t>
            </w:r>
          </w:p>
        </w:tc>
        <w:tc>
          <w:tcPr>
            <w:tcW w:w="1415" w:type="dxa"/>
            <w:vAlign w:val="center"/>
          </w:tcPr>
          <w:p w14:paraId="70BF0E29" w14:textId="6C4F235D" w:rsidR="00BC4BA6" w:rsidRPr="00544E10" w:rsidRDefault="00BC4BA6" w:rsidP="00D428AC">
            <w:pPr>
              <w:ind w:left="11"/>
              <w:contextualSpacing/>
              <w:jc w:val="center"/>
              <w:rPr>
                <w:rFonts w:asciiTheme="minorHAnsi" w:hAnsiTheme="minorHAnsi" w:cstheme="minorHAnsi"/>
                <w:color w:val="000000" w:themeColor="text1"/>
                <w:sz w:val="18"/>
                <w:szCs w:val="18"/>
              </w:rPr>
            </w:pPr>
            <w:r>
              <w:rPr>
                <w:rFonts w:ascii="Calibri" w:hAnsi="Calibri" w:cs="Calibri"/>
                <w:color w:val="000000"/>
                <w:sz w:val="18"/>
                <w:szCs w:val="18"/>
              </w:rPr>
              <w:t>Recommended</w:t>
            </w:r>
          </w:p>
        </w:tc>
        <w:tc>
          <w:tcPr>
            <w:tcW w:w="4729" w:type="dxa"/>
            <w:vAlign w:val="center"/>
          </w:tcPr>
          <w:p w14:paraId="6C8F3CF8" w14:textId="64AE9835" w:rsidR="00BC4BA6" w:rsidRPr="00544E10" w:rsidRDefault="00BC4BA6" w:rsidP="00D428AC">
            <w:pPr>
              <w:ind w:left="11"/>
              <w:contextualSpacing/>
              <w:rPr>
                <w:rFonts w:asciiTheme="minorHAnsi" w:hAnsiTheme="minorHAnsi" w:cstheme="minorHAnsi"/>
                <w:color w:val="000000" w:themeColor="text1"/>
                <w:sz w:val="18"/>
                <w:szCs w:val="18"/>
              </w:rPr>
            </w:pPr>
            <w:r>
              <w:rPr>
                <w:rFonts w:ascii="Calibri" w:hAnsi="Calibri" w:cs="Calibri"/>
                <w:color w:val="000000"/>
                <w:sz w:val="18"/>
                <w:szCs w:val="18"/>
              </w:rPr>
              <w:t xml:space="preserve">The PBAC recommended the listing of </w:t>
            </w:r>
            <w:proofErr w:type="spellStart"/>
            <w:r>
              <w:rPr>
                <w:rFonts w:ascii="Calibri" w:hAnsi="Calibri" w:cs="Calibri"/>
                <w:color w:val="000000"/>
                <w:sz w:val="18"/>
                <w:szCs w:val="18"/>
              </w:rPr>
              <w:t>romidepsin</w:t>
            </w:r>
            <w:proofErr w:type="spellEnd"/>
            <w:r>
              <w:rPr>
                <w:rFonts w:ascii="Calibri" w:hAnsi="Calibri" w:cs="Calibri"/>
                <w:color w:val="000000"/>
                <w:sz w:val="18"/>
                <w:szCs w:val="18"/>
              </w:rPr>
              <w:t xml:space="preserve"> for the treatment of patients with peripheral T-cell lymphoma whose disease has returned or did not respond to chemotherapy.  </w:t>
            </w:r>
            <w:r>
              <w:rPr>
                <w:rFonts w:ascii="Calibri" w:hAnsi="Calibri" w:cs="Calibri"/>
                <w:color w:val="000000"/>
                <w:sz w:val="18"/>
                <w:szCs w:val="18"/>
              </w:rPr>
              <w:br/>
            </w:r>
            <w:r>
              <w:rPr>
                <w:rFonts w:ascii="Calibri" w:hAnsi="Calibri" w:cs="Calibri"/>
                <w:color w:val="000000"/>
                <w:sz w:val="18"/>
                <w:szCs w:val="18"/>
              </w:rPr>
              <w:br/>
              <w:t xml:space="preserve">The PBAC noted there was a high clinical need for additional therapies for this patient population and that the input from individuals, health care professionals and organisations highlighted this need.  The PBAC considered it likely that </w:t>
            </w:r>
            <w:proofErr w:type="spellStart"/>
            <w:r>
              <w:rPr>
                <w:rFonts w:ascii="Calibri" w:hAnsi="Calibri" w:cs="Calibri"/>
                <w:color w:val="000000"/>
                <w:sz w:val="18"/>
                <w:szCs w:val="18"/>
              </w:rPr>
              <w:t>romidepsin</w:t>
            </w:r>
            <w:proofErr w:type="spellEnd"/>
            <w:r>
              <w:rPr>
                <w:rFonts w:ascii="Calibri" w:hAnsi="Calibri" w:cs="Calibri"/>
                <w:color w:val="000000"/>
                <w:sz w:val="18"/>
                <w:szCs w:val="18"/>
              </w:rPr>
              <w:t xml:space="preserve"> will provide similar health outcomes to pralatrexate in the proposed patient population. </w:t>
            </w:r>
            <w:r>
              <w:rPr>
                <w:rFonts w:ascii="Calibri" w:hAnsi="Calibri" w:cs="Calibri"/>
                <w:color w:val="000000"/>
                <w:sz w:val="18"/>
                <w:szCs w:val="18"/>
              </w:rPr>
              <w:br/>
            </w:r>
            <w:r>
              <w:rPr>
                <w:rFonts w:ascii="Calibri" w:hAnsi="Calibri" w:cs="Calibri"/>
                <w:color w:val="000000"/>
                <w:sz w:val="18"/>
                <w:szCs w:val="18"/>
              </w:rPr>
              <w:br/>
              <w:t xml:space="preserve">The PBAC considered that the price of </w:t>
            </w:r>
            <w:proofErr w:type="spellStart"/>
            <w:r>
              <w:rPr>
                <w:rFonts w:ascii="Calibri" w:hAnsi="Calibri" w:cs="Calibri"/>
                <w:color w:val="000000"/>
                <w:sz w:val="18"/>
                <w:szCs w:val="18"/>
              </w:rPr>
              <w:t>romidepsin</w:t>
            </w:r>
            <w:proofErr w:type="spellEnd"/>
            <w:r>
              <w:rPr>
                <w:rFonts w:ascii="Calibri" w:hAnsi="Calibri" w:cs="Calibri"/>
                <w:color w:val="000000"/>
                <w:sz w:val="18"/>
                <w:szCs w:val="18"/>
              </w:rPr>
              <w:t xml:space="preserve"> would be acceptable if it cost no more than pralatrexate, assuming the same duration of treatment.  The PBAC considered that 3 doses of </w:t>
            </w:r>
            <w:proofErr w:type="spellStart"/>
            <w:r>
              <w:rPr>
                <w:rFonts w:ascii="Calibri" w:hAnsi="Calibri" w:cs="Calibri"/>
                <w:color w:val="000000"/>
                <w:sz w:val="18"/>
                <w:szCs w:val="18"/>
              </w:rPr>
              <w:t>romidepsin</w:t>
            </w:r>
            <w:proofErr w:type="spellEnd"/>
            <w:r>
              <w:rPr>
                <w:rFonts w:ascii="Calibri" w:hAnsi="Calibri" w:cs="Calibri"/>
                <w:color w:val="000000"/>
                <w:sz w:val="18"/>
                <w:szCs w:val="18"/>
              </w:rPr>
              <w:t xml:space="preserve"> at 14 mg/m2 every 28-day cycle for 3.5 months (3.80 cycles) would be equivalent to 6 doses of pralatrexate at 30 mg/m2 every 49-day cycle for 3.5 months (2.17 cycles).</w:t>
            </w:r>
            <w:r>
              <w:rPr>
                <w:rFonts w:ascii="Calibri" w:hAnsi="Calibri" w:cs="Calibri"/>
                <w:color w:val="000000"/>
                <w:sz w:val="18"/>
                <w:szCs w:val="18"/>
              </w:rPr>
              <w:br/>
            </w:r>
            <w:r>
              <w:rPr>
                <w:rFonts w:ascii="Calibri" w:hAnsi="Calibri" w:cs="Calibri"/>
                <w:color w:val="000000"/>
                <w:sz w:val="18"/>
                <w:szCs w:val="18"/>
              </w:rPr>
              <w:br/>
              <w:t xml:space="preserve">The PBAC noted that flow on changes to the existing pralatrexate listings would be required to prevent use of </w:t>
            </w:r>
            <w:proofErr w:type="spellStart"/>
            <w:r>
              <w:rPr>
                <w:rFonts w:ascii="Calibri" w:hAnsi="Calibri" w:cs="Calibri"/>
                <w:color w:val="000000"/>
                <w:sz w:val="18"/>
                <w:szCs w:val="18"/>
              </w:rPr>
              <w:t>romidepsin</w:t>
            </w:r>
            <w:proofErr w:type="spellEnd"/>
            <w:r>
              <w:rPr>
                <w:rFonts w:ascii="Calibri" w:hAnsi="Calibri" w:cs="Calibri"/>
                <w:color w:val="000000"/>
                <w:sz w:val="18"/>
                <w:szCs w:val="18"/>
              </w:rPr>
              <w:t xml:space="preserve"> and pralatrexate in combination for this condition. </w:t>
            </w:r>
          </w:p>
        </w:tc>
      </w:tr>
      <w:tr w:rsidR="00C312E5" w:rsidRPr="00544E10" w14:paraId="33464C84" w14:textId="77777777" w:rsidTr="003921D1">
        <w:trPr>
          <w:cantSplit/>
          <w:trHeight w:val="868"/>
        </w:trPr>
        <w:tc>
          <w:tcPr>
            <w:tcW w:w="294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CD4383E" w14:textId="03AE2C0B" w:rsidR="00BC4BA6" w:rsidRPr="005F21D6" w:rsidRDefault="00BC4BA6" w:rsidP="00BC4BA6">
            <w:pPr>
              <w:jc w:val="center"/>
              <w:rPr>
                <w:rFonts w:asciiTheme="minorHAnsi" w:hAnsiTheme="minorHAnsi" w:cstheme="minorHAnsi"/>
                <w:color w:val="000000"/>
                <w:szCs w:val="20"/>
              </w:rPr>
            </w:pPr>
            <w:r w:rsidRPr="00BF7130">
              <w:rPr>
                <w:rFonts w:ascii="Calibri" w:hAnsi="Calibri" w:cs="Calibri"/>
                <w:color w:val="000000"/>
                <w:sz w:val="18"/>
                <w:szCs w:val="18"/>
              </w:rPr>
              <w:t>RUXOLITINIB</w:t>
            </w:r>
            <w:r>
              <w:rPr>
                <w:rFonts w:ascii="Calibri" w:hAnsi="Calibri" w:cs="Calibri"/>
                <w:color w:val="000000"/>
                <w:sz w:val="18"/>
                <w:szCs w:val="18"/>
              </w:rPr>
              <w:br/>
            </w:r>
            <w:r>
              <w:rPr>
                <w:rFonts w:ascii="Calibri" w:hAnsi="Calibri" w:cs="Calibri"/>
                <w:color w:val="000000"/>
                <w:sz w:val="18"/>
                <w:szCs w:val="18"/>
              </w:rPr>
              <w:br/>
              <w:t>Tablet 5 mg</w:t>
            </w:r>
            <w:r>
              <w:rPr>
                <w:rFonts w:ascii="Calibri" w:hAnsi="Calibri" w:cs="Calibri"/>
                <w:color w:val="000000"/>
                <w:sz w:val="18"/>
                <w:szCs w:val="18"/>
              </w:rPr>
              <w:br/>
              <w:t>Tablet 10 mg</w:t>
            </w:r>
            <w:r>
              <w:rPr>
                <w:rFonts w:ascii="Calibri" w:hAnsi="Calibri" w:cs="Calibri"/>
                <w:color w:val="000000"/>
                <w:sz w:val="18"/>
                <w:szCs w:val="18"/>
              </w:rPr>
              <w:br/>
              <w:t>Tablet 15 mg</w:t>
            </w:r>
            <w:r>
              <w:rPr>
                <w:rFonts w:ascii="Calibri" w:hAnsi="Calibri" w:cs="Calibri"/>
                <w:color w:val="000000"/>
                <w:sz w:val="18"/>
                <w:szCs w:val="18"/>
              </w:rPr>
              <w:br/>
              <w:t>Tablet 20 mg</w:t>
            </w:r>
            <w:r>
              <w:rPr>
                <w:rFonts w:ascii="Calibri" w:hAnsi="Calibri" w:cs="Calibri"/>
                <w:color w:val="000000"/>
                <w:sz w:val="18"/>
                <w:szCs w:val="18"/>
              </w:rPr>
              <w:br/>
            </w:r>
            <w:r>
              <w:rPr>
                <w:rFonts w:ascii="Calibri" w:hAnsi="Calibri" w:cs="Calibri"/>
                <w:color w:val="000000"/>
                <w:sz w:val="18"/>
                <w:szCs w:val="18"/>
              </w:rPr>
              <w:br/>
            </w:r>
            <w:proofErr w:type="spellStart"/>
            <w:r>
              <w:rPr>
                <w:rFonts w:ascii="Calibri" w:hAnsi="Calibri" w:cs="Calibri"/>
                <w:color w:val="000000"/>
                <w:sz w:val="18"/>
                <w:szCs w:val="18"/>
              </w:rPr>
              <w:t>Jakavi</w:t>
            </w:r>
            <w:proofErr w:type="spellEnd"/>
            <w:r>
              <w:rPr>
                <w:rFonts w:ascii="Calibri" w:hAnsi="Calibri" w:cs="Calibri"/>
                <w:color w:val="000000"/>
                <w:sz w:val="18"/>
                <w:szCs w:val="18"/>
              </w:rPr>
              <w:t>®</w:t>
            </w:r>
            <w:r>
              <w:rPr>
                <w:rFonts w:ascii="Calibri" w:hAnsi="Calibri" w:cs="Calibri"/>
                <w:color w:val="000000"/>
                <w:sz w:val="18"/>
                <w:szCs w:val="18"/>
              </w:rPr>
              <w:br/>
            </w:r>
            <w:r>
              <w:rPr>
                <w:rFonts w:ascii="Calibri" w:hAnsi="Calibri" w:cs="Calibri"/>
                <w:color w:val="000000"/>
                <w:sz w:val="18"/>
                <w:szCs w:val="18"/>
              </w:rPr>
              <w:br/>
              <w:t>NOVARTIS PHARMACEUTICALS AUSTRALIA PTY LIMITED</w:t>
            </w:r>
            <w:r>
              <w:rPr>
                <w:rFonts w:ascii="Calibri" w:hAnsi="Calibri" w:cs="Calibri"/>
                <w:color w:val="000000"/>
                <w:sz w:val="18"/>
                <w:szCs w:val="18"/>
              </w:rPr>
              <w:br/>
            </w:r>
            <w:r>
              <w:rPr>
                <w:rFonts w:ascii="Calibri" w:hAnsi="Calibri" w:cs="Calibri"/>
                <w:color w:val="000000"/>
                <w:sz w:val="18"/>
                <w:szCs w:val="18"/>
              </w:rPr>
              <w:br/>
              <w:t>Category 4</w:t>
            </w:r>
            <w:r>
              <w:rPr>
                <w:rFonts w:ascii="Calibri" w:hAnsi="Calibri" w:cs="Calibri"/>
                <w:color w:val="000000"/>
                <w:sz w:val="18"/>
                <w:szCs w:val="18"/>
              </w:rPr>
              <w:br/>
              <w:t xml:space="preserve">(Change to existing </w:t>
            </w:r>
            <w:r w:rsidR="00957109">
              <w:rPr>
                <w:rFonts w:ascii="Calibri" w:hAnsi="Calibri" w:cs="Calibri"/>
                <w:color w:val="000000"/>
                <w:sz w:val="18"/>
                <w:szCs w:val="18"/>
              </w:rPr>
              <w:t>listing)</w:t>
            </w:r>
            <w:r>
              <w:rPr>
                <w:rFonts w:ascii="Calibri" w:hAnsi="Calibri" w:cs="Calibri"/>
                <w:color w:val="000000"/>
                <w:sz w:val="18"/>
                <w:szCs w:val="18"/>
              </w:rPr>
              <w:br/>
            </w:r>
            <w:r>
              <w:rPr>
                <w:rFonts w:ascii="Calibri" w:hAnsi="Calibri" w:cs="Calibri"/>
                <w:color w:val="000000"/>
                <w:sz w:val="18"/>
                <w:szCs w:val="18"/>
              </w:rPr>
              <w:br/>
              <w:t>PBS General Schedule</w:t>
            </w:r>
          </w:p>
        </w:tc>
        <w:tc>
          <w:tcPr>
            <w:tcW w:w="1983" w:type="dxa"/>
            <w:tcBorders>
              <w:top w:val="single" w:sz="4" w:space="0" w:color="auto"/>
              <w:left w:val="single" w:sz="4" w:space="0" w:color="auto"/>
              <w:bottom w:val="single" w:sz="4" w:space="0" w:color="auto"/>
              <w:right w:val="single" w:sz="4" w:space="0" w:color="auto"/>
            </w:tcBorders>
            <w:vAlign w:val="center"/>
          </w:tcPr>
          <w:p w14:paraId="747EACB0" w14:textId="328C332F" w:rsidR="00BC4BA6" w:rsidRPr="005F21D6" w:rsidRDefault="00BC4BA6" w:rsidP="00BC4BA6">
            <w:pPr>
              <w:jc w:val="center"/>
              <w:rPr>
                <w:rFonts w:asciiTheme="minorHAnsi" w:hAnsiTheme="minorHAnsi" w:cstheme="minorHAnsi"/>
                <w:color w:val="000000"/>
                <w:sz w:val="18"/>
                <w:szCs w:val="18"/>
              </w:rPr>
            </w:pPr>
            <w:r>
              <w:rPr>
                <w:rFonts w:ascii="Calibri" w:hAnsi="Calibri" w:cs="Calibri"/>
                <w:color w:val="000000"/>
                <w:sz w:val="18"/>
                <w:szCs w:val="18"/>
              </w:rPr>
              <w:t>Myelofibrosis</w:t>
            </w:r>
            <w:r>
              <w:rPr>
                <w:rFonts w:ascii="Calibri" w:hAnsi="Calibri" w:cs="Calibri"/>
                <w:color w:val="000000"/>
                <w:sz w:val="18"/>
                <w:szCs w:val="18"/>
              </w:rPr>
              <w:br/>
              <w:t>Graft versus host disease</w:t>
            </w:r>
            <w:r>
              <w:rPr>
                <w:rFonts w:ascii="Calibri" w:hAnsi="Calibri" w:cs="Calibri"/>
                <w:color w:val="000000"/>
                <w:sz w:val="18"/>
                <w:szCs w:val="18"/>
              </w:rPr>
              <w:br/>
            </w:r>
            <w:proofErr w:type="spellStart"/>
            <w:r>
              <w:rPr>
                <w:rFonts w:ascii="Calibri" w:hAnsi="Calibri" w:cs="Calibri"/>
                <w:color w:val="000000"/>
                <w:sz w:val="18"/>
                <w:szCs w:val="18"/>
              </w:rPr>
              <w:t>Polycythemia</w:t>
            </w:r>
            <w:proofErr w:type="spellEnd"/>
            <w:r>
              <w:rPr>
                <w:rFonts w:ascii="Calibri" w:hAnsi="Calibri" w:cs="Calibri"/>
                <w:color w:val="000000"/>
                <w:sz w:val="18"/>
                <w:szCs w:val="18"/>
              </w:rPr>
              <w:t xml:space="preserve"> vera </w:t>
            </w:r>
          </w:p>
        </w:tc>
        <w:tc>
          <w:tcPr>
            <w:tcW w:w="238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AB3DA0B" w14:textId="47944FE4" w:rsidR="00BC4BA6" w:rsidRPr="005F21D6" w:rsidRDefault="00BC4BA6" w:rsidP="00BC4BA6">
            <w:pPr>
              <w:jc w:val="center"/>
              <w:rPr>
                <w:rFonts w:asciiTheme="minorHAnsi" w:hAnsiTheme="minorHAnsi" w:cstheme="minorHAnsi"/>
                <w:color w:val="000000"/>
                <w:sz w:val="18"/>
                <w:szCs w:val="18"/>
              </w:rPr>
            </w:pPr>
            <w:r>
              <w:rPr>
                <w:rFonts w:ascii="Calibri" w:hAnsi="Calibri" w:cs="Calibri"/>
                <w:color w:val="000000"/>
                <w:sz w:val="18"/>
                <w:szCs w:val="18"/>
              </w:rPr>
              <w:t>To request a change to all existing listings of ruxolitinib for all indications to allow prescribing by nurse practitioners.</w:t>
            </w:r>
            <w:r>
              <w:rPr>
                <w:rFonts w:ascii="Calibri" w:hAnsi="Calibri" w:cs="Calibri"/>
                <w:color w:val="000000"/>
                <w:sz w:val="18"/>
                <w:szCs w:val="18"/>
              </w:rPr>
              <w:br/>
            </w:r>
            <w:r>
              <w:rPr>
                <w:rFonts w:ascii="Calibri" w:hAnsi="Calibri" w:cs="Calibri"/>
                <w:color w:val="000000"/>
                <w:sz w:val="18"/>
                <w:szCs w:val="18"/>
              </w:rPr>
              <w:br/>
              <w:t xml:space="preserve">Authority Required </w:t>
            </w:r>
          </w:p>
        </w:tc>
        <w:tc>
          <w:tcPr>
            <w:tcW w:w="1415" w:type="dxa"/>
            <w:vAlign w:val="center"/>
          </w:tcPr>
          <w:p w14:paraId="20C0A673" w14:textId="1FC9B20D" w:rsidR="00BC4BA6" w:rsidRPr="00544E10" w:rsidRDefault="00BC4BA6" w:rsidP="00D428AC">
            <w:pPr>
              <w:ind w:left="11"/>
              <w:contextualSpacing/>
              <w:jc w:val="center"/>
              <w:rPr>
                <w:rFonts w:asciiTheme="minorHAnsi" w:hAnsiTheme="minorHAnsi" w:cstheme="minorHAnsi"/>
                <w:color w:val="000000" w:themeColor="text1"/>
                <w:sz w:val="18"/>
                <w:szCs w:val="18"/>
              </w:rPr>
            </w:pPr>
            <w:r>
              <w:rPr>
                <w:rFonts w:ascii="Calibri" w:hAnsi="Calibri" w:cs="Calibri"/>
                <w:color w:val="000000"/>
                <w:sz w:val="18"/>
                <w:szCs w:val="18"/>
              </w:rPr>
              <w:t>Recommended</w:t>
            </w:r>
          </w:p>
        </w:tc>
        <w:tc>
          <w:tcPr>
            <w:tcW w:w="4729" w:type="dxa"/>
            <w:vAlign w:val="center"/>
          </w:tcPr>
          <w:p w14:paraId="0D1D59B6" w14:textId="77777777" w:rsidR="00B30F88" w:rsidRPr="00B30F88" w:rsidRDefault="00BC4BA6" w:rsidP="00B30F88">
            <w:pPr>
              <w:ind w:left="11"/>
              <w:contextualSpacing/>
              <w:rPr>
                <w:rFonts w:ascii="Calibri" w:hAnsi="Calibri" w:cs="Calibri"/>
                <w:color w:val="000000"/>
                <w:sz w:val="18"/>
                <w:szCs w:val="18"/>
              </w:rPr>
            </w:pPr>
            <w:r>
              <w:rPr>
                <w:rFonts w:ascii="Calibri" w:hAnsi="Calibri" w:cs="Calibri"/>
                <w:color w:val="000000"/>
                <w:sz w:val="18"/>
                <w:szCs w:val="18"/>
              </w:rPr>
              <w:t xml:space="preserve">The PBAC recommended the addition of nurse practitioners (NPs) </w:t>
            </w:r>
            <w:r w:rsidR="00B30F88" w:rsidRPr="00B30F88">
              <w:rPr>
                <w:rFonts w:ascii="Calibri" w:hAnsi="Calibri" w:cs="Calibri"/>
                <w:color w:val="000000"/>
                <w:sz w:val="18"/>
                <w:szCs w:val="18"/>
              </w:rPr>
              <w:t>as authorised prescribers for ruxolitinib on</w:t>
            </w:r>
            <w:r>
              <w:rPr>
                <w:rFonts w:ascii="Calibri" w:hAnsi="Calibri" w:cs="Calibri"/>
                <w:color w:val="000000"/>
                <w:sz w:val="18"/>
                <w:szCs w:val="18"/>
              </w:rPr>
              <w:t xml:space="preserve"> Pharmaceutical Benefits Scheme (PBS</w:t>
            </w:r>
            <w:r w:rsidR="00B30F88" w:rsidRPr="00B30F88">
              <w:rPr>
                <w:rFonts w:ascii="Calibri" w:hAnsi="Calibri" w:cs="Calibri"/>
                <w:color w:val="000000"/>
                <w:sz w:val="18"/>
                <w:szCs w:val="18"/>
              </w:rPr>
              <w:t>),</w:t>
            </w:r>
            <w:r>
              <w:rPr>
                <w:rFonts w:ascii="Calibri" w:hAnsi="Calibri" w:cs="Calibri"/>
                <w:color w:val="000000"/>
                <w:sz w:val="18"/>
                <w:szCs w:val="18"/>
              </w:rPr>
              <w:t xml:space="preserve"> in the continuing treatment phase </w:t>
            </w:r>
            <w:r w:rsidR="00B30F88" w:rsidRPr="00B30F88">
              <w:rPr>
                <w:rFonts w:ascii="Calibri" w:hAnsi="Calibri" w:cs="Calibri"/>
                <w:color w:val="000000"/>
                <w:sz w:val="18"/>
                <w:szCs w:val="18"/>
              </w:rPr>
              <w:t xml:space="preserve">of all current indications. </w:t>
            </w:r>
          </w:p>
          <w:p w14:paraId="3A075184" w14:textId="77777777" w:rsidR="00B30F88" w:rsidRPr="00B30F88" w:rsidRDefault="00BC4BA6" w:rsidP="00B30F88">
            <w:pPr>
              <w:ind w:left="11"/>
              <w:contextualSpacing/>
              <w:rPr>
                <w:rFonts w:ascii="Calibri" w:hAnsi="Calibri" w:cs="Calibri"/>
                <w:color w:val="000000"/>
                <w:sz w:val="18"/>
                <w:szCs w:val="18"/>
              </w:rPr>
            </w:pPr>
            <w:r>
              <w:rPr>
                <w:rFonts w:ascii="Calibri" w:hAnsi="Calibri" w:cs="Calibri"/>
                <w:color w:val="000000"/>
                <w:sz w:val="18"/>
                <w:szCs w:val="18"/>
              </w:rPr>
              <w:t>The PBAC noted and welcomed input from a health care professional. The PBAC acknowledged the key role of nurse practitioners in patient care.</w:t>
            </w:r>
          </w:p>
          <w:p w14:paraId="45CF09D9" w14:textId="77777777" w:rsidR="00B30F88" w:rsidRPr="00B30F88" w:rsidRDefault="00BC4BA6" w:rsidP="00B30F88">
            <w:pPr>
              <w:ind w:left="11"/>
              <w:contextualSpacing/>
              <w:rPr>
                <w:rFonts w:ascii="Calibri" w:hAnsi="Calibri" w:cs="Calibri"/>
                <w:color w:val="000000"/>
                <w:sz w:val="18"/>
                <w:szCs w:val="18"/>
              </w:rPr>
            </w:pPr>
            <w:r>
              <w:rPr>
                <w:rFonts w:ascii="Calibri" w:hAnsi="Calibri" w:cs="Calibri"/>
                <w:color w:val="000000"/>
                <w:sz w:val="18"/>
                <w:szCs w:val="18"/>
              </w:rPr>
              <w:t xml:space="preserve">In its consideration, the PBAC recalled its July 2025 review of General Schedule oncology and haematology medicines, and whether these should be eligible for NP prescribing. Ruxolitinib was not considered at this meeting as it had not been identified for review by stakeholders. For oncological or haematological conditions in general, the PBAC considered that the clinical work up required for a diagnosis and differential diagnosis may be complex and likely require that a patient’s care be overseen by an oncologist or haematologist. </w:t>
            </w:r>
          </w:p>
          <w:p w14:paraId="32B99BF4" w14:textId="77777777" w:rsidR="00B30F88" w:rsidRPr="00B30F88" w:rsidRDefault="00BC4BA6" w:rsidP="00B30F88">
            <w:pPr>
              <w:ind w:left="11"/>
              <w:contextualSpacing/>
              <w:rPr>
                <w:rFonts w:ascii="Calibri" w:hAnsi="Calibri" w:cs="Calibri"/>
                <w:color w:val="000000"/>
                <w:sz w:val="18"/>
                <w:szCs w:val="18"/>
              </w:rPr>
            </w:pPr>
            <w:r>
              <w:rPr>
                <w:rFonts w:ascii="Calibri" w:hAnsi="Calibri" w:cs="Calibri"/>
                <w:color w:val="000000"/>
                <w:sz w:val="18"/>
                <w:szCs w:val="18"/>
              </w:rPr>
              <w:t xml:space="preserve">As such, the PBAC was of a view that limiting NP prescribing to continuing therapy with a specific medicine was more suitable, rather than allowing NP prescribing in both initiation and continuing settings. It considered that NPs sharing patient care with a medical practitioner would assist in mitigating potential risks. </w:t>
            </w:r>
          </w:p>
          <w:p w14:paraId="19BE4413" w14:textId="6D4B0E19" w:rsidR="00BC4BA6" w:rsidRPr="00B30F88" w:rsidRDefault="00BC4BA6" w:rsidP="00D428AC">
            <w:pPr>
              <w:ind w:left="11"/>
              <w:contextualSpacing/>
              <w:rPr>
                <w:rFonts w:ascii="Calibri" w:hAnsi="Calibri" w:cs="Calibri"/>
                <w:color w:val="000000"/>
                <w:sz w:val="18"/>
                <w:szCs w:val="18"/>
              </w:rPr>
            </w:pPr>
            <w:r>
              <w:rPr>
                <w:rFonts w:ascii="Calibri" w:hAnsi="Calibri" w:cs="Calibri"/>
                <w:color w:val="000000"/>
                <w:sz w:val="18"/>
                <w:szCs w:val="18"/>
              </w:rPr>
              <w:t xml:space="preserve">In its current decision, the PBAC advised that listing for ruxolitinib should follow precedent for other NP prescribing items for other haematological drugs. The PBAC considered that its decision would be no additional cost to the PBS. </w:t>
            </w:r>
          </w:p>
        </w:tc>
      </w:tr>
      <w:tr w:rsidR="00C312E5" w:rsidRPr="00544E10" w14:paraId="63879A9C" w14:textId="77777777" w:rsidTr="003921D1">
        <w:trPr>
          <w:cantSplit/>
          <w:trHeight w:val="868"/>
        </w:trPr>
        <w:tc>
          <w:tcPr>
            <w:tcW w:w="294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AF245F6" w14:textId="5FE187F4" w:rsidR="004D7F10" w:rsidRPr="005F21D6" w:rsidRDefault="004D7F10" w:rsidP="004D7F10">
            <w:pPr>
              <w:jc w:val="center"/>
              <w:rPr>
                <w:rFonts w:asciiTheme="minorHAnsi" w:hAnsiTheme="minorHAnsi" w:cstheme="minorHAnsi"/>
                <w:color w:val="000000"/>
                <w:szCs w:val="20"/>
              </w:rPr>
            </w:pPr>
            <w:r>
              <w:rPr>
                <w:rFonts w:ascii="Calibri" w:hAnsi="Calibri" w:cs="Calibri"/>
                <w:color w:val="000000"/>
                <w:sz w:val="18"/>
                <w:szCs w:val="18"/>
              </w:rPr>
              <w:t>SARS-CoV-2 mRNA</w:t>
            </w:r>
            <w:r>
              <w:rPr>
                <w:rFonts w:ascii="Calibri" w:hAnsi="Calibri" w:cs="Calibri"/>
                <w:color w:val="000000"/>
                <w:sz w:val="18"/>
                <w:szCs w:val="18"/>
              </w:rPr>
              <w:br/>
            </w:r>
            <w:r>
              <w:rPr>
                <w:rFonts w:ascii="Calibri" w:hAnsi="Calibri" w:cs="Calibri"/>
                <w:color w:val="000000"/>
                <w:sz w:val="18"/>
                <w:szCs w:val="18"/>
              </w:rPr>
              <w:br/>
              <w:t>Injection (0.5mL)</w:t>
            </w:r>
            <w:r>
              <w:rPr>
                <w:rFonts w:ascii="Calibri" w:hAnsi="Calibri" w:cs="Calibri"/>
                <w:color w:val="000000"/>
                <w:sz w:val="18"/>
                <w:szCs w:val="18"/>
              </w:rPr>
              <w:br/>
            </w:r>
            <w:r>
              <w:rPr>
                <w:rFonts w:ascii="Calibri" w:hAnsi="Calibri" w:cs="Calibri"/>
                <w:color w:val="000000"/>
                <w:sz w:val="18"/>
                <w:szCs w:val="18"/>
              </w:rPr>
              <w:br/>
            </w:r>
            <w:r>
              <w:rPr>
                <w:rFonts w:ascii="Calibri" w:hAnsi="Calibri" w:cs="Calibri"/>
                <w:color w:val="000000"/>
                <w:sz w:val="18"/>
                <w:szCs w:val="18"/>
              </w:rPr>
              <w:br/>
              <w:t xml:space="preserve"> Spikevax®</w:t>
            </w:r>
            <w:r>
              <w:rPr>
                <w:rFonts w:ascii="Calibri" w:hAnsi="Calibri" w:cs="Calibri"/>
                <w:color w:val="000000"/>
                <w:sz w:val="18"/>
                <w:szCs w:val="18"/>
              </w:rPr>
              <w:br/>
            </w:r>
            <w:r>
              <w:rPr>
                <w:rFonts w:ascii="Calibri" w:hAnsi="Calibri" w:cs="Calibri"/>
                <w:color w:val="000000"/>
                <w:sz w:val="18"/>
                <w:szCs w:val="18"/>
              </w:rPr>
              <w:br/>
              <w:t>MODERNA AUSTRALIA PTY LTD</w:t>
            </w:r>
            <w:r>
              <w:rPr>
                <w:rFonts w:ascii="Calibri" w:hAnsi="Calibri" w:cs="Calibri"/>
                <w:color w:val="000000"/>
                <w:sz w:val="18"/>
                <w:szCs w:val="18"/>
              </w:rPr>
              <w:br/>
            </w:r>
            <w:r>
              <w:rPr>
                <w:rFonts w:ascii="Calibri" w:hAnsi="Calibri" w:cs="Calibri"/>
                <w:color w:val="000000"/>
                <w:sz w:val="18"/>
                <w:szCs w:val="18"/>
              </w:rPr>
              <w:br/>
              <w:t>Category 2</w:t>
            </w:r>
            <w:r>
              <w:rPr>
                <w:rFonts w:ascii="Calibri" w:hAnsi="Calibri" w:cs="Calibri"/>
                <w:color w:val="000000"/>
                <w:sz w:val="18"/>
                <w:szCs w:val="18"/>
              </w:rPr>
              <w:br/>
              <w:t xml:space="preserve">(New NIP </w:t>
            </w:r>
            <w:r w:rsidR="00957109">
              <w:rPr>
                <w:rFonts w:ascii="Calibri" w:hAnsi="Calibri" w:cs="Calibri"/>
                <w:color w:val="000000"/>
                <w:sz w:val="18"/>
                <w:szCs w:val="18"/>
              </w:rPr>
              <w:t>listing)</w:t>
            </w:r>
          </w:p>
        </w:tc>
        <w:tc>
          <w:tcPr>
            <w:tcW w:w="1983" w:type="dxa"/>
            <w:tcBorders>
              <w:top w:val="single" w:sz="4" w:space="0" w:color="auto"/>
              <w:left w:val="single" w:sz="4" w:space="0" w:color="auto"/>
              <w:bottom w:val="single" w:sz="4" w:space="0" w:color="auto"/>
              <w:right w:val="single" w:sz="4" w:space="0" w:color="auto"/>
            </w:tcBorders>
            <w:vAlign w:val="center"/>
          </w:tcPr>
          <w:p w14:paraId="2B72B853" w14:textId="3D851399" w:rsidR="004D7F10" w:rsidRPr="005F21D6" w:rsidRDefault="004D7F10" w:rsidP="004D7F10">
            <w:pPr>
              <w:jc w:val="center"/>
              <w:rPr>
                <w:rFonts w:asciiTheme="minorHAnsi" w:hAnsiTheme="minorHAnsi" w:cstheme="minorHAnsi"/>
                <w:color w:val="000000"/>
                <w:sz w:val="18"/>
                <w:szCs w:val="18"/>
              </w:rPr>
            </w:pPr>
            <w:r>
              <w:rPr>
                <w:rFonts w:ascii="Calibri" w:hAnsi="Calibri" w:cs="Calibri"/>
                <w:color w:val="000000"/>
                <w:sz w:val="18"/>
                <w:szCs w:val="18"/>
              </w:rPr>
              <w:t>Prevention of coronavirus disease 2019 (COVID-19) caused by SARS-CoV-2</w:t>
            </w:r>
          </w:p>
        </w:tc>
        <w:tc>
          <w:tcPr>
            <w:tcW w:w="238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B160657" w14:textId="354DADF9" w:rsidR="004D7F10" w:rsidRPr="005F21D6" w:rsidRDefault="004D7F10" w:rsidP="004D7F10">
            <w:pPr>
              <w:jc w:val="center"/>
              <w:rPr>
                <w:rFonts w:asciiTheme="minorHAnsi" w:hAnsiTheme="minorHAnsi" w:cstheme="minorHAnsi"/>
                <w:color w:val="000000"/>
                <w:sz w:val="18"/>
                <w:szCs w:val="18"/>
              </w:rPr>
            </w:pPr>
            <w:r>
              <w:rPr>
                <w:rFonts w:ascii="Calibri" w:hAnsi="Calibri" w:cs="Calibri"/>
                <w:color w:val="000000"/>
                <w:sz w:val="18"/>
                <w:szCs w:val="18"/>
              </w:rPr>
              <w:t>To request a National Immunisation Program (NIP) listing for the prevention of coronavirus disease 2019 (COVID-19) in individuals aged 18 years and older who have specific medical conditions that increase their risk of severe COVID-19.</w:t>
            </w:r>
          </w:p>
        </w:tc>
        <w:tc>
          <w:tcPr>
            <w:tcW w:w="1415" w:type="dxa"/>
            <w:vAlign w:val="center"/>
          </w:tcPr>
          <w:p w14:paraId="46FE2EAB" w14:textId="67312D87" w:rsidR="004D7F10" w:rsidRPr="006676C8" w:rsidRDefault="005A1EB6" w:rsidP="00D428AC">
            <w:pPr>
              <w:ind w:left="11"/>
              <w:contextualSpacing/>
              <w:jc w:val="center"/>
              <w:rPr>
                <w:rFonts w:ascii="Calibri" w:hAnsi="Calibri" w:cs="Calibri"/>
                <w:color w:val="000000" w:themeColor="text1"/>
                <w:sz w:val="18"/>
                <w:szCs w:val="18"/>
              </w:rPr>
            </w:pPr>
            <w:r w:rsidRPr="006676C8">
              <w:rPr>
                <w:rFonts w:ascii="Calibri" w:hAnsi="Calibri" w:cs="Calibri"/>
                <w:color w:val="000000" w:themeColor="text1"/>
                <w:sz w:val="18"/>
                <w:szCs w:val="18"/>
              </w:rPr>
              <w:t>Not Applicable</w:t>
            </w:r>
          </w:p>
        </w:tc>
        <w:tc>
          <w:tcPr>
            <w:tcW w:w="4729" w:type="dxa"/>
            <w:vAlign w:val="center"/>
          </w:tcPr>
          <w:p w14:paraId="205121BA" w14:textId="3F95489F" w:rsidR="004D7F10" w:rsidRPr="006676C8" w:rsidRDefault="005A1EB6" w:rsidP="00D428AC">
            <w:pPr>
              <w:ind w:left="11"/>
              <w:contextualSpacing/>
              <w:rPr>
                <w:rFonts w:ascii="Calibri" w:hAnsi="Calibri" w:cs="Calibri"/>
                <w:color w:val="000000" w:themeColor="text1"/>
                <w:sz w:val="18"/>
                <w:szCs w:val="18"/>
              </w:rPr>
            </w:pPr>
            <w:r w:rsidRPr="006676C8">
              <w:rPr>
                <w:rFonts w:ascii="Calibri" w:hAnsi="Calibri" w:cs="Calibri"/>
                <w:color w:val="000000" w:themeColor="text1"/>
                <w:sz w:val="18"/>
                <w:szCs w:val="18"/>
              </w:rPr>
              <w:t>The PBAC recommendation cannot be made public until the TGA outcome is known.</w:t>
            </w:r>
          </w:p>
        </w:tc>
      </w:tr>
      <w:tr w:rsidR="00C312E5" w:rsidRPr="00544E10" w14:paraId="3D36277E" w14:textId="77777777" w:rsidTr="003921D1">
        <w:trPr>
          <w:cantSplit/>
          <w:trHeight w:val="868"/>
        </w:trPr>
        <w:tc>
          <w:tcPr>
            <w:tcW w:w="294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4433BCB" w14:textId="563322D5" w:rsidR="004D7F10" w:rsidRPr="005F21D6" w:rsidRDefault="004D7F10" w:rsidP="004D7F10">
            <w:pPr>
              <w:jc w:val="center"/>
              <w:rPr>
                <w:rFonts w:asciiTheme="minorHAnsi" w:hAnsiTheme="minorHAnsi" w:cstheme="minorHAnsi"/>
                <w:color w:val="000000"/>
                <w:szCs w:val="20"/>
              </w:rPr>
            </w:pPr>
            <w:r>
              <w:rPr>
                <w:rFonts w:ascii="Calibri" w:hAnsi="Calibri" w:cs="Calibri"/>
                <w:color w:val="000000"/>
                <w:sz w:val="18"/>
                <w:szCs w:val="18"/>
              </w:rPr>
              <w:t>SELPERCATINIB</w:t>
            </w:r>
            <w:r>
              <w:rPr>
                <w:rFonts w:ascii="Calibri" w:hAnsi="Calibri" w:cs="Calibri"/>
                <w:color w:val="000000"/>
                <w:sz w:val="18"/>
                <w:szCs w:val="18"/>
              </w:rPr>
              <w:br/>
            </w:r>
            <w:r>
              <w:rPr>
                <w:rFonts w:ascii="Calibri" w:hAnsi="Calibri" w:cs="Calibri"/>
                <w:color w:val="000000"/>
                <w:sz w:val="18"/>
                <w:szCs w:val="18"/>
              </w:rPr>
              <w:br/>
              <w:t>Capsule 40 mg</w:t>
            </w:r>
            <w:r>
              <w:rPr>
                <w:rFonts w:ascii="Calibri" w:hAnsi="Calibri" w:cs="Calibri"/>
                <w:color w:val="000000"/>
                <w:sz w:val="18"/>
                <w:szCs w:val="18"/>
              </w:rPr>
              <w:br/>
              <w:t>Capsule 80 mg</w:t>
            </w:r>
            <w:r>
              <w:rPr>
                <w:rFonts w:ascii="Calibri" w:hAnsi="Calibri" w:cs="Calibri"/>
                <w:color w:val="000000"/>
                <w:sz w:val="18"/>
                <w:szCs w:val="18"/>
              </w:rPr>
              <w:br/>
            </w:r>
            <w:r>
              <w:rPr>
                <w:rFonts w:ascii="Calibri" w:hAnsi="Calibri" w:cs="Calibri"/>
                <w:color w:val="000000"/>
                <w:sz w:val="18"/>
                <w:szCs w:val="18"/>
              </w:rPr>
              <w:br/>
            </w:r>
            <w:proofErr w:type="spellStart"/>
            <w:r>
              <w:rPr>
                <w:rFonts w:ascii="Calibri" w:hAnsi="Calibri" w:cs="Calibri"/>
                <w:color w:val="000000"/>
                <w:sz w:val="18"/>
                <w:szCs w:val="18"/>
              </w:rPr>
              <w:t>Retevmo</w:t>
            </w:r>
            <w:proofErr w:type="spellEnd"/>
            <w:r>
              <w:rPr>
                <w:rFonts w:ascii="Calibri" w:hAnsi="Calibri" w:cs="Calibri"/>
                <w:color w:val="000000"/>
                <w:sz w:val="18"/>
                <w:szCs w:val="18"/>
              </w:rPr>
              <w:t>®</w:t>
            </w:r>
            <w:r>
              <w:rPr>
                <w:rFonts w:ascii="Calibri" w:hAnsi="Calibri" w:cs="Calibri"/>
                <w:color w:val="000000"/>
                <w:sz w:val="18"/>
                <w:szCs w:val="18"/>
              </w:rPr>
              <w:br/>
            </w:r>
            <w:r>
              <w:rPr>
                <w:rFonts w:ascii="Calibri" w:hAnsi="Calibri" w:cs="Calibri"/>
                <w:color w:val="000000"/>
                <w:sz w:val="18"/>
                <w:szCs w:val="18"/>
              </w:rPr>
              <w:br/>
              <w:t>ELI LILLY AUSTRALIA PTY LTD</w:t>
            </w:r>
            <w:r>
              <w:rPr>
                <w:rFonts w:ascii="Calibri" w:hAnsi="Calibri" w:cs="Calibri"/>
                <w:color w:val="000000"/>
                <w:sz w:val="18"/>
                <w:szCs w:val="18"/>
              </w:rPr>
              <w:br/>
            </w:r>
            <w:r>
              <w:rPr>
                <w:rFonts w:ascii="Calibri" w:hAnsi="Calibri" w:cs="Calibri"/>
                <w:color w:val="000000"/>
                <w:sz w:val="18"/>
                <w:szCs w:val="18"/>
              </w:rPr>
              <w:br/>
              <w:t>Category 1</w:t>
            </w:r>
            <w:r>
              <w:rPr>
                <w:rFonts w:ascii="Calibri" w:hAnsi="Calibri" w:cs="Calibri"/>
                <w:color w:val="000000"/>
                <w:sz w:val="18"/>
                <w:szCs w:val="18"/>
              </w:rPr>
              <w:br/>
              <w:t xml:space="preserve">(Change to existing </w:t>
            </w:r>
            <w:r w:rsidR="00957109">
              <w:rPr>
                <w:rFonts w:ascii="Calibri" w:hAnsi="Calibri" w:cs="Calibri"/>
                <w:color w:val="000000"/>
                <w:sz w:val="18"/>
                <w:szCs w:val="18"/>
              </w:rPr>
              <w:t>listing)</w:t>
            </w:r>
            <w:r>
              <w:rPr>
                <w:rFonts w:ascii="Calibri" w:hAnsi="Calibri" w:cs="Calibri"/>
                <w:color w:val="000000"/>
                <w:sz w:val="18"/>
                <w:szCs w:val="18"/>
              </w:rPr>
              <w:br/>
            </w:r>
            <w:r>
              <w:rPr>
                <w:rFonts w:ascii="Calibri" w:hAnsi="Calibri" w:cs="Calibri"/>
                <w:color w:val="000000"/>
                <w:sz w:val="18"/>
                <w:szCs w:val="18"/>
              </w:rPr>
              <w:br/>
              <w:t>PBS General Schedule</w:t>
            </w:r>
          </w:p>
        </w:tc>
        <w:tc>
          <w:tcPr>
            <w:tcW w:w="1983" w:type="dxa"/>
            <w:tcBorders>
              <w:top w:val="single" w:sz="4" w:space="0" w:color="auto"/>
              <w:left w:val="single" w:sz="4" w:space="0" w:color="auto"/>
              <w:bottom w:val="single" w:sz="4" w:space="0" w:color="auto"/>
              <w:right w:val="single" w:sz="4" w:space="0" w:color="auto"/>
            </w:tcBorders>
            <w:vAlign w:val="center"/>
          </w:tcPr>
          <w:p w14:paraId="0259D4E2" w14:textId="61A82A4A" w:rsidR="004D7F10" w:rsidRPr="005F21D6" w:rsidRDefault="004D7F10" w:rsidP="004D7F10">
            <w:pPr>
              <w:jc w:val="center"/>
              <w:rPr>
                <w:rFonts w:asciiTheme="minorHAnsi" w:hAnsiTheme="minorHAnsi" w:cstheme="minorHAnsi"/>
                <w:color w:val="000000"/>
                <w:sz w:val="18"/>
                <w:szCs w:val="18"/>
              </w:rPr>
            </w:pPr>
            <w:r>
              <w:rPr>
                <w:rFonts w:ascii="Calibri" w:hAnsi="Calibri" w:cs="Calibri"/>
                <w:color w:val="000000"/>
                <w:sz w:val="18"/>
                <w:szCs w:val="18"/>
              </w:rPr>
              <w:t>Medullary thyroid cancer (MTC)</w:t>
            </w:r>
          </w:p>
        </w:tc>
        <w:tc>
          <w:tcPr>
            <w:tcW w:w="238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B48986D" w14:textId="0B6B5604" w:rsidR="004D7F10" w:rsidRPr="005F21D6" w:rsidRDefault="004D7F10" w:rsidP="004D7F10">
            <w:pPr>
              <w:jc w:val="center"/>
              <w:rPr>
                <w:rFonts w:asciiTheme="minorHAnsi" w:hAnsiTheme="minorHAnsi" w:cstheme="minorHAnsi"/>
                <w:color w:val="000000"/>
                <w:sz w:val="18"/>
                <w:szCs w:val="18"/>
              </w:rPr>
            </w:pPr>
            <w:r>
              <w:rPr>
                <w:rFonts w:ascii="Calibri" w:hAnsi="Calibri" w:cs="Calibri"/>
                <w:color w:val="000000"/>
                <w:sz w:val="18"/>
                <w:szCs w:val="18"/>
              </w:rPr>
              <w:t xml:space="preserve">To request listing of </w:t>
            </w:r>
            <w:proofErr w:type="spellStart"/>
            <w:r>
              <w:rPr>
                <w:rFonts w:ascii="Calibri" w:hAnsi="Calibri" w:cs="Calibri"/>
                <w:color w:val="000000"/>
                <w:sz w:val="18"/>
                <w:szCs w:val="18"/>
              </w:rPr>
              <w:t>selpercatinib</w:t>
            </w:r>
            <w:proofErr w:type="spellEnd"/>
            <w:r>
              <w:rPr>
                <w:rFonts w:ascii="Calibri" w:hAnsi="Calibri" w:cs="Calibri"/>
                <w:color w:val="000000"/>
                <w:sz w:val="18"/>
                <w:szCs w:val="18"/>
              </w:rPr>
              <w:t xml:space="preserve"> for the treatment of patients with advanced or metastatic MTC with a rearranged during transfection (RET) mutation.</w:t>
            </w:r>
            <w:r>
              <w:rPr>
                <w:rFonts w:ascii="Calibri" w:hAnsi="Calibri" w:cs="Calibri"/>
                <w:color w:val="000000"/>
                <w:sz w:val="18"/>
                <w:szCs w:val="18"/>
              </w:rPr>
              <w:br/>
            </w:r>
            <w:r>
              <w:rPr>
                <w:rFonts w:ascii="Calibri" w:hAnsi="Calibri" w:cs="Calibri"/>
                <w:color w:val="000000"/>
                <w:sz w:val="18"/>
                <w:szCs w:val="18"/>
              </w:rPr>
              <w:br/>
              <w:t>Authority Required (STREAMLINED)</w:t>
            </w:r>
          </w:p>
        </w:tc>
        <w:tc>
          <w:tcPr>
            <w:tcW w:w="1415" w:type="dxa"/>
            <w:vAlign w:val="center"/>
          </w:tcPr>
          <w:p w14:paraId="3B0C5B87" w14:textId="1ECA9CAE" w:rsidR="004D7F10" w:rsidRPr="00544E10" w:rsidRDefault="00A62E84" w:rsidP="00D428AC">
            <w:pPr>
              <w:ind w:left="11"/>
              <w:contextualSpacing/>
              <w:jc w:val="center"/>
              <w:rPr>
                <w:rFonts w:asciiTheme="minorHAnsi" w:hAnsiTheme="minorHAnsi" w:cstheme="minorHAnsi"/>
                <w:color w:val="000000" w:themeColor="text1"/>
                <w:sz w:val="18"/>
                <w:szCs w:val="18"/>
              </w:rPr>
            </w:pPr>
            <w:r>
              <w:rPr>
                <w:rFonts w:ascii="Calibri" w:hAnsi="Calibri" w:cs="Calibri"/>
                <w:color w:val="000000"/>
                <w:sz w:val="18"/>
                <w:szCs w:val="18"/>
              </w:rPr>
              <w:t>Recommended</w:t>
            </w:r>
          </w:p>
        </w:tc>
        <w:tc>
          <w:tcPr>
            <w:tcW w:w="4729" w:type="dxa"/>
            <w:vAlign w:val="center"/>
          </w:tcPr>
          <w:p w14:paraId="724A31D2" w14:textId="7411FFD7" w:rsidR="00EB06AD" w:rsidRDefault="004D7F10" w:rsidP="00D428AC">
            <w:pPr>
              <w:ind w:left="11"/>
              <w:contextualSpacing/>
              <w:rPr>
                <w:rFonts w:ascii="Calibri" w:hAnsi="Calibri" w:cs="Calibri"/>
                <w:color w:val="000000"/>
                <w:sz w:val="18"/>
                <w:szCs w:val="18"/>
              </w:rPr>
            </w:pPr>
            <w:r>
              <w:rPr>
                <w:rFonts w:ascii="Calibri" w:hAnsi="Calibri" w:cs="Calibri"/>
                <w:color w:val="000000"/>
                <w:sz w:val="18"/>
                <w:szCs w:val="18"/>
              </w:rPr>
              <w:t>The PBAC recommend</w:t>
            </w:r>
            <w:r w:rsidR="00EB06AD">
              <w:rPr>
                <w:rFonts w:ascii="Calibri" w:hAnsi="Calibri" w:cs="Calibri"/>
                <w:color w:val="000000"/>
                <w:sz w:val="18"/>
                <w:szCs w:val="18"/>
              </w:rPr>
              <w:t xml:space="preserve">ed the listing of </w:t>
            </w:r>
            <w:proofErr w:type="spellStart"/>
            <w:r>
              <w:rPr>
                <w:rFonts w:ascii="Calibri" w:hAnsi="Calibri" w:cs="Calibri"/>
                <w:color w:val="000000"/>
                <w:sz w:val="18"/>
                <w:szCs w:val="18"/>
              </w:rPr>
              <w:t>selpercatinib</w:t>
            </w:r>
            <w:proofErr w:type="spellEnd"/>
            <w:r>
              <w:rPr>
                <w:rFonts w:ascii="Calibri" w:hAnsi="Calibri" w:cs="Calibri"/>
                <w:color w:val="000000"/>
                <w:sz w:val="18"/>
                <w:szCs w:val="18"/>
              </w:rPr>
              <w:t xml:space="preserve"> (</w:t>
            </w:r>
            <w:proofErr w:type="spellStart"/>
            <w:r>
              <w:rPr>
                <w:rFonts w:ascii="Calibri" w:hAnsi="Calibri" w:cs="Calibri"/>
                <w:color w:val="000000"/>
                <w:sz w:val="18"/>
                <w:szCs w:val="18"/>
              </w:rPr>
              <w:t>Retevmo</w:t>
            </w:r>
            <w:proofErr w:type="spellEnd"/>
            <w:r>
              <w:rPr>
                <w:rFonts w:ascii="Calibri" w:hAnsi="Calibri" w:cs="Calibri"/>
                <w:color w:val="000000"/>
                <w:sz w:val="18"/>
                <w:szCs w:val="18"/>
              </w:rPr>
              <w:t>®)</w:t>
            </w:r>
            <w:r w:rsidR="00EB06AD">
              <w:rPr>
                <w:rFonts w:ascii="Calibri" w:hAnsi="Calibri" w:cs="Calibri"/>
                <w:color w:val="000000"/>
                <w:sz w:val="18"/>
                <w:szCs w:val="18"/>
              </w:rPr>
              <w:t xml:space="preserve"> on the PBS,</w:t>
            </w:r>
            <w:r>
              <w:rPr>
                <w:rFonts w:ascii="Calibri" w:hAnsi="Calibri" w:cs="Calibri"/>
                <w:color w:val="000000"/>
                <w:sz w:val="18"/>
                <w:szCs w:val="18"/>
              </w:rPr>
              <w:t xml:space="preserve"> for the treatment of patients with </w:t>
            </w:r>
            <w:r w:rsidR="00EB06AD">
              <w:rPr>
                <w:rFonts w:ascii="Calibri" w:hAnsi="Calibri" w:cs="Calibri"/>
                <w:color w:val="000000"/>
                <w:sz w:val="18"/>
                <w:szCs w:val="18"/>
              </w:rPr>
              <w:t xml:space="preserve">locally advanced or metastatic </w:t>
            </w:r>
            <w:r>
              <w:rPr>
                <w:rFonts w:ascii="Calibri" w:hAnsi="Calibri" w:cs="Calibri"/>
                <w:color w:val="000000"/>
                <w:sz w:val="18"/>
                <w:szCs w:val="18"/>
              </w:rPr>
              <w:t xml:space="preserve">medullary thyroid cancer (MTC), a rare type of thyroid cancer, </w:t>
            </w:r>
            <w:r w:rsidR="00CE2EAA">
              <w:rPr>
                <w:rFonts w:ascii="Calibri" w:hAnsi="Calibri" w:cs="Calibri"/>
                <w:color w:val="000000"/>
                <w:sz w:val="18"/>
                <w:szCs w:val="18"/>
              </w:rPr>
              <w:t xml:space="preserve">that has a confirmed RET gene </w:t>
            </w:r>
            <w:r w:rsidR="00917A1F">
              <w:rPr>
                <w:rFonts w:ascii="Calibri" w:hAnsi="Calibri" w:cs="Calibri"/>
                <w:color w:val="000000"/>
                <w:sz w:val="18"/>
                <w:szCs w:val="18"/>
              </w:rPr>
              <w:t>variant and</w:t>
            </w:r>
            <w:r w:rsidR="00CE2EAA">
              <w:rPr>
                <w:rFonts w:ascii="Calibri" w:hAnsi="Calibri" w:cs="Calibri"/>
                <w:color w:val="000000"/>
                <w:sz w:val="18"/>
                <w:szCs w:val="18"/>
              </w:rPr>
              <w:t xml:space="preserve"> </w:t>
            </w:r>
            <w:r>
              <w:rPr>
                <w:rFonts w:ascii="Calibri" w:hAnsi="Calibri" w:cs="Calibri"/>
                <w:color w:val="000000"/>
                <w:sz w:val="18"/>
                <w:szCs w:val="18"/>
              </w:rPr>
              <w:t>cannot be surgically removed</w:t>
            </w:r>
            <w:r w:rsidR="00CE2EAA">
              <w:rPr>
                <w:rFonts w:ascii="Calibri" w:hAnsi="Calibri" w:cs="Calibri"/>
                <w:color w:val="000000"/>
                <w:sz w:val="18"/>
                <w:szCs w:val="18"/>
              </w:rPr>
              <w:t>.</w:t>
            </w:r>
            <w:r>
              <w:rPr>
                <w:rFonts w:ascii="Calibri" w:hAnsi="Calibri" w:cs="Calibri"/>
                <w:color w:val="000000"/>
                <w:sz w:val="18"/>
                <w:szCs w:val="18"/>
              </w:rPr>
              <w:t xml:space="preserve"> </w:t>
            </w:r>
            <w:r w:rsidR="00586E88" w:rsidRPr="00586E88">
              <w:rPr>
                <w:rFonts w:ascii="Calibri" w:hAnsi="Calibri" w:cs="Calibri"/>
                <w:color w:val="000000"/>
                <w:sz w:val="18"/>
                <w:szCs w:val="18"/>
              </w:rPr>
              <w:t>The PBAC</w:t>
            </w:r>
            <w:r w:rsidR="00586E88">
              <w:rPr>
                <w:rFonts w:ascii="Calibri" w:hAnsi="Calibri" w:cs="Calibri"/>
                <w:color w:val="000000"/>
                <w:sz w:val="18"/>
                <w:szCs w:val="18"/>
              </w:rPr>
              <w:t xml:space="preserve"> finalised its advice for </w:t>
            </w:r>
            <w:proofErr w:type="spellStart"/>
            <w:r w:rsidR="00586E88">
              <w:rPr>
                <w:rFonts w:ascii="Calibri" w:hAnsi="Calibri" w:cs="Calibri"/>
                <w:color w:val="000000"/>
                <w:sz w:val="18"/>
                <w:szCs w:val="18"/>
              </w:rPr>
              <w:t>selpercatinib</w:t>
            </w:r>
            <w:proofErr w:type="spellEnd"/>
            <w:r w:rsidR="00586E88">
              <w:rPr>
                <w:rFonts w:ascii="Calibri" w:hAnsi="Calibri" w:cs="Calibri"/>
                <w:color w:val="000000"/>
                <w:sz w:val="18"/>
                <w:szCs w:val="18"/>
              </w:rPr>
              <w:t xml:space="preserve"> out of session,</w:t>
            </w:r>
            <w:r w:rsidR="00586E88" w:rsidRPr="00586E88">
              <w:rPr>
                <w:rFonts w:ascii="Calibri" w:hAnsi="Calibri" w:cs="Calibri"/>
                <w:color w:val="000000"/>
                <w:sz w:val="18"/>
                <w:szCs w:val="18"/>
              </w:rPr>
              <w:t xml:space="preserve"> following </w:t>
            </w:r>
            <w:r w:rsidR="00A62E84">
              <w:rPr>
                <w:rFonts w:ascii="Calibri" w:hAnsi="Calibri" w:cs="Calibri"/>
                <w:color w:val="000000"/>
                <w:sz w:val="18"/>
                <w:szCs w:val="18"/>
              </w:rPr>
              <w:t>notification that</w:t>
            </w:r>
            <w:r w:rsidR="00CE2EAA">
              <w:rPr>
                <w:rFonts w:ascii="Calibri" w:hAnsi="Calibri" w:cs="Calibri"/>
                <w:color w:val="000000"/>
                <w:sz w:val="18"/>
                <w:szCs w:val="18"/>
              </w:rPr>
              <w:t>, at its April 2026 meeting,</w:t>
            </w:r>
            <w:r w:rsidR="00586E88">
              <w:rPr>
                <w:rFonts w:ascii="Calibri" w:hAnsi="Calibri" w:cs="Calibri"/>
                <w:color w:val="000000"/>
                <w:sz w:val="18"/>
                <w:szCs w:val="18"/>
              </w:rPr>
              <w:t xml:space="preserve"> </w:t>
            </w:r>
            <w:r w:rsidR="00586E88" w:rsidRPr="00586E88">
              <w:rPr>
                <w:rFonts w:ascii="Calibri" w:hAnsi="Calibri" w:cs="Calibri"/>
                <w:color w:val="000000"/>
                <w:sz w:val="18"/>
                <w:szCs w:val="18"/>
              </w:rPr>
              <w:t>the Medical Services Advisory Committee (MSAC)</w:t>
            </w:r>
            <w:r w:rsidR="00586E88">
              <w:rPr>
                <w:rFonts w:ascii="Calibri" w:hAnsi="Calibri" w:cs="Calibri"/>
                <w:color w:val="000000"/>
                <w:sz w:val="18"/>
                <w:szCs w:val="18"/>
              </w:rPr>
              <w:t xml:space="preserve"> supported </w:t>
            </w:r>
            <w:r w:rsidR="003004BB">
              <w:rPr>
                <w:rFonts w:ascii="Calibri" w:hAnsi="Calibri" w:cs="Calibri"/>
                <w:color w:val="000000"/>
                <w:sz w:val="18"/>
                <w:szCs w:val="18"/>
              </w:rPr>
              <w:t xml:space="preserve">public </w:t>
            </w:r>
            <w:r w:rsidR="00586E88">
              <w:rPr>
                <w:rFonts w:ascii="Calibri" w:hAnsi="Calibri" w:cs="Calibri"/>
                <w:color w:val="000000"/>
                <w:sz w:val="18"/>
                <w:szCs w:val="18"/>
              </w:rPr>
              <w:t xml:space="preserve">funding </w:t>
            </w:r>
            <w:r w:rsidR="003004BB">
              <w:rPr>
                <w:rFonts w:ascii="Calibri" w:hAnsi="Calibri" w:cs="Calibri"/>
                <w:color w:val="000000"/>
                <w:sz w:val="18"/>
                <w:szCs w:val="18"/>
              </w:rPr>
              <w:t xml:space="preserve">of </w:t>
            </w:r>
            <w:r w:rsidR="00586E88">
              <w:rPr>
                <w:rFonts w:ascii="Calibri" w:hAnsi="Calibri" w:cs="Calibri"/>
                <w:color w:val="000000"/>
                <w:sz w:val="18"/>
                <w:szCs w:val="18"/>
              </w:rPr>
              <w:t>the related genetic test</w:t>
            </w:r>
            <w:r w:rsidR="00CE2EAA">
              <w:rPr>
                <w:rFonts w:ascii="Calibri" w:hAnsi="Calibri" w:cs="Calibri"/>
                <w:color w:val="000000"/>
                <w:sz w:val="18"/>
                <w:szCs w:val="18"/>
              </w:rPr>
              <w:t>ing</w:t>
            </w:r>
            <w:r w:rsidR="00586E88">
              <w:rPr>
                <w:rFonts w:ascii="Calibri" w:hAnsi="Calibri" w:cs="Calibri"/>
                <w:color w:val="000000"/>
                <w:sz w:val="18"/>
                <w:szCs w:val="18"/>
              </w:rPr>
              <w:t xml:space="preserve"> </w:t>
            </w:r>
            <w:r w:rsidR="003004BB">
              <w:rPr>
                <w:rFonts w:ascii="Calibri" w:hAnsi="Calibri" w:cs="Calibri"/>
                <w:color w:val="000000"/>
                <w:sz w:val="18"/>
                <w:szCs w:val="18"/>
              </w:rPr>
              <w:t>to detect</w:t>
            </w:r>
            <w:r w:rsidR="00586E88">
              <w:rPr>
                <w:rFonts w:ascii="Calibri" w:hAnsi="Calibri" w:cs="Calibri"/>
                <w:color w:val="000000"/>
                <w:sz w:val="18"/>
                <w:szCs w:val="18"/>
              </w:rPr>
              <w:t xml:space="preserve"> RET variants</w:t>
            </w:r>
            <w:r w:rsidR="00CE2EAA">
              <w:rPr>
                <w:rFonts w:ascii="Calibri" w:hAnsi="Calibri" w:cs="Calibri"/>
                <w:color w:val="000000"/>
                <w:sz w:val="18"/>
                <w:szCs w:val="18"/>
              </w:rPr>
              <w:t>.</w:t>
            </w:r>
          </w:p>
          <w:p w14:paraId="2137E378" w14:textId="7094D8CA" w:rsidR="00EB06AD" w:rsidRDefault="004D7F10" w:rsidP="00D428AC">
            <w:pPr>
              <w:ind w:left="11"/>
              <w:contextualSpacing/>
              <w:rPr>
                <w:rFonts w:ascii="Calibri" w:hAnsi="Calibri" w:cs="Calibri"/>
                <w:color w:val="000000"/>
                <w:sz w:val="18"/>
                <w:szCs w:val="18"/>
              </w:rPr>
            </w:pPr>
            <w:r>
              <w:rPr>
                <w:rFonts w:ascii="Calibri" w:hAnsi="Calibri" w:cs="Calibri"/>
                <w:color w:val="000000"/>
                <w:sz w:val="18"/>
                <w:szCs w:val="18"/>
              </w:rPr>
              <w:br/>
              <w:t xml:space="preserve">The PBAC welcomed input from individuals, health care professionals and organisations which described the debilitating impacts of progressive MTC, limited funded treatment options, and potential benefits associated with </w:t>
            </w:r>
            <w:proofErr w:type="spellStart"/>
            <w:r>
              <w:rPr>
                <w:rFonts w:ascii="Calibri" w:hAnsi="Calibri" w:cs="Calibri"/>
                <w:color w:val="000000"/>
                <w:sz w:val="18"/>
                <w:szCs w:val="18"/>
              </w:rPr>
              <w:t>selpercatinib</w:t>
            </w:r>
            <w:proofErr w:type="spellEnd"/>
            <w:r>
              <w:rPr>
                <w:rFonts w:ascii="Calibri" w:hAnsi="Calibri" w:cs="Calibri"/>
                <w:color w:val="000000"/>
                <w:sz w:val="18"/>
                <w:szCs w:val="18"/>
              </w:rPr>
              <w:t xml:space="preserve">. The PBAC considered that because </w:t>
            </w:r>
            <w:proofErr w:type="spellStart"/>
            <w:r>
              <w:rPr>
                <w:rFonts w:ascii="Calibri" w:hAnsi="Calibri" w:cs="Calibri"/>
                <w:color w:val="000000"/>
                <w:sz w:val="18"/>
                <w:szCs w:val="18"/>
              </w:rPr>
              <w:t>selpercatinib</w:t>
            </w:r>
            <w:proofErr w:type="spellEnd"/>
            <w:r>
              <w:rPr>
                <w:rFonts w:ascii="Calibri" w:hAnsi="Calibri" w:cs="Calibri"/>
                <w:color w:val="000000"/>
                <w:sz w:val="18"/>
                <w:szCs w:val="18"/>
              </w:rPr>
              <w:t xml:space="preserve"> could be taken by mouth, it would help support access for rural and regional patients. The PBAC considered there was a high clinical need for patients with progressive MTC that cannot be surgically removed. However, the PBAC considered that the need for patients with indolent (slow growing) MTC was low and the benefits of treating these patients with </w:t>
            </w:r>
            <w:proofErr w:type="spellStart"/>
            <w:r>
              <w:rPr>
                <w:rFonts w:ascii="Calibri" w:hAnsi="Calibri" w:cs="Calibri"/>
                <w:color w:val="000000"/>
                <w:sz w:val="18"/>
                <w:szCs w:val="18"/>
              </w:rPr>
              <w:t>selpercatinib</w:t>
            </w:r>
            <w:proofErr w:type="spellEnd"/>
            <w:r>
              <w:rPr>
                <w:rFonts w:ascii="Calibri" w:hAnsi="Calibri" w:cs="Calibri"/>
                <w:color w:val="000000"/>
                <w:sz w:val="18"/>
                <w:szCs w:val="18"/>
              </w:rPr>
              <w:t xml:space="preserve"> was uncertain.</w:t>
            </w:r>
          </w:p>
          <w:p w14:paraId="405FF76A" w14:textId="77777777" w:rsidR="00A62E84" w:rsidRDefault="004D7F10" w:rsidP="00D428AC">
            <w:pPr>
              <w:ind w:left="11"/>
              <w:contextualSpacing/>
              <w:rPr>
                <w:rFonts w:ascii="Calibri" w:hAnsi="Calibri" w:cs="Calibri"/>
                <w:color w:val="000000"/>
                <w:sz w:val="18"/>
                <w:szCs w:val="18"/>
              </w:rPr>
            </w:pPr>
            <w:r>
              <w:rPr>
                <w:rFonts w:ascii="Calibri" w:hAnsi="Calibri" w:cs="Calibri"/>
                <w:color w:val="000000"/>
                <w:sz w:val="18"/>
                <w:szCs w:val="18"/>
              </w:rPr>
              <w:br/>
              <w:t xml:space="preserve">The PBAC noted there was evidence that </w:t>
            </w:r>
            <w:proofErr w:type="spellStart"/>
            <w:r>
              <w:rPr>
                <w:rFonts w:ascii="Calibri" w:hAnsi="Calibri" w:cs="Calibri"/>
                <w:color w:val="000000"/>
                <w:sz w:val="18"/>
                <w:szCs w:val="18"/>
              </w:rPr>
              <w:t>selpercatinib</w:t>
            </w:r>
            <w:proofErr w:type="spellEnd"/>
            <w:r>
              <w:rPr>
                <w:rFonts w:ascii="Calibri" w:hAnsi="Calibri" w:cs="Calibri"/>
                <w:color w:val="000000"/>
                <w:sz w:val="18"/>
                <w:szCs w:val="18"/>
              </w:rPr>
              <w:t xml:space="preserve"> delayed the time before cancer worsened compared with current treatments. While it appeared that </w:t>
            </w:r>
            <w:proofErr w:type="spellStart"/>
            <w:r>
              <w:rPr>
                <w:rFonts w:ascii="Calibri" w:hAnsi="Calibri" w:cs="Calibri"/>
                <w:color w:val="000000"/>
                <w:sz w:val="18"/>
                <w:szCs w:val="18"/>
              </w:rPr>
              <w:t>selpercatinib</w:t>
            </w:r>
            <w:proofErr w:type="spellEnd"/>
            <w:r>
              <w:rPr>
                <w:rFonts w:ascii="Calibri" w:hAnsi="Calibri" w:cs="Calibri"/>
                <w:color w:val="000000"/>
                <w:sz w:val="18"/>
                <w:szCs w:val="18"/>
              </w:rPr>
              <w:t xml:space="preserve"> may help people with MTC to live longer (overall survival), the size of this benefit was highly uncertain.  </w:t>
            </w:r>
          </w:p>
          <w:p w14:paraId="040DCA40" w14:textId="77777777" w:rsidR="00A62E84" w:rsidRDefault="004D7F10" w:rsidP="00D428AC">
            <w:pPr>
              <w:ind w:left="11"/>
              <w:contextualSpacing/>
              <w:rPr>
                <w:rFonts w:ascii="Calibri" w:hAnsi="Calibri" w:cs="Calibri"/>
                <w:color w:val="000000"/>
                <w:sz w:val="18"/>
                <w:szCs w:val="18"/>
              </w:rPr>
            </w:pPr>
            <w:r>
              <w:rPr>
                <w:rFonts w:ascii="Calibri" w:hAnsi="Calibri" w:cs="Calibri"/>
                <w:color w:val="000000"/>
                <w:sz w:val="18"/>
                <w:szCs w:val="18"/>
              </w:rPr>
              <w:br/>
              <w:t xml:space="preserve">The PBAC considered that the price proposed for </w:t>
            </w:r>
            <w:proofErr w:type="spellStart"/>
            <w:r>
              <w:rPr>
                <w:rFonts w:ascii="Calibri" w:hAnsi="Calibri" w:cs="Calibri"/>
                <w:color w:val="000000"/>
                <w:sz w:val="18"/>
                <w:szCs w:val="18"/>
              </w:rPr>
              <w:t>selpercatinib</w:t>
            </w:r>
            <w:proofErr w:type="spellEnd"/>
            <w:r>
              <w:rPr>
                <w:rFonts w:ascii="Calibri" w:hAnsi="Calibri" w:cs="Calibri"/>
                <w:color w:val="000000"/>
                <w:sz w:val="18"/>
                <w:szCs w:val="18"/>
              </w:rPr>
              <w:t xml:space="preserve"> was unacceptably high, and value for money was unclear because it was uncertain how long patients would stay on treatment and what the long-term benefits would be. The PBAC considered that the price for </w:t>
            </w:r>
            <w:proofErr w:type="spellStart"/>
            <w:r>
              <w:rPr>
                <w:rFonts w:ascii="Calibri" w:hAnsi="Calibri" w:cs="Calibri"/>
                <w:color w:val="000000"/>
                <w:sz w:val="18"/>
                <w:szCs w:val="18"/>
              </w:rPr>
              <w:t>selpercatinib</w:t>
            </w:r>
            <w:proofErr w:type="spellEnd"/>
            <w:r>
              <w:rPr>
                <w:rFonts w:ascii="Calibri" w:hAnsi="Calibri" w:cs="Calibri"/>
                <w:color w:val="000000"/>
                <w:sz w:val="18"/>
                <w:szCs w:val="18"/>
              </w:rPr>
              <w:t xml:space="preserve"> the treatment of MTC would be acceptable at the same price it is currently listed on the PBS for lung cancer. </w:t>
            </w:r>
          </w:p>
          <w:p w14:paraId="47551093" w14:textId="449345E6" w:rsidR="004D7F10" w:rsidRDefault="004D7F10" w:rsidP="00D428AC">
            <w:pPr>
              <w:ind w:left="11"/>
              <w:contextualSpacing/>
              <w:rPr>
                <w:rFonts w:ascii="Calibri" w:hAnsi="Calibri" w:cs="Calibri"/>
                <w:color w:val="000000"/>
                <w:sz w:val="18"/>
                <w:szCs w:val="18"/>
              </w:rPr>
            </w:pPr>
            <w:r>
              <w:rPr>
                <w:rFonts w:ascii="Calibri" w:hAnsi="Calibri" w:cs="Calibri"/>
                <w:color w:val="000000"/>
                <w:sz w:val="18"/>
                <w:szCs w:val="18"/>
              </w:rPr>
              <w:br/>
            </w:r>
            <w:r w:rsidR="00CD2E51" w:rsidRPr="00CD2E51">
              <w:rPr>
                <w:rFonts w:ascii="Calibri" w:hAnsi="Calibri" w:cs="Calibri"/>
                <w:color w:val="000000"/>
                <w:sz w:val="18"/>
                <w:szCs w:val="18"/>
              </w:rPr>
              <w:t xml:space="preserve">The PBAC considered changes to the estimated number of treated patients were required and noted there was likely to be an additional small population of patients diagnosed with locally advanced or metastatic MTC in the last few years who may be appropriate for treatment with </w:t>
            </w:r>
            <w:proofErr w:type="spellStart"/>
            <w:r w:rsidR="00CD2E51" w:rsidRPr="00CD2E51">
              <w:rPr>
                <w:rFonts w:ascii="Calibri" w:hAnsi="Calibri" w:cs="Calibri"/>
                <w:color w:val="000000"/>
                <w:sz w:val="18"/>
                <w:szCs w:val="18"/>
              </w:rPr>
              <w:t>selpercatinib</w:t>
            </w:r>
            <w:proofErr w:type="spellEnd"/>
            <w:r w:rsidR="00CD2E51" w:rsidRPr="00CD2E51">
              <w:rPr>
                <w:rFonts w:ascii="Calibri" w:hAnsi="Calibri" w:cs="Calibri"/>
                <w:color w:val="000000"/>
                <w:sz w:val="18"/>
                <w:szCs w:val="18"/>
              </w:rPr>
              <w:t xml:space="preserve"> once it is listed on the PBS. </w:t>
            </w:r>
            <w:r>
              <w:rPr>
                <w:rFonts w:ascii="Calibri" w:hAnsi="Calibri" w:cs="Calibri"/>
                <w:color w:val="000000"/>
                <w:sz w:val="18"/>
                <w:szCs w:val="18"/>
              </w:rPr>
              <w:t xml:space="preserve">The PBAC recommended an arrangement should be in place to manage the financial risk to PBS associated with potential use of </w:t>
            </w:r>
            <w:proofErr w:type="spellStart"/>
            <w:r>
              <w:rPr>
                <w:rFonts w:ascii="Calibri" w:hAnsi="Calibri" w:cs="Calibri"/>
                <w:color w:val="000000"/>
                <w:sz w:val="18"/>
                <w:szCs w:val="18"/>
              </w:rPr>
              <w:t>selpercatinib</w:t>
            </w:r>
            <w:proofErr w:type="spellEnd"/>
            <w:r>
              <w:rPr>
                <w:rFonts w:ascii="Calibri" w:hAnsi="Calibri" w:cs="Calibri"/>
                <w:color w:val="000000"/>
                <w:sz w:val="18"/>
                <w:szCs w:val="18"/>
              </w:rPr>
              <w:t xml:space="preserve"> in patients with slow growing disease.</w:t>
            </w:r>
          </w:p>
          <w:p w14:paraId="5A7CE5CE" w14:textId="77777777" w:rsidR="00CE2EAA" w:rsidRDefault="00CE2EAA" w:rsidP="00D428AC">
            <w:pPr>
              <w:ind w:left="11"/>
              <w:contextualSpacing/>
              <w:rPr>
                <w:rFonts w:ascii="Calibri" w:hAnsi="Calibri" w:cs="Calibri"/>
                <w:color w:val="000000"/>
                <w:sz w:val="18"/>
                <w:szCs w:val="18"/>
              </w:rPr>
            </w:pPr>
          </w:p>
          <w:p w14:paraId="642010EC" w14:textId="6AE700F0" w:rsidR="00F310EF" w:rsidRPr="00C36637" w:rsidRDefault="00CE2EAA" w:rsidP="00C36637">
            <w:pPr>
              <w:ind w:left="11"/>
              <w:contextualSpacing/>
              <w:rPr>
                <w:rFonts w:ascii="Calibri" w:hAnsi="Calibri" w:cs="Calibri"/>
                <w:color w:val="000000"/>
                <w:sz w:val="18"/>
                <w:szCs w:val="18"/>
              </w:rPr>
            </w:pPr>
            <w:r>
              <w:rPr>
                <w:rFonts w:ascii="Calibri" w:hAnsi="Calibri" w:cs="Calibri"/>
                <w:color w:val="000000"/>
                <w:sz w:val="18"/>
                <w:szCs w:val="18"/>
              </w:rPr>
              <w:t xml:space="preserve">As part of its recommendation, the PBAC nominated </w:t>
            </w:r>
            <w:proofErr w:type="spellStart"/>
            <w:r>
              <w:rPr>
                <w:rFonts w:ascii="Calibri" w:hAnsi="Calibri" w:cs="Calibri"/>
                <w:color w:val="000000"/>
                <w:sz w:val="18"/>
                <w:szCs w:val="18"/>
              </w:rPr>
              <w:t>selpercatinib</w:t>
            </w:r>
            <w:proofErr w:type="spellEnd"/>
            <w:r>
              <w:rPr>
                <w:rFonts w:ascii="Calibri" w:hAnsi="Calibri" w:cs="Calibri"/>
                <w:color w:val="000000"/>
                <w:sz w:val="18"/>
                <w:szCs w:val="18"/>
              </w:rPr>
              <w:t xml:space="preserve"> to proceed through Pricing Pathway A, reflecting the clinical need and anticipated benefit. </w:t>
            </w:r>
          </w:p>
        </w:tc>
      </w:tr>
      <w:tr w:rsidR="00C312E5" w:rsidRPr="00544E10" w14:paraId="0262C1AF" w14:textId="77777777" w:rsidTr="003921D1">
        <w:trPr>
          <w:cantSplit/>
          <w:trHeight w:val="868"/>
        </w:trPr>
        <w:tc>
          <w:tcPr>
            <w:tcW w:w="294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84AEAB5" w14:textId="6F7F8EDA" w:rsidR="004D7F10" w:rsidRPr="005F21D6" w:rsidRDefault="004D7F10" w:rsidP="004D7F10">
            <w:pPr>
              <w:jc w:val="center"/>
              <w:rPr>
                <w:rFonts w:asciiTheme="minorHAnsi" w:hAnsiTheme="minorHAnsi" w:cstheme="minorHAnsi"/>
                <w:color w:val="000000"/>
                <w:szCs w:val="20"/>
              </w:rPr>
            </w:pPr>
            <w:r>
              <w:rPr>
                <w:rFonts w:ascii="Calibri" w:hAnsi="Calibri" w:cs="Calibri"/>
                <w:color w:val="000000"/>
                <w:sz w:val="18"/>
                <w:szCs w:val="18"/>
              </w:rPr>
              <w:t>TACROLIMUS</w:t>
            </w:r>
            <w:r>
              <w:rPr>
                <w:rFonts w:ascii="Calibri" w:hAnsi="Calibri" w:cs="Calibri"/>
                <w:color w:val="000000"/>
                <w:sz w:val="18"/>
                <w:szCs w:val="18"/>
              </w:rPr>
              <w:br/>
            </w:r>
            <w:r>
              <w:rPr>
                <w:rFonts w:ascii="Calibri" w:hAnsi="Calibri" w:cs="Calibri"/>
                <w:color w:val="000000"/>
                <w:sz w:val="18"/>
                <w:szCs w:val="18"/>
              </w:rPr>
              <w:br/>
              <w:t xml:space="preserve">Ointment 1 mg per g, 30 g </w:t>
            </w:r>
            <w:r>
              <w:rPr>
                <w:rFonts w:ascii="Calibri" w:hAnsi="Calibri" w:cs="Calibri"/>
                <w:color w:val="000000"/>
                <w:sz w:val="18"/>
                <w:szCs w:val="18"/>
              </w:rPr>
              <w:br/>
            </w:r>
            <w:r>
              <w:rPr>
                <w:rFonts w:ascii="Calibri" w:hAnsi="Calibri" w:cs="Calibri"/>
                <w:color w:val="000000"/>
                <w:sz w:val="18"/>
                <w:szCs w:val="18"/>
              </w:rPr>
              <w:br/>
            </w:r>
            <w:proofErr w:type="spellStart"/>
            <w:r>
              <w:rPr>
                <w:rFonts w:ascii="Calibri" w:hAnsi="Calibri" w:cs="Calibri"/>
                <w:color w:val="000000"/>
                <w:sz w:val="18"/>
                <w:szCs w:val="18"/>
              </w:rPr>
              <w:t>aZematop</w:t>
            </w:r>
            <w:proofErr w:type="spellEnd"/>
            <w:r>
              <w:rPr>
                <w:rFonts w:ascii="Calibri" w:hAnsi="Calibri" w:cs="Calibri"/>
                <w:color w:val="000000"/>
                <w:sz w:val="18"/>
                <w:szCs w:val="18"/>
              </w:rPr>
              <w:t>®</w:t>
            </w:r>
            <w:r>
              <w:rPr>
                <w:rFonts w:ascii="Calibri" w:hAnsi="Calibri" w:cs="Calibri"/>
                <w:color w:val="000000"/>
                <w:sz w:val="18"/>
                <w:szCs w:val="18"/>
              </w:rPr>
              <w:br/>
            </w:r>
            <w:r>
              <w:rPr>
                <w:rFonts w:ascii="Calibri" w:hAnsi="Calibri" w:cs="Calibri"/>
                <w:color w:val="000000"/>
                <w:sz w:val="18"/>
                <w:szCs w:val="18"/>
              </w:rPr>
              <w:br/>
              <w:t>ARROTEX PHARMACEUTICALS PTY LTD</w:t>
            </w:r>
            <w:r>
              <w:rPr>
                <w:rFonts w:ascii="Calibri" w:hAnsi="Calibri" w:cs="Calibri"/>
                <w:color w:val="000000"/>
                <w:sz w:val="18"/>
                <w:szCs w:val="18"/>
              </w:rPr>
              <w:br/>
            </w:r>
            <w:r>
              <w:rPr>
                <w:rFonts w:ascii="Calibri" w:hAnsi="Calibri" w:cs="Calibri"/>
                <w:color w:val="000000"/>
                <w:sz w:val="18"/>
                <w:szCs w:val="18"/>
              </w:rPr>
              <w:br/>
              <w:t>Matters arising from the minutes</w:t>
            </w:r>
            <w:r>
              <w:rPr>
                <w:rFonts w:ascii="Calibri" w:hAnsi="Calibri" w:cs="Calibri"/>
                <w:color w:val="000000"/>
                <w:sz w:val="18"/>
                <w:szCs w:val="18"/>
              </w:rPr>
              <w:br/>
              <w:t xml:space="preserve">(New PBS </w:t>
            </w:r>
            <w:r w:rsidR="00957109">
              <w:rPr>
                <w:rFonts w:ascii="Calibri" w:hAnsi="Calibri" w:cs="Calibri"/>
                <w:color w:val="000000"/>
                <w:sz w:val="18"/>
                <w:szCs w:val="18"/>
              </w:rPr>
              <w:t>listing)</w:t>
            </w:r>
            <w:r>
              <w:rPr>
                <w:rFonts w:ascii="Calibri" w:hAnsi="Calibri" w:cs="Calibri"/>
                <w:color w:val="000000"/>
                <w:sz w:val="18"/>
                <w:szCs w:val="18"/>
              </w:rPr>
              <w:br/>
            </w:r>
            <w:r>
              <w:rPr>
                <w:rFonts w:ascii="Calibri" w:hAnsi="Calibri" w:cs="Calibri"/>
                <w:color w:val="000000"/>
                <w:sz w:val="18"/>
                <w:szCs w:val="18"/>
              </w:rPr>
              <w:br/>
              <w:t xml:space="preserve">PBS General Schedule </w:t>
            </w:r>
          </w:p>
        </w:tc>
        <w:tc>
          <w:tcPr>
            <w:tcW w:w="1983" w:type="dxa"/>
            <w:tcBorders>
              <w:top w:val="single" w:sz="4" w:space="0" w:color="auto"/>
              <w:left w:val="single" w:sz="4" w:space="0" w:color="auto"/>
              <w:bottom w:val="single" w:sz="4" w:space="0" w:color="auto"/>
              <w:right w:val="single" w:sz="4" w:space="0" w:color="auto"/>
            </w:tcBorders>
            <w:vAlign w:val="center"/>
          </w:tcPr>
          <w:p w14:paraId="7D1AF5E5" w14:textId="4AAC2513" w:rsidR="004D7F10" w:rsidRPr="005F21D6" w:rsidRDefault="004D7F10" w:rsidP="004D7F10">
            <w:pPr>
              <w:jc w:val="center"/>
              <w:rPr>
                <w:rFonts w:asciiTheme="minorHAnsi" w:hAnsiTheme="minorHAnsi" w:cstheme="minorHAnsi"/>
                <w:color w:val="000000"/>
                <w:sz w:val="18"/>
                <w:szCs w:val="18"/>
              </w:rPr>
            </w:pPr>
            <w:r>
              <w:rPr>
                <w:rFonts w:ascii="Calibri" w:hAnsi="Calibri" w:cs="Calibri"/>
                <w:color w:val="000000"/>
                <w:sz w:val="18"/>
                <w:szCs w:val="18"/>
              </w:rPr>
              <w:t>Atopic dermatitis</w:t>
            </w:r>
          </w:p>
        </w:tc>
        <w:tc>
          <w:tcPr>
            <w:tcW w:w="238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E5851B9" w14:textId="4917356D" w:rsidR="004D7F10" w:rsidRPr="005F21D6" w:rsidRDefault="004D7F10" w:rsidP="004D7F10">
            <w:pPr>
              <w:jc w:val="center"/>
              <w:rPr>
                <w:rFonts w:asciiTheme="minorHAnsi" w:hAnsiTheme="minorHAnsi" w:cstheme="minorHAnsi"/>
                <w:color w:val="000000"/>
                <w:sz w:val="18"/>
                <w:szCs w:val="18"/>
              </w:rPr>
            </w:pPr>
            <w:r>
              <w:rPr>
                <w:rFonts w:ascii="Calibri" w:hAnsi="Calibri" w:cs="Calibri"/>
                <w:color w:val="000000"/>
                <w:sz w:val="18"/>
                <w:szCs w:val="18"/>
              </w:rPr>
              <w:t xml:space="preserve">To request the PBAC review the revised proposed price, the restrictions, and </w:t>
            </w:r>
            <w:r>
              <w:rPr>
                <w:rFonts w:ascii="Calibri" w:hAnsi="Calibri" w:cs="Calibri"/>
                <w:color w:val="000000"/>
                <w:sz w:val="18"/>
                <w:szCs w:val="18"/>
              </w:rPr>
              <w:br/>
              <w:t xml:space="preserve">the previously estimated utilisation of tacrolimus for the treatment of moderate </w:t>
            </w:r>
            <w:r>
              <w:rPr>
                <w:rFonts w:ascii="Calibri" w:hAnsi="Calibri" w:cs="Calibri"/>
                <w:color w:val="000000"/>
                <w:sz w:val="18"/>
                <w:szCs w:val="18"/>
              </w:rPr>
              <w:br/>
              <w:t xml:space="preserve">to severe atopic dermatitis. This item was previously recommended by the </w:t>
            </w:r>
            <w:r>
              <w:rPr>
                <w:rFonts w:ascii="Calibri" w:hAnsi="Calibri" w:cs="Calibri"/>
                <w:color w:val="000000"/>
                <w:sz w:val="18"/>
                <w:szCs w:val="18"/>
              </w:rPr>
              <w:br/>
              <w:t xml:space="preserve">PBAC at its July 2025 meeting.  </w:t>
            </w:r>
          </w:p>
        </w:tc>
        <w:tc>
          <w:tcPr>
            <w:tcW w:w="1415" w:type="dxa"/>
            <w:vAlign w:val="center"/>
          </w:tcPr>
          <w:p w14:paraId="6D43DFAD" w14:textId="1A69632D" w:rsidR="004D7F10" w:rsidRPr="00544E10" w:rsidRDefault="004D7F10" w:rsidP="00D428AC">
            <w:pPr>
              <w:ind w:left="11"/>
              <w:contextualSpacing/>
              <w:jc w:val="center"/>
              <w:rPr>
                <w:rFonts w:asciiTheme="minorHAnsi" w:hAnsiTheme="minorHAnsi" w:cstheme="minorHAnsi"/>
                <w:color w:val="000000" w:themeColor="text1"/>
                <w:sz w:val="18"/>
                <w:szCs w:val="18"/>
              </w:rPr>
            </w:pPr>
            <w:r>
              <w:rPr>
                <w:rFonts w:ascii="Calibri" w:hAnsi="Calibri" w:cs="Calibri"/>
                <w:color w:val="000000"/>
                <w:sz w:val="18"/>
                <w:szCs w:val="18"/>
              </w:rPr>
              <w:t>Recommended</w:t>
            </w:r>
          </w:p>
        </w:tc>
        <w:tc>
          <w:tcPr>
            <w:tcW w:w="4729" w:type="dxa"/>
            <w:vAlign w:val="center"/>
          </w:tcPr>
          <w:p w14:paraId="5FE8D5E6" w14:textId="580E8140" w:rsidR="004D7F10" w:rsidRPr="00544E10" w:rsidRDefault="004D7F10" w:rsidP="00D428AC">
            <w:pPr>
              <w:ind w:left="11"/>
              <w:contextualSpacing/>
              <w:rPr>
                <w:rFonts w:asciiTheme="minorHAnsi" w:hAnsiTheme="minorHAnsi" w:cstheme="minorHAnsi"/>
                <w:color w:val="000000" w:themeColor="text1"/>
                <w:sz w:val="18"/>
                <w:szCs w:val="18"/>
              </w:rPr>
            </w:pPr>
            <w:r>
              <w:rPr>
                <w:rFonts w:ascii="Calibri" w:hAnsi="Calibri" w:cs="Calibri"/>
                <w:color w:val="000000"/>
                <w:sz w:val="18"/>
                <w:szCs w:val="18"/>
              </w:rPr>
              <w:t>The PBAC recommended the listing of 0.1% tacrolimus ointment for the treatment of flare-ups in to moderate to severe atopic dermatitis (AD) affecting the body, face and eyelids in patients whose condition is not adequately controlled with topical corticosteroids. The PBAC recalled that it had previously recommended 0.1% tacrolimus for a broader population as an alternative to topical corticosteroids. The PBAC considered that the proposed restriction, with some changes, would better limit use of 0.1% tacrolimus for flares to use after treatment with topical corticosteroids. The PBAC advised that the cost of 0.1% tacrolimus would be acceptable if the overall cost was similar to 1% pimecrolimus. The PBAC considered that 0.1% tacrolimus may be used in patients who may not have trialled topical corticosteroids first and recommended a risk sharing arrangement (RSA) to manage this risk.</w:t>
            </w:r>
          </w:p>
        </w:tc>
      </w:tr>
      <w:tr w:rsidR="00C312E5" w:rsidRPr="00544E10" w14:paraId="4BEED1DE" w14:textId="77777777" w:rsidTr="003921D1">
        <w:trPr>
          <w:cantSplit/>
          <w:trHeight w:val="868"/>
        </w:trPr>
        <w:tc>
          <w:tcPr>
            <w:tcW w:w="294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1AD03FC" w14:textId="24A89B5C" w:rsidR="004D7F10" w:rsidRPr="005F21D6" w:rsidRDefault="004D7F10" w:rsidP="004D7F10">
            <w:pPr>
              <w:jc w:val="center"/>
              <w:rPr>
                <w:rFonts w:asciiTheme="minorHAnsi" w:hAnsiTheme="minorHAnsi" w:cstheme="minorHAnsi"/>
                <w:color w:val="000000"/>
                <w:szCs w:val="20"/>
              </w:rPr>
            </w:pPr>
            <w:r>
              <w:rPr>
                <w:rFonts w:ascii="Calibri" w:hAnsi="Calibri" w:cs="Calibri"/>
                <w:color w:val="000000"/>
                <w:sz w:val="18"/>
                <w:szCs w:val="18"/>
              </w:rPr>
              <w:t>TAFAMIDIS</w:t>
            </w:r>
            <w:r>
              <w:rPr>
                <w:rFonts w:ascii="Calibri" w:hAnsi="Calibri" w:cs="Calibri"/>
                <w:color w:val="000000"/>
                <w:sz w:val="18"/>
                <w:szCs w:val="18"/>
              </w:rPr>
              <w:br/>
            </w:r>
            <w:r>
              <w:rPr>
                <w:rFonts w:ascii="Calibri" w:hAnsi="Calibri" w:cs="Calibri"/>
                <w:color w:val="000000"/>
                <w:sz w:val="18"/>
                <w:szCs w:val="18"/>
              </w:rPr>
              <w:br/>
              <w:t>Capsule 61 mg</w:t>
            </w:r>
            <w:r>
              <w:rPr>
                <w:rFonts w:ascii="Calibri" w:hAnsi="Calibri" w:cs="Calibri"/>
                <w:color w:val="000000"/>
                <w:sz w:val="18"/>
                <w:szCs w:val="18"/>
              </w:rPr>
              <w:br/>
            </w:r>
            <w:r>
              <w:rPr>
                <w:rFonts w:ascii="Calibri" w:hAnsi="Calibri" w:cs="Calibri"/>
                <w:color w:val="000000"/>
                <w:sz w:val="18"/>
                <w:szCs w:val="18"/>
              </w:rPr>
              <w:br/>
            </w:r>
            <w:proofErr w:type="spellStart"/>
            <w:r>
              <w:rPr>
                <w:rFonts w:ascii="Calibri" w:hAnsi="Calibri" w:cs="Calibri"/>
                <w:color w:val="000000"/>
                <w:sz w:val="18"/>
                <w:szCs w:val="18"/>
              </w:rPr>
              <w:t>Vyndamax</w:t>
            </w:r>
            <w:proofErr w:type="spellEnd"/>
            <w:r>
              <w:rPr>
                <w:rFonts w:ascii="Calibri" w:hAnsi="Calibri" w:cs="Calibri"/>
                <w:color w:val="000000"/>
                <w:sz w:val="18"/>
                <w:szCs w:val="18"/>
              </w:rPr>
              <w:t>®</w:t>
            </w:r>
            <w:r>
              <w:rPr>
                <w:rFonts w:ascii="Calibri" w:hAnsi="Calibri" w:cs="Calibri"/>
                <w:color w:val="000000"/>
                <w:sz w:val="18"/>
                <w:szCs w:val="18"/>
              </w:rPr>
              <w:br/>
            </w:r>
            <w:r>
              <w:rPr>
                <w:rFonts w:ascii="Calibri" w:hAnsi="Calibri" w:cs="Calibri"/>
                <w:color w:val="000000"/>
                <w:sz w:val="18"/>
                <w:szCs w:val="18"/>
              </w:rPr>
              <w:br/>
              <w:t>PFIZER AUSTRALIA PTY LTD</w:t>
            </w:r>
            <w:r>
              <w:rPr>
                <w:rFonts w:ascii="Calibri" w:hAnsi="Calibri" w:cs="Calibri"/>
                <w:color w:val="000000"/>
                <w:sz w:val="18"/>
                <w:szCs w:val="18"/>
              </w:rPr>
              <w:br/>
            </w:r>
            <w:r>
              <w:rPr>
                <w:rFonts w:ascii="Calibri" w:hAnsi="Calibri" w:cs="Calibri"/>
                <w:color w:val="000000"/>
                <w:sz w:val="18"/>
                <w:szCs w:val="18"/>
              </w:rPr>
              <w:br/>
              <w:t>Category 3</w:t>
            </w:r>
            <w:r>
              <w:rPr>
                <w:rFonts w:ascii="Calibri" w:hAnsi="Calibri" w:cs="Calibri"/>
                <w:color w:val="000000"/>
                <w:sz w:val="18"/>
                <w:szCs w:val="18"/>
              </w:rPr>
              <w:br/>
              <w:t>(Other matters</w:t>
            </w:r>
            <w:r w:rsidR="00717CD4">
              <w:rPr>
                <w:rFonts w:ascii="Calibri" w:hAnsi="Calibri" w:cs="Calibri"/>
                <w:color w:val="000000"/>
                <w:sz w:val="18"/>
                <w:szCs w:val="18"/>
              </w:rPr>
              <w:t>)</w:t>
            </w:r>
            <w:r>
              <w:rPr>
                <w:rFonts w:ascii="Calibri" w:hAnsi="Calibri" w:cs="Calibri"/>
                <w:color w:val="000000"/>
                <w:sz w:val="18"/>
                <w:szCs w:val="18"/>
              </w:rPr>
              <w:br/>
            </w:r>
            <w:r>
              <w:rPr>
                <w:rFonts w:ascii="Calibri" w:hAnsi="Calibri" w:cs="Calibri"/>
                <w:color w:val="000000"/>
                <w:sz w:val="18"/>
                <w:szCs w:val="18"/>
              </w:rPr>
              <w:br/>
              <w:t>PBS General Schedule</w:t>
            </w:r>
          </w:p>
        </w:tc>
        <w:tc>
          <w:tcPr>
            <w:tcW w:w="1983" w:type="dxa"/>
            <w:tcBorders>
              <w:top w:val="single" w:sz="4" w:space="0" w:color="auto"/>
              <w:left w:val="single" w:sz="4" w:space="0" w:color="auto"/>
              <w:bottom w:val="single" w:sz="4" w:space="0" w:color="auto"/>
              <w:right w:val="single" w:sz="4" w:space="0" w:color="auto"/>
            </w:tcBorders>
            <w:vAlign w:val="center"/>
          </w:tcPr>
          <w:p w14:paraId="057E90E0" w14:textId="5EA079E5" w:rsidR="004D7F10" w:rsidRPr="005F21D6" w:rsidRDefault="004D7F10" w:rsidP="004D7F10">
            <w:pPr>
              <w:jc w:val="center"/>
              <w:rPr>
                <w:rFonts w:asciiTheme="minorHAnsi" w:hAnsiTheme="minorHAnsi" w:cstheme="minorHAnsi"/>
                <w:color w:val="000000"/>
                <w:sz w:val="18"/>
                <w:szCs w:val="18"/>
              </w:rPr>
            </w:pPr>
            <w:r>
              <w:rPr>
                <w:rFonts w:ascii="Calibri" w:hAnsi="Calibri" w:cs="Calibri"/>
                <w:color w:val="000000"/>
                <w:sz w:val="18"/>
                <w:szCs w:val="18"/>
              </w:rPr>
              <w:t>Transthyretin amyloid cardiomyopathy (ATTR-CM)</w:t>
            </w:r>
          </w:p>
        </w:tc>
        <w:tc>
          <w:tcPr>
            <w:tcW w:w="238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3889FF0" w14:textId="4D7141D3" w:rsidR="004D7F10" w:rsidRPr="005F21D6" w:rsidRDefault="004D7F10" w:rsidP="004D7F10">
            <w:pPr>
              <w:jc w:val="center"/>
              <w:rPr>
                <w:rFonts w:asciiTheme="minorHAnsi" w:hAnsiTheme="minorHAnsi" w:cstheme="minorHAnsi"/>
                <w:color w:val="000000"/>
                <w:sz w:val="18"/>
                <w:szCs w:val="18"/>
              </w:rPr>
            </w:pPr>
            <w:r>
              <w:rPr>
                <w:rFonts w:ascii="Calibri" w:hAnsi="Calibri" w:cs="Calibri"/>
                <w:color w:val="000000"/>
                <w:sz w:val="18"/>
                <w:szCs w:val="18"/>
              </w:rPr>
              <w:t xml:space="preserve">To request revision of the previously estimated utilisation of tafamidis for the treatment of ATTR-CM, specifically, an increase to the subsidisation caps for the current Risk Sharing Arrangement (RSA). </w:t>
            </w:r>
            <w:r>
              <w:rPr>
                <w:rFonts w:ascii="Calibri" w:hAnsi="Calibri" w:cs="Calibri"/>
                <w:color w:val="000000"/>
                <w:sz w:val="18"/>
                <w:szCs w:val="18"/>
              </w:rPr>
              <w:br/>
            </w:r>
            <w:r>
              <w:rPr>
                <w:rFonts w:ascii="Calibri" w:hAnsi="Calibri" w:cs="Calibri"/>
                <w:color w:val="000000"/>
                <w:sz w:val="18"/>
                <w:szCs w:val="18"/>
              </w:rPr>
              <w:br/>
              <w:t>Authority Required (Written or Telephone/Online) for initial treatment</w:t>
            </w:r>
            <w:r>
              <w:rPr>
                <w:rFonts w:ascii="Calibri" w:hAnsi="Calibri" w:cs="Calibri"/>
                <w:color w:val="000000"/>
                <w:sz w:val="18"/>
                <w:szCs w:val="18"/>
              </w:rPr>
              <w:br/>
              <w:t>Authority Required (Telephone/Online) for continuing treatment</w:t>
            </w:r>
          </w:p>
        </w:tc>
        <w:tc>
          <w:tcPr>
            <w:tcW w:w="1415" w:type="dxa"/>
            <w:vAlign w:val="center"/>
          </w:tcPr>
          <w:p w14:paraId="0B6CADBB" w14:textId="0CF70A41" w:rsidR="004D7F10" w:rsidRPr="00544E10" w:rsidRDefault="004D7F10" w:rsidP="00D428AC">
            <w:pPr>
              <w:ind w:left="11"/>
              <w:contextualSpacing/>
              <w:jc w:val="center"/>
              <w:rPr>
                <w:rFonts w:asciiTheme="minorHAnsi" w:hAnsiTheme="minorHAnsi" w:cstheme="minorHAnsi"/>
                <w:color w:val="000000" w:themeColor="text1"/>
                <w:sz w:val="18"/>
                <w:szCs w:val="18"/>
              </w:rPr>
            </w:pPr>
            <w:r>
              <w:rPr>
                <w:rFonts w:ascii="Calibri" w:hAnsi="Calibri" w:cs="Calibri"/>
                <w:color w:val="000000"/>
                <w:sz w:val="18"/>
                <w:szCs w:val="18"/>
              </w:rPr>
              <w:t>Not Recommended</w:t>
            </w:r>
          </w:p>
        </w:tc>
        <w:tc>
          <w:tcPr>
            <w:tcW w:w="4729" w:type="dxa"/>
            <w:vAlign w:val="center"/>
          </w:tcPr>
          <w:p w14:paraId="0F2C7C1E" w14:textId="77777777" w:rsidR="004D7F10" w:rsidRDefault="004D7F10" w:rsidP="00D428AC">
            <w:pPr>
              <w:ind w:left="11"/>
              <w:contextualSpacing/>
              <w:rPr>
                <w:rFonts w:ascii="Calibri" w:hAnsi="Calibri" w:cs="Calibri"/>
                <w:color w:val="000000"/>
                <w:sz w:val="18"/>
                <w:szCs w:val="18"/>
              </w:rPr>
            </w:pPr>
            <w:r>
              <w:rPr>
                <w:rFonts w:ascii="Calibri" w:hAnsi="Calibri" w:cs="Calibri"/>
                <w:color w:val="000000"/>
                <w:sz w:val="18"/>
                <w:szCs w:val="18"/>
              </w:rPr>
              <w:t xml:space="preserve">The PBAC did not recommend changes to the risk sharing arrangement (RSA) for tafamidis for the treatment of transthyretin amyloid cardiomyopathy (ATTR-CM). The PBAC agreed that a change to the RSA expenditure caps may be appropriate, but not to the degree proposed. The PBAC considered that the revised financial estimates and prevalence data presented in the submission were uncertain. The PBAC recognised that newer diagnostic techniques (i.e. bone scanning) have increased ATTR-CM diagnosis, and expanded the population treated with tafamidis above the existing patient estimates. The PBAC raised concerns that the expanded population may differ from the population that was originally recommended for PBS listing, especially with different diagnostic criteria and the use of SGLT2 inhibitors in heart failure with preserved ejection fraction (HFpEF). The PBAC advised that a submission was required that provides evidence supporting equivalence between diagnosis of ATTR-CM using the clinical trial (ATTRACT) criteria and bone scanning, and that the magnitude of benefit is the same across the whole population. </w:t>
            </w:r>
          </w:p>
          <w:p w14:paraId="45F19B82" w14:textId="77777777" w:rsidR="00957109" w:rsidRDefault="00957109" w:rsidP="00D428AC">
            <w:pPr>
              <w:ind w:left="11"/>
              <w:contextualSpacing/>
              <w:rPr>
                <w:rFonts w:ascii="Calibri" w:hAnsi="Calibri" w:cs="Calibri"/>
                <w:color w:val="000000"/>
                <w:sz w:val="18"/>
                <w:szCs w:val="18"/>
              </w:rPr>
            </w:pPr>
          </w:p>
          <w:p w14:paraId="60F4D171" w14:textId="3FA53D44" w:rsidR="00957109" w:rsidRDefault="00957109" w:rsidP="00D428AC">
            <w:pPr>
              <w:ind w:left="11"/>
              <w:contextualSpacing/>
              <w:rPr>
                <w:rFonts w:ascii="Calibri" w:hAnsi="Calibri" w:cs="Calibri"/>
                <w:color w:val="000000"/>
                <w:sz w:val="18"/>
                <w:szCs w:val="18"/>
              </w:rPr>
            </w:pPr>
            <w:r>
              <w:rPr>
                <w:rFonts w:ascii="Calibri" w:hAnsi="Calibri" w:cs="Calibri"/>
                <w:color w:val="000000"/>
                <w:sz w:val="18"/>
                <w:szCs w:val="18"/>
              </w:rPr>
              <w:t>Sponsor’s comment:</w:t>
            </w:r>
          </w:p>
          <w:p w14:paraId="635195DB" w14:textId="4695074F" w:rsidR="00957109" w:rsidRPr="00925B4F" w:rsidRDefault="00925B4F" w:rsidP="00D428AC">
            <w:pPr>
              <w:ind w:left="11"/>
              <w:contextualSpacing/>
              <w:rPr>
                <w:rFonts w:ascii="Calibri" w:hAnsi="Calibri" w:cs="Calibri"/>
                <w:color w:val="000000" w:themeColor="text1"/>
                <w:sz w:val="18"/>
                <w:szCs w:val="18"/>
              </w:rPr>
            </w:pPr>
            <w:r w:rsidRPr="00925B4F">
              <w:rPr>
                <w:rFonts w:ascii="Calibri" w:hAnsi="Calibri" w:cs="Calibri"/>
                <w:color w:val="000000" w:themeColor="text1"/>
                <w:sz w:val="18"/>
                <w:szCs w:val="18"/>
              </w:rPr>
              <w:t>The sponsor had no comment.</w:t>
            </w:r>
          </w:p>
        </w:tc>
      </w:tr>
      <w:tr w:rsidR="00C312E5" w:rsidRPr="00544E10" w14:paraId="2E20A97C" w14:textId="77777777" w:rsidTr="003921D1">
        <w:trPr>
          <w:cantSplit/>
          <w:trHeight w:val="868"/>
        </w:trPr>
        <w:tc>
          <w:tcPr>
            <w:tcW w:w="294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3F60D4A" w14:textId="5B510444" w:rsidR="004D7F10" w:rsidRPr="005F21D6" w:rsidRDefault="004D7F10" w:rsidP="004D7F10">
            <w:pPr>
              <w:jc w:val="center"/>
              <w:rPr>
                <w:rFonts w:asciiTheme="minorHAnsi" w:hAnsiTheme="minorHAnsi" w:cstheme="minorHAnsi"/>
                <w:color w:val="000000"/>
                <w:szCs w:val="20"/>
              </w:rPr>
            </w:pPr>
            <w:r>
              <w:rPr>
                <w:rFonts w:ascii="Calibri" w:hAnsi="Calibri" w:cs="Calibri"/>
                <w:color w:val="000000"/>
                <w:sz w:val="18"/>
                <w:szCs w:val="18"/>
              </w:rPr>
              <w:t>TAFASITAMAB</w:t>
            </w:r>
            <w:r>
              <w:rPr>
                <w:rFonts w:ascii="Calibri" w:hAnsi="Calibri" w:cs="Calibri"/>
                <w:color w:val="000000"/>
                <w:sz w:val="18"/>
                <w:szCs w:val="18"/>
              </w:rPr>
              <w:br/>
            </w:r>
            <w:r>
              <w:rPr>
                <w:rFonts w:ascii="Calibri" w:hAnsi="Calibri" w:cs="Calibri"/>
                <w:color w:val="000000"/>
                <w:sz w:val="18"/>
                <w:szCs w:val="18"/>
              </w:rPr>
              <w:br/>
              <w:t xml:space="preserve">Powder for I.V. infusion 200 mg </w:t>
            </w:r>
            <w:r>
              <w:rPr>
                <w:rFonts w:ascii="Calibri" w:hAnsi="Calibri" w:cs="Calibri"/>
                <w:color w:val="000000"/>
                <w:sz w:val="18"/>
                <w:szCs w:val="18"/>
              </w:rPr>
              <w:br/>
            </w:r>
            <w:r>
              <w:rPr>
                <w:rFonts w:ascii="Calibri" w:hAnsi="Calibri" w:cs="Calibri"/>
                <w:color w:val="000000"/>
                <w:sz w:val="18"/>
                <w:szCs w:val="18"/>
              </w:rPr>
              <w:br/>
            </w:r>
            <w:proofErr w:type="spellStart"/>
            <w:r>
              <w:rPr>
                <w:rFonts w:ascii="Calibri" w:hAnsi="Calibri" w:cs="Calibri"/>
                <w:color w:val="000000"/>
                <w:sz w:val="18"/>
                <w:szCs w:val="18"/>
              </w:rPr>
              <w:t>Minjuvi</w:t>
            </w:r>
            <w:proofErr w:type="spellEnd"/>
            <w:r>
              <w:rPr>
                <w:rFonts w:ascii="Calibri" w:hAnsi="Calibri" w:cs="Calibri"/>
                <w:color w:val="000000"/>
                <w:sz w:val="18"/>
                <w:szCs w:val="18"/>
              </w:rPr>
              <w:t>®</w:t>
            </w:r>
            <w:r>
              <w:rPr>
                <w:rFonts w:ascii="Calibri" w:hAnsi="Calibri" w:cs="Calibri"/>
                <w:color w:val="000000"/>
                <w:sz w:val="18"/>
                <w:szCs w:val="18"/>
              </w:rPr>
              <w:br/>
            </w:r>
            <w:r>
              <w:rPr>
                <w:rFonts w:ascii="Calibri" w:hAnsi="Calibri" w:cs="Calibri"/>
                <w:color w:val="000000"/>
                <w:sz w:val="18"/>
                <w:szCs w:val="18"/>
              </w:rPr>
              <w:br/>
              <w:t>SPECIALISED THERAPEUTICS ALIM PTY LTD</w:t>
            </w:r>
            <w:r>
              <w:rPr>
                <w:rFonts w:ascii="Calibri" w:hAnsi="Calibri" w:cs="Calibri"/>
                <w:color w:val="000000"/>
                <w:sz w:val="18"/>
                <w:szCs w:val="18"/>
              </w:rPr>
              <w:br/>
            </w:r>
            <w:r>
              <w:rPr>
                <w:rFonts w:ascii="Calibri" w:hAnsi="Calibri" w:cs="Calibri"/>
                <w:color w:val="000000"/>
                <w:sz w:val="18"/>
                <w:szCs w:val="18"/>
              </w:rPr>
              <w:br/>
            </w:r>
            <w:r>
              <w:rPr>
                <w:rFonts w:ascii="Calibri" w:hAnsi="Calibri" w:cs="Calibri"/>
                <w:color w:val="000000"/>
                <w:sz w:val="18"/>
                <w:szCs w:val="18"/>
              </w:rPr>
              <w:br/>
              <w:t xml:space="preserve">Matters outstanding </w:t>
            </w:r>
            <w:r>
              <w:rPr>
                <w:rFonts w:ascii="Calibri" w:hAnsi="Calibri" w:cs="Calibri"/>
                <w:color w:val="000000"/>
                <w:sz w:val="18"/>
                <w:szCs w:val="18"/>
              </w:rPr>
              <w:br/>
              <w:t xml:space="preserve">(New PBS </w:t>
            </w:r>
            <w:r w:rsidR="00957109">
              <w:rPr>
                <w:rFonts w:ascii="Calibri" w:hAnsi="Calibri" w:cs="Calibri"/>
                <w:color w:val="000000"/>
                <w:sz w:val="18"/>
                <w:szCs w:val="18"/>
              </w:rPr>
              <w:t>listing)</w:t>
            </w:r>
            <w:r>
              <w:rPr>
                <w:rFonts w:ascii="Calibri" w:hAnsi="Calibri" w:cs="Calibri"/>
                <w:color w:val="000000"/>
                <w:sz w:val="18"/>
                <w:szCs w:val="18"/>
              </w:rPr>
              <w:br/>
            </w:r>
            <w:r>
              <w:rPr>
                <w:rFonts w:ascii="Calibri" w:hAnsi="Calibri" w:cs="Calibri"/>
                <w:color w:val="000000"/>
                <w:sz w:val="18"/>
                <w:szCs w:val="18"/>
              </w:rPr>
              <w:br/>
              <w:t xml:space="preserve">PBS Section 100 </w:t>
            </w:r>
            <w:r w:rsidR="00717CD4">
              <w:rPr>
                <w:rFonts w:ascii="Calibri" w:hAnsi="Calibri" w:cs="Calibri"/>
                <w:color w:val="000000"/>
                <w:sz w:val="18"/>
                <w:szCs w:val="18"/>
              </w:rPr>
              <w:br/>
            </w:r>
            <w:r>
              <w:rPr>
                <w:rFonts w:ascii="Calibri" w:hAnsi="Calibri" w:cs="Calibri"/>
                <w:color w:val="000000"/>
                <w:sz w:val="18"/>
                <w:szCs w:val="18"/>
              </w:rPr>
              <w:t xml:space="preserve">(Efficient Funding of Chemotherapy Program) </w:t>
            </w:r>
          </w:p>
        </w:tc>
        <w:tc>
          <w:tcPr>
            <w:tcW w:w="1983" w:type="dxa"/>
            <w:tcBorders>
              <w:top w:val="single" w:sz="4" w:space="0" w:color="auto"/>
              <w:left w:val="single" w:sz="4" w:space="0" w:color="auto"/>
              <w:bottom w:val="single" w:sz="4" w:space="0" w:color="auto"/>
              <w:right w:val="single" w:sz="4" w:space="0" w:color="auto"/>
            </w:tcBorders>
            <w:vAlign w:val="center"/>
          </w:tcPr>
          <w:p w14:paraId="316888FB" w14:textId="4FEE18B8" w:rsidR="004D7F10" w:rsidRPr="005F21D6" w:rsidRDefault="004D7F10" w:rsidP="004D7F10">
            <w:pPr>
              <w:jc w:val="center"/>
              <w:rPr>
                <w:rFonts w:asciiTheme="minorHAnsi" w:hAnsiTheme="minorHAnsi" w:cstheme="minorHAnsi"/>
                <w:color w:val="000000"/>
                <w:sz w:val="18"/>
                <w:szCs w:val="18"/>
              </w:rPr>
            </w:pPr>
            <w:r>
              <w:rPr>
                <w:rFonts w:ascii="Calibri" w:hAnsi="Calibri" w:cs="Calibri"/>
                <w:color w:val="000000"/>
                <w:sz w:val="18"/>
                <w:szCs w:val="18"/>
              </w:rPr>
              <w:t>Relapsed and/or refractory follicular lymphoma (FL)</w:t>
            </w:r>
          </w:p>
        </w:tc>
        <w:tc>
          <w:tcPr>
            <w:tcW w:w="238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25BC866" w14:textId="7C373B15" w:rsidR="004D7F10" w:rsidRPr="005F21D6" w:rsidRDefault="004D7F10" w:rsidP="004D7F10">
            <w:pPr>
              <w:jc w:val="center"/>
              <w:rPr>
                <w:rFonts w:asciiTheme="minorHAnsi" w:hAnsiTheme="minorHAnsi" w:cstheme="minorHAnsi"/>
                <w:color w:val="000000"/>
                <w:sz w:val="18"/>
                <w:szCs w:val="18"/>
              </w:rPr>
            </w:pPr>
            <w:r>
              <w:rPr>
                <w:rFonts w:ascii="Calibri" w:hAnsi="Calibri" w:cs="Calibri"/>
                <w:color w:val="000000"/>
                <w:sz w:val="18"/>
                <w:szCs w:val="18"/>
              </w:rPr>
              <w:t xml:space="preserve">To request listing of </w:t>
            </w:r>
            <w:proofErr w:type="spellStart"/>
            <w:r>
              <w:rPr>
                <w:rFonts w:ascii="Calibri" w:hAnsi="Calibri" w:cs="Calibri"/>
                <w:color w:val="000000"/>
                <w:sz w:val="18"/>
                <w:szCs w:val="18"/>
              </w:rPr>
              <w:t>tafasitamab</w:t>
            </w:r>
            <w:proofErr w:type="spellEnd"/>
            <w:r>
              <w:rPr>
                <w:rFonts w:ascii="Calibri" w:hAnsi="Calibri" w:cs="Calibri"/>
                <w:color w:val="000000"/>
                <w:sz w:val="18"/>
                <w:szCs w:val="18"/>
              </w:rPr>
              <w:t xml:space="preserve"> for use in combination with lenalidomide and </w:t>
            </w:r>
            <w:r>
              <w:rPr>
                <w:rFonts w:ascii="Calibri" w:hAnsi="Calibri" w:cs="Calibri"/>
                <w:color w:val="000000"/>
                <w:sz w:val="18"/>
                <w:szCs w:val="18"/>
              </w:rPr>
              <w:br/>
              <w:t xml:space="preserve">rituximab for the treatment of patients with relapsed and/or refractory FL. This item was deferred at the November 2025 PBAC meeting. </w:t>
            </w:r>
            <w:r>
              <w:rPr>
                <w:rFonts w:ascii="Calibri" w:hAnsi="Calibri" w:cs="Calibri"/>
                <w:color w:val="000000"/>
                <w:sz w:val="18"/>
                <w:szCs w:val="18"/>
              </w:rPr>
              <w:br/>
              <w:t xml:space="preserve"> </w:t>
            </w:r>
            <w:r>
              <w:rPr>
                <w:rFonts w:ascii="Calibri" w:hAnsi="Calibri" w:cs="Calibri"/>
                <w:color w:val="000000"/>
                <w:sz w:val="18"/>
                <w:szCs w:val="18"/>
              </w:rPr>
              <w:br/>
              <w:t xml:space="preserve">Authority Required (Telephone/Online) </w:t>
            </w:r>
          </w:p>
        </w:tc>
        <w:tc>
          <w:tcPr>
            <w:tcW w:w="1415" w:type="dxa"/>
            <w:vAlign w:val="center"/>
          </w:tcPr>
          <w:p w14:paraId="6623A1E8" w14:textId="6DE29893" w:rsidR="004D7F10" w:rsidRPr="00544E10" w:rsidRDefault="004D7F10" w:rsidP="00D428AC">
            <w:pPr>
              <w:ind w:left="11"/>
              <w:contextualSpacing/>
              <w:jc w:val="center"/>
              <w:rPr>
                <w:rFonts w:asciiTheme="minorHAnsi" w:hAnsiTheme="minorHAnsi" w:cstheme="minorHAnsi"/>
                <w:color w:val="000000" w:themeColor="text1"/>
                <w:sz w:val="18"/>
                <w:szCs w:val="18"/>
              </w:rPr>
            </w:pPr>
            <w:r>
              <w:rPr>
                <w:rFonts w:ascii="Calibri" w:hAnsi="Calibri" w:cs="Calibri"/>
                <w:color w:val="000000"/>
                <w:sz w:val="18"/>
                <w:szCs w:val="18"/>
              </w:rPr>
              <w:t>Recommended</w:t>
            </w:r>
          </w:p>
        </w:tc>
        <w:tc>
          <w:tcPr>
            <w:tcW w:w="4729" w:type="dxa"/>
            <w:vAlign w:val="center"/>
          </w:tcPr>
          <w:p w14:paraId="00072B9C" w14:textId="29043AA9" w:rsidR="004D7F10" w:rsidRPr="00544E10" w:rsidRDefault="004D7F10" w:rsidP="00D428AC">
            <w:pPr>
              <w:ind w:left="11"/>
              <w:contextualSpacing/>
              <w:rPr>
                <w:rFonts w:asciiTheme="minorHAnsi" w:hAnsiTheme="minorHAnsi" w:cstheme="minorHAnsi"/>
                <w:color w:val="000000" w:themeColor="text1"/>
                <w:sz w:val="18"/>
                <w:szCs w:val="18"/>
              </w:rPr>
            </w:pPr>
            <w:r>
              <w:rPr>
                <w:rFonts w:ascii="Calibri" w:hAnsi="Calibri" w:cs="Calibri"/>
                <w:color w:val="000000"/>
                <w:sz w:val="18"/>
                <w:szCs w:val="18"/>
              </w:rPr>
              <w:t xml:space="preserve">The PBAC recommended the PBS listing of </w:t>
            </w:r>
            <w:proofErr w:type="spellStart"/>
            <w:r>
              <w:rPr>
                <w:rFonts w:ascii="Calibri" w:hAnsi="Calibri" w:cs="Calibri"/>
                <w:color w:val="000000"/>
                <w:sz w:val="18"/>
                <w:szCs w:val="18"/>
              </w:rPr>
              <w:t>tafasitamab</w:t>
            </w:r>
            <w:proofErr w:type="spellEnd"/>
            <w:r>
              <w:rPr>
                <w:rFonts w:ascii="Calibri" w:hAnsi="Calibri" w:cs="Calibri"/>
                <w:color w:val="000000"/>
                <w:sz w:val="18"/>
                <w:szCs w:val="18"/>
              </w:rPr>
              <w:t xml:space="preserve"> for use in combination with lenalidomide and rituximab for the treatment of patients with relapsed or refractory follicular lymphoma (FL). In November 2025, the PBAC was of a mind to recommend </w:t>
            </w:r>
            <w:proofErr w:type="spellStart"/>
            <w:r>
              <w:rPr>
                <w:rFonts w:ascii="Calibri" w:hAnsi="Calibri" w:cs="Calibri"/>
                <w:color w:val="000000"/>
                <w:sz w:val="18"/>
                <w:szCs w:val="18"/>
              </w:rPr>
              <w:t>tafasitamab</w:t>
            </w:r>
            <w:proofErr w:type="spellEnd"/>
            <w:r>
              <w:rPr>
                <w:rFonts w:ascii="Calibri" w:hAnsi="Calibri" w:cs="Calibri"/>
                <w:color w:val="000000"/>
                <w:sz w:val="18"/>
                <w:szCs w:val="18"/>
              </w:rPr>
              <w:t xml:space="preserve"> but deferred its decision as the Therapeutics Goods Administration had not yet approved the medicine.  At its March 2026 meeting, the PBAC made its recommendation noting that the TGA has since supported the registration of </w:t>
            </w:r>
            <w:proofErr w:type="spellStart"/>
            <w:r>
              <w:rPr>
                <w:rFonts w:ascii="Calibri" w:hAnsi="Calibri" w:cs="Calibri"/>
                <w:color w:val="000000"/>
                <w:sz w:val="18"/>
                <w:szCs w:val="18"/>
              </w:rPr>
              <w:t>tafasitamab</w:t>
            </w:r>
            <w:proofErr w:type="spellEnd"/>
            <w:r>
              <w:rPr>
                <w:rFonts w:ascii="Calibri" w:hAnsi="Calibri" w:cs="Calibri"/>
                <w:color w:val="000000"/>
                <w:sz w:val="18"/>
                <w:szCs w:val="18"/>
              </w:rPr>
              <w:t xml:space="preserve"> in Australia. </w:t>
            </w:r>
            <w:r>
              <w:rPr>
                <w:rFonts w:ascii="Calibri" w:hAnsi="Calibri" w:cs="Calibri"/>
                <w:color w:val="000000"/>
                <w:sz w:val="18"/>
                <w:szCs w:val="18"/>
              </w:rPr>
              <w:br/>
              <w:t xml:space="preserve"> </w:t>
            </w:r>
            <w:r>
              <w:rPr>
                <w:rFonts w:ascii="Calibri" w:hAnsi="Calibri" w:cs="Calibri"/>
                <w:color w:val="000000"/>
                <w:sz w:val="18"/>
                <w:szCs w:val="18"/>
              </w:rPr>
              <w:br/>
              <w:t>The PBAC noted previous input from health care professionals and organisations. It acknowledged the unmet needs for patients with FL, particularly those who are not fit for or unable to access stem cell transplantation.</w:t>
            </w:r>
            <w:r>
              <w:rPr>
                <w:rFonts w:ascii="Calibri" w:hAnsi="Calibri" w:cs="Calibri"/>
                <w:color w:val="000000"/>
                <w:sz w:val="18"/>
                <w:szCs w:val="18"/>
              </w:rPr>
              <w:br/>
              <w:t xml:space="preserve"> </w:t>
            </w:r>
            <w:r>
              <w:rPr>
                <w:rFonts w:ascii="Calibri" w:hAnsi="Calibri" w:cs="Calibri"/>
                <w:color w:val="000000"/>
                <w:sz w:val="18"/>
                <w:szCs w:val="18"/>
              </w:rPr>
              <w:br/>
              <w:t xml:space="preserve">While there were no head-to-head trials, the PBAC noted it has previously accepted that </w:t>
            </w:r>
            <w:proofErr w:type="spellStart"/>
            <w:r>
              <w:rPr>
                <w:rFonts w:ascii="Calibri" w:hAnsi="Calibri" w:cs="Calibri"/>
                <w:color w:val="000000"/>
                <w:sz w:val="18"/>
                <w:szCs w:val="18"/>
              </w:rPr>
              <w:t>tafasitamab</w:t>
            </w:r>
            <w:proofErr w:type="spellEnd"/>
            <w:r>
              <w:rPr>
                <w:rFonts w:ascii="Calibri" w:hAnsi="Calibri" w:cs="Calibri"/>
                <w:color w:val="000000"/>
                <w:sz w:val="18"/>
                <w:szCs w:val="18"/>
              </w:rPr>
              <w:t xml:space="preserve"> was more effective than rituximab-based chemotherapy at improving progression-free survival (the length of time that patients lived without their cancer progressing after treatment). However, the evidence in the submission did not allow confidence about the extent to which these outcomes would be realised in Australia. The </w:t>
            </w:r>
            <w:proofErr w:type="spellStart"/>
            <w:r>
              <w:rPr>
                <w:rFonts w:ascii="Calibri" w:hAnsi="Calibri" w:cs="Calibri"/>
                <w:color w:val="000000"/>
                <w:sz w:val="18"/>
                <w:szCs w:val="18"/>
              </w:rPr>
              <w:t>tafasitamab</w:t>
            </w:r>
            <w:proofErr w:type="spellEnd"/>
            <w:r>
              <w:rPr>
                <w:rFonts w:ascii="Calibri" w:hAnsi="Calibri" w:cs="Calibri"/>
                <w:color w:val="000000"/>
                <w:sz w:val="18"/>
                <w:szCs w:val="18"/>
              </w:rPr>
              <w:t xml:space="preserve"> trial included treatment with lenalidomide and rituximab in place of rituximab-based chemotherapy in the </w:t>
            </w:r>
            <w:proofErr w:type="spellStart"/>
            <w:r>
              <w:rPr>
                <w:rFonts w:ascii="Calibri" w:hAnsi="Calibri" w:cs="Calibri"/>
                <w:color w:val="000000"/>
                <w:sz w:val="18"/>
                <w:szCs w:val="18"/>
              </w:rPr>
              <w:t>tafasitamab</w:t>
            </w:r>
            <w:proofErr w:type="spellEnd"/>
            <w:r>
              <w:rPr>
                <w:rFonts w:ascii="Calibri" w:hAnsi="Calibri" w:cs="Calibri"/>
                <w:color w:val="000000"/>
                <w:sz w:val="18"/>
                <w:szCs w:val="18"/>
              </w:rPr>
              <w:t xml:space="preserve"> and control arms of the study. Rituximab-based chemotherapy is standard of care in Australian clinical practice. Also, the trial results did not clearly show that </w:t>
            </w:r>
            <w:proofErr w:type="spellStart"/>
            <w:r>
              <w:rPr>
                <w:rFonts w:ascii="Calibri" w:hAnsi="Calibri" w:cs="Calibri"/>
                <w:color w:val="000000"/>
                <w:sz w:val="18"/>
                <w:szCs w:val="18"/>
              </w:rPr>
              <w:t>tafasitamab</w:t>
            </w:r>
            <w:proofErr w:type="spellEnd"/>
            <w:r>
              <w:rPr>
                <w:rFonts w:ascii="Calibri" w:hAnsi="Calibri" w:cs="Calibri"/>
                <w:color w:val="000000"/>
                <w:sz w:val="18"/>
                <w:szCs w:val="18"/>
              </w:rPr>
              <w:t xml:space="preserve"> was better at improving overall survival (length of time that patients remained alive after starting treatment). The PBAC considered that </w:t>
            </w:r>
            <w:proofErr w:type="spellStart"/>
            <w:r>
              <w:rPr>
                <w:rFonts w:ascii="Calibri" w:hAnsi="Calibri" w:cs="Calibri"/>
                <w:color w:val="000000"/>
                <w:sz w:val="18"/>
                <w:szCs w:val="18"/>
              </w:rPr>
              <w:t>tafasitamab</w:t>
            </w:r>
            <w:proofErr w:type="spellEnd"/>
            <w:r>
              <w:rPr>
                <w:rFonts w:ascii="Calibri" w:hAnsi="Calibri" w:cs="Calibri"/>
                <w:color w:val="000000"/>
                <w:sz w:val="18"/>
                <w:szCs w:val="18"/>
              </w:rPr>
              <w:t xml:space="preserve"> (with lenalidomide and rituximab) was less safe than rituximab-based chemotherapy. </w:t>
            </w:r>
            <w:r>
              <w:rPr>
                <w:rFonts w:ascii="Calibri" w:hAnsi="Calibri" w:cs="Calibri"/>
                <w:color w:val="000000"/>
                <w:sz w:val="18"/>
                <w:szCs w:val="18"/>
              </w:rPr>
              <w:br/>
              <w:t xml:space="preserve"> </w:t>
            </w:r>
            <w:r>
              <w:rPr>
                <w:rFonts w:ascii="Calibri" w:hAnsi="Calibri" w:cs="Calibri"/>
                <w:color w:val="000000"/>
                <w:sz w:val="18"/>
                <w:szCs w:val="18"/>
              </w:rPr>
              <w:br/>
              <w:t xml:space="preserve">The PBAC considered that the benefits claimed by the sponsor to justify its requested price were too optimistic, particularly its estimates of the increase in survival. The PBAC considered that a reduced price that reflected more realistic estimates of benefits would be acceptable. The PBAC considered the overall cost to the public to be overestimated and advised that adjustments were required in estimating a more accurate cost. </w:t>
            </w:r>
            <w:r>
              <w:rPr>
                <w:rFonts w:ascii="Calibri" w:hAnsi="Calibri" w:cs="Calibri"/>
                <w:color w:val="000000"/>
                <w:sz w:val="18"/>
                <w:szCs w:val="18"/>
              </w:rPr>
              <w:br/>
              <w:t xml:space="preserve"> </w:t>
            </w:r>
            <w:r>
              <w:rPr>
                <w:rFonts w:ascii="Calibri" w:hAnsi="Calibri" w:cs="Calibri"/>
                <w:color w:val="000000"/>
                <w:sz w:val="18"/>
                <w:szCs w:val="18"/>
              </w:rPr>
              <w:br/>
              <w:t xml:space="preserve">The PBAC considered a risk-sharing arrangement was required to address any residual uncertainty regarding the estimated patient numbers. </w:t>
            </w:r>
            <w:r>
              <w:rPr>
                <w:rFonts w:ascii="Calibri" w:hAnsi="Calibri" w:cs="Calibri"/>
                <w:color w:val="000000"/>
                <w:sz w:val="18"/>
                <w:szCs w:val="18"/>
              </w:rPr>
              <w:br/>
              <w:t xml:space="preserve"> </w:t>
            </w:r>
            <w:r>
              <w:rPr>
                <w:rFonts w:ascii="Calibri" w:hAnsi="Calibri" w:cs="Calibri"/>
                <w:color w:val="000000"/>
                <w:sz w:val="18"/>
                <w:szCs w:val="18"/>
              </w:rPr>
              <w:br/>
              <w:t xml:space="preserve">The PBAC noted that listing </w:t>
            </w:r>
            <w:proofErr w:type="spellStart"/>
            <w:r>
              <w:rPr>
                <w:rFonts w:ascii="Calibri" w:hAnsi="Calibri" w:cs="Calibri"/>
                <w:color w:val="000000"/>
                <w:sz w:val="18"/>
                <w:szCs w:val="18"/>
              </w:rPr>
              <w:t>tafasitamab</w:t>
            </w:r>
            <w:proofErr w:type="spellEnd"/>
            <w:r>
              <w:rPr>
                <w:rFonts w:ascii="Calibri" w:hAnsi="Calibri" w:cs="Calibri"/>
                <w:color w:val="000000"/>
                <w:sz w:val="18"/>
                <w:szCs w:val="18"/>
              </w:rPr>
              <w:t xml:space="preserve"> for use in combination with lenalidomide and rituximab would require a Section 100 Highly Specialised Drug Program Authority Required (Telephone/Online) listing of lenalidomide to enable use in combination with </w:t>
            </w:r>
            <w:proofErr w:type="spellStart"/>
            <w:r>
              <w:rPr>
                <w:rFonts w:ascii="Calibri" w:hAnsi="Calibri" w:cs="Calibri"/>
                <w:color w:val="000000"/>
                <w:sz w:val="18"/>
                <w:szCs w:val="18"/>
              </w:rPr>
              <w:t>tafasitamab</w:t>
            </w:r>
            <w:proofErr w:type="spellEnd"/>
            <w:r>
              <w:rPr>
                <w:rFonts w:ascii="Calibri" w:hAnsi="Calibri" w:cs="Calibri"/>
                <w:color w:val="000000"/>
                <w:sz w:val="18"/>
                <w:szCs w:val="18"/>
              </w:rPr>
              <w:t xml:space="preserve">. </w:t>
            </w:r>
          </w:p>
        </w:tc>
      </w:tr>
      <w:tr w:rsidR="00C312E5" w:rsidRPr="00544E10" w14:paraId="4A35B030" w14:textId="77777777" w:rsidTr="003921D1">
        <w:trPr>
          <w:cantSplit/>
          <w:trHeight w:val="868"/>
        </w:trPr>
        <w:tc>
          <w:tcPr>
            <w:tcW w:w="294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8DB8EC8" w14:textId="77777777" w:rsidR="006E4D5E" w:rsidRDefault="004D7F10" w:rsidP="006E4D5E">
            <w:pPr>
              <w:spacing w:after="0"/>
              <w:jc w:val="center"/>
              <w:rPr>
                <w:rFonts w:ascii="Calibri" w:hAnsi="Calibri" w:cs="Calibri"/>
                <w:color w:val="000000"/>
                <w:sz w:val="18"/>
                <w:szCs w:val="18"/>
              </w:rPr>
            </w:pPr>
            <w:r>
              <w:rPr>
                <w:rFonts w:ascii="Calibri" w:hAnsi="Calibri" w:cs="Calibri"/>
                <w:color w:val="000000"/>
                <w:sz w:val="18"/>
                <w:szCs w:val="18"/>
              </w:rPr>
              <w:t>TARLATAMAB</w:t>
            </w:r>
            <w:r>
              <w:rPr>
                <w:rFonts w:ascii="Calibri" w:hAnsi="Calibri" w:cs="Calibri"/>
                <w:color w:val="000000"/>
                <w:sz w:val="18"/>
                <w:szCs w:val="18"/>
              </w:rPr>
              <w:br/>
            </w:r>
            <w:r>
              <w:rPr>
                <w:rFonts w:ascii="Calibri" w:hAnsi="Calibri" w:cs="Calibri"/>
                <w:color w:val="000000"/>
                <w:sz w:val="18"/>
                <w:szCs w:val="18"/>
              </w:rPr>
              <w:br/>
              <w:t>Powder for injection 1 mg</w:t>
            </w:r>
            <w:r>
              <w:rPr>
                <w:rFonts w:ascii="Calibri" w:hAnsi="Calibri" w:cs="Calibri"/>
                <w:color w:val="000000"/>
                <w:sz w:val="18"/>
                <w:szCs w:val="18"/>
              </w:rPr>
              <w:br/>
              <w:t>Powder for injection 10 mg</w:t>
            </w:r>
            <w:r>
              <w:rPr>
                <w:rFonts w:ascii="Calibri" w:hAnsi="Calibri" w:cs="Calibri"/>
                <w:color w:val="000000"/>
                <w:sz w:val="18"/>
                <w:szCs w:val="18"/>
              </w:rPr>
              <w:br/>
            </w:r>
            <w:r>
              <w:rPr>
                <w:rFonts w:ascii="Calibri" w:hAnsi="Calibri" w:cs="Calibri"/>
                <w:color w:val="000000"/>
                <w:sz w:val="18"/>
                <w:szCs w:val="18"/>
              </w:rPr>
              <w:br/>
            </w:r>
            <w:proofErr w:type="spellStart"/>
            <w:r>
              <w:rPr>
                <w:rFonts w:ascii="Calibri" w:hAnsi="Calibri" w:cs="Calibri"/>
                <w:color w:val="000000"/>
                <w:sz w:val="18"/>
                <w:szCs w:val="18"/>
              </w:rPr>
              <w:t>Imdelltra</w:t>
            </w:r>
            <w:proofErr w:type="spellEnd"/>
            <w:r>
              <w:rPr>
                <w:rFonts w:ascii="Calibri" w:hAnsi="Calibri" w:cs="Calibri"/>
                <w:color w:val="000000"/>
                <w:sz w:val="18"/>
                <w:szCs w:val="18"/>
              </w:rPr>
              <w:t>®</w:t>
            </w:r>
            <w:r>
              <w:rPr>
                <w:rFonts w:ascii="Calibri" w:hAnsi="Calibri" w:cs="Calibri"/>
                <w:color w:val="000000"/>
                <w:sz w:val="18"/>
                <w:szCs w:val="18"/>
              </w:rPr>
              <w:br/>
            </w:r>
            <w:r>
              <w:rPr>
                <w:rFonts w:ascii="Calibri" w:hAnsi="Calibri" w:cs="Calibri"/>
                <w:color w:val="000000"/>
                <w:sz w:val="18"/>
                <w:szCs w:val="18"/>
              </w:rPr>
              <w:br/>
              <w:t>AMGEN AUSTRALIA PTY LIMITED</w:t>
            </w:r>
            <w:r>
              <w:rPr>
                <w:rFonts w:ascii="Calibri" w:hAnsi="Calibri" w:cs="Calibri"/>
                <w:color w:val="000000"/>
                <w:sz w:val="18"/>
                <w:szCs w:val="18"/>
              </w:rPr>
              <w:br/>
            </w:r>
            <w:r>
              <w:rPr>
                <w:rFonts w:ascii="Calibri" w:hAnsi="Calibri" w:cs="Calibri"/>
                <w:color w:val="000000"/>
                <w:sz w:val="18"/>
                <w:szCs w:val="18"/>
              </w:rPr>
              <w:br/>
              <w:t>Category 1</w:t>
            </w:r>
            <w:r>
              <w:rPr>
                <w:rFonts w:ascii="Calibri" w:hAnsi="Calibri" w:cs="Calibri"/>
                <w:color w:val="000000"/>
                <w:sz w:val="18"/>
                <w:szCs w:val="18"/>
              </w:rPr>
              <w:br/>
              <w:t xml:space="preserve">(New PBS </w:t>
            </w:r>
            <w:r w:rsidR="00957109">
              <w:rPr>
                <w:rFonts w:ascii="Calibri" w:hAnsi="Calibri" w:cs="Calibri"/>
                <w:color w:val="000000"/>
                <w:sz w:val="18"/>
                <w:szCs w:val="18"/>
              </w:rPr>
              <w:t>listing)</w:t>
            </w:r>
            <w:r>
              <w:rPr>
                <w:rFonts w:ascii="Calibri" w:hAnsi="Calibri" w:cs="Calibri"/>
                <w:color w:val="000000"/>
                <w:sz w:val="18"/>
                <w:szCs w:val="18"/>
              </w:rPr>
              <w:br/>
            </w:r>
            <w:r>
              <w:rPr>
                <w:rFonts w:ascii="Calibri" w:hAnsi="Calibri" w:cs="Calibri"/>
                <w:color w:val="000000"/>
                <w:sz w:val="18"/>
                <w:szCs w:val="18"/>
              </w:rPr>
              <w:br/>
              <w:t xml:space="preserve">PBS Section 100 </w:t>
            </w:r>
          </w:p>
          <w:p w14:paraId="3612BB29" w14:textId="4CE0D86C" w:rsidR="004D7F10" w:rsidRPr="005F21D6" w:rsidRDefault="004D7F10" w:rsidP="004D7F10">
            <w:pPr>
              <w:jc w:val="center"/>
              <w:rPr>
                <w:rFonts w:asciiTheme="minorHAnsi" w:hAnsiTheme="minorHAnsi" w:cstheme="minorHAnsi"/>
                <w:color w:val="000000"/>
                <w:szCs w:val="20"/>
              </w:rPr>
            </w:pPr>
            <w:r>
              <w:rPr>
                <w:rFonts w:ascii="Calibri" w:hAnsi="Calibri" w:cs="Calibri"/>
                <w:color w:val="000000"/>
                <w:sz w:val="18"/>
                <w:szCs w:val="18"/>
              </w:rPr>
              <w:t>(Efficient Funding of</w:t>
            </w:r>
            <w:r w:rsidR="006E4D5E">
              <w:rPr>
                <w:rFonts w:ascii="Calibri" w:hAnsi="Calibri" w:cs="Calibri"/>
                <w:color w:val="000000"/>
                <w:sz w:val="18"/>
                <w:szCs w:val="18"/>
              </w:rPr>
              <w:t xml:space="preserve"> </w:t>
            </w:r>
            <w:r>
              <w:rPr>
                <w:rFonts w:ascii="Calibri" w:hAnsi="Calibri" w:cs="Calibri"/>
                <w:color w:val="000000"/>
                <w:sz w:val="18"/>
                <w:szCs w:val="18"/>
              </w:rPr>
              <w:t>Chemotherapy Program)</w:t>
            </w:r>
          </w:p>
        </w:tc>
        <w:tc>
          <w:tcPr>
            <w:tcW w:w="1983" w:type="dxa"/>
            <w:tcBorders>
              <w:top w:val="single" w:sz="4" w:space="0" w:color="auto"/>
              <w:left w:val="single" w:sz="4" w:space="0" w:color="auto"/>
              <w:bottom w:val="single" w:sz="4" w:space="0" w:color="auto"/>
              <w:right w:val="single" w:sz="4" w:space="0" w:color="auto"/>
            </w:tcBorders>
            <w:vAlign w:val="center"/>
          </w:tcPr>
          <w:p w14:paraId="07A2F574" w14:textId="3AA07FA9" w:rsidR="004D7F10" w:rsidRPr="005F21D6" w:rsidRDefault="004D7F10" w:rsidP="004D7F10">
            <w:pPr>
              <w:jc w:val="center"/>
              <w:rPr>
                <w:rFonts w:asciiTheme="minorHAnsi" w:hAnsiTheme="minorHAnsi" w:cstheme="minorHAnsi"/>
                <w:color w:val="000000"/>
                <w:sz w:val="18"/>
                <w:szCs w:val="18"/>
              </w:rPr>
            </w:pPr>
            <w:r>
              <w:rPr>
                <w:rFonts w:ascii="Calibri" w:hAnsi="Calibri" w:cs="Calibri"/>
                <w:color w:val="000000"/>
                <w:sz w:val="18"/>
                <w:szCs w:val="18"/>
              </w:rPr>
              <w:t>Extensive-stage small cell lung cancer (ES-SCLC)</w:t>
            </w:r>
          </w:p>
        </w:tc>
        <w:tc>
          <w:tcPr>
            <w:tcW w:w="238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1AF29A7" w14:textId="3A4E4E23" w:rsidR="004D7F10" w:rsidRPr="005F21D6" w:rsidRDefault="004D7F10" w:rsidP="004D7F10">
            <w:pPr>
              <w:jc w:val="center"/>
              <w:rPr>
                <w:rFonts w:asciiTheme="minorHAnsi" w:hAnsiTheme="minorHAnsi" w:cstheme="minorHAnsi"/>
                <w:color w:val="000000"/>
                <w:sz w:val="18"/>
                <w:szCs w:val="18"/>
              </w:rPr>
            </w:pPr>
            <w:r>
              <w:rPr>
                <w:rFonts w:ascii="Calibri" w:hAnsi="Calibri" w:cs="Calibri"/>
                <w:color w:val="000000"/>
                <w:sz w:val="18"/>
                <w:szCs w:val="18"/>
              </w:rPr>
              <w:t xml:space="preserve">To request listing of </w:t>
            </w:r>
            <w:proofErr w:type="spellStart"/>
            <w:r>
              <w:rPr>
                <w:rFonts w:ascii="Calibri" w:hAnsi="Calibri" w:cs="Calibri"/>
                <w:color w:val="000000"/>
                <w:sz w:val="18"/>
                <w:szCs w:val="18"/>
              </w:rPr>
              <w:t>tarlatamab</w:t>
            </w:r>
            <w:proofErr w:type="spellEnd"/>
            <w:r>
              <w:rPr>
                <w:rFonts w:ascii="Calibri" w:hAnsi="Calibri" w:cs="Calibri"/>
                <w:color w:val="000000"/>
                <w:sz w:val="18"/>
                <w:szCs w:val="18"/>
              </w:rPr>
              <w:t xml:space="preserve"> for second-line and subsequent treatment of adult patients with ES-SCLC whose disease has progressed on or after platinum-based chemotherapy.</w:t>
            </w:r>
            <w:r>
              <w:rPr>
                <w:rFonts w:ascii="Calibri" w:hAnsi="Calibri" w:cs="Calibri"/>
                <w:color w:val="000000"/>
                <w:sz w:val="18"/>
                <w:szCs w:val="18"/>
              </w:rPr>
              <w:br/>
            </w:r>
            <w:r>
              <w:rPr>
                <w:rFonts w:ascii="Calibri" w:hAnsi="Calibri" w:cs="Calibri"/>
                <w:color w:val="000000"/>
                <w:sz w:val="18"/>
                <w:szCs w:val="18"/>
              </w:rPr>
              <w:br/>
              <w:t xml:space="preserve">Authority Required (STREAMLINED) </w:t>
            </w:r>
          </w:p>
        </w:tc>
        <w:tc>
          <w:tcPr>
            <w:tcW w:w="1415" w:type="dxa"/>
            <w:vAlign w:val="center"/>
          </w:tcPr>
          <w:p w14:paraId="07DD9C3A" w14:textId="69186316" w:rsidR="004D7F10" w:rsidRPr="00544E10" w:rsidRDefault="004D7F10" w:rsidP="00D428AC">
            <w:pPr>
              <w:ind w:left="11"/>
              <w:contextualSpacing/>
              <w:jc w:val="center"/>
              <w:rPr>
                <w:rFonts w:asciiTheme="minorHAnsi" w:hAnsiTheme="minorHAnsi" w:cstheme="minorHAnsi"/>
                <w:color w:val="000000" w:themeColor="text1"/>
                <w:sz w:val="18"/>
                <w:szCs w:val="18"/>
              </w:rPr>
            </w:pPr>
            <w:r>
              <w:rPr>
                <w:rFonts w:ascii="Calibri" w:hAnsi="Calibri" w:cs="Calibri"/>
                <w:color w:val="000000"/>
                <w:sz w:val="18"/>
                <w:szCs w:val="18"/>
              </w:rPr>
              <w:t>Not Recommended</w:t>
            </w:r>
          </w:p>
        </w:tc>
        <w:tc>
          <w:tcPr>
            <w:tcW w:w="4729" w:type="dxa"/>
            <w:vAlign w:val="bottom"/>
          </w:tcPr>
          <w:p w14:paraId="5BBF0528" w14:textId="679E430B" w:rsidR="004D7F10" w:rsidRPr="00544E10" w:rsidRDefault="004D7F10" w:rsidP="00D428AC">
            <w:pPr>
              <w:ind w:left="11"/>
              <w:contextualSpacing/>
              <w:rPr>
                <w:rFonts w:asciiTheme="minorHAnsi" w:hAnsiTheme="minorHAnsi" w:cstheme="minorHAnsi"/>
                <w:color w:val="000000" w:themeColor="text1"/>
                <w:sz w:val="18"/>
                <w:szCs w:val="18"/>
              </w:rPr>
            </w:pPr>
            <w:r>
              <w:rPr>
                <w:rFonts w:ascii="Calibri" w:hAnsi="Calibri" w:cs="Calibri"/>
                <w:color w:val="000000"/>
                <w:sz w:val="18"/>
                <w:szCs w:val="18"/>
              </w:rPr>
              <w:t xml:space="preserve">The PBAC did not recommend </w:t>
            </w:r>
            <w:proofErr w:type="spellStart"/>
            <w:r>
              <w:rPr>
                <w:rFonts w:ascii="Calibri" w:hAnsi="Calibri" w:cs="Calibri"/>
                <w:color w:val="000000"/>
                <w:sz w:val="18"/>
                <w:szCs w:val="18"/>
              </w:rPr>
              <w:t>tarlatamab</w:t>
            </w:r>
            <w:proofErr w:type="spellEnd"/>
            <w:r>
              <w:rPr>
                <w:rFonts w:ascii="Calibri" w:hAnsi="Calibri" w:cs="Calibri"/>
                <w:color w:val="000000"/>
                <w:sz w:val="18"/>
                <w:szCs w:val="18"/>
              </w:rPr>
              <w:t xml:space="preserve"> for the treatment of extensive-stage small cell lung cancer (ES-SCLC) with disease progression on or after first line treatment of platinum-based chemotherapy. The PBAC noted there is a high clinical need for patients in this therapeutical area, as ES-SCLC is a rapidly progressive disease and there are limited effective treatments in the second- and later-line settings.</w:t>
            </w:r>
            <w:r>
              <w:rPr>
                <w:rFonts w:ascii="Calibri" w:hAnsi="Calibri" w:cs="Calibri"/>
                <w:color w:val="000000"/>
                <w:sz w:val="18"/>
                <w:szCs w:val="18"/>
              </w:rPr>
              <w:br/>
            </w:r>
            <w:r>
              <w:rPr>
                <w:rFonts w:ascii="Calibri" w:hAnsi="Calibri" w:cs="Calibri"/>
                <w:color w:val="000000"/>
                <w:sz w:val="18"/>
                <w:szCs w:val="18"/>
              </w:rPr>
              <w:br/>
              <w:t xml:space="preserve">The PBAC noted and welcomed comments from health care professionals, individuals who would like access to </w:t>
            </w:r>
            <w:proofErr w:type="spellStart"/>
            <w:r>
              <w:rPr>
                <w:rFonts w:ascii="Calibri" w:hAnsi="Calibri" w:cs="Calibri"/>
                <w:color w:val="000000"/>
                <w:sz w:val="18"/>
                <w:szCs w:val="18"/>
              </w:rPr>
              <w:t>tarlatamab</w:t>
            </w:r>
            <w:proofErr w:type="spellEnd"/>
            <w:r>
              <w:rPr>
                <w:rFonts w:ascii="Calibri" w:hAnsi="Calibri" w:cs="Calibri"/>
                <w:color w:val="000000"/>
                <w:sz w:val="18"/>
                <w:szCs w:val="18"/>
              </w:rPr>
              <w:t xml:space="preserve">, and medical/consumer organisations. The PBAC noted comments highlighting that there was a high clinical need for effective therapies for ES-SCLC, noting that patients currently have few effective treatment options, with only modest clinical benefit, and typically face rapidly progressive disease, substantial symptom burden, and short survival. </w:t>
            </w:r>
            <w:r>
              <w:rPr>
                <w:rFonts w:ascii="Calibri" w:hAnsi="Calibri" w:cs="Calibri"/>
                <w:color w:val="000000"/>
                <w:sz w:val="18"/>
                <w:szCs w:val="18"/>
              </w:rPr>
              <w:br/>
            </w:r>
            <w:r>
              <w:rPr>
                <w:rFonts w:ascii="Calibri" w:hAnsi="Calibri" w:cs="Calibri"/>
                <w:color w:val="000000"/>
                <w:sz w:val="18"/>
                <w:szCs w:val="18"/>
              </w:rPr>
              <w:br/>
              <w:t xml:space="preserve">The PBAC noted that the trial evidence suggested that </w:t>
            </w:r>
            <w:proofErr w:type="spellStart"/>
            <w:r>
              <w:rPr>
                <w:rFonts w:ascii="Calibri" w:hAnsi="Calibri" w:cs="Calibri"/>
                <w:color w:val="000000"/>
                <w:sz w:val="18"/>
                <w:szCs w:val="18"/>
              </w:rPr>
              <w:t>tarlatamab</w:t>
            </w:r>
            <w:proofErr w:type="spellEnd"/>
            <w:r>
              <w:rPr>
                <w:rFonts w:ascii="Calibri" w:hAnsi="Calibri" w:cs="Calibri"/>
                <w:color w:val="000000"/>
                <w:sz w:val="18"/>
                <w:szCs w:val="18"/>
              </w:rPr>
              <w:t xml:space="preserve"> was associated with benefits in terms of progression free survival (PFS) and overall survival (OS) compared to standard of care (SOC) chemotherapy. However, the PBAC noted significant safety concerns, including the high risk of immune effector cell-associated neurotoxicity syndrome (ICANs) and cytokine release syndrome (CRS), which were likely to have to a large impact in clinical practice. The PBAC noted key uncertainties related to the economic model and considered that the OS projections were overly optimistic. The PBAC considered that changes to the model assumptions and a substantial price reduction were required to achieve a cost-effective listing that reflected more realistic estimates of benefits and costs. The PBAC considered that a risk sharing arrangement was required to mitigate the risk that people would access the subsidy outside the proposed criteria. The PBAC advised that the remaining issues could be addressed in an early re-entry submission. </w:t>
            </w:r>
          </w:p>
        </w:tc>
      </w:tr>
      <w:tr w:rsidR="00C312E5" w:rsidRPr="00544E10" w14:paraId="776ED064" w14:textId="77777777" w:rsidTr="003921D1">
        <w:trPr>
          <w:cantSplit/>
          <w:trHeight w:val="868"/>
        </w:trPr>
        <w:tc>
          <w:tcPr>
            <w:tcW w:w="294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B67E4CD" w14:textId="77777777" w:rsidR="006E4D5E" w:rsidRDefault="004D7F10" w:rsidP="006E4D5E">
            <w:pPr>
              <w:spacing w:after="0"/>
              <w:jc w:val="center"/>
              <w:rPr>
                <w:rFonts w:ascii="Calibri" w:hAnsi="Calibri" w:cs="Calibri"/>
                <w:color w:val="000000"/>
                <w:sz w:val="18"/>
                <w:szCs w:val="18"/>
              </w:rPr>
            </w:pPr>
            <w:r>
              <w:rPr>
                <w:rFonts w:ascii="Calibri" w:hAnsi="Calibri" w:cs="Calibri"/>
                <w:color w:val="000000"/>
                <w:sz w:val="18"/>
                <w:szCs w:val="18"/>
              </w:rPr>
              <w:t>TECLISTAMAB</w:t>
            </w:r>
            <w:r>
              <w:rPr>
                <w:rFonts w:ascii="Calibri" w:hAnsi="Calibri" w:cs="Calibri"/>
                <w:color w:val="000000"/>
                <w:sz w:val="18"/>
                <w:szCs w:val="18"/>
              </w:rPr>
              <w:br/>
            </w:r>
            <w:r>
              <w:rPr>
                <w:rFonts w:ascii="Calibri" w:hAnsi="Calibri" w:cs="Calibri"/>
                <w:color w:val="000000"/>
                <w:sz w:val="18"/>
                <w:szCs w:val="18"/>
              </w:rPr>
              <w:br/>
              <w:t>Solution for subcutaneous injection 30 mg in 3 mL</w:t>
            </w:r>
            <w:r>
              <w:rPr>
                <w:rFonts w:ascii="Calibri" w:hAnsi="Calibri" w:cs="Calibri"/>
                <w:color w:val="000000"/>
                <w:sz w:val="18"/>
                <w:szCs w:val="18"/>
              </w:rPr>
              <w:br/>
              <w:t>Solution for subcutaneous injection 153 mg in 1.7 mL</w:t>
            </w:r>
            <w:r>
              <w:rPr>
                <w:rFonts w:ascii="Calibri" w:hAnsi="Calibri" w:cs="Calibri"/>
                <w:color w:val="000000"/>
                <w:sz w:val="18"/>
                <w:szCs w:val="18"/>
              </w:rPr>
              <w:br/>
            </w:r>
            <w:r>
              <w:rPr>
                <w:rFonts w:ascii="Calibri" w:hAnsi="Calibri" w:cs="Calibri"/>
                <w:color w:val="000000"/>
                <w:sz w:val="18"/>
                <w:szCs w:val="18"/>
              </w:rPr>
              <w:br/>
            </w:r>
            <w:proofErr w:type="spellStart"/>
            <w:r>
              <w:rPr>
                <w:rFonts w:ascii="Calibri" w:hAnsi="Calibri" w:cs="Calibri"/>
                <w:color w:val="000000"/>
                <w:sz w:val="18"/>
                <w:szCs w:val="18"/>
              </w:rPr>
              <w:t>Tecvayli</w:t>
            </w:r>
            <w:proofErr w:type="spellEnd"/>
            <w:r>
              <w:rPr>
                <w:rFonts w:ascii="Calibri" w:hAnsi="Calibri" w:cs="Calibri"/>
                <w:color w:val="000000"/>
                <w:sz w:val="18"/>
                <w:szCs w:val="18"/>
              </w:rPr>
              <w:t>®</w:t>
            </w:r>
            <w:r>
              <w:rPr>
                <w:rFonts w:ascii="Calibri" w:hAnsi="Calibri" w:cs="Calibri"/>
                <w:color w:val="000000"/>
                <w:sz w:val="18"/>
                <w:szCs w:val="18"/>
              </w:rPr>
              <w:br/>
            </w:r>
            <w:r>
              <w:rPr>
                <w:rFonts w:ascii="Calibri" w:hAnsi="Calibri" w:cs="Calibri"/>
                <w:color w:val="000000"/>
                <w:sz w:val="18"/>
                <w:szCs w:val="18"/>
              </w:rPr>
              <w:br/>
              <w:t>JANSSEN-CILAG PTY LTD</w:t>
            </w:r>
            <w:r>
              <w:rPr>
                <w:rFonts w:ascii="Calibri" w:hAnsi="Calibri" w:cs="Calibri"/>
                <w:color w:val="000000"/>
                <w:sz w:val="18"/>
                <w:szCs w:val="18"/>
              </w:rPr>
              <w:br/>
            </w:r>
            <w:r>
              <w:rPr>
                <w:rFonts w:ascii="Calibri" w:hAnsi="Calibri" w:cs="Calibri"/>
                <w:color w:val="000000"/>
                <w:sz w:val="18"/>
                <w:szCs w:val="18"/>
              </w:rPr>
              <w:br/>
              <w:t>Category 2</w:t>
            </w:r>
            <w:r>
              <w:rPr>
                <w:rFonts w:ascii="Calibri" w:hAnsi="Calibri" w:cs="Calibri"/>
                <w:color w:val="000000"/>
                <w:sz w:val="18"/>
                <w:szCs w:val="18"/>
              </w:rPr>
              <w:br/>
              <w:t xml:space="preserve">(New PBS </w:t>
            </w:r>
            <w:r w:rsidR="00957109">
              <w:rPr>
                <w:rFonts w:ascii="Calibri" w:hAnsi="Calibri" w:cs="Calibri"/>
                <w:color w:val="000000"/>
                <w:sz w:val="18"/>
                <w:szCs w:val="18"/>
              </w:rPr>
              <w:t>listing)</w:t>
            </w:r>
            <w:r>
              <w:rPr>
                <w:rFonts w:ascii="Calibri" w:hAnsi="Calibri" w:cs="Calibri"/>
                <w:color w:val="000000"/>
                <w:sz w:val="18"/>
                <w:szCs w:val="18"/>
              </w:rPr>
              <w:br/>
            </w:r>
            <w:r>
              <w:rPr>
                <w:rFonts w:ascii="Calibri" w:hAnsi="Calibri" w:cs="Calibri"/>
                <w:color w:val="000000"/>
                <w:sz w:val="18"/>
                <w:szCs w:val="18"/>
              </w:rPr>
              <w:br/>
              <w:t>PBS General Schedule</w:t>
            </w:r>
            <w:r>
              <w:rPr>
                <w:rFonts w:ascii="Calibri" w:hAnsi="Calibri" w:cs="Calibri"/>
                <w:color w:val="000000"/>
                <w:sz w:val="18"/>
                <w:szCs w:val="18"/>
              </w:rPr>
              <w:br/>
              <w:t xml:space="preserve">PBS Section 100 </w:t>
            </w:r>
          </w:p>
          <w:p w14:paraId="08B5076B" w14:textId="2DB7A8BB" w:rsidR="004D7F10" w:rsidRPr="005F21D6" w:rsidRDefault="004D7F10" w:rsidP="004D7F10">
            <w:pPr>
              <w:jc w:val="center"/>
              <w:rPr>
                <w:rFonts w:asciiTheme="minorHAnsi" w:hAnsiTheme="minorHAnsi" w:cstheme="minorHAnsi"/>
                <w:color w:val="000000"/>
                <w:szCs w:val="20"/>
              </w:rPr>
            </w:pPr>
            <w:r>
              <w:rPr>
                <w:rFonts w:ascii="Calibri" w:hAnsi="Calibri" w:cs="Calibri"/>
                <w:color w:val="000000"/>
                <w:sz w:val="18"/>
                <w:szCs w:val="18"/>
              </w:rPr>
              <w:t>(Efficient Funding of Chemotherapy</w:t>
            </w:r>
            <w:r w:rsidR="006E4D5E">
              <w:rPr>
                <w:rFonts w:ascii="Calibri" w:hAnsi="Calibri" w:cs="Calibri"/>
                <w:color w:val="000000"/>
                <w:sz w:val="18"/>
                <w:szCs w:val="18"/>
              </w:rPr>
              <w:t xml:space="preserve"> </w:t>
            </w:r>
            <w:r>
              <w:rPr>
                <w:rFonts w:ascii="Calibri" w:hAnsi="Calibri" w:cs="Calibri"/>
                <w:color w:val="000000"/>
                <w:sz w:val="18"/>
                <w:szCs w:val="18"/>
              </w:rPr>
              <w:t>Program)</w:t>
            </w:r>
          </w:p>
        </w:tc>
        <w:tc>
          <w:tcPr>
            <w:tcW w:w="1983" w:type="dxa"/>
            <w:tcBorders>
              <w:top w:val="single" w:sz="4" w:space="0" w:color="auto"/>
              <w:left w:val="single" w:sz="4" w:space="0" w:color="auto"/>
              <w:bottom w:val="single" w:sz="4" w:space="0" w:color="auto"/>
              <w:right w:val="single" w:sz="4" w:space="0" w:color="auto"/>
            </w:tcBorders>
            <w:vAlign w:val="center"/>
          </w:tcPr>
          <w:p w14:paraId="23EA4F84" w14:textId="4874655A" w:rsidR="004D7F10" w:rsidRPr="005F21D6" w:rsidRDefault="004D7F10" w:rsidP="004D7F10">
            <w:pPr>
              <w:jc w:val="center"/>
              <w:rPr>
                <w:rFonts w:asciiTheme="minorHAnsi" w:hAnsiTheme="minorHAnsi" w:cstheme="minorHAnsi"/>
                <w:color w:val="000000"/>
                <w:sz w:val="18"/>
                <w:szCs w:val="18"/>
              </w:rPr>
            </w:pPr>
            <w:r>
              <w:rPr>
                <w:rFonts w:ascii="Calibri" w:hAnsi="Calibri" w:cs="Calibri"/>
                <w:color w:val="000000"/>
                <w:sz w:val="18"/>
                <w:szCs w:val="18"/>
              </w:rPr>
              <w:t xml:space="preserve">Relapsed or refractory multiple myeloma (RRMM) </w:t>
            </w:r>
          </w:p>
        </w:tc>
        <w:tc>
          <w:tcPr>
            <w:tcW w:w="238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EF944E8" w14:textId="3460FB2C" w:rsidR="004D7F10" w:rsidRPr="005F21D6" w:rsidRDefault="004D7F10" w:rsidP="004D7F10">
            <w:pPr>
              <w:jc w:val="center"/>
              <w:rPr>
                <w:rFonts w:asciiTheme="minorHAnsi" w:hAnsiTheme="minorHAnsi" w:cstheme="minorHAnsi"/>
                <w:color w:val="000000"/>
                <w:sz w:val="18"/>
                <w:szCs w:val="18"/>
              </w:rPr>
            </w:pPr>
            <w:r>
              <w:rPr>
                <w:rFonts w:ascii="Calibri" w:hAnsi="Calibri" w:cs="Calibri"/>
                <w:color w:val="000000"/>
                <w:sz w:val="18"/>
                <w:szCs w:val="18"/>
              </w:rPr>
              <w:t xml:space="preserve">To request listing of </w:t>
            </w:r>
            <w:proofErr w:type="spellStart"/>
            <w:r>
              <w:rPr>
                <w:rFonts w:ascii="Calibri" w:hAnsi="Calibri" w:cs="Calibri"/>
                <w:color w:val="000000"/>
                <w:sz w:val="18"/>
                <w:szCs w:val="18"/>
              </w:rPr>
              <w:t>teclistamab</w:t>
            </w:r>
            <w:proofErr w:type="spellEnd"/>
            <w:r>
              <w:rPr>
                <w:rFonts w:ascii="Calibri" w:hAnsi="Calibri" w:cs="Calibri"/>
                <w:color w:val="000000"/>
                <w:sz w:val="18"/>
                <w:szCs w:val="18"/>
              </w:rPr>
              <w:t xml:space="preserve"> for the treatment of adult patients with RRMM who have received at least three prior lines of therapy, including a proteasome inhibitor, an immunomodulatory agent and an anti-CD38 monoclonal antibody.</w:t>
            </w:r>
            <w:r>
              <w:rPr>
                <w:rFonts w:ascii="Calibri" w:hAnsi="Calibri" w:cs="Calibri"/>
                <w:color w:val="000000"/>
                <w:sz w:val="18"/>
                <w:szCs w:val="18"/>
              </w:rPr>
              <w:br/>
            </w:r>
            <w:r>
              <w:rPr>
                <w:rFonts w:ascii="Calibri" w:hAnsi="Calibri" w:cs="Calibri"/>
                <w:color w:val="000000"/>
                <w:sz w:val="18"/>
                <w:szCs w:val="18"/>
              </w:rPr>
              <w:br/>
              <w:t>Authority Required (Telephone/Online)</w:t>
            </w:r>
          </w:p>
        </w:tc>
        <w:tc>
          <w:tcPr>
            <w:tcW w:w="1415" w:type="dxa"/>
            <w:vAlign w:val="center"/>
          </w:tcPr>
          <w:p w14:paraId="6BD55CD5" w14:textId="079099C9" w:rsidR="004D7F10" w:rsidRPr="00544E10" w:rsidRDefault="004D7F10" w:rsidP="00D428AC">
            <w:pPr>
              <w:ind w:left="11"/>
              <w:contextualSpacing/>
              <w:jc w:val="center"/>
              <w:rPr>
                <w:rFonts w:asciiTheme="minorHAnsi" w:hAnsiTheme="minorHAnsi" w:cstheme="minorHAnsi"/>
                <w:color w:val="000000" w:themeColor="text1"/>
                <w:sz w:val="18"/>
                <w:szCs w:val="18"/>
              </w:rPr>
            </w:pPr>
            <w:r>
              <w:rPr>
                <w:rFonts w:ascii="Calibri" w:hAnsi="Calibri" w:cs="Calibri"/>
                <w:color w:val="000000"/>
                <w:sz w:val="18"/>
                <w:szCs w:val="18"/>
              </w:rPr>
              <w:t>Recommended</w:t>
            </w:r>
          </w:p>
        </w:tc>
        <w:tc>
          <w:tcPr>
            <w:tcW w:w="4729" w:type="dxa"/>
            <w:vAlign w:val="center"/>
          </w:tcPr>
          <w:p w14:paraId="73574E96" w14:textId="51685C7B" w:rsidR="004D7F10" w:rsidRPr="00544E10" w:rsidRDefault="004D7F10" w:rsidP="00D428AC">
            <w:pPr>
              <w:ind w:left="11"/>
              <w:contextualSpacing/>
              <w:rPr>
                <w:rFonts w:asciiTheme="minorHAnsi" w:hAnsiTheme="minorHAnsi" w:cstheme="minorHAnsi"/>
                <w:color w:val="000000" w:themeColor="text1"/>
                <w:sz w:val="18"/>
                <w:szCs w:val="18"/>
              </w:rPr>
            </w:pPr>
            <w:r>
              <w:rPr>
                <w:rFonts w:ascii="Calibri" w:hAnsi="Calibri" w:cs="Calibri"/>
                <w:color w:val="000000"/>
                <w:sz w:val="18"/>
                <w:szCs w:val="18"/>
              </w:rPr>
              <w:t xml:space="preserve">The PBAC recommended that </w:t>
            </w:r>
            <w:proofErr w:type="spellStart"/>
            <w:r>
              <w:rPr>
                <w:rFonts w:ascii="Calibri" w:hAnsi="Calibri" w:cs="Calibri"/>
                <w:color w:val="000000"/>
                <w:sz w:val="18"/>
                <w:szCs w:val="18"/>
              </w:rPr>
              <w:t>teclistamab</w:t>
            </w:r>
            <w:proofErr w:type="spellEnd"/>
            <w:r>
              <w:rPr>
                <w:rFonts w:ascii="Calibri" w:hAnsi="Calibri" w:cs="Calibri"/>
                <w:color w:val="000000"/>
                <w:sz w:val="18"/>
                <w:szCs w:val="18"/>
              </w:rPr>
              <w:t xml:space="preserve"> be listed on the PBS for the treatment of patients with relapsed or refractory multiple myeloma (RRMM) who have received at least 3 prior lines of therapy. The PBAC considered that the use of </w:t>
            </w:r>
            <w:proofErr w:type="spellStart"/>
            <w:r>
              <w:rPr>
                <w:rFonts w:ascii="Calibri" w:hAnsi="Calibri" w:cs="Calibri"/>
                <w:color w:val="000000"/>
                <w:sz w:val="18"/>
                <w:szCs w:val="18"/>
              </w:rPr>
              <w:t>teclistamab</w:t>
            </w:r>
            <w:proofErr w:type="spellEnd"/>
            <w:r>
              <w:rPr>
                <w:rFonts w:ascii="Calibri" w:hAnsi="Calibri" w:cs="Calibri"/>
                <w:color w:val="000000"/>
                <w:sz w:val="18"/>
                <w:szCs w:val="18"/>
              </w:rPr>
              <w:t xml:space="preserve"> would result in similar outcomes (both in terms of efficacy and safety) as </w:t>
            </w:r>
            <w:proofErr w:type="spellStart"/>
            <w:r>
              <w:rPr>
                <w:rFonts w:ascii="Calibri" w:hAnsi="Calibri" w:cs="Calibri"/>
                <w:color w:val="000000"/>
                <w:sz w:val="18"/>
                <w:szCs w:val="18"/>
              </w:rPr>
              <w:t>elranatamab</w:t>
            </w:r>
            <w:proofErr w:type="spellEnd"/>
            <w:r>
              <w:rPr>
                <w:rFonts w:ascii="Calibri" w:hAnsi="Calibri" w:cs="Calibri"/>
                <w:color w:val="000000"/>
                <w:sz w:val="18"/>
                <w:szCs w:val="18"/>
              </w:rPr>
              <w:t xml:space="preserve">, which is currently PBS listed for the treatment of RRMM in the same population requested for </w:t>
            </w:r>
            <w:proofErr w:type="spellStart"/>
            <w:r>
              <w:rPr>
                <w:rFonts w:ascii="Calibri" w:hAnsi="Calibri" w:cs="Calibri"/>
                <w:color w:val="000000"/>
                <w:sz w:val="18"/>
                <w:szCs w:val="18"/>
              </w:rPr>
              <w:t>teclistamab</w:t>
            </w:r>
            <w:proofErr w:type="spellEnd"/>
            <w:r>
              <w:rPr>
                <w:rFonts w:ascii="Calibri" w:hAnsi="Calibri" w:cs="Calibri"/>
                <w:color w:val="000000"/>
                <w:sz w:val="18"/>
                <w:szCs w:val="18"/>
              </w:rPr>
              <w:t xml:space="preserve">. The PBAC welcomed the input from individuals, health care professionals and organisations. The PBAC noted that the input highlighted the continued need for new and effective therapies for patients with RRMM. The PBAC noted the positive responses to treatment for patients who have accessed </w:t>
            </w:r>
            <w:proofErr w:type="spellStart"/>
            <w:r>
              <w:rPr>
                <w:rFonts w:ascii="Calibri" w:hAnsi="Calibri" w:cs="Calibri"/>
                <w:color w:val="000000"/>
                <w:sz w:val="18"/>
                <w:szCs w:val="18"/>
              </w:rPr>
              <w:t>teclistamab</w:t>
            </w:r>
            <w:proofErr w:type="spellEnd"/>
            <w:r>
              <w:rPr>
                <w:rFonts w:ascii="Calibri" w:hAnsi="Calibri" w:cs="Calibri"/>
                <w:color w:val="000000"/>
                <w:sz w:val="18"/>
                <w:szCs w:val="18"/>
              </w:rPr>
              <w:t xml:space="preserve"> via clinical trials and the substantial improvements that treatment offered to their quality of life.</w:t>
            </w:r>
            <w:r>
              <w:rPr>
                <w:rFonts w:ascii="Calibri" w:hAnsi="Calibri" w:cs="Calibri"/>
                <w:color w:val="000000"/>
                <w:sz w:val="18"/>
                <w:szCs w:val="18"/>
              </w:rPr>
              <w:br/>
            </w:r>
            <w:r>
              <w:rPr>
                <w:rFonts w:ascii="Calibri" w:hAnsi="Calibri" w:cs="Calibri"/>
                <w:color w:val="000000"/>
                <w:sz w:val="18"/>
                <w:szCs w:val="18"/>
              </w:rPr>
              <w:br/>
              <w:t xml:space="preserve">The PBAC considered that the requested restrictions, which aligned with the </w:t>
            </w:r>
            <w:proofErr w:type="spellStart"/>
            <w:r>
              <w:rPr>
                <w:rFonts w:ascii="Calibri" w:hAnsi="Calibri" w:cs="Calibri"/>
                <w:color w:val="000000"/>
                <w:sz w:val="18"/>
                <w:szCs w:val="18"/>
              </w:rPr>
              <w:t>elranatamab</w:t>
            </w:r>
            <w:proofErr w:type="spellEnd"/>
            <w:r>
              <w:rPr>
                <w:rFonts w:ascii="Calibri" w:hAnsi="Calibri" w:cs="Calibri"/>
                <w:color w:val="000000"/>
                <w:sz w:val="18"/>
                <w:szCs w:val="18"/>
              </w:rPr>
              <w:t xml:space="preserve"> restrictions, were appropriate. The PBAC advised that a flow on change to the </w:t>
            </w:r>
            <w:proofErr w:type="spellStart"/>
            <w:r>
              <w:rPr>
                <w:rFonts w:ascii="Calibri" w:hAnsi="Calibri" w:cs="Calibri"/>
                <w:color w:val="000000"/>
                <w:sz w:val="18"/>
                <w:szCs w:val="18"/>
              </w:rPr>
              <w:t>elranatamab</w:t>
            </w:r>
            <w:proofErr w:type="spellEnd"/>
            <w:r>
              <w:rPr>
                <w:rFonts w:ascii="Calibri" w:hAnsi="Calibri" w:cs="Calibri"/>
                <w:color w:val="000000"/>
                <w:sz w:val="18"/>
                <w:szCs w:val="18"/>
              </w:rPr>
              <w:t xml:space="preserve"> restrictions would be required to allow switching between </w:t>
            </w:r>
            <w:proofErr w:type="spellStart"/>
            <w:r>
              <w:rPr>
                <w:rFonts w:ascii="Calibri" w:hAnsi="Calibri" w:cs="Calibri"/>
                <w:color w:val="000000"/>
                <w:sz w:val="18"/>
                <w:szCs w:val="18"/>
              </w:rPr>
              <w:t>teclistamab</w:t>
            </w:r>
            <w:proofErr w:type="spellEnd"/>
            <w:r>
              <w:rPr>
                <w:rFonts w:ascii="Calibri" w:hAnsi="Calibri" w:cs="Calibri"/>
                <w:color w:val="000000"/>
                <w:sz w:val="18"/>
                <w:szCs w:val="18"/>
              </w:rPr>
              <w:t xml:space="preserve"> and </w:t>
            </w:r>
            <w:proofErr w:type="spellStart"/>
            <w:r>
              <w:rPr>
                <w:rFonts w:ascii="Calibri" w:hAnsi="Calibri" w:cs="Calibri"/>
                <w:color w:val="000000"/>
                <w:sz w:val="18"/>
                <w:szCs w:val="18"/>
              </w:rPr>
              <w:t>elranatamab</w:t>
            </w:r>
            <w:proofErr w:type="spellEnd"/>
            <w:r>
              <w:rPr>
                <w:rFonts w:ascii="Calibri" w:hAnsi="Calibri" w:cs="Calibri"/>
                <w:color w:val="000000"/>
                <w:sz w:val="18"/>
                <w:szCs w:val="18"/>
              </w:rPr>
              <w:t xml:space="preserve"> in the absence of disease progression (e.g. in case of intolerance to one drug). The PBAC also considered that the price of </w:t>
            </w:r>
            <w:proofErr w:type="spellStart"/>
            <w:r>
              <w:rPr>
                <w:rFonts w:ascii="Calibri" w:hAnsi="Calibri" w:cs="Calibri"/>
                <w:color w:val="000000"/>
                <w:sz w:val="18"/>
                <w:szCs w:val="18"/>
              </w:rPr>
              <w:t>teclistamab</w:t>
            </w:r>
            <w:proofErr w:type="spellEnd"/>
            <w:r>
              <w:rPr>
                <w:rFonts w:ascii="Calibri" w:hAnsi="Calibri" w:cs="Calibri"/>
                <w:color w:val="000000"/>
                <w:sz w:val="18"/>
                <w:szCs w:val="18"/>
              </w:rPr>
              <w:t xml:space="preserve"> should equal that of </w:t>
            </w:r>
            <w:proofErr w:type="spellStart"/>
            <w:r>
              <w:rPr>
                <w:rFonts w:ascii="Calibri" w:hAnsi="Calibri" w:cs="Calibri"/>
                <w:color w:val="000000"/>
                <w:sz w:val="18"/>
                <w:szCs w:val="18"/>
              </w:rPr>
              <w:t>elranatamab</w:t>
            </w:r>
            <w:proofErr w:type="spellEnd"/>
            <w:r>
              <w:rPr>
                <w:rFonts w:ascii="Calibri" w:hAnsi="Calibri" w:cs="Calibri"/>
                <w:color w:val="000000"/>
                <w:sz w:val="18"/>
                <w:szCs w:val="18"/>
              </w:rPr>
              <w:t xml:space="preserve"> and, as such, the listing of </w:t>
            </w:r>
            <w:proofErr w:type="spellStart"/>
            <w:r>
              <w:rPr>
                <w:rFonts w:ascii="Calibri" w:hAnsi="Calibri" w:cs="Calibri"/>
                <w:color w:val="000000"/>
                <w:sz w:val="18"/>
                <w:szCs w:val="18"/>
              </w:rPr>
              <w:t>teclistamab</w:t>
            </w:r>
            <w:proofErr w:type="spellEnd"/>
            <w:r>
              <w:rPr>
                <w:rFonts w:ascii="Calibri" w:hAnsi="Calibri" w:cs="Calibri"/>
                <w:color w:val="000000"/>
                <w:sz w:val="18"/>
                <w:szCs w:val="18"/>
              </w:rPr>
              <w:t xml:space="preserve"> on the PBS should have little to no impact on overall costs for the PBS. The PBAC advised that </w:t>
            </w:r>
            <w:proofErr w:type="spellStart"/>
            <w:r>
              <w:rPr>
                <w:rFonts w:ascii="Calibri" w:hAnsi="Calibri" w:cs="Calibri"/>
                <w:color w:val="000000"/>
                <w:sz w:val="18"/>
                <w:szCs w:val="18"/>
              </w:rPr>
              <w:t>teclistamab</w:t>
            </w:r>
            <w:proofErr w:type="spellEnd"/>
            <w:r>
              <w:rPr>
                <w:rFonts w:ascii="Calibri" w:hAnsi="Calibri" w:cs="Calibri"/>
                <w:color w:val="000000"/>
                <w:sz w:val="18"/>
                <w:szCs w:val="18"/>
              </w:rPr>
              <w:t xml:space="preserve"> should join the arrangement currently in place for </w:t>
            </w:r>
            <w:proofErr w:type="spellStart"/>
            <w:r>
              <w:rPr>
                <w:rFonts w:ascii="Calibri" w:hAnsi="Calibri" w:cs="Calibri"/>
                <w:color w:val="000000"/>
                <w:sz w:val="18"/>
                <w:szCs w:val="18"/>
              </w:rPr>
              <w:t>elranatamab</w:t>
            </w:r>
            <w:proofErr w:type="spellEnd"/>
            <w:r>
              <w:rPr>
                <w:rFonts w:ascii="Calibri" w:hAnsi="Calibri" w:cs="Calibri"/>
                <w:color w:val="000000"/>
                <w:sz w:val="18"/>
                <w:szCs w:val="18"/>
              </w:rPr>
              <w:t xml:space="preserve"> to manage financial risks with no increase in the existing spending limits.</w:t>
            </w:r>
          </w:p>
        </w:tc>
      </w:tr>
      <w:tr w:rsidR="00C312E5" w:rsidRPr="00544E10" w14:paraId="09B6333C" w14:textId="77777777" w:rsidTr="003921D1">
        <w:trPr>
          <w:cantSplit/>
          <w:trHeight w:val="868"/>
        </w:trPr>
        <w:tc>
          <w:tcPr>
            <w:tcW w:w="294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13D8EED" w14:textId="3B83A56C" w:rsidR="004D7F10" w:rsidRPr="005F21D6" w:rsidRDefault="004D7F10" w:rsidP="004D7F10">
            <w:pPr>
              <w:jc w:val="center"/>
              <w:rPr>
                <w:rFonts w:asciiTheme="minorHAnsi" w:hAnsiTheme="minorHAnsi" w:cstheme="minorHAnsi"/>
                <w:color w:val="000000"/>
                <w:szCs w:val="20"/>
              </w:rPr>
            </w:pPr>
            <w:r>
              <w:rPr>
                <w:rFonts w:ascii="Calibri" w:hAnsi="Calibri" w:cs="Calibri"/>
                <w:color w:val="000000"/>
                <w:sz w:val="18"/>
                <w:szCs w:val="18"/>
              </w:rPr>
              <w:t>TILDRAKIZUMAB</w:t>
            </w:r>
            <w:r>
              <w:rPr>
                <w:rFonts w:ascii="Calibri" w:hAnsi="Calibri" w:cs="Calibri"/>
                <w:color w:val="000000"/>
                <w:sz w:val="18"/>
                <w:szCs w:val="18"/>
              </w:rPr>
              <w:br/>
            </w:r>
            <w:r>
              <w:rPr>
                <w:rFonts w:ascii="Calibri" w:hAnsi="Calibri" w:cs="Calibri"/>
                <w:color w:val="000000"/>
                <w:sz w:val="18"/>
                <w:szCs w:val="18"/>
              </w:rPr>
              <w:br/>
              <w:t xml:space="preserve">Injection 100 mg in 1 mL single dose pre-filled syringe </w:t>
            </w:r>
            <w:r>
              <w:rPr>
                <w:rFonts w:ascii="Calibri" w:hAnsi="Calibri" w:cs="Calibri"/>
                <w:color w:val="000000"/>
                <w:sz w:val="18"/>
                <w:szCs w:val="18"/>
              </w:rPr>
              <w:br/>
            </w:r>
            <w:r>
              <w:rPr>
                <w:rFonts w:ascii="Calibri" w:hAnsi="Calibri" w:cs="Calibri"/>
                <w:color w:val="000000"/>
                <w:sz w:val="18"/>
                <w:szCs w:val="18"/>
              </w:rPr>
              <w:br/>
            </w:r>
            <w:proofErr w:type="spellStart"/>
            <w:r>
              <w:rPr>
                <w:rFonts w:ascii="Calibri" w:hAnsi="Calibri" w:cs="Calibri"/>
                <w:color w:val="000000"/>
                <w:sz w:val="18"/>
                <w:szCs w:val="18"/>
              </w:rPr>
              <w:t>Ilumya</w:t>
            </w:r>
            <w:proofErr w:type="spellEnd"/>
            <w:r>
              <w:rPr>
                <w:rFonts w:ascii="Calibri" w:hAnsi="Calibri" w:cs="Calibri"/>
                <w:color w:val="000000"/>
                <w:sz w:val="18"/>
                <w:szCs w:val="18"/>
              </w:rPr>
              <w:t>®</w:t>
            </w:r>
            <w:r>
              <w:rPr>
                <w:rFonts w:ascii="Calibri" w:hAnsi="Calibri" w:cs="Calibri"/>
                <w:color w:val="000000"/>
                <w:sz w:val="18"/>
                <w:szCs w:val="18"/>
              </w:rPr>
              <w:br/>
            </w:r>
            <w:r>
              <w:rPr>
                <w:rFonts w:ascii="Calibri" w:hAnsi="Calibri" w:cs="Calibri"/>
                <w:color w:val="000000"/>
                <w:sz w:val="18"/>
                <w:szCs w:val="18"/>
              </w:rPr>
              <w:br/>
              <w:t>SUN PHARMA ANZ PTY LTD</w:t>
            </w:r>
            <w:r>
              <w:rPr>
                <w:rFonts w:ascii="Calibri" w:hAnsi="Calibri" w:cs="Calibri"/>
                <w:color w:val="000000"/>
                <w:sz w:val="18"/>
                <w:szCs w:val="18"/>
              </w:rPr>
              <w:br/>
            </w:r>
            <w:r>
              <w:rPr>
                <w:rFonts w:ascii="Calibri" w:hAnsi="Calibri" w:cs="Calibri"/>
                <w:color w:val="000000"/>
                <w:sz w:val="18"/>
                <w:szCs w:val="18"/>
              </w:rPr>
              <w:br/>
              <w:t>Category 3</w:t>
            </w:r>
            <w:r>
              <w:rPr>
                <w:rFonts w:ascii="Calibri" w:hAnsi="Calibri" w:cs="Calibri"/>
                <w:color w:val="000000"/>
                <w:sz w:val="18"/>
                <w:szCs w:val="18"/>
              </w:rPr>
              <w:br/>
              <w:t xml:space="preserve">(Change to existing </w:t>
            </w:r>
            <w:r w:rsidR="00957109">
              <w:rPr>
                <w:rFonts w:ascii="Calibri" w:hAnsi="Calibri" w:cs="Calibri"/>
                <w:color w:val="000000"/>
                <w:sz w:val="18"/>
                <w:szCs w:val="18"/>
              </w:rPr>
              <w:t>listing)</w:t>
            </w:r>
            <w:r>
              <w:rPr>
                <w:rFonts w:ascii="Calibri" w:hAnsi="Calibri" w:cs="Calibri"/>
                <w:color w:val="000000"/>
                <w:sz w:val="18"/>
                <w:szCs w:val="18"/>
              </w:rPr>
              <w:br/>
            </w:r>
            <w:r>
              <w:rPr>
                <w:rFonts w:ascii="Calibri" w:hAnsi="Calibri" w:cs="Calibri"/>
                <w:color w:val="000000"/>
                <w:sz w:val="18"/>
                <w:szCs w:val="18"/>
              </w:rPr>
              <w:br/>
              <w:t>PBS General Schedule</w:t>
            </w:r>
          </w:p>
        </w:tc>
        <w:tc>
          <w:tcPr>
            <w:tcW w:w="1983" w:type="dxa"/>
            <w:tcBorders>
              <w:top w:val="single" w:sz="4" w:space="0" w:color="auto"/>
              <w:left w:val="single" w:sz="4" w:space="0" w:color="auto"/>
              <w:bottom w:val="single" w:sz="4" w:space="0" w:color="auto"/>
              <w:right w:val="single" w:sz="4" w:space="0" w:color="auto"/>
            </w:tcBorders>
            <w:vAlign w:val="center"/>
          </w:tcPr>
          <w:p w14:paraId="61A10B03" w14:textId="3588C4AA" w:rsidR="004D7F10" w:rsidRPr="005F21D6" w:rsidRDefault="004D7F10" w:rsidP="004D7F10">
            <w:pPr>
              <w:jc w:val="center"/>
              <w:rPr>
                <w:rFonts w:asciiTheme="minorHAnsi" w:hAnsiTheme="minorHAnsi" w:cstheme="minorHAnsi"/>
                <w:color w:val="000000"/>
                <w:sz w:val="18"/>
                <w:szCs w:val="18"/>
              </w:rPr>
            </w:pPr>
            <w:r>
              <w:rPr>
                <w:rFonts w:ascii="Calibri" w:hAnsi="Calibri" w:cs="Calibri"/>
                <w:color w:val="000000"/>
                <w:sz w:val="18"/>
                <w:szCs w:val="18"/>
              </w:rPr>
              <w:t>Severe chronic plaque psoriasis</w:t>
            </w:r>
          </w:p>
        </w:tc>
        <w:tc>
          <w:tcPr>
            <w:tcW w:w="238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A306819" w14:textId="5AED6B46" w:rsidR="004D7F10" w:rsidRPr="005F21D6" w:rsidRDefault="004D7F10" w:rsidP="004D7F10">
            <w:pPr>
              <w:jc w:val="center"/>
              <w:rPr>
                <w:rFonts w:asciiTheme="minorHAnsi" w:hAnsiTheme="minorHAnsi" w:cstheme="minorHAnsi"/>
                <w:color w:val="000000"/>
                <w:sz w:val="18"/>
                <w:szCs w:val="18"/>
              </w:rPr>
            </w:pPr>
            <w:r>
              <w:rPr>
                <w:rFonts w:ascii="Calibri" w:hAnsi="Calibri" w:cs="Calibri"/>
                <w:color w:val="000000"/>
                <w:sz w:val="18"/>
                <w:szCs w:val="18"/>
              </w:rPr>
              <w:t>To request a change to the existing listings for tildrakizumab for the continuing treatment of severe chronic plaque psoriasis, to allow the maintenance dose to be increased from 100 mg to 200 mg per administration, administered every 12 weeks.</w:t>
            </w:r>
            <w:r>
              <w:rPr>
                <w:rFonts w:ascii="Calibri" w:hAnsi="Calibri" w:cs="Calibri"/>
                <w:color w:val="000000"/>
                <w:sz w:val="18"/>
                <w:szCs w:val="18"/>
              </w:rPr>
              <w:br/>
            </w:r>
            <w:r>
              <w:rPr>
                <w:rFonts w:ascii="Calibri" w:hAnsi="Calibri" w:cs="Calibri"/>
                <w:color w:val="000000"/>
                <w:sz w:val="18"/>
                <w:szCs w:val="18"/>
              </w:rPr>
              <w:br/>
              <w:t xml:space="preserve">Authority Required </w:t>
            </w:r>
          </w:p>
        </w:tc>
        <w:tc>
          <w:tcPr>
            <w:tcW w:w="1415" w:type="dxa"/>
            <w:vAlign w:val="center"/>
          </w:tcPr>
          <w:p w14:paraId="2E168A82" w14:textId="61393B23" w:rsidR="004D7F10" w:rsidRPr="00544E10" w:rsidRDefault="004D7F10" w:rsidP="00D428AC">
            <w:pPr>
              <w:ind w:left="11"/>
              <w:contextualSpacing/>
              <w:jc w:val="center"/>
              <w:rPr>
                <w:rFonts w:asciiTheme="minorHAnsi" w:hAnsiTheme="minorHAnsi" w:cstheme="minorHAnsi"/>
                <w:color w:val="000000" w:themeColor="text1"/>
                <w:sz w:val="18"/>
                <w:szCs w:val="18"/>
              </w:rPr>
            </w:pPr>
            <w:r>
              <w:rPr>
                <w:rFonts w:ascii="Calibri" w:hAnsi="Calibri" w:cs="Calibri"/>
                <w:color w:val="000000"/>
                <w:sz w:val="18"/>
                <w:szCs w:val="18"/>
              </w:rPr>
              <w:t>Recommended</w:t>
            </w:r>
          </w:p>
        </w:tc>
        <w:tc>
          <w:tcPr>
            <w:tcW w:w="4729" w:type="dxa"/>
            <w:vAlign w:val="center"/>
          </w:tcPr>
          <w:p w14:paraId="31CC67C8" w14:textId="6B9E9E54" w:rsidR="004D7F10" w:rsidRPr="00544E10" w:rsidRDefault="004D7F10" w:rsidP="00D428AC">
            <w:pPr>
              <w:ind w:left="11"/>
              <w:contextualSpacing/>
              <w:rPr>
                <w:rFonts w:asciiTheme="minorHAnsi" w:hAnsiTheme="minorHAnsi" w:cstheme="minorHAnsi"/>
                <w:color w:val="000000" w:themeColor="text1"/>
                <w:sz w:val="18"/>
                <w:szCs w:val="18"/>
              </w:rPr>
            </w:pPr>
            <w:r>
              <w:rPr>
                <w:rFonts w:ascii="Calibri" w:hAnsi="Calibri" w:cs="Calibri"/>
                <w:color w:val="000000"/>
                <w:sz w:val="18"/>
                <w:szCs w:val="18"/>
              </w:rPr>
              <w:t>The PBAC recommended tildrakizumab 200 mg (100 mg/mL injection, 2 x 1 mL syringe) for the treatment of severe chronic plaque psoriasis. The PBAC considered that tildrakizumab 200 mg would result in the same outcomes (i.e. efficacy and safety) compared with tildrakizumab 100 mg. The PBAC noted and welcomed input from the Australasian College of Dermatologists, who advocated for increasing the maintenance dose to 200 mg to provide an opportunity to improve outcomes in patient with severe disease or obesity. The PBAC considered that treating doctors, at their discretion, may escalate the dose of tildrakizumab to 200 mg in any patient who has responded adequately to the most recent course of tildrakizumab 100 mg, noting that the magnitude of any improved outcomes may be modest.</w:t>
            </w:r>
          </w:p>
        </w:tc>
      </w:tr>
      <w:tr w:rsidR="00C312E5" w:rsidRPr="00544E10" w14:paraId="7976647C" w14:textId="77777777" w:rsidTr="003921D1">
        <w:trPr>
          <w:cantSplit/>
          <w:trHeight w:val="868"/>
        </w:trPr>
        <w:tc>
          <w:tcPr>
            <w:tcW w:w="294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DD83487" w14:textId="49D79FCF" w:rsidR="004D7F10" w:rsidRPr="005F21D6" w:rsidRDefault="004D7F10" w:rsidP="004D7F10">
            <w:pPr>
              <w:jc w:val="center"/>
              <w:rPr>
                <w:rFonts w:asciiTheme="minorHAnsi" w:hAnsiTheme="minorHAnsi" w:cstheme="minorHAnsi"/>
                <w:color w:val="000000"/>
                <w:szCs w:val="20"/>
              </w:rPr>
            </w:pPr>
            <w:r>
              <w:rPr>
                <w:rFonts w:ascii="Calibri" w:hAnsi="Calibri" w:cs="Calibri"/>
                <w:color w:val="000000"/>
                <w:sz w:val="18"/>
                <w:szCs w:val="18"/>
              </w:rPr>
              <w:t>TIRZEPATIDE</w:t>
            </w:r>
            <w:r>
              <w:rPr>
                <w:rFonts w:ascii="Calibri" w:hAnsi="Calibri" w:cs="Calibri"/>
                <w:color w:val="000000"/>
                <w:sz w:val="18"/>
                <w:szCs w:val="18"/>
              </w:rPr>
              <w:br/>
            </w:r>
            <w:r>
              <w:rPr>
                <w:rFonts w:ascii="Calibri" w:hAnsi="Calibri" w:cs="Calibri"/>
                <w:color w:val="000000"/>
                <w:sz w:val="18"/>
                <w:szCs w:val="18"/>
              </w:rPr>
              <w:br/>
              <w:t xml:space="preserve">Solution for injection 2.5 mg in 0.5 mL </w:t>
            </w:r>
            <w:r>
              <w:rPr>
                <w:rFonts w:ascii="Calibri" w:hAnsi="Calibri" w:cs="Calibri"/>
                <w:color w:val="000000"/>
                <w:sz w:val="18"/>
                <w:szCs w:val="18"/>
              </w:rPr>
              <w:br/>
              <w:t xml:space="preserve">vial/pre-filled pen </w:t>
            </w:r>
            <w:r>
              <w:rPr>
                <w:rFonts w:ascii="Calibri" w:hAnsi="Calibri" w:cs="Calibri"/>
                <w:color w:val="000000"/>
                <w:sz w:val="18"/>
                <w:szCs w:val="18"/>
              </w:rPr>
              <w:br/>
              <w:t>Solution for injection 5 mg in 0.5 mL vial/pre</w:t>
            </w:r>
            <w:r>
              <w:rPr>
                <w:rFonts w:ascii="Calibri" w:hAnsi="Calibri" w:cs="Calibri"/>
                <w:color w:val="000000"/>
                <w:sz w:val="18"/>
                <w:szCs w:val="18"/>
              </w:rPr>
              <w:br/>
              <w:t xml:space="preserve">filled pen </w:t>
            </w:r>
            <w:r>
              <w:rPr>
                <w:rFonts w:ascii="Calibri" w:hAnsi="Calibri" w:cs="Calibri"/>
                <w:color w:val="000000"/>
                <w:sz w:val="18"/>
                <w:szCs w:val="18"/>
              </w:rPr>
              <w:br/>
              <w:t xml:space="preserve">Solution for injection 7.5 mg in 0.5 mL </w:t>
            </w:r>
            <w:r>
              <w:rPr>
                <w:rFonts w:ascii="Calibri" w:hAnsi="Calibri" w:cs="Calibri"/>
                <w:color w:val="000000"/>
                <w:sz w:val="18"/>
                <w:szCs w:val="18"/>
              </w:rPr>
              <w:br/>
              <w:t xml:space="preserve">vial/pre-filled pen </w:t>
            </w:r>
            <w:r>
              <w:rPr>
                <w:rFonts w:ascii="Calibri" w:hAnsi="Calibri" w:cs="Calibri"/>
                <w:color w:val="000000"/>
                <w:sz w:val="18"/>
                <w:szCs w:val="18"/>
              </w:rPr>
              <w:br/>
              <w:t xml:space="preserve">Solution for injection 10 mg in 0.5 mL </w:t>
            </w:r>
            <w:r>
              <w:rPr>
                <w:rFonts w:ascii="Calibri" w:hAnsi="Calibri" w:cs="Calibri"/>
                <w:color w:val="000000"/>
                <w:sz w:val="18"/>
                <w:szCs w:val="18"/>
              </w:rPr>
              <w:br/>
              <w:t xml:space="preserve">vial/pre-filled pen </w:t>
            </w:r>
            <w:r>
              <w:rPr>
                <w:rFonts w:ascii="Calibri" w:hAnsi="Calibri" w:cs="Calibri"/>
                <w:color w:val="000000"/>
                <w:sz w:val="18"/>
                <w:szCs w:val="18"/>
              </w:rPr>
              <w:br/>
              <w:t xml:space="preserve">Solution for injection 12.5 mg in 0.5 mL </w:t>
            </w:r>
            <w:r>
              <w:rPr>
                <w:rFonts w:ascii="Calibri" w:hAnsi="Calibri" w:cs="Calibri"/>
                <w:color w:val="000000"/>
                <w:sz w:val="18"/>
                <w:szCs w:val="18"/>
              </w:rPr>
              <w:br/>
              <w:t xml:space="preserve">vial/pre-filled pen </w:t>
            </w:r>
            <w:r>
              <w:rPr>
                <w:rFonts w:ascii="Calibri" w:hAnsi="Calibri" w:cs="Calibri"/>
                <w:color w:val="000000"/>
                <w:sz w:val="18"/>
                <w:szCs w:val="18"/>
              </w:rPr>
              <w:br/>
              <w:t xml:space="preserve">Solution for injection 15 mg in 0.5 mL </w:t>
            </w:r>
            <w:r>
              <w:rPr>
                <w:rFonts w:ascii="Calibri" w:hAnsi="Calibri" w:cs="Calibri"/>
                <w:color w:val="000000"/>
                <w:sz w:val="18"/>
                <w:szCs w:val="18"/>
              </w:rPr>
              <w:br/>
              <w:t xml:space="preserve">vial/pre-filled pen </w:t>
            </w:r>
            <w:r>
              <w:rPr>
                <w:rFonts w:ascii="Calibri" w:hAnsi="Calibri" w:cs="Calibri"/>
                <w:color w:val="000000"/>
                <w:sz w:val="18"/>
                <w:szCs w:val="18"/>
              </w:rPr>
              <w:br/>
              <w:t xml:space="preserve">Injection 4.17 milligrams per mL (2.5 mg per </w:t>
            </w:r>
            <w:r>
              <w:rPr>
                <w:rFonts w:ascii="Calibri" w:hAnsi="Calibri" w:cs="Calibri"/>
                <w:color w:val="000000"/>
                <w:sz w:val="18"/>
                <w:szCs w:val="18"/>
              </w:rPr>
              <w:br/>
              <w:t xml:space="preserve">dose) in multi-dose pre-filled pen, 4 dose </w:t>
            </w:r>
            <w:r>
              <w:rPr>
                <w:rFonts w:ascii="Calibri" w:hAnsi="Calibri" w:cs="Calibri"/>
                <w:color w:val="000000"/>
                <w:sz w:val="18"/>
                <w:szCs w:val="18"/>
              </w:rPr>
              <w:br/>
              <w:t xml:space="preserve">Injection 8.33 milligrams per mL (5 mg per </w:t>
            </w:r>
            <w:r>
              <w:rPr>
                <w:rFonts w:ascii="Calibri" w:hAnsi="Calibri" w:cs="Calibri"/>
                <w:color w:val="000000"/>
                <w:sz w:val="18"/>
                <w:szCs w:val="18"/>
              </w:rPr>
              <w:br/>
              <w:t xml:space="preserve">dose) in multi-dose pre-filled pen, 4 doses </w:t>
            </w:r>
            <w:r>
              <w:rPr>
                <w:rFonts w:ascii="Calibri" w:hAnsi="Calibri" w:cs="Calibri"/>
                <w:color w:val="000000"/>
                <w:sz w:val="18"/>
                <w:szCs w:val="18"/>
              </w:rPr>
              <w:br/>
              <w:t xml:space="preserve">Injection 12.5 milligrams per mL (7.5 mg per </w:t>
            </w:r>
            <w:r>
              <w:rPr>
                <w:rFonts w:ascii="Calibri" w:hAnsi="Calibri" w:cs="Calibri"/>
                <w:color w:val="000000"/>
                <w:sz w:val="18"/>
                <w:szCs w:val="18"/>
              </w:rPr>
              <w:br/>
              <w:t xml:space="preserve">dose) in multi-dose pre-filled pen, 4 doses </w:t>
            </w:r>
            <w:r>
              <w:rPr>
                <w:rFonts w:ascii="Calibri" w:hAnsi="Calibri" w:cs="Calibri"/>
                <w:color w:val="000000"/>
                <w:sz w:val="18"/>
                <w:szCs w:val="18"/>
              </w:rPr>
              <w:br/>
              <w:t xml:space="preserve">Injection 16.67 milligrams per mL (10 mg per </w:t>
            </w:r>
            <w:r>
              <w:rPr>
                <w:rFonts w:ascii="Calibri" w:hAnsi="Calibri" w:cs="Calibri"/>
                <w:color w:val="000000"/>
                <w:sz w:val="18"/>
                <w:szCs w:val="18"/>
              </w:rPr>
              <w:br/>
              <w:t xml:space="preserve">dose) in multi-dose pre-filled pen, 4 doses </w:t>
            </w:r>
            <w:r>
              <w:rPr>
                <w:rFonts w:ascii="Calibri" w:hAnsi="Calibri" w:cs="Calibri"/>
                <w:color w:val="000000"/>
                <w:sz w:val="18"/>
                <w:szCs w:val="18"/>
              </w:rPr>
              <w:br/>
              <w:t xml:space="preserve">Injection 20.83 milligrams per mL (12.5 mg </w:t>
            </w:r>
            <w:r>
              <w:rPr>
                <w:rFonts w:ascii="Calibri" w:hAnsi="Calibri" w:cs="Calibri"/>
                <w:color w:val="000000"/>
                <w:sz w:val="18"/>
                <w:szCs w:val="18"/>
              </w:rPr>
              <w:br/>
              <w:t xml:space="preserve">per dose) in multi-dose pre-filled pen, 4 </w:t>
            </w:r>
            <w:r>
              <w:rPr>
                <w:rFonts w:ascii="Calibri" w:hAnsi="Calibri" w:cs="Calibri"/>
                <w:color w:val="000000"/>
                <w:sz w:val="18"/>
                <w:szCs w:val="18"/>
              </w:rPr>
              <w:br/>
              <w:t xml:space="preserve">doses </w:t>
            </w:r>
            <w:r>
              <w:rPr>
                <w:rFonts w:ascii="Calibri" w:hAnsi="Calibri" w:cs="Calibri"/>
                <w:color w:val="000000"/>
                <w:sz w:val="18"/>
                <w:szCs w:val="18"/>
              </w:rPr>
              <w:br/>
              <w:t xml:space="preserve">Injection 25 milligrams per mL (15 mg per </w:t>
            </w:r>
            <w:r>
              <w:rPr>
                <w:rFonts w:ascii="Calibri" w:hAnsi="Calibri" w:cs="Calibri"/>
                <w:color w:val="000000"/>
                <w:sz w:val="18"/>
                <w:szCs w:val="18"/>
              </w:rPr>
              <w:br/>
              <w:t xml:space="preserve">dose) in multi-dose pre-filled pen, 4 doses </w:t>
            </w:r>
            <w:r>
              <w:rPr>
                <w:rFonts w:ascii="Calibri" w:hAnsi="Calibri" w:cs="Calibri"/>
                <w:color w:val="000000"/>
                <w:sz w:val="18"/>
                <w:szCs w:val="18"/>
              </w:rPr>
              <w:br/>
            </w:r>
            <w:r>
              <w:rPr>
                <w:rFonts w:ascii="Calibri" w:hAnsi="Calibri" w:cs="Calibri"/>
                <w:color w:val="000000"/>
                <w:sz w:val="18"/>
                <w:szCs w:val="18"/>
              </w:rPr>
              <w:br/>
            </w:r>
            <w:proofErr w:type="spellStart"/>
            <w:r>
              <w:rPr>
                <w:rFonts w:ascii="Calibri" w:hAnsi="Calibri" w:cs="Calibri"/>
                <w:color w:val="000000"/>
                <w:sz w:val="18"/>
                <w:szCs w:val="18"/>
              </w:rPr>
              <w:t>Mounjaro</w:t>
            </w:r>
            <w:proofErr w:type="spellEnd"/>
            <w:r>
              <w:rPr>
                <w:rFonts w:ascii="Calibri" w:hAnsi="Calibri" w:cs="Calibri"/>
                <w:color w:val="000000"/>
                <w:sz w:val="18"/>
                <w:szCs w:val="18"/>
              </w:rPr>
              <w:t xml:space="preserve">® </w:t>
            </w:r>
            <w:r>
              <w:rPr>
                <w:rFonts w:ascii="Calibri" w:hAnsi="Calibri" w:cs="Calibri"/>
                <w:color w:val="000000"/>
                <w:sz w:val="18"/>
                <w:szCs w:val="18"/>
              </w:rPr>
              <w:br/>
            </w:r>
            <w:proofErr w:type="spellStart"/>
            <w:r>
              <w:rPr>
                <w:rFonts w:ascii="Calibri" w:hAnsi="Calibri" w:cs="Calibri"/>
                <w:color w:val="000000"/>
                <w:sz w:val="18"/>
                <w:szCs w:val="18"/>
              </w:rPr>
              <w:t>Mounjaro</w:t>
            </w:r>
            <w:proofErr w:type="spellEnd"/>
            <w:r>
              <w:rPr>
                <w:rFonts w:ascii="Calibri" w:hAnsi="Calibri" w:cs="Calibri"/>
                <w:color w:val="000000"/>
                <w:sz w:val="18"/>
                <w:szCs w:val="18"/>
              </w:rPr>
              <w:t xml:space="preserve">® </w:t>
            </w:r>
            <w:proofErr w:type="spellStart"/>
            <w:r>
              <w:rPr>
                <w:rFonts w:ascii="Calibri" w:hAnsi="Calibri" w:cs="Calibri"/>
                <w:color w:val="000000"/>
                <w:sz w:val="18"/>
                <w:szCs w:val="18"/>
              </w:rPr>
              <w:t>KwikPen</w:t>
            </w:r>
            <w:proofErr w:type="spellEnd"/>
            <w:r>
              <w:rPr>
                <w:rFonts w:ascii="Calibri" w:hAnsi="Calibri" w:cs="Calibri"/>
                <w:color w:val="000000"/>
                <w:sz w:val="18"/>
                <w:szCs w:val="18"/>
              </w:rPr>
              <w:t xml:space="preserve">® </w:t>
            </w:r>
            <w:r>
              <w:rPr>
                <w:rFonts w:ascii="Calibri" w:hAnsi="Calibri" w:cs="Calibri"/>
                <w:color w:val="000000"/>
                <w:sz w:val="18"/>
                <w:szCs w:val="18"/>
              </w:rPr>
              <w:br/>
            </w:r>
            <w:r>
              <w:rPr>
                <w:rFonts w:ascii="Calibri" w:hAnsi="Calibri" w:cs="Calibri"/>
                <w:color w:val="000000"/>
                <w:sz w:val="18"/>
                <w:szCs w:val="18"/>
              </w:rPr>
              <w:br/>
              <w:t xml:space="preserve">ELI LILLY AUSTRALIA PTY LTD </w:t>
            </w:r>
            <w:r>
              <w:rPr>
                <w:rFonts w:ascii="Calibri" w:hAnsi="Calibri" w:cs="Calibri"/>
                <w:color w:val="000000"/>
                <w:sz w:val="18"/>
                <w:szCs w:val="18"/>
              </w:rPr>
              <w:br/>
            </w:r>
            <w:r>
              <w:rPr>
                <w:rFonts w:ascii="Calibri" w:hAnsi="Calibri" w:cs="Calibri"/>
                <w:color w:val="000000"/>
                <w:sz w:val="18"/>
                <w:szCs w:val="18"/>
              </w:rPr>
              <w:br/>
              <w:t xml:space="preserve">Matters outstanding </w:t>
            </w:r>
            <w:r>
              <w:rPr>
                <w:rFonts w:ascii="Calibri" w:hAnsi="Calibri" w:cs="Calibri"/>
                <w:color w:val="000000"/>
                <w:sz w:val="18"/>
                <w:szCs w:val="18"/>
              </w:rPr>
              <w:br/>
              <w:t xml:space="preserve">(New PBS </w:t>
            </w:r>
            <w:r w:rsidR="00957109">
              <w:rPr>
                <w:rFonts w:ascii="Calibri" w:hAnsi="Calibri" w:cs="Calibri"/>
                <w:color w:val="000000"/>
                <w:sz w:val="18"/>
                <w:szCs w:val="18"/>
              </w:rPr>
              <w:t>listing)</w:t>
            </w:r>
            <w:r>
              <w:rPr>
                <w:rFonts w:ascii="Calibri" w:hAnsi="Calibri" w:cs="Calibri"/>
                <w:color w:val="000000"/>
                <w:sz w:val="18"/>
                <w:szCs w:val="18"/>
              </w:rPr>
              <w:t xml:space="preserve"> </w:t>
            </w:r>
            <w:r>
              <w:rPr>
                <w:rFonts w:ascii="Calibri" w:hAnsi="Calibri" w:cs="Calibri"/>
                <w:color w:val="000000"/>
                <w:sz w:val="18"/>
                <w:szCs w:val="18"/>
              </w:rPr>
              <w:br/>
            </w:r>
            <w:r>
              <w:rPr>
                <w:rFonts w:ascii="Calibri" w:hAnsi="Calibri" w:cs="Calibri"/>
                <w:color w:val="000000"/>
                <w:sz w:val="18"/>
                <w:szCs w:val="18"/>
              </w:rPr>
              <w:br/>
              <w:t xml:space="preserve">PBS General Schedule </w:t>
            </w:r>
          </w:p>
        </w:tc>
        <w:tc>
          <w:tcPr>
            <w:tcW w:w="1983" w:type="dxa"/>
            <w:tcBorders>
              <w:top w:val="single" w:sz="4" w:space="0" w:color="auto"/>
              <w:left w:val="single" w:sz="4" w:space="0" w:color="auto"/>
              <w:bottom w:val="single" w:sz="4" w:space="0" w:color="auto"/>
              <w:right w:val="single" w:sz="4" w:space="0" w:color="auto"/>
            </w:tcBorders>
            <w:vAlign w:val="center"/>
          </w:tcPr>
          <w:p w14:paraId="5A63ED91" w14:textId="3BF09047" w:rsidR="004D7F10" w:rsidRPr="005F21D6" w:rsidRDefault="004D7F10" w:rsidP="004D7F10">
            <w:pPr>
              <w:jc w:val="center"/>
              <w:rPr>
                <w:rFonts w:asciiTheme="minorHAnsi" w:hAnsiTheme="minorHAnsi" w:cstheme="minorHAnsi"/>
                <w:color w:val="000000"/>
                <w:sz w:val="18"/>
                <w:szCs w:val="18"/>
              </w:rPr>
            </w:pPr>
            <w:r>
              <w:rPr>
                <w:rFonts w:ascii="Calibri" w:hAnsi="Calibri" w:cs="Calibri"/>
                <w:color w:val="000000"/>
                <w:sz w:val="18"/>
                <w:szCs w:val="18"/>
              </w:rPr>
              <w:t xml:space="preserve">Type 2 diabetes mellitus (T2DM) </w:t>
            </w:r>
          </w:p>
        </w:tc>
        <w:tc>
          <w:tcPr>
            <w:tcW w:w="238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69DBB4D" w14:textId="16DBCEC2" w:rsidR="004D7F10" w:rsidRPr="005F21D6" w:rsidRDefault="004D7F10" w:rsidP="004D7F10">
            <w:pPr>
              <w:jc w:val="center"/>
              <w:rPr>
                <w:rFonts w:asciiTheme="minorHAnsi" w:hAnsiTheme="minorHAnsi" w:cstheme="minorHAnsi"/>
                <w:color w:val="000000"/>
                <w:sz w:val="18"/>
                <w:szCs w:val="18"/>
              </w:rPr>
            </w:pPr>
            <w:r>
              <w:rPr>
                <w:rFonts w:ascii="Calibri" w:hAnsi="Calibri" w:cs="Calibri"/>
                <w:color w:val="000000"/>
                <w:sz w:val="18"/>
                <w:szCs w:val="18"/>
              </w:rPr>
              <w:t xml:space="preserve">Resubmission to request listing of tirzepatide for the treatment of adults with inadequately </w:t>
            </w:r>
            <w:r>
              <w:rPr>
                <w:rFonts w:ascii="Calibri" w:hAnsi="Calibri" w:cs="Calibri"/>
                <w:color w:val="000000"/>
                <w:sz w:val="18"/>
                <w:szCs w:val="18"/>
              </w:rPr>
              <w:br/>
              <w:t xml:space="preserve">controlled T2DM. This item was deferred at the July 2025 PBAC meeting. </w:t>
            </w:r>
            <w:r>
              <w:rPr>
                <w:rFonts w:ascii="Calibri" w:hAnsi="Calibri" w:cs="Calibri"/>
                <w:color w:val="000000"/>
                <w:sz w:val="18"/>
                <w:szCs w:val="18"/>
              </w:rPr>
              <w:br/>
            </w:r>
            <w:r>
              <w:rPr>
                <w:rFonts w:ascii="Calibri" w:hAnsi="Calibri" w:cs="Calibri"/>
                <w:color w:val="000000"/>
                <w:sz w:val="18"/>
                <w:szCs w:val="18"/>
              </w:rPr>
              <w:br/>
              <w:t>Authority Required (Telephone/Online)</w:t>
            </w:r>
          </w:p>
        </w:tc>
        <w:tc>
          <w:tcPr>
            <w:tcW w:w="1415" w:type="dxa"/>
            <w:vAlign w:val="center"/>
          </w:tcPr>
          <w:p w14:paraId="2C275AD5" w14:textId="0997AF96" w:rsidR="004D7F10" w:rsidRPr="00544E10" w:rsidRDefault="004D7F10" w:rsidP="00D428AC">
            <w:pPr>
              <w:ind w:left="11"/>
              <w:contextualSpacing/>
              <w:jc w:val="center"/>
              <w:rPr>
                <w:rFonts w:asciiTheme="minorHAnsi" w:hAnsiTheme="minorHAnsi" w:cstheme="minorHAnsi"/>
                <w:color w:val="000000" w:themeColor="text1"/>
                <w:sz w:val="18"/>
                <w:szCs w:val="18"/>
              </w:rPr>
            </w:pPr>
            <w:r>
              <w:rPr>
                <w:rFonts w:ascii="Calibri" w:hAnsi="Calibri" w:cs="Calibri"/>
                <w:color w:val="000000"/>
                <w:sz w:val="18"/>
                <w:szCs w:val="18"/>
              </w:rPr>
              <w:t>Recommended</w:t>
            </w:r>
          </w:p>
        </w:tc>
        <w:tc>
          <w:tcPr>
            <w:tcW w:w="4729" w:type="dxa"/>
            <w:vAlign w:val="center"/>
          </w:tcPr>
          <w:p w14:paraId="7CD45965" w14:textId="1B37CF6F" w:rsidR="004D7F10" w:rsidRPr="00544E10" w:rsidRDefault="004D7F10" w:rsidP="00D428AC">
            <w:pPr>
              <w:ind w:left="11"/>
              <w:contextualSpacing/>
              <w:rPr>
                <w:rFonts w:asciiTheme="minorHAnsi" w:hAnsiTheme="minorHAnsi" w:cstheme="minorHAnsi"/>
                <w:color w:val="000000" w:themeColor="text1"/>
                <w:sz w:val="18"/>
                <w:szCs w:val="18"/>
              </w:rPr>
            </w:pPr>
            <w:r>
              <w:rPr>
                <w:rFonts w:ascii="Calibri" w:hAnsi="Calibri" w:cs="Calibri"/>
                <w:color w:val="000000"/>
                <w:sz w:val="18"/>
                <w:szCs w:val="18"/>
              </w:rPr>
              <w:br/>
              <w:t>The PBAC recommended the listing of tirzepatide (</w:t>
            </w:r>
            <w:proofErr w:type="spellStart"/>
            <w:r>
              <w:rPr>
                <w:rFonts w:ascii="Calibri" w:hAnsi="Calibri" w:cs="Calibri"/>
                <w:color w:val="000000"/>
                <w:sz w:val="18"/>
                <w:szCs w:val="18"/>
              </w:rPr>
              <w:t>Mounjaro</w:t>
            </w:r>
            <w:proofErr w:type="spellEnd"/>
            <w:r>
              <w:rPr>
                <w:rFonts w:ascii="Calibri" w:hAnsi="Calibri" w:cs="Calibri"/>
                <w:color w:val="000000"/>
                <w:sz w:val="18"/>
                <w:szCs w:val="18"/>
              </w:rPr>
              <w:t>®) for the treatment of adults with inadequately controlled type 2 diabetes mellitus. The PBAC recalled input from individuals, health care professionals and organisations in relation to the July 2025 submission, noting benefits of tirzepatide use including improved daily blood glucose readings, improved HbA1c results and weight loss and noting the high cost of tirzepatide making it difficult for some people to access. The PBAC acknowledged the clinical need for additional effective treatment options for people with type 2 diabetes mellitus, noting that a proportion of patients do not achieve adequate glycaemic control with currently PBS</w:t>
            </w:r>
            <w:r>
              <w:rPr>
                <w:rFonts w:ascii="Calibri" w:hAnsi="Calibri" w:cs="Calibri"/>
                <w:color w:val="000000"/>
                <w:sz w:val="18"/>
                <w:szCs w:val="18"/>
              </w:rPr>
              <w:noBreakHyphen/>
              <w:t xml:space="preserve">listed therapies. The PBAC noted that tirzepatide is currently available through the private market and considered that PBS listing would improve equity of access, particularly for patients for whom cost may be a barrier. </w:t>
            </w:r>
            <w:r>
              <w:rPr>
                <w:rFonts w:ascii="Calibri" w:hAnsi="Calibri" w:cs="Calibri"/>
                <w:color w:val="000000"/>
                <w:sz w:val="18"/>
                <w:szCs w:val="18"/>
              </w:rPr>
              <w:br/>
            </w:r>
            <w:r>
              <w:rPr>
                <w:rFonts w:ascii="Calibri" w:hAnsi="Calibri" w:cs="Calibri"/>
                <w:color w:val="000000"/>
                <w:sz w:val="18"/>
                <w:szCs w:val="18"/>
              </w:rPr>
              <w:br/>
              <w:t xml:space="preserve">The PBAC noted that it had previously considered tirzepatide at its July 2023, November 2024 and July 2025 meetings, and that the current submission included revisions in response to the PBAC deferring making a recommendation for tirzepatide at its July 2025 meeting. These revisions included changes to the proposed pricing, updated estimates of the number of patients that would use tirzepatide and a revised approach to managing financial risks. </w:t>
            </w:r>
            <w:r>
              <w:rPr>
                <w:rFonts w:ascii="Calibri" w:hAnsi="Calibri" w:cs="Calibri"/>
                <w:color w:val="000000"/>
                <w:sz w:val="18"/>
                <w:szCs w:val="18"/>
              </w:rPr>
              <w:br/>
            </w:r>
            <w:r>
              <w:rPr>
                <w:rFonts w:ascii="Calibri" w:hAnsi="Calibri" w:cs="Calibri"/>
                <w:color w:val="000000"/>
                <w:sz w:val="18"/>
                <w:szCs w:val="18"/>
              </w:rPr>
              <w:br/>
              <w:t>The PBAC considered tirzepatide 10 mg and 15 mg strengths to be cost</w:t>
            </w:r>
            <w:r>
              <w:rPr>
                <w:rFonts w:ascii="Calibri" w:hAnsi="Calibri" w:cs="Calibri"/>
                <w:color w:val="000000"/>
                <w:sz w:val="18"/>
                <w:szCs w:val="18"/>
              </w:rPr>
              <w:noBreakHyphen/>
              <w:t>effective, and tirzepatide 5 mg would be cost-effective with a reduced price. The PBAC accepted the sponsor’s revised estimates of the number of patients that would use tirzepatide, considering these to be reasonable for the purposes of the submission, while acknowledging ongoing uncertainties related to changes in the market dynamics and supply constraints. The PBAC accepted the supply of tirzepatide under normal PBS arrangements and considered this appropriate to support equitable access through community pharmacy. The PBAC requested that arrangements for managing financial risks be progressed separately between the sponsor and the Department.</w:t>
            </w:r>
          </w:p>
        </w:tc>
      </w:tr>
      <w:tr w:rsidR="00C312E5" w:rsidRPr="00544E10" w14:paraId="106D1CD9" w14:textId="77777777" w:rsidTr="003921D1">
        <w:trPr>
          <w:cantSplit/>
          <w:trHeight w:val="868"/>
        </w:trPr>
        <w:tc>
          <w:tcPr>
            <w:tcW w:w="294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DF9DF5C" w14:textId="46E720E7" w:rsidR="00D17577" w:rsidRPr="005F21D6" w:rsidRDefault="00D17577" w:rsidP="00D17577">
            <w:pPr>
              <w:jc w:val="center"/>
              <w:rPr>
                <w:rFonts w:asciiTheme="minorHAnsi" w:hAnsiTheme="minorHAnsi" w:cstheme="minorHAnsi"/>
                <w:color w:val="000000"/>
                <w:szCs w:val="20"/>
              </w:rPr>
            </w:pPr>
            <w:r>
              <w:rPr>
                <w:rFonts w:ascii="Calibri" w:hAnsi="Calibri" w:cs="Calibri"/>
                <w:color w:val="000000"/>
                <w:sz w:val="18"/>
                <w:szCs w:val="18"/>
              </w:rPr>
              <w:t>TOFERSEN</w:t>
            </w:r>
            <w:r>
              <w:rPr>
                <w:rFonts w:ascii="Calibri" w:hAnsi="Calibri" w:cs="Calibri"/>
                <w:color w:val="000000"/>
                <w:sz w:val="18"/>
                <w:szCs w:val="18"/>
              </w:rPr>
              <w:br/>
            </w:r>
            <w:r>
              <w:rPr>
                <w:rFonts w:ascii="Calibri" w:hAnsi="Calibri" w:cs="Calibri"/>
                <w:color w:val="000000"/>
                <w:sz w:val="18"/>
                <w:szCs w:val="18"/>
              </w:rPr>
              <w:br/>
              <w:t xml:space="preserve">Solution for intrathecal injection 100 mg in 15 mL </w:t>
            </w:r>
            <w:r>
              <w:rPr>
                <w:rFonts w:ascii="Calibri" w:hAnsi="Calibri" w:cs="Calibri"/>
                <w:color w:val="000000"/>
                <w:sz w:val="18"/>
                <w:szCs w:val="18"/>
              </w:rPr>
              <w:br/>
            </w:r>
            <w:r>
              <w:rPr>
                <w:rFonts w:ascii="Calibri" w:hAnsi="Calibri" w:cs="Calibri"/>
                <w:color w:val="000000"/>
                <w:sz w:val="18"/>
                <w:szCs w:val="18"/>
              </w:rPr>
              <w:br/>
            </w:r>
            <w:proofErr w:type="spellStart"/>
            <w:r>
              <w:rPr>
                <w:rFonts w:ascii="Calibri" w:hAnsi="Calibri" w:cs="Calibri"/>
                <w:color w:val="000000"/>
                <w:sz w:val="18"/>
                <w:szCs w:val="18"/>
              </w:rPr>
              <w:t>Qalsody</w:t>
            </w:r>
            <w:proofErr w:type="spellEnd"/>
            <w:r>
              <w:rPr>
                <w:rFonts w:ascii="Calibri" w:hAnsi="Calibri" w:cs="Calibri"/>
                <w:color w:val="000000"/>
                <w:sz w:val="18"/>
                <w:szCs w:val="18"/>
              </w:rPr>
              <w:t>®</w:t>
            </w:r>
            <w:r>
              <w:rPr>
                <w:rFonts w:ascii="Calibri" w:hAnsi="Calibri" w:cs="Calibri"/>
                <w:color w:val="000000"/>
                <w:sz w:val="18"/>
                <w:szCs w:val="18"/>
              </w:rPr>
              <w:br/>
            </w:r>
            <w:r>
              <w:rPr>
                <w:rFonts w:ascii="Calibri" w:hAnsi="Calibri" w:cs="Calibri"/>
                <w:color w:val="000000"/>
                <w:sz w:val="18"/>
                <w:szCs w:val="18"/>
              </w:rPr>
              <w:br/>
              <w:t>BIOGEN AUSTRALIA PTY LTD</w:t>
            </w:r>
            <w:r>
              <w:rPr>
                <w:rFonts w:ascii="Calibri" w:hAnsi="Calibri" w:cs="Calibri"/>
                <w:color w:val="000000"/>
                <w:sz w:val="18"/>
                <w:szCs w:val="18"/>
              </w:rPr>
              <w:br/>
            </w:r>
            <w:r>
              <w:rPr>
                <w:rFonts w:ascii="Calibri" w:hAnsi="Calibri" w:cs="Calibri"/>
                <w:color w:val="000000"/>
                <w:sz w:val="18"/>
                <w:szCs w:val="18"/>
              </w:rPr>
              <w:br/>
              <w:t>Early Re-entry</w:t>
            </w:r>
            <w:r>
              <w:rPr>
                <w:rFonts w:ascii="Calibri" w:hAnsi="Calibri" w:cs="Calibri"/>
                <w:color w:val="000000"/>
                <w:sz w:val="18"/>
                <w:szCs w:val="18"/>
              </w:rPr>
              <w:br/>
              <w:t xml:space="preserve">(New PBS </w:t>
            </w:r>
            <w:r w:rsidR="00957109">
              <w:rPr>
                <w:rFonts w:ascii="Calibri" w:hAnsi="Calibri" w:cs="Calibri"/>
                <w:color w:val="000000"/>
                <w:sz w:val="18"/>
                <w:szCs w:val="18"/>
              </w:rPr>
              <w:t>listing)</w:t>
            </w:r>
            <w:r>
              <w:rPr>
                <w:rFonts w:ascii="Calibri" w:hAnsi="Calibri" w:cs="Calibri"/>
                <w:color w:val="000000"/>
                <w:sz w:val="18"/>
                <w:szCs w:val="18"/>
              </w:rPr>
              <w:br/>
            </w:r>
            <w:r>
              <w:rPr>
                <w:rFonts w:ascii="Calibri" w:hAnsi="Calibri" w:cs="Calibri"/>
                <w:color w:val="000000"/>
                <w:sz w:val="18"/>
                <w:szCs w:val="18"/>
              </w:rPr>
              <w:br/>
              <w:t>PBS Section 100 (Highly Specialised Drugs Program)</w:t>
            </w:r>
          </w:p>
        </w:tc>
        <w:tc>
          <w:tcPr>
            <w:tcW w:w="1983" w:type="dxa"/>
            <w:tcBorders>
              <w:top w:val="single" w:sz="4" w:space="0" w:color="auto"/>
              <w:left w:val="single" w:sz="4" w:space="0" w:color="auto"/>
              <w:bottom w:val="single" w:sz="4" w:space="0" w:color="auto"/>
              <w:right w:val="single" w:sz="4" w:space="0" w:color="auto"/>
            </w:tcBorders>
            <w:vAlign w:val="center"/>
          </w:tcPr>
          <w:p w14:paraId="05FA9F12" w14:textId="3C3DCED8" w:rsidR="00D17577" w:rsidRPr="005F21D6" w:rsidRDefault="00D17577" w:rsidP="00D17577">
            <w:pPr>
              <w:jc w:val="center"/>
              <w:rPr>
                <w:rFonts w:asciiTheme="minorHAnsi" w:hAnsiTheme="minorHAnsi" w:cstheme="minorHAnsi"/>
                <w:color w:val="000000"/>
                <w:sz w:val="18"/>
                <w:szCs w:val="18"/>
              </w:rPr>
            </w:pPr>
            <w:r>
              <w:rPr>
                <w:rFonts w:ascii="Calibri" w:hAnsi="Calibri" w:cs="Calibri"/>
                <w:color w:val="000000"/>
                <w:sz w:val="18"/>
                <w:szCs w:val="18"/>
              </w:rPr>
              <w:t>Amyotrophic lateral sclerosis (ALS)</w:t>
            </w:r>
          </w:p>
        </w:tc>
        <w:tc>
          <w:tcPr>
            <w:tcW w:w="238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AB5366C" w14:textId="2A34FC54" w:rsidR="00D17577" w:rsidRPr="005F21D6" w:rsidRDefault="00D17577" w:rsidP="00D17577">
            <w:pPr>
              <w:jc w:val="center"/>
              <w:rPr>
                <w:rFonts w:asciiTheme="minorHAnsi" w:hAnsiTheme="minorHAnsi" w:cstheme="minorHAnsi"/>
                <w:color w:val="000000"/>
                <w:sz w:val="18"/>
                <w:szCs w:val="18"/>
              </w:rPr>
            </w:pPr>
            <w:r>
              <w:rPr>
                <w:rFonts w:ascii="Calibri" w:hAnsi="Calibri" w:cs="Calibri"/>
                <w:color w:val="000000"/>
                <w:sz w:val="18"/>
                <w:szCs w:val="18"/>
              </w:rPr>
              <w:t xml:space="preserve">Resubmission to request listing of </w:t>
            </w:r>
            <w:proofErr w:type="spellStart"/>
            <w:r>
              <w:rPr>
                <w:rFonts w:ascii="Calibri" w:hAnsi="Calibri" w:cs="Calibri"/>
                <w:color w:val="000000"/>
                <w:sz w:val="18"/>
                <w:szCs w:val="18"/>
              </w:rPr>
              <w:t>tofersen</w:t>
            </w:r>
            <w:proofErr w:type="spellEnd"/>
            <w:r>
              <w:rPr>
                <w:rFonts w:ascii="Calibri" w:hAnsi="Calibri" w:cs="Calibri"/>
                <w:color w:val="000000"/>
                <w:sz w:val="18"/>
                <w:szCs w:val="18"/>
              </w:rPr>
              <w:t xml:space="preserve"> for the treatment of ALS associated with a mutation in the superoxide dismutase 1 gene in patients who have not experienced respiratory failure. </w:t>
            </w:r>
          </w:p>
        </w:tc>
        <w:tc>
          <w:tcPr>
            <w:tcW w:w="1415" w:type="dxa"/>
            <w:vAlign w:val="center"/>
          </w:tcPr>
          <w:p w14:paraId="14F5D8FB" w14:textId="4DC0DD69" w:rsidR="00D17577" w:rsidRPr="00544E10" w:rsidRDefault="00D17577" w:rsidP="00D428AC">
            <w:pPr>
              <w:ind w:left="11"/>
              <w:contextualSpacing/>
              <w:jc w:val="center"/>
              <w:rPr>
                <w:rFonts w:asciiTheme="minorHAnsi" w:hAnsiTheme="minorHAnsi" w:cstheme="minorHAnsi"/>
                <w:color w:val="000000" w:themeColor="text1"/>
                <w:sz w:val="18"/>
                <w:szCs w:val="18"/>
              </w:rPr>
            </w:pPr>
            <w:r>
              <w:rPr>
                <w:rFonts w:ascii="Calibri" w:hAnsi="Calibri" w:cs="Calibri"/>
                <w:color w:val="000000"/>
                <w:sz w:val="18"/>
                <w:szCs w:val="18"/>
              </w:rPr>
              <w:t>Recommended</w:t>
            </w:r>
          </w:p>
        </w:tc>
        <w:tc>
          <w:tcPr>
            <w:tcW w:w="4729" w:type="dxa"/>
            <w:vAlign w:val="center"/>
          </w:tcPr>
          <w:p w14:paraId="3691BF85" w14:textId="7AFAD624" w:rsidR="00D17577" w:rsidRPr="00544E10" w:rsidRDefault="00D17577" w:rsidP="00D428AC">
            <w:pPr>
              <w:ind w:left="11"/>
              <w:contextualSpacing/>
              <w:rPr>
                <w:rFonts w:asciiTheme="minorHAnsi" w:hAnsiTheme="minorHAnsi" w:cstheme="minorHAnsi"/>
                <w:color w:val="000000" w:themeColor="text1"/>
                <w:sz w:val="18"/>
                <w:szCs w:val="18"/>
              </w:rPr>
            </w:pPr>
            <w:r>
              <w:rPr>
                <w:rFonts w:ascii="Calibri" w:hAnsi="Calibri" w:cs="Calibri"/>
                <w:color w:val="000000"/>
                <w:sz w:val="18"/>
                <w:szCs w:val="18"/>
              </w:rPr>
              <w:t xml:space="preserve">The PBAC recommended listing </w:t>
            </w:r>
            <w:proofErr w:type="spellStart"/>
            <w:r>
              <w:rPr>
                <w:rFonts w:ascii="Calibri" w:hAnsi="Calibri" w:cs="Calibri"/>
                <w:color w:val="000000"/>
                <w:sz w:val="18"/>
                <w:szCs w:val="18"/>
              </w:rPr>
              <w:t>tofersen</w:t>
            </w:r>
            <w:proofErr w:type="spellEnd"/>
            <w:r>
              <w:rPr>
                <w:rFonts w:ascii="Calibri" w:hAnsi="Calibri" w:cs="Calibri"/>
                <w:color w:val="000000"/>
                <w:sz w:val="18"/>
                <w:szCs w:val="18"/>
              </w:rPr>
              <w:t xml:space="preserve"> (</w:t>
            </w:r>
            <w:proofErr w:type="spellStart"/>
            <w:r>
              <w:rPr>
                <w:rFonts w:ascii="Calibri" w:hAnsi="Calibri" w:cs="Calibri"/>
                <w:color w:val="000000"/>
                <w:sz w:val="18"/>
                <w:szCs w:val="18"/>
              </w:rPr>
              <w:t>Qalsody</w:t>
            </w:r>
            <w:proofErr w:type="spellEnd"/>
            <w:r>
              <w:rPr>
                <w:rFonts w:ascii="Calibri" w:hAnsi="Calibri" w:cs="Calibri"/>
                <w:color w:val="000000"/>
                <w:sz w:val="18"/>
                <w:szCs w:val="18"/>
              </w:rPr>
              <w:t xml:space="preserve">®) on the PBS for the treatment of patients with amyotrophic lateral sclerosis (ALS) who have a superoxide </w:t>
            </w:r>
            <w:proofErr w:type="spellStart"/>
            <w:r>
              <w:rPr>
                <w:rFonts w:ascii="Calibri" w:hAnsi="Calibri" w:cs="Calibri"/>
                <w:color w:val="000000"/>
                <w:sz w:val="18"/>
                <w:szCs w:val="18"/>
              </w:rPr>
              <w:t>dimutase</w:t>
            </w:r>
            <w:proofErr w:type="spellEnd"/>
            <w:r>
              <w:rPr>
                <w:rFonts w:ascii="Calibri" w:hAnsi="Calibri" w:cs="Calibri"/>
                <w:color w:val="000000"/>
                <w:sz w:val="18"/>
                <w:szCs w:val="18"/>
              </w:rPr>
              <w:t xml:space="preserve"> 1 (SOD1) gene pathogenic variant. </w:t>
            </w:r>
            <w:r>
              <w:rPr>
                <w:rFonts w:ascii="Calibri" w:hAnsi="Calibri" w:cs="Calibri"/>
                <w:color w:val="000000"/>
                <w:sz w:val="18"/>
                <w:szCs w:val="18"/>
              </w:rPr>
              <w:br/>
              <w:t xml:space="preserve">The PBAC recalled receiving input from individuals, health care professionals and organisations in November 2025 with the original submission. It noted the high unmet need for targeted treatments for this rare subtype of ALS. The PBAC acknowledged the progressive nature of the disease and that any slowing of disease progression or retention of functional capacities was a crucial factor in improving patient quality of life.   </w:t>
            </w:r>
            <w:r>
              <w:rPr>
                <w:rFonts w:ascii="Calibri" w:hAnsi="Calibri" w:cs="Calibri"/>
                <w:color w:val="000000"/>
                <w:sz w:val="18"/>
                <w:szCs w:val="18"/>
              </w:rPr>
              <w:br/>
              <w:t xml:space="preserve"> The PBAC recalled that in November 2025 it had considered that, although not demonstrated statistically in the trial, based on biomarkers (plasma neurofilament light chain, an indicator of neurological disease progression), </w:t>
            </w:r>
            <w:proofErr w:type="spellStart"/>
            <w:r>
              <w:rPr>
                <w:rFonts w:ascii="Calibri" w:hAnsi="Calibri" w:cs="Calibri"/>
                <w:color w:val="000000"/>
                <w:sz w:val="18"/>
                <w:szCs w:val="18"/>
              </w:rPr>
              <w:t>tofersen</w:t>
            </w:r>
            <w:proofErr w:type="spellEnd"/>
            <w:r>
              <w:rPr>
                <w:rFonts w:ascii="Calibri" w:hAnsi="Calibri" w:cs="Calibri"/>
                <w:color w:val="000000"/>
                <w:sz w:val="18"/>
                <w:szCs w:val="18"/>
              </w:rPr>
              <w:t xml:space="preserve"> was likely more effective than best supportive care at slowing the progression of SOD1-ALS and increasing overall survival. However, the PBAC noted that the effect of </w:t>
            </w:r>
            <w:proofErr w:type="spellStart"/>
            <w:r>
              <w:rPr>
                <w:rFonts w:ascii="Calibri" w:hAnsi="Calibri" w:cs="Calibri"/>
                <w:color w:val="000000"/>
                <w:sz w:val="18"/>
                <w:szCs w:val="18"/>
              </w:rPr>
              <w:t>tofersen</w:t>
            </w:r>
            <w:proofErr w:type="spellEnd"/>
            <w:r>
              <w:rPr>
                <w:rFonts w:ascii="Calibri" w:hAnsi="Calibri" w:cs="Calibri"/>
                <w:color w:val="000000"/>
                <w:sz w:val="18"/>
                <w:szCs w:val="18"/>
              </w:rPr>
              <w:t xml:space="preserve"> in preventing loss of physical function would likely be modest. The PBAC considered that given the progressive nature of SOD1-ALS, stabilisation of disease would still be beneficial for patients, their families and their </w:t>
            </w:r>
            <w:proofErr w:type="spellStart"/>
            <w:r>
              <w:rPr>
                <w:rFonts w:ascii="Calibri" w:hAnsi="Calibri" w:cs="Calibri"/>
                <w:color w:val="000000"/>
                <w:sz w:val="18"/>
                <w:szCs w:val="18"/>
              </w:rPr>
              <w:t>carers</w:t>
            </w:r>
            <w:proofErr w:type="spellEnd"/>
            <w:r>
              <w:rPr>
                <w:rFonts w:ascii="Calibri" w:hAnsi="Calibri" w:cs="Calibri"/>
                <w:color w:val="000000"/>
                <w:sz w:val="18"/>
                <w:szCs w:val="18"/>
              </w:rPr>
              <w:t xml:space="preserve">. The PBAC also previously noted that </w:t>
            </w:r>
            <w:proofErr w:type="spellStart"/>
            <w:r>
              <w:rPr>
                <w:rFonts w:ascii="Calibri" w:hAnsi="Calibri" w:cs="Calibri"/>
                <w:color w:val="000000"/>
                <w:sz w:val="18"/>
                <w:szCs w:val="18"/>
              </w:rPr>
              <w:t>tofersen</w:t>
            </w:r>
            <w:proofErr w:type="spellEnd"/>
            <w:r>
              <w:rPr>
                <w:rFonts w:ascii="Calibri" w:hAnsi="Calibri" w:cs="Calibri"/>
                <w:color w:val="000000"/>
                <w:sz w:val="18"/>
                <w:szCs w:val="18"/>
              </w:rPr>
              <w:t xml:space="preserve"> was less safe than best supportive care, with side effects mainly associated with its administration via lumbar puncture. </w:t>
            </w:r>
            <w:r>
              <w:rPr>
                <w:rFonts w:ascii="Calibri" w:hAnsi="Calibri" w:cs="Calibri"/>
                <w:color w:val="000000"/>
                <w:sz w:val="18"/>
                <w:szCs w:val="18"/>
              </w:rPr>
              <w:br/>
              <w:t xml:space="preserve">The PBAC considered that the cost requested by the sponsor in the resubmission was acceptable. The PBAC also considered that the estimates of eligible patients and associated costs presented in the resubmission were reasonable with minor changes. The PBAC considered that the risk sharing arrangement proposed by the sponsor would mitigate the risk associated with the uncertain long-term benefits of </w:t>
            </w:r>
            <w:proofErr w:type="spellStart"/>
            <w:r>
              <w:rPr>
                <w:rFonts w:ascii="Calibri" w:hAnsi="Calibri" w:cs="Calibri"/>
                <w:color w:val="000000"/>
                <w:sz w:val="18"/>
                <w:szCs w:val="18"/>
              </w:rPr>
              <w:t>tofersen</w:t>
            </w:r>
            <w:proofErr w:type="spellEnd"/>
            <w:r>
              <w:rPr>
                <w:rFonts w:ascii="Calibri" w:hAnsi="Calibri" w:cs="Calibri"/>
                <w:color w:val="000000"/>
                <w:sz w:val="18"/>
                <w:szCs w:val="18"/>
              </w:rPr>
              <w:t xml:space="preserve"> and the uncertain duration of therapy. </w:t>
            </w:r>
            <w:r>
              <w:rPr>
                <w:rFonts w:ascii="Calibri" w:hAnsi="Calibri" w:cs="Calibri"/>
                <w:color w:val="000000"/>
                <w:sz w:val="18"/>
                <w:szCs w:val="18"/>
              </w:rPr>
              <w:br/>
              <w:t xml:space="preserve">The PBAC advised that the listing would require changes to the restrictions for the PBS-listed medicine </w:t>
            </w:r>
            <w:proofErr w:type="spellStart"/>
            <w:r>
              <w:rPr>
                <w:rFonts w:ascii="Calibri" w:hAnsi="Calibri" w:cs="Calibri"/>
                <w:color w:val="000000"/>
                <w:sz w:val="18"/>
                <w:szCs w:val="18"/>
              </w:rPr>
              <w:t>edaravone</w:t>
            </w:r>
            <w:proofErr w:type="spellEnd"/>
            <w:r>
              <w:rPr>
                <w:rFonts w:ascii="Calibri" w:hAnsi="Calibri" w:cs="Calibri"/>
                <w:color w:val="000000"/>
                <w:sz w:val="18"/>
                <w:szCs w:val="18"/>
              </w:rPr>
              <w:t xml:space="preserve"> to prevent combined use of </w:t>
            </w:r>
            <w:proofErr w:type="spellStart"/>
            <w:r>
              <w:rPr>
                <w:rFonts w:ascii="Calibri" w:hAnsi="Calibri" w:cs="Calibri"/>
                <w:color w:val="000000"/>
                <w:sz w:val="18"/>
                <w:szCs w:val="18"/>
              </w:rPr>
              <w:t>edaravone</w:t>
            </w:r>
            <w:proofErr w:type="spellEnd"/>
            <w:r>
              <w:rPr>
                <w:rFonts w:ascii="Calibri" w:hAnsi="Calibri" w:cs="Calibri"/>
                <w:color w:val="000000"/>
                <w:sz w:val="18"/>
                <w:szCs w:val="18"/>
              </w:rPr>
              <w:t xml:space="preserve"> and </w:t>
            </w:r>
            <w:proofErr w:type="spellStart"/>
            <w:r>
              <w:rPr>
                <w:rFonts w:ascii="Calibri" w:hAnsi="Calibri" w:cs="Calibri"/>
                <w:color w:val="000000"/>
                <w:sz w:val="18"/>
                <w:szCs w:val="18"/>
              </w:rPr>
              <w:t>tofersen</w:t>
            </w:r>
            <w:proofErr w:type="spellEnd"/>
            <w:r>
              <w:rPr>
                <w:rFonts w:ascii="Calibri" w:hAnsi="Calibri" w:cs="Calibri"/>
                <w:color w:val="000000"/>
                <w:sz w:val="18"/>
                <w:szCs w:val="18"/>
              </w:rPr>
              <w:t xml:space="preserve">. </w:t>
            </w:r>
          </w:p>
        </w:tc>
      </w:tr>
      <w:tr w:rsidR="00EF13F4" w:rsidRPr="00544E10" w14:paraId="2539DA05" w14:textId="77777777" w:rsidTr="003921D1">
        <w:trPr>
          <w:cantSplit/>
          <w:trHeight w:val="868"/>
        </w:trPr>
        <w:tc>
          <w:tcPr>
            <w:tcW w:w="294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9FB2A31" w14:textId="5F953C27" w:rsidR="00EF13F4" w:rsidRDefault="00EF13F4" w:rsidP="00EF13F4">
            <w:pPr>
              <w:jc w:val="center"/>
              <w:rPr>
                <w:rFonts w:ascii="Calibri" w:hAnsi="Calibri" w:cs="Calibri"/>
                <w:color w:val="000000"/>
                <w:sz w:val="18"/>
                <w:szCs w:val="18"/>
              </w:rPr>
            </w:pPr>
            <w:r>
              <w:rPr>
                <w:rFonts w:ascii="Calibri" w:hAnsi="Calibri" w:cs="Calibri"/>
                <w:color w:val="000000"/>
                <w:sz w:val="18"/>
                <w:szCs w:val="18"/>
              </w:rPr>
              <w:t xml:space="preserve">TRASTUZUMAB DERUXTECAN </w:t>
            </w:r>
            <w:r>
              <w:rPr>
                <w:rFonts w:ascii="Calibri" w:hAnsi="Calibri" w:cs="Calibri"/>
                <w:color w:val="000000"/>
                <w:sz w:val="18"/>
                <w:szCs w:val="18"/>
              </w:rPr>
              <w:br/>
            </w:r>
            <w:r>
              <w:rPr>
                <w:rFonts w:ascii="Calibri" w:hAnsi="Calibri" w:cs="Calibri"/>
                <w:color w:val="000000"/>
                <w:sz w:val="18"/>
                <w:szCs w:val="18"/>
              </w:rPr>
              <w:br/>
              <w:t>Powder for I.V. infusion 100 mg</w:t>
            </w:r>
            <w:r>
              <w:rPr>
                <w:rFonts w:ascii="Calibri" w:hAnsi="Calibri" w:cs="Calibri"/>
                <w:color w:val="000000"/>
                <w:sz w:val="18"/>
                <w:szCs w:val="18"/>
              </w:rPr>
              <w:br/>
            </w:r>
            <w:r>
              <w:rPr>
                <w:rFonts w:ascii="Calibri" w:hAnsi="Calibri" w:cs="Calibri"/>
                <w:color w:val="000000"/>
                <w:sz w:val="18"/>
                <w:szCs w:val="18"/>
              </w:rPr>
              <w:br/>
            </w:r>
            <w:proofErr w:type="spellStart"/>
            <w:r>
              <w:rPr>
                <w:rFonts w:ascii="Calibri" w:hAnsi="Calibri" w:cs="Calibri"/>
                <w:color w:val="000000"/>
                <w:sz w:val="18"/>
                <w:szCs w:val="18"/>
              </w:rPr>
              <w:t>Enhertu</w:t>
            </w:r>
            <w:proofErr w:type="spellEnd"/>
            <w:r>
              <w:rPr>
                <w:rFonts w:ascii="Calibri" w:hAnsi="Calibri" w:cs="Calibri"/>
                <w:color w:val="000000"/>
                <w:sz w:val="18"/>
                <w:szCs w:val="18"/>
              </w:rPr>
              <w:t>®</w:t>
            </w:r>
            <w:r>
              <w:rPr>
                <w:rFonts w:ascii="Calibri" w:hAnsi="Calibri" w:cs="Calibri"/>
                <w:color w:val="000000"/>
                <w:sz w:val="18"/>
                <w:szCs w:val="18"/>
              </w:rPr>
              <w:br/>
            </w:r>
            <w:r>
              <w:rPr>
                <w:rFonts w:ascii="Calibri" w:hAnsi="Calibri" w:cs="Calibri"/>
                <w:color w:val="000000"/>
                <w:sz w:val="18"/>
                <w:szCs w:val="18"/>
              </w:rPr>
              <w:br/>
              <w:t>ASTRAZENECA PTY LTD</w:t>
            </w:r>
            <w:r>
              <w:rPr>
                <w:rFonts w:ascii="Calibri" w:hAnsi="Calibri" w:cs="Calibri"/>
                <w:color w:val="000000"/>
                <w:sz w:val="18"/>
                <w:szCs w:val="18"/>
              </w:rPr>
              <w:br/>
            </w:r>
            <w:r>
              <w:rPr>
                <w:rFonts w:ascii="Calibri" w:hAnsi="Calibri" w:cs="Calibri"/>
                <w:color w:val="000000"/>
                <w:sz w:val="18"/>
                <w:szCs w:val="18"/>
              </w:rPr>
              <w:br/>
              <w:t>Category 2</w:t>
            </w:r>
            <w:r>
              <w:rPr>
                <w:rFonts w:ascii="Calibri" w:hAnsi="Calibri" w:cs="Calibri"/>
                <w:color w:val="000000"/>
                <w:sz w:val="18"/>
                <w:szCs w:val="18"/>
              </w:rPr>
              <w:br/>
              <w:t>(Change to existing listing</w:t>
            </w:r>
            <w:r>
              <w:rPr>
                <w:rFonts w:ascii="Calibri" w:hAnsi="Calibri" w:cs="Calibri"/>
                <w:color w:val="000000"/>
                <w:sz w:val="18"/>
                <w:szCs w:val="18"/>
              </w:rPr>
              <w:br/>
            </w:r>
            <w:r>
              <w:rPr>
                <w:rFonts w:ascii="Calibri" w:hAnsi="Calibri" w:cs="Calibri"/>
                <w:color w:val="000000"/>
                <w:sz w:val="18"/>
                <w:szCs w:val="18"/>
              </w:rPr>
              <w:br/>
              <w:t>PBS Section 100 (Efficient Funding of Chemotherapy Program)</w:t>
            </w:r>
          </w:p>
        </w:tc>
        <w:tc>
          <w:tcPr>
            <w:tcW w:w="1983" w:type="dxa"/>
            <w:tcBorders>
              <w:top w:val="single" w:sz="4" w:space="0" w:color="auto"/>
              <w:left w:val="single" w:sz="4" w:space="0" w:color="auto"/>
              <w:bottom w:val="single" w:sz="4" w:space="0" w:color="auto"/>
              <w:right w:val="single" w:sz="4" w:space="0" w:color="auto"/>
            </w:tcBorders>
            <w:vAlign w:val="center"/>
          </w:tcPr>
          <w:p w14:paraId="638E88B1" w14:textId="7B31851F" w:rsidR="00EF13F4" w:rsidRDefault="00EF13F4" w:rsidP="00EF13F4">
            <w:pPr>
              <w:jc w:val="center"/>
              <w:rPr>
                <w:rFonts w:ascii="Calibri" w:hAnsi="Calibri" w:cs="Calibri"/>
                <w:color w:val="000000"/>
                <w:sz w:val="18"/>
                <w:szCs w:val="18"/>
              </w:rPr>
            </w:pPr>
            <w:r>
              <w:rPr>
                <w:rFonts w:ascii="Calibri" w:hAnsi="Calibri" w:cs="Calibri"/>
                <w:color w:val="000000"/>
                <w:sz w:val="18"/>
                <w:szCs w:val="18"/>
              </w:rPr>
              <w:t>Breast cancer</w:t>
            </w:r>
          </w:p>
        </w:tc>
        <w:tc>
          <w:tcPr>
            <w:tcW w:w="238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E1EE7E8" w14:textId="35CCF81D" w:rsidR="00EF13F4" w:rsidRDefault="00EF13F4" w:rsidP="00EF13F4">
            <w:pPr>
              <w:jc w:val="center"/>
              <w:rPr>
                <w:rFonts w:ascii="Calibri" w:hAnsi="Calibri" w:cs="Calibri"/>
                <w:color w:val="000000"/>
                <w:sz w:val="18"/>
                <w:szCs w:val="18"/>
              </w:rPr>
            </w:pPr>
            <w:r>
              <w:rPr>
                <w:rFonts w:ascii="Calibri" w:hAnsi="Calibri" w:cs="Calibri"/>
                <w:color w:val="000000"/>
                <w:sz w:val="18"/>
                <w:szCs w:val="18"/>
              </w:rPr>
              <w:t xml:space="preserve">To request listing of trastuzumab deruxtecan for the treatment of adult patients with hormone receptor positive (HR-positive) human epidermal growth factor receptor 2 (HER2)-low or HER2-ultralow unresectable and/or metastatic breast cancer who have received at least one prior line of endocrine therapy in the metastatic setting and are no longer suitable for further endocrine therapy. </w:t>
            </w:r>
            <w:r>
              <w:rPr>
                <w:rFonts w:ascii="Calibri" w:hAnsi="Calibri" w:cs="Calibri"/>
                <w:color w:val="000000"/>
                <w:sz w:val="18"/>
                <w:szCs w:val="18"/>
              </w:rPr>
              <w:br/>
            </w:r>
            <w:r>
              <w:rPr>
                <w:rFonts w:ascii="Calibri" w:hAnsi="Calibri" w:cs="Calibri"/>
                <w:color w:val="000000"/>
                <w:sz w:val="18"/>
                <w:szCs w:val="18"/>
              </w:rPr>
              <w:br/>
              <w:t>Authority Required (Telephone/Online)</w:t>
            </w:r>
          </w:p>
        </w:tc>
        <w:tc>
          <w:tcPr>
            <w:tcW w:w="1415" w:type="dxa"/>
            <w:vAlign w:val="center"/>
          </w:tcPr>
          <w:p w14:paraId="32B3A7EB" w14:textId="13574223" w:rsidR="00EF13F4" w:rsidRDefault="00EF13F4" w:rsidP="00EF13F4">
            <w:pPr>
              <w:ind w:left="11"/>
              <w:contextualSpacing/>
              <w:jc w:val="center"/>
              <w:rPr>
                <w:rFonts w:ascii="Calibri" w:hAnsi="Calibri" w:cs="Calibri"/>
                <w:color w:val="000000"/>
                <w:sz w:val="18"/>
                <w:szCs w:val="18"/>
              </w:rPr>
            </w:pPr>
            <w:r>
              <w:rPr>
                <w:rFonts w:ascii="Calibri" w:hAnsi="Calibri" w:cs="Calibri"/>
                <w:color w:val="000000"/>
                <w:sz w:val="18"/>
                <w:szCs w:val="18"/>
              </w:rPr>
              <w:t>Not Recommended</w:t>
            </w:r>
          </w:p>
        </w:tc>
        <w:tc>
          <w:tcPr>
            <w:tcW w:w="4729" w:type="dxa"/>
            <w:vAlign w:val="center"/>
          </w:tcPr>
          <w:p w14:paraId="313DA6EF" w14:textId="1590E4C7" w:rsidR="00EF13F4" w:rsidRDefault="00EF13F4" w:rsidP="00EF13F4">
            <w:pPr>
              <w:ind w:left="11"/>
              <w:contextualSpacing/>
              <w:rPr>
                <w:rFonts w:ascii="Calibri" w:hAnsi="Calibri" w:cs="Calibri"/>
                <w:color w:val="000000"/>
                <w:sz w:val="18"/>
                <w:szCs w:val="18"/>
              </w:rPr>
            </w:pPr>
            <w:r>
              <w:rPr>
                <w:rFonts w:ascii="Calibri" w:hAnsi="Calibri" w:cs="Calibri"/>
                <w:color w:val="000000"/>
                <w:sz w:val="18"/>
                <w:szCs w:val="18"/>
              </w:rPr>
              <w:t>The PBAC did not recommend listing trastuzumab deruxtecan (</w:t>
            </w:r>
            <w:proofErr w:type="spellStart"/>
            <w:r>
              <w:rPr>
                <w:rFonts w:ascii="Calibri" w:hAnsi="Calibri" w:cs="Calibri"/>
                <w:color w:val="000000"/>
                <w:sz w:val="18"/>
                <w:szCs w:val="18"/>
              </w:rPr>
              <w:t>Enhertu</w:t>
            </w:r>
            <w:proofErr w:type="spellEnd"/>
            <w:r>
              <w:rPr>
                <w:rFonts w:ascii="Calibri" w:hAnsi="Calibri" w:cs="Calibri"/>
                <w:color w:val="000000"/>
                <w:sz w:val="18"/>
                <w:szCs w:val="18"/>
              </w:rPr>
              <w:t>®) on the PBS for the treatment of adult patients with hormone receptor positive (HR-positive) human epidermal growth factor receptor 2 (HER2)-low or HER2-ultralow unresectable and/or metastatic breast cancer (</w:t>
            </w:r>
            <w:proofErr w:type="spellStart"/>
            <w:r>
              <w:rPr>
                <w:rFonts w:ascii="Calibri" w:hAnsi="Calibri" w:cs="Calibri"/>
                <w:color w:val="000000"/>
                <w:sz w:val="18"/>
                <w:szCs w:val="18"/>
              </w:rPr>
              <w:t>mBC</w:t>
            </w:r>
            <w:proofErr w:type="spellEnd"/>
            <w:r>
              <w:rPr>
                <w:rFonts w:ascii="Calibri" w:hAnsi="Calibri" w:cs="Calibri"/>
                <w:color w:val="000000"/>
                <w:sz w:val="18"/>
                <w:szCs w:val="18"/>
              </w:rPr>
              <w:t xml:space="preserve">) who have received at least one prior line of endocrine therapy (ET) in the metastatic setting and are no longer suitable for further ET. The PBAC welcomed input  from health professionals and organisations, which highlighted the burden of metastatic breast cancer and its treatment on patients and noted the value of choice in deciding the order of treatments for </w:t>
            </w:r>
            <w:proofErr w:type="spellStart"/>
            <w:r>
              <w:rPr>
                <w:rFonts w:ascii="Calibri" w:hAnsi="Calibri" w:cs="Calibri"/>
                <w:color w:val="000000"/>
                <w:sz w:val="18"/>
                <w:szCs w:val="18"/>
              </w:rPr>
              <w:t>mBC</w:t>
            </w:r>
            <w:proofErr w:type="spellEnd"/>
            <w:r>
              <w:rPr>
                <w:rFonts w:ascii="Calibri" w:hAnsi="Calibri" w:cs="Calibri"/>
                <w:color w:val="000000"/>
                <w:sz w:val="18"/>
                <w:szCs w:val="18"/>
              </w:rPr>
              <w:t>.</w:t>
            </w:r>
            <w:r>
              <w:rPr>
                <w:rFonts w:ascii="Calibri" w:hAnsi="Calibri" w:cs="Calibri"/>
                <w:color w:val="000000"/>
                <w:sz w:val="18"/>
                <w:szCs w:val="18"/>
              </w:rPr>
              <w:br/>
            </w:r>
            <w:r>
              <w:rPr>
                <w:rFonts w:ascii="Calibri" w:hAnsi="Calibri" w:cs="Calibri"/>
                <w:color w:val="000000"/>
                <w:sz w:val="18"/>
                <w:szCs w:val="18"/>
              </w:rPr>
              <w:br/>
              <w:t xml:space="preserve">The PBAC accepted that trastuzumab deruxtecan was more effective than chemotherapy in improving the length of time that patients lived without their cancer getting worse in patients with HER2-low </w:t>
            </w:r>
            <w:proofErr w:type="spellStart"/>
            <w:r>
              <w:rPr>
                <w:rFonts w:ascii="Calibri" w:hAnsi="Calibri" w:cs="Calibri"/>
                <w:color w:val="000000"/>
                <w:sz w:val="18"/>
                <w:szCs w:val="18"/>
              </w:rPr>
              <w:t>mBC</w:t>
            </w:r>
            <w:proofErr w:type="spellEnd"/>
            <w:r>
              <w:rPr>
                <w:rFonts w:ascii="Calibri" w:hAnsi="Calibri" w:cs="Calibri"/>
                <w:color w:val="000000"/>
                <w:sz w:val="18"/>
                <w:szCs w:val="18"/>
              </w:rPr>
              <w:t xml:space="preserve">, but considered that the evidence included in the submission did not allow confidence about the extent of benefit for patients with HER2-ultralow </w:t>
            </w:r>
            <w:proofErr w:type="spellStart"/>
            <w:r>
              <w:rPr>
                <w:rFonts w:ascii="Calibri" w:hAnsi="Calibri" w:cs="Calibri"/>
                <w:color w:val="000000"/>
                <w:sz w:val="18"/>
                <w:szCs w:val="18"/>
              </w:rPr>
              <w:t>mBC</w:t>
            </w:r>
            <w:proofErr w:type="spellEnd"/>
            <w:r>
              <w:rPr>
                <w:rFonts w:ascii="Calibri" w:hAnsi="Calibri" w:cs="Calibri"/>
                <w:color w:val="000000"/>
                <w:sz w:val="18"/>
                <w:szCs w:val="18"/>
              </w:rPr>
              <w:t xml:space="preserve"> because of the small number of these patients in the trial and uncertainty in the testing to identify HER2-ultralow </w:t>
            </w:r>
            <w:proofErr w:type="spellStart"/>
            <w:r>
              <w:rPr>
                <w:rFonts w:ascii="Calibri" w:hAnsi="Calibri" w:cs="Calibri"/>
                <w:color w:val="000000"/>
                <w:sz w:val="18"/>
                <w:szCs w:val="18"/>
              </w:rPr>
              <w:t>mBC</w:t>
            </w:r>
            <w:proofErr w:type="spellEnd"/>
            <w:r>
              <w:rPr>
                <w:rFonts w:ascii="Calibri" w:hAnsi="Calibri" w:cs="Calibri"/>
                <w:color w:val="000000"/>
                <w:sz w:val="18"/>
                <w:szCs w:val="18"/>
              </w:rPr>
              <w:t xml:space="preserve">. The PBAC noted that trastuzumab deruxtecan caused a clear increase in harms compared with chemotherapy including life-threatening adverse events, and did not appear to extend life expectancy. </w:t>
            </w:r>
            <w:r>
              <w:rPr>
                <w:rFonts w:ascii="Calibri" w:hAnsi="Calibri" w:cs="Calibri"/>
                <w:color w:val="000000"/>
                <w:sz w:val="18"/>
                <w:szCs w:val="18"/>
              </w:rPr>
              <w:br/>
            </w:r>
            <w:r>
              <w:rPr>
                <w:rFonts w:ascii="Calibri" w:hAnsi="Calibri" w:cs="Calibri"/>
                <w:color w:val="000000"/>
                <w:sz w:val="18"/>
                <w:szCs w:val="18"/>
              </w:rPr>
              <w:br/>
              <w:t xml:space="preserve">The claimed benefits of trastuzumab deruxtecan were, in the PBAC’s view, uncertain and overestimated. The PBAC advised that trastuzumab deruxtecan was not cost effective at the price requested when more realistic estimates of benefits and costs were considered. </w:t>
            </w:r>
          </w:p>
        </w:tc>
      </w:tr>
      <w:tr w:rsidR="00C312E5" w:rsidRPr="00544E10" w14:paraId="70D961A6" w14:textId="77777777" w:rsidTr="003921D1">
        <w:trPr>
          <w:cantSplit/>
          <w:trHeight w:val="868"/>
        </w:trPr>
        <w:tc>
          <w:tcPr>
            <w:tcW w:w="294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4F867E8" w14:textId="34C2C3CE" w:rsidR="00EB0FE9" w:rsidRPr="005F21D6" w:rsidRDefault="00EB0FE9" w:rsidP="00EB0FE9">
            <w:pPr>
              <w:jc w:val="center"/>
              <w:rPr>
                <w:rFonts w:asciiTheme="minorHAnsi" w:hAnsiTheme="minorHAnsi" w:cstheme="minorHAnsi"/>
                <w:color w:val="000000"/>
                <w:szCs w:val="20"/>
              </w:rPr>
            </w:pPr>
            <w:r>
              <w:rPr>
                <w:rFonts w:ascii="Calibri" w:hAnsi="Calibri" w:cs="Calibri"/>
                <w:color w:val="000000"/>
                <w:sz w:val="18"/>
                <w:szCs w:val="18"/>
              </w:rPr>
              <w:t>UPADACITINIB</w:t>
            </w:r>
            <w:r>
              <w:rPr>
                <w:rFonts w:ascii="Calibri" w:hAnsi="Calibri" w:cs="Calibri"/>
                <w:color w:val="000000"/>
                <w:sz w:val="18"/>
                <w:szCs w:val="18"/>
              </w:rPr>
              <w:br/>
            </w:r>
            <w:r>
              <w:rPr>
                <w:rFonts w:ascii="Calibri" w:hAnsi="Calibri" w:cs="Calibri"/>
                <w:color w:val="000000"/>
                <w:sz w:val="18"/>
                <w:szCs w:val="18"/>
              </w:rPr>
              <w:br/>
              <w:t>Tablet 15 mg</w:t>
            </w:r>
            <w:r>
              <w:rPr>
                <w:rFonts w:ascii="Calibri" w:hAnsi="Calibri" w:cs="Calibri"/>
                <w:color w:val="000000"/>
                <w:sz w:val="18"/>
                <w:szCs w:val="18"/>
              </w:rPr>
              <w:br/>
              <w:t>Tablet 30 mg</w:t>
            </w:r>
            <w:r>
              <w:rPr>
                <w:rFonts w:ascii="Calibri" w:hAnsi="Calibri" w:cs="Calibri"/>
                <w:color w:val="000000"/>
                <w:sz w:val="18"/>
                <w:szCs w:val="18"/>
              </w:rPr>
              <w:br/>
              <w:t>Tablet 45 mg</w:t>
            </w:r>
            <w:r>
              <w:rPr>
                <w:rFonts w:ascii="Calibri" w:hAnsi="Calibri" w:cs="Calibri"/>
                <w:color w:val="000000"/>
                <w:sz w:val="18"/>
                <w:szCs w:val="18"/>
              </w:rPr>
              <w:br/>
            </w:r>
            <w:r>
              <w:rPr>
                <w:rFonts w:ascii="Calibri" w:hAnsi="Calibri" w:cs="Calibri"/>
                <w:color w:val="000000"/>
                <w:sz w:val="18"/>
                <w:szCs w:val="18"/>
              </w:rPr>
              <w:br/>
            </w:r>
            <w:proofErr w:type="spellStart"/>
            <w:r>
              <w:rPr>
                <w:rFonts w:ascii="Calibri" w:hAnsi="Calibri" w:cs="Calibri"/>
                <w:color w:val="000000"/>
                <w:sz w:val="18"/>
                <w:szCs w:val="18"/>
              </w:rPr>
              <w:t>Rinvoq</w:t>
            </w:r>
            <w:proofErr w:type="spellEnd"/>
            <w:r>
              <w:rPr>
                <w:rFonts w:ascii="Calibri" w:hAnsi="Calibri" w:cs="Calibri"/>
                <w:color w:val="000000"/>
                <w:sz w:val="18"/>
                <w:szCs w:val="18"/>
              </w:rPr>
              <w:t>®</w:t>
            </w:r>
            <w:r>
              <w:rPr>
                <w:rFonts w:ascii="Calibri" w:hAnsi="Calibri" w:cs="Calibri"/>
                <w:color w:val="000000"/>
                <w:sz w:val="18"/>
                <w:szCs w:val="18"/>
              </w:rPr>
              <w:br/>
            </w:r>
            <w:r>
              <w:rPr>
                <w:rFonts w:ascii="Calibri" w:hAnsi="Calibri" w:cs="Calibri"/>
                <w:color w:val="000000"/>
                <w:sz w:val="18"/>
                <w:szCs w:val="18"/>
              </w:rPr>
              <w:br/>
              <w:t>ABBVIE PTY LTD</w:t>
            </w:r>
            <w:r>
              <w:rPr>
                <w:rFonts w:ascii="Calibri" w:hAnsi="Calibri" w:cs="Calibri"/>
                <w:color w:val="000000"/>
                <w:sz w:val="18"/>
                <w:szCs w:val="18"/>
              </w:rPr>
              <w:br/>
            </w:r>
            <w:r>
              <w:rPr>
                <w:rFonts w:ascii="Calibri" w:hAnsi="Calibri" w:cs="Calibri"/>
                <w:color w:val="000000"/>
                <w:sz w:val="18"/>
                <w:szCs w:val="18"/>
              </w:rPr>
              <w:br/>
              <w:t>Category 2</w:t>
            </w:r>
            <w:r>
              <w:rPr>
                <w:rFonts w:ascii="Calibri" w:hAnsi="Calibri" w:cs="Calibri"/>
                <w:color w:val="000000"/>
                <w:sz w:val="18"/>
                <w:szCs w:val="18"/>
              </w:rPr>
              <w:br/>
              <w:t xml:space="preserve">(Change to existing </w:t>
            </w:r>
            <w:r w:rsidR="00957109">
              <w:rPr>
                <w:rFonts w:ascii="Calibri" w:hAnsi="Calibri" w:cs="Calibri"/>
                <w:color w:val="000000"/>
                <w:sz w:val="18"/>
                <w:szCs w:val="18"/>
              </w:rPr>
              <w:t>listing)</w:t>
            </w:r>
            <w:r>
              <w:rPr>
                <w:rFonts w:ascii="Calibri" w:hAnsi="Calibri" w:cs="Calibri"/>
                <w:color w:val="000000"/>
                <w:sz w:val="18"/>
                <w:szCs w:val="18"/>
              </w:rPr>
              <w:br/>
            </w:r>
            <w:r>
              <w:rPr>
                <w:rFonts w:ascii="Calibri" w:hAnsi="Calibri" w:cs="Calibri"/>
                <w:color w:val="000000"/>
                <w:sz w:val="18"/>
                <w:szCs w:val="18"/>
              </w:rPr>
              <w:br/>
              <w:t>PBS General Schedule</w:t>
            </w:r>
          </w:p>
        </w:tc>
        <w:tc>
          <w:tcPr>
            <w:tcW w:w="1983" w:type="dxa"/>
            <w:tcBorders>
              <w:top w:val="single" w:sz="4" w:space="0" w:color="auto"/>
              <w:left w:val="single" w:sz="4" w:space="0" w:color="auto"/>
              <w:bottom w:val="single" w:sz="4" w:space="0" w:color="auto"/>
              <w:right w:val="single" w:sz="4" w:space="0" w:color="auto"/>
            </w:tcBorders>
            <w:vAlign w:val="center"/>
          </w:tcPr>
          <w:p w14:paraId="08B6F62B" w14:textId="1FE89B19" w:rsidR="00EB0FE9" w:rsidRPr="005F21D6" w:rsidRDefault="00EB0FE9" w:rsidP="00EB0FE9">
            <w:pPr>
              <w:jc w:val="center"/>
              <w:rPr>
                <w:rFonts w:asciiTheme="minorHAnsi" w:hAnsiTheme="minorHAnsi" w:cstheme="minorHAnsi"/>
                <w:color w:val="000000"/>
                <w:sz w:val="18"/>
                <w:szCs w:val="18"/>
              </w:rPr>
            </w:pPr>
            <w:r>
              <w:rPr>
                <w:rFonts w:ascii="Calibri" w:hAnsi="Calibri" w:cs="Calibri"/>
                <w:color w:val="000000"/>
                <w:sz w:val="18"/>
                <w:szCs w:val="18"/>
              </w:rPr>
              <w:t>Fistulising Crohn’s disease (FCD)</w:t>
            </w:r>
          </w:p>
        </w:tc>
        <w:tc>
          <w:tcPr>
            <w:tcW w:w="238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E0E7CA7" w14:textId="3992DBEF" w:rsidR="00EB0FE9" w:rsidRPr="005F21D6" w:rsidRDefault="00EB0FE9" w:rsidP="00EB0FE9">
            <w:pPr>
              <w:jc w:val="center"/>
              <w:rPr>
                <w:rFonts w:asciiTheme="minorHAnsi" w:hAnsiTheme="minorHAnsi" w:cstheme="minorHAnsi"/>
                <w:color w:val="000000"/>
                <w:sz w:val="18"/>
                <w:szCs w:val="18"/>
              </w:rPr>
            </w:pPr>
            <w:r>
              <w:rPr>
                <w:rFonts w:ascii="Calibri" w:hAnsi="Calibri" w:cs="Calibri"/>
                <w:color w:val="000000"/>
                <w:sz w:val="18"/>
                <w:szCs w:val="18"/>
              </w:rPr>
              <w:t>To request listing of upadacitinib for the treatment of adult patients with complex refractory FCD who have an externally draining enterocutaneous or rectovaginal fistula.</w:t>
            </w:r>
            <w:r>
              <w:rPr>
                <w:rFonts w:ascii="Calibri" w:hAnsi="Calibri" w:cs="Calibri"/>
                <w:color w:val="000000"/>
                <w:sz w:val="18"/>
                <w:szCs w:val="18"/>
              </w:rPr>
              <w:br/>
            </w:r>
            <w:r>
              <w:rPr>
                <w:rFonts w:ascii="Calibri" w:hAnsi="Calibri" w:cs="Calibri"/>
                <w:color w:val="000000"/>
                <w:sz w:val="18"/>
                <w:szCs w:val="18"/>
              </w:rPr>
              <w:br/>
              <w:t xml:space="preserve">Authority Required (Written) for initial treatment  </w:t>
            </w:r>
            <w:r>
              <w:rPr>
                <w:rFonts w:ascii="Calibri" w:hAnsi="Calibri" w:cs="Calibri"/>
                <w:color w:val="000000"/>
                <w:sz w:val="18"/>
                <w:szCs w:val="18"/>
              </w:rPr>
              <w:br/>
              <w:t xml:space="preserve">Authority Required (Telephone/Online) for continuing treatment </w:t>
            </w:r>
          </w:p>
        </w:tc>
        <w:tc>
          <w:tcPr>
            <w:tcW w:w="1415" w:type="dxa"/>
            <w:vAlign w:val="center"/>
          </w:tcPr>
          <w:p w14:paraId="3CD0F2E0" w14:textId="520C2F19" w:rsidR="00EB0FE9" w:rsidRPr="00544E10" w:rsidRDefault="00EB0FE9" w:rsidP="00D428AC">
            <w:pPr>
              <w:ind w:left="11"/>
              <w:contextualSpacing/>
              <w:jc w:val="center"/>
              <w:rPr>
                <w:rFonts w:asciiTheme="minorHAnsi" w:hAnsiTheme="minorHAnsi" w:cstheme="minorHAnsi"/>
                <w:color w:val="000000" w:themeColor="text1"/>
                <w:sz w:val="18"/>
                <w:szCs w:val="18"/>
              </w:rPr>
            </w:pPr>
            <w:r>
              <w:rPr>
                <w:rFonts w:ascii="Calibri" w:hAnsi="Calibri" w:cs="Calibri"/>
                <w:color w:val="000000"/>
                <w:sz w:val="18"/>
                <w:szCs w:val="18"/>
              </w:rPr>
              <w:t>Recommended</w:t>
            </w:r>
          </w:p>
        </w:tc>
        <w:tc>
          <w:tcPr>
            <w:tcW w:w="4729" w:type="dxa"/>
            <w:vAlign w:val="center"/>
          </w:tcPr>
          <w:p w14:paraId="37025DE8" w14:textId="3877B2AA" w:rsidR="00EB0FE9" w:rsidRPr="00544E10" w:rsidRDefault="00EB0FE9" w:rsidP="00D428AC">
            <w:pPr>
              <w:ind w:left="11"/>
              <w:contextualSpacing/>
              <w:rPr>
                <w:rFonts w:asciiTheme="minorHAnsi" w:hAnsiTheme="minorHAnsi" w:cstheme="minorHAnsi"/>
                <w:color w:val="000000" w:themeColor="text1"/>
                <w:sz w:val="18"/>
                <w:szCs w:val="18"/>
              </w:rPr>
            </w:pPr>
            <w:r>
              <w:rPr>
                <w:rFonts w:ascii="Calibri" w:hAnsi="Calibri" w:cs="Calibri"/>
                <w:color w:val="000000"/>
                <w:sz w:val="18"/>
                <w:szCs w:val="18"/>
              </w:rPr>
              <w:t>The PBAC recommended listing upadacitinib (</w:t>
            </w:r>
            <w:proofErr w:type="spellStart"/>
            <w:r>
              <w:rPr>
                <w:rFonts w:ascii="Calibri" w:hAnsi="Calibri" w:cs="Calibri"/>
                <w:color w:val="000000"/>
                <w:sz w:val="18"/>
                <w:szCs w:val="18"/>
              </w:rPr>
              <w:t>Rinvoq</w:t>
            </w:r>
            <w:proofErr w:type="spellEnd"/>
            <w:r>
              <w:rPr>
                <w:rFonts w:ascii="Calibri" w:hAnsi="Calibri" w:cs="Calibri"/>
                <w:color w:val="000000"/>
                <w:sz w:val="18"/>
                <w:szCs w:val="18"/>
              </w:rPr>
              <w:t xml:space="preserve">®) on the PBS for the treatment of complex refractory fistulising Crohn’s disease (FCD). </w:t>
            </w:r>
            <w:r>
              <w:rPr>
                <w:rFonts w:ascii="Calibri" w:hAnsi="Calibri" w:cs="Calibri"/>
                <w:color w:val="000000"/>
                <w:sz w:val="18"/>
                <w:szCs w:val="18"/>
              </w:rPr>
              <w:br/>
              <w:t>The PBAC welcomed the input from health professionals and organisations that supported the listing and acknowledged fistulising disease is a severe and debilitating complication of Crohn’s disease that has a profound impact on patients and there remains a clinical need for new and effective therapies to help patients manage their condition, as many patients do not respond to or lose response to current treatments.</w:t>
            </w:r>
            <w:r>
              <w:rPr>
                <w:rFonts w:ascii="Calibri" w:hAnsi="Calibri" w:cs="Calibri"/>
                <w:color w:val="000000"/>
                <w:sz w:val="18"/>
                <w:szCs w:val="18"/>
              </w:rPr>
              <w:br/>
              <w:t xml:space="preserve">The PBAC considered the clinical evidence presented was uncertain as the evidence base was largely based on small groups of patients with FCD from larger Crohn’s disease trials. However, the PBAC acknowledged the treatments it had previously recommended for FCD were supported by similarly uncertain evidence. On balance, the PBAC was satisfied that upadacitinib was likely to be as effective and safe as the other PBS listed therapies for FCD, including infliximab, adalimumab and ustekinumab. </w:t>
            </w:r>
            <w:r>
              <w:rPr>
                <w:rFonts w:ascii="Calibri" w:hAnsi="Calibri" w:cs="Calibri"/>
                <w:color w:val="000000"/>
                <w:sz w:val="18"/>
                <w:szCs w:val="18"/>
              </w:rPr>
              <w:br/>
              <w:t xml:space="preserve">The PBAC advised the cost of upadacitinib would be acceptable if the overall cost per patient was not higher than the least costly PBS listed therapy for FCD, and the listing would likely be cost neutral or result in a small cost saving to the PBS if listed on that basis. </w:t>
            </w:r>
            <w:r>
              <w:rPr>
                <w:rFonts w:ascii="Calibri" w:hAnsi="Calibri" w:cs="Calibri"/>
                <w:color w:val="000000"/>
                <w:sz w:val="18"/>
                <w:szCs w:val="18"/>
              </w:rPr>
              <w:br/>
              <w:t xml:space="preserve">The PBAC advised the restrictions should align with the other PBS listed therapies for FCD including aligning with its recommendation for the broader inflammatory bowel diseases restriction changes made at the same meeting. The PBAC recommended an additional listing for the 30 mg form of upadacitinib for induction therapy in FCD, severe Crohn’s disease and ulcerative colitis for patients with severe renal impairment (as the standard 45 mg initial dose is not appropriate for these patients). </w:t>
            </w:r>
          </w:p>
        </w:tc>
      </w:tr>
      <w:tr w:rsidR="00C312E5" w:rsidRPr="00544E10" w14:paraId="09A8565F" w14:textId="77777777" w:rsidTr="003921D1">
        <w:trPr>
          <w:cantSplit/>
          <w:trHeight w:val="868"/>
        </w:trPr>
        <w:tc>
          <w:tcPr>
            <w:tcW w:w="294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E840B5F" w14:textId="2A65FB17" w:rsidR="00EB0FE9" w:rsidRPr="005F21D6" w:rsidRDefault="00EB0FE9" w:rsidP="00EB0FE9">
            <w:pPr>
              <w:jc w:val="center"/>
              <w:rPr>
                <w:rFonts w:asciiTheme="minorHAnsi" w:hAnsiTheme="minorHAnsi" w:cstheme="minorHAnsi"/>
                <w:color w:val="000000"/>
                <w:szCs w:val="20"/>
              </w:rPr>
            </w:pPr>
            <w:r>
              <w:rPr>
                <w:rFonts w:ascii="Calibri" w:hAnsi="Calibri" w:cs="Calibri"/>
                <w:color w:val="000000"/>
                <w:sz w:val="18"/>
                <w:szCs w:val="18"/>
              </w:rPr>
              <w:t>USTEKINUMAB</w:t>
            </w:r>
            <w:r>
              <w:rPr>
                <w:rFonts w:ascii="Calibri" w:hAnsi="Calibri" w:cs="Calibri"/>
                <w:color w:val="000000"/>
                <w:sz w:val="18"/>
                <w:szCs w:val="18"/>
              </w:rPr>
              <w:br/>
            </w:r>
            <w:r>
              <w:rPr>
                <w:rFonts w:ascii="Calibri" w:hAnsi="Calibri" w:cs="Calibri"/>
                <w:color w:val="000000"/>
                <w:sz w:val="18"/>
                <w:szCs w:val="18"/>
              </w:rPr>
              <w:br/>
              <w:t>Injection 45 mg in 0.5 mL single use pre-filled syringe</w:t>
            </w:r>
            <w:r>
              <w:rPr>
                <w:rFonts w:ascii="Calibri" w:hAnsi="Calibri" w:cs="Calibri"/>
                <w:color w:val="000000"/>
                <w:sz w:val="18"/>
                <w:szCs w:val="18"/>
              </w:rPr>
              <w:br/>
              <w:t>Injection 90 mg in 1 mL single use pre-filled syringe</w:t>
            </w:r>
            <w:r>
              <w:rPr>
                <w:rFonts w:ascii="Calibri" w:hAnsi="Calibri" w:cs="Calibri"/>
                <w:color w:val="000000"/>
                <w:sz w:val="18"/>
                <w:szCs w:val="18"/>
              </w:rPr>
              <w:br/>
            </w:r>
            <w:r>
              <w:rPr>
                <w:rFonts w:ascii="Calibri" w:hAnsi="Calibri" w:cs="Calibri"/>
                <w:color w:val="000000"/>
                <w:sz w:val="18"/>
                <w:szCs w:val="18"/>
              </w:rPr>
              <w:br/>
            </w:r>
            <w:proofErr w:type="spellStart"/>
            <w:r>
              <w:rPr>
                <w:rFonts w:ascii="Calibri" w:hAnsi="Calibri" w:cs="Calibri"/>
                <w:color w:val="000000"/>
                <w:sz w:val="18"/>
                <w:szCs w:val="18"/>
              </w:rPr>
              <w:t>Ardelya</w:t>
            </w:r>
            <w:proofErr w:type="spellEnd"/>
            <w:r>
              <w:rPr>
                <w:rFonts w:ascii="Calibri" w:hAnsi="Calibri" w:cs="Calibri"/>
                <w:color w:val="000000"/>
                <w:sz w:val="18"/>
                <w:szCs w:val="18"/>
              </w:rPr>
              <w:t xml:space="preserve">® </w:t>
            </w:r>
            <w:r>
              <w:rPr>
                <w:rFonts w:ascii="Calibri" w:hAnsi="Calibri" w:cs="Calibri"/>
                <w:color w:val="000000"/>
                <w:sz w:val="18"/>
                <w:szCs w:val="18"/>
              </w:rPr>
              <w:br/>
            </w:r>
            <w:r>
              <w:rPr>
                <w:rFonts w:ascii="Calibri" w:hAnsi="Calibri" w:cs="Calibri"/>
                <w:color w:val="000000"/>
                <w:sz w:val="18"/>
                <w:szCs w:val="18"/>
              </w:rPr>
              <w:br/>
              <w:t>SANDOZ PTY LTD</w:t>
            </w:r>
            <w:r>
              <w:rPr>
                <w:rFonts w:ascii="Calibri" w:hAnsi="Calibri" w:cs="Calibri"/>
                <w:color w:val="000000"/>
                <w:sz w:val="18"/>
                <w:szCs w:val="18"/>
              </w:rPr>
              <w:br/>
            </w:r>
            <w:r>
              <w:rPr>
                <w:rFonts w:ascii="Calibri" w:hAnsi="Calibri" w:cs="Calibri"/>
                <w:color w:val="000000"/>
                <w:sz w:val="18"/>
                <w:szCs w:val="18"/>
              </w:rPr>
              <w:br/>
              <w:t>Category 3</w:t>
            </w:r>
            <w:r>
              <w:rPr>
                <w:rFonts w:ascii="Calibri" w:hAnsi="Calibri" w:cs="Calibri"/>
                <w:color w:val="000000"/>
                <w:sz w:val="18"/>
                <w:szCs w:val="18"/>
              </w:rPr>
              <w:br/>
              <w:t xml:space="preserve">(New PBS </w:t>
            </w:r>
            <w:r w:rsidR="00957109">
              <w:rPr>
                <w:rFonts w:ascii="Calibri" w:hAnsi="Calibri" w:cs="Calibri"/>
                <w:color w:val="000000"/>
                <w:sz w:val="18"/>
                <w:szCs w:val="18"/>
              </w:rPr>
              <w:t>listing)</w:t>
            </w:r>
            <w:r>
              <w:rPr>
                <w:rFonts w:ascii="Calibri" w:hAnsi="Calibri" w:cs="Calibri"/>
                <w:color w:val="000000"/>
                <w:sz w:val="18"/>
                <w:szCs w:val="18"/>
              </w:rPr>
              <w:br/>
            </w:r>
            <w:r>
              <w:rPr>
                <w:rFonts w:ascii="Calibri" w:hAnsi="Calibri" w:cs="Calibri"/>
                <w:color w:val="000000"/>
                <w:sz w:val="18"/>
                <w:szCs w:val="18"/>
              </w:rPr>
              <w:br/>
              <w:t>PBS General Schedule</w:t>
            </w:r>
          </w:p>
        </w:tc>
        <w:tc>
          <w:tcPr>
            <w:tcW w:w="1983" w:type="dxa"/>
            <w:tcBorders>
              <w:top w:val="single" w:sz="4" w:space="0" w:color="auto"/>
              <w:left w:val="single" w:sz="4" w:space="0" w:color="auto"/>
              <w:bottom w:val="single" w:sz="4" w:space="0" w:color="auto"/>
              <w:right w:val="single" w:sz="4" w:space="0" w:color="auto"/>
            </w:tcBorders>
            <w:vAlign w:val="center"/>
          </w:tcPr>
          <w:p w14:paraId="0AB53546" w14:textId="2B8CFF55" w:rsidR="00EB0FE9" w:rsidRPr="005F21D6" w:rsidRDefault="00EB0FE9" w:rsidP="00EB0FE9">
            <w:pPr>
              <w:jc w:val="center"/>
              <w:rPr>
                <w:rFonts w:asciiTheme="minorHAnsi" w:hAnsiTheme="minorHAnsi" w:cstheme="minorHAnsi"/>
                <w:color w:val="000000"/>
                <w:sz w:val="18"/>
                <w:szCs w:val="18"/>
              </w:rPr>
            </w:pPr>
            <w:r>
              <w:rPr>
                <w:rFonts w:ascii="Calibri" w:hAnsi="Calibri" w:cs="Calibri"/>
                <w:color w:val="000000"/>
                <w:sz w:val="18"/>
                <w:szCs w:val="18"/>
              </w:rPr>
              <w:t>Severe chronic plaque psoriasis</w:t>
            </w:r>
            <w:r>
              <w:rPr>
                <w:rFonts w:ascii="Calibri" w:hAnsi="Calibri" w:cs="Calibri"/>
                <w:color w:val="000000"/>
                <w:sz w:val="18"/>
                <w:szCs w:val="18"/>
              </w:rPr>
              <w:br/>
              <w:t>Severe psoriatic arthritis</w:t>
            </w:r>
          </w:p>
        </w:tc>
        <w:tc>
          <w:tcPr>
            <w:tcW w:w="238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4C97846" w14:textId="5B2C2975" w:rsidR="00EB0FE9" w:rsidRPr="005F21D6" w:rsidRDefault="00EB0FE9" w:rsidP="00EB0FE9">
            <w:pPr>
              <w:jc w:val="center"/>
              <w:rPr>
                <w:rFonts w:asciiTheme="minorHAnsi" w:hAnsiTheme="minorHAnsi" w:cstheme="minorHAnsi"/>
                <w:color w:val="000000"/>
                <w:sz w:val="18"/>
                <w:szCs w:val="18"/>
              </w:rPr>
            </w:pPr>
            <w:r>
              <w:rPr>
                <w:rFonts w:ascii="Calibri" w:hAnsi="Calibri" w:cs="Calibri"/>
                <w:color w:val="000000"/>
                <w:sz w:val="18"/>
                <w:szCs w:val="18"/>
              </w:rPr>
              <w:t>To request listing of a new ustekinumab biosimilar for the treatment of severe chronic plaque psoriasis and severe psoriatic arthritis that mirrors the originator brand’s current listings.</w:t>
            </w:r>
            <w:r>
              <w:rPr>
                <w:rFonts w:ascii="Calibri" w:hAnsi="Calibri" w:cs="Calibri"/>
                <w:color w:val="000000"/>
                <w:sz w:val="18"/>
                <w:szCs w:val="18"/>
              </w:rPr>
              <w:br/>
            </w:r>
            <w:r>
              <w:rPr>
                <w:rFonts w:ascii="Calibri" w:hAnsi="Calibri" w:cs="Calibri"/>
                <w:color w:val="000000"/>
                <w:sz w:val="18"/>
                <w:szCs w:val="18"/>
              </w:rPr>
              <w:br/>
              <w:t>Authority Required</w:t>
            </w:r>
          </w:p>
        </w:tc>
        <w:tc>
          <w:tcPr>
            <w:tcW w:w="1415" w:type="dxa"/>
            <w:vAlign w:val="center"/>
          </w:tcPr>
          <w:p w14:paraId="2017F7F6" w14:textId="483F5594" w:rsidR="00EB0FE9" w:rsidRPr="00544E10" w:rsidRDefault="00EB0FE9" w:rsidP="00D428AC">
            <w:pPr>
              <w:ind w:left="11"/>
              <w:contextualSpacing/>
              <w:jc w:val="center"/>
              <w:rPr>
                <w:rFonts w:asciiTheme="minorHAnsi" w:hAnsiTheme="minorHAnsi" w:cstheme="minorHAnsi"/>
                <w:color w:val="000000" w:themeColor="text1"/>
                <w:sz w:val="18"/>
                <w:szCs w:val="18"/>
              </w:rPr>
            </w:pPr>
            <w:r>
              <w:rPr>
                <w:rFonts w:ascii="Calibri" w:hAnsi="Calibri" w:cs="Calibri"/>
                <w:color w:val="000000"/>
                <w:sz w:val="18"/>
                <w:szCs w:val="18"/>
              </w:rPr>
              <w:t>Recommended</w:t>
            </w:r>
          </w:p>
        </w:tc>
        <w:tc>
          <w:tcPr>
            <w:tcW w:w="4729" w:type="dxa"/>
            <w:vAlign w:val="center"/>
          </w:tcPr>
          <w:p w14:paraId="52906CBC" w14:textId="40C2F412" w:rsidR="00EB0FE9" w:rsidRPr="00544E10" w:rsidRDefault="00EB0FE9" w:rsidP="00D428AC">
            <w:pPr>
              <w:ind w:left="11"/>
              <w:contextualSpacing/>
              <w:rPr>
                <w:rFonts w:asciiTheme="minorHAnsi" w:hAnsiTheme="minorHAnsi" w:cstheme="minorHAnsi"/>
                <w:color w:val="000000" w:themeColor="text1"/>
                <w:sz w:val="18"/>
                <w:szCs w:val="18"/>
              </w:rPr>
            </w:pPr>
            <w:r>
              <w:rPr>
                <w:rFonts w:ascii="Calibri" w:hAnsi="Calibri" w:cs="Calibri"/>
                <w:color w:val="000000"/>
                <w:sz w:val="18"/>
                <w:szCs w:val="18"/>
              </w:rPr>
              <w:t>The PBAC recommended listing of a new ustekinumab biosimilar (</w:t>
            </w:r>
            <w:proofErr w:type="spellStart"/>
            <w:r>
              <w:rPr>
                <w:rFonts w:ascii="Calibri" w:hAnsi="Calibri" w:cs="Calibri"/>
                <w:color w:val="000000"/>
                <w:sz w:val="18"/>
                <w:szCs w:val="18"/>
              </w:rPr>
              <w:t>Ardelya</w:t>
            </w:r>
            <w:proofErr w:type="spellEnd"/>
            <w:r>
              <w:rPr>
                <w:rFonts w:ascii="Calibri" w:hAnsi="Calibri" w:cs="Calibri"/>
                <w:color w:val="000000"/>
                <w:sz w:val="18"/>
                <w:szCs w:val="18"/>
              </w:rPr>
              <w:t xml:space="preserve">®) in 45 mg and 90 mg pre-filled syringe (PFS) forms for the treatment of adult patients with severe chronic plaque psoriasis and severe psoriatic arthritis on a cost-minimisation basis and under the same conditions as its reference biologic (Stelara®). The PBAC advised the </w:t>
            </w:r>
            <w:proofErr w:type="spellStart"/>
            <w:r>
              <w:rPr>
                <w:rFonts w:ascii="Calibri" w:hAnsi="Calibri" w:cs="Calibri"/>
                <w:color w:val="000000"/>
                <w:sz w:val="18"/>
                <w:szCs w:val="18"/>
              </w:rPr>
              <w:t>equi</w:t>
            </w:r>
            <w:proofErr w:type="spellEnd"/>
            <w:r>
              <w:rPr>
                <w:rFonts w:ascii="Calibri" w:hAnsi="Calibri" w:cs="Calibri"/>
                <w:color w:val="000000"/>
                <w:sz w:val="18"/>
                <w:szCs w:val="18"/>
              </w:rPr>
              <w:t xml:space="preserve">-effective doses to be 1 mg </w:t>
            </w:r>
            <w:proofErr w:type="spellStart"/>
            <w:r>
              <w:rPr>
                <w:rFonts w:ascii="Calibri" w:hAnsi="Calibri" w:cs="Calibri"/>
                <w:color w:val="000000"/>
                <w:sz w:val="18"/>
                <w:szCs w:val="18"/>
              </w:rPr>
              <w:t>Ardelya</w:t>
            </w:r>
            <w:proofErr w:type="spellEnd"/>
            <w:r>
              <w:rPr>
                <w:rFonts w:ascii="Calibri" w:hAnsi="Calibri" w:cs="Calibri"/>
                <w:color w:val="000000"/>
                <w:sz w:val="18"/>
                <w:szCs w:val="18"/>
              </w:rPr>
              <w:t xml:space="preserve"> = 1 mg Stelara.</w:t>
            </w:r>
            <w:r>
              <w:rPr>
                <w:rFonts w:ascii="Calibri" w:hAnsi="Calibri" w:cs="Calibri"/>
                <w:color w:val="000000"/>
                <w:sz w:val="18"/>
                <w:szCs w:val="18"/>
              </w:rPr>
              <w:br/>
              <w:t xml:space="preserve">The PBAC noted the sponsor’s request that the authority levels for </w:t>
            </w:r>
            <w:proofErr w:type="spellStart"/>
            <w:r>
              <w:rPr>
                <w:rFonts w:ascii="Calibri" w:hAnsi="Calibri" w:cs="Calibri"/>
                <w:color w:val="000000"/>
                <w:sz w:val="18"/>
                <w:szCs w:val="18"/>
              </w:rPr>
              <w:t>Ardelya</w:t>
            </w:r>
            <w:proofErr w:type="spellEnd"/>
            <w:r>
              <w:rPr>
                <w:rFonts w:ascii="Calibri" w:hAnsi="Calibri" w:cs="Calibri"/>
                <w:color w:val="000000"/>
                <w:sz w:val="18"/>
                <w:szCs w:val="18"/>
              </w:rPr>
              <w:t xml:space="preserve"> should be consistent with those for </w:t>
            </w:r>
            <w:proofErr w:type="spellStart"/>
            <w:r>
              <w:rPr>
                <w:rFonts w:ascii="Calibri" w:hAnsi="Calibri" w:cs="Calibri"/>
                <w:color w:val="000000"/>
                <w:sz w:val="18"/>
                <w:szCs w:val="18"/>
              </w:rPr>
              <w:t>Steqeyma</w:t>
            </w:r>
            <w:proofErr w:type="spellEnd"/>
            <w:r>
              <w:rPr>
                <w:rFonts w:ascii="Calibri" w:hAnsi="Calibri" w:cs="Calibri"/>
                <w:color w:val="000000"/>
                <w:sz w:val="18"/>
                <w:szCs w:val="18"/>
              </w:rPr>
              <w:t xml:space="preserve"> (the first ustekinumab biosimilar to be listed on the PBS), which aligns with the biosimilar uptake driver policy. The PBAC also noted that the submission requested the addition of administrative advice reflecting the biosimilar uptake driver that encourages biosimilar prescribing for treatment-naïve patients (which already exists in the listings). The PBAC considered that the application of both biosimilar uptake drivers to </w:t>
            </w:r>
            <w:proofErr w:type="spellStart"/>
            <w:r>
              <w:rPr>
                <w:rFonts w:ascii="Calibri" w:hAnsi="Calibri" w:cs="Calibri"/>
                <w:color w:val="000000"/>
                <w:sz w:val="18"/>
                <w:szCs w:val="18"/>
              </w:rPr>
              <w:t>Ardelya</w:t>
            </w:r>
            <w:proofErr w:type="spellEnd"/>
            <w:r>
              <w:rPr>
                <w:rFonts w:ascii="Calibri" w:hAnsi="Calibri" w:cs="Calibri"/>
                <w:color w:val="000000"/>
                <w:sz w:val="18"/>
                <w:szCs w:val="18"/>
              </w:rPr>
              <w:t xml:space="preserve"> would be clinically appropriate. </w:t>
            </w:r>
          </w:p>
        </w:tc>
      </w:tr>
      <w:tr w:rsidR="00C312E5" w:rsidRPr="00544E10" w14:paraId="3F9C6B26" w14:textId="77777777" w:rsidTr="003921D1">
        <w:trPr>
          <w:cantSplit/>
          <w:trHeight w:val="868"/>
        </w:trPr>
        <w:tc>
          <w:tcPr>
            <w:tcW w:w="294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A062779" w14:textId="344D02FA" w:rsidR="00EB0FE9" w:rsidRPr="005F21D6" w:rsidRDefault="00EB0FE9" w:rsidP="00EB0FE9">
            <w:pPr>
              <w:jc w:val="center"/>
              <w:rPr>
                <w:rFonts w:asciiTheme="minorHAnsi" w:hAnsiTheme="minorHAnsi" w:cstheme="minorHAnsi"/>
                <w:color w:val="000000"/>
                <w:szCs w:val="20"/>
              </w:rPr>
            </w:pPr>
            <w:r>
              <w:rPr>
                <w:rFonts w:ascii="Calibri" w:hAnsi="Calibri" w:cs="Calibri"/>
                <w:color w:val="000000"/>
                <w:sz w:val="18"/>
                <w:szCs w:val="18"/>
              </w:rPr>
              <w:t>VORASIDENIB</w:t>
            </w:r>
            <w:r>
              <w:rPr>
                <w:rFonts w:ascii="Calibri" w:hAnsi="Calibri" w:cs="Calibri"/>
                <w:color w:val="000000"/>
                <w:sz w:val="18"/>
                <w:szCs w:val="18"/>
              </w:rPr>
              <w:br/>
            </w:r>
            <w:r>
              <w:rPr>
                <w:rFonts w:ascii="Calibri" w:hAnsi="Calibri" w:cs="Calibri"/>
                <w:color w:val="000000"/>
                <w:sz w:val="18"/>
                <w:szCs w:val="18"/>
              </w:rPr>
              <w:br/>
              <w:t>Tablet 10 mg</w:t>
            </w:r>
            <w:r>
              <w:rPr>
                <w:rFonts w:ascii="Calibri" w:hAnsi="Calibri" w:cs="Calibri"/>
                <w:color w:val="000000"/>
                <w:sz w:val="18"/>
                <w:szCs w:val="18"/>
              </w:rPr>
              <w:br/>
              <w:t>Tablet 40 mg</w:t>
            </w:r>
            <w:r>
              <w:rPr>
                <w:rFonts w:ascii="Calibri" w:hAnsi="Calibri" w:cs="Calibri"/>
                <w:color w:val="000000"/>
                <w:sz w:val="18"/>
                <w:szCs w:val="18"/>
              </w:rPr>
              <w:br/>
            </w:r>
            <w:r>
              <w:rPr>
                <w:rFonts w:ascii="Calibri" w:hAnsi="Calibri" w:cs="Calibri"/>
                <w:color w:val="000000"/>
                <w:sz w:val="18"/>
                <w:szCs w:val="18"/>
              </w:rPr>
              <w:br/>
              <w:t>Voranigo®</w:t>
            </w:r>
            <w:r>
              <w:rPr>
                <w:rFonts w:ascii="Calibri" w:hAnsi="Calibri" w:cs="Calibri"/>
                <w:color w:val="000000"/>
                <w:sz w:val="18"/>
                <w:szCs w:val="18"/>
              </w:rPr>
              <w:br/>
            </w:r>
            <w:r>
              <w:rPr>
                <w:rFonts w:ascii="Calibri" w:hAnsi="Calibri" w:cs="Calibri"/>
                <w:color w:val="000000"/>
                <w:sz w:val="18"/>
                <w:szCs w:val="18"/>
              </w:rPr>
              <w:br/>
              <w:t>SERVIER LABORATORIES (AUST.) PTY. LTD.</w:t>
            </w:r>
            <w:r>
              <w:rPr>
                <w:rFonts w:ascii="Calibri" w:hAnsi="Calibri" w:cs="Calibri"/>
                <w:color w:val="000000"/>
                <w:sz w:val="18"/>
                <w:szCs w:val="18"/>
              </w:rPr>
              <w:br/>
            </w:r>
            <w:r>
              <w:rPr>
                <w:rFonts w:ascii="Calibri" w:hAnsi="Calibri" w:cs="Calibri"/>
                <w:color w:val="000000"/>
                <w:sz w:val="18"/>
                <w:szCs w:val="18"/>
              </w:rPr>
              <w:br/>
              <w:t>Early Re-entry</w:t>
            </w:r>
            <w:r>
              <w:rPr>
                <w:rFonts w:ascii="Calibri" w:hAnsi="Calibri" w:cs="Calibri"/>
                <w:color w:val="000000"/>
                <w:sz w:val="18"/>
                <w:szCs w:val="18"/>
              </w:rPr>
              <w:br/>
              <w:t xml:space="preserve">(New PBS </w:t>
            </w:r>
            <w:r w:rsidR="00957109">
              <w:rPr>
                <w:rFonts w:ascii="Calibri" w:hAnsi="Calibri" w:cs="Calibri"/>
                <w:color w:val="000000"/>
                <w:sz w:val="18"/>
                <w:szCs w:val="18"/>
              </w:rPr>
              <w:t>listing)</w:t>
            </w:r>
            <w:r>
              <w:rPr>
                <w:rFonts w:ascii="Calibri" w:hAnsi="Calibri" w:cs="Calibri"/>
                <w:color w:val="000000"/>
                <w:sz w:val="18"/>
                <w:szCs w:val="18"/>
              </w:rPr>
              <w:br/>
            </w:r>
            <w:r>
              <w:rPr>
                <w:rFonts w:ascii="Calibri" w:hAnsi="Calibri" w:cs="Calibri"/>
                <w:color w:val="000000"/>
                <w:sz w:val="18"/>
                <w:szCs w:val="18"/>
              </w:rPr>
              <w:br/>
              <w:t>PBS General Schedule</w:t>
            </w:r>
          </w:p>
        </w:tc>
        <w:tc>
          <w:tcPr>
            <w:tcW w:w="1983" w:type="dxa"/>
            <w:tcBorders>
              <w:top w:val="single" w:sz="4" w:space="0" w:color="auto"/>
              <w:left w:val="single" w:sz="4" w:space="0" w:color="auto"/>
              <w:bottom w:val="single" w:sz="4" w:space="0" w:color="auto"/>
              <w:right w:val="single" w:sz="4" w:space="0" w:color="auto"/>
            </w:tcBorders>
            <w:vAlign w:val="center"/>
          </w:tcPr>
          <w:p w14:paraId="7924FFD5" w14:textId="33E85F71" w:rsidR="00EB0FE9" w:rsidRPr="005F21D6" w:rsidRDefault="00EB0FE9" w:rsidP="00EB0FE9">
            <w:pPr>
              <w:jc w:val="center"/>
              <w:rPr>
                <w:rFonts w:asciiTheme="minorHAnsi" w:hAnsiTheme="minorHAnsi" w:cstheme="minorHAnsi"/>
                <w:color w:val="000000"/>
                <w:sz w:val="18"/>
                <w:szCs w:val="18"/>
              </w:rPr>
            </w:pPr>
            <w:r>
              <w:rPr>
                <w:rFonts w:ascii="Calibri" w:hAnsi="Calibri" w:cs="Calibri"/>
                <w:color w:val="000000"/>
                <w:sz w:val="18"/>
                <w:szCs w:val="18"/>
              </w:rPr>
              <w:t>Astrocytoma or oligodendroglioma</w:t>
            </w:r>
          </w:p>
        </w:tc>
        <w:tc>
          <w:tcPr>
            <w:tcW w:w="238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B777509" w14:textId="0F14DBC0" w:rsidR="00EB0FE9" w:rsidRPr="00BC17A1" w:rsidRDefault="00EB0FE9" w:rsidP="00BC17A1">
            <w:pPr>
              <w:jc w:val="center"/>
              <w:rPr>
                <w:rFonts w:ascii="Calibri" w:hAnsi="Calibri" w:cs="Calibri"/>
                <w:color w:val="000000"/>
                <w:sz w:val="18"/>
                <w:szCs w:val="18"/>
              </w:rPr>
            </w:pPr>
            <w:r>
              <w:rPr>
                <w:rFonts w:ascii="Calibri" w:hAnsi="Calibri" w:cs="Calibri"/>
                <w:color w:val="000000"/>
                <w:sz w:val="18"/>
                <w:szCs w:val="18"/>
              </w:rPr>
              <w:t xml:space="preserve">Resubmission to request listing of </w:t>
            </w:r>
            <w:proofErr w:type="spellStart"/>
            <w:r>
              <w:rPr>
                <w:rFonts w:ascii="Calibri" w:hAnsi="Calibri" w:cs="Calibri"/>
                <w:color w:val="000000"/>
                <w:sz w:val="18"/>
                <w:szCs w:val="18"/>
              </w:rPr>
              <w:t>vorasidenib</w:t>
            </w:r>
            <w:proofErr w:type="spellEnd"/>
            <w:r>
              <w:rPr>
                <w:rFonts w:ascii="Calibri" w:hAnsi="Calibri" w:cs="Calibri"/>
                <w:color w:val="000000"/>
                <w:sz w:val="18"/>
                <w:szCs w:val="18"/>
              </w:rPr>
              <w:t xml:space="preserve"> for the treatment of patients with isocitrate dehydrogenase-mutant astrocytoma or oligodendroglioma who have residual or recurrent disease after at least one prior surgery. </w:t>
            </w:r>
          </w:p>
        </w:tc>
        <w:tc>
          <w:tcPr>
            <w:tcW w:w="1415" w:type="dxa"/>
            <w:vAlign w:val="center"/>
          </w:tcPr>
          <w:p w14:paraId="50D1880D" w14:textId="10660597" w:rsidR="00EB0FE9" w:rsidRPr="00544E10" w:rsidRDefault="00EB0FE9" w:rsidP="00D428AC">
            <w:pPr>
              <w:ind w:left="11"/>
              <w:contextualSpacing/>
              <w:jc w:val="center"/>
              <w:rPr>
                <w:rFonts w:asciiTheme="minorHAnsi" w:hAnsiTheme="minorHAnsi" w:cstheme="minorHAnsi"/>
                <w:color w:val="000000" w:themeColor="text1"/>
                <w:sz w:val="18"/>
                <w:szCs w:val="18"/>
              </w:rPr>
            </w:pPr>
            <w:r>
              <w:rPr>
                <w:rFonts w:ascii="Calibri" w:hAnsi="Calibri" w:cs="Calibri"/>
                <w:color w:val="000000"/>
                <w:sz w:val="18"/>
                <w:szCs w:val="18"/>
              </w:rPr>
              <w:t>Recommended</w:t>
            </w:r>
          </w:p>
        </w:tc>
        <w:tc>
          <w:tcPr>
            <w:tcW w:w="4729" w:type="dxa"/>
            <w:vAlign w:val="center"/>
          </w:tcPr>
          <w:p w14:paraId="115D33E4" w14:textId="34F1336B" w:rsidR="00EB0FE9" w:rsidRPr="00544E10" w:rsidRDefault="00EB0FE9" w:rsidP="00D428AC">
            <w:pPr>
              <w:ind w:left="11"/>
              <w:contextualSpacing/>
              <w:rPr>
                <w:rFonts w:asciiTheme="minorHAnsi" w:hAnsiTheme="minorHAnsi" w:cstheme="minorHAnsi"/>
                <w:color w:val="000000" w:themeColor="text1"/>
                <w:sz w:val="18"/>
                <w:szCs w:val="18"/>
              </w:rPr>
            </w:pPr>
            <w:r>
              <w:rPr>
                <w:rFonts w:ascii="Calibri" w:hAnsi="Calibri" w:cs="Calibri"/>
                <w:color w:val="000000"/>
                <w:sz w:val="18"/>
                <w:szCs w:val="18"/>
              </w:rPr>
              <w:t xml:space="preserve">The PBAC recommended the listing of </w:t>
            </w:r>
            <w:proofErr w:type="spellStart"/>
            <w:r>
              <w:rPr>
                <w:rFonts w:ascii="Calibri" w:hAnsi="Calibri" w:cs="Calibri"/>
                <w:color w:val="000000"/>
                <w:sz w:val="18"/>
                <w:szCs w:val="18"/>
              </w:rPr>
              <w:t>vorasidenib</w:t>
            </w:r>
            <w:proofErr w:type="spellEnd"/>
            <w:r>
              <w:rPr>
                <w:rFonts w:ascii="Calibri" w:hAnsi="Calibri" w:cs="Calibri"/>
                <w:color w:val="000000"/>
                <w:sz w:val="18"/>
                <w:szCs w:val="18"/>
              </w:rPr>
              <w:t xml:space="preserve"> for the treatment of isocitrate dehydrogenase-mutant (IDH) astrocytoma or oligodendroglioma. The PBAC welcomed the strong support from individuals, health care professionals and organisations for this resubmission. The PBAC maintained its previous view that there is a high unmet clinical need for effective treatments for astrocytoma and oligodendroglioma, noting that there are currently no other effective treatments available for patients not in immediate need of chemotherapy/radiotherapy. The PBAC recalled it had noted that as the disease progresses patients experience headaches, nausea/vomiting, seizures, drowsiness, visual disturbance, speech/language problems, sensory loss, motor deficits and changes in cognitive and/or functional ability. These symptoms have a significant impact on quality of life, including inability to work, drive, remain independent, and anxiety is associated with surveillance only, knowing that the condition will inevitably progress. The PBAC also acknowledged that chemotherapy/radiotherapy is associated with substantial toxicity and worsening of neurological deficits. </w:t>
            </w:r>
            <w:r>
              <w:rPr>
                <w:rFonts w:ascii="Calibri" w:hAnsi="Calibri" w:cs="Calibri"/>
                <w:color w:val="000000"/>
                <w:sz w:val="18"/>
                <w:szCs w:val="18"/>
              </w:rPr>
              <w:br/>
            </w:r>
            <w:r>
              <w:rPr>
                <w:rFonts w:ascii="Calibri" w:hAnsi="Calibri" w:cs="Calibri"/>
                <w:color w:val="000000"/>
                <w:sz w:val="18"/>
                <w:szCs w:val="18"/>
              </w:rPr>
              <w:br/>
              <w:t xml:space="preserve">The PBAC accepted </w:t>
            </w:r>
            <w:proofErr w:type="spellStart"/>
            <w:r>
              <w:rPr>
                <w:rFonts w:ascii="Calibri" w:hAnsi="Calibri" w:cs="Calibri"/>
                <w:color w:val="000000"/>
                <w:sz w:val="18"/>
                <w:szCs w:val="18"/>
              </w:rPr>
              <w:t>vorasidenib</w:t>
            </w:r>
            <w:proofErr w:type="spellEnd"/>
            <w:r>
              <w:rPr>
                <w:rFonts w:ascii="Calibri" w:hAnsi="Calibri" w:cs="Calibri"/>
                <w:color w:val="000000"/>
                <w:sz w:val="18"/>
                <w:szCs w:val="18"/>
              </w:rPr>
              <w:t xml:space="preserve"> was superior to active surveillance in terms of radiological progression (observable changes in medical imagining) and acknowledged that delaying the need for chemotherapy and radiation therapy and the reduction in epileptic seizures are clinically meaningful outcomes that are likely to positively impact on patient quality of life (QoL). </w:t>
            </w:r>
            <w:r>
              <w:rPr>
                <w:rFonts w:ascii="Calibri" w:hAnsi="Calibri" w:cs="Calibri"/>
                <w:color w:val="000000"/>
                <w:sz w:val="18"/>
                <w:szCs w:val="18"/>
              </w:rPr>
              <w:br/>
            </w:r>
            <w:r>
              <w:rPr>
                <w:rFonts w:ascii="Calibri" w:hAnsi="Calibri" w:cs="Calibri"/>
                <w:color w:val="000000"/>
                <w:sz w:val="18"/>
                <w:szCs w:val="18"/>
              </w:rPr>
              <w:br/>
              <w:t xml:space="preserve">The PBAC considered the additional trial data, revised estimates of benefits and revised estimates of costs provided in the resubmission addressed most of the Committee’s previous concerns with the July 2025 submission. The PBAC considered </w:t>
            </w:r>
            <w:proofErr w:type="spellStart"/>
            <w:r>
              <w:rPr>
                <w:rFonts w:ascii="Calibri" w:hAnsi="Calibri" w:cs="Calibri"/>
                <w:color w:val="000000"/>
                <w:sz w:val="18"/>
                <w:szCs w:val="18"/>
              </w:rPr>
              <w:t>vorasidenib</w:t>
            </w:r>
            <w:proofErr w:type="spellEnd"/>
            <w:r>
              <w:rPr>
                <w:rFonts w:ascii="Calibri" w:hAnsi="Calibri" w:cs="Calibri"/>
                <w:color w:val="000000"/>
                <w:sz w:val="18"/>
                <w:szCs w:val="18"/>
              </w:rPr>
              <w:t xml:space="preserve"> would be acceptably cost-effective at the reduced price proposed in the resubmission and the revised financial estimates were considered reasonable. </w:t>
            </w:r>
            <w:r>
              <w:rPr>
                <w:rFonts w:ascii="Calibri" w:hAnsi="Calibri" w:cs="Calibri"/>
                <w:color w:val="000000"/>
                <w:sz w:val="18"/>
                <w:szCs w:val="18"/>
              </w:rPr>
              <w:br/>
            </w:r>
            <w:r>
              <w:rPr>
                <w:rFonts w:ascii="Calibri" w:hAnsi="Calibri" w:cs="Calibri"/>
                <w:color w:val="000000"/>
                <w:sz w:val="18"/>
                <w:szCs w:val="18"/>
              </w:rPr>
              <w:br/>
              <w:t xml:space="preserve">The PBAC advised that amendments to the sponsor’s proposed approach to managing financial risk were required to address the uncertainty of how long patients may stay on treatment, including the possibility that patients may remain on treatment after disease progression. The PBAC advised that the use of </w:t>
            </w:r>
            <w:proofErr w:type="spellStart"/>
            <w:r>
              <w:rPr>
                <w:rFonts w:ascii="Calibri" w:hAnsi="Calibri" w:cs="Calibri"/>
                <w:color w:val="000000"/>
                <w:sz w:val="18"/>
                <w:szCs w:val="18"/>
              </w:rPr>
              <w:t>vorasidenib</w:t>
            </w:r>
            <w:proofErr w:type="spellEnd"/>
            <w:r>
              <w:rPr>
                <w:rFonts w:ascii="Calibri" w:hAnsi="Calibri" w:cs="Calibri"/>
                <w:color w:val="000000"/>
                <w:sz w:val="18"/>
                <w:szCs w:val="18"/>
              </w:rPr>
              <w:t xml:space="preserve"> should be reviewed once listed on the PBS to confirm whether patient numbers reflect the estimates of use provided in the resubmission.</w:t>
            </w:r>
          </w:p>
        </w:tc>
      </w:tr>
      <w:tr w:rsidR="00C312E5" w:rsidRPr="00544E10" w14:paraId="082BE673" w14:textId="77777777" w:rsidTr="003921D1">
        <w:trPr>
          <w:cantSplit/>
          <w:trHeight w:val="868"/>
        </w:trPr>
        <w:tc>
          <w:tcPr>
            <w:tcW w:w="294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6E83A12" w14:textId="1A96E108" w:rsidR="00D664AB" w:rsidRDefault="00D664AB" w:rsidP="00D664AB">
            <w:pPr>
              <w:jc w:val="center"/>
              <w:rPr>
                <w:rFonts w:ascii="Calibri" w:hAnsi="Calibri" w:cs="Calibri"/>
                <w:color w:val="000000"/>
                <w:sz w:val="18"/>
                <w:szCs w:val="18"/>
              </w:rPr>
            </w:pPr>
            <w:r>
              <w:rPr>
                <w:rFonts w:ascii="Calibri" w:hAnsi="Calibri" w:cs="Calibri"/>
                <w:color w:val="000000"/>
                <w:sz w:val="18"/>
                <w:szCs w:val="18"/>
              </w:rPr>
              <w:t xml:space="preserve">ADALIMUMAB   </w:t>
            </w:r>
            <w:r>
              <w:rPr>
                <w:rFonts w:ascii="Calibri" w:hAnsi="Calibri" w:cs="Calibri"/>
                <w:color w:val="000000"/>
                <w:sz w:val="18"/>
                <w:szCs w:val="18"/>
              </w:rPr>
              <w:br/>
              <w:t>ETRASIMOD</w:t>
            </w:r>
            <w:r>
              <w:rPr>
                <w:rFonts w:ascii="Calibri" w:hAnsi="Calibri" w:cs="Calibri"/>
                <w:color w:val="000000"/>
                <w:sz w:val="18"/>
                <w:szCs w:val="18"/>
              </w:rPr>
              <w:br/>
              <w:t>GOLIMUMAB</w:t>
            </w:r>
            <w:r>
              <w:rPr>
                <w:rFonts w:ascii="Calibri" w:hAnsi="Calibri" w:cs="Calibri"/>
                <w:color w:val="000000"/>
                <w:sz w:val="18"/>
                <w:szCs w:val="18"/>
              </w:rPr>
              <w:br/>
              <w:t>INFLIXIMAB</w:t>
            </w:r>
            <w:r>
              <w:rPr>
                <w:rFonts w:ascii="Calibri" w:hAnsi="Calibri" w:cs="Calibri"/>
                <w:color w:val="000000"/>
                <w:sz w:val="18"/>
                <w:szCs w:val="18"/>
              </w:rPr>
              <w:br/>
              <w:t>OZANIMOD</w:t>
            </w:r>
            <w:r>
              <w:rPr>
                <w:rFonts w:ascii="Calibri" w:hAnsi="Calibri" w:cs="Calibri"/>
                <w:color w:val="000000"/>
                <w:sz w:val="18"/>
                <w:szCs w:val="18"/>
              </w:rPr>
              <w:br/>
              <w:t>TOFACITINIB</w:t>
            </w:r>
            <w:r>
              <w:rPr>
                <w:rFonts w:ascii="Calibri" w:hAnsi="Calibri" w:cs="Calibri"/>
                <w:color w:val="000000"/>
                <w:sz w:val="18"/>
                <w:szCs w:val="18"/>
              </w:rPr>
              <w:br/>
              <w:t>UPADACITINIB</w:t>
            </w:r>
            <w:r>
              <w:rPr>
                <w:rFonts w:ascii="Calibri" w:hAnsi="Calibri" w:cs="Calibri"/>
                <w:color w:val="000000"/>
                <w:sz w:val="18"/>
                <w:szCs w:val="18"/>
              </w:rPr>
              <w:br/>
              <w:t xml:space="preserve">USTEKINUMAB   </w:t>
            </w:r>
            <w:r>
              <w:rPr>
                <w:rFonts w:ascii="Calibri" w:hAnsi="Calibri" w:cs="Calibri"/>
                <w:color w:val="000000"/>
                <w:sz w:val="18"/>
                <w:szCs w:val="18"/>
              </w:rPr>
              <w:br/>
              <w:t>VEDOLIZUMAB</w:t>
            </w:r>
            <w:r>
              <w:rPr>
                <w:rFonts w:ascii="Calibri" w:hAnsi="Calibri" w:cs="Calibri"/>
                <w:color w:val="000000"/>
                <w:sz w:val="18"/>
                <w:szCs w:val="18"/>
              </w:rPr>
              <w:br/>
            </w:r>
            <w:r>
              <w:rPr>
                <w:rFonts w:ascii="Calibri" w:hAnsi="Calibri" w:cs="Calibri"/>
                <w:color w:val="000000"/>
                <w:sz w:val="18"/>
                <w:szCs w:val="18"/>
              </w:rPr>
              <w:br/>
              <w:t>Various forms</w:t>
            </w:r>
            <w:r>
              <w:rPr>
                <w:rFonts w:ascii="Calibri" w:hAnsi="Calibri" w:cs="Calibri"/>
                <w:color w:val="000000"/>
                <w:sz w:val="18"/>
                <w:szCs w:val="18"/>
              </w:rPr>
              <w:br/>
            </w:r>
            <w:r>
              <w:rPr>
                <w:rFonts w:ascii="Calibri" w:hAnsi="Calibri" w:cs="Calibri"/>
                <w:color w:val="000000"/>
                <w:sz w:val="18"/>
                <w:szCs w:val="18"/>
              </w:rPr>
              <w:br/>
              <w:t>Various brands</w:t>
            </w:r>
            <w:r>
              <w:rPr>
                <w:rFonts w:ascii="Calibri" w:hAnsi="Calibri" w:cs="Calibri"/>
                <w:color w:val="000000"/>
                <w:sz w:val="18"/>
                <w:szCs w:val="18"/>
              </w:rPr>
              <w:br/>
            </w:r>
            <w:r>
              <w:rPr>
                <w:rFonts w:ascii="Calibri" w:hAnsi="Calibri" w:cs="Calibri"/>
                <w:color w:val="000000"/>
                <w:sz w:val="18"/>
                <w:szCs w:val="18"/>
              </w:rPr>
              <w:br/>
              <w:t>Various sponsors</w:t>
            </w:r>
            <w:r>
              <w:rPr>
                <w:rFonts w:ascii="Calibri" w:hAnsi="Calibri" w:cs="Calibri"/>
                <w:color w:val="000000"/>
                <w:sz w:val="18"/>
                <w:szCs w:val="18"/>
              </w:rPr>
              <w:br/>
            </w:r>
            <w:r>
              <w:rPr>
                <w:rFonts w:ascii="Calibri" w:hAnsi="Calibri" w:cs="Calibri"/>
                <w:color w:val="000000"/>
                <w:sz w:val="18"/>
                <w:szCs w:val="18"/>
              </w:rPr>
              <w:br/>
              <w:t>Other matters</w:t>
            </w:r>
            <w:r>
              <w:rPr>
                <w:rFonts w:ascii="Calibri" w:hAnsi="Calibri" w:cs="Calibri"/>
                <w:color w:val="000000"/>
                <w:sz w:val="18"/>
                <w:szCs w:val="18"/>
              </w:rPr>
              <w:br/>
              <w:t>(Change to existing listing)</w:t>
            </w:r>
            <w:r>
              <w:rPr>
                <w:rFonts w:ascii="Calibri" w:hAnsi="Calibri" w:cs="Calibri"/>
                <w:color w:val="000000"/>
                <w:sz w:val="18"/>
                <w:szCs w:val="18"/>
              </w:rPr>
              <w:br/>
            </w:r>
            <w:r>
              <w:rPr>
                <w:rFonts w:ascii="Calibri" w:hAnsi="Calibri" w:cs="Calibri"/>
                <w:color w:val="000000"/>
                <w:sz w:val="18"/>
                <w:szCs w:val="18"/>
              </w:rPr>
              <w:br/>
              <w:t>PBS General Schedule</w:t>
            </w:r>
            <w:r>
              <w:rPr>
                <w:rFonts w:ascii="Calibri" w:hAnsi="Calibri" w:cs="Calibri"/>
                <w:color w:val="000000"/>
                <w:sz w:val="18"/>
                <w:szCs w:val="18"/>
              </w:rPr>
              <w:br/>
              <w:t xml:space="preserve">PBS Section 100 </w:t>
            </w:r>
            <w:r>
              <w:rPr>
                <w:rFonts w:ascii="Calibri" w:hAnsi="Calibri" w:cs="Calibri"/>
                <w:color w:val="000000"/>
                <w:sz w:val="18"/>
                <w:szCs w:val="18"/>
              </w:rPr>
              <w:br/>
              <w:t>(Highly Specialised Drugs Program)</w:t>
            </w:r>
          </w:p>
        </w:tc>
        <w:tc>
          <w:tcPr>
            <w:tcW w:w="1983" w:type="dxa"/>
            <w:tcBorders>
              <w:top w:val="single" w:sz="4" w:space="0" w:color="auto"/>
              <w:left w:val="single" w:sz="4" w:space="0" w:color="auto"/>
              <w:bottom w:val="single" w:sz="4" w:space="0" w:color="auto"/>
              <w:right w:val="single" w:sz="4" w:space="0" w:color="auto"/>
            </w:tcBorders>
            <w:vAlign w:val="center"/>
          </w:tcPr>
          <w:p w14:paraId="36088F2B" w14:textId="2943B8F7" w:rsidR="00D664AB" w:rsidRDefault="00D664AB" w:rsidP="00D664AB">
            <w:pPr>
              <w:jc w:val="center"/>
              <w:rPr>
                <w:rFonts w:ascii="Calibri" w:hAnsi="Calibri" w:cs="Calibri"/>
                <w:color w:val="000000"/>
                <w:sz w:val="18"/>
                <w:szCs w:val="18"/>
              </w:rPr>
            </w:pPr>
            <w:r>
              <w:rPr>
                <w:rFonts w:ascii="Calibri" w:hAnsi="Calibri" w:cs="Calibri"/>
                <w:color w:val="000000"/>
                <w:sz w:val="18"/>
                <w:szCs w:val="18"/>
              </w:rPr>
              <w:t>Severe Crohn disease</w:t>
            </w:r>
            <w:r>
              <w:rPr>
                <w:rFonts w:ascii="Calibri" w:hAnsi="Calibri" w:cs="Calibri"/>
                <w:color w:val="000000"/>
                <w:sz w:val="18"/>
                <w:szCs w:val="18"/>
              </w:rPr>
              <w:br/>
              <w:t xml:space="preserve">Moderate to severe ulcerative colitis </w:t>
            </w:r>
            <w:r>
              <w:rPr>
                <w:rFonts w:ascii="Calibri" w:hAnsi="Calibri" w:cs="Calibri"/>
                <w:color w:val="000000"/>
                <w:sz w:val="18"/>
                <w:szCs w:val="18"/>
              </w:rPr>
              <w:br/>
              <w:t>Complex refractory fistulising Crohn disease</w:t>
            </w:r>
            <w:r>
              <w:rPr>
                <w:rFonts w:ascii="Calibri" w:hAnsi="Calibri" w:cs="Calibri"/>
                <w:color w:val="000000"/>
                <w:sz w:val="18"/>
                <w:szCs w:val="18"/>
              </w:rPr>
              <w:br/>
              <w:t xml:space="preserve">Moderate to severe chronic </w:t>
            </w:r>
            <w:proofErr w:type="spellStart"/>
            <w:r>
              <w:rPr>
                <w:rFonts w:ascii="Calibri" w:hAnsi="Calibri" w:cs="Calibri"/>
                <w:color w:val="000000"/>
                <w:sz w:val="18"/>
                <w:szCs w:val="18"/>
              </w:rPr>
              <w:t>pouchitis</w:t>
            </w:r>
            <w:proofErr w:type="spellEnd"/>
          </w:p>
        </w:tc>
        <w:tc>
          <w:tcPr>
            <w:tcW w:w="238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1693B2B" w14:textId="261B9308" w:rsidR="00D664AB" w:rsidRDefault="00D664AB" w:rsidP="00D664AB">
            <w:pPr>
              <w:jc w:val="center"/>
              <w:rPr>
                <w:rFonts w:ascii="Calibri" w:hAnsi="Calibri" w:cs="Calibri"/>
                <w:color w:val="000000"/>
                <w:sz w:val="18"/>
                <w:szCs w:val="18"/>
              </w:rPr>
            </w:pPr>
            <w:r>
              <w:rPr>
                <w:rFonts w:ascii="Calibri" w:hAnsi="Calibri" w:cs="Calibri"/>
                <w:color w:val="000000"/>
                <w:sz w:val="18"/>
                <w:szCs w:val="18"/>
              </w:rPr>
              <w:t>To seek PBAC advice on matters relating to the administration of PBS listings for inflammatory bowel diseases.</w:t>
            </w:r>
          </w:p>
        </w:tc>
        <w:tc>
          <w:tcPr>
            <w:tcW w:w="1415" w:type="dxa"/>
            <w:vAlign w:val="center"/>
          </w:tcPr>
          <w:p w14:paraId="3D0F8C3B" w14:textId="0AE44F55" w:rsidR="00D664AB" w:rsidRDefault="00D664AB" w:rsidP="00D664AB">
            <w:pPr>
              <w:ind w:left="11"/>
              <w:contextualSpacing/>
              <w:jc w:val="center"/>
              <w:rPr>
                <w:rFonts w:ascii="Calibri" w:hAnsi="Calibri" w:cs="Calibri"/>
                <w:color w:val="000000"/>
                <w:sz w:val="18"/>
                <w:szCs w:val="18"/>
              </w:rPr>
            </w:pPr>
            <w:r>
              <w:rPr>
                <w:rFonts w:ascii="Calibri" w:hAnsi="Calibri" w:cs="Calibri"/>
                <w:color w:val="000000"/>
                <w:sz w:val="18"/>
                <w:szCs w:val="18"/>
              </w:rPr>
              <w:t>Recommended</w:t>
            </w:r>
          </w:p>
        </w:tc>
        <w:tc>
          <w:tcPr>
            <w:tcW w:w="4729" w:type="dxa"/>
            <w:vAlign w:val="center"/>
          </w:tcPr>
          <w:p w14:paraId="18838256" w14:textId="73C436E8" w:rsidR="00D664AB" w:rsidRDefault="00D664AB" w:rsidP="00D664AB">
            <w:pPr>
              <w:ind w:left="11"/>
              <w:contextualSpacing/>
              <w:rPr>
                <w:rFonts w:ascii="Calibri" w:hAnsi="Calibri" w:cs="Calibri"/>
                <w:color w:val="000000"/>
                <w:sz w:val="18"/>
                <w:szCs w:val="18"/>
              </w:rPr>
            </w:pPr>
            <w:r>
              <w:rPr>
                <w:rFonts w:ascii="Calibri" w:hAnsi="Calibri" w:cs="Calibri"/>
                <w:color w:val="000000"/>
                <w:sz w:val="18"/>
                <w:szCs w:val="18"/>
              </w:rPr>
              <w:t xml:space="preserve">The PBAC recommended a series of amendments to align restrictions, improve consistency across indications and reduce administrative complexity across the PBS listings for inflammatory bowel disease (IBD) medicines, specifically the following PBS indications: Severe Crohn disease, Moderate to Severe Ulcerative Colitis, Fistulising Crohn Disease, Moderate to Severe Chronic </w:t>
            </w:r>
            <w:proofErr w:type="spellStart"/>
            <w:r>
              <w:rPr>
                <w:rFonts w:ascii="Calibri" w:hAnsi="Calibri" w:cs="Calibri"/>
                <w:color w:val="000000"/>
                <w:sz w:val="18"/>
                <w:szCs w:val="18"/>
              </w:rPr>
              <w:t>Pouchitis</w:t>
            </w:r>
            <w:proofErr w:type="spellEnd"/>
            <w:r>
              <w:rPr>
                <w:rFonts w:ascii="Calibri" w:hAnsi="Calibri" w:cs="Calibri"/>
                <w:color w:val="000000"/>
                <w:sz w:val="18"/>
                <w:szCs w:val="18"/>
              </w:rPr>
              <w:t>. The changes include simplifying item codes; adjusting authority requirements; allowing greater flexibility around prior therapy requirements, dosing and assessment timeframes; and enabling patients who commenced treatment outside the PBS to transition to PBS subsidised therapy where eligibility can be demonstrated. While noting potential shifts in utilisation, the PBAC considered the overall financial impact to be minimal and highlighted that the amendments will address longstanding issues for prescribers. Overall, the PBAC considered the recommended changes to be highly positive and likely to be well received by clinicians and patients.</w:t>
            </w:r>
          </w:p>
        </w:tc>
      </w:tr>
      <w:tr w:rsidR="00C312E5" w:rsidRPr="00544E10" w14:paraId="5430C3F4" w14:textId="77777777" w:rsidTr="003921D1">
        <w:trPr>
          <w:cantSplit/>
          <w:trHeight w:val="868"/>
        </w:trPr>
        <w:tc>
          <w:tcPr>
            <w:tcW w:w="294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EC99703" w14:textId="497B69FA" w:rsidR="00D664AB" w:rsidRDefault="00D664AB" w:rsidP="00D664AB">
            <w:pPr>
              <w:jc w:val="center"/>
              <w:rPr>
                <w:rFonts w:ascii="Calibri" w:hAnsi="Calibri" w:cs="Calibri"/>
                <w:color w:val="000000"/>
                <w:sz w:val="18"/>
                <w:szCs w:val="18"/>
              </w:rPr>
            </w:pPr>
            <w:r>
              <w:rPr>
                <w:rFonts w:ascii="Calibri" w:hAnsi="Calibri" w:cs="Calibri"/>
                <w:color w:val="000000"/>
                <w:sz w:val="18"/>
                <w:szCs w:val="18"/>
              </w:rPr>
              <w:t>ADALIMUMAB</w:t>
            </w:r>
            <w:r>
              <w:rPr>
                <w:rFonts w:ascii="Calibri" w:hAnsi="Calibri" w:cs="Calibri"/>
                <w:color w:val="000000"/>
                <w:sz w:val="18"/>
                <w:szCs w:val="18"/>
              </w:rPr>
              <w:br/>
              <w:t>INFLIXIMAB</w:t>
            </w:r>
            <w:r>
              <w:rPr>
                <w:rFonts w:ascii="Calibri" w:hAnsi="Calibri" w:cs="Calibri"/>
                <w:color w:val="000000"/>
                <w:sz w:val="18"/>
                <w:szCs w:val="18"/>
              </w:rPr>
              <w:br/>
            </w:r>
            <w:r>
              <w:rPr>
                <w:rFonts w:ascii="Calibri" w:hAnsi="Calibri" w:cs="Calibri"/>
                <w:color w:val="000000"/>
                <w:sz w:val="18"/>
                <w:szCs w:val="18"/>
              </w:rPr>
              <w:br/>
              <w:t>Injection 20 mg in 0.2 mL pre-filled syringe</w:t>
            </w:r>
            <w:r>
              <w:rPr>
                <w:rFonts w:ascii="Calibri" w:hAnsi="Calibri" w:cs="Calibri"/>
                <w:color w:val="000000"/>
                <w:sz w:val="18"/>
                <w:szCs w:val="18"/>
              </w:rPr>
              <w:br/>
              <w:t>Injection 20 mg in 0.4 mL pre-filled syringe</w:t>
            </w:r>
            <w:r>
              <w:rPr>
                <w:rFonts w:ascii="Calibri" w:hAnsi="Calibri" w:cs="Calibri"/>
                <w:color w:val="000000"/>
                <w:sz w:val="18"/>
                <w:szCs w:val="18"/>
              </w:rPr>
              <w:br/>
              <w:t>Injection 40 mg in 0.4 mL pre-filled syringe</w:t>
            </w:r>
            <w:r>
              <w:rPr>
                <w:rFonts w:ascii="Calibri" w:hAnsi="Calibri" w:cs="Calibri"/>
                <w:color w:val="000000"/>
                <w:sz w:val="18"/>
                <w:szCs w:val="18"/>
              </w:rPr>
              <w:br/>
              <w:t>Injection 40 mg in 0.4 mL pre-filled pen</w:t>
            </w:r>
            <w:r>
              <w:rPr>
                <w:rFonts w:ascii="Calibri" w:hAnsi="Calibri" w:cs="Calibri"/>
                <w:color w:val="000000"/>
                <w:sz w:val="18"/>
                <w:szCs w:val="18"/>
              </w:rPr>
              <w:br/>
              <w:t>Injection 40 mg in 0.8 mL pre-filled syringe</w:t>
            </w:r>
            <w:r>
              <w:rPr>
                <w:rFonts w:ascii="Calibri" w:hAnsi="Calibri" w:cs="Calibri"/>
                <w:color w:val="000000"/>
                <w:sz w:val="18"/>
                <w:szCs w:val="18"/>
              </w:rPr>
              <w:br/>
              <w:t>Injection 40 mg in 0.8 mL pre-filled pen</w:t>
            </w:r>
            <w:r>
              <w:rPr>
                <w:rFonts w:ascii="Calibri" w:hAnsi="Calibri" w:cs="Calibri"/>
                <w:color w:val="000000"/>
                <w:sz w:val="18"/>
                <w:szCs w:val="18"/>
              </w:rPr>
              <w:br/>
              <w:t>Injection 80 mg in 0.8 mL pre-filled syringe</w:t>
            </w:r>
            <w:r>
              <w:rPr>
                <w:rFonts w:ascii="Calibri" w:hAnsi="Calibri" w:cs="Calibri"/>
                <w:color w:val="000000"/>
                <w:sz w:val="18"/>
                <w:szCs w:val="18"/>
              </w:rPr>
              <w:br/>
              <w:t>Injection 80 mg in 0.8 mL pre-filled pen</w:t>
            </w:r>
            <w:r>
              <w:rPr>
                <w:rFonts w:ascii="Calibri" w:hAnsi="Calibri" w:cs="Calibri"/>
                <w:color w:val="000000"/>
                <w:sz w:val="18"/>
                <w:szCs w:val="18"/>
              </w:rPr>
              <w:br/>
            </w:r>
            <w:r>
              <w:rPr>
                <w:rFonts w:ascii="Calibri" w:hAnsi="Calibri" w:cs="Calibri"/>
                <w:color w:val="000000"/>
                <w:sz w:val="18"/>
                <w:szCs w:val="18"/>
              </w:rPr>
              <w:br/>
              <w:t>Powder for I.V. infusion 100 mg</w:t>
            </w:r>
            <w:r>
              <w:rPr>
                <w:rFonts w:ascii="Calibri" w:hAnsi="Calibri" w:cs="Calibri"/>
                <w:color w:val="000000"/>
                <w:sz w:val="18"/>
                <w:szCs w:val="18"/>
              </w:rPr>
              <w:br/>
            </w:r>
            <w:r>
              <w:rPr>
                <w:rFonts w:ascii="Calibri" w:hAnsi="Calibri" w:cs="Calibri"/>
                <w:color w:val="000000"/>
                <w:sz w:val="18"/>
                <w:szCs w:val="18"/>
              </w:rPr>
              <w:br/>
              <w:t>Humira®</w:t>
            </w:r>
            <w:r>
              <w:rPr>
                <w:rFonts w:ascii="Calibri" w:hAnsi="Calibri" w:cs="Calibri"/>
                <w:color w:val="000000"/>
                <w:sz w:val="18"/>
                <w:szCs w:val="18"/>
              </w:rPr>
              <w:br/>
            </w:r>
            <w:proofErr w:type="spellStart"/>
            <w:r>
              <w:rPr>
                <w:rFonts w:ascii="Calibri" w:hAnsi="Calibri" w:cs="Calibri"/>
                <w:color w:val="000000"/>
                <w:sz w:val="18"/>
                <w:szCs w:val="18"/>
              </w:rPr>
              <w:t>Amgevita</w:t>
            </w:r>
            <w:proofErr w:type="spellEnd"/>
            <w:r>
              <w:rPr>
                <w:rFonts w:ascii="Calibri" w:hAnsi="Calibri" w:cs="Calibri"/>
                <w:color w:val="000000"/>
                <w:sz w:val="18"/>
                <w:szCs w:val="18"/>
              </w:rPr>
              <w:t>®</w:t>
            </w:r>
            <w:r>
              <w:rPr>
                <w:rFonts w:ascii="Calibri" w:hAnsi="Calibri" w:cs="Calibri"/>
                <w:color w:val="000000"/>
                <w:sz w:val="18"/>
                <w:szCs w:val="18"/>
              </w:rPr>
              <w:br/>
            </w:r>
            <w:proofErr w:type="spellStart"/>
            <w:r>
              <w:rPr>
                <w:rFonts w:ascii="Calibri" w:hAnsi="Calibri" w:cs="Calibri"/>
                <w:color w:val="000000"/>
                <w:sz w:val="18"/>
                <w:szCs w:val="18"/>
              </w:rPr>
              <w:t>Hadlima</w:t>
            </w:r>
            <w:proofErr w:type="spellEnd"/>
            <w:r>
              <w:rPr>
                <w:rFonts w:ascii="Calibri" w:hAnsi="Calibri" w:cs="Calibri"/>
                <w:color w:val="000000"/>
                <w:sz w:val="18"/>
                <w:szCs w:val="18"/>
              </w:rPr>
              <w:t>®</w:t>
            </w:r>
            <w:r>
              <w:rPr>
                <w:rFonts w:ascii="Calibri" w:hAnsi="Calibri" w:cs="Calibri"/>
                <w:color w:val="000000"/>
                <w:sz w:val="18"/>
                <w:szCs w:val="18"/>
              </w:rPr>
              <w:br/>
            </w:r>
            <w:proofErr w:type="spellStart"/>
            <w:r>
              <w:rPr>
                <w:rFonts w:ascii="Calibri" w:hAnsi="Calibri" w:cs="Calibri"/>
                <w:color w:val="000000"/>
                <w:sz w:val="18"/>
                <w:szCs w:val="18"/>
              </w:rPr>
              <w:t>Hyrimoz</w:t>
            </w:r>
            <w:proofErr w:type="spellEnd"/>
            <w:r>
              <w:rPr>
                <w:rFonts w:ascii="Calibri" w:hAnsi="Calibri" w:cs="Calibri"/>
                <w:color w:val="000000"/>
                <w:sz w:val="18"/>
                <w:szCs w:val="18"/>
              </w:rPr>
              <w:t>®</w:t>
            </w:r>
            <w:r>
              <w:rPr>
                <w:rFonts w:ascii="Calibri" w:hAnsi="Calibri" w:cs="Calibri"/>
                <w:color w:val="000000"/>
                <w:sz w:val="18"/>
                <w:szCs w:val="18"/>
              </w:rPr>
              <w:br/>
            </w:r>
            <w:proofErr w:type="spellStart"/>
            <w:r>
              <w:rPr>
                <w:rFonts w:ascii="Calibri" w:hAnsi="Calibri" w:cs="Calibri"/>
                <w:color w:val="000000"/>
                <w:sz w:val="18"/>
                <w:szCs w:val="18"/>
              </w:rPr>
              <w:t>Yuflyma</w:t>
            </w:r>
            <w:proofErr w:type="spellEnd"/>
            <w:r>
              <w:rPr>
                <w:rFonts w:ascii="Calibri" w:hAnsi="Calibri" w:cs="Calibri"/>
                <w:color w:val="000000"/>
                <w:sz w:val="18"/>
                <w:szCs w:val="18"/>
              </w:rPr>
              <w:t>®</w:t>
            </w:r>
            <w:r>
              <w:rPr>
                <w:rFonts w:ascii="Calibri" w:hAnsi="Calibri" w:cs="Calibri"/>
                <w:color w:val="000000"/>
                <w:sz w:val="18"/>
                <w:szCs w:val="18"/>
              </w:rPr>
              <w:br/>
              <w:t>Abrilada®</w:t>
            </w:r>
            <w:r>
              <w:rPr>
                <w:rFonts w:ascii="Calibri" w:hAnsi="Calibri" w:cs="Calibri"/>
                <w:color w:val="000000"/>
                <w:sz w:val="18"/>
                <w:szCs w:val="18"/>
              </w:rPr>
              <w:br/>
            </w:r>
            <w:r>
              <w:rPr>
                <w:rFonts w:ascii="Calibri" w:hAnsi="Calibri" w:cs="Calibri"/>
                <w:color w:val="000000"/>
                <w:sz w:val="18"/>
                <w:szCs w:val="18"/>
              </w:rPr>
              <w:br/>
            </w:r>
            <w:proofErr w:type="spellStart"/>
            <w:r>
              <w:rPr>
                <w:rFonts w:ascii="Calibri" w:hAnsi="Calibri" w:cs="Calibri"/>
                <w:color w:val="000000"/>
                <w:sz w:val="18"/>
                <w:szCs w:val="18"/>
              </w:rPr>
              <w:t>Inflectra</w:t>
            </w:r>
            <w:proofErr w:type="spellEnd"/>
            <w:r>
              <w:rPr>
                <w:rFonts w:ascii="Calibri" w:hAnsi="Calibri" w:cs="Calibri"/>
                <w:color w:val="000000"/>
                <w:sz w:val="18"/>
                <w:szCs w:val="18"/>
              </w:rPr>
              <w:t>®</w:t>
            </w:r>
            <w:r>
              <w:rPr>
                <w:rFonts w:ascii="Calibri" w:hAnsi="Calibri" w:cs="Calibri"/>
                <w:color w:val="000000"/>
                <w:sz w:val="18"/>
                <w:szCs w:val="18"/>
              </w:rPr>
              <w:br/>
            </w:r>
            <w:proofErr w:type="spellStart"/>
            <w:r>
              <w:rPr>
                <w:rFonts w:ascii="Calibri" w:hAnsi="Calibri" w:cs="Calibri"/>
                <w:color w:val="000000"/>
                <w:sz w:val="18"/>
                <w:szCs w:val="18"/>
              </w:rPr>
              <w:t>Ixifi</w:t>
            </w:r>
            <w:proofErr w:type="spellEnd"/>
            <w:r>
              <w:rPr>
                <w:rFonts w:ascii="Calibri" w:hAnsi="Calibri" w:cs="Calibri"/>
                <w:color w:val="000000"/>
                <w:sz w:val="18"/>
                <w:szCs w:val="18"/>
              </w:rPr>
              <w:t>®</w:t>
            </w:r>
            <w:r>
              <w:rPr>
                <w:rFonts w:ascii="Calibri" w:hAnsi="Calibri" w:cs="Calibri"/>
                <w:color w:val="000000"/>
                <w:sz w:val="18"/>
                <w:szCs w:val="18"/>
              </w:rPr>
              <w:br/>
              <w:t>Remicade®</w:t>
            </w:r>
            <w:r>
              <w:rPr>
                <w:rFonts w:ascii="Calibri" w:hAnsi="Calibri" w:cs="Calibri"/>
                <w:color w:val="000000"/>
                <w:sz w:val="18"/>
                <w:szCs w:val="18"/>
              </w:rPr>
              <w:br/>
            </w:r>
            <w:proofErr w:type="spellStart"/>
            <w:r>
              <w:rPr>
                <w:rFonts w:ascii="Calibri" w:hAnsi="Calibri" w:cs="Calibri"/>
                <w:color w:val="000000"/>
                <w:sz w:val="18"/>
                <w:szCs w:val="18"/>
              </w:rPr>
              <w:t>Remsima</w:t>
            </w:r>
            <w:proofErr w:type="spellEnd"/>
            <w:r>
              <w:rPr>
                <w:rFonts w:ascii="Calibri" w:hAnsi="Calibri" w:cs="Calibri"/>
                <w:color w:val="000000"/>
                <w:sz w:val="18"/>
                <w:szCs w:val="18"/>
              </w:rPr>
              <w:t>®</w:t>
            </w:r>
            <w:r>
              <w:rPr>
                <w:rFonts w:ascii="Calibri" w:hAnsi="Calibri" w:cs="Calibri"/>
                <w:color w:val="000000"/>
                <w:sz w:val="18"/>
                <w:szCs w:val="18"/>
              </w:rPr>
              <w:br/>
            </w:r>
            <w:proofErr w:type="spellStart"/>
            <w:r>
              <w:rPr>
                <w:rFonts w:ascii="Calibri" w:hAnsi="Calibri" w:cs="Calibri"/>
                <w:color w:val="000000"/>
                <w:sz w:val="18"/>
                <w:szCs w:val="18"/>
              </w:rPr>
              <w:t>Renflexis</w:t>
            </w:r>
            <w:proofErr w:type="spellEnd"/>
            <w:r>
              <w:rPr>
                <w:rFonts w:ascii="Calibri" w:hAnsi="Calibri" w:cs="Calibri"/>
                <w:color w:val="000000"/>
                <w:sz w:val="18"/>
                <w:szCs w:val="18"/>
              </w:rPr>
              <w:t>®</w:t>
            </w:r>
            <w:r>
              <w:rPr>
                <w:rFonts w:ascii="Calibri" w:hAnsi="Calibri" w:cs="Calibri"/>
                <w:color w:val="000000"/>
                <w:sz w:val="18"/>
                <w:szCs w:val="18"/>
              </w:rPr>
              <w:br/>
            </w:r>
            <w:r>
              <w:rPr>
                <w:rFonts w:ascii="Calibri" w:hAnsi="Calibri" w:cs="Calibri"/>
                <w:color w:val="000000"/>
                <w:sz w:val="18"/>
                <w:szCs w:val="18"/>
              </w:rPr>
              <w:br/>
              <w:t>ABBVIE PTY LTD</w:t>
            </w:r>
            <w:r>
              <w:rPr>
                <w:rFonts w:ascii="Calibri" w:hAnsi="Calibri" w:cs="Calibri"/>
                <w:color w:val="000000"/>
                <w:sz w:val="18"/>
                <w:szCs w:val="18"/>
              </w:rPr>
              <w:br/>
              <w:t>ARROTEX PHARMACEUTICALS PTY LTD</w:t>
            </w:r>
            <w:r>
              <w:rPr>
                <w:rFonts w:ascii="Calibri" w:hAnsi="Calibri" w:cs="Calibri"/>
                <w:color w:val="000000"/>
                <w:sz w:val="18"/>
                <w:szCs w:val="18"/>
              </w:rPr>
              <w:br/>
              <w:t>ARROW PHARMA PTY LTD</w:t>
            </w:r>
            <w:r>
              <w:rPr>
                <w:rFonts w:ascii="Calibri" w:hAnsi="Calibri" w:cs="Calibri"/>
                <w:color w:val="000000"/>
                <w:sz w:val="18"/>
                <w:szCs w:val="18"/>
              </w:rPr>
              <w:br/>
              <w:t>SANDOZ PTY LTD</w:t>
            </w:r>
            <w:r>
              <w:rPr>
                <w:rFonts w:ascii="Calibri" w:hAnsi="Calibri" w:cs="Calibri"/>
                <w:color w:val="000000"/>
                <w:sz w:val="18"/>
                <w:szCs w:val="18"/>
              </w:rPr>
              <w:br/>
              <w:t>CELLTRION HEALTHCARE AUSTRALIA PTY LTD</w:t>
            </w:r>
            <w:r>
              <w:rPr>
                <w:rFonts w:ascii="Calibri" w:hAnsi="Calibri" w:cs="Calibri"/>
                <w:color w:val="000000"/>
                <w:sz w:val="18"/>
                <w:szCs w:val="18"/>
              </w:rPr>
              <w:br/>
              <w:t>PFIZER AUSTRALIA PTY LTD</w:t>
            </w:r>
            <w:r>
              <w:rPr>
                <w:rFonts w:ascii="Calibri" w:hAnsi="Calibri" w:cs="Calibri"/>
                <w:color w:val="000000"/>
                <w:sz w:val="18"/>
                <w:szCs w:val="18"/>
              </w:rPr>
              <w:br/>
            </w:r>
            <w:r>
              <w:rPr>
                <w:rFonts w:ascii="Calibri" w:hAnsi="Calibri" w:cs="Calibri"/>
                <w:color w:val="000000"/>
                <w:sz w:val="18"/>
                <w:szCs w:val="18"/>
              </w:rPr>
              <w:br/>
              <w:t>PFIZER AUSTRALIA PTY LTD</w:t>
            </w:r>
            <w:r>
              <w:rPr>
                <w:rFonts w:ascii="Calibri" w:hAnsi="Calibri" w:cs="Calibri"/>
                <w:color w:val="000000"/>
                <w:sz w:val="18"/>
                <w:szCs w:val="18"/>
              </w:rPr>
              <w:br/>
              <w:t>JANSSEN-CILAG PTY LTD</w:t>
            </w:r>
            <w:r>
              <w:rPr>
                <w:rFonts w:ascii="Calibri" w:hAnsi="Calibri" w:cs="Calibri"/>
                <w:color w:val="000000"/>
                <w:sz w:val="18"/>
                <w:szCs w:val="18"/>
              </w:rPr>
              <w:br/>
              <w:t>CELLTRION HEALTHCARE AUSTRALIA PTY LTD</w:t>
            </w:r>
            <w:r>
              <w:rPr>
                <w:rFonts w:ascii="Calibri" w:hAnsi="Calibri" w:cs="Calibri"/>
                <w:color w:val="000000"/>
                <w:sz w:val="18"/>
                <w:szCs w:val="18"/>
              </w:rPr>
              <w:br/>
              <w:t>ORGANON PHARMA PTY LTD</w:t>
            </w:r>
            <w:r>
              <w:rPr>
                <w:rFonts w:ascii="Calibri" w:hAnsi="Calibri" w:cs="Calibri"/>
                <w:color w:val="000000"/>
                <w:sz w:val="18"/>
                <w:szCs w:val="18"/>
              </w:rPr>
              <w:br/>
            </w:r>
            <w:r>
              <w:rPr>
                <w:rFonts w:ascii="Calibri" w:hAnsi="Calibri" w:cs="Calibri"/>
                <w:color w:val="000000"/>
                <w:sz w:val="18"/>
                <w:szCs w:val="18"/>
              </w:rPr>
              <w:br/>
            </w:r>
            <w:r>
              <w:rPr>
                <w:rFonts w:ascii="Calibri" w:hAnsi="Calibri" w:cs="Calibri"/>
                <w:color w:val="000000"/>
                <w:sz w:val="18"/>
                <w:szCs w:val="18"/>
              </w:rPr>
              <w:br/>
              <w:t>(Change to existing listing)</w:t>
            </w:r>
          </w:p>
        </w:tc>
        <w:tc>
          <w:tcPr>
            <w:tcW w:w="1983" w:type="dxa"/>
            <w:tcBorders>
              <w:top w:val="single" w:sz="4" w:space="0" w:color="auto"/>
              <w:left w:val="single" w:sz="4" w:space="0" w:color="auto"/>
              <w:bottom w:val="single" w:sz="4" w:space="0" w:color="auto"/>
              <w:right w:val="single" w:sz="4" w:space="0" w:color="auto"/>
            </w:tcBorders>
            <w:vAlign w:val="center"/>
          </w:tcPr>
          <w:p w14:paraId="66B2F833" w14:textId="1E9D73DD" w:rsidR="00D664AB" w:rsidRDefault="00D664AB" w:rsidP="00D664AB">
            <w:pPr>
              <w:jc w:val="center"/>
              <w:rPr>
                <w:rFonts w:ascii="Calibri" w:hAnsi="Calibri" w:cs="Calibri"/>
                <w:color w:val="000000"/>
                <w:sz w:val="18"/>
                <w:szCs w:val="18"/>
              </w:rPr>
            </w:pPr>
            <w:r>
              <w:rPr>
                <w:rFonts w:ascii="Calibri" w:hAnsi="Calibri" w:cs="Calibri"/>
                <w:color w:val="000000"/>
                <w:sz w:val="18"/>
                <w:szCs w:val="18"/>
              </w:rPr>
              <w:t>Crohn disease</w:t>
            </w:r>
            <w:r>
              <w:rPr>
                <w:rFonts w:ascii="Calibri" w:hAnsi="Calibri" w:cs="Calibri"/>
                <w:color w:val="000000"/>
                <w:sz w:val="18"/>
                <w:szCs w:val="18"/>
              </w:rPr>
              <w:br/>
              <w:t xml:space="preserve">Ulcerative colitis </w:t>
            </w:r>
          </w:p>
        </w:tc>
        <w:tc>
          <w:tcPr>
            <w:tcW w:w="238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AE89983" w14:textId="1972A92C" w:rsidR="00D664AB" w:rsidRDefault="00D664AB" w:rsidP="00D664AB">
            <w:pPr>
              <w:jc w:val="center"/>
              <w:rPr>
                <w:rFonts w:ascii="Calibri" w:hAnsi="Calibri" w:cs="Calibri"/>
                <w:color w:val="000000"/>
                <w:sz w:val="18"/>
                <w:szCs w:val="18"/>
              </w:rPr>
            </w:pPr>
            <w:r>
              <w:rPr>
                <w:rFonts w:ascii="Calibri" w:hAnsi="Calibri" w:cs="Calibri"/>
                <w:color w:val="000000"/>
                <w:sz w:val="18"/>
                <w:szCs w:val="18"/>
              </w:rPr>
              <w:t>To seek PBAC advice on the appropriateness of the current prior</w:t>
            </w:r>
            <w:r>
              <w:rPr>
                <w:rFonts w:ascii="Calibri" w:hAnsi="Calibri" w:cs="Calibri"/>
                <w:color w:val="000000"/>
                <w:sz w:val="18"/>
                <w:szCs w:val="18"/>
              </w:rPr>
              <w:noBreakHyphen/>
              <w:t>therapy requirements specified in the PBS listings for adalimumab and infliximab for the treatment of paediatric patients with Crohn disease and ulcerative colitis, and to seek advice on matters relating to the administration of these PBS listings.</w:t>
            </w:r>
          </w:p>
        </w:tc>
        <w:tc>
          <w:tcPr>
            <w:tcW w:w="1415" w:type="dxa"/>
            <w:vAlign w:val="center"/>
          </w:tcPr>
          <w:p w14:paraId="48562063" w14:textId="5ED0C630" w:rsidR="00D664AB" w:rsidRDefault="00D664AB" w:rsidP="00D664AB">
            <w:pPr>
              <w:ind w:left="11"/>
              <w:contextualSpacing/>
              <w:jc w:val="center"/>
              <w:rPr>
                <w:rFonts w:ascii="Calibri" w:hAnsi="Calibri" w:cs="Calibri"/>
                <w:color w:val="000000"/>
                <w:sz w:val="18"/>
                <w:szCs w:val="18"/>
              </w:rPr>
            </w:pPr>
            <w:r>
              <w:rPr>
                <w:rFonts w:ascii="Calibri" w:hAnsi="Calibri" w:cs="Calibri"/>
                <w:color w:val="000000"/>
                <w:sz w:val="18"/>
                <w:szCs w:val="18"/>
              </w:rPr>
              <w:t>Advice Provided</w:t>
            </w:r>
          </w:p>
        </w:tc>
        <w:tc>
          <w:tcPr>
            <w:tcW w:w="4729" w:type="dxa"/>
            <w:vAlign w:val="center"/>
          </w:tcPr>
          <w:p w14:paraId="02069290" w14:textId="77777777" w:rsidR="00B07454" w:rsidRPr="00B07454" w:rsidRDefault="00B07454" w:rsidP="00B07454">
            <w:pPr>
              <w:ind w:left="11"/>
              <w:contextualSpacing/>
              <w:rPr>
                <w:rFonts w:ascii="Calibri" w:hAnsi="Calibri" w:cs="Calibri"/>
                <w:color w:val="000000"/>
                <w:sz w:val="18"/>
                <w:szCs w:val="18"/>
              </w:rPr>
            </w:pPr>
            <w:r w:rsidRPr="00B07454">
              <w:rPr>
                <w:rFonts w:ascii="Calibri" w:hAnsi="Calibri" w:cs="Calibri"/>
                <w:color w:val="000000"/>
                <w:sz w:val="18"/>
                <w:szCs w:val="18"/>
              </w:rPr>
              <w:t>The PBAC recommended that the PBS listings for adalimumab and infliximab intravenous infusion for paediatric patients with severe, and moderate to severe Crohn disease respectively, be amended to allow children with high-risk disease (at high-risk of complicated disease) to receive subsidised treatment without first having to trial conventional therapies. This recommendation was on the basis that the PBAC was satisfied that there was sufficient evidence, including support from European clinical guidelines, that first line therapy with adalimumab or infliximab results in improved outcomes in children with high-risk Crohn disease compared to initial treatment with conventional therapies.</w:t>
            </w:r>
          </w:p>
          <w:p w14:paraId="513155E9" w14:textId="77777777" w:rsidR="00B07454" w:rsidRPr="00B07454" w:rsidRDefault="00B07454" w:rsidP="00B07454">
            <w:pPr>
              <w:ind w:left="11"/>
              <w:contextualSpacing/>
              <w:rPr>
                <w:rFonts w:ascii="Calibri" w:hAnsi="Calibri" w:cs="Calibri"/>
                <w:color w:val="000000"/>
                <w:sz w:val="18"/>
                <w:szCs w:val="18"/>
              </w:rPr>
            </w:pPr>
          </w:p>
          <w:p w14:paraId="6CB99CF1" w14:textId="77777777" w:rsidR="00B07454" w:rsidRPr="00B07454" w:rsidRDefault="00B07454" w:rsidP="00B07454">
            <w:pPr>
              <w:ind w:left="11"/>
              <w:contextualSpacing/>
              <w:rPr>
                <w:rFonts w:ascii="Calibri" w:hAnsi="Calibri" w:cs="Calibri"/>
                <w:color w:val="000000"/>
                <w:sz w:val="18"/>
                <w:szCs w:val="18"/>
              </w:rPr>
            </w:pPr>
            <w:r w:rsidRPr="00B07454">
              <w:rPr>
                <w:rFonts w:ascii="Calibri" w:hAnsi="Calibri" w:cs="Calibri"/>
                <w:color w:val="000000"/>
                <w:sz w:val="18"/>
                <w:szCs w:val="18"/>
              </w:rPr>
              <w:t>The PBAC advised that the current PBS prior therapy requirements for infliximab and adalimumab are broadly aligned with clinical guidelines for paediatric patients with Crohn disease (not at high-risk of complicated disease) and ulcerative colitis and that that no change to the prior therapy requirements for these patient groups were required at this time.</w:t>
            </w:r>
          </w:p>
          <w:p w14:paraId="27C6BD77" w14:textId="77777777" w:rsidR="00B07454" w:rsidRPr="00B07454" w:rsidRDefault="00B07454" w:rsidP="00B07454">
            <w:pPr>
              <w:ind w:left="11"/>
              <w:contextualSpacing/>
              <w:rPr>
                <w:rFonts w:ascii="Calibri" w:hAnsi="Calibri" w:cs="Calibri"/>
                <w:color w:val="000000"/>
                <w:sz w:val="18"/>
                <w:szCs w:val="18"/>
              </w:rPr>
            </w:pPr>
          </w:p>
          <w:p w14:paraId="0E5F5813" w14:textId="77777777" w:rsidR="00B07454" w:rsidRPr="00B07454" w:rsidRDefault="00B07454" w:rsidP="00B07454">
            <w:pPr>
              <w:ind w:left="11"/>
              <w:contextualSpacing/>
              <w:rPr>
                <w:rFonts w:ascii="Calibri" w:hAnsi="Calibri" w:cs="Calibri"/>
                <w:color w:val="000000"/>
                <w:sz w:val="18"/>
                <w:szCs w:val="18"/>
              </w:rPr>
            </w:pPr>
            <w:r w:rsidRPr="00B07454">
              <w:rPr>
                <w:rFonts w:ascii="Calibri" w:hAnsi="Calibri" w:cs="Calibri"/>
                <w:color w:val="000000"/>
                <w:sz w:val="18"/>
                <w:szCs w:val="18"/>
              </w:rPr>
              <w:t xml:space="preserve">The PBAC acknowledged and welcomed joint input from stakeholder groups Crohn’s and Colitis Australia and the Gastroenterological Society of Australia, outlining recommendations to revise PBS listings for adalimumab and infliximab to follow current evidence-based protocols for the treatment of children with Crohn disease and ulcerative colitis. The PBAC acknowledged the consumer input provided by the stakeholder, including statements from </w:t>
            </w:r>
            <w:r w:rsidRPr="00B07454">
              <w:rPr>
                <w:rFonts w:ascii="Calibri" w:hAnsi="Calibri" w:cs="Calibri"/>
                <w:bCs/>
                <w:color w:val="000000"/>
                <w:sz w:val="18"/>
                <w:szCs w:val="18"/>
              </w:rPr>
              <w:t>families of young people with IBD</w:t>
            </w:r>
            <w:r w:rsidRPr="00B07454">
              <w:rPr>
                <w:rFonts w:ascii="Calibri" w:hAnsi="Calibri" w:cs="Calibri"/>
                <w:color w:val="000000"/>
                <w:sz w:val="18"/>
                <w:szCs w:val="18"/>
              </w:rPr>
              <w:t xml:space="preserve"> with these diseases sharing their experiences with short and long-term symptoms and complications from standard treatments, as well as the negative mental and physical effects on the young person and their families. </w:t>
            </w:r>
          </w:p>
          <w:p w14:paraId="7AC27C35" w14:textId="77777777" w:rsidR="00B07454" w:rsidRPr="00B07454" w:rsidRDefault="00B07454" w:rsidP="00B07454">
            <w:pPr>
              <w:ind w:left="11"/>
              <w:contextualSpacing/>
              <w:rPr>
                <w:rFonts w:ascii="Calibri" w:hAnsi="Calibri" w:cs="Calibri"/>
                <w:color w:val="000000"/>
                <w:sz w:val="18"/>
                <w:szCs w:val="18"/>
              </w:rPr>
            </w:pPr>
          </w:p>
          <w:p w14:paraId="1223FD03" w14:textId="77777777" w:rsidR="00B07454" w:rsidRPr="00B07454" w:rsidRDefault="00B07454" w:rsidP="00B07454">
            <w:pPr>
              <w:ind w:left="11"/>
              <w:contextualSpacing/>
              <w:rPr>
                <w:rFonts w:ascii="Calibri" w:hAnsi="Calibri" w:cs="Calibri"/>
                <w:color w:val="000000"/>
                <w:sz w:val="18"/>
                <w:szCs w:val="18"/>
              </w:rPr>
            </w:pPr>
            <w:r w:rsidRPr="00B07454">
              <w:rPr>
                <w:rFonts w:ascii="Calibri" w:hAnsi="Calibri" w:cs="Calibri"/>
                <w:color w:val="000000"/>
                <w:sz w:val="18"/>
                <w:szCs w:val="18"/>
              </w:rPr>
              <w:t>The PBAC noted long term effects on growth, development and education in paediatric patients with delayed access to effective treatment. The PBAC noted that the cost of treatment with adalimumab and infliximab intravenous infusion is higher than standard medicines. The PBAC advised that first-line treatment for paediatric patients with CD at high-risk for complicated disease with adalimumab and infliximab intravenous infusion would be cost-effective at the current price.</w:t>
            </w:r>
          </w:p>
          <w:p w14:paraId="2B256217" w14:textId="67A8F595" w:rsidR="00D664AB" w:rsidRDefault="00D664AB" w:rsidP="00D664AB">
            <w:pPr>
              <w:ind w:left="11"/>
              <w:contextualSpacing/>
              <w:rPr>
                <w:rFonts w:ascii="Calibri" w:hAnsi="Calibri" w:cs="Calibri"/>
                <w:color w:val="000000"/>
                <w:sz w:val="18"/>
                <w:szCs w:val="18"/>
              </w:rPr>
            </w:pPr>
          </w:p>
        </w:tc>
      </w:tr>
      <w:tr w:rsidR="00C312E5" w:rsidRPr="00544E10" w14:paraId="0170203B" w14:textId="77777777" w:rsidTr="003921D1">
        <w:trPr>
          <w:cantSplit/>
          <w:trHeight w:val="868"/>
        </w:trPr>
        <w:tc>
          <w:tcPr>
            <w:tcW w:w="294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FDB1287" w14:textId="16D6FAD1" w:rsidR="00F853C3" w:rsidRDefault="00F853C3" w:rsidP="00F853C3">
            <w:pPr>
              <w:jc w:val="center"/>
              <w:rPr>
                <w:rFonts w:ascii="Calibri" w:hAnsi="Calibri" w:cs="Calibri"/>
                <w:color w:val="000000"/>
                <w:sz w:val="18"/>
                <w:szCs w:val="18"/>
              </w:rPr>
            </w:pPr>
            <w:r>
              <w:rPr>
                <w:rFonts w:ascii="Calibri" w:hAnsi="Calibri" w:cs="Calibri"/>
                <w:color w:val="000000"/>
                <w:sz w:val="18"/>
                <w:szCs w:val="18"/>
              </w:rPr>
              <w:t xml:space="preserve">Nurse Practitioner Prescribing under the Section 100 Highly Specialised Drugs Program and </w:t>
            </w:r>
            <w:proofErr w:type="spellStart"/>
            <w:r>
              <w:rPr>
                <w:rFonts w:ascii="Calibri" w:hAnsi="Calibri" w:cs="Calibri"/>
                <w:color w:val="000000"/>
                <w:sz w:val="18"/>
                <w:szCs w:val="18"/>
              </w:rPr>
              <w:t>bulevirtide</w:t>
            </w:r>
            <w:proofErr w:type="spellEnd"/>
            <w:r>
              <w:rPr>
                <w:rFonts w:ascii="Calibri" w:hAnsi="Calibri" w:cs="Calibri"/>
                <w:color w:val="000000"/>
                <w:sz w:val="18"/>
                <w:szCs w:val="18"/>
              </w:rPr>
              <w:br/>
            </w:r>
            <w:r>
              <w:rPr>
                <w:rFonts w:ascii="Calibri" w:hAnsi="Calibri" w:cs="Calibri"/>
                <w:color w:val="000000"/>
                <w:sz w:val="18"/>
                <w:szCs w:val="18"/>
              </w:rPr>
              <w:br/>
              <w:t xml:space="preserve">Various forms and strengths </w:t>
            </w:r>
            <w:r>
              <w:rPr>
                <w:rFonts w:ascii="Calibri" w:hAnsi="Calibri" w:cs="Calibri"/>
                <w:color w:val="000000"/>
                <w:sz w:val="18"/>
                <w:szCs w:val="18"/>
              </w:rPr>
              <w:br/>
            </w:r>
            <w:r>
              <w:rPr>
                <w:rFonts w:ascii="Calibri" w:hAnsi="Calibri" w:cs="Calibri"/>
                <w:color w:val="000000"/>
                <w:sz w:val="18"/>
                <w:szCs w:val="18"/>
              </w:rPr>
              <w:br/>
              <w:t>Various brands</w:t>
            </w:r>
            <w:r>
              <w:rPr>
                <w:rFonts w:ascii="Calibri" w:hAnsi="Calibri" w:cs="Calibri"/>
                <w:color w:val="000000"/>
                <w:sz w:val="18"/>
                <w:szCs w:val="18"/>
              </w:rPr>
              <w:br/>
            </w:r>
            <w:r>
              <w:rPr>
                <w:rFonts w:ascii="Calibri" w:hAnsi="Calibri" w:cs="Calibri"/>
                <w:color w:val="000000"/>
                <w:sz w:val="18"/>
                <w:szCs w:val="18"/>
              </w:rPr>
              <w:br/>
              <w:t>Various sponsors</w:t>
            </w:r>
            <w:r>
              <w:rPr>
                <w:rFonts w:ascii="Calibri" w:hAnsi="Calibri" w:cs="Calibri"/>
                <w:color w:val="000000"/>
                <w:sz w:val="18"/>
                <w:szCs w:val="18"/>
              </w:rPr>
              <w:br/>
            </w:r>
            <w:r>
              <w:rPr>
                <w:rFonts w:ascii="Calibri" w:hAnsi="Calibri" w:cs="Calibri"/>
                <w:color w:val="000000"/>
                <w:sz w:val="18"/>
                <w:szCs w:val="18"/>
              </w:rPr>
              <w:br/>
              <w:t>Other matters</w:t>
            </w:r>
            <w:r>
              <w:rPr>
                <w:rFonts w:ascii="Calibri" w:hAnsi="Calibri" w:cs="Calibri"/>
                <w:color w:val="000000"/>
                <w:sz w:val="18"/>
                <w:szCs w:val="18"/>
              </w:rPr>
              <w:br/>
              <w:t xml:space="preserve">(Change to existing listing) </w:t>
            </w:r>
          </w:p>
        </w:tc>
        <w:tc>
          <w:tcPr>
            <w:tcW w:w="1983" w:type="dxa"/>
            <w:tcBorders>
              <w:top w:val="single" w:sz="4" w:space="0" w:color="auto"/>
              <w:left w:val="single" w:sz="4" w:space="0" w:color="auto"/>
              <w:bottom w:val="single" w:sz="4" w:space="0" w:color="auto"/>
              <w:right w:val="single" w:sz="4" w:space="0" w:color="auto"/>
            </w:tcBorders>
            <w:vAlign w:val="center"/>
          </w:tcPr>
          <w:p w14:paraId="72629BE2" w14:textId="5060E869" w:rsidR="00F853C3" w:rsidRDefault="00F853C3" w:rsidP="00F853C3">
            <w:pPr>
              <w:jc w:val="center"/>
              <w:rPr>
                <w:rFonts w:ascii="Calibri" w:hAnsi="Calibri" w:cs="Calibri"/>
                <w:color w:val="000000"/>
                <w:sz w:val="18"/>
                <w:szCs w:val="18"/>
              </w:rPr>
            </w:pPr>
            <w:r>
              <w:rPr>
                <w:rFonts w:ascii="Calibri" w:hAnsi="Calibri" w:cs="Calibri"/>
                <w:color w:val="000000"/>
                <w:sz w:val="18"/>
                <w:szCs w:val="18"/>
              </w:rPr>
              <w:t>Various</w:t>
            </w:r>
          </w:p>
        </w:tc>
        <w:tc>
          <w:tcPr>
            <w:tcW w:w="238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C031AF2" w14:textId="30C0DEBC" w:rsidR="00F853C3" w:rsidRDefault="00F853C3" w:rsidP="00F853C3">
            <w:pPr>
              <w:jc w:val="center"/>
              <w:rPr>
                <w:rFonts w:ascii="Calibri" w:hAnsi="Calibri" w:cs="Calibri"/>
                <w:color w:val="000000"/>
                <w:sz w:val="18"/>
                <w:szCs w:val="18"/>
              </w:rPr>
            </w:pPr>
            <w:r>
              <w:rPr>
                <w:rFonts w:ascii="Calibri" w:hAnsi="Calibri" w:cs="Calibri"/>
                <w:color w:val="000000"/>
                <w:sz w:val="18"/>
                <w:szCs w:val="18"/>
              </w:rPr>
              <w:t>To request the PBAC’s review of the suitability of medicines within the listings</w:t>
            </w:r>
            <w:r>
              <w:rPr>
                <w:rFonts w:ascii="Calibri" w:hAnsi="Calibri" w:cs="Calibri"/>
                <w:color w:val="000000"/>
                <w:sz w:val="18"/>
                <w:szCs w:val="18"/>
              </w:rPr>
              <w:br/>
              <w:t>presented for designated Registered Nurse prescribing.</w:t>
            </w:r>
          </w:p>
        </w:tc>
        <w:tc>
          <w:tcPr>
            <w:tcW w:w="1415" w:type="dxa"/>
            <w:vAlign w:val="center"/>
          </w:tcPr>
          <w:p w14:paraId="2E2D9AD8" w14:textId="722D9CEC" w:rsidR="00F853C3" w:rsidRDefault="00F853C3" w:rsidP="00F853C3">
            <w:pPr>
              <w:ind w:left="11"/>
              <w:contextualSpacing/>
              <w:jc w:val="center"/>
              <w:rPr>
                <w:rFonts w:ascii="Calibri" w:hAnsi="Calibri" w:cs="Calibri"/>
                <w:color w:val="000000"/>
                <w:sz w:val="18"/>
                <w:szCs w:val="18"/>
              </w:rPr>
            </w:pPr>
            <w:r>
              <w:rPr>
                <w:rFonts w:ascii="Calibri" w:hAnsi="Calibri" w:cs="Calibri"/>
                <w:color w:val="000000"/>
                <w:sz w:val="18"/>
                <w:szCs w:val="18"/>
              </w:rPr>
              <w:t>Advice Provided</w:t>
            </w:r>
          </w:p>
        </w:tc>
        <w:tc>
          <w:tcPr>
            <w:tcW w:w="4729" w:type="dxa"/>
            <w:vAlign w:val="center"/>
          </w:tcPr>
          <w:p w14:paraId="269A1DA6" w14:textId="5AEA06A3" w:rsidR="00F853C3" w:rsidRPr="00021CD9" w:rsidRDefault="00F853C3" w:rsidP="00F853C3">
            <w:pPr>
              <w:ind w:left="11"/>
              <w:contextualSpacing/>
              <w:rPr>
                <w:rFonts w:ascii="Calibri" w:hAnsi="Calibri" w:cs="Calibri"/>
                <w:color w:val="000000"/>
                <w:sz w:val="18"/>
                <w:szCs w:val="18"/>
              </w:rPr>
            </w:pPr>
            <w:r>
              <w:rPr>
                <w:rFonts w:ascii="Calibri" w:hAnsi="Calibri" w:cs="Calibri"/>
                <w:color w:val="000000"/>
                <w:sz w:val="18"/>
                <w:szCs w:val="18"/>
              </w:rPr>
              <w:t>The PBAC recommended that in implementing the PBAC’s July 2022 recommendation for NP prescribing of erythropoietin stimulating agents and July 2025 recommendation for NP prescribing of iron chelating agents, it was appropriate that non-specialist medical practitioners be provided with prescribing rights for these medicines on an equivalent basis with authorised NPs – i.e., that non-specialist medical practitioners be able to prescribe initial and continuing treatment with these medicines without a requirement to obtain agreement from the treating specialist.</w:t>
            </w:r>
            <w:r>
              <w:rPr>
                <w:rFonts w:ascii="Calibri" w:hAnsi="Calibri" w:cs="Calibri"/>
                <w:color w:val="000000"/>
                <w:sz w:val="18"/>
                <w:szCs w:val="18"/>
              </w:rPr>
              <w:br/>
              <w:t xml:space="preserve">The PBAC recommended that its July 2025 recommendation for the listing of </w:t>
            </w:r>
            <w:proofErr w:type="spellStart"/>
            <w:r>
              <w:rPr>
                <w:rFonts w:ascii="Calibri" w:hAnsi="Calibri" w:cs="Calibri"/>
                <w:color w:val="000000"/>
                <w:sz w:val="18"/>
                <w:szCs w:val="18"/>
              </w:rPr>
              <w:t>bulevirtide</w:t>
            </w:r>
            <w:proofErr w:type="spellEnd"/>
            <w:r>
              <w:rPr>
                <w:rFonts w:ascii="Calibri" w:hAnsi="Calibri" w:cs="Calibri"/>
                <w:color w:val="000000"/>
                <w:sz w:val="18"/>
                <w:szCs w:val="18"/>
              </w:rPr>
              <w:t xml:space="preserve"> for the treatment of chronic hepatitis D infection should be amended to listing as a s100 HSD Community Access benefit only. The recommended restriction wording will remain unchanged.</w:t>
            </w:r>
          </w:p>
        </w:tc>
      </w:tr>
      <w:tr w:rsidR="00C312E5" w:rsidRPr="00544E10" w14:paraId="12CC0E32" w14:textId="77777777" w:rsidTr="003921D1">
        <w:trPr>
          <w:cantSplit/>
          <w:trHeight w:val="868"/>
        </w:trPr>
        <w:tc>
          <w:tcPr>
            <w:tcW w:w="294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86CD175" w14:textId="7F1C6765" w:rsidR="00B264D0" w:rsidRDefault="00B264D0" w:rsidP="00B264D0">
            <w:pPr>
              <w:jc w:val="center"/>
              <w:rPr>
                <w:rFonts w:ascii="Calibri" w:hAnsi="Calibri" w:cs="Calibri"/>
                <w:color w:val="000000"/>
                <w:sz w:val="18"/>
                <w:szCs w:val="18"/>
              </w:rPr>
            </w:pPr>
            <w:r>
              <w:rPr>
                <w:rFonts w:ascii="Calibri" w:hAnsi="Calibri" w:cs="Calibri"/>
                <w:color w:val="000000"/>
                <w:sz w:val="18"/>
                <w:szCs w:val="18"/>
              </w:rPr>
              <w:t>RACGP letter regarding PBAC recommendations for preservative-free (PF) ocular lubricants</w:t>
            </w:r>
            <w:r>
              <w:rPr>
                <w:rFonts w:ascii="Calibri" w:hAnsi="Calibri" w:cs="Calibri"/>
                <w:color w:val="000000"/>
                <w:sz w:val="18"/>
                <w:szCs w:val="18"/>
              </w:rPr>
              <w:br/>
            </w:r>
            <w:r>
              <w:rPr>
                <w:rFonts w:ascii="Calibri" w:hAnsi="Calibri" w:cs="Calibri"/>
                <w:color w:val="000000"/>
                <w:sz w:val="18"/>
                <w:szCs w:val="18"/>
              </w:rPr>
              <w:br/>
              <w:t>Various forms</w:t>
            </w:r>
            <w:r>
              <w:rPr>
                <w:rFonts w:ascii="Calibri" w:hAnsi="Calibri" w:cs="Calibri"/>
                <w:color w:val="000000"/>
                <w:sz w:val="18"/>
                <w:szCs w:val="18"/>
              </w:rPr>
              <w:br/>
            </w:r>
            <w:r>
              <w:rPr>
                <w:rFonts w:ascii="Calibri" w:hAnsi="Calibri" w:cs="Calibri"/>
                <w:color w:val="000000"/>
                <w:sz w:val="18"/>
                <w:szCs w:val="18"/>
              </w:rPr>
              <w:br/>
              <w:t>Various brands</w:t>
            </w:r>
            <w:r>
              <w:rPr>
                <w:rFonts w:ascii="Calibri" w:hAnsi="Calibri" w:cs="Calibri"/>
                <w:color w:val="000000"/>
                <w:sz w:val="18"/>
                <w:szCs w:val="18"/>
              </w:rPr>
              <w:br/>
            </w:r>
            <w:r>
              <w:rPr>
                <w:rFonts w:ascii="Calibri" w:hAnsi="Calibri" w:cs="Calibri"/>
                <w:color w:val="000000"/>
                <w:sz w:val="18"/>
                <w:szCs w:val="18"/>
              </w:rPr>
              <w:br/>
              <w:t>Various sponsors</w:t>
            </w:r>
            <w:r>
              <w:rPr>
                <w:rFonts w:ascii="Calibri" w:hAnsi="Calibri" w:cs="Calibri"/>
                <w:color w:val="000000"/>
                <w:sz w:val="18"/>
                <w:szCs w:val="18"/>
              </w:rPr>
              <w:br/>
            </w:r>
            <w:r>
              <w:rPr>
                <w:rFonts w:ascii="Calibri" w:hAnsi="Calibri" w:cs="Calibri"/>
                <w:color w:val="000000"/>
                <w:sz w:val="18"/>
                <w:szCs w:val="18"/>
              </w:rPr>
              <w:br/>
            </w:r>
            <w:r>
              <w:rPr>
                <w:rFonts w:ascii="Calibri" w:hAnsi="Calibri" w:cs="Calibri"/>
                <w:color w:val="000000"/>
                <w:sz w:val="18"/>
                <w:szCs w:val="18"/>
              </w:rPr>
              <w:br/>
              <w:t>(Other matters)</w:t>
            </w:r>
          </w:p>
        </w:tc>
        <w:tc>
          <w:tcPr>
            <w:tcW w:w="1983" w:type="dxa"/>
            <w:tcBorders>
              <w:top w:val="single" w:sz="4" w:space="0" w:color="auto"/>
              <w:left w:val="single" w:sz="4" w:space="0" w:color="auto"/>
              <w:bottom w:val="single" w:sz="4" w:space="0" w:color="auto"/>
              <w:right w:val="single" w:sz="4" w:space="0" w:color="auto"/>
            </w:tcBorders>
            <w:vAlign w:val="center"/>
          </w:tcPr>
          <w:p w14:paraId="01AC6347" w14:textId="7FB789C5" w:rsidR="00B264D0" w:rsidRDefault="00B264D0" w:rsidP="00B264D0">
            <w:pPr>
              <w:jc w:val="center"/>
              <w:rPr>
                <w:rFonts w:ascii="Calibri" w:hAnsi="Calibri" w:cs="Calibri"/>
                <w:color w:val="000000"/>
                <w:sz w:val="18"/>
                <w:szCs w:val="18"/>
              </w:rPr>
            </w:pPr>
            <w:r>
              <w:rPr>
                <w:rFonts w:ascii="Calibri" w:hAnsi="Calibri" w:cs="Calibri"/>
                <w:color w:val="000000"/>
                <w:sz w:val="18"/>
                <w:szCs w:val="18"/>
              </w:rPr>
              <w:t>Severe dry eye</w:t>
            </w:r>
          </w:p>
        </w:tc>
        <w:tc>
          <w:tcPr>
            <w:tcW w:w="238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D695250" w14:textId="3F2D42FA" w:rsidR="00B264D0" w:rsidRDefault="00B264D0" w:rsidP="00B264D0">
            <w:pPr>
              <w:jc w:val="center"/>
              <w:rPr>
                <w:rFonts w:ascii="Calibri" w:hAnsi="Calibri" w:cs="Calibri"/>
                <w:color w:val="000000"/>
                <w:sz w:val="18"/>
                <w:szCs w:val="18"/>
              </w:rPr>
            </w:pPr>
            <w:r>
              <w:rPr>
                <w:rFonts w:ascii="Calibri" w:hAnsi="Calibri" w:cs="Calibri"/>
                <w:color w:val="000000"/>
                <w:sz w:val="18"/>
                <w:szCs w:val="18"/>
              </w:rPr>
              <w:t>For the Pharmaceutical Benefits Advisory Committee (PBAC) to note the correspondence from the Royal Australian College of General Practitioners (RACGP) to the Department of Health, Disability and Aging, expressing opposition to the November 2025 PBAC recommendation to restrict Pharmaceutical Benefits Scheme (PBS) subsidy of preservative-free (PF) ocular lubricants to prescribing by eye specialists and optometrists and to remove general practitioners (GPs) as authorised prescribers of PF ocular lubricants and advise of any next steps resulting from this correspondence.</w:t>
            </w:r>
          </w:p>
        </w:tc>
        <w:tc>
          <w:tcPr>
            <w:tcW w:w="1415" w:type="dxa"/>
            <w:vAlign w:val="center"/>
          </w:tcPr>
          <w:p w14:paraId="5C87B7C1" w14:textId="466F46C3" w:rsidR="00B264D0" w:rsidRDefault="00B264D0" w:rsidP="00B264D0">
            <w:pPr>
              <w:ind w:left="11"/>
              <w:contextualSpacing/>
              <w:jc w:val="center"/>
              <w:rPr>
                <w:rFonts w:ascii="Calibri" w:hAnsi="Calibri" w:cs="Calibri"/>
                <w:color w:val="000000"/>
                <w:sz w:val="18"/>
                <w:szCs w:val="18"/>
              </w:rPr>
            </w:pPr>
            <w:r>
              <w:rPr>
                <w:rFonts w:ascii="Calibri" w:hAnsi="Calibri" w:cs="Calibri"/>
                <w:color w:val="000000"/>
                <w:sz w:val="18"/>
                <w:szCs w:val="18"/>
              </w:rPr>
              <w:t>Advice provided</w:t>
            </w:r>
          </w:p>
        </w:tc>
        <w:tc>
          <w:tcPr>
            <w:tcW w:w="4729" w:type="dxa"/>
            <w:vAlign w:val="center"/>
          </w:tcPr>
          <w:p w14:paraId="5DA15F26" w14:textId="35FA8DCB" w:rsidR="00B264D0" w:rsidRDefault="00B264D0" w:rsidP="00B264D0">
            <w:pPr>
              <w:ind w:left="11"/>
              <w:contextualSpacing/>
              <w:rPr>
                <w:rFonts w:ascii="Calibri" w:hAnsi="Calibri" w:cs="Calibri"/>
                <w:color w:val="000000"/>
                <w:sz w:val="18"/>
                <w:szCs w:val="18"/>
              </w:rPr>
            </w:pPr>
            <w:r>
              <w:rPr>
                <w:rFonts w:ascii="Calibri" w:hAnsi="Calibri" w:cs="Calibri"/>
                <w:color w:val="000000"/>
                <w:sz w:val="18"/>
                <w:szCs w:val="18"/>
              </w:rPr>
              <w:t>The PBAC considered correspondence from the Royal Australian College of General Practitioners (RACGP) which did not support the PBAC’s recommendation from November 2025 to restrict PBS prescribing of preservative free (PF) ocular lubricants to ophthalmologists and optometrists. The PBAC recalled that its November 2025 recommendation was consistent with previous clinical advice that ophthalmologists and optometrists are the most appropriate practitioners to diagnose severe dry eye disease and determine the need for PF ocular lubricants. The PBAC noted the RACGP’s advice that general practitioners (GPs) often provide care for patients with severe dry eye disease, particularly in regional, rural and remote areas where access to specialists may be limited. The RACGP considered that restricting prescribing only to specialists could negatively impact for access these patients. The PBAC rescinded its November 2025 recommendation to change prescribing arrangements and instead supported progressing Option 1 from the Utilisation analysis and financial estimates for potential changes to the restrictions for PBS listings of ocular lubricants in patients with severe dry eye (the Report):</w:t>
            </w:r>
            <w:r>
              <w:rPr>
                <w:rFonts w:ascii="Calibri" w:hAnsi="Calibri" w:cs="Calibri"/>
                <w:color w:val="000000"/>
                <w:sz w:val="18"/>
                <w:szCs w:val="18"/>
              </w:rPr>
              <w:br/>
              <w:t xml:space="preserve">Option 1: Changing the restriction level for PF ocular lubricants to align with preservative containing (PC) ocular lubricants, with an accompanying price reduction. The report modelled low, medium and high constraint scenarios to maintain overall budget neutrality relative to the projected growth in expenditure on PBS-listed ocular lubricants. </w:t>
            </w:r>
            <w:r>
              <w:rPr>
                <w:rFonts w:ascii="Calibri" w:hAnsi="Calibri" w:cs="Calibri"/>
                <w:color w:val="000000"/>
                <w:sz w:val="18"/>
                <w:szCs w:val="18"/>
              </w:rPr>
              <w:br/>
            </w:r>
            <w:r>
              <w:rPr>
                <w:rFonts w:ascii="Calibri" w:hAnsi="Calibri" w:cs="Calibri"/>
                <w:color w:val="000000"/>
                <w:sz w:val="18"/>
                <w:szCs w:val="18"/>
              </w:rPr>
              <w:br/>
              <w:t>The PBAC noted the ongoing price divergence between PF and preservative containing (PC) ocular lubricants, which has emerged despite the original cost minimisation intent and increasing utilisation of PF products. The PBAC recommended that the Department seek to negotiate a reduction in the price of PF ocular lubricants to support the low budget neutrality constraint option from the Report. Subject to agreement of an acceptable price reduction, the PBAC recommended that the restriction level for PF ocular lubricant PBS listings be amended from Authority Required (Streamlined) to Restricted Benefit to align with PC ocular lubricants. The PBAC further advised that, should negotiations not result in an acceptable price reduction, the Committee would be of a mind to recommend a change to the authority requirements for PF ocular lubricants from Authority Required (Streamlined) to Authority Required (Telephone/Online) to support management of PBS utilisation and expenditure.</w:t>
            </w:r>
          </w:p>
        </w:tc>
      </w:tr>
      <w:tr w:rsidR="00C312E5" w:rsidRPr="00544E10" w14:paraId="059B1BF2" w14:textId="77777777" w:rsidTr="003921D1">
        <w:trPr>
          <w:cantSplit/>
          <w:trHeight w:val="868"/>
        </w:trPr>
        <w:tc>
          <w:tcPr>
            <w:tcW w:w="294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414E18D" w14:textId="39E94615" w:rsidR="002B12A6" w:rsidRDefault="002B12A6" w:rsidP="002B12A6">
            <w:pPr>
              <w:jc w:val="center"/>
              <w:rPr>
                <w:rFonts w:ascii="Calibri" w:hAnsi="Calibri" w:cs="Calibri"/>
                <w:color w:val="000000"/>
                <w:sz w:val="18"/>
                <w:szCs w:val="18"/>
              </w:rPr>
            </w:pPr>
            <w:r>
              <w:rPr>
                <w:rFonts w:ascii="Calibri" w:hAnsi="Calibri" w:cs="Calibri"/>
                <w:color w:val="000000"/>
                <w:sz w:val="18"/>
                <w:szCs w:val="18"/>
              </w:rPr>
              <w:t>Review of designated Registered Nurse prescribing</w:t>
            </w:r>
            <w:r>
              <w:rPr>
                <w:rFonts w:ascii="Calibri" w:hAnsi="Calibri" w:cs="Calibri"/>
                <w:color w:val="000000"/>
                <w:sz w:val="18"/>
                <w:szCs w:val="18"/>
              </w:rPr>
              <w:br/>
            </w:r>
            <w:r>
              <w:rPr>
                <w:rFonts w:ascii="Calibri" w:hAnsi="Calibri" w:cs="Calibri"/>
                <w:color w:val="000000"/>
                <w:sz w:val="18"/>
                <w:szCs w:val="18"/>
              </w:rPr>
              <w:br/>
              <w:t>Various forms and strengths</w:t>
            </w:r>
            <w:r>
              <w:rPr>
                <w:rFonts w:ascii="Calibri" w:hAnsi="Calibri" w:cs="Calibri"/>
                <w:color w:val="000000"/>
                <w:sz w:val="18"/>
                <w:szCs w:val="18"/>
              </w:rPr>
              <w:br/>
            </w:r>
            <w:r>
              <w:rPr>
                <w:rFonts w:ascii="Calibri" w:hAnsi="Calibri" w:cs="Calibri"/>
                <w:color w:val="000000"/>
                <w:sz w:val="18"/>
                <w:szCs w:val="18"/>
              </w:rPr>
              <w:br/>
              <w:t>Various brands</w:t>
            </w:r>
            <w:r>
              <w:rPr>
                <w:rFonts w:ascii="Calibri" w:hAnsi="Calibri" w:cs="Calibri"/>
                <w:color w:val="000000"/>
                <w:sz w:val="18"/>
                <w:szCs w:val="18"/>
              </w:rPr>
              <w:br/>
            </w:r>
            <w:r>
              <w:rPr>
                <w:rFonts w:ascii="Calibri" w:hAnsi="Calibri" w:cs="Calibri"/>
                <w:color w:val="000000"/>
                <w:sz w:val="18"/>
                <w:szCs w:val="18"/>
              </w:rPr>
              <w:br/>
              <w:t>Various sponsors</w:t>
            </w:r>
            <w:r>
              <w:rPr>
                <w:rFonts w:ascii="Calibri" w:hAnsi="Calibri" w:cs="Calibri"/>
                <w:color w:val="000000"/>
                <w:sz w:val="18"/>
                <w:szCs w:val="18"/>
              </w:rPr>
              <w:br/>
            </w:r>
            <w:r>
              <w:rPr>
                <w:rFonts w:ascii="Calibri" w:hAnsi="Calibri" w:cs="Calibri"/>
                <w:color w:val="000000"/>
                <w:sz w:val="18"/>
                <w:szCs w:val="18"/>
              </w:rPr>
              <w:br/>
            </w:r>
            <w:r>
              <w:rPr>
                <w:rFonts w:ascii="Calibri" w:hAnsi="Calibri" w:cs="Calibri"/>
                <w:color w:val="000000"/>
                <w:sz w:val="18"/>
                <w:szCs w:val="18"/>
              </w:rPr>
              <w:br/>
              <w:t>Other matters</w:t>
            </w:r>
          </w:p>
        </w:tc>
        <w:tc>
          <w:tcPr>
            <w:tcW w:w="1983" w:type="dxa"/>
            <w:tcBorders>
              <w:top w:val="single" w:sz="4" w:space="0" w:color="auto"/>
              <w:left w:val="single" w:sz="4" w:space="0" w:color="auto"/>
              <w:bottom w:val="single" w:sz="4" w:space="0" w:color="auto"/>
              <w:right w:val="single" w:sz="4" w:space="0" w:color="auto"/>
            </w:tcBorders>
            <w:vAlign w:val="center"/>
          </w:tcPr>
          <w:p w14:paraId="201DB43E" w14:textId="45325B1C" w:rsidR="002B12A6" w:rsidRDefault="002B12A6" w:rsidP="002B12A6">
            <w:pPr>
              <w:jc w:val="center"/>
              <w:rPr>
                <w:rFonts w:ascii="Calibri" w:hAnsi="Calibri" w:cs="Calibri"/>
                <w:color w:val="000000"/>
                <w:sz w:val="18"/>
                <w:szCs w:val="18"/>
              </w:rPr>
            </w:pPr>
            <w:r>
              <w:rPr>
                <w:rFonts w:ascii="Calibri" w:hAnsi="Calibri" w:cs="Calibri"/>
                <w:color w:val="000000"/>
                <w:sz w:val="18"/>
                <w:szCs w:val="18"/>
              </w:rPr>
              <w:t>Various conditions</w:t>
            </w:r>
          </w:p>
        </w:tc>
        <w:tc>
          <w:tcPr>
            <w:tcW w:w="238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E987615" w14:textId="37DE25F4" w:rsidR="002B12A6" w:rsidRDefault="002B12A6" w:rsidP="002B12A6">
            <w:pPr>
              <w:jc w:val="center"/>
              <w:rPr>
                <w:rFonts w:ascii="Calibri" w:hAnsi="Calibri" w:cs="Calibri"/>
                <w:color w:val="000000"/>
                <w:sz w:val="18"/>
                <w:szCs w:val="18"/>
              </w:rPr>
            </w:pPr>
            <w:r>
              <w:rPr>
                <w:rFonts w:ascii="Calibri" w:hAnsi="Calibri" w:cs="Calibri"/>
                <w:color w:val="000000"/>
                <w:sz w:val="18"/>
                <w:szCs w:val="18"/>
              </w:rPr>
              <w:t>To request the PBAC’s review of the suitability of medicines within the listings presented for designated Registered Nurse prescribing.</w:t>
            </w:r>
          </w:p>
        </w:tc>
        <w:tc>
          <w:tcPr>
            <w:tcW w:w="1415" w:type="dxa"/>
            <w:vAlign w:val="center"/>
          </w:tcPr>
          <w:p w14:paraId="29F6C904" w14:textId="6062C0E1" w:rsidR="002B12A6" w:rsidRDefault="002B12A6" w:rsidP="002B12A6">
            <w:pPr>
              <w:ind w:left="11"/>
              <w:contextualSpacing/>
              <w:jc w:val="center"/>
              <w:rPr>
                <w:rFonts w:ascii="Calibri" w:hAnsi="Calibri" w:cs="Calibri"/>
                <w:color w:val="000000"/>
                <w:sz w:val="18"/>
                <w:szCs w:val="18"/>
              </w:rPr>
            </w:pPr>
            <w:r>
              <w:rPr>
                <w:rFonts w:ascii="Calibri" w:hAnsi="Calibri" w:cs="Calibri"/>
                <w:color w:val="000000"/>
                <w:sz w:val="18"/>
                <w:szCs w:val="18"/>
              </w:rPr>
              <w:t>Noted</w:t>
            </w:r>
          </w:p>
        </w:tc>
        <w:tc>
          <w:tcPr>
            <w:tcW w:w="4729" w:type="dxa"/>
            <w:vAlign w:val="center"/>
          </w:tcPr>
          <w:p w14:paraId="7B8A5991" w14:textId="478E5D44" w:rsidR="002B12A6" w:rsidRDefault="002B12A6" w:rsidP="002B12A6">
            <w:pPr>
              <w:ind w:left="11"/>
              <w:contextualSpacing/>
              <w:rPr>
                <w:rFonts w:ascii="Calibri" w:hAnsi="Calibri" w:cs="Calibri"/>
                <w:color w:val="000000"/>
                <w:sz w:val="18"/>
                <w:szCs w:val="18"/>
              </w:rPr>
            </w:pPr>
            <w:r>
              <w:rPr>
                <w:rFonts w:ascii="Calibri" w:hAnsi="Calibri" w:cs="Calibri"/>
                <w:color w:val="000000"/>
                <w:sz w:val="18"/>
                <w:szCs w:val="18"/>
              </w:rPr>
              <w:t>The Pharmaceutical Benefits Advisory Committee (PBAC) considered how the Pharmaceutical Benefits Scheme (PBS) could safely support prescribing by designated registered nurse (RN) prescribers. The PBAC advised that proposed medicine lists presented for consideration should be grouped by pharmacological class or by anatomical therapeutic chemical classification (ATC code) to facilitate consistent decision making. The PBAC noted a revised timeline for review of PBS listings for designated (RN) prescribing and agreed to provide advice at subsequent meetings.</w:t>
            </w:r>
          </w:p>
        </w:tc>
      </w:tr>
    </w:tbl>
    <w:p w14:paraId="5491529D" w14:textId="79B8F7BB" w:rsidR="005E16D4" w:rsidRDefault="005E16D4" w:rsidP="00E71941">
      <w:pPr>
        <w:spacing w:after="0" w:line="240" w:lineRule="auto"/>
        <w:ind w:right="645"/>
        <w:jc w:val="both"/>
        <w:textAlignment w:val="baseline"/>
        <w:rPr>
          <w:rFonts w:eastAsia="Times New Roman" w:cs="Arial"/>
          <w:color w:val="000000"/>
          <w:kern w:val="0"/>
          <w:szCs w:val="20"/>
          <w:lang w:eastAsia="en-AU"/>
          <w14:ligatures w14:val="none"/>
        </w:rPr>
      </w:pPr>
    </w:p>
    <w:p w14:paraId="4804BEF6" w14:textId="77777777" w:rsidR="005E16D4" w:rsidRDefault="005E16D4">
      <w:pPr>
        <w:rPr>
          <w:rFonts w:eastAsia="Times New Roman" w:cs="Arial"/>
          <w:color w:val="000000"/>
          <w:kern w:val="0"/>
          <w:szCs w:val="20"/>
          <w:lang w:eastAsia="en-AU"/>
          <w14:ligatures w14:val="none"/>
        </w:rPr>
      </w:pPr>
      <w:r>
        <w:rPr>
          <w:rFonts w:eastAsia="Times New Roman" w:cs="Arial"/>
          <w:color w:val="000000"/>
          <w:kern w:val="0"/>
          <w:szCs w:val="20"/>
          <w:lang w:eastAsia="en-AU"/>
          <w14:ligatures w14:val="none"/>
        </w:rPr>
        <w:br w:type="page"/>
      </w:r>
    </w:p>
    <w:p w14:paraId="192A2A4E" w14:textId="15620DCB" w:rsidR="009B16DE" w:rsidRDefault="009B16DE" w:rsidP="00BB4D86">
      <w:pPr>
        <w:spacing w:after="0" w:line="240" w:lineRule="auto"/>
        <w:ind w:right="645"/>
        <w:jc w:val="both"/>
        <w:textAlignment w:val="baseline"/>
      </w:pPr>
    </w:p>
    <w:tbl>
      <w:tblPr>
        <w:tblpPr w:leftFromText="180" w:rightFromText="180" w:vertAnchor="text" w:tblpXSpec="center" w:tblpY="1"/>
        <w:tblOverlap w:val="never"/>
        <w:tblW w:w="13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28" w:type="dxa"/>
        </w:tblCellMar>
        <w:tblLook w:val="01E0" w:firstRow="1" w:lastRow="1" w:firstColumn="1" w:lastColumn="1" w:noHBand="0" w:noVBand="0"/>
      </w:tblPr>
      <w:tblGrid>
        <w:gridCol w:w="3417"/>
        <w:gridCol w:w="1919"/>
        <w:gridCol w:w="2739"/>
        <w:gridCol w:w="5387"/>
      </w:tblGrid>
      <w:tr w:rsidR="00924624" w:rsidRPr="00544E10" w14:paraId="64A32E50" w14:textId="77777777" w:rsidTr="003D3CC4">
        <w:trPr>
          <w:cantSplit/>
          <w:trHeight w:val="300"/>
          <w:tblHeader/>
        </w:trPr>
        <w:tc>
          <w:tcPr>
            <w:tcW w:w="3417" w:type="dxa"/>
            <w:tcMar>
              <w:top w:w="28" w:type="dxa"/>
              <w:bottom w:w="28" w:type="dxa"/>
            </w:tcMar>
            <w:vAlign w:val="center"/>
          </w:tcPr>
          <w:p w14:paraId="122F62D4" w14:textId="77777777" w:rsidR="009B16DE" w:rsidRPr="00544E10" w:rsidRDefault="009B16DE">
            <w:pPr>
              <w:keepLines/>
              <w:widowControl w:val="0"/>
              <w:ind w:right="-106"/>
              <w:jc w:val="center"/>
              <w:rPr>
                <w:rFonts w:asciiTheme="minorHAnsi" w:hAnsiTheme="minorHAnsi" w:cstheme="minorHAnsi"/>
                <w:b/>
                <w:sz w:val="18"/>
                <w:szCs w:val="18"/>
              </w:rPr>
            </w:pPr>
            <w:r w:rsidRPr="00544E10">
              <w:rPr>
                <w:rFonts w:asciiTheme="minorHAnsi" w:hAnsiTheme="minorHAnsi" w:cstheme="minorHAnsi"/>
                <w:b/>
                <w:sz w:val="18"/>
                <w:szCs w:val="18"/>
              </w:rPr>
              <w:t>DRUG NAME, FORM(S), STRENGTH(S), SPONSOR, TYPE OF SUBMISSION</w:t>
            </w:r>
          </w:p>
        </w:tc>
        <w:tc>
          <w:tcPr>
            <w:tcW w:w="1919" w:type="dxa"/>
            <w:tcMar>
              <w:top w:w="28" w:type="dxa"/>
              <w:bottom w:w="28" w:type="dxa"/>
            </w:tcMar>
            <w:vAlign w:val="center"/>
          </w:tcPr>
          <w:p w14:paraId="3EEF1AA9" w14:textId="77777777" w:rsidR="009B16DE" w:rsidRPr="00544E10" w:rsidRDefault="009B16DE">
            <w:pPr>
              <w:keepLines/>
              <w:widowControl w:val="0"/>
              <w:jc w:val="center"/>
              <w:rPr>
                <w:rFonts w:asciiTheme="minorHAnsi" w:hAnsiTheme="minorHAnsi" w:cstheme="minorHAnsi"/>
                <w:b/>
                <w:snapToGrid w:val="0"/>
                <w:sz w:val="18"/>
                <w:szCs w:val="18"/>
              </w:rPr>
            </w:pPr>
            <w:r w:rsidRPr="00544E10">
              <w:rPr>
                <w:rFonts w:asciiTheme="minorHAnsi" w:hAnsiTheme="minorHAnsi" w:cstheme="minorHAnsi"/>
                <w:b/>
                <w:snapToGrid w:val="0"/>
                <w:sz w:val="18"/>
                <w:szCs w:val="18"/>
              </w:rPr>
              <w:t>DRUG TYPE AND USE</w:t>
            </w:r>
          </w:p>
        </w:tc>
        <w:tc>
          <w:tcPr>
            <w:tcW w:w="2739" w:type="dxa"/>
            <w:tcMar>
              <w:top w:w="28" w:type="dxa"/>
              <w:bottom w:w="28" w:type="dxa"/>
            </w:tcMar>
            <w:vAlign w:val="center"/>
          </w:tcPr>
          <w:p w14:paraId="75DE8F59" w14:textId="77777777" w:rsidR="009B16DE" w:rsidRPr="00544E10" w:rsidRDefault="009B16DE">
            <w:pPr>
              <w:keepLines/>
              <w:widowControl w:val="0"/>
              <w:jc w:val="center"/>
              <w:rPr>
                <w:rFonts w:asciiTheme="minorHAnsi" w:hAnsiTheme="minorHAnsi" w:cstheme="minorHAnsi"/>
                <w:b/>
                <w:snapToGrid w:val="0"/>
                <w:sz w:val="18"/>
                <w:szCs w:val="18"/>
              </w:rPr>
            </w:pPr>
            <w:r w:rsidRPr="00544E10">
              <w:rPr>
                <w:rFonts w:asciiTheme="minorHAnsi" w:hAnsiTheme="minorHAnsi" w:cstheme="minorHAnsi"/>
                <w:b/>
                <w:snapToGrid w:val="0"/>
                <w:sz w:val="18"/>
                <w:szCs w:val="18"/>
              </w:rPr>
              <w:t>LISTING REQUESTED BY SPONSOR / PURPOSE OF SUBMISSION</w:t>
            </w:r>
          </w:p>
        </w:tc>
        <w:tc>
          <w:tcPr>
            <w:tcW w:w="5387" w:type="dxa"/>
            <w:vAlign w:val="center"/>
          </w:tcPr>
          <w:p w14:paraId="762E2DE2" w14:textId="77777777" w:rsidR="009B16DE" w:rsidRPr="00544E10" w:rsidRDefault="009B16DE">
            <w:pPr>
              <w:pStyle w:val="Header"/>
              <w:keepLines/>
              <w:jc w:val="center"/>
              <w:rPr>
                <w:rFonts w:asciiTheme="minorHAnsi" w:hAnsiTheme="minorHAnsi" w:cstheme="minorHAnsi"/>
                <w:b/>
                <w:bCs/>
                <w:snapToGrid w:val="0"/>
                <w:sz w:val="18"/>
                <w:szCs w:val="18"/>
              </w:rPr>
            </w:pPr>
            <w:r w:rsidRPr="00544E10">
              <w:rPr>
                <w:rFonts w:asciiTheme="minorHAnsi" w:hAnsiTheme="minorHAnsi" w:cstheme="minorHAnsi"/>
                <w:b/>
                <w:bCs/>
                <w:snapToGrid w:val="0"/>
                <w:sz w:val="18"/>
                <w:szCs w:val="18"/>
              </w:rPr>
              <w:t>PBAC OUTCOME</w:t>
            </w:r>
          </w:p>
        </w:tc>
      </w:tr>
      <w:tr w:rsidR="00924624" w:rsidRPr="00544E10" w14:paraId="052E4900" w14:textId="77777777" w:rsidTr="003D3CC4">
        <w:trPr>
          <w:cantSplit/>
          <w:trHeight w:val="868"/>
        </w:trPr>
        <w:tc>
          <w:tcPr>
            <w:tcW w:w="341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3348C9A" w14:textId="46724C10" w:rsidR="005F21D6" w:rsidRPr="005F21D6" w:rsidRDefault="005F21D6" w:rsidP="005F21D6">
            <w:pPr>
              <w:jc w:val="center"/>
              <w:rPr>
                <w:rFonts w:asciiTheme="minorHAnsi" w:hAnsiTheme="minorHAnsi" w:cstheme="minorHAnsi"/>
                <w:color w:val="000000"/>
                <w:szCs w:val="20"/>
              </w:rPr>
            </w:pPr>
            <w:r w:rsidRPr="005F21D6">
              <w:rPr>
                <w:rFonts w:ascii="Calibri" w:hAnsi="Calibri" w:cs="Calibri"/>
                <w:color w:val="000000"/>
                <w:sz w:val="18"/>
                <w:szCs w:val="18"/>
              </w:rPr>
              <w:t>CABOZANTINIB</w:t>
            </w:r>
            <w:r w:rsidRPr="005F21D6">
              <w:rPr>
                <w:rFonts w:ascii="Calibri" w:hAnsi="Calibri" w:cs="Calibri"/>
                <w:color w:val="000000"/>
                <w:sz w:val="18"/>
                <w:szCs w:val="18"/>
              </w:rPr>
              <w:br/>
            </w:r>
            <w:r w:rsidRPr="005F21D6">
              <w:rPr>
                <w:rFonts w:ascii="Calibri" w:hAnsi="Calibri" w:cs="Calibri"/>
                <w:color w:val="000000"/>
                <w:sz w:val="18"/>
                <w:szCs w:val="18"/>
              </w:rPr>
              <w:br/>
              <w:t>Tablet 20 mg</w:t>
            </w:r>
            <w:r w:rsidRPr="005F21D6">
              <w:rPr>
                <w:rFonts w:ascii="Calibri" w:hAnsi="Calibri" w:cs="Calibri"/>
                <w:color w:val="000000"/>
                <w:sz w:val="18"/>
                <w:szCs w:val="18"/>
              </w:rPr>
              <w:br/>
              <w:t>Tablet 40 mg</w:t>
            </w:r>
            <w:r w:rsidRPr="005F21D6">
              <w:rPr>
                <w:rFonts w:ascii="Calibri" w:hAnsi="Calibri" w:cs="Calibri"/>
                <w:color w:val="000000"/>
                <w:sz w:val="18"/>
                <w:szCs w:val="18"/>
              </w:rPr>
              <w:br/>
            </w:r>
            <w:r w:rsidRPr="005F21D6">
              <w:rPr>
                <w:rFonts w:ascii="Calibri" w:hAnsi="Calibri" w:cs="Calibri"/>
                <w:color w:val="000000"/>
                <w:sz w:val="18"/>
                <w:szCs w:val="18"/>
              </w:rPr>
              <w:br/>
            </w:r>
            <w:proofErr w:type="spellStart"/>
            <w:r w:rsidRPr="005F21D6">
              <w:rPr>
                <w:rFonts w:ascii="Calibri" w:hAnsi="Calibri" w:cs="Calibri"/>
                <w:color w:val="000000"/>
                <w:sz w:val="18"/>
                <w:szCs w:val="18"/>
              </w:rPr>
              <w:t>Cabometyx</w:t>
            </w:r>
            <w:proofErr w:type="spellEnd"/>
            <w:r w:rsidRPr="005F21D6">
              <w:rPr>
                <w:rFonts w:ascii="Calibri" w:hAnsi="Calibri" w:cs="Calibri"/>
                <w:color w:val="000000"/>
                <w:sz w:val="18"/>
                <w:szCs w:val="18"/>
              </w:rPr>
              <w:t>®</w:t>
            </w:r>
            <w:r w:rsidRPr="005F21D6">
              <w:rPr>
                <w:rFonts w:ascii="Calibri" w:hAnsi="Calibri" w:cs="Calibri"/>
                <w:color w:val="000000"/>
                <w:sz w:val="18"/>
                <w:szCs w:val="18"/>
              </w:rPr>
              <w:br/>
            </w:r>
            <w:r w:rsidRPr="005F21D6">
              <w:rPr>
                <w:rFonts w:ascii="Calibri" w:hAnsi="Calibri" w:cs="Calibri"/>
                <w:color w:val="000000"/>
                <w:sz w:val="18"/>
                <w:szCs w:val="18"/>
              </w:rPr>
              <w:br/>
              <w:t>IPSEN PTY LTD</w:t>
            </w:r>
            <w:r w:rsidRPr="005F21D6">
              <w:rPr>
                <w:rFonts w:ascii="Calibri" w:hAnsi="Calibri" w:cs="Calibri"/>
                <w:color w:val="000000"/>
                <w:szCs w:val="20"/>
              </w:rPr>
              <w:br/>
            </w:r>
            <w:r w:rsidRPr="005F21D6">
              <w:rPr>
                <w:rFonts w:ascii="Calibri" w:hAnsi="Calibri" w:cs="Calibri"/>
                <w:color w:val="000000"/>
                <w:szCs w:val="20"/>
              </w:rPr>
              <w:br/>
            </w:r>
            <w:r w:rsidRPr="005F21D6">
              <w:rPr>
                <w:rFonts w:ascii="Calibri" w:hAnsi="Calibri" w:cs="Calibri"/>
                <w:color w:val="000000"/>
                <w:sz w:val="18"/>
                <w:szCs w:val="18"/>
              </w:rPr>
              <w:t>(</w:t>
            </w:r>
            <w:r w:rsidRPr="005A52E5">
              <w:rPr>
                <w:rFonts w:ascii="Calibri" w:hAnsi="Calibri" w:cs="Calibri"/>
                <w:color w:val="000000"/>
                <w:sz w:val="18"/>
                <w:szCs w:val="18"/>
              </w:rPr>
              <w:t>Review of positive PBAC recommendations not accepted by applicants</w:t>
            </w:r>
            <w:r w:rsidRPr="005F21D6">
              <w:rPr>
                <w:rFonts w:ascii="Calibri" w:hAnsi="Calibri" w:cs="Calibri"/>
                <w:color w:val="000000"/>
                <w:sz w:val="18"/>
                <w:szCs w:val="18"/>
              </w:rPr>
              <w:t>)</w:t>
            </w:r>
          </w:p>
        </w:tc>
        <w:tc>
          <w:tcPr>
            <w:tcW w:w="1919" w:type="dxa"/>
            <w:tcBorders>
              <w:top w:val="single" w:sz="4" w:space="0" w:color="auto"/>
              <w:left w:val="single" w:sz="4" w:space="0" w:color="auto"/>
              <w:bottom w:val="single" w:sz="4" w:space="0" w:color="auto"/>
              <w:right w:val="single" w:sz="4" w:space="0" w:color="auto"/>
            </w:tcBorders>
            <w:vAlign w:val="center"/>
          </w:tcPr>
          <w:p w14:paraId="7202CC1B" w14:textId="1ED0E879" w:rsidR="005F21D6" w:rsidRPr="005F21D6" w:rsidRDefault="005F21D6" w:rsidP="005F21D6">
            <w:pPr>
              <w:jc w:val="center"/>
              <w:rPr>
                <w:rFonts w:asciiTheme="minorHAnsi" w:hAnsiTheme="minorHAnsi" w:cstheme="minorHAnsi"/>
                <w:color w:val="000000"/>
                <w:sz w:val="18"/>
                <w:szCs w:val="18"/>
              </w:rPr>
            </w:pPr>
            <w:r w:rsidRPr="005F21D6">
              <w:rPr>
                <w:rFonts w:ascii="Calibri" w:hAnsi="Calibri" w:cs="Calibri"/>
                <w:color w:val="000000"/>
                <w:sz w:val="18"/>
                <w:szCs w:val="18"/>
              </w:rPr>
              <w:t>Clear cell variant renal cell carcinoma</w:t>
            </w:r>
          </w:p>
        </w:tc>
        <w:tc>
          <w:tcPr>
            <w:tcW w:w="273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05D11AE" w14:textId="0E56DBD6" w:rsidR="005F21D6" w:rsidRPr="005F21D6" w:rsidRDefault="005F21D6" w:rsidP="005F21D6">
            <w:pPr>
              <w:jc w:val="center"/>
              <w:rPr>
                <w:rFonts w:asciiTheme="minorHAnsi" w:hAnsiTheme="minorHAnsi" w:cstheme="minorHAnsi"/>
                <w:color w:val="000000"/>
                <w:sz w:val="18"/>
                <w:szCs w:val="18"/>
              </w:rPr>
            </w:pPr>
            <w:r w:rsidRPr="005F21D6">
              <w:rPr>
                <w:rFonts w:ascii="Calibri" w:hAnsi="Calibri" w:cs="Calibri"/>
                <w:color w:val="000000"/>
                <w:sz w:val="18"/>
                <w:szCs w:val="18"/>
              </w:rPr>
              <w:t>To request the PBAC review its March 2024 recommendation that has not yet been accepted by the applicant.</w:t>
            </w:r>
          </w:p>
        </w:tc>
        <w:tc>
          <w:tcPr>
            <w:tcW w:w="5387" w:type="dxa"/>
            <w:vAlign w:val="center"/>
          </w:tcPr>
          <w:p w14:paraId="2B76FFFC" w14:textId="2B5E447F" w:rsidR="005F21D6" w:rsidRPr="002F2ABA" w:rsidRDefault="005F21D6" w:rsidP="005F21D6">
            <w:pPr>
              <w:ind w:left="11"/>
              <w:contextualSpacing/>
              <w:jc w:val="both"/>
              <w:rPr>
                <w:rFonts w:ascii="Calibri" w:hAnsi="Calibri" w:cs="Calibri"/>
                <w:color w:val="000000"/>
                <w:sz w:val="18"/>
                <w:szCs w:val="18"/>
              </w:rPr>
            </w:pPr>
            <w:r w:rsidRPr="002F2ABA">
              <w:rPr>
                <w:rFonts w:ascii="Calibri" w:hAnsi="Calibri" w:cs="Calibri"/>
                <w:color w:val="000000"/>
                <w:sz w:val="18"/>
                <w:szCs w:val="18"/>
              </w:rPr>
              <w:t xml:space="preserve">In </w:t>
            </w:r>
            <w:r w:rsidR="008D784F">
              <w:rPr>
                <w:rFonts w:ascii="Calibri" w:hAnsi="Calibri" w:cs="Calibri"/>
                <w:color w:val="000000"/>
                <w:sz w:val="18"/>
                <w:szCs w:val="18"/>
              </w:rPr>
              <w:t>March 2026</w:t>
            </w:r>
            <w:r w:rsidRPr="002F2ABA">
              <w:rPr>
                <w:rFonts w:ascii="Calibri" w:hAnsi="Calibri" w:cs="Calibri"/>
                <w:color w:val="000000"/>
                <w:sz w:val="18"/>
                <w:szCs w:val="18"/>
              </w:rPr>
              <w:t xml:space="preserve">, the PBAC extended its </w:t>
            </w:r>
            <w:r w:rsidR="00B13C6A">
              <w:rPr>
                <w:rFonts w:ascii="Calibri" w:hAnsi="Calibri" w:cs="Calibri"/>
                <w:color w:val="000000"/>
                <w:sz w:val="18"/>
                <w:szCs w:val="18"/>
              </w:rPr>
              <w:t>March 2024</w:t>
            </w:r>
            <w:r w:rsidRPr="002F2ABA">
              <w:rPr>
                <w:rFonts w:ascii="Calibri" w:hAnsi="Calibri" w:cs="Calibri"/>
                <w:color w:val="000000"/>
                <w:sz w:val="18"/>
                <w:szCs w:val="18"/>
              </w:rPr>
              <w:t xml:space="preserve"> recommendation for this drug for a further 12 months. </w:t>
            </w:r>
          </w:p>
          <w:p w14:paraId="60CBCAC1" w14:textId="0C978286" w:rsidR="005F21D6" w:rsidRPr="00544E10" w:rsidRDefault="005F21D6" w:rsidP="005F21D6">
            <w:pPr>
              <w:ind w:left="11"/>
              <w:contextualSpacing/>
              <w:jc w:val="both"/>
              <w:rPr>
                <w:rFonts w:asciiTheme="minorHAnsi" w:hAnsiTheme="minorHAnsi" w:cstheme="minorHAnsi"/>
                <w:color w:val="000000" w:themeColor="text1"/>
                <w:sz w:val="18"/>
                <w:szCs w:val="18"/>
              </w:rPr>
            </w:pPr>
          </w:p>
        </w:tc>
      </w:tr>
      <w:tr w:rsidR="00924624" w:rsidRPr="00544E10" w14:paraId="0178F3F5" w14:textId="77777777" w:rsidTr="003D3CC4">
        <w:trPr>
          <w:cantSplit/>
          <w:trHeight w:val="868"/>
        </w:trPr>
        <w:tc>
          <w:tcPr>
            <w:tcW w:w="341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C77B421" w14:textId="79BDC3B2" w:rsidR="008D784F" w:rsidRPr="00544E10" w:rsidRDefault="008D784F" w:rsidP="008D784F">
            <w:pPr>
              <w:jc w:val="center"/>
              <w:rPr>
                <w:rFonts w:asciiTheme="minorHAnsi" w:hAnsiTheme="minorHAnsi" w:cstheme="minorHAnsi"/>
                <w:color w:val="000000"/>
                <w:sz w:val="18"/>
                <w:szCs w:val="18"/>
              </w:rPr>
            </w:pPr>
            <w:r>
              <w:rPr>
                <w:rFonts w:ascii="Calibri" w:hAnsi="Calibri" w:cs="Calibri"/>
                <w:color w:val="000000"/>
                <w:sz w:val="18"/>
                <w:szCs w:val="18"/>
              </w:rPr>
              <w:t>HUMAN MENOPAUSAL GONADOTROPHIN</w:t>
            </w:r>
            <w:r>
              <w:rPr>
                <w:rFonts w:ascii="Calibri" w:hAnsi="Calibri" w:cs="Calibri"/>
                <w:color w:val="000000"/>
                <w:sz w:val="18"/>
                <w:szCs w:val="18"/>
              </w:rPr>
              <w:br/>
            </w:r>
            <w:r>
              <w:rPr>
                <w:rFonts w:ascii="Calibri" w:hAnsi="Calibri" w:cs="Calibri"/>
                <w:color w:val="000000"/>
                <w:sz w:val="18"/>
                <w:szCs w:val="18"/>
              </w:rPr>
              <w:br/>
              <w:t>Injection 600 I.U. in 0.96 mL pre-filled multi-dose pen</w:t>
            </w:r>
            <w:r>
              <w:rPr>
                <w:rFonts w:ascii="Calibri" w:hAnsi="Calibri" w:cs="Calibri"/>
                <w:color w:val="000000"/>
                <w:sz w:val="18"/>
                <w:szCs w:val="18"/>
              </w:rPr>
              <w:br/>
              <w:t>Injection 1200 I.U. in 1.92 mL pre-filled multi-dose pen</w:t>
            </w:r>
            <w:r>
              <w:rPr>
                <w:rFonts w:ascii="Calibri" w:hAnsi="Calibri" w:cs="Calibri"/>
                <w:color w:val="000000"/>
                <w:sz w:val="18"/>
                <w:szCs w:val="18"/>
              </w:rPr>
              <w:br/>
            </w:r>
            <w:r>
              <w:rPr>
                <w:rFonts w:ascii="Calibri" w:hAnsi="Calibri" w:cs="Calibri"/>
                <w:color w:val="000000"/>
                <w:sz w:val="18"/>
                <w:szCs w:val="18"/>
              </w:rPr>
              <w:br/>
            </w:r>
            <w:proofErr w:type="spellStart"/>
            <w:r>
              <w:rPr>
                <w:rFonts w:ascii="Calibri" w:hAnsi="Calibri" w:cs="Calibri"/>
                <w:color w:val="000000"/>
                <w:sz w:val="18"/>
                <w:szCs w:val="18"/>
              </w:rPr>
              <w:t>Menopur</w:t>
            </w:r>
            <w:proofErr w:type="spellEnd"/>
            <w:r>
              <w:rPr>
                <w:rFonts w:ascii="Calibri" w:hAnsi="Calibri" w:cs="Calibri"/>
                <w:color w:val="000000"/>
                <w:sz w:val="18"/>
                <w:szCs w:val="18"/>
              </w:rPr>
              <w:t>® 600</w:t>
            </w:r>
            <w:r>
              <w:rPr>
                <w:rFonts w:ascii="Calibri" w:hAnsi="Calibri" w:cs="Calibri"/>
                <w:color w:val="000000"/>
                <w:sz w:val="18"/>
                <w:szCs w:val="18"/>
              </w:rPr>
              <w:br/>
            </w:r>
            <w:proofErr w:type="spellStart"/>
            <w:r>
              <w:rPr>
                <w:rFonts w:ascii="Calibri" w:hAnsi="Calibri" w:cs="Calibri"/>
                <w:color w:val="000000"/>
                <w:sz w:val="18"/>
                <w:szCs w:val="18"/>
              </w:rPr>
              <w:t>Menopur</w:t>
            </w:r>
            <w:proofErr w:type="spellEnd"/>
            <w:r>
              <w:rPr>
                <w:rFonts w:ascii="Calibri" w:hAnsi="Calibri" w:cs="Calibri"/>
                <w:color w:val="000000"/>
                <w:sz w:val="18"/>
                <w:szCs w:val="18"/>
              </w:rPr>
              <w:t>® 1200</w:t>
            </w:r>
            <w:r>
              <w:rPr>
                <w:rFonts w:ascii="Calibri" w:hAnsi="Calibri" w:cs="Calibri"/>
                <w:color w:val="000000"/>
                <w:sz w:val="18"/>
                <w:szCs w:val="18"/>
              </w:rPr>
              <w:br/>
            </w:r>
            <w:r>
              <w:rPr>
                <w:rFonts w:ascii="Calibri" w:hAnsi="Calibri" w:cs="Calibri"/>
                <w:color w:val="000000"/>
                <w:sz w:val="18"/>
                <w:szCs w:val="18"/>
              </w:rPr>
              <w:br/>
              <w:t>FERRING PHARMACEUTICALS PTY LIMITED</w:t>
            </w:r>
            <w:r>
              <w:rPr>
                <w:rFonts w:ascii="Calibri" w:hAnsi="Calibri" w:cs="Calibri"/>
                <w:color w:val="000000"/>
                <w:sz w:val="18"/>
                <w:szCs w:val="18"/>
              </w:rPr>
              <w:br/>
            </w:r>
            <w:r>
              <w:rPr>
                <w:rFonts w:ascii="Calibri" w:hAnsi="Calibri" w:cs="Calibri"/>
                <w:color w:val="000000"/>
                <w:sz w:val="18"/>
                <w:szCs w:val="18"/>
              </w:rPr>
              <w:br/>
            </w:r>
            <w:r w:rsidRPr="005F21D6">
              <w:rPr>
                <w:rFonts w:ascii="Calibri" w:hAnsi="Calibri" w:cs="Calibri"/>
                <w:color w:val="000000"/>
                <w:sz w:val="18"/>
                <w:szCs w:val="18"/>
              </w:rPr>
              <w:t>(</w:t>
            </w:r>
            <w:r w:rsidRPr="005A52E5">
              <w:rPr>
                <w:rFonts w:ascii="Calibri" w:hAnsi="Calibri" w:cs="Calibri"/>
                <w:color w:val="000000"/>
                <w:sz w:val="18"/>
                <w:szCs w:val="18"/>
              </w:rPr>
              <w:t>Review of positive PBAC recommendations not accepted by applicants</w:t>
            </w:r>
            <w:r w:rsidRPr="005F21D6">
              <w:rPr>
                <w:rFonts w:ascii="Calibri" w:hAnsi="Calibri" w:cs="Calibri"/>
                <w:color w:val="000000"/>
                <w:sz w:val="18"/>
                <w:szCs w:val="18"/>
              </w:rPr>
              <w:t>)</w:t>
            </w:r>
          </w:p>
        </w:tc>
        <w:tc>
          <w:tcPr>
            <w:tcW w:w="1919" w:type="dxa"/>
            <w:tcBorders>
              <w:top w:val="single" w:sz="4" w:space="0" w:color="auto"/>
              <w:left w:val="single" w:sz="4" w:space="0" w:color="auto"/>
              <w:bottom w:val="single" w:sz="4" w:space="0" w:color="auto"/>
              <w:right w:val="single" w:sz="4" w:space="0" w:color="auto"/>
            </w:tcBorders>
            <w:vAlign w:val="center"/>
          </w:tcPr>
          <w:p w14:paraId="27462C62" w14:textId="172E0147" w:rsidR="008D784F" w:rsidRPr="00544E10" w:rsidRDefault="008D784F" w:rsidP="008D784F">
            <w:pPr>
              <w:jc w:val="center"/>
              <w:rPr>
                <w:rFonts w:asciiTheme="minorHAnsi" w:hAnsiTheme="minorHAnsi" w:cstheme="minorHAnsi"/>
                <w:color w:val="000000"/>
                <w:sz w:val="18"/>
                <w:szCs w:val="18"/>
              </w:rPr>
            </w:pPr>
            <w:r>
              <w:rPr>
                <w:rFonts w:ascii="Calibri" w:hAnsi="Calibri" w:cs="Calibri"/>
                <w:color w:val="000000"/>
                <w:sz w:val="18"/>
                <w:szCs w:val="18"/>
              </w:rPr>
              <w:t>In Vitro fertilisation</w:t>
            </w:r>
          </w:p>
        </w:tc>
        <w:tc>
          <w:tcPr>
            <w:tcW w:w="273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A216FA3" w14:textId="520FAFF8" w:rsidR="008D784F" w:rsidRPr="00544E10" w:rsidRDefault="008D784F" w:rsidP="008D784F">
            <w:pPr>
              <w:jc w:val="center"/>
              <w:rPr>
                <w:rFonts w:asciiTheme="minorHAnsi" w:hAnsiTheme="minorHAnsi" w:cstheme="minorHAnsi"/>
                <w:color w:val="000000"/>
                <w:sz w:val="18"/>
                <w:szCs w:val="18"/>
              </w:rPr>
            </w:pPr>
            <w:r>
              <w:rPr>
                <w:rFonts w:ascii="Calibri" w:hAnsi="Calibri" w:cs="Calibri"/>
                <w:color w:val="000000"/>
                <w:sz w:val="18"/>
                <w:szCs w:val="18"/>
              </w:rPr>
              <w:t>To request the PBAC review its July 2022 recommendation that has not yet been accepted by the applicant.</w:t>
            </w:r>
          </w:p>
        </w:tc>
        <w:tc>
          <w:tcPr>
            <w:tcW w:w="5387" w:type="dxa"/>
            <w:vAlign w:val="center"/>
          </w:tcPr>
          <w:p w14:paraId="16BC3320" w14:textId="65A82500" w:rsidR="008D784F" w:rsidRPr="002F2ABA" w:rsidRDefault="008D784F" w:rsidP="008D784F">
            <w:pPr>
              <w:ind w:left="11"/>
              <w:contextualSpacing/>
              <w:jc w:val="both"/>
              <w:rPr>
                <w:rFonts w:ascii="Calibri" w:hAnsi="Calibri" w:cs="Calibri"/>
                <w:color w:val="000000"/>
                <w:sz w:val="18"/>
                <w:szCs w:val="18"/>
              </w:rPr>
            </w:pPr>
            <w:r w:rsidRPr="002F2ABA">
              <w:rPr>
                <w:rFonts w:ascii="Calibri" w:hAnsi="Calibri" w:cs="Calibri"/>
                <w:color w:val="000000"/>
                <w:sz w:val="18"/>
                <w:szCs w:val="18"/>
              </w:rPr>
              <w:t xml:space="preserve">In </w:t>
            </w:r>
            <w:r>
              <w:rPr>
                <w:rFonts w:ascii="Calibri" w:hAnsi="Calibri" w:cs="Calibri"/>
                <w:color w:val="000000"/>
                <w:sz w:val="18"/>
                <w:szCs w:val="18"/>
              </w:rPr>
              <w:t>March 2026</w:t>
            </w:r>
            <w:r w:rsidRPr="002F2ABA">
              <w:rPr>
                <w:rFonts w:ascii="Calibri" w:hAnsi="Calibri" w:cs="Calibri"/>
                <w:color w:val="000000"/>
                <w:sz w:val="18"/>
                <w:szCs w:val="18"/>
              </w:rPr>
              <w:t xml:space="preserve">, the PBAC extended its </w:t>
            </w:r>
            <w:r w:rsidR="00B13C6A">
              <w:rPr>
                <w:rFonts w:ascii="Calibri" w:hAnsi="Calibri" w:cs="Calibri"/>
                <w:color w:val="000000"/>
                <w:sz w:val="18"/>
                <w:szCs w:val="18"/>
              </w:rPr>
              <w:t>July 2022</w:t>
            </w:r>
            <w:r w:rsidRPr="002F2ABA">
              <w:rPr>
                <w:rFonts w:ascii="Calibri" w:hAnsi="Calibri" w:cs="Calibri"/>
                <w:color w:val="000000"/>
                <w:sz w:val="18"/>
                <w:szCs w:val="18"/>
              </w:rPr>
              <w:t xml:space="preserve"> recommendation for this drug for a further 12 months. </w:t>
            </w:r>
          </w:p>
          <w:p w14:paraId="33EF616A" w14:textId="6A09945D" w:rsidR="008D784F" w:rsidRPr="00544E10" w:rsidRDefault="008D784F" w:rsidP="008D784F">
            <w:pPr>
              <w:ind w:left="11"/>
              <w:contextualSpacing/>
              <w:jc w:val="both"/>
              <w:rPr>
                <w:rFonts w:asciiTheme="minorHAnsi" w:hAnsiTheme="minorHAnsi" w:cstheme="minorHAnsi"/>
                <w:color w:val="000000"/>
                <w:sz w:val="18"/>
                <w:szCs w:val="18"/>
              </w:rPr>
            </w:pPr>
          </w:p>
        </w:tc>
      </w:tr>
      <w:tr w:rsidR="00924624" w:rsidRPr="00544E10" w14:paraId="4FF4B1E2" w14:textId="77777777" w:rsidTr="003D3CC4">
        <w:trPr>
          <w:cantSplit/>
          <w:trHeight w:val="868"/>
        </w:trPr>
        <w:tc>
          <w:tcPr>
            <w:tcW w:w="341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EE4BDE8" w14:textId="7372503B" w:rsidR="00DD4C34" w:rsidRPr="00544E10" w:rsidRDefault="00983B90" w:rsidP="00DD4C34">
            <w:pPr>
              <w:jc w:val="center"/>
              <w:rPr>
                <w:rFonts w:asciiTheme="minorHAnsi" w:hAnsiTheme="minorHAnsi" w:cstheme="minorHAnsi"/>
                <w:color w:val="000000"/>
                <w:sz w:val="18"/>
                <w:szCs w:val="18"/>
              </w:rPr>
            </w:pPr>
            <w:r>
              <w:rPr>
                <w:rFonts w:ascii="Calibri" w:hAnsi="Calibri" w:cs="Calibri"/>
                <w:color w:val="000000"/>
                <w:sz w:val="18"/>
                <w:szCs w:val="18"/>
              </w:rPr>
              <w:t>INFLUENZA VACCINE</w:t>
            </w:r>
            <w:r>
              <w:rPr>
                <w:rFonts w:ascii="Calibri" w:hAnsi="Calibri" w:cs="Calibri"/>
                <w:color w:val="000000"/>
                <w:sz w:val="18"/>
                <w:szCs w:val="18"/>
              </w:rPr>
              <w:br/>
            </w:r>
            <w:r>
              <w:rPr>
                <w:rFonts w:ascii="Calibri" w:hAnsi="Calibri" w:cs="Calibri"/>
                <w:color w:val="000000"/>
                <w:sz w:val="18"/>
                <w:szCs w:val="18"/>
              </w:rPr>
              <w:br/>
              <w:t>Injection 0.5 mL</w:t>
            </w:r>
            <w:r>
              <w:rPr>
                <w:rFonts w:ascii="Calibri" w:hAnsi="Calibri" w:cs="Calibri"/>
                <w:color w:val="000000"/>
                <w:sz w:val="18"/>
                <w:szCs w:val="18"/>
              </w:rPr>
              <w:br/>
            </w:r>
            <w:r>
              <w:rPr>
                <w:rFonts w:ascii="Calibri" w:hAnsi="Calibri" w:cs="Calibri"/>
                <w:color w:val="000000"/>
                <w:sz w:val="18"/>
                <w:szCs w:val="18"/>
              </w:rPr>
              <w:br/>
            </w:r>
            <w:proofErr w:type="spellStart"/>
            <w:r>
              <w:rPr>
                <w:rFonts w:ascii="Calibri" w:hAnsi="Calibri" w:cs="Calibri"/>
                <w:color w:val="000000"/>
                <w:sz w:val="18"/>
                <w:szCs w:val="18"/>
              </w:rPr>
              <w:t>Flublok</w:t>
            </w:r>
            <w:proofErr w:type="spellEnd"/>
            <w:r>
              <w:rPr>
                <w:rFonts w:ascii="Calibri" w:hAnsi="Calibri" w:cs="Calibri"/>
                <w:color w:val="000000"/>
                <w:sz w:val="18"/>
                <w:szCs w:val="18"/>
              </w:rPr>
              <w:t xml:space="preserve">® Quadrivalent </w:t>
            </w:r>
            <w:r>
              <w:rPr>
                <w:rFonts w:ascii="Calibri" w:hAnsi="Calibri" w:cs="Calibri"/>
                <w:color w:val="000000"/>
                <w:sz w:val="18"/>
                <w:szCs w:val="18"/>
              </w:rPr>
              <w:br/>
            </w:r>
            <w:r>
              <w:rPr>
                <w:rFonts w:ascii="Calibri" w:hAnsi="Calibri" w:cs="Calibri"/>
                <w:color w:val="000000"/>
                <w:sz w:val="18"/>
                <w:szCs w:val="18"/>
              </w:rPr>
              <w:br/>
              <w:t>SANOFI-AVENTIS AUSTRALIA PTY LTD</w:t>
            </w:r>
            <w:r>
              <w:rPr>
                <w:rFonts w:ascii="Calibri" w:hAnsi="Calibri" w:cs="Calibri"/>
                <w:color w:val="000000"/>
                <w:sz w:val="18"/>
                <w:szCs w:val="18"/>
              </w:rPr>
              <w:br/>
            </w:r>
            <w:r>
              <w:rPr>
                <w:rFonts w:ascii="Calibri" w:hAnsi="Calibri" w:cs="Calibri"/>
                <w:color w:val="000000"/>
                <w:sz w:val="18"/>
                <w:szCs w:val="18"/>
              </w:rPr>
              <w:br/>
            </w:r>
            <w:r w:rsidRPr="005F21D6">
              <w:rPr>
                <w:rFonts w:ascii="Calibri" w:hAnsi="Calibri" w:cs="Calibri"/>
                <w:color w:val="000000"/>
                <w:sz w:val="18"/>
                <w:szCs w:val="18"/>
              </w:rPr>
              <w:t>(</w:t>
            </w:r>
            <w:r w:rsidRPr="005A52E5">
              <w:rPr>
                <w:rFonts w:ascii="Calibri" w:hAnsi="Calibri" w:cs="Calibri"/>
                <w:color w:val="000000"/>
                <w:sz w:val="18"/>
                <w:szCs w:val="18"/>
              </w:rPr>
              <w:t>Review of positive PBAC recommendations not accepted by applicants</w:t>
            </w:r>
            <w:r w:rsidRPr="005F21D6">
              <w:rPr>
                <w:rFonts w:ascii="Calibri" w:hAnsi="Calibri" w:cs="Calibri"/>
                <w:color w:val="000000"/>
                <w:sz w:val="18"/>
                <w:szCs w:val="18"/>
              </w:rPr>
              <w:t>)</w:t>
            </w:r>
          </w:p>
        </w:tc>
        <w:tc>
          <w:tcPr>
            <w:tcW w:w="1919" w:type="dxa"/>
            <w:tcBorders>
              <w:top w:val="single" w:sz="4" w:space="0" w:color="auto"/>
              <w:left w:val="single" w:sz="4" w:space="0" w:color="auto"/>
              <w:bottom w:val="single" w:sz="4" w:space="0" w:color="auto"/>
              <w:right w:val="single" w:sz="4" w:space="0" w:color="auto"/>
            </w:tcBorders>
            <w:vAlign w:val="center"/>
          </w:tcPr>
          <w:p w14:paraId="18562974" w14:textId="18DC0BAC" w:rsidR="00DD4C34" w:rsidRPr="00983B90" w:rsidRDefault="00983B90" w:rsidP="00983B90">
            <w:pPr>
              <w:jc w:val="center"/>
              <w:rPr>
                <w:rFonts w:ascii="Calibri" w:hAnsi="Calibri" w:cs="Calibri"/>
                <w:color w:val="000000"/>
                <w:sz w:val="18"/>
                <w:szCs w:val="18"/>
              </w:rPr>
            </w:pPr>
            <w:r>
              <w:rPr>
                <w:rFonts w:ascii="Calibri" w:hAnsi="Calibri" w:cs="Calibri"/>
                <w:color w:val="000000"/>
                <w:sz w:val="18"/>
                <w:szCs w:val="18"/>
              </w:rPr>
              <w:t>Prevention of influenza</w:t>
            </w:r>
          </w:p>
        </w:tc>
        <w:tc>
          <w:tcPr>
            <w:tcW w:w="273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C80F526" w14:textId="4CC32866" w:rsidR="00DD4C34" w:rsidRPr="007875CE" w:rsidRDefault="00B13C6A" w:rsidP="007875CE">
            <w:pPr>
              <w:jc w:val="center"/>
              <w:rPr>
                <w:rFonts w:ascii="Calibri" w:hAnsi="Calibri" w:cs="Calibri"/>
                <w:color w:val="000000"/>
                <w:sz w:val="18"/>
                <w:szCs w:val="18"/>
              </w:rPr>
            </w:pPr>
            <w:r>
              <w:rPr>
                <w:rFonts w:ascii="Calibri" w:hAnsi="Calibri" w:cs="Calibri"/>
                <w:color w:val="000000"/>
                <w:sz w:val="18"/>
                <w:szCs w:val="18"/>
              </w:rPr>
              <w:t xml:space="preserve">To request the PBAC review its March 2024 recommendation that has not yet been accepted by the applicant. </w:t>
            </w:r>
          </w:p>
        </w:tc>
        <w:tc>
          <w:tcPr>
            <w:tcW w:w="5387" w:type="dxa"/>
            <w:vAlign w:val="center"/>
          </w:tcPr>
          <w:p w14:paraId="22A6F6BA" w14:textId="1D0C0DCA" w:rsidR="002F2ABA" w:rsidRPr="002F2ABA" w:rsidRDefault="002F2ABA" w:rsidP="002F2ABA">
            <w:pPr>
              <w:ind w:left="11"/>
              <w:contextualSpacing/>
              <w:jc w:val="both"/>
              <w:rPr>
                <w:rFonts w:ascii="Calibri" w:hAnsi="Calibri" w:cs="Calibri"/>
                <w:color w:val="000000"/>
                <w:sz w:val="18"/>
                <w:szCs w:val="18"/>
              </w:rPr>
            </w:pPr>
            <w:r w:rsidRPr="002F2ABA">
              <w:rPr>
                <w:rFonts w:ascii="Calibri" w:hAnsi="Calibri" w:cs="Calibri"/>
                <w:color w:val="000000"/>
                <w:sz w:val="18"/>
                <w:szCs w:val="18"/>
              </w:rPr>
              <w:t xml:space="preserve">In </w:t>
            </w:r>
            <w:r w:rsidR="0058150B">
              <w:rPr>
                <w:rFonts w:ascii="Calibri" w:hAnsi="Calibri" w:cs="Calibri"/>
                <w:color w:val="000000"/>
                <w:sz w:val="18"/>
                <w:szCs w:val="18"/>
              </w:rPr>
              <w:t>March 2026</w:t>
            </w:r>
            <w:r w:rsidRPr="002F2ABA">
              <w:rPr>
                <w:rFonts w:ascii="Calibri" w:hAnsi="Calibri" w:cs="Calibri"/>
                <w:color w:val="000000"/>
                <w:sz w:val="18"/>
                <w:szCs w:val="18"/>
              </w:rPr>
              <w:t xml:space="preserve">, the PBAC </w:t>
            </w:r>
            <w:r w:rsidR="00CF65B2">
              <w:rPr>
                <w:rFonts w:ascii="Calibri" w:hAnsi="Calibri" w:cs="Calibri"/>
                <w:color w:val="000000"/>
                <w:sz w:val="18"/>
                <w:szCs w:val="18"/>
              </w:rPr>
              <w:t>rescinded</w:t>
            </w:r>
            <w:r w:rsidRPr="002F2ABA">
              <w:rPr>
                <w:rFonts w:ascii="Calibri" w:hAnsi="Calibri" w:cs="Calibri"/>
                <w:color w:val="000000"/>
                <w:sz w:val="18"/>
                <w:szCs w:val="18"/>
              </w:rPr>
              <w:t xml:space="preserve"> its </w:t>
            </w:r>
            <w:r w:rsidR="00B13C6A">
              <w:rPr>
                <w:rFonts w:ascii="Calibri" w:hAnsi="Calibri" w:cs="Calibri"/>
                <w:color w:val="000000"/>
                <w:sz w:val="18"/>
                <w:szCs w:val="18"/>
              </w:rPr>
              <w:t>March 2024</w:t>
            </w:r>
            <w:r w:rsidRPr="002F2ABA">
              <w:rPr>
                <w:rFonts w:ascii="Calibri" w:hAnsi="Calibri" w:cs="Calibri"/>
                <w:color w:val="000000"/>
                <w:sz w:val="18"/>
                <w:szCs w:val="18"/>
              </w:rPr>
              <w:t xml:space="preserve"> recommendation</w:t>
            </w:r>
            <w:r w:rsidR="00CF65B2">
              <w:rPr>
                <w:rFonts w:ascii="Calibri" w:hAnsi="Calibri" w:cs="Calibri"/>
                <w:color w:val="000000"/>
                <w:sz w:val="18"/>
                <w:szCs w:val="18"/>
              </w:rPr>
              <w:t>.</w:t>
            </w:r>
          </w:p>
          <w:p w14:paraId="2FEDC6E9" w14:textId="4148D883" w:rsidR="00DD4C34" w:rsidRPr="00544E10" w:rsidRDefault="00DD4C34" w:rsidP="00DD4C34">
            <w:pPr>
              <w:ind w:left="11"/>
              <w:contextualSpacing/>
              <w:jc w:val="both"/>
              <w:rPr>
                <w:rFonts w:asciiTheme="minorHAnsi" w:hAnsiTheme="minorHAnsi" w:cstheme="minorHAnsi"/>
                <w:color w:val="000000"/>
                <w:sz w:val="18"/>
                <w:szCs w:val="18"/>
              </w:rPr>
            </w:pPr>
          </w:p>
        </w:tc>
      </w:tr>
      <w:tr w:rsidR="00924624" w:rsidRPr="00544E10" w14:paraId="0D54C0E1" w14:textId="77777777" w:rsidTr="003D3CC4">
        <w:trPr>
          <w:cantSplit/>
          <w:trHeight w:val="868"/>
        </w:trPr>
        <w:tc>
          <w:tcPr>
            <w:tcW w:w="341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2DB1E89" w14:textId="7A1AAEA1" w:rsidR="007875CE" w:rsidRDefault="007875CE" w:rsidP="007875CE">
            <w:pPr>
              <w:jc w:val="center"/>
              <w:rPr>
                <w:rFonts w:ascii="Calibri" w:hAnsi="Calibri" w:cs="Calibri"/>
                <w:color w:val="000000"/>
                <w:sz w:val="18"/>
                <w:szCs w:val="18"/>
              </w:rPr>
            </w:pPr>
            <w:r>
              <w:rPr>
                <w:rFonts w:ascii="Calibri" w:hAnsi="Calibri" w:cs="Calibri"/>
                <w:color w:val="000000"/>
                <w:sz w:val="18"/>
                <w:szCs w:val="18"/>
              </w:rPr>
              <w:t>LEBRIKIZUMAB</w:t>
            </w:r>
            <w:r>
              <w:rPr>
                <w:rFonts w:ascii="Calibri" w:hAnsi="Calibri" w:cs="Calibri"/>
                <w:color w:val="000000"/>
                <w:sz w:val="18"/>
                <w:szCs w:val="18"/>
              </w:rPr>
              <w:br/>
            </w:r>
            <w:r>
              <w:rPr>
                <w:rFonts w:ascii="Calibri" w:hAnsi="Calibri" w:cs="Calibri"/>
                <w:color w:val="000000"/>
                <w:sz w:val="18"/>
                <w:szCs w:val="18"/>
              </w:rPr>
              <w:br/>
              <w:t>Injection 250 mg in 2 mL single use autoinjector</w:t>
            </w:r>
            <w:r>
              <w:rPr>
                <w:rFonts w:ascii="Calibri" w:hAnsi="Calibri" w:cs="Calibri"/>
                <w:color w:val="000000"/>
                <w:sz w:val="18"/>
                <w:szCs w:val="18"/>
              </w:rPr>
              <w:br/>
            </w:r>
            <w:r>
              <w:rPr>
                <w:rFonts w:ascii="Calibri" w:hAnsi="Calibri" w:cs="Calibri"/>
                <w:color w:val="000000"/>
                <w:sz w:val="18"/>
                <w:szCs w:val="18"/>
              </w:rPr>
              <w:br/>
            </w:r>
            <w:proofErr w:type="spellStart"/>
            <w:r>
              <w:rPr>
                <w:rFonts w:ascii="Calibri" w:hAnsi="Calibri" w:cs="Calibri"/>
                <w:color w:val="000000"/>
                <w:sz w:val="18"/>
                <w:szCs w:val="18"/>
              </w:rPr>
              <w:t>Ebglyss</w:t>
            </w:r>
            <w:proofErr w:type="spellEnd"/>
            <w:r>
              <w:rPr>
                <w:rFonts w:ascii="Calibri" w:hAnsi="Calibri" w:cs="Calibri"/>
                <w:color w:val="000000"/>
                <w:sz w:val="18"/>
                <w:szCs w:val="18"/>
              </w:rPr>
              <w:t>®</w:t>
            </w:r>
            <w:r>
              <w:rPr>
                <w:rFonts w:ascii="Calibri" w:hAnsi="Calibri" w:cs="Calibri"/>
                <w:color w:val="000000"/>
                <w:sz w:val="18"/>
                <w:szCs w:val="18"/>
              </w:rPr>
              <w:br/>
            </w:r>
            <w:r>
              <w:rPr>
                <w:rFonts w:ascii="Calibri" w:hAnsi="Calibri" w:cs="Calibri"/>
                <w:color w:val="000000"/>
                <w:sz w:val="18"/>
                <w:szCs w:val="18"/>
              </w:rPr>
              <w:br/>
              <w:t>ELI LILLY AUSTRALIA PTY LTD</w:t>
            </w:r>
            <w:r>
              <w:rPr>
                <w:rFonts w:ascii="Calibri" w:hAnsi="Calibri" w:cs="Calibri"/>
                <w:color w:val="000000"/>
                <w:sz w:val="18"/>
                <w:szCs w:val="18"/>
              </w:rPr>
              <w:br/>
            </w:r>
            <w:r>
              <w:rPr>
                <w:rFonts w:ascii="Calibri" w:hAnsi="Calibri" w:cs="Calibri"/>
                <w:color w:val="000000"/>
                <w:sz w:val="18"/>
                <w:szCs w:val="18"/>
              </w:rPr>
              <w:br/>
            </w:r>
            <w:r w:rsidRPr="005F21D6">
              <w:rPr>
                <w:rFonts w:ascii="Calibri" w:hAnsi="Calibri" w:cs="Calibri"/>
                <w:color w:val="000000"/>
                <w:sz w:val="18"/>
                <w:szCs w:val="18"/>
              </w:rPr>
              <w:t>(</w:t>
            </w:r>
            <w:r w:rsidRPr="005A52E5">
              <w:rPr>
                <w:rFonts w:ascii="Calibri" w:hAnsi="Calibri" w:cs="Calibri"/>
                <w:color w:val="000000"/>
                <w:sz w:val="18"/>
                <w:szCs w:val="18"/>
              </w:rPr>
              <w:t>Review of positive PBAC recommendations not accepted by applicants</w:t>
            </w:r>
            <w:r w:rsidRPr="005F21D6">
              <w:rPr>
                <w:rFonts w:ascii="Calibri" w:hAnsi="Calibri" w:cs="Calibri"/>
                <w:color w:val="000000"/>
                <w:sz w:val="18"/>
                <w:szCs w:val="18"/>
              </w:rPr>
              <w:t>)</w:t>
            </w:r>
          </w:p>
        </w:tc>
        <w:tc>
          <w:tcPr>
            <w:tcW w:w="1919" w:type="dxa"/>
            <w:tcBorders>
              <w:top w:val="single" w:sz="4" w:space="0" w:color="auto"/>
              <w:left w:val="single" w:sz="4" w:space="0" w:color="auto"/>
              <w:bottom w:val="single" w:sz="4" w:space="0" w:color="auto"/>
              <w:right w:val="single" w:sz="4" w:space="0" w:color="auto"/>
            </w:tcBorders>
            <w:vAlign w:val="center"/>
          </w:tcPr>
          <w:p w14:paraId="1B2F3B79" w14:textId="48566FDC" w:rsidR="007875CE" w:rsidRDefault="007875CE" w:rsidP="007875CE">
            <w:pPr>
              <w:jc w:val="center"/>
              <w:rPr>
                <w:rFonts w:ascii="Calibri" w:hAnsi="Calibri" w:cs="Calibri"/>
                <w:color w:val="000000"/>
                <w:sz w:val="18"/>
                <w:szCs w:val="18"/>
              </w:rPr>
            </w:pPr>
            <w:r>
              <w:rPr>
                <w:rFonts w:ascii="Calibri" w:hAnsi="Calibri" w:cs="Calibri"/>
                <w:color w:val="000000"/>
                <w:sz w:val="18"/>
                <w:szCs w:val="18"/>
              </w:rPr>
              <w:t>Atopic dermatitis</w:t>
            </w:r>
          </w:p>
        </w:tc>
        <w:tc>
          <w:tcPr>
            <w:tcW w:w="273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E09524B" w14:textId="370E23F0" w:rsidR="007875CE" w:rsidRDefault="007875CE" w:rsidP="007875CE">
            <w:pPr>
              <w:jc w:val="center"/>
              <w:rPr>
                <w:rFonts w:ascii="Calibri" w:hAnsi="Calibri" w:cs="Calibri"/>
                <w:color w:val="000000"/>
                <w:sz w:val="18"/>
                <w:szCs w:val="18"/>
              </w:rPr>
            </w:pPr>
            <w:r>
              <w:rPr>
                <w:rFonts w:ascii="Calibri" w:hAnsi="Calibri" w:cs="Calibri"/>
                <w:color w:val="000000"/>
                <w:sz w:val="18"/>
                <w:szCs w:val="18"/>
              </w:rPr>
              <w:t xml:space="preserve">To request the PBAC review its March 2024 recommendation that has not yet been accepted by the applicant. </w:t>
            </w:r>
          </w:p>
        </w:tc>
        <w:tc>
          <w:tcPr>
            <w:tcW w:w="5387" w:type="dxa"/>
            <w:vAlign w:val="center"/>
          </w:tcPr>
          <w:p w14:paraId="4183B846" w14:textId="77777777" w:rsidR="0058150B" w:rsidRPr="002F2ABA" w:rsidRDefault="0058150B" w:rsidP="0058150B">
            <w:pPr>
              <w:ind w:left="11"/>
              <w:contextualSpacing/>
              <w:jc w:val="both"/>
              <w:rPr>
                <w:rFonts w:ascii="Calibri" w:hAnsi="Calibri" w:cs="Calibri"/>
                <w:color w:val="000000"/>
                <w:sz w:val="18"/>
                <w:szCs w:val="18"/>
              </w:rPr>
            </w:pPr>
            <w:r w:rsidRPr="002F2ABA">
              <w:rPr>
                <w:rFonts w:ascii="Calibri" w:hAnsi="Calibri" w:cs="Calibri"/>
                <w:color w:val="000000"/>
                <w:sz w:val="18"/>
                <w:szCs w:val="18"/>
              </w:rPr>
              <w:t xml:space="preserve">In </w:t>
            </w:r>
            <w:r>
              <w:rPr>
                <w:rFonts w:ascii="Calibri" w:hAnsi="Calibri" w:cs="Calibri"/>
                <w:color w:val="000000"/>
                <w:sz w:val="18"/>
                <w:szCs w:val="18"/>
              </w:rPr>
              <w:t>March 2026</w:t>
            </w:r>
            <w:r w:rsidRPr="002F2ABA">
              <w:rPr>
                <w:rFonts w:ascii="Calibri" w:hAnsi="Calibri" w:cs="Calibri"/>
                <w:color w:val="000000"/>
                <w:sz w:val="18"/>
                <w:szCs w:val="18"/>
              </w:rPr>
              <w:t xml:space="preserve">, the PBAC </w:t>
            </w:r>
            <w:r>
              <w:rPr>
                <w:rFonts w:ascii="Calibri" w:hAnsi="Calibri" w:cs="Calibri"/>
                <w:color w:val="000000"/>
                <w:sz w:val="18"/>
                <w:szCs w:val="18"/>
              </w:rPr>
              <w:t>rescinded</w:t>
            </w:r>
            <w:r w:rsidRPr="002F2ABA">
              <w:rPr>
                <w:rFonts w:ascii="Calibri" w:hAnsi="Calibri" w:cs="Calibri"/>
                <w:color w:val="000000"/>
                <w:sz w:val="18"/>
                <w:szCs w:val="18"/>
              </w:rPr>
              <w:t xml:space="preserve"> its </w:t>
            </w:r>
            <w:r>
              <w:rPr>
                <w:rFonts w:ascii="Calibri" w:hAnsi="Calibri" w:cs="Calibri"/>
                <w:color w:val="000000"/>
                <w:sz w:val="18"/>
                <w:szCs w:val="18"/>
              </w:rPr>
              <w:t>March 2024</w:t>
            </w:r>
            <w:r w:rsidRPr="002F2ABA">
              <w:rPr>
                <w:rFonts w:ascii="Calibri" w:hAnsi="Calibri" w:cs="Calibri"/>
                <w:color w:val="000000"/>
                <w:sz w:val="18"/>
                <w:szCs w:val="18"/>
              </w:rPr>
              <w:t xml:space="preserve"> recommendation</w:t>
            </w:r>
            <w:r>
              <w:rPr>
                <w:rFonts w:ascii="Calibri" w:hAnsi="Calibri" w:cs="Calibri"/>
                <w:color w:val="000000"/>
                <w:sz w:val="18"/>
                <w:szCs w:val="18"/>
              </w:rPr>
              <w:t>.</w:t>
            </w:r>
          </w:p>
          <w:p w14:paraId="46A6F012" w14:textId="77777777" w:rsidR="007875CE" w:rsidRPr="002F2ABA" w:rsidRDefault="007875CE" w:rsidP="007875CE">
            <w:pPr>
              <w:ind w:left="11"/>
              <w:contextualSpacing/>
              <w:jc w:val="both"/>
              <w:rPr>
                <w:rFonts w:ascii="Calibri" w:hAnsi="Calibri" w:cs="Calibri"/>
                <w:color w:val="000000"/>
                <w:sz w:val="18"/>
                <w:szCs w:val="18"/>
              </w:rPr>
            </w:pPr>
          </w:p>
        </w:tc>
      </w:tr>
      <w:tr w:rsidR="00924624" w:rsidRPr="00544E10" w14:paraId="36CD7734" w14:textId="77777777" w:rsidTr="003D3CC4">
        <w:trPr>
          <w:cantSplit/>
          <w:trHeight w:val="868"/>
        </w:trPr>
        <w:tc>
          <w:tcPr>
            <w:tcW w:w="341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E6EE319" w14:textId="3CBB4F1E" w:rsidR="0058150B" w:rsidRDefault="0058150B" w:rsidP="0058150B">
            <w:pPr>
              <w:jc w:val="center"/>
              <w:rPr>
                <w:rFonts w:ascii="Calibri" w:hAnsi="Calibri" w:cs="Calibri"/>
                <w:color w:val="000000"/>
                <w:sz w:val="18"/>
                <w:szCs w:val="18"/>
              </w:rPr>
            </w:pPr>
            <w:r>
              <w:rPr>
                <w:rFonts w:ascii="Calibri" w:hAnsi="Calibri" w:cs="Calibri"/>
                <w:color w:val="000000"/>
                <w:sz w:val="18"/>
                <w:szCs w:val="18"/>
              </w:rPr>
              <w:t>PEMBROLIZUMAB</w:t>
            </w:r>
            <w:r>
              <w:rPr>
                <w:rFonts w:ascii="Calibri" w:hAnsi="Calibri" w:cs="Calibri"/>
                <w:color w:val="000000"/>
                <w:sz w:val="18"/>
                <w:szCs w:val="18"/>
              </w:rPr>
              <w:br/>
            </w:r>
            <w:r>
              <w:rPr>
                <w:rFonts w:ascii="Calibri" w:hAnsi="Calibri" w:cs="Calibri"/>
                <w:color w:val="000000"/>
                <w:sz w:val="18"/>
                <w:szCs w:val="18"/>
              </w:rPr>
              <w:br/>
              <w:t>Solution concentrate for I.V. infusion 100 mg in 4 mL</w:t>
            </w:r>
            <w:r>
              <w:rPr>
                <w:rFonts w:ascii="Calibri" w:hAnsi="Calibri" w:cs="Calibri"/>
                <w:color w:val="000000"/>
                <w:sz w:val="18"/>
                <w:szCs w:val="18"/>
              </w:rPr>
              <w:br/>
            </w:r>
            <w:r>
              <w:rPr>
                <w:rFonts w:ascii="Calibri" w:hAnsi="Calibri" w:cs="Calibri"/>
                <w:color w:val="000000"/>
                <w:sz w:val="18"/>
                <w:szCs w:val="18"/>
              </w:rPr>
              <w:br/>
              <w:t>Keytruda®</w:t>
            </w:r>
            <w:r>
              <w:rPr>
                <w:rFonts w:ascii="Calibri" w:hAnsi="Calibri" w:cs="Calibri"/>
                <w:color w:val="000000"/>
                <w:sz w:val="18"/>
                <w:szCs w:val="18"/>
              </w:rPr>
              <w:br/>
            </w:r>
            <w:r>
              <w:rPr>
                <w:rFonts w:ascii="Calibri" w:hAnsi="Calibri" w:cs="Calibri"/>
                <w:color w:val="000000"/>
                <w:sz w:val="18"/>
                <w:szCs w:val="18"/>
              </w:rPr>
              <w:br/>
              <w:t>MERCK SHARP &amp; DOHME (Australia) PTY LTD</w:t>
            </w:r>
            <w:r>
              <w:rPr>
                <w:rFonts w:ascii="Calibri" w:hAnsi="Calibri" w:cs="Calibri"/>
                <w:color w:val="000000"/>
                <w:sz w:val="18"/>
                <w:szCs w:val="18"/>
              </w:rPr>
              <w:br/>
            </w:r>
            <w:r>
              <w:rPr>
                <w:rFonts w:ascii="Calibri" w:hAnsi="Calibri" w:cs="Calibri"/>
                <w:color w:val="000000"/>
                <w:sz w:val="18"/>
                <w:szCs w:val="18"/>
              </w:rPr>
              <w:br/>
            </w:r>
            <w:r w:rsidRPr="005F21D6">
              <w:rPr>
                <w:rFonts w:ascii="Calibri" w:hAnsi="Calibri" w:cs="Calibri"/>
                <w:color w:val="000000"/>
                <w:sz w:val="18"/>
                <w:szCs w:val="18"/>
              </w:rPr>
              <w:t>(</w:t>
            </w:r>
            <w:r w:rsidRPr="005A52E5">
              <w:rPr>
                <w:rFonts w:ascii="Calibri" w:hAnsi="Calibri" w:cs="Calibri"/>
                <w:color w:val="000000"/>
                <w:sz w:val="18"/>
                <w:szCs w:val="18"/>
              </w:rPr>
              <w:t>Review of positive PBAC recommendations not accepted by applicants</w:t>
            </w:r>
            <w:r w:rsidRPr="005F21D6">
              <w:rPr>
                <w:rFonts w:ascii="Calibri" w:hAnsi="Calibri" w:cs="Calibri"/>
                <w:color w:val="000000"/>
                <w:sz w:val="18"/>
                <w:szCs w:val="18"/>
              </w:rPr>
              <w:t>)</w:t>
            </w:r>
          </w:p>
        </w:tc>
        <w:tc>
          <w:tcPr>
            <w:tcW w:w="1919" w:type="dxa"/>
            <w:tcBorders>
              <w:top w:val="single" w:sz="4" w:space="0" w:color="auto"/>
              <w:left w:val="single" w:sz="4" w:space="0" w:color="auto"/>
              <w:bottom w:val="single" w:sz="4" w:space="0" w:color="auto"/>
              <w:right w:val="single" w:sz="4" w:space="0" w:color="auto"/>
            </w:tcBorders>
            <w:vAlign w:val="center"/>
          </w:tcPr>
          <w:p w14:paraId="2F0B2859" w14:textId="1C83DC41" w:rsidR="0058150B" w:rsidRDefault="0058150B" w:rsidP="0058150B">
            <w:pPr>
              <w:jc w:val="center"/>
              <w:rPr>
                <w:rFonts w:ascii="Calibri" w:hAnsi="Calibri" w:cs="Calibri"/>
                <w:color w:val="000000"/>
                <w:sz w:val="18"/>
                <w:szCs w:val="18"/>
              </w:rPr>
            </w:pPr>
            <w:r>
              <w:rPr>
                <w:rFonts w:ascii="Calibri" w:hAnsi="Calibri" w:cs="Calibri"/>
                <w:color w:val="000000"/>
                <w:sz w:val="18"/>
                <w:szCs w:val="18"/>
              </w:rPr>
              <w:t>Gastroesophageal cancers</w:t>
            </w:r>
          </w:p>
        </w:tc>
        <w:tc>
          <w:tcPr>
            <w:tcW w:w="273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A17B852" w14:textId="09A57D9D" w:rsidR="0058150B" w:rsidRDefault="0058150B" w:rsidP="0058150B">
            <w:pPr>
              <w:jc w:val="center"/>
              <w:rPr>
                <w:rFonts w:ascii="Calibri" w:hAnsi="Calibri" w:cs="Calibri"/>
                <w:color w:val="000000"/>
                <w:sz w:val="18"/>
                <w:szCs w:val="18"/>
              </w:rPr>
            </w:pPr>
            <w:r>
              <w:rPr>
                <w:rFonts w:ascii="Calibri" w:hAnsi="Calibri" w:cs="Calibri"/>
                <w:color w:val="000000"/>
                <w:sz w:val="18"/>
                <w:szCs w:val="18"/>
              </w:rPr>
              <w:t xml:space="preserve">To request the PBAC review its May 2022 recommendation that has not yet been accepted by the applicant. </w:t>
            </w:r>
          </w:p>
        </w:tc>
        <w:tc>
          <w:tcPr>
            <w:tcW w:w="5387" w:type="dxa"/>
            <w:vAlign w:val="center"/>
          </w:tcPr>
          <w:p w14:paraId="11DD4D92" w14:textId="090AB8B0" w:rsidR="0058150B" w:rsidRPr="002F2ABA" w:rsidRDefault="0058150B" w:rsidP="0058150B">
            <w:pPr>
              <w:ind w:left="11"/>
              <w:contextualSpacing/>
              <w:jc w:val="both"/>
              <w:rPr>
                <w:rFonts w:ascii="Calibri" w:hAnsi="Calibri" w:cs="Calibri"/>
                <w:color w:val="000000"/>
                <w:sz w:val="18"/>
                <w:szCs w:val="18"/>
              </w:rPr>
            </w:pPr>
            <w:r w:rsidRPr="002F2ABA">
              <w:rPr>
                <w:rFonts w:ascii="Calibri" w:hAnsi="Calibri" w:cs="Calibri"/>
                <w:color w:val="000000"/>
                <w:sz w:val="18"/>
                <w:szCs w:val="18"/>
              </w:rPr>
              <w:t xml:space="preserve">In </w:t>
            </w:r>
            <w:r>
              <w:rPr>
                <w:rFonts w:ascii="Calibri" w:hAnsi="Calibri" w:cs="Calibri"/>
                <w:color w:val="000000"/>
                <w:sz w:val="18"/>
                <w:szCs w:val="18"/>
              </w:rPr>
              <w:t>March 2026</w:t>
            </w:r>
            <w:r w:rsidRPr="002F2ABA">
              <w:rPr>
                <w:rFonts w:ascii="Calibri" w:hAnsi="Calibri" w:cs="Calibri"/>
                <w:color w:val="000000"/>
                <w:sz w:val="18"/>
                <w:szCs w:val="18"/>
              </w:rPr>
              <w:t xml:space="preserve">, the PBAC </w:t>
            </w:r>
            <w:r w:rsidR="00FA5986">
              <w:rPr>
                <w:rFonts w:ascii="Calibri" w:hAnsi="Calibri" w:cs="Calibri"/>
                <w:color w:val="000000"/>
                <w:sz w:val="18"/>
                <w:szCs w:val="18"/>
              </w:rPr>
              <w:t>extended</w:t>
            </w:r>
            <w:r w:rsidRPr="002F2ABA">
              <w:rPr>
                <w:rFonts w:ascii="Calibri" w:hAnsi="Calibri" w:cs="Calibri"/>
                <w:color w:val="000000"/>
                <w:sz w:val="18"/>
                <w:szCs w:val="18"/>
              </w:rPr>
              <w:t xml:space="preserve"> its </w:t>
            </w:r>
            <w:r>
              <w:rPr>
                <w:rFonts w:ascii="Calibri" w:hAnsi="Calibri" w:cs="Calibri"/>
                <w:color w:val="000000"/>
                <w:sz w:val="18"/>
                <w:szCs w:val="18"/>
              </w:rPr>
              <w:t>May 2022</w:t>
            </w:r>
            <w:r w:rsidRPr="002F2ABA">
              <w:rPr>
                <w:rFonts w:ascii="Calibri" w:hAnsi="Calibri" w:cs="Calibri"/>
                <w:color w:val="000000"/>
                <w:sz w:val="18"/>
                <w:szCs w:val="18"/>
              </w:rPr>
              <w:t xml:space="preserve"> recommendation</w:t>
            </w:r>
            <w:r w:rsidR="00FA5986">
              <w:rPr>
                <w:rFonts w:ascii="Calibri" w:hAnsi="Calibri" w:cs="Calibri"/>
                <w:color w:val="000000"/>
                <w:sz w:val="18"/>
                <w:szCs w:val="18"/>
              </w:rPr>
              <w:t xml:space="preserve"> for this drug for a further 12 months</w:t>
            </w:r>
            <w:r>
              <w:rPr>
                <w:rFonts w:ascii="Calibri" w:hAnsi="Calibri" w:cs="Calibri"/>
                <w:color w:val="000000"/>
                <w:sz w:val="18"/>
                <w:szCs w:val="18"/>
              </w:rPr>
              <w:t>.</w:t>
            </w:r>
          </w:p>
          <w:p w14:paraId="5B070165" w14:textId="77777777" w:rsidR="0058150B" w:rsidRPr="002F2ABA" w:rsidRDefault="0058150B" w:rsidP="0058150B">
            <w:pPr>
              <w:ind w:left="11"/>
              <w:contextualSpacing/>
              <w:jc w:val="both"/>
              <w:rPr>
                <w:rFonts w:ascii="Calibri" w:hAnsi="Calibri" w:cs="Calibri"/>
                <w:color w:val="000000"/>
                <w:sz w:val="18"/>
                <w:szCs w:val="18"/>
              </w:rPr>
            </w:pPr>
          </w:p>
        </w:tc>
      </w:tr>
      <w:tr w:rsidR="00924624" w:rsidRPr="00544E10" w14:paraId="3C8AD93B" w14:textId="77777777" w:rsidTr="003D3CC4">
        <w:trPr>
          <w:cantSplit/>
          <w:trHeight w:val="868"/>
        </w:trPr>
        <w:tc>
          <w:tcPr>
            <w:tcW w:w="341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C72C6CC" w14:textId="50EEE7B5" w:rsidR="00085345" w:rsidRDefault="00085345" w:rsidP="00085345">
            <w:pPr>
              <w:jc w:val="center"/>
              <w:rPr>
                <w:rFonts w:ascii="Calibri" w:hAnsi="Calibri" w:cs="Calibri"/>
                <w:color w:val="000000"/>
                <w:sz w:val="18"/>
                <w:szCs w:val="18"/>
              </w:rPr>
            </w:pPr>
            <w:r>
              <w:rPr>
                <w:rFonts w:ascii="Calibri" w:hAnsi="Calibri" w:cs="Calibri"/>
                <w:color w:val="000000"/>
                <w:sz w:val="18"/>
                <w:szCs w:val="18"/>
              </w:rPr>
              <w:t xml:space="preserve">PNEUMOCOCCAL CONJUGATE VACCINE, 15-VALENT ADSORBED </w:t>
            </w:r>
            <w:r>
              <w:rPr>
                <w:rFonts w:ascii="Calibri" w:hAnsi="Calibri" w:cs="Calibri"/>
                <w:color w:val="000000"/>
                <w:sz w:val="18"/>
                <w:szCs w:val="18"/>
              </w:rPr>
              <w:br/>
            </w:r>
            <w:r>
              <w:rPr>
                <w:rFonts w:ascii="Calibri" w:hAnsi="Calibri" w:cs="Calibri"/>
                <w:color w:val="000000"/>
                <w:sz w:val="18"/>
                <w:szCs w:val="18"/>
              </w:rPr>
              <w:br/>
              <w:t>0.5 mL pre-filled syringe</w:t>
            </w:r>
            <w:r>
              <w:rPr>
                <w:rFonts w:ascii="Calibri" w:hAnsi="Calibri" w:cs="Calibri"/>
                <w:color w:val="000000"/>
                <w:sz w:val="18"/>
                <w:szCs w:val="18"/>
              </w:rPr>
              <w:br/>
            </w:r>
            <w:r>
              <w:rPr>
                <w:rFonts w:ascii="Calibri" w:hAnsi="Calibri" w:cs="Calibri"/>
                <w:color w:val="000000"/>
                <w:sz w:val="18"/>
                <w:szCs w:val="18"/>
              </w:rPr>
              <w:br/>
            </w:r>
            <w:proofErr w:type="spellStart"/>
            <w:r>
              <w:rPr>
                <w:rFonts w:ascii="Calibri" w:hAnsi="Calibri" w:cs="Calibri"/>
                <w:color w:val="000000"/>
                <w:sz w:val="18"/>
                <w:szCs w:val="18"/>
              </w:rPr>
              <w:t>Vaxneuvance</w:t>
            </w:r>
            <w:proofErr w:type="spellEnd"/>
            <w:r>
              <w:rPr>
                <w:rFonts w:ascii="Calibri" w:hAnsi="Calibri" w:cs="Calibri"/>
                <w:color w:val="000000"/>
                <w:sz w:val="18"/>
                <w:szCs w:val="18"/>
              </w:rPr>
              <w:t xml:space="preserve">® </w:t>
            </w:r>
            <w:r>
              <w:rPr>
                <w:rFonts w:ascii="Calibri" w:hAnsi="Calibri" w:cs="Calibri"/>
                <w:color w:val="000000"/>
                <w:sz w:val="18"/>
                <w:szCs w:val="18"/>
              </w:rPr>
              <w:br/>
            </w:r>
            <w:r>
              <w:rPr>
                <w:rFonts w:ascii="Calibri" w:hAnsi="Calibri" w:cs="Calibri"/>
                <w:color w:val="000000"/>
                <w:sz w:val="18"/>
                <w:szCs w:val="18"/>
              </w:rPr>
              <w:br/>
              <w:t>MERCK SHARP &amp; DOHME (Australia) PTY LTD</w:t>
            </w:r>
            <w:r>
              <w:rPr>
                <w:rFonts w:ascii="Calibri" w:hAnsi="Calibri" w:cs="Calibri"/>
                <w:color w:val="000000"/>
                <w:sz w:val="18"/>
                <w:szCs w:val="18"/>
              </w:rPr>
              <w:br/>
            </w:r>
            <w:r>
              <w:rPr>
                <w:rFonts w:ascii="Calibri" w:hAnsi="Calibri" w:cs="Calibri"/>
                <w:color w:val="000000"/>
                <w:sz w:val="18"/>
                <w:szCs w:val="18"/>
              </w:rPr>
              <w:br/>
            </w:r>
            <w:r w:rsidRPr="005F21D6">
              <w:rPr>
                <w:rFonts w:ascii="Calibri" w:hAnsi="Calibri" w:cs="Calibri"/>
                <w:color w:val="000000"/>
                <w:sz w:val="18"/>
                <w:szCs w:val="18"/>
              </w:rPr>
              <w:t>(</w:t>
            </w:r>
            <w:r w:rsidRPr="005A52E5">
              <w:rPr>
                <w:rFonts w:ascii="Calibri" w:hAnsi="Calibri" w:cs="Calibri"/>
                <w:color w:val="000000"/>
                <w:sz w:val="18"/>
                <w:szCs w:val="18"/>
              </w:rPr>
              <w:t>Review of positive PBAC recommendations not accepted by applicants</w:t>
            </w:r>
            <w:r w:rsidRPr="005F21D6">
              <w:rPr>
                <w:rFonts w:ascii="Calibri" w:hAnsi="Calibri" w:cs="Calibri"/>
                <w:color w:val="000000"/>
                <w:sz w:val="18"/>
                <w:szCs w:val="18"/>
              </w:rPr>
              <w:t>)</w:t>
            </w:r>
          </w:p>
        </w:tc>
        <w:tc>
          <w:tcPr>
            <w:tcW w:w="1919" w:type="dxa"/>
            <w:tcBorders>
              <w:top w:val="single" w:sz="4" w:space="0" w:color="auto"/>
              <w:left w:val="single" w:sz="4" w:space="0" w:color="auto"/>
              <w:bottom w:val="single" w:sz="4" w:space="0" w:color="auto"/>
              <w:right w:val="single" w:sz="4" w:space="0" w:color="auto"/>
            </w:tcBorders>
            <w:vAlign w:val="center"/>
          </w:tcPr>
          <w:p w14:paraId="0A416F62" w14:textId="00930FD0" w:rsidR="00085345" w:rsidRDefault="00085345" w:rsidP="00085345">
            <w:pPr>
              <w:jc w:val="center"/>
              <w:rPr>
                <w:rFonts w:ascii="Calibri" w:hAnsi="Calibri" w:cs="Calibri"/>
                <w:color w:val="000000"/>
                <w:sz w:val="18"/>
                <w:szCs w:val="18"/>
              </w:rPr>
            </w:pPr>
            <w:r>
              <w:rPr>
                <w:rFonts w:ascii="Calibri" w:hAnsi="Calibri" w:cs="Calibri"/>
                <w:color w:val="000000"/>
                <w:sz w:val="18"/>
                <w:szCs w:val="18"/>
              </w:rPr>
              <w:t>Prevention of pneumococcal disease</w:t>
            </w:r>
          </w:p>
        </w:tc>
        <w:tc>
          <w:tcPr>
            <w:tcW w:w="273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B5AAC0A" w14:textId="24D24E25" w:rsidR="00085345" w:rsidRDefault="00085345" w:rsidP="00085345">
            <w:pPr>
              <w:jc w:val="center"/>
              <w:rPr>
                <w:rFonts w:ascii="Calibri" w:hAnsi="Calibri" w:cs="Calibri"/>
                <w:color w:val="000000"/>
                <w:sz w:val="18"/>
                <w:szCs w:val="18"/>
              </w:rPr>
            </w:pPr>
            <w:r>
              <w:rPr>
                <w:rFonts w:ascii="Calibri" w:hAnsi="Calibri" w:cs="Calibri"/>
                <w:color w:val="000000"/>
                <w:sz w:val="18"/>
                <w:szCs w:val="18"/>
              </w:rPr>
              <w:t>To request the PBAC review its March 2023 recommendation that has not yet been accepted by the applicant.</w:t>
            </w:r>
          </w:p>
        </w:tc>
        <w:tc>
          <w:tcPr>
            <w:tcW w:w="5387" w:type="dxa"/>
            <w:vAlign w:val="center"/>
          </w:tcPr>
          <w:p w14:paraId="15B925BF" w14:textId="798EFC3A" w:rsidR="00085345" w:rsidRPr="002F2ABA" w:rsidRDefault="00085345" w:rsidP="00085345">
            <w:pPr>
              <w:ind w:left="11"/>
              <w:contextualSpacing/>
              <w:jc w:val="both"/>
              <w:rPr>
                <w:rFonts w:ascii="Calibri" w:hAnsi="Calibri" w:cs="Calibri"/>
                <w:color w:val="000000"/>
                <w:sz w:val="18"/>
                <w:szCs w:val="18"/>
              </w:rPr>
            </w:pPr>
            <w:r w:rsidRPr="002F2ABA">
              <w:rPr>
                <w:rFonts w:ascii="Calibri" w:hAnsi="Calibri" w:cs="Calibri"/>
                <w:color w:val="000000"/>
                <w:sz w:val="18"/>
                <w:szCs w:val="18"/>
              </w:rPr>
              <w:t xml:space="preserve">In </w:t>
            </w:r>
            <w:r>
              <w:rPr>
                <w:rFonts w:ascii="Calibri" w:hAnsi="Calibri" w:cs="Calibri"/>
                <w:color w:val="000000"/>
                <w:sz w:val="18"/>
                <w:szCs w:val="18"/>
              </w:rPr>
              <w:t>March 2026</w:t>
            </w:r>
            <w:r w:rsidRPr="002F2ABA">
              <w:rPr>
                <w:rFonts w:ascii="Calibri" w:hAnsi="Calibri" w:cs="Calibri"/>
                <w:color w:val="000000"/>
                <w:sz w:val="18"/>
                <w:szCs w:val="18"/>
              </w:rPr>
              <w:t xml:space="preserve">, the PBAC </w:t>
            </w:r>
            <w:r>
              <w:rPr>
                <w:rFonts w:ascii="Calibri" w:hAnsi="Calibri" w:cs="Calibri"/>
                <w:color w:val="000000"/>
                <w:sz w:val="18"/>
                <w:szCs w:val="18"/>
              </w:rPr>
              <w:t>rescinded</w:t>
            </w:r>
            <w:r w:rsidRPr="002F2ABA">
              <w:rPr>
                <w:rFonts w:ascii="Calibri" w:hAnsi="Calibri" w:cs="Calibri"/>
                <w:color w:val="000000"/>
                <w:sz w:val="18"/>
                <w:szCs w:val="18"/>
              </w:rPr>
              <w:t xml:space="preserve"> its </w:t>
            </w:r>
            <w:r>
              <w:rPr>
                <w:rFonts w:ascii="Calibri" w:hAnsi="Calibri" w:cs="Calibri"/>
                <w:color w:val="000000"/>
                <w:sz w:val="18"/>
                <w:szCs w:val="18"/>
              </w:rPr>
              <w:t>March 2023</w:t>
            </w:r>
            <w:r w:rsidRPr="002F2ABA">
              <w:rPr>
                <w:rFonts w:ascii="Calibri" w:hAnsi="Calibri" w:cs="Calibri"/>
                <w:color w:val="000000"/>
                <w:sz w:val="18"/>
                <w:szCs w:val="18"/>
              </w:rPr>
              <w:t xml:space="preserve"> recommendation</w:t>
            </w:r>
            <w:r>
              <w:rPr>
                <w:rFonts w:ascii="Calibri" w:hAnsi="Calibri" w:cs="Calibri"/>
                <w:color w:val="000000"/>
                <w:sz w:val="18"/>
                <w:szCs w:val="18"/>
              </w:rPr>
              <w:t>.</w:t>
            </w:r>
          </w:p>
          <w:p w14:paraId="3086C045" w14:textId="77777777" w:rsidR="00085345" w:rsidRPr="002F2ABA" w:rsidRDefault="00085345" w:rsidP="00085345">
            <w:pPr>
              <w:ind w:left="11"/>
              <w:contextualSpacing/>
              <w:jc w:val="both"/>
              <w:rPr>
                <w:rFonts w:ascii="Calibri" w:hAnsi="Calibri" w:cs="Calibri"/>
                <w:color w:val="000000"/>
                <w:sz w:val="18"/>
                <w:szCs w:val="18"/>
              </w:rPr>
            </w:pPr>
          </w:p>
        </w:tc>
      </w:tr>
      <w:tr w:rsidR="00924624" w:rsidRPr="00544E10" w14:paraId="7DC0F9C3" w14:textId="77777777" w:rsidTr="003D3CC4">
        <w:trPr>
          <w:cantSplit/>
          <w:trHeight w:val="868"/>
        </w:trPr>
        <w:tc>
          <w:tcPr>
            <w:tcW w:w="341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8C438A2" w14:textId="3D4FE9EE" w:rsidR="00964205" w:rsidRDefault="00964205" w:rsidP="00010E81">
            <w:pPr>
              <w:jc w:val="center"/>
              <w:rPr>
                <w:rFonts w:ascii="Calibri" w:hAnsi="Calibri" w:cs="Calibri"/>
                <w:color w:val="000000"/>
                <w:sz w:val="18"/>
                <w:szCs w:val="18"/>
              </w:rPr>
            </w:pPr>
            <w:r>
              <w:rPr>
                <w:rFonts w:ascii="Calibri" w:hAnsi="Calibri" w:cs="Calibri"/>
                <w:color w:val="000000"/>
                <w:sz w:val="18"/>
                <w:szCs w:val="18"/>
              </w:rPr>
              <w:t xml:space="preserve">PNEUMOCOCCAL POLYSACCHARIDE CONJUGATE VACCINE, 15-VALENT ADSORBED </w:t>
            </w:r>
            <w:r>
              <w:rPr>
                <w:rFonts w:ascii="Calibri" w:hAnsi="Calibri" w:cs="Calibri"/>
                <w:color w:val="000000"/>
                <w:sz w:val="18"/>
                <w:szCs w:val="18"/>
              </w:rPr>
              <w:br/>
            </w:r>
            <w:r>
              <w:rPr>
                <w:rFonts w:ascii="Calibri" w:hAnsi="Calibri" w:cs="Calibri"/>
                <w:color w:val="000000"/>
                <w:sz w:val="18"/>
                <w:szCs w:val="18"/>
              </w:rPr>
              <w:br/>
              <w:t>0.5 mL pre-filled syringe</w:t>
            </w:r>
            <w:r>
              <w:rPr>
                <w:rFonts w:ascii="Calibri" w:hAnsi="Calibri" w:cs="Calibri"/>
                <w:color w:val="000000"/>
                <w:sz w:val="18"/>
                <w:szCs w:val="18"/>
              </w:rPr>
              <w:br/>
            </w:r>
            <w:r>
              <w:rPr>
                <w:rFonts w:ascii="Calibri" w:hAnsi="Calibri" w:cs="Calibri"/>
                <w:color w:val="000000"/>
                <w:sz w:val="18"/>
                <w:szCs w:val="18"/>
              </w:rPr>
              <w:br/>
              <w:t xml:space="preserve">To be determined </w:t>
            </w:r>
            <w:r>
              <w:rPr>
                <w:rFonts w:ascii="Calibri" w:hAnsi="Calibri" w:cs="Calibri"/>
                <w:color w:val="000000"/>
                <w:sz w:val="18"/>
                <w:szCs w:val="18"/>
              </w:rPr>
              <w:br/>
            </w:r>
            <w:r>
              <w:rPr>
                <w:rFonts w:ascii="Calibri" w:hAnsi="Calibri" w:cs="Calibri"/>
                <w:color w:val="000000"/>
                <w:sz w:val="18"/>
                <w:szCs w:val="18"/>
              </w:rPr>
              <w:br/>
              <w:t>MERCK SHARP &amp; DOHME (Australia) PTY LTD</w:t>
            </w:r>
            <w:r w:rsidR="00010E81">
              <w:rPr>
                <w:rFonts w:ascii="Calibri" w:hAnsi="Calibri" w:cs="Calibri"/>
                <w:color w:val="000000"/>
                <w:sz w:val="18"/>
                <w:szCs w:val="18"/>
              </w:rPr>
              <w:br/>
            </w:r>
            <w:r>
              <w:rPr>
                <w:rFonts w:ascii="Calibri" w:hAnsi="Calibri" w:cs="Calibri"/>
                <w:color w:val="000000"/>
                <w:sz w:val="18"/>
                <w:szCs w:val="18"/>
              </w:rPr>
              <w:br/>
            </w:r>
            <w:r w:rsidRPr="005F21D6">
              <w:rPr>
                <w:rFonts w:ascii="Calibri" w:hAnsi="Calibri" w:cs="Calibri"/>
                <w:color w:val="000000"/>
                <w:sz w:val="18"/>
                <w:szCs w:val="18"/>
              </w:rPr>
              <w:t>(</w:t>
            </w:r>
            <w:r w:rsidRPr="005A52E5">
              <w:rPr>
                <w:rFonts w:ascii="Calibri" w:hAnsi="Calibri" w:cs="Calibri"/>
                <w:color w:val="000000"/>
                <w:sz w:val="18"/>
                <w:szCs w:val="18"/>
              </w:rPr>
              <w:t>Review of positive PBAC recommendations not accepted by applicants</w:t>
            </w:r>
            <w:r w:rsidRPr="005F21D6">
              <w:rPr>
                <w:rFonts w:ascii="Calibri" w:hAnsi="Calibri" w:cs="Calibri"/>
                <w:color w:val="000000"/>
                <w:sz w:val="18"/>
                <w:szCs w:val="18"/>
              </w:rPr>
              <w:t>)</w:t>
            </w:r>
          </w:p>
        </w:tc>
        <w:tc>
          <w:tcPr>
            <w:tcW w:w="1919" w:type="dxa"/>
            <w:tcBorders>
              <w:top w:val="single" w:sz="4" w:space="0" w:color="auto"/>
              <w:left w:val="single" w:sz="4" w:space="0" w:color="auto"/>
              <w:bottom w:val="single" w:sz="4" w:space="0" w:color="auto"/>
              <w:right w:val="single" w:sz="4" w:space="0" w:color="auto"/>
            </w:tcBorders>
            <w:vAlign w:val="center"/>
          </w:tcPr>
          <w:p w14:paraId="0ABD70D4" w14:textId="5DB2C5AB" w:rsidR="00964205" w:rsidRDefault="00964205" w:rsidP="00964205">
            <w:pPr>
              <w:jc w:val="center"/>
              <w:rPr>
                <w:rFonts w:ascii="Calibri" w:hAnsi="Calibri" w:cs="Calibri"/>
                <w:color w:val="000000"/>
                <w:sz w:val="18"/>
                <w:szCs w:val="18"/>
              </w:rPr>
            </w:pPr>
            <w:r>
              <w:rPr>
                <w:rFonts w:ascii="Calibri" w:hAnsi="Calibri" w:cs="Calibri"/>
                <w:color w:val="000000"/>
                <w:sz w:val="18"/>
                <w:szCs w:val="18"/>
              </w:rPr>
              <w:t>Prevention of pneumococcal disease</w:t>
            </w:r>
          </w:p>
        </w:tc>
        <w:tc>
          <w:tcPr>
            <w:tcW w:w="273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09E1D8E" w14:textId="2E5609B0" w:rsidR="00964205" w:rsidRDefault="00964205" w:rsidP="00964205">
            <w:pPr>
              <w:jc w:val="center"/>
              <w:rPr>
                <w:rFonts w:ascii="Calibri" w:hAnsi="Calibri" w:cs="Calibri"/>
                <w:color w:val="000000"/>
                <w:sz w:val="18"/>
                <w:szCs w:val="18"/>
              </w:rPr>
            </w:pPr>
            <w:r>
              <w:rPr>
                <w:rFonts w:ascii="Calibri" w:hAnsi="Calibri" w:cs="Calibri"/>
                <w:color w:val="000000"/>
                <w:sz w:val="18"/>
                <w:szCs w:val="18"/>
              </w:rPr>
              <w:t xml:space="preserve">To request the PBAC review its November 2021 recommendation that has not yet been accepted by the applicant. </w:t>
            </w:r>
          </w:p>
        </w:tc>
        <w:tc>
          <w:tcPr>
            <w:tcW w:w="5387" w:type="dxa"/>
            <w:vAlign w:val="center"/>
          </w:tcPr>
          <w:p w14:paraId="5C71B92C" w14:textId="2086963A" w:rsidR="00C94DD7" w:rsidRPr="002F2ABA" w:rsidRDefault="00C94DD7" w:rsidP="00C94DD7">
            <w:pPr>
              <w:ind w:left="11"/>
              <w:contextualSpacing/>
              <w:jc w:val="both"/>
              <w:rPr>
                <w:rFonts w:ascii="Calibri" w:hAnsi="Calibri" w:cs="Calibri"/>
                <w:color w:val="000000"/>
                <w:sz w:val="18"/>
                <w:szCs w:val="18"/>
              </w:rPr>
            </w:pPr>
            <w:r w:rsidRPr="002F2ABA">
              <w:rPr>
                <w:rFonts w:ascii="Calibri" w:hAnsi="Calibri" w:cs="Calibri"/>
                <w:color w:val="000000"/>
                <w:sz w:val="18"/>
                <w:szCs w:val="18"/>
              </w:rPr>
              <w:t xml:space="preserve">In </w:t>
            </w:r>
            <w:r>
              <w:rPr>
                <w:rFonts w:ascii="Calibri" w:hAnsi="Calibri" w:cs="Calibri"/>
                <w:color w:val="000000"/>
                <w:sz w:val="18"/>
                <w:szCs w:val="18"/>
              </w:rPr>
              <w:t>March 2026</w:t>
            </w:r>
            <w:r w:rsidRPr="002F2ABA">
              <w:rPr>
                <w:rFonts w:ascii="Calibri" w:hAnsi="Calibri" w:cs="Calibri"/>
                <w:color w:val="000000"/>
                <w:sz w:val="18"/>
                <w:szCs w:val="18"/>
              </w:rPr>
              <w:t xml:space="preserve">, the PBAC </w:t>
            </w:r>
            <w:r>
              <w:rPr>
                <w:rFonts w:ascii="Calibri" w:hAnsi="Calibri" w:cs="Calibri"/>
                <w:color w:val="000000"/>
                <w:sz w:val="18"/>
                <w:szCs w:val="18"/>
              </w:rPr>
              <w:t>rescinded</w:t>
            </w:r>
            <w:r w:rsidRPr="002F2ABA">
              <w:rPr>
                <w:rFonts w:ascii="Calibri" w:hAnsi="Calibri" w:cs="Calibri"/>
                <w:color w:val="000000"/>
                <w:sz w:val="18"/>
                <w:szCs w:val="18"/>
              </w:rPr>
              <w:t xml:space="preserve"> its </w:t>
            </w:r>
            <w:r>
              <w:rPr>
                <w:rFonts w:ascii="Calibri" w:hAnsi="Calibri" w:cs="Calibri"/>
                <w:color w:val="000000"/>
                <w:sz w:val="18"/>
                <w:szCs w:val="18"/>
              </w:rPr>
              <w:t>November 2021</w:t>
            </w:r>
            <w:r w:rsidRPr="002F2ABA">
              <w:rPr>
                <w:rFonts w:ascii="Calibri" w:hAnsi="Calibri" w:cs="Calibri"/>
                <w:color w:val="000000"/>
                <w:sz w:val="18"/>
                <w:szCs w:val="18"/>
              </w:rPr>
              <w:t xml:space="preserve"> recommendation</w:t>
            </w:r>
            <w:r>
              <w:rPr>
                <w:rFonts w:ascii="Calibri" w:hAnsi="Calibri" w:cs="Calibri"/>
                <w:color w:val="000000"/>
                <w:sz w:val="18"/>
                <w:szCs w:val="18"/>
              </w:rPr>
              <w:t>.</w:t>
            </w:r>
          </w:p>
          <w:p w14:paraId="6CE08E53" w14:textId="77777777" w:rsidR="00964205" w:rsidRPr="002F2ABA" w:rsidRDefault="00964205" w:rsidP="00964205">
            <w:pPr>
              <w:ind w:left="11"/>
              <w:contextualSpacing/>
              <w:jc w:val="both"/>
              <w:rPr>
                <w:rFonts w:ascii="Calibri" w:hAnsi="Calibri" w:cs="Calibri"/>
                <w:color w:val="000000"/>
                <w:sz w:val="18"/>
                <w:szCs w:val="18"/>
              </w:rPr>
            </w:pPr>
          </w:p>
        </w:tc>
      </w:tr>
      <w:tr w:rsidR="00924624" w:rsidRPr="00544E10" w14:paraId="582C8E2B" w14:textId="77777777" w:rsidTr="003D3CC4">
        <w:trPr>
          <w:cantSplit/>
          <w:trHeight w:val="868"/>
        </w:trPr>
        <w:tc>
          <w:tcPr>
            <w:tcW w:w="341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83C6C21" w14:textId="270AF80E" w:rsidR="00010E81" w:rsidRDefault="00010E81" w:rsidP="00010E81">
            <w:pPr>
              <w:jc w:val="center"/>
              <w:rPr>
                <w:rFonts w:ascii="Calibri" w:hAnsi="Calibri" w:cs="Calibri"/>
                <w:color w:val="000000"/>
                <w:sz w:val="18"/>
                <w:szCs w:val="18"/>
              </w:rPr>
            </w:pPr>
            <w:r>
              <w:rPr>
                <w:rFonts w:ascii="Calibri" w:hAnsi="Calibri" w:cs="Calibri"/>
                <w:color w:val="000000"/>
                <w:sz w:val="18"/>
                <w:szCs w:val="18"/>
              </w:rPr>
              <w:t xml:space="preserve">PNEUMOCOCCAL POLYSACCHARIDE CONJUGATE VACCINE, 20-VALENT ADSORBED </w:t>
            </w:r>
            <w:r>
              <w:rPr>
                <w:rFonts w:ascii="Calibri" w:hAnsi="Calibri" w:cs="Calibri"/>
                <w:color w:val="000000"/>
                <w:sz w:val="18"/>
                <w:szCs w:val="18"/>
              </w:rPr>
              <w:br/>
            </w:r>
            <w:r>
              <w:rPr>
                <w:rFonts w:ascii="Calibri" w:hAnsi="Calibri" w:cs="Calibri"/>
                <w:color w:val="000000"/>
                <w:sz w:val="18"/>
                <w:szCs w:val="18"/>
              </w:rPr>
              <w:br/>
              <w:t>0.5 mL pre-filled syringe</w:t>
            </w:r>
            <w:r>
              <w:rPr>
                <w:rFonts w:ascii="Calibri" w:hAnsi="Calibri" w:cs="Calibri"/>
                <w:color w:val="000000"/>
                <w:sz w:val="18"/>
                <w:szCs w:val="18"/>
              </w:rPr>
              <w:br/>
            </w:r>
            <w:r>
              <w:rPr>
                <w:rFonts w:ascii="Calibri" w:hAnsi="Calibri" w:cs="Calibri"/>
                <w:color w:val="000000"/>
                <w:sz w:val="18"/>
                <w:szCs w:val="18"/>
              </w:rPr>
              <w:br/>
              <w:t xml:space="preserve">Prevenar 20® </w:t>
            </w:r>
            <w:r>
              <w:rPr>
                <w:rFonts w:ascii="Calibri" w:hAnsi="Calibri" w:cs="Calibri"/>
                <w:color w:val="000000"/>
                <w:sz w:val="18"/>
                <w:szCs w:val="18"/>
              </w:rPr>
              <w:br/>
            </w:r>
            <w:r>
              <w:rPr>
                <w:rFonts w:ascii="Calibri" w:hAnsi="Calibri" w:cs="Calibri"/>
                <w:color w:val="000000"/>
                <w:sz w:val="18"/>
                <w:szCs w:val="18"/>
              </w:rPr>
              <w:br/>
              <w:t>PFIZER AUSTRALIA PTY LTD</w:t>
            </w:r>
            <w:r>
              <w:rPr>
                <w:rFonts w:ascii="Calibri" w:hAnsi="Calibri" w:cs="Calibri"/>
                <w:color w:val="000000"/>
                <w:sz w:val="18"/>
                <w:szCs w:val="18"/>
              </w:rPr>
              <w:br/>
            </w:r>
            <w:r>
              <w:rPr>
                <w:rFonts w:ascii="Calibri" w:hAnsi="Calibri" w:cs="Calibri"/>
                <w:color w:val="000000"/>
                <w:sz w:val="18"/>
                <w:szCs w:val="18"/>
              </w:rPr>
              <w:br/>
            </w:r>
            <w:r w:rsidRPr="005F21D6">
              <w:rPr>
                <w:rFonts w:ascii="Calibri" w:hAnsi="Calibri" w:cs="Calibri"/>
                <w:color w:val="000000"/>
                <w:sz w:val="18"/>
                <w:szCs w:val="18"/>
              </w:rPr>
              <w:t>(</w:t>
            </w:r>
            <w:r w:rsidRPr="005A52E5">
              <w:rPr>
                <w:rFonts w:ascii="Calibri" w:hAnsi="Calibri" w:cs="Calibri"/>
                <w:color w:val="000000"/>
                <w:sz w:val="18"/>
                <w:szCs w:val="18"/>
              </w:rPr>
              <w:t>Review of positive PBAC recommendations not accepted by applicants</w:t>
            </w:r>
            <w:r w:rsidRPr="005F21D6">
              <w:rPr>
                <w:rFonts w:ascii="Calibri" w:hAnsi="Calibri" w:cs="Calibri"/>
                <w:color w:val="000000"/>
                <w:sz w:val="18"/>
                <w:szCs w:val="18"/>
              </w:rPr>
              <w:t>)</w:t>
            </w:r>
          </w:p>
        </w:tc>
        <w:tc>
          <w:tcPr>
            <w:tcW w:w="1919" w:type="dxa"/>
            <w:tcBorders>
              <w:top w:val="single" w:sz="4" w:space="0" w:color="auto"/>
              <w:left w:val="single" w:sz="4" w:space="0" w:color="auto"/>
              <w:bottom w:val="single" w:sz="4" w:space="0" w:color="auto"/>
              <w:right w:val="single" w:sz="4" w:space="0" w:color="auto"/>
            </w:tcBorders>
            <w:vAlign w:val="center"/>
          </w:tcPr>
          <w:p w14:paraId="210D23B4" w14:textId="51805208" w:rsidR="00010E81" w:rsidRDefault="00010E81" w:rsidP="00010E81">
            <w:pPr>
              <w:jc w:val="center"/>
              <w:rPr>
                <w:rFonts w:ascii="Calibri" w:hAnsi="Calibri" w:cs="Calibri"/>
                <w:color w:val="000000"/>
                <w:sz w:val="18"/>
                <w:szCs w:val="18"/>
              </w:rPr>
            </w:pPr>
            <w:r>
              <w:rPr>
                <w:rFonts w:ascii="Calibri" w:hAnsi="Calibri" w:cs="Calibri"/>
                <w:color w:val="000000"/>
                <w:sz w:val="18"/>
                <w:szCs w:val="18"/>
              </w:rPr>
              <w:t>Prevention of pneumococcal disease</w:t>
            </w:r>
          </w:p>
        </w:tc>
        <w:tc>
          <w:tcPr>
            <w:tcW w:w="273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01F7195" w14:textId="42D7DE2A" w:rsidR="00010E81" w:rsidRDefault="00010E81" w:rsidP="00010E81">
            <w:pPr>
              <w:jc w:val="center"/>
              <w:rPr>
                <w:rFonts w:ascii="Calibri" w:hAnsi="Calibri" w:cs="Calibri"/>
                <w:color w:val="000000"/>
                <w:sz w:val="18"/>
                <w:szCs w:val="18"/>
              </w:rPr>
            </w:pPr>
            <w:r>
              <w:rPr>
                <w:rFonts w:ascii="Calibri" w:hAnsi="Calibri" w:cs="Calibri"/>
                <w:color w:val="000000"/>
                <w:sz w:val="18"/>
                <w:szCs w:val="18"/>
              </w:rPr>
              <w:t xml:space="preserve">To request the PBAC review its November 2022 recommendation that has not yet been accepted by the applicant. </w:t>
            </w:r>
          </w:p>
        </w:tc>
        <w:tc>
          <w:tcPr>
            <w:tcW w:w="5387" w:type="dxa"/>
            <w:vAlign w:val="center"/>
          </w:tcPr>
          <w:p w14:paraId="215515A8" w14:textId="4F7F7006" w:rsidR="00010E81" w:rsidRPr="002F2ABA" w:rsidRDefault="00010E81" w:rsidP="00010E81">
            <w:pPr>
              <w:ind w:left="11"/>
              <w:contextualSpacing/>
              <w:jc w:val="both"/>
              <w:rPr>
                <w:rFonts w:ascii="Calibri" w:hAnsi="Calibri" w:cs="Calibri"/>
                <w:color w:val="000000"/>
                <w:sz w:val="18"/>
                <w:szCs w:val="18"/>
              </w:rPr>
            </w:pPr>
            <w:r w:rsidRPr="002F2ABA">
              <w:rPr>
                <w:rFonts w:ascii="Calibri" w:hAnsi="Calibri" w:cs="Calibri"/>
                <w:color w:val="000000"/>
                <w:sz w:val="18"/>
                <w:szCs w:val="18"/>
              </w:rPr>
              <w:t xml:space="preserve">In </w:t>
            </w:r>
            <w:r>
              <w:rPr>
                <w:rFonts w:ascii="Calibri" w:hAnsi="Calibri" w:cs="Calibri"/>
                <w:color w:val="000000"/>
                <w:sz w:val="18"/>
                <w:szCs w:val="18"/>
              </w:rPr>
              <w:t>March 2026</w:t>
            </w:r>
            <w:r w:rsidRPr="002F2ABA">
              <w:rPr>
                <w:rFonts w:ascii="Calibri" w:hAnsi="Calibri" w:cs="Calibri"/>
                <w:color w:val="000000"/>
                <w:sz w:val="18"/>
                <w:szCs w:val="18"/>
              </w:rPr>
              <w:t xml:space="preserve">, the PBAC </w:t>
            </w:r>
            <w:r>
              <w:rPr>
                <w:rFonts w:ascii="Calibri" w:hAnsi="Calibri" w:cs="Calibri"/>
                <w:color w:val="000000"/>
                <w:sz w:val="18"/>
                <w:szCs w:val="18"/>
              </w:rPr>
              <w:t>rescinded</w:t>
            </w:r>
            <w:r w:rsidRPr="002F2ABA">
              <w:rPr>
                <w:rFonts w:ascii="Calibri" w:hAnsi="Calibri" w:cs="Calibri"/>
                <w:color w:val="000000"/>
                <w:sz w:val="18"/>
                <w:szCs w:val="18"/>
              </w:rPr>
              <w:t xml:space="preserve"> its </w:t>
            </w:r>
            <w:r>
              <w:rPr>
                <w:rFonts w:ascii="Calibri" w:hAnsi="Calibri" w:cs="Calibri"/>
                <w:color w:val="000000"/>
                <w:sz w:val="18"/>
                <w:szCs w:val="18"/>
              </w:rPr>
              <w:t>November 2022</w:t>
            </w:r>
            <w:r w:rsidRPr="002F2ABA">
              <w:rPr>
                <w:rFonts w:ascii="Calibri" w:hAnsi="Calibri" w:cs="Calibri"/>
                <w:color w:val="000000"/>
                <w:sz w:val="18"/>
                <w:szCs w:val="18"/>
              </w:rPr>
              <w:t xml:space="preserve"> recommendation</w:t>
            </w:r>
            <w:r>
              <w:rPr>
                <w:rFonts w:ascii="Calibri" w:hAnsi="Calibri" w:cs="Calibri"/>
                <w:color w:val="000000"/>
                <w:sz w:val="18"/>
                <w:szCs w:val="18"/>
              </w:rPr>
              <w:t>.</w:t>
            </w:r>
          </w:p>
        </w:tc>
      </w:tr>
      <w:tr w:rsidR="00924624" w:rsidRPr="00544E10" w14:paraId="7291D141" w14:textId="77777777" w:rsidTr="003D3CC4">
        <w:trPr>
          <w:cantSplit/>
          <w:trHeight w:val="868"/>
        </w:trPr>
        <w:tc>
          <w:tcPr>
            <w:tcW w:w="341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0220E91" w14:textId="392126C1" w:rsidR="000D1557" w:rsidRDefault="000D1557" w:rsidP="000D1557">
            <w:pPr>
              <w:jc w:val="center"/>
              <w:rPr>
                <w:rFonts w:ascii="Calibri" w:hAnsi="Calibri" w:cs="Calibri"/>
                <w:color w:val="000000"/>
                <w:sz w:val="18"/>
                <w:szCs w:val="18"/>
              </w:rPr>
            </w:pPr>
            <w:r>
              <w:rPr>
                <w:rFonts w:ascii="Calibri" w:hAnsi="Calibri" w:cs="Calibri"/>
                <w:color w:val="000000"/>
                <w:sz w:val="18"/>
                <w:szCs w:val="18"/>
              </w:rPr>
              <w:t>SODIUM ZIRCONIUM CYCLOSILICATE</w:t>
            </w:r>
            <w:r>
              <w:rPr>
                <w:rFonts w:ascii="Calibri" w:hAnsi="Calibri" w:cs="Calibri"/>
                <w:color w:val="000000"/>
                <w:sz w:val="18"/>
                <w:szCs w:val="18"/>
              </w:rPr>
              <w:br/>
            </w:r>
            <w:r>
              <w:rPr>
                <w:rFonts w:ascii="Calibri" w:hAnsi="Calibri" w:cs="Calibri"/>
                <w:color w:val="000000"/>
                <w:sz w:val="18"/>
                <w:szCs w:val="18"/>
              </w:rPr>
              <w:br/>
              <w:t>Sachet containing powder for oral suspension (as hydrate) 5 g</w:t>
            </w:r>
            <w:r>
              <w:rPr>
                <w:rFonts w:ascii="Calibri" w:hAnsi="Calibri" w:cs="Calibri"/>
                <w:color w:val="000000"/>
                <w:sz w:val="18"/>
                <w:szCs w:val="18"/>
              </w:rPr>
              <w:br/>
              <w:t>Sachet containing powder for oral suspension (as hydrate) 10 g</w:t>
            </w:r>
            <w:r>
              <w:rPr>
                <w:rFonts w:ascii="Calibri" w:hAnsi="Calibri" w:cs="Calibri"/>
                <w:color w:val="000000"/>
                <w:sz w:val="18"/>
                <w:szCs w:val="18"/>
              </w:rPr>
              <w:br/>
            </w:r>
            <w:r>
              <w:rPr>
                <w:rFonts w:ascii="Calibri" w:hAnsi="Calibri" w:cs="Calibri"/>
                <w:color w:val="000000"/>
                <w:sz w:val="18"/>
                <w:szCs w:val="18"/>
              </w:rPr>
              <w:br/>
            </w:r>
            <w:proofErr w:type="spellStart"/>
            <w:r>
              <w:rPr>
                <w:rFonts w:ascii="Calibri" w:hAnsi="Calibri" w:cs="Calibri"/>
                <w:color w:val="000000"/>
                <w:sz w:val="18"/>
                <w:szCs w:val="18"/>
              </w:rPr>
              <w:t>Lokelma</w:t>
            </w:r>
            <w:proofErr w:type="spellEnd"/>
            <w:r>
              <w:rPr>
                <w:rFonts w:ascii="Calibri" w:hAnsi="Calibri" w:cs="Calibri"/>
                <w:color w:val="000000"/>
                <w:sz w:val="18"/>
                <w:szCs w:val="18"/>
              </w:rPr>
              <w:t>®</w:t>
            </w:r>
            <w:r>
              <w:rPr>
                <w:rFonts w:ascii="Calibri" w:hAnsi="Calibri" w:cs="Calibri"/>
                <w:color w:val="000000"/>
                <w:sz w:val="18"/>
                <w:szCs w:val="18"/>
              </w:rPr>
              <w:br/>
            </w:r>
            <w:r>
              <w:rPr>
                <w:rFonts w:ascii="Calibri" w:hAnsi="Calibri" w:cs="Calibri"/>
                <w:color w:val="000000"/>
                <w:sz w:val="18"/>
                <w:szCs w:val="18"/>
              </w:rPr>
              <w:br/>
              <w:t>ASTRAZENECA PTY LTD</w:t>
            </w:r>
            <w:r>
              <w:rPr>
                <w:rFonts w:ascii="Calibri" w:hAnsi="Calibri" w:cs="Calibri"/>
                <w:color w:val="000000"/>
                <w:sz w:val="18"/>
                <w:szCs w:val="18"/>
              </w:rPr>
              <w:br/>
            </w:r>
            <w:r>
              <w:rPr>
                <w:rFonts w:ascii="Calibri" w:hAnsi="Calibri" w:cs="Calibri"/>
                <w:color w:val="000000"/>
                <w:sz w:val="18"/>
                <w:szCs w:val="18"/>
              </w:rPr>
              <w:br/>
            </w:r>
            <w:r w:rsidRPr="005F21D6">
              <w:rPr>
                <w:rFonts w:ascii="Calibri" w:hAnsi="Calibri" w:cs="Calibri"/>
                <w:color w:val="000000"/>
                <w:sz w:val="18"/>
                <w:szCs w:val="18"/>
              </w:rPr>
              <w:t>(</w:t>
            </w:r>
            <w:r w:rsidRPr="005A52E5">
              <w:rPr>
                <w:rFonts w:ascii="Calibri" w:hAnsi="Calibri" w:cs="Calibri"/>
                <w:color w:val="000000"/>
                <w:sz w:val="18"/>
                <w:szCs w:val="18"/>
              </w:rPr>
              <w:t>Review of positive PBAC recommendations not accepted by applicants</w:t>
            </w:r>
            <w:r w:rsidRPr="005F21D6">
              <w:rPr>
                <w:rFonts w:ascii="Calibri" w:hAnsi="Calibri" w:cs="Calibri"/>
                <w:color w:val="000000"/>
                <w:sz w:val="18"/>
                <w:szCs w:val="18"/>
              </w:rPr>
              <w:t>)</w:t>
            </w:r>
          </w:p>
        </w:tc>
        <w:tc>
          <w:tcPr>
            <w:tcW w:w="1919" w:type="dxa"/>
            <w:tcBorders>
              <w:top w:val="single" w:sz="4" w:space="0" w:color="auto"/>
              <w:left w:val="single" w:sz="4" w:space="0" w:color="auto"/>
              <w:bottom w:val="single" w:sz="4" w:space="0" w:color="auto"/>
              <w:right w:val="single" w:sz="4" w:space="0" w:color="auto"/>
            </w:tcBorders>
            <w:vAlign w:val="center"/>
          </w:tcPr>
          <w:p w14:paraId="6595CABB" w14:textId="6730CE99" w:rsidR="000D1557" w:rsidRDefault="000D1557" w:rsidP="000D1557">
            <w:pPr>
              <w:jc w:val="center"/>
              <w:rPr>
                <w:rFonts w:ascii="Calibri" w:hAnsi="Calibri" w:cs="Calibri"/>
                <w:color w:val="000000"/>
                <w:sz w:val="18"/>
                <w:szCs w:val="18"/>
              </w:rPr>
            </w:pPr>
            <w:r>
              <w:rPr>
                <w:rFonts w:ascii="Calibri" w:hAnsi="Calibri" w:cs="Calibri"/>
                <w:color w:val="000000"/>
                <w:sz w:val="18"/>
                <w:szCs w:val="18"/>
              </w:rPr>
              <w:t>Hyperkalaemia in patients with chronic kidney disease</w:t>
            </w:r>
          </w:p>
        </w:tc>
        <w:tc>
          <w:tcPr>
            <w:tcW w:w="273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E8F6417" w14:textId="5672AB35" w:rsidR="000D1557" w:rsidRDefault="000D1557" w:rsidP="000D1557">
            <w:pPr>
              <w:jc w:val="center"/>
              <w:rPr>
                <w:rFonts w:ascii="Calibri" w:hAnsi="Calibri" w:cs="Calibri"/>
                <w:color w:val="000000"/>
                <w:sz w:val="18"/>
                <w:szCs w:val="18"/>
              </w:rPr>
            </w:pPr>
            <w:r>
              <w:rPr>
                <w:rFonts w:ascii="Calibri" w:hAnsi="Calibri" w:cs="Calibri"/>
                <w:color w:val="000000"/>
                <w:sz w:val="18"/>
                <w:szCs w:val="18"/>
              </w:rPr>
              <w:t xml:space="preserve">To request the PBAC review its March 2024 recommendation that has not yet been accepted by the applicant. </w:t>
            </w:r>
          </w:p>
        </w:tc>
        <w:tc>
          <w:tcPr>
            <w:tcW w:w="5387" w:type="dxa"/>
            <w:vAlign w:val="center"/>
          </w:tcPr>
          <w:p w14:paraId="088BBF93" w14:textId="77777777" w:rsidR="000D1557" w:rsidRPr="002F2ABA" w:rsidRDefault="000D1557" w:rsidP="000D1557">
            <w:pPr>
              <w:ind w:left="11"/>
              <w:contextualSpacing/>
              <w:jc w:val="both"/>
              <w:rPr>
                <w:rFonts w:ascii="Calibri" w:hAnsi="Calibri" w:cs="Calibri"/>
                <w:color w:val="000000"/>
                <w:sz w:val="18"/>
                <w:szCs w:val="18"/>
              </w:rPr>
            </w:pPr>
            <w:r w:rsidRPr="002F2ABA">
              <w:rPr>
                <w:rFonts w:ascii="Calibri" w:hAnsi="Calibri" w:cs="Calibri"/>
                <w:color w:val="000000"/>
                <w:sz w:val="18"/>
                <w:szCs w:val="18"/>
              </w:rPr>
              <w:t xml:space="preserve">In </w:t>
            </w:r>
            <w:r>
              <w:rPr>
                <w:rFonts w:ascii="Calibri" w:hAnsi="Calibri" w:cs="Calibri"/>
                <w:color w:val="000000"/>
                <w:sz w:val="18"/>
                <w:szCs w:val="18"/>
              </w:rPr>
              <w:t>March 2026</w:t>
            </w:r>
            <w:r w:rsidRPr="002F2ABA">
              <w:rPr>
                <w:rFonts w:ascii="Calibri" w:hAnsi="Calibri" w:cs="Calibri"/>
                <w:color w:val="000000"/>
                <w:sz w:val="18"/>
                <w:szCs w:val="18"/>
              </w:rPr>
              <w:t xml:space="preserve">, the PBAC extended its </w:t>
            </w:r>
            <w:r>
              <w:rPr>
                <w:rFonts w:ascii="Calibri" w:hAnsi="Calibri" w:cs="Calibri"/>
                <w:color w:val="000000"/>
                <w:sz w:val="18"/>
                <w:szCs w:val="18"/>
              </w:rPr>
              <w:t>March 2024</w:t>
            </w:r>
            <w:r w:rsidRPr="002F2ABA">
              <w:rPr>
                <w:rFonts w:ascii="Calibri" w:hAnsi="Calibri" w:cs="Calibri"/>
                <w:color w:val="000000"/>
                <w:sz w:val="18"/>
                <w:szCs w:val="18"/>
              </w:rPr>
              <w:t xml:space="preserve"> recommendation for this drug for a further 12 months. </w:t>
            </w:r>
          </w:p>
          <w:p w14:paraId="1DFF9F5F" w14:textId="77777777" w:rsidR="000D1557" w:rsidRPr="002F2ABA" w:rsidRDefault="000D1557" w:rsidP="000D1557">
            <w:pPr>
              <w:ind w:left="11"/>
              <w:contextualSpacing/>
              <w:jc w:val="both"/>
              <w:rPr>
                <w:rFonts w:ascii="Calibri" w:hAnsi="Calibri" w:cs="Calibri"/>
                <w:color w:val="000000"/>
                <w:sz w:val="18"/>
                <w:szCs w:val="18"/>
              </w:rPr>
            </w:pPr>
          </w:p>
        </w:tc>
      </w:tr>
      <w:tr w:rsidR="00924624" w:rsidRPr="00544E10" w14:paraId="5EB81FA3" w14:textId="77777777" w:rsidTr="003D3CC4">
        <w:trPr>
          <w:cantSplit/>
          <w:trHeight w:val="868"/>
        </w:trPr>
        <w:tc>
          <w:tcPr>
            <w:tcW w:w="341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828A2A4" w14:textId="5E3170FF" w:rsidR="004D0540" w:rsidRDefault="004D0540" w:rsidP="004D0540">
            <w:pPr>
              <w:jc w:val="center"/>
              <w:rPr>
                <w:rFonts w:ascii="Calibri" w:hAnsi="Calibri" w:cs="Calibri"/>
                <w:color w:val="000000"/>
                <w:sz w:val="18"/>
                <w:szCs w:val="18"/>
              </w:rPr>
            </w:pPr>
            <w:r>
              <w:rPr>
                <w:rFonts w:ascii="Calibri" w:hAnsi="Calibri" w:cs="Calibri"/>
                <w:color w:val="000000"/>
                <w:sz w:val="18"/>
                <w:szCs w:val="18"/>
              </w:rPr>
              <w:t>TOFACITINIB</w:t>
            </w:r>
            <w:r>
              <w:rPr>
                <w:rFonts w:ascii="Calibri" w:hAnsi="Calibri" w:cs="Calibri"/>
                <w:color w:val="000000"/>
                <w:sz w:val="18"/>
                <w:szCs w:val="18"/>
              </w:rPr>
              <w:br/>
            </w:r>
            <w:r>
              <w:rPr>
                <w:rFonts w:ascii="Calibri" w:hAnsi="Calibri" w:cs="Calibri"/>
                <w:color w:val="000000"/>
                <w:sz w:val="18"/>
                <w:szCs w:val="18"/>
              </w:rPr>
              <w:br/>
              <w:t>Tablet (modified release) 11 mg</w:t>
            </w:r>
            <w:r>
              <w:rPr>
                <w:rFonts w:ascii="Calibri" w:hAnsi="Calibri" w:cs="Calibri"/>
                <w:color w:val="000000"/>
                <w:sz w:val="18"/>
                <w:szCs w:val="18"/>
              </w:rPr>
              <w:br/>
            </w:r>
            <w:r>
              <w:rPr>
                <w:rFonts w:ascii="Calibri" w:hAnsi="Calibri" w:cs="Calibri"/>
                <w:color w:val="000000"/>
                <w:sz w:val="18"/>
                <w:szCs w:val="18"/>
              </w:rPr>
              <w:br/>
              <w:t>Xeljanz® XR</w:t>
            </w:r>
            <w:r>
              <w:rPr>
                <w:rFonts w:ascii="Calibri" w:hAnsi="Calibri" w:cs="Calibri"/>
                <w:color w:val="000000"/>
                <w:sz w:val="18"/>
                <w:szCs w:val="18"/>
              </w:rPr>
              <w:br/>
            </w:r>
            <w:r>
              <w:rPr>
                <w:rFonts w:ascii="Calibri" w:hAnsi="Calibri" w:cs="Calibri"/>
                <w:color w:val="000000"/>
                <w:sz w:val="18"/>
                <w:szCs w:val="18"/>
              </w:rPr>
              <w:br/>
              <w:t>PFIZER AUSTRALIA PTY LTD</w:t>
            </w:r>
            <w:r>
              <w:rPr>
                <w:rFonts w:ascii="Calibri" w:hAnsi="Calibri" w:cs="Calibri"/>
                <w:color w:val="000000"/>
                <w:sz w:val="18"/>
                <w:szCs w:val="18"/>
              </w:rPr>
              <w:br/>
            </w:r>
            <w:r>
              <w:rPr>
                <w:rFonts w:ascii="Calibri" w:hAnsi="Calibri" w:cs="Calibri"/>
                <w:color w:val="000000"/>
                <w:sz w:val="18"/>
                <w:szCs w:val="18"/>
              </w:rPr>
              <w:br/>
            </w:r>
            <w:r w:rsidRPr="005F21D6">
              <w:rPr>
                <w:rFonts w:ascii="Calibri" w:hAnsi="Calibri" w:cs="Calibri"/>
                <w:color w:val="000000"/>
                <w:sz w:val="18"/>
                <w:szCs w:val="18"/>
              </w:rPr>
              <w:t>(</w:t>
            </w:r>
            <w:r w:rsidRPr="005A52E5">
              <w:rPr>
                <w:rFonts w:ascii="Calibri" w:hAnsi="Calibri" w:cs="Calibri"/>
                <w:color w:val="000000"/>
                <w:sz w:val="18"/>
                <w:szCs w:val="18"/>
              </w:rPr>
              <w:t>Review of positive PBAC recommendations not accepted by applicants</w:t>
            </w:r>
            <w:r w:rsidRPr="005F21D6">
              <w:rPr>
                <w:rFonts w:ascii="Calibri" w:hAnsi="Calibri" w:cs="Calibri"/>
                <w:color w:val="000000"/>
                <w:sz w:val="18"/>
                <w:szCs w:val="18"/>
              </w:rPr>
              <w:t>)</w:t>
            </w:r>
          </w:p>
        </w:tc>
        <w:tc>
          <w:tcPr>
            <w:tcW w:w="1919" w:type="dxa"/>
            <w:tcBorders>
              <w:top w:val="single" w:sz="4" w:space="0" w:color="auto"/>
              <w:left w:val="single" w:sz="4" w:space="0" w:color="auto"/>
              <w:bottom w:val="single" w:sz="4" w:space="0" w:color="auto"/>
              <w:right w:val="single" w:sz="4" w:space="0" w:color="auto"/>
            </w:tcBorders>
            <w:vAlign w:val="center"/>
          </w:tcPr>
          <w:p w14:paraId="29F45BB9" w14:textId="01042FC3" w:rsidR="004D0540" w:rsidRDefault="004D0540" w:rsidP="004D0540">
            <w:pPr>
              <w:jc w:val="center"/>
              <w:rPr>
                <w:rFonts w:ascii="Calibri" w:hAnsi="Calibri" w:cs="Calibri"/>
                <w:color w:val="000000"/>
                <w:sz w:val="18"/>
                <w:szCs w:val="18"/>
              </w:rPr>
            </w:pPr>
            <w:r>
              <w:rPr>
                <w:rFonts w:ascii="Calibri" w:hAnsi="Calibri" w:cs="Calibri"/>
                <w:color w:val="000000"/>
                <w:sz w:val="18"/>
                <w:szCs w:val="18"/>
              </w:rPr>
              <w:t>Rheumatoid arthritis</w:t>
            </w:r>
            <w:r>
              <w:rPr>
                <w:rFonts w:ascii="Calibri" w:hAnsi="Calibri" w:cs="Calibri"/>
                <w:color w:val="000000"/>
                <w:sz w:val="18"/>
                <w:szCs w:val="18"/>
              </w:rPr>
              <w:br/>
              <w:t>Psoriatic arthritis</w:t>
            </w:r>
          </w:p>
        </w:tc>
        <w:tc>
          <w:tcPr>
            <w:tcW w:w="273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E6FA27F" w14:textId="18A8F6ED" w:rsidR="004D0540" w:rsidRDefault="004D0540" w:rsidP="004D0540">
            <w:pPr>
              <w:jc w:val="center"/>
              <w:rPr>
                <w:rFonts w:ascii="Calibri" w:hAnsi="Calibri" w:cs="Calibri"/>
                <w:color w:val="000000"/>
                <w:sz w:val="18"/>
                <w:szCs w:val="18"/>
              </w:rPr>
            </w:pPr>
            <w:r>
              <w:rPr>
                <w:rFonts w:ascii="Calibri" w:hAnsi="Calibri" w:cs="Calibri"/>
                <w:color w:val="000000"/>
                <w:sz w:val="18"/>
                <w:szCs w:val="18"/>
              </w:rPr>
              <w:t xml:space="preserve">To request the PBAC review its March 2024 recommendation that has not yet been accepted by the applicant. </w:t>
            </w:r>
          </w:p>
        </w:tc>
        <w:tc>
          <w:tcPr>
            <w:tcW w:w="5387" w:type="dxa"/>
            <w:vAlign w:val="center"/>
          </w:tcPr>
          <w:p w14:paraId="3BB9B741" w14:textId="7E5C8BAC" w:rsidR="004D0540" w:rsidRPr="002F2ABA" w:rsidRDefault="004D0540" w:rsidP="004D0540">
            <w:pPr>
              <w:ind w:left="11"/>
              <w:contextualSpacing/>
              <w:jc w:val="both"/>
              <w:rPr>
                <w:rFonts w:ascii="Calibri" w:hAnsi="Calibri" w:cs="Calibri"/>
                <w:color w:val="000000"/>
                <w:sz w:val="18"/>
                <w:szCs w:val="18"/>
              </w:rPr>
            </w:pPr>
            <w:r w:rsidRPr="002F2ABA">
              <w:rPr>
                <w:rFonts w:ascii="Calibri" w:hAnsi="Calibri" w:cs="Calibri"/>
                <w:color w:val="000000"/>
                <w:sz w:val="18"/>
                <w:szCs w:val="18"/>
              </w:rPr>
              <w:t xml:space="preserve">In </w:t>
            </w:r>
            <w:r>
              <w:rPr>
                <w:rFonts w:ascii="Calibri" w:hAnsi="Calibri" w:cs="Calibri"/>
                <w:color w:val="000000"/>
                <w:sz w:val="18"/>
                <w:szCs w:val="18"/>
              </w:rPr>
              <w:t>March 2026</w:t>
            </w:r>
            <w:r w:rsidRPr="002F2ABA">
              <w:rPr>
                <w:rFonts w:ascii="Calibri" w:hAnsi="Calibri" w:cs="Calibri"/>
                <w:color w:val="000000"/>
                <w:sz w:val="18"/>
                <w:szCs w:val="18"/>
              </w:rPr>
              <w:t xml:space="preserve">, the PBAC extended its </w:t>
            </w:r>
            <w:r>
              <w:rPr>
                <w:rFonts w:ascii="Calibri" w:hAnsi="Calibri" w:cs="Calibri"/>
                <w:color w:val="000000"/>
                <w:sz w:val="18"/>
                <w:szCs w:val="18"/>
              </w:rPr>
              <w:t>March 2024</w:t>
            </w:r>
            <w:r w:rsidRPr="002F2ABA">
              <w:rPr>
                <w:rFonts w:ascii="Calibri" w:hAnsi="Calibri" w:cs="Calibri"/>
                <w:color w:val="000000"/>
                <w:sz w:val="18"/>
                <w:szCs w:val="18"/>
              </w:rPr>
              <w:t xml:space="preserve"> recommendation for this drug for a further 12 months. </w:t>
            </w:r>
          </w:p>
        </w:tc>
      </w:tr>
      <w:tr w:rsidR="00924624" w:rsidRPr="00544E10" w14:paraId="1212DE1F" w14:textId="77777777" w:rsidTr="003D3CC4">
        <w:trPr>
          <w:cantSplit/>
          <w:trHeight w:val="868"/>
        </w:trPr>
        <w:tc>
          <w:tcPr>
            <w:tcW w:w="341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E60300C" w14:textId="7E63AC49" w:rsidR="00B6577D" w:rsidRDefault="00B6577D" w:rsidP="00B6577D">
            <w:pPr>
              <w:jc w:val="center"/>
              <w:rPr>
                <w:rFonts w:ascii="Calibri" w:hAnsi="Calibri" w:cs="Calibri"/>
                <w:color w:val="000000"/>
                <w:sz w:val="18"/>
                <w:szCs w:val="18"/>
              </w:rPr>
            </w:pPr>
            <w:r>
              <w:rPr>
                <w:rFonts w:ascii="Calibri" w:hAnsi="Calibri" w:cs="Calibri"/>
                <w:color w:val="000000"/>
                <w:sz w:val="18"/>
                <w:szCs w:val="18"/>
              </w:rPr>
              <w:t>TRIENTINE</w:t>
            </w:r>
            <w:r>
              <w:rPr>
                <w:rFonts w:ascii="Calibri" w:hAnsi="Calibri" w:cs="Calibri"/>
                <w:color w:val="000000"/>
                <w:sz w:val="18"/>
                <w:szCs w:val="18"/>
              </w:rPr>
              <w:br/>
            </w:r>
            <w:r>
              <w:rPr>
                <w:rFonts w:ascii="Calibri" w:hAnsi="Calibri" w:cs="Calibri"/>
                <w:color w:val="000000"/>
                <w:sz w:val="18"/>
                <w:szCs w:val="18"/>
              </w:rPr>
              <w:br/>
              <w:t>Tablet 150 mg (as tetrahydrochloride)</w:t>
            </w:r>
            <w:r>
              <w:rPr>
                <w:rFonts w:ascii="Calibri" w:hAnsi="Calibri" w:cs="Calibri"/>
                <w:color w:val="000000"/>
                <w:sz w:val="18"/>
                <w:szCs w:val="18"/>
              </w:rPr>
              <w:br/>
            </w:r>
            <w:r>
              <w:rPr>
                <w:rFonts w:ascii="Calibri" w:hAnsi="Calibri" w:cs="Calibri"/>
                <w:color w:val="000000"/>
                <w:sz w:val="18"/>
                <w:szCs w:val="18"/>
              </w:rPr>
              <w:br/>
            </w:r>
            <w:proofErr w:type="spellStart"/>
            <w:r>
              <w:rPr>
                <w:rFonts w:ascii="Calibri" w:hAnsi="Calibri" w:cs="Calibri"/>
                <w:color w:val="000000"/>
                <w:sz w:val="18"/>
                <w:szCs w:val="18"/>
              </w:rPr>
              <w:t>Cuprior</w:t>
            </w:r>
            <w:proofErr w:type="spellEnd"/>
            <w:r>
              <w:rPr>
                <w:rFonts w:ascii="Calibri" w:hAnsi="Calibri" w:cs="Calibri"/>
                <w:color w:val="000000"/>
                <w:sz w:val="18"/>
                <w:szCs w:val="18"/>
              </w:rPr>
              <w:t>®</w:t>
            </w:r>
            <w:r>
              <w:rPr>
                <w:rFonts w:ascii="Calibri" w:hAnsi="Calibri" w:cs="Calibri"/>
                <w:color w:val="000000"/>
                <w:sz w:val="18"/>
                <w:szCs w:val="18"/>
              </w:rPr>
              <w:br/>
            </w:r>
            <w:r>
              <w:rPr>
                <w:rFonts w:ascii="Calibri" w:hAnsi="Calibri" w:cs="Calibri"/>
                <w:color w:val="000000"/>
                <w:sz w:val="18"/>
                <w:szCs w:val="18"/>
              </w:rPr>
              <w:br/>
              <w:t>ORPHALAN</w:t>
            </w:r>
            <w:r>
              <w:rPr>
                <w:rFonts w:ascii="Calibri" w:hAnsi="Calibri" w:cs="Calibri"/>
                <w:color w:val="000000"/>
                <w:sz w:val="18"/>
                <w:szCs w:val="18"/>
              </w:rPr>
              <w:br/>
            </w:r>
            <w:r>
              <w:rPr>
                <w:rFonts w:ascii="Calibri" w:hAnsi="Calibri" w:cs="Calibri"/>
                <w:color w:val="000000"/>
                <w:sz w:val="18"/>
                <w:szCs w:val="18"/>
              </w:rPr>
              <w:br/>
            </w:r>
            <w:r w:rsidRPr="005F21D6">
              <w:rPr>
                <w:rFonts w:ascii="Calibri" w:hAnsi="Calibri" w:cs="Calibri"/>
                <w:color w:val="000000"/>
                <w:sz w:val="18"/>
                <w:szCs w:val="18"/>
              </w:rPr>
              <w:t>(</w:t>
            </w:r>
            <w:r w:rsidRPr="005A52E5">
              <w:rPr>
                <w:rFonts w:ascii="Calibri" w:hAnsi="Calibri" w:cs="Calibri"/>
                <w:color w:val="000000"/>
                <w:sz w:val="18"/>
                <w:szCs w:val="18"/>
              </w:rPr>
              <w:t>Review of positive PBAC recommendations not accepted by applicants</w:t>
            </w:r>
            <w:r w:rsidRPr="005F21D6">
              <w:rPr>
                <w:rFonts w:ascii="Calibri" w:hAnsi="Calibri" w:cs="Calibri"/>
                <w:color w:val="000000"/>
                <w:sz w:val="18"/>
                <w:szCs w:val="18"/>
              </w:rPr>
              <w:t>)</w:t>
            </w:r>
          </w:p>
        </w:tc>
        <w:tc>
          <w:tcPr>
            <w:tcW w:w="1919" w:type="dxa"/>
            <w:tcBorders>
              <w:top w:val="single" w:sz="4" w:space="0" w:color="auto"/>
              <w:left w:val="single" w:sz="4" w:space="0" w:color="auto"/>
              <w:bottom w:val="single" w:sz="4" w:space="0" w:color="auto"/>
              <w:right w:val="single" w:sz="4" w:space="0" w:color="auto"/>
            </w:tcBorders>
            <w:vAlign w:val="center"/>
          </w:tcPr>
          <w:p w14:paraId="5B200EA1" w14:textId="343C88BB" w:rsidR="00B6577D" w:rsidRDefault="00B6577D" w:rsidP="00B6577D">
            <w:pPr>
              <w:jc w:val="center"/>
              <w:rPr>
                <w:rFonts w:ascii="Calibri" w:hAnsi="Calibri" w:cs="Calibri"/>
                <w:color w:val="000000"/>
                <w:sz w:val="18"/>
                <w:szCs w:val="18"/>
              </w:rPr>
            </w:pPr>
            <w:r>
              <w:rPr>
                <w:rFonts w:ascii="Calibri" w:hAnsi="Calibri" w:cs="Calibri"/>
                <w:color w:val="000000"/>
                <w:sz w:val="18"/>
                <w:szCs w:val="18"/>
              </w:rPr>
              <w:t>Wilson disease</w:t>
            </w:r>
          </w:p>
        </w:tc>
        <w:tc>
          <w:tcPr>
            <w:tcW w:w="273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7DE2142" w14:textId="11564DB2" w:rsidR="00B6577D" w:rsidRDefault="00B6577D" w:rsidP="00B6577D">
            <w:pPr>
              <w:jc w:val="center"/>
              <w:rPr>
                <w:rFonts w:ascii="Calibri" w:hAnsi="Calibri" w:cs="Calibri"/>
                <w:color w:val="000000"/>
                <w:sz w:val="18"/>
                <w:szCs w:val="18"/>
              </w:rPr>
            </w:pPr>
            <w:r>
              <w:rPr>
                <w:rFonts w:ascii="Calibri" w:hAnsi="Calibri" w:cs="Calibri"/>
                <w:color w:val="000000"/>
                <w:sz w:val="18"/>
                <w:szCs w:val="18"/>
              </w:rPr>
              <w:t>To request the PBAC review its May 2022 recommendation that has not yet been accepted by the applicant.</w:t>
            </w:r>
          </w:p>
        </w:tc>
        <w:tc>
          <w:tcPr>
            <w:tcW w:w="5387" w:type="dxa"/>
            <w:vAlign w:val="center"/>
          </w:tcPr>
          <w:p w14:paraId="1FAEDAF6" w14:textId="00C88C7F" w:rsidR="00B6577D" w:rsidRPr="002F2ABA" w:rsidRDefault="00B6577D" w:rsidP="00B6577D">
            <w:pPr>
              <w:ind w:left="11"/>
              <w:contextualSpacing/>
              <w:jc w:val="both"/>
              <w:rPr>
                <w:rFonts w:ascii="Calibri" w:hAnsi="Calibri" w:cs="Calibri"/>
                <w:color w:val="000000"/>
                <w:sz w:val="18"/>
                <w:szCs w:val="18"/>
              </w:rPr>
            </w:pPr>
            <w:r w:rsidRPr="002F2ABA">
              <w:rPr>
                <w:rFonts w:ascii="Calibri" w:hAnsi="Calibri" w:cs="Calibri"/>
                <w:color w:val="000000"/>
                <w:sz w:val="18"/>
                <w:szCs w:val="18"/>
              </w:rPr>
              <w:t xml:space="preserve">In </w:t>
            </w:r>
            <w:r>
              <w:rPr>
                <w:rFonts w:ascii="Calibri" w:hAnsi="Calibri" w:cs="Calibri"/>
                <w:color w:val="000000"/>
                <w:sz w:val="18"/>
                <w:szCs w:val="18"/>
              </w:rPr>
              <w:t>March 2026</w:t>
            </w:r>
            <w:r w:rsidRPr="002F2ABA">
              <w:rPr>
                <w:rFonts w:ascii="Calibri" w:hAnsi="Calibri" w:cs="Calibri"/>
                <w:color w:val="000000"/>
                <w:sz w:val="18"/>
                <w:szCs w:val="18"/>
              </w:rPr>
              <w:t xml:space="preserve">, the PBAC </w:t>
            </w:r>
            <w:r>
              <w:rPr>
                <w:rFonts w:ascii="Calibri" w:hAnsi="Calibri" w:cs="Calibri"/>
                <w:color w:val="000000"/>
                <w:sz w:val="18"/>
                <w:szCs w:val="18"/>
              </w:rPr>
              <w:t>rescinded</w:t>
            </w:r>
            <w:r w:rsidRPr="002F2ABA">
              <w:rPr>
                <w:rFonts w:ascii="Calibri" w:hAnsi="Calibri" w:cs="Calibri"/>
                <w:color w:val="000000"/>
                <w:sz w:val="18"/>
                <w:szCs w:val="18"/>
              </w:rPr>
              <w:t xml:space="preserve"> its </w:t>
            </w:r>
            <w:r w:rsidR="008406FE">
              <w:rPr>
                <w:rFonts w:ascii="Calibri" w:hAnsi="Calibri" w:cs="Calibri"/>
                <w:color w:val="000000"/>
                <w:sz w:val="18"/>
                <w:szCs w:val="18"/>
              </w:rPr>
              <w:t xml:space="preserve">May </w:t>
            </w:r>
            <w:r>
              <w:rPr>
                <w:rFonts w:ascii="Calibri" w:hAnsi="Calibri" w:cs="Calibri"/>
                <w:color w:val="000000"/>
                <w:sz w:val="18"/>
                <w:szCs w:val="18"/>
              </w:rPr>
              <w:t>2022</w:t>
            </w:r>
            <w:r w:rsidRPr="002F2ABA">
              <w:rPr>
                <w:rFonts w:ascii="Calibri" w:hAnsi="Calibri" w:cs="Calibri"/>
                <w:color w:val="000000"/>
                <w:sz w:val="18"/>
                <w:szCs w:val="18"/>
              </w:rPr>
              <w:t xml:space="preserve"> recommendation</w:t>
            </w:r>
            <w:r>
              <w:rPr>
                <w:rFonts w:ascii="Calibri" w:hAnsi="Calibri" w:cs="Calibri"/>
                <w:color w:val="000000"/>
                <w:sz w:val="18"/>
                <w:szCs w:val="18"/>
              </w:rPr>
              <w:t>.</w:t>
            </w:r>
          </w:p>
        </w:tc>
      </w:tr>
      <w:tr w:rsidR="00924624" w:rsidRPr="00544E10" w14:paraId="46802C1F" w14:textId="77777777" w:rsidTr="003D3CC4">
        <w:trPr>
          <w:cantSplit/>
          <w:trHeight w:val="868"/>
        </w:trPr>
        <w:tc>
          <w:tcPr>
            <w:tcW w:w="341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14DC43A" w14:textId="64FB6B14" w:rsidR="008406FE" w:rsidRDefault="008406FE" w:rsidP="008406FE">
            <w:pPr>
              <w:jc w:val="center"/>
              <w:rPr>
                <w:rFonts w:ascii="Calibri" w:hAnsi="Calibri" w:cs="Calibri"/>
                <w:color w:val="000000"/>
                <w:sz w:val="18"/>
                <w:szCs w:val="18"/>
              </w:rPr>
            </w:pPr>
            <w:r>
              <w:rPr>
                <w:rFonts w:ascii="Calibri" w:hAnsi="Calibri" w:cs="Calibri"/>
                <w:color w:val="000000"/>
                <w:sz w:val="18"/>
                <w:szCs w:val="18"/>
              </w:rPr>
              <w:t>USTEKINUMAB</w:t>
            </w:r>
            <w:r>
              <w:rPr>
                <w:rFonts w:ascii="Calibri" w:hAnsi="Calibri" w:cs="Calibri"/>
                <w:color w:val="000000"/>
                <w:sz w:val="18"/>
                <w:szCs w:val="18"/>
              </w:rPr>
              <w:br/>
            </w:r>
            <w:r>
              <w:rPr>
                <w:rFonts w:ascii="Calibri" w:hAnsi="Calibri" w:cs="Calibri"/>
                <w:color w:val="000000"/>
                <w:sz w:val="18"/>
                <w:szCs w:val="18"/>
              </w:rPr>
              <w:br/>
              <w:t>Injection 45 mg in 0.5 mL single use pre-filled syringe</w:t>
            </w:r>
            <w:r>
              <w:rPr>
                <w:rFonts w:ascii="Calibri" w:hAnsi="Calibri" w:cs="Calibri"/>
                <w:color w:val="000000"/>
                <w:sz w:val="18"/>
                <w:szCs w:val="18"/>
              </w:rPr>
              <w:br/>
              <w:t>Injection 45 mg in 0.5 mL single use pre-filled pen</w:t>
            </w:r>
            <w:r>
              <w:rPr>
                <w:rFonts w:ascii="Calibri" w:hAnsi="Calibri" w:cs="Calibri"/>
                <w:color w:val="000000"/>
                <w:sz w:val="18"/>
                <w:szCs w:val="18"/>
              </w:rPr>
              <w:br/>
              <w:t>Injection 90 mg in 1 mL single use pre-filled syringe</w:t>
            </w:r>
            <w:r>
              <w:rPr>
                <w:rFonts w:ascii="Calibri" w:hAnsi="Calibri" w:cs="Calibri"/>
                <w:color w:val="000000"/>
                <w:sz w:val="18"/>
                <w:szCs w:val="18"/>
              </w:rPr>
              <w:br/>
              <w:t>Injection 90 mg in 1 mL single use pre-filled pen</w:t>
            </w:r>
            <w:r>
              <w:rPr>
                <w:rFonts w:ascii="Calibri" w:hAnsi="Calibri" w:cs="Calibri"/>
                <w:color w:val="000000"/>
                <w:sz w:val="18"/>
                <w:szCs w:val="18"/>
              </w:rPr>
              <w:br/>
            </w:r>
            <w:r>
              <w:rPr>
                <w:rFonts w:ascii="Calibri" w:hAnsi="Calibri" w:cs="Calibri"/>
                <w:color w:val="000000"/>
                <w:sz w:val="18"/>
                <w:szCs w:val="18"/>
              </w:rPr>
              <w:br/>
              <w:t>Stelara®</w:t>
            </w:r>
            <w:r>
              <w:rPr>
                <w:rFonts w:ascii="Calibri" w:hAnsi="Calibri" w:cs="Calibri"/>
                <w:color w:val="000000"/>
                <w:sz w:val="18"/>
                <w:szCs w:val="18"/>
              </w:rPr>
              <w:br/>
            </w:r>
            <w:r>
              <w:rPr>
                <w:rFonts w:ascii="Calibri" w:hAnsi="Calibri" w:cs="Calibri"/>
                <w:color w:val="000000"/>
                <w:sz w:val="18"/>
                <w:szCs w:val="18"/>
              </w:rPr>
              <w:br/>
              <w:t>JANSSEN-CILAG PTY LTD</w:t>
            </w:r>
            <w:r>
              <w:rPr>
                <w:rFonts w:ascii="Calibri" w:hAnsi="Calibri" w:cs="Calibri"/>
                <w:color w:val="000000"/>
                <w:sz w:val="18"/>
                <w:szCs w:val="18"/>
              </w:rPr>
              <w:br/>
            </w:r>
            <w:r>
              <w:rPr>
                <w:rFonts w:ascii="Calibri" w:hAnsi="Calibri" w:cs="Calibri"/>
                <w:color w:val="000000"/>
                <w:sz w:val="18"/>
                <w:szCs w:val="18"/>
              </w:rPr>
              <w:br/>
            </w:r>
            <w:r w:rsidRPr="005F21D6">
              <w:rPr>
                <w:rFonts w:ascii="Calibri" w:hAnsi="Calibri" w:cs="Calibri"/>
                <w:color w:val="000000"/>
                <w:sz w:val="18"/>
                <w:szCs w:val="18"/>
              </w:rPr>
              <w:t>(</w:t>
            </w:r>
            <w:r w:rsidRPr="005A52E5">
              <w:rPr>
                <w:rFonts w:ascii="Calibri" w:hAnsi="Calibri" w:cs="Calibri"/>
                <w:color w:val="000000"/>
                <w:sz w:val="18"/>
                <w:szCs w:val="18"/>
              </w:rPr>
              <w:t>Review of positive PBAC recommendations not accepted by applicants</w:t>
            </w:r>
            <w:r w:rsidRPr="005F21D6">
              <w:rPr>
                <w:rFonts w:ascii="Calibri" w:hAnsi="Calibri" w:cs="Calibri"/>
                <w:color w:val="000000"/>
                <w:sz w:val="18"/>
                <w:szCs w:val="18"/>
              </w:rPr>
              <w:t>)</w:t>
            </w:r>
          </w:p>
        </w:tc>
        <w:tc>
          <w:tcPr>
            <w:tcW w:w="1919" w:type="dxa"/>
            <w:tcBorders>
              <w:top w:val="single" w:sz="4" w:space="0" w:color="auto"/>
              <w:left w:val="single" w:sz="4" w:space="0" w:color="auto"/>
              <w:bottom w:val="single" w:sz="4" w:space="0" w:color="auto"/>
              <w:right w:val="single" w:sz="4" w:space="0" w:color="auto"/>
            </w:tcBorders>
            <w:vAlign w:val="center"/>
          </w:tcPr>
          <w:p w14:paraId="7F6DCFFD" w14:textId="1C71E431" w:rsidR="008406FE" w:rsidRDefault="008406FE" w:rsidP="008406FE">
            <w:pPr>
              <w:jc w:val="center"/>
              <w:rPr>
                <w:rFonts w:ascii="Calibri" w:hAnsi="Calibri" w:cs="Calibri"/>
                <w:color w:val="000000"/>
                <w:sz w:val="18"/>
                <w:szCs w:val="18"/>
              </w:rPr>
            </w:pPr>
            <w:r>
              <w:rPr>
                <w:rFonts w:ascii="Calibri" w:hAnsi="Calibri" w:cs="Calibri"/>
                <w:color w:val="000000"/>
                <w:sz w:val="18"/>
                <w:szCs w:val="18"/>
              </w:rPr>
              <w:t>Psoriatic arthritis</w:t>
            </w:r>
            <w:r>
              <w:rPr>
                <w:rFonts w:ascii="Calibri" w:hAnsi="Calibri" w:cs="Calibri"/>
                <w:color w:val="000000"/>
                <w:sz w:val="18"/>
                <w:szCs w:val="18"/>
              </w:rPr>
              <w:br/>
              <w:t>Chronic plaque psoriasis</w:t>
            </w:r>
            <w:r>
              <w:rPr>
                <w:rFonts w:ascii="Calibri" w:hAnsi="Calibri" w:cs="Calibri"/>
                <w:color w:val="000000"/>
                <w:sz w:val="18"/>
                <w:szCs w:val="18"/>
              </w:rPr>
              <w:br/>
              <w:t>Crohn disease</w:t>
            </w:r>
            <w:r>
              <w:rPr>
                <w:rFonts w:ascii="Calibri" w:hAnsi="Calibri" w:cs="Calibri"/>
                <w:color w:val="000000"/>
                <w:sz w:val="18"/>
                <w:szCs w:val="18"/>
              </w:rPr>
              <w:br/>
              <w:t>Ulcerative colitis</w:t>
            </w:r>
            <w:r>
              <w:rPr>
                <w:rFonts w:ascii="Calibri" w:hAnsi="Calibri" w:cs="Calibri"/>
                <w:color w:val="000000"/>
                <w:sz w:val="18"/>
                <w:szCs w:val="18"/>
              </w:rPr>
              <w:br/>
              <w:t>Complex refractory fistulising Crohn disease</w:t>
            </w:r>
          </w:p>
        </w:tc>
        <w:tc>
          <w:tcPr>
            <w:tcW w:w="273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2D124D5" w14:textId="584BFC59" w:rsidR="008406FE" w:rsidRDefault="008406FE" w:rsidP="008406FE">
            <w:pPr>
              <w:jc w:val="center"/>
              <w:rPr>
                <w:rFonts w:ascii="Calibri" w:hAnsi="Calibri" w:cs="Calibri"/>
                <w:color w:val="000000"/>
                <w:sz w:val="18"/>
                <w:szCs w:val="18"/>
              </w:rPr>
            </w:pPr>
            <w:r>
              <w:rPr>
                <w:rFonts w:ascii="Calibri" w:hAnsi="Calibri" w:cs="Calibri"/>
                <w:color w:val="000000"/>
                <w:sz w:val="18"/>
                <w:szCs w:val="18"/>
              </w:rPr>
              <w:t xml:space="preserve">To request the PBAC review its March 2024 recommendation that has not yet been accepted by the applicant. </w:t>
            </w:r>
          </w:p>
        </w:tc>
        <w:tc>
          <w:tcPr>
            <w:tcW w:w="5387" w:type="dxa"/>
            <w:vAlign w:val="center"/>
          </w:tcPr>
          <w:p w14:paraId="1C7EC60A" w14:textId="20CB23C9" w:rsidR="008406FE" w:rsidRPr="002F2ABA" w:rsidRDefault="008406FE" w:rsidP="008406FE">
            <w:pPr>
              <w:ind w:left="11"/>
              <w:contextualSpacing/>
              <w:jc w:val="both"/>
              <w:rPr>
                <w:rFonts w:ascii="Calibri" w:hAnsi="Calibri" w:cs="Calibri"/>
                <w:color w:val="000000"/>
                <w:sz w:val="18"/>
                <w:szCs w:val="18"/>
              </w:rPr>
            </w:pPr>
            <w:r w:rsidRPr="002F2ABA">
              <w:rPr>
                <w:rFonts w:ascii="Calibri" w:hAnsi="Calibri" w:cs="Calibri"/>
                <w:color w:val="000000"/>
                <w:sz w:val="18"/>
                <w:szCs w:val="18"/>
              </w:rPr>
              <w:t xml:space="preserve">In </w:t>
            </w:r>
            <w:r>
              <w:rPr>
                <w:rFonts w:ascii="Calibri" w:hAnsi="Calibri" w:cs="Calibri"/>
                <w:color w:val="000000"/>
                <w:sz w:val="18"/>
                <w:szCs w:val="18"/>
              </w:rPr>
              <w:t>March 2026</w:t>
            </w:r>
            <w:r w:rsidRPr="002F2ABA">
              <w:rPr>
                <w:rFonts w:ascii="Calibri" w:hAnsi="Calibri" w:cs="Calibri"/>
                <w:color w:val="000000"/>
                <w:sz w:val="18"/>
                <w:szCs w:val="18"/>
              </w:rPr>
              <w:t xml:space="preserve">, the PBAC extended its </w:t>
            </w:r>
            <w:r>
              <w:rPr>
                <w:rFonts w:ascii="Calibri" w:hAnsi="Calibri" w:cs="Calibri"/>
                <w:color w:val="000000"/>
                <w:sz w:val="18"/>
                <w:szCs w:val="18"/>
              </w:rPr>
              <w:t>March 2024</w:t>
            </w:r>
            <w:r w:rsidRPr="002F2ABA">
              <w:rPr>
                <w:rFonts w:ascii="Calibri" w:hAnsi="Calibri" w:cs="Calibri"/>
                <w:color w:val="000000"/>
                <w:sz w:val="18"/>
                <w:szCs w:val="18"/>
              </w:rPr>
              <w:t xml:space="preserve"> recommendation for this drug for a further 12 months. </w:t>
            </w:r>
          </w:p>
        </w:tc>
      </w:tr>
      <w:tr w:rsidR="00924624" w:rsidRPr="00544E10" w14:paraId="03625793" w14:textId="77777777" w:rsidTr="003D3CC4">
        <w:trPr>
          <w:cantSplit/>
          <w:trHeight w:val="868"/>
        </w:trPr>
        <w:tc>
          <w:tcPr>
            <w:tcW w:w="341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22D7D65" w14:textId="1A98D6E4" w:rsidR="00472FA4" w:rsidRDefault="00472FA4" w:rsidP="00472FA4">
            <w:pPr>
              <w:jc w:val="center"/>
              <w:rPr>
                <w:rFonts w:ascii="Calibri" w:hAnsi="Calibri" w:cs="Calibri"/>
                <w:color w:val="000000"/>
                <w:sz w:val="18"/>
                <w:szCs w:val="18"/>
              </w:rPr>
            </w:pPr>
            <w:r>
              <w:rPr>
                <w:rFonts w:ascii="Calibri" w:hAnsi="Calibri" w:cs="Calibri"/>
                <w:color w:val="000000"/>
                <w:sz w:val="18"/>
                <w:szCs w:val="18"/>
              </w:rPr>
              <w:t>USTEKINUMAB</w:t>
            </w:r>
            <w:r>
              <w:rPr>
                <w:rFonts w:ascii="Calibri" w:hAnsi="Calibri" w:cs="Calibri"/>
                <w:color w:val="000000"/>
                <w:sz w:val="18"/>
                <w:szCs w:val="18"/>
              </w:rPr>
              <w:br/>
            </w:r>
            <w:r>
              <w:rPr>
                <w:rFonts w:ascii="Calibri" w:hAnsi="Calibri" w:cs="Calibri"/>
                <w:color w:val="000000"/>
                <w:sz w:val="18"/>
                <w:szCs w:val="18"/>
              </w:rPr>
              <w:br/>
              <w:t>Injection 45 mg in 0.5 mL</w:t>
            </w:r>
            <w:r>
              <w:rPr>
                <w:rFonts w:ascii="Calibri" w:hAnsi="Calibri" w:cs="Calibri"/>
                <w:color w:val="000000"/>
                <w:sz w:val="18"/>
                <w:szCs w:val="18"/>
              </w:rPr>
              <w:br/>
              <w:t>Injection 45 mg in 0.5 mL single use pre-filled syringe</w:t>
            </w:r>
            <w:r>
              <w:rPr>
                <w:rFonts w:ascii="Calibri" w:hAnsi="Calibri" w:cs="Calibri"/>
                <w:color w:val="000000"/>
                <w:sz w:val="18"/>
                <w:szCs w:val="18"/>
              </w:rPr>
              <w:br/>
              <w:t>Injection 90 mg in 1 mL single use pre-filled syringe</w:t>
            </w:r>
            <w:r>
              <w:rPr>
                <w:rFonts w:ascii="Calibri" w:hAnsi="Calibri" w:cs="Calibri"/>
                <w:color w:val="000000"/>
                <w:sz w:val="18"/>
                <w:szCs w:val="18"/>
              </w:rPr>
              <w:br/>
              <w:t>Solution for I.V. infusion 130 mg in 26 mL</w:t>
            </w:r>
            <w:r>
              <w:rPr>
                <w:rFonts w:ascii="Calibri" w:hAnsi="Calibri" w:cs="Calibri"/>
                <w:color w:val="000000"/>
                <w:sz w:val="18"/>
                <w:szCs w:val="18"/>
              </w:rPr>
              <w:br/>
            </w:r>
            <w:r>
              <w:rPr>
                <w:rFonts w:ascii="Calibri" w:hAnsi="Calibri" w:cs="Calibri"/>
                <w:color w:val="000000"/>
                <w:sz w:val="18"/>
                <w:szCs w:val="18"/>
              </w:rPr>
              <w:br/>
            </w:r>
            <w:proofErr w:type="spellStart"/>
            <w:r>
              <w:rPr>
                <w:rFonts w:ascii="Calibri" w:hAnsi="Calibri" w:cs="Calibri"/>
                <w:color w:val="000000"/>
                <w:sz w:val="18"/>
                <w:szCs w:val="18"/>
              </w:rPr>
              <w:t>Wezlana</w:t>
            </w:r>
            <w:proofErr w:type="spellEnd"/>
            <w:r>
              <w:rPr>
                <w:rFonts w:ascii="Calibri" w:hAnsi="Calibri" w:cs="Calibri"/>
                <w:color w:val="000000"/>
                <w:sz w:val="18"/>
                <w:szCs w:val="18"/>
              </w:rPr>
              <w:t xml:space="preserve">® </w:t>
            </w:r>
            <w:r>
              <w:rPr>
                <w:rFonts w:ascii="Calibri" w:hAnsi="Calibri" w:cs="Calibri"/>
                <w:color w:val="000000"/>
                <w:sz w:val="18"/>
                <w:szCs w:val="18"/>
              </w:rPr>
              <w:br/>
            </w:r>
            <w:r>
              <w:rPr>
                <w:rFonts w:ascii="Calibri" w:hAnsi="Calibri" w:cs="Calibri"/>
                <w:color w:val="000000"/>
                <w:sz w:val="18"/>
                <w:szCs w:val="18"/>
              </w:rPr>
              <w:br/>
              <w:t>AMGEN AUSTRALIA PTY LIMITED</w:t>
            </w:r>
            <w:r>
              <w:rPr>
                <w:rFonts w:ascii="Calibri" w:hAnsi="Calibri" w:cs="Calibri"/>
                <w:color w:val="000000"/>
                <w:sz w:val="18"/>
                <w:szCs w:val="18"/>
              </w:rPr>
              <w:br/>
            </w:r>
            <w:r>
              <w:rPr>
                <w:rFonts w:ascii="Calibri" w:hAnsi="Calibri" w:cs="Calibri"/>
                <w:color w:val="000000"/>
                <w:sz w:val="18"/>
                <w:szCs w:val="18"/>
              </w:rPr>
              <w:br/>
            </w:r>
            <w:r w:rsidRPr="005F21D6">
              <w:rPr>
                <w:rFonts w:ascii="Calibri" w:hAnsi="Calibri" w:cs="Calibri"/>
                <w:color w:val="000000"/>
                <w:sz w:val="18"/>
                <w:szCs w:val="18"/>
              </w:rPr>
              <w:t>(</w:t>
            </w:r>
            <w:r w:rsidRPr="005A52E5">
              <w:rPr>
                <w:rFonts w:ascii="Calibri" w:hAnsi="Calibri" w:cs="Calibri"/>
                <w:color w:val="000000"/>
                <w:sz w:val="18"/>
                <w:szCs w:val="18"/>
              </w:rPr>
              <w:t>Review of positive PBAC recommendations not accepted by applicants</w:t>
            </w:r>
            <w:r w:rsidRPr="005F21D6">
              <w:rPr>
                <w:rFonts w:ascii="Calibri" w:hAnsi="Calibri" w:cs="Calibri"/>
                <w:color w:val="000000"/>
                <w:sz w:val="18"/>
                <w:szCs w:val="18"/>
              </w:rPr>
              <w:t>)</w:t>
            </w:r>
          </w:p>
        </w:tc>
        <w:tc>
          <w:tcPr>
            <w:tcW w:w="1919" w:type="dxa"/>
            <w:tcBorders>
              <w:top w:val="single" w:sz="4" w:space="0" w:color="auto"/>
              <w:left w:val="single" w:sz="4" w:space="0" w:color="auto"/>
              <w:bottom w:val="single" w:sz="4" w:space="0" w:color="auto"/>
              <w:right w:val="single" w:sz="4" w:space="0" w:color="auto"/>
            </w:tcBorders>
            <w:vAlign w:val="center"/>
          </w:tcPr>
          <w:p w14:paraId="46304815" w14:textId="76C0EA32" w:rsidR="00472FA4" w:rsidRDefault="00472FA4" w:rsidP="00472FA4">
            <w:pPr>
              <w:jc w:val="center"/>
              <w:rPr>
                <w:rFonts w:ascii="Calibri" w:hAnsi="Calibri" w:cs="Calibri"/>
                <w:color w:val="000000"/>
                <w:sz w:val="18"/>
                <w:szCs w:val="18"/>
              </w:rPr>
            </w:pPr>
            <w:r>
              <w:rPr>
                <w:rFonts w:ascii="Calibri" w:hAnsi="Calibri" w:cs="Calibri"/>
                <w:color w:val="000000"/>
                <w:sz w:val="18"/>
                <w:szCs w:val="18"/>
              </w:rPr>
              <w:t>Psoriatic arthritis</w:t>
            </w:r>
            <w:r>
              <w:rPr>
                <w:rFonts w:ascii="Calibri" w:hAnsi="Calibri" w:cs="Calibri"/>
                <w:color w:val="000000"/>
                <w:sz w:val="18"/>
                <w:szCs w:val="18"/>
              </w:rPr>
              <w:br/>
              <w:t>Chronic plaque psoriasis</w:t>
            </w:r>
            <w:r>
              <w:rPr>
                <w:rFonts w:ascii="Calibri" w:hAnsi="Calibri" w:cs="Calibri"/>
                <w:color w:val="000000"/>
                <w:sz w:val="18"/>
                <w:szCs w:val="18"/>
              </w:rPr>
              <w:br/>
              <w:t>Crohn disease</w:t>
            </w:r>
            <w:r>
              <w:rPr>
                <w:rFonts w:ascii="Calibri" w:hAnsi="Calibri" w:cs="Calibri"/>
                <w:color w:val="000000"/>
                <w:sz w:val="18"/>
                <w:szCs w:val="18"/>
              </w:rPr>
              <w:br/>
              <w:t>Ulcerative colitis</w:t>
            </w:r>
            <w:r>
              <w:rPr>
                <w:rFonts w:ascii="Calibri" w:hAnsi="Calibri" w:cs="Calibri"/>
                <w:color w:val="000000"/>
                <w:sz w:val="18"/>
                <w:szCs w:val="18"/>
              </w:rPr>
              <w:br/>
              <w:t>Complex refractory fistulising Crohn disease</w:t>
            </w:r>
          </w:p>
        </w:tc>
        <w:tc>
          <w:tcPr>
            <w:tcW w:w="273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54A36E7" w14:textId="61E580E4" w:rsidR="00472FA4" w:rsidRDefault="00472FA4" w:rsidP="00472FA4">
            <w:pPr>
              <w:jc w:val="center"/>
              <w:rPr>
                <w:rFonts w:ascii="Calibri" w:hAnsi="Calibri" w:cs="Calibri"/>
                <w:color w:val="000000"/>
                <w:sz w:val="18"/>
                <w:szCs w:val="18"/>
              </w:rPr>
            </w:pPr>
            <w:r>
              <w:rPr>
                <w:rFonts w:ascii="Calibri" w:hAnsi="Calibri" w:cs="Calibri"/>
                <w:color w:val="000000"/>
                <w:sz w:val="18"/>
                <w:szCs w:val="18"/>
              </w:rPr>
              <w:t xml:space="preserve">To request the PBAC review its March 2024 recommendation that has not yet been accepted by the applicant. </w:t>
            </w:r>
          </w:p>
        </w:tc>
        <w:tc>
          <w:tcPr>
            <w:tcW w:w="5387" w:type="dxa"/>
            <w:vAlign w:val="center"/>
          </w:tcPr>
          <w:p w14:paraId="4B291DA0" w14:textId="34A8F490" w:rsidR="00472FA4" w:rsidRPr="002F2ABA" w:rsidRDefault="00472FA4" w:rsidP="00472FA4">
            <w:pPr>
              <w:ind w:left="11"/>
              <w:contextualSpacing/>
              <w:jc w:val="both"/>
              <w:rPr>
                <w:rFonts w:ascii="Calibri" w:hAnsi="Calibri" w:cs="Calibri"/>
                <w:color w:val="000000"/>
                <w:sz w:val="18"/>
                <w:szCs w:val="18"/>
              </w:rPr>
            </w:pPr>
            <w:r w:rsidRPr="002F2ABA">
              <w:rPr>
                <w:rFonts w:ascii="Calibri" w:hAnsi="Calibri" w:cs="Calibri"/>
                <w:color w:val="000000"/>
                <w:sz w:val="18"/>
                <w:szCs w:val="18"/>
              </w:rPr>
              <w:t xml:space="preserve">In </w:t>
            </w:r>
            <w:r>
              <w:rPr>
                <w:rFonts w:ascii="Calibri" w:hAnsi="Calibri" w:cs="Calibri"/>
                <w:color w:val="000000"/>
                <w:sz w:val="18"/>
                <w:szCs w:val="18"/>
              </w:rPr>
              <w:t>March 2026</w:t>
            </w:r>
            <w:r w:rsidRPr="002F2ABA">
              <w:rPr>
                <w:rFonts w:ascii="Calibri" w:hAnsi="Calibri" w:cs="Calibri"/>
                <w:color w:val="000000"/>
                <w:sz w:val="18"/>
                <w:szCs w:val="18"/>
              </w:rPr>
              <w:t xml:space="preserve">, the PBAC extended its </w:t>
            </w:r>
            <w:r>
              <w:rPr>
                <w:rFonts w:ascii="Calibri" w:hAnsi="Calibri" w:cs="Calibri"/>
                <w:color w:val="000000"/>
                <w:sz w:val="18"/>
                <w:szCs w:val="18"/>
              </w:rPr>
              <w:t>March 2024</w:t>
            </w:r>
            <w:r w:rsidRPr="002F2ABA">
              <w:rPr>
                <w:rFonts w:ascii="Calibri" w:hAnsi="Calibri" w:cs="Calibri"/>
                <w:color w:val="000000"/>
                <w:sz w:val="18"/>
                <w:szCs w:val="18"/>
              </w:rPr>
              <w:t xml:space="preserve"> recommendation for this drug for a further 12 months. </w:t>
            </w:r>
          </w:p>
        </w:tc>
      </w:tr>
    </w:tbl>
    <w:p w14:paraId="3E7E334E" w14:textId="7BCA3FF0" w:rsidR="00B7375E" w:rsidRDefault="00B7375E" w:rsidP="00E71941">
      <w:pPr>
        <w:tabs>
          <w:tab w:val="left" w:pos="5716"/>
        </w:tabs>
      </w:pPr>
    </w:p>
    <w:p w14:paraId="00702D23" w14:textId="4E1782AA" w:rsidR="00542537" w:rsidRPr="008670C7" w:rsidRDefault="00542537" w:rsidP="00542537">
      <w:pPr>
        <w:tabs>
          <w:tab w:val="left" w:pos="5716"/>
        </w:tabs>
        <w:ind w:left="284"/>
        <w:rPr>
          <w:rFonts w:cs="Arial"/>
        </w:rPr>
      </w:pPr>
      <w:r w:rsidRPr="008670C7">
        <w:rPr>
          <w:rFonts w:cs="Arial"/>
          <w:b/>
          <w:bCs/>
        </w:rPr>
        <w:t>Version 2</w:t>
      </w:r>
      <w:r w:rsidRPr="008670C7">
        <w:rPr>
          <w:rFonts w:cs="Arial"/>
        </w:rPr>
        <w:t>:</w:t>
      </w:r>
    </w:p>
    <w:p w14:paraId="631B5BB5" w14:textId="2A8FAF56" w:rsidR="00C6438B" w:rsidRDefault="000C5801" w:rsidP="00D3283B">
      <w:pPr>
        <w:pStyle w:val="ListParagraph"/>
        <w:numPr>
          <w:ilvl w:val="0"/>
          <w:numId w:val="15"/>
        </w:numPr>
        <w:tabs>
          <w:tab w:val="left" w:pos="5716"/>
        </w:tabs>
        <w:rPr>
          <w:rFonts w:cs="Arial"/>
        </w:rPr>
      </w:pPr>
      <w:r>
        <w:rPr>
          <w:rFonts w:cs="Arial"/>
        </w:rPr>
        <w:t>ASCIMINIB (</w:t>
      </w:r>
      <w:proofErr w:type="spellStart"/>
      <w:r>
        <w:rPr>
          <w:rFonts w:cs="Arial"/>
        </w:rPr>
        <w:t>Scemblix</w:t>
      </w:r>
      <w:proofErr w:type="spellEnd"/>
      <w:r>
        <w:rPr>
          <w:rFonts w:cs="Arial"/>
        </w:rPr>
        <w:t xml:space="preserve">®)(Category 2) – Added </w:t>
      </w:r>
    </w:p>
    <w:p w14:paraId="2EF2A64D" w14:textId="6328E2E2" w:rsidR="00834575" w:rsidRPr="00F646F3" w:rsidRDefault="00834575" w:rsidP="00D3283B">
      <w:pPr>
        <w:pStyle w:val="ListParagraph"/>
        <w:numPr>
          <w:ilvl w:val="0"/>
          <w:numId w:val="15"/>
        </w:numPr>
        <w:tabs>
          <w:tab w:val="left" w:pos="5716"/>
        </w:tabs>
        <w:rPr>
          <w:rFonts w:cs="Arial"/>
        </w:rPr>
      </w:pPr>
      <w:r>
        <w:rPr>
          <w:rFonts w:cs="Arial"/>
        </w:rPr>
        <w:t>BUROSUMAB (</w:t>
      </w:r>
      <w:proofErr w:type="spellStart"/>
      <w:r w:rsidR="005D66B2">
        <w:t>Crysvita</w:t>
      </w:r>
      <w:proofErr w:type="spellEnd"/>
      <w:r w:rsidR="005D66B2">
        <w:t xml:space="preserve"> ®) – Updated to remove spelling error</w:t>
      </w:r>
    </w:p>
    <w:p w14:paraId="747B512A" w14:textId="3D84DAE0" w:rsidR="00F646F3" w:rsidRDefault="00F646F3" w:rsidP="00D3283B">
      <w:pPr>
        <w:pStyle w:val="ListParagraph"/>
        <w:numPr>
          <w:ilvl w:val="0"/>
          <w:numId w:val="15"/>
        </w:numPr>
        <w:tabs>
          <w:tab w:val="left" w:pos="5716"/>
        </w:tabs>
        <w:rPr>
          <w:rFonts w:cs="Arial"/>
        </w:rPr>
      </w:pPr>
      <w:r>
        <w:rPr>
          <w:rFonts w:cs="Arial"/>
        </w:rPr>
        <w:t>CANNABIDIOL (</w:t>
      </w:r>
      <w:proofErr w:type="spellStart"/>
      <w:r w:rsidRPr="00F646F3">
        <w:rPr>
          <w:rFonts w:cs="Arial"/>
        </w:rPr>
        <w:t>Epidyolex</w:t>
      </w:r>
      <w:proofErr w:type="spellEnd"/>
      <w:r w:rsidRPr="00F646F3">
        <w:rPr>
          <w:rFonts w:cs="Arial"/>
        </w:rPr>
        <w:t>®</w:t>
      </w:r>
      <w:r>
        <w:rPr>
          <w:rFonts w:cs="Arial"/>
        </w:rPr>
        <w:t>) – Updated to remove spelling error</w:t>
      </w:r>
    </w:p>
    <w:p w14:paraId="4721BD50" w14:textId="654647FD" w:rsidR="000C5801" w:rsidRDefault="004F23D1" w:rsidP="00D3283B">
      <w:pPr>
        <w:pStyle w:val="ListParagraph"/>
        <w:numPr>
          <w:ilvl w:val="0"/>
          <w:numId w:val="15"/>
        </w:numPr>
        <w:tabs>
          <w:tab w:val="left" w:pos="5716"/>
        </w:tabs>
        <w:rPr>
          <w:rFonts w:cs="Arial"/>
        </w:rPr>
      </w:pPr>
      <w:r>
        <w:rPr>
          <w:rFonts w:cs="Arial"/>
        </w:rPr>
        <w:t>ENOXAPARIN (</w:t>
      </w:r>
      <w:r w:rsidR="00864986">
        <w:t xml:space="preserve">Clexane® Safety-Lock, </w:t>
      </w:r>
      <w:r w:rsidR="006462E9" w:rsidRPr="006462E9">
        <w:t>Clexane® Forte Safety-Lock</w:t>
      </w:r>
      <w:r w:rsidR="006462E9">
        <w:t xml:space="preserve">)(Other matters) – Added </w:t>
      </w:r>
    </w:p>
    <w:p w14:paraId="27EB7674" w14:textId="08092DB6" w:rsidR="000C5801" w:rsidRDefault="000C5801" w:rsidP="00D3283B">
      <w:pPr>
        <w:pStyle w:val="ListParagraph"/>
        <w:numPr>
          <w:ilvl w:val="0"/>
          <w:numId w:val="15"/>
        </w:numPr>
        <w:tabs>
          <w:tab w:val="left" w:pos="5716"/>
        </w:tabs>
        <w:rPr>
          <w:rFonts w:cs="Arial"/>
        </w:rPr>
      </w:pPr>
      <w:r>
        <w:rPr>
          <w:rFonts w:cs="Arial"/>
        </w:rPr>
        <w:t>EDARAVONE (</w:t>
      </w:r>
      <w:proofErr w:type="spellStart"/>
      <w:r>
        <w:rPr>
          <w:rFonts w:cs="Arial"/>
        </w:rPr>
        <w:t>Radicava</w:t>
      </w:r>
      <w:proofErr w:type="spellEnd"/>
      <w:r>
        <w:rPr>
          <w:rFonts w:cs="Arial"/>
        </w:rPr>
        <w:t>®</w:t>
      </w:r>
      <w:r w:rsidR="00081D6C">
        <w:rPr>
          <w:rFonts w:cs="Arial"/>
        </w:rPr>
        <w:t>)</w:t>
      </w:r>
      <w:r>
        <w:rPr>
          <w:rFonts w:cs="Arial"/>
        </w:rPr>
        <w:t xml:space="preserve"> </w:t>
      </w:r>
      <w:r w:rsidR="00081D6C" w:rsidRPr="008670C7">
        <w:rPr>
          <w:rFonts w:cs="Arial"/>
        </w:rPr>
        <w:t>–</w:t>
      </w:r>
      <w:r>
        <w:rPr>
          <w:rFonts w:cs="Arial"/>
        </w:rPr>
        <w:t xml:space="preserve"> Added </w:t>
      </w:r>
    </w:p>
    <w:p w14:paraId="5239B245" w14:textId="744CEC52" w:rsidR="00081D6C" w:rsidRDefault="00081D6C" w:rsidP="00D3283B">
      <w:pPr>
        <w:pStyle w:val="ListParagraph"/>
        <w:numPr>
          <w:ilvl w:val="0"/>
          <w:numId w:val="15"/>
        </w:numPr>
        <w:tabs>
          <w:tab w:val="left" w:pos="5716"/>
        </w:tabs>
        <w:rPr>
          <w:rFonts w:cs="Arial"/>
        </w:rPr>
      </w:pPr>
      <w:r>
        <w:rPr>
          <w:rFonts w:cs="Arial"/>
        </w:rPr>
        <w:t>EFGARTIGIMOD ALFA (</w:t>
      </w:r>
      <w:proofErr w:type="spellStart"/>
      <w:r>
        <w:rPr>
          <w:rFonts w:cs="Arial"/>
        </w:rPr>
        <w:t>Vyvgart</w:t>
      </w:r>
      <w:proofErr w:type="spellEnd"/>
      <w:r>
        <w:rPr>
          <w:rFonts w:cs="Arial"/>
        </w:rPr>
        <w:t xml:space="preserve">®) – Updated to remove spelling error </w:t>
      </w:r>
    </w:p>
    <w:p w14:paraId="4A12867F" w14:textId="32F6FD94" w:rsidR="00DB4447" w:rsidRDefault="00DB4447" w:rsidP="00D3283B">
      <w:pPr>
        <w:pStyle w:val="ListParagraph"/>
        <w:numPr>
          <w:ilvl w:val="0"/>
          <w:numId w:val="15"/>
        </w:numPr>
        <w:tabs>
          <w:tab w:val="left" w:pos="5716"/>
        </w:tabs>
        <w:rPr>
          <w:rFonts w:cs="Arial"/>
        </w:rPr>
      </w:pPr>
      <w:r>
        <w:rPr>
          <w:rFonts w:cs="Arial"/>
        </w:rPr>
        <w:t xml:space="preserve">INOTUZUMAB OZOGOMICIN </w:t>
      </w:r>
      <w:r w:rsidR="00DD3A4C">
        <w:rPr>
          <w:rFonts w:cs="Arial"/>
        </w:rPr>
        <w:t>(</w:t>
      </w:r>
      <w:proofErr w:type="spellStart"/>
      <w:r w:rsidR="00DD3A4C" w:rsidRPr="00DD3A4C">
        <w:rPr>
          <w:rFonts w:cs="Arial"/>
        </w:rPr>
        <w:t>Besponsa</w:t>
      </w:r>
      <w:proofErr w:type="spellEnd"/>
      <w:r w:rsidR="00DD3A4C" w:rsidRPr="00DD3A4C">
        <w:rPr>
          <w:rFonts w:cs="Arial"/>
        </w:rPr>
        <w:t>®</w:t>
      </w:r>
      <w:r w:rsidR="00DD3A4C">
        <w:rPr>
          <w:rFonts w:cs="Arial"/>
        </w:rPr>
        <w:t>) – Updated to remove spelling error</w:t>
      </w:r>
    </w:p>
    <w:p w14:paraId="46C8DC92" w14:textId="151B1B2A" w:rsidR="00DD3A4C" w:rsidRDefault="00DD3A4C" w:rsidP="00D3283B">
      <w:pPr>
        <w:pStyle w:val="ListParagraph"/>
        <w:numPr>
          <w:ilvl w:val="0"/>
          <w:numId w:val="15"/>
        </w:numPr>
        <w:tabs>
          <w:tab w:val="left" w:pos="5716"/>
        </w:tabs>
        <w:rPr>
          <w:rFonts w:cs="Arial"/>
        </w:rPr>
      </w:pPr>
      <w:r>
        <w:rPr>
          <w:rFonts w:cs="Arial"/>
        </w:rPr>
        <w:t>OMALIZUMAB (</w:t>
      </w:r>
      <w:proofErr w:type="spellStart"/>
      <w:r w:rsidR="00BE7083" w:rsidRPr="00BE7083">
        <w:rPr>
          <w:rFonts w:cs="Arial"/>
        </w:rPr>
        <w:t>Omlyclo</w:t>
      </w:r>
      <w:proofErr w:type="spellEnd"/>
      <w:r w:rsidR="00BE7083" w:rsidRPr="00BE7083">
        <w:rPr>
          <w:rFonts w:cs="Arial"/>
        </w:rPr>
        <w:t>®</w:t>
      </w:r>
      <w:r w:rsidR="00BE7083">
        <w:rPr>
          <w:rFonts w:cs="Arial"/>
        </w:rPr>
        <w:t>) – Updated to remove spelling error</w:t>
      </w:r>
    </w:p>
    <w:p w14:paraId="00AF0C4C" w14:textId="7C852F60" w:rsidR="00BE7083" w:rsidRDefault="00BE7083" w:rsidP="00D3283B">
      <w:pPr>
        <w:pStyle w:val="ListParagraph"/>
        <w:numPr>
          <w:ilvl w:val="0"/>
          <w:numId w:val="15"/>
        </w:numPr>
        <w:tabs>
          <w:tab w:val="left" w:pos="5716"/>
        </w:tabs>
        <w:rPr>
          <w:rFonts w:cs="Arial"/>
        </w:rPr>
      </w:pPr>
      <w:r>
        <w:rPr>
          <w:rFonts w:cs="Arial"/>
        </w:rPr>
        <w:t>PEGVALIASE (</w:t>
      </w:r>
      <w:r w:rsidR="006B0EAE">
        <w:t>Palynziq®) – Updated to remove spelling error</w:t>
      </w:r>
    </w:p>
    <w:p w14:paraId="19E98E6D" w14:textId="632B5896" w:rsidR="00D3283B" w:rsidRPr="008670C7" w:rsidRDefault="002F0E5B" w:rsidP="00D3283B">
      <w:pPr>
        <w:pStyle w:val="ListParagraph"/>
        <w:numPr>
          <w:ilvl w:val="0"/>
          <w:numId w:val="15"/>
        </w:numPr>
        <w:tabs>
          <w:tab w:val="left" w:pos="5716"/>
        </w:tabs>
        <w:rPr>
          <w:rFonts w:cs="Arial"/>
        </w:rPr>
      </w:pPr>
      <w:r w:rsidRPr="008670C7">
        <w:rPr>
          <w:rFonts w:cs="Arial"/>
        </w:rPr>
        <w:t>TRASTUZUMAB DERUXTECAN (</w:t>
      </w:r>
      <w:proofErr w:type="spellStart"/>
      <w:r w:rsidRPr="008670C7">
        <w:rPr>
          <w:rFonts w:cs="Arial"/>
        </w:rPr>
        <w:t>Enhertu</w:t>
      </w:r>
      <w:proofErr w:type="spellEnd"/>
      <w:r w:rsidRPr="008670C7">
        <w:rPr>
          <w:rFonts w:cs="Arial"/>
        </w:rPr>
        <w:t>®) – A</w:t>
      </w:r>
      <w:r w:rsidR="006C740B" w:rsidRPr="008670C7">
        <w:rPr>
          <w:rFonts w:cs="Arial"/>
        </w:rPr>
        <w:t>dded</w:t>
      </w:r>
      <w:r w:rsidRPr="008670C7">
        <w:rPr>
          <w:rFonts w:cs="Arial"/>
        </w:rPr>
        <w:t xml:space="preserve"> </w:t>
      </w:r>
    </w:p>
    <w:p w14:paraId="09206DAF" w14:textId="2753DA4B" w:rsidR="00D3283B" w:rsidRDefault="002F0E5B" w:rsidP="00D3283B">
      <w:pPr>
        <w:pStyle w:val="ListParagraph"/>
        <w:numPr>
          <w:ilvl w:val="0"/>
          <w:numId w:val="15"/>
        </w:numPr>
        <w:tabs>
          <w:tab w:val="left" w:pos="5716"/>
        </w:tabs>
        <w:rPr>
          <w:rFonts w:cs="Arial"/>
        </w:rPr>
      </w:pPr>
      <w:r w:rsidRPr="008670C7">
        <w:rPr>
          <w:rFonts w:cs="Arial"/>
        </w:rPr>
        <w:t>PEMBROLIZUMAB</w:t>
      </w:r>
      <w:r w:rsidR="00D3283B" w:rsidRPr="008670C7">
        <w:rPr>
          <w:rFonts w:cs="Arial"/>
        </w:rPr>
        <w:t xml:space="preserve"> </w:t>
      </w:r>
      <w:r w:rsidRPr="008670C7">
        <w:rPr>
          <w:rFonts w:cs="Arial"/>
        </w:rPr>
        <w:t>(Keytruda®) – Amended PBAC outcome</w:t>
      </w:r>
    </w:p>
    <w:p w14:paraId="05E75C66" w14:textId="2D4229B0" w:rsidR="00804035" w:rsidRDefault="00804035" w:rsidP="00CB3DCF">
      <w:pPr>
        <w:tabs>
          <w:tab w:val="left" w:pos="5716"/>
        </w:tabs>
        <w:ind w:left="284"/>
        <w:rPr>
          <w:rFonts w:cs="Arial"/>
          <w:b/>
          <w:bCs/>
        </w:rPr>
      </w:pPr>
      <w:r>
        <w:rPr>
          <w:rFonts w:cs="Arial"/>
          <w:b/>
          <w:bCs/>
        </w:rPr>
        <w:t>Version 3:</w:t>
      </w:r>
    </w:p>
    <w:p w14:paraId="6728C108" w14:textId="6D8169F4" w:rsidR="00804035" w:rsidRPr="00804035" w:rsidRDefault="00804035" w:rsidP="00804035">
      <w:pPr>
        <w:pStyle w:val="ListParagraph"/>
        <w:numPr>
          <w:ilvl w:val="0"/>
          <w:numId w:val="16"/>
        </w:numPr>
        <w:rPr>
          <w:rFonts w:cs="Arial"/>
        </w:rPr>
      </w:pPr>
      <w:r w:rsidRPr="00804035">
        <w:rPr>
          <w:rFonts w:cs="Arial"/>
        </w:rPr>
        <w:t>RILUZOLE</w:t>
      </w:r>
      <w:r w:rsidRPr="00804035">
        <w:rPr>
          <w:rFonts w:cs="Arial"/>
        </w:rPr>
        <w:t xml:space="preserve"> (</w:t>
      </w:r>
      <w:r w:rsidRPr="00804035">
        <w:rPr>
          <w:rFonts w:cs="Arial"/>
        </w:rPr>
        <w:t>Teglutik®</w:t>
      </w:r>
      <w:r w:rsidRPr="00804035">
        <w:rPr>
          <w:rFonts w:cs="Arial"/>
        </w:rPr>
        <w:t xml:space="preserve">) (Category 4) </w:t>
      </w:r>
      <w:r w:rsidRPr="00804035">
        <w:rPr>
          <w:rFonts w:cs="Arial"/>
        </w:rPr>
        <w:t>– Added</w:t>
      </w:r>
    </w:p>
    <w:p w14:paraId="55CA653F" w14:textId="77777777" w:rsidR="00CB3DCF" w:rsidRDefault="00CB3DCF" w:rsidP="00B7375E">
      <w:pPr>
        <w:rPr>
          <w:rFonts w:cs="Arial"/>
          <w:b/>
          <w:bCs/>
          <w:lang w:val="en-US"/>
        </w:rPr>
      </w:pPr>
    </w:p>
    <w:p w14:paraId="09C018BA" w14:textId="5FEB0276" w:rsidR="00B7375E" w:rsidRPr="00292120" w:rsidDel="008F66B5" w:rsidRDefault="00B7375E" w:rsidP="00B7375E">
      <w:pPr>
        <w:rPr>
          <w:rFonts w:cs="Arial"/>
          <w:b/>
          <w:bCs/>
          <w:lang w:val="en-US"/>
        </w:rPr>
      </w:pPr>
      <w:r w:rsidRPr="20381F86">
        <w:rPr>
          <w:rFonts w:cs="Arial"/>
          <w:b/>
          <w:bCs/>
          <w:lang w:val="en-US"/>
        </w:rPr>
        <w:t>Submission category types</w:t>
      </w:r>
    </w:p>
    <w:tbl>
      <w:tblPr>
        <w:tblStyle w:val="TableGrid"/>
        <w:tblW w:w="13467" w:type="dxa"/>
        <w:tblInd w:w="-5" w:type="dxa"/>
        <w:tblLook w:val="04A0" w:firstRow="1" w:lastRow="0" w:firstColumn="1" w:lastColumn="0" w:noHBand="0" w:noVBand="1"/>
      </w:tblPr>
      <w:tblGrid>
        <w:gridCol w:w="1984"/>
        <w:gridCol w:w="11483"/>
      </w:tblGrid>
      <w:tr w:rsidR="007A6558" w:rsidRPr="00292120" w:rsidDel="008F66B5" w14:paraId="4CF76239" w14:textId="77777777" w:rsidTr="003D3CC4">
        <w:trPr>
          <w:trHeight w:val="300"/>
        </w:trPr>
        <w:tc>
          <w:tcPr>
            <w:tcW w:w="1984" w:type="dxa"/>
          </w:tcPr>
          <w:p w14:paraId="2981455A" w14:textId="77777777" w:rsidR="00B7375E" w:rsidRPr="00292120" w:rsidDel="008F66B5" w:rsidRDefault="00B7375E">
            <w:pPr>
              <w:autoSpaceDE w:val="0"/>
              <w:autoSpaceDN w:val="0"/>
              <w:adjustRightInd w:val="0"/>
              <w:rPr>
                <w:rFonts w:ascii="Arial" w:hAnsi="Arial" w:cs="Arial"/>
                <w:b/>
                <w:bCs/>
                <w:lang w:val="en-US"/>
              </w:rPr>
            </w:pPr>
            <w:r w:rsidRPr="20381F86">
              <w:rPr>
                <w:rFonts w:ascii="Arial" w:hAnsi="Arial" w:cs="Arial"/>
                <w:b/>
                <w:bCs/>
                <w:color w:val="000000" w:themeColor="text1"/>
              </w:rPr>
              <w:t>Category 1</w:t>
            </w:r>
          </w:p>
        </w:tc>
        <w:tc>
          <w:tcPr>
            <w:tcW w:w="11483" w:type="dxa"/>
          </w:tcPr>
          <w:p w14:paraId="5F4E66DC" w14:textId="77777777" w:rsidR="00B7375E" w:rsidRPr="00292120" w:rsidDel="008F66B5" w:rsidRDefault="00B7375E">
            <w:pPr>
              <w:autoSpaceDE w:val="0"/>
              <w:autoSpaceDN w:val="0"/>
              <w:adjustRightInd w:val="0"/>
              <w:rPr>
                <w:rFonts w:ascii="Arial" w:hAnsi="Arial" w:cs="Arial"/>
                <w:b/>
                <w:bCs/>
                <w:color w:val="000000"/>
              </w:rPr>
            </w:pPr>
            <w:r w:rsidRPr="20381F86">
              <w:rPr>
                <w:rFonts w:ascii="Arial" w:hAnsi="Arial" w:cs="Arial"/>
                <w:color w:val="000000" w:themeColor="text1"/>
              </w:rPr>
              <w:t xml:space="preserve">A request for PBS or NIP listing of one or more of the following: </w:t>
            </w:r>
          </w:p>
          <w:p w14:paraId="5DCCE59B" w14:textId="77777777" w:rsidR="00B7375E" w:rsidRPr="00292120" w:rsidDel="008F66B5" w:rsidRDefault="00B7375E" w:rsidP="00B7375E">
            <w:pPr>
              <w:pStyle w:val="ListParagraph"/>
              <w:numPr>
                <w:ilvl w:val="0"/>
                <w:numId w:val="8"/>
              </w:numPr>
              <w:autoSpaceDE w:val="0"/>
              <w:autoSpaceDN w:val="0"/>
              <w:adjustRightInd w:val="0"/>
              <w:ind w:left="360"/>
              <w:rPr>
                <w:rFonts w:ascii="Arial" w:hAnsi="Arial" w:cs="Arial"/>
                <w:b/>
                <w:bCs/>
                <w:color w:val="000000"/>
              </w:rPr>
            </w:pPr>
            <w:r w:rsidRPr="20381F86">
              <w:rPr>
                <w:rFonts w:ascii="Arial" w:hAnsi="Arial" w:cs="Arial"/>
                <w:color w:val="000000" w:themeColor="text1"/>
              </w:rPr>
              <w:t xml:space="preserve">A first in class medicine or vaccine, and/or a medicine or vaccine for a new population. OR </w:t>
            </w:r>
          </w:p>
          <w:p w14:paraId="1891436D" w14:textId="77777777" w:rsidR="00B7375E" w:rsidRPr="00292120" w:rsidDel="008F66B5" w:rsidRDefault="00B7375E" w:rsidP="00B7375E">
            <w:pPr>
              <w:pStyle w:val="ListParagraph"/>
              <w:numPr>
                <w:ilvl w:val="0"/>
                <w:numId w:val="8"/>
              </w:numPr>
              <w:autoSpaceDE w:val="0"/>
              <w:autoSpaceDN w:val="0"/>
              <w:adjustRightInd w:val="0"/>
              <w:ind w:left="360"/>
              <w:rPr>
                <w:rFonts w:ascii="Arial" w:hAnsi="Arial" w:cs="Arial"/>
                <w:b/>
                <w:bCs/>
                <w:color w:val="000000"/>
              </w:rPr>
            </w:pPr>
            <w:r w:rsidRPr="20381F86">
              <w:rPr>
                <w:rFonts w:ascii="Arial" w:hAnsi="Arial" w:cs="Arial"/>
                <w:color w:val="000000" w:themeColor="text1"/>
              </w:rPr>
              <w:t xml:space="preserve">A drug with a codependent technology that requires an integrated codependent submission to the PBAC and MSAC. OR </w:t>
            </w:r>
          </w:p>
          <w:p w14:paraId="17D47774" w14:textId="77777777" w:rsidR="00B7375E" w:rsidRPr="00292120" w:rsidDel="008F66B5" w:rsidRDefault="00B7375E" w:rsidP="00B7375E">
            <w:pPr>
              <w:pStyle w:val="ListParagraph"/>
              <w:numPr>
                <w:ilvl w:val="0"/>
                <w:numId w:val="8"/>
              </w:numPr>
              <w:autoSpaceDE w:val="0"/>
              <w:autoSpaceDN w:val="0"/>
              <w:adjustRightInd w:val="0"/>
              <w:ind w:left="360"/>
              <w:rPr>
                <w:rFonts w:ascii="Arial" w:hAnsi="Arial" w:cs="Arial"/>
                <w:b/>
                <w:bCs/>
                <w:color w:val="000000"/>
              </w:rPr>
            </w:pPr>
            <w:r w:rsidRPr="20381F86">
              <w:rPr>
                <w:rFonts w:ascii="Arial" w:hAnsi="Arial" w:cs="Arial"/>
                <w:color w:val="000000" w:themeColor="text1"/>
              </w:rPr>
              <w:t>A drug or designated vaccine with a TGA Provisional determination related to the proposed population.</w:t>
            </w:r>
          </w:p>
        </w:tc>
      </w:tr>
      <w:tr w:rsidR="007A6558" w:rsidRPr="00292120" w:rsidDel="008F66B5" w14:paraId="6F44DE55" w14:textId="77777777" w:rsidTr="003D3CC4">
        <w:trPr>
          <w:trHeight w:val="300"/>
        </w:trPr>
        <w:tc>
          <w:tcPr>
            <w:tcW w:w="1984" w:type="dxa"/>
          </w:tcPr>
          <w:p w14:paraId="498010AE" w14:textId="77777777" w:rsidR="00B7375E" w:rsidRPr="00292120" w:rsidDel="008F66B5" w:rsidRDefault="00B7375E">
            <w:pPr>
              <w:tabs>
                <w:tab w:val="left" w:pos="5210"/>
              </w:tabs>
              <w:rPr>
                <w:rFonts w:ascii="Arial" w:hAnsi="Arial" w:cs="Arial"/>
                <w:b/>
                <w:bCs/>
                <w:lang w:val="en-US"/>
              </w:rPr>
            </w:pPr>
            <w:r w:rsidRPr="20381F86">
              <w:rPr>
                <w:rFonts w:ascii="Arial" w:hAnsi="Arial" w:cs="Arial"/>
                <w:b/>
                <w:bCs/>
              </w:rPr>
              <w:t>Category 2</w:t>
            </w:r>
          </w:p>
        </w:tc>
        <w:tc>
          <w:tcPr>
            <w:tcW w:w="11483" w:type="dxa"/>
          </w:tcPr>
          <w:p w14:paraId="510CB33C" w14:textId="77777777" w:rsidR="00B7375E" w:rsidRPr="00292120" w:rsidDel="008F66B5" w:rsidRDefault="00B7375E">
            <w:pPr>
              <w:tabs>
                <w:tab w:val="left" w:pos="5210"/>
              </w:tabs>
              <w:rPr>
                <w:rFonts w:ascii="Arial" w:hAnsi="Arial" w:cs="Arial"/>
              </w:rPr>
            </w:pPr>
            <w:r w:rsidRPr="20381F86">
              <w:rPr>
                <w:rFonts w:ascii="Arial" w:hAnsi="Arial" w:cs="Arial"/>
              </w:rPr>
              <w:t>A request for PBS or NIP listing of a new medicine or new vaccine, a new indication of a currently listed medicine or vaccine, or to make material changes to a currently listed indication and do not meet the criteria for a Category 1 submission.</w:t>
            </w:r>
          </w:p>
        </w:tc>
      </w:tr>
      <w:tr w:rsidR="007A6558" w:rsidRPr="00292120" w:rsidDel="008F66B5" w14:paraId="67A26BB6" w14:textId="77777777" w:rsidTr="003D3CC4">
        <w:trPr>
          <w:trHeight w:val="300"/>
        </w:trPr>
        <w:tc>
          <w:tcPr>
            <w:tcW w:w="1984" w:type="dxa"/>
          </w:tcPr>
          <w:p w14:paraId="40126568" w14:textId="77777777" w:rsidR="00B7375E" w:rsidRPr="00292120" w:rsidDel="008F66B5" w:rsidRDefault="00B7375E">
            <w:pPr>
              <w:tabs>
                <w:tab w:val="left" w:pos="5210"/>
              </w:tabs>
              <w:rPr>
                <w:rFonts w:ascii="Arial" w:hAnsi="Arial" w:cs="Arial"/>
                <w:b/>
                <w:bCs/>
                <w:lang w:val="en-US"/>
              </w:rPr>
            </w:pPr>
            <w:r w:rsidRPr="20381F86">
              <w:rPr>
                <w:rFonts w:ascii="Arial" w:hAnsi="Arial" w:cs="Arial"/>
                <w:b/>
                <w:bCs/>
              </w:rPr>
              <w:t>Category 3</w:t>
            </w:r>
          </w:p>
        </w:tc>
        <w:tc>
          <w:tcPr>
            <w:tcW w:w="11483" w:type="dxa"/>
          </w:tcPr>
          <w:p w14:paraId="1CC90A72" w14:textId="77777777" w:rsidR="00B7375E" w:rsidRPr="00292120" w:rsidDel="008F66B5" w:rsidRDefault="00B7375E">
            <w:pPr>
              <w:tabs>
                <w:tab w:val="left" w:pos="5210"/>
              </w:tabs>
              <w:rPr>
                <w:rFonts w:ascii="Arial" w:hAnsi="Arial" w:cs="Arial"/>
              </w:rPr>
            </w:pPr>
            <w:r w:rsidRPr="20381F86">
              <w:rPr>
                <w:rFonts w:ascii="Arial" w:hAnsi="Arial" w:cs="Arial"/>
              </w:rPr>
              <w:t xml:space="preserve">Requests to change existing listings that do not change the population or </w:t>
            </w:r>
            <w:r w:rsidRPr="00292120" w:rsidDel="008F66B5">
              <w:rPr>
                <w:rFonts w:ascii="Arial" w:hAnsi="Arial" w:cs="Arial"/>
              </w:rPr>
              <w:t>cost</w:t>
            </w:r>
            <w:r>
              <w:rPr>
                <w:rFonts w:ascii="Arial" w:hAnsi="Arial" w:cs="Arial"/>
              </w:rPr>
              <w:t xml:space="preserve"> </w:t>
            </w:r>
            <w:r w:rsidRPr="20381F86">
              <w:rPr>
                <w:rFonts w:ascii="Arial" w:hAnsi="Arial" w:cs="Arial"/>
              </w:rPr>
              <w:t>effectiveness</w:t>
            </w:r>
            <w:r w:rsidRPr="00292120" w:rsidDel="008F66B5">
              <w:rPr>
                <w:rFonts w:ascii="Arial" w:hAnsi="Arial" w:cs="Arial"/>
              </w:rPr>
              <w:t xml:space="preserve"> of the medicine or vaccine that do not meet the criteria for a Category 4 submission.</w:t>
            </w:r>
          </w:p>
        </w:tc>
      </w:tr>
      <w:tr w:rsidR="007A6558" w:rsidRPr="00292120" w:rsidDel="008F66B5" w14:paraId="4921AF3C" w14:textId="77777777" w:rsidTr="003D3CC4">
        <w:trPr>
          <w:trHeight w:val="300"/>
        </w:trPr>
        <w:tc>
          <w:tcPr>
            <w:tcW w:w="1984" w:type="dxa"/>
          </w:tcPr>
          <w:p w14:paraId="5D0B1D13" w14:textId="77777777" w:rsidR="00B7375E" w:rsidRPr="00292120" w:rsidDel="008F66B5" w:rsidRDefault="00B7375E">
            <w:pPr>
              <w:pStyle w:val="Default"/>
              <w:rPr>
                <w:rFonts w:ascii="Arial" w:hAnsi="Arial" w:cs="Arial"/>
                <w:b/>
                <w:bCs/>
                <w:sz w:val="20"/>
                <w:lang w:val="en-US"/>
              </w:rPr>
            </w:pPr>
            <w:r w:rsidRPr="20381F86">
              <w:rPr>
                <w:rFonts w:ascii="Arial" w:hAnsi="Arial" w:cs="Arial"/>
                <w:b/>
                <w:bCs/>
                <w:sz w:val="20"/>
              </w:rPr>
              <w:t xml:space="preserve">Category 4 </w:t>
            </w:r>
          </w:p>
        </w:tc>
        <w:tc>
          <w:tcPr>
            <w:tcW w:w="11483" w:type="dxa"/>
          </w:tcPr>
          <w:p w14:paraId="0E675AB1" w14:textId="77777777" w:rsidR="00B7375E" w:rsidRPr="00292120" w:rsidDel="008F66B5" w:rsidRDefault="00B7375E">
            <w:pPr>
              <w:pStyle w:val="Default"/>
              <w:rPr>
                <w:rFonts w:ascii="Arial" w:hAnsi="Arial" w:cs="Arial"/>
                <w:b/>
                <w:bCs/>
                <w:sz w:val="20"/>
              </w:rPr>
            </w:pPr>
            <w:r w:rsidRPr="20381F86">
              <w:rPr>
                <w:rFonts w:ascii="Arial" w:hAnsi="Arial" w:cs="Arial"/>
                <w:sz w:val="20"/>
              </w:rPr>
              <w:t xml:space="preserve">A request for one or more of the following: </w:t>
            </w:r>
          </w:p>
          <w:p w14:paraId="2E0EE449" w14:textId="77777777" w:rsidR="00B7375E" w:rsidRPr="00292120" w:rsidDel="008F66B5" w:rsidRDefault="00B7375E" w:rsidP="00B7375E">
            <w:pPr>
              <w:pStyle w:val="ListParagraph"/>
              <w:numPr>
                <w:ilvl w:val="0"/>
                <w:numId w:val="9"/>
              </w:numPr>
              <w:autoSpaceDE w:val="0"/>
              <w:autoSpaceDN w:val="0"/>
              <w:adjustRightInd w:val="0"/>
              <w:ind w:left="360"/>
              <w:rPr>
                <w:rFonts w:ascii="Arial" w:hAnsi="Arial" w:cs="Arial"/>
                <w:b/>
                <w:bCs/>
                <w:color w:val="000000"/>
              </w:rPr>
            </w:pPr>
            <w:r w:rsidRPr="20381F86">
              <w:rPr>
                <w:rFonts w:ascii="Arial" w:hAnsi="Arial" w:cs="Arial"/>
                <w:color w:val="000000" w:themeColor="text1"/>
              </w:rPr>
              <w:t xml:space="preserve">Listing of a new pharmaceutical item of a listed medicine. </w:t>
            </w:r>
          </w:p>
          <w:p w14:paraId="0C588FE7" w14:textId="77777777" w:rsidR="00B7375E" w:rsidRPr="00292120" w:rsidDel="008F66B5" w:rsidRDefault="00B7375E" w:rsidP="00B7375E">
            <w:pPr>
              <w:pStyle w:val="ListParagraph"/>
              <w:numPr>
                <w:ilvl w:val="0"/>
                <w:numId w:val="9"/>
              </w:numPr>
              <w:autoSpaceDE w:val="0"/>
              <w:autoSpaceDN w:val="0"/>
              <w:adjustRightInd w:val="0"/>
              <w:ind w:left="360"/>
              <w:rPr>
                <w:rFonts w:ascii="Arial" w:hAnsi="Arial" w:cs="Arial"/>
                <w:b/>
                <w:bCs/>
                <w:color w:val="000000"/>
              </w:rPr>
            </w:pPr>
            <w:r w:rsidRPr="20381F86">
              <w:rPr>
                <w:rFonts w:ascii="Arial" w:hAnsi="Arial" w:cs="Arial"/>
                <w:color w:val="000000" w:themeColor="text1"/>
              </w:rPr>
              <w:t xml:space="preserve">Consideration as an exempt item (Exempt item as per subsection 84AH of the </w:t>
            </w:r>
            <w:r w:rsidRPr="20381F86">
              <w:rPr>
                <w:rFonts w:ascii="Arial" w:hAnsi="Arial" w:cs="Arial"/>
                <w:i/>
                <w:iCs/>
                <w:color w:val="000000" w:themeColor="text1"/>
              </w:rPr>
              <w:t>National Health Act 1953</w:t>
            </w:r>
            <w:r w:rsidRPr="20381F86">
              <w:rPr>
                <w:rFonts w:ascii="Arial" w:hAnsi="Arial" w:cs="Arial"/>
                <w:color w:val="000000" w:themeColor="text1"/>
              </w:rPr>
              <w:t xml:space="preserve">). </w:t>
            </w:r>
          </w:p>
          <w:p w14:paraId="3C953A0E" w14:textId="77777777" w:rsidR="00B7375E" w:rsidRPr="00292120" w:rsidDel="008F66B5" w:rsidRDefault="00B7375E" w:rsidP="00B7375E">
            <w:pPr>
              <w:pStyle w:val="ListParagraph"/>
              <w:numPr>
                <w:ilvl w:val="0"/>
                <w:numId w:val="9"/>
              </w:numPr>
              <w:autoSpaceDE w:val="0"/>
              <w:autoSpaceDN w:val="0"/>
              <w:adjustRightInd w:val="0"/>
              <w:ind w:left="360"/>
              <w:rPr>
                <w:rFonts w:ascii="Arial" w:hAnsi="Arial" w:cs="Arial"/>
                <w:b/>
                <w:bCs/>
                <w:color w:val="000000"/>
              </w:rPr>
            </w:pPr>
            <w:r w:rsidRPr="20381F86">
              <w:rPr>
                <w:rFonts w:ascii="Arial" w:hAnsi="Arial" w:cs="Arial"/>
              </w:rPr>
              <w:t xml:space="preserve">Including a listed medicine on the prescriber bag, or varying an existing prescriber bag listing. </w:t>
            </w:r>
          </w:p>
          <w:p w14:paraId="43E0FA36" w14:textId="77777777" w:rsidR="00B7375E" w:rsidRPr="00292120" w:rsidDel="008F66B5" w:rsidRDefault="00B7375E" w:rsidP="00B7375E">
            <w:pPr>
              <w:pStyle w:val="ListParagraph"/>
              <w:numPr>
                <w:ilvl w:val="0"/>
                <w:numId w:val="10"/>
              </w:numPr>
              <w:autoSpaceDE w:val="0"/>
              <w:autoSpaceDN w:val="0"/>
              <w:adjustRightInd w:val="0"/>
              <w:ind w:left="360"/>
              <w:rPr>
                <w:rFonts w:ascii="Arial" w:hAnsi="Arial" w:cs="Arial"/>
                <w:b/>
                <w:bCs/>
              </w:rPr>
            </w:pPr>
            <w:r w:rsidRPr="20381F86">
              <w:rPr>
                <w:rFonts w:ascii="Arial" w:hAnsi="Arial" w:cs="Arial"/>
              </w:rPr>
              <w:t xml:space="preserve">A change/new manner of administration of a listed medicine. </w:t>
            </w:r>
          </w:p>
          <w:p w14:paraId="28EBBC44" w14:textId="77777777" w:rsidR="00B7375E" w:rsidRPr="00292120" w:rsidDel="008F66B5" w:rsidRDefault="00B7375E" w:rsidP="00B7375E">
            <w:pPr>
              <w:pStyle w:val="ListParagraph"/>
              <w:numPr>
                <w:ilvl w:val="0"/>
                <w:numId w:val="10"/>
              </w:numPr>
              <w:autoSpaceDE w:val="0"/>
              <w:autoSpaceDN w:val="0"/>
              <w:adjustRightInd w:val="0"/>
              <w:ind w:left="360"/>
              <w:rPr>
                <w:rFonts w:ascii="Arial" w:hAnsi="Arial" w:cs="Arial"/>
                <w:b/>
                <w:bCs/>
              </w:rPr>
            </w:pPr>
            <w:r w:rsidRPr="20381F86">
              <w:rPr>
                <w:rFonts w:ascii="Arial" w:hAnsi="Arial" w:cs="Arial"/>
              </w:rPr>
              <w:t xml:space="preserve">A change to the maximum quantity and/or number of repeats of a listed medicine. </w:t>
            </w:r>
          </w:p>
          <w:p w14:paraId="76A23D97" w14:textId="77777777" w:rsidR="00B7375E" w:rsidRPr="00292120" w:rsidDel="008F66B5" w:rsidRDefault="00B7375E" w:rsidP="00B7375E">
            <w:pPr>
              <w:pStyle w:val="ListParagraph"/>
              <w:numPr>
                <w:ilvl w:val="0"/>
                <w:numId w:val="10"/>
              </w:numPr>
              <w:autoSpaceDE w:val="0"/>
              <w:autoSpaceDN w:val="0"/>
              <w:adjustRightInd w:val="0"/>
              <w:ind w:left="360"/>
              <w:rPr>
                <w:rFonts w:ascii="Arial" w:hAnsi="Arial" w:cs="Arial"/>
                <w:b/>
                <w:bCs/>
              </w:rPr>
            </w:pPr>
            <w:r w:rsidRPr="20381F86">
              <w:rPr>
                <w:rFonts w:ascii="Arial" w:hAnsi="Arial" w:cs="Arial"/>
              </w:rPr>
              <w:t>A change or addition to the prescriber type(s) of a listed medicine.</w:t>
            </w:r>
          </w:p>
        </w:tc>
      </w:tr>
      <w:tr w:rsidR="007A6558" w:rsidRPr="00292120" w:rsidDel="008F66B5" w14:paraId="5B787F52" w14:textId="77777777" w:rsidTr="003D3CC4">
        <w:trPr>
          <w:trHeight w:val="1026"/>
        </w:trPr>
        <w:tc>
          <w:tcPr>
            <w:tcW w:w="1984" w:type="dxa"/>
          </w:tcPr>
          <w:p w14:paraId="2C4C617F" w14:textId="77777777" w:rsidR="00B7375E" w:rsidRPr="00292120" w:rsidDel="008F66B5" w:rsidRDefault="00B7375E">
            <w:pPr>
              <w:pStyle w:val="Default"/>
              <w:rPr>
                <w:rFonts w:ascii="Arial" w:hAnsi="Arial" w:cs="Arial"/>
                <w:sz w:val="20"/>
              </w:rPr>
            </w:pPr>
            <w:r w:rsidRPr="20381F86">
              <w:rPr>
                <w:rFonts w:ascii="Arial" w:hAnsi="Arial" w:cs="Arial"/>
                <w:b/>
                <w:bCs/>
                <w:sz w:val="20"/>
              </w:rPr>
              <w:t>Committee Secretariat</w:t>
            </w:r>
          </w:p>
        </w:tc>
        <w:tc>
          <w:tcPr>
            <w:tcW w:w="11483" w:type="dxa"/>
          </w:tcPr>
          <w:p w14:paraId="094510AB" w14:textId="77777777" w:rsidR="00B7375E" w:rsidRPr="00292120" w:rsidDel="008F66B5" w:rsidRDefault="00B7375E">
            <w:pPr>
              <w:rPr>
                <w:rFonts w:ascii="Arial" w:hAnsi="Arial" w:cs="Arial"/>
                <w:color w:val="000000"/>
              </w:rPr>
            </w:pPr>
            <w:r w:rsidRPr="20381F86">
              <w:rPr>
                <w:rFonts w:ascii="Arial" w:hAnsi="Arial" w:cs="Arial"/>
                <w:color w:val="000000" w:themeColor="text1"/>
              </w:rPr>
              <w:t>Application is not in Categories 1, 2, 3 or 4 and requests for one or more of the following:</w:t>
            </w:r>
          </w:p>
          <w:p w14:paraId="399D2732" w14:textId="77777777" w:rsidR="00B7375E" w:rsidRPr="00292120" w:rsidDel="008F66B5" w:rsidRDefault="00B7375E" w:rsidP="00B7375E">
            <w:pPr>
              <w:pStyle w:val="ListParagraph"/>
              <w:numPr>
                <w:ilvl w:val="0"/>
                <w:numId w:val="11"/>
              </w:numPr>
              <w:rPr>
                <w:rFonts w:ascii="Arial" w:hAnsi="Arial" w:cs="Arial"/>
              </w:rPr>
            </w:pPr>
            <w:r w:rsidRPr="20381F86">
              <w:rPr>
                <w:rFonts w:ascii="Arial" w:hAnsi="Arial" w:cs="Arial"/>
              </w:rPr>
              <w:t>New or varied listed drugs, medicinal preparations and designated vaccines that pose no greater risk</w:t>
            </w:r>
          </w:p>
          <w:p w14:paraId="5CF5700B" w14:textId="77777777" w:rsidR="00B7375E" w:rsidRPr="00292120" w:rsidDel="008F66B5" w:rsidRDefault="00B7375E" w:rsidP="00B7375E">
            <w:pPr>
              <w:pStyle w:val="ListParagraph"/>
              <w:numPr>
                <w:ilvl w:val="0"/>
                <w:numId w:val="11"/>
              </w:numPr>
              <w:rPr>
                <w:rFonts w:ascii="Arial" w:hAnsi="Arial" w:cs="Arial"/>
              </w:rPr>
            </w:pPr>
            <w:r w:rsidRPr="20381F86">
              <w:rPr>
                <w:rFonts w:ascii="Arial" w:hAnsi="Arial" w:cs="Arial"/>
              </w:rPr>
              <w:t>Pharmaceutical benefits that can no longer be supplied early</w:t>
            </w:r>
          </w:p>
          <w:p w14:paraId="4ED84FC1" w14:textId="77777777" w:rsidR="00B7375E" w:rsidRPr="00292120" w:rsidDel="008F66B5" w:rsidRDefault="00B7375E" w:rsidP="00B7375E">
            <w:pPr>
              <w:pStyle w:val="ListParagraph"/>
              <w:numPr>
                <w:ilvl w:val="0"/>
                <w:numId w:val="11"/>
              </w:numPr>
              <w:rPr>
                <w:rFonts w:ascii="Arial" w:hAnsi="Arial" w:cs="Arial"/>
              </w:rPr>
            </w:pPr>
            <w:r w:rsidRPr="20381F86">
              <w:rPr>
                <w:rFonts w:ascii="Arial" w:hAnsi="Arial" w:cs="Arial"/>
              </w:rPr>
              <w:t>New brand of glucose indicator pharmaceutical item.</w:t>
            </w:r>
          </w:p>
        </w:tc>
      </w:tr>
    </w:tbl>
    <w:p w14:paraId="38B94F52" w14:textId="77777777" w:rsidR="00B7375E" w:rsidRPr="00292120" w:rsidDel="008F66B5" w:rsidRDefault="00B7375E" w:rsidP="00B7375E">
      <w:pPr>
        <w:rPr>
          <w:rFonts w:cs="Arial"/>
          <w:b/>
          <w:bCs/>
          <w:lang w:val="en-US"/>
        </w:rPr>
      </w:pPr>
    </w:p>
    <w:p w14:paraId="3824D129" w14:textId="77777777" w:rsidR="00B7375E" w:rsidRPr="00292120" w:rsidDel="008F66B5" w:rsidRDefault="00B7375E" w:rsidP="00B7375E">
      <w:pPr>
        <w:rPr>
          <w:rFonts w:cs="Arial"/>
          <w:b/>
          <w:bCs/>
          <w:lang w:val="en-US"/>
        </w:rPr>
      </w:pPr>
      <w:r w:rsidRPr="20381F86">
        <w:rPr>
          <w:rFonts w:cs="Arial"/>
          <w:b/>
          <w:bCs/>
          <w:lang w:val="en-US"/>
        </w:rPr>
        <w:br w:type="page"/>
      </w:r>
    </w:p>
    <w:p w14:paraId="7240BC43" w14:textId="4D532B7D" w:rsidR="00B7375E" w:rsidRPr="00292120" w:rsidDel="008F66B5" w:rsidRDefault="00B7375E" w:rsidP="006B2335">
      <w:pPr>
        <w:rPr>
          <w:rFonts w:cs="Arial"/>
          <w:b/>
          <w:bCs/>
          <w:lang w:val="en-US"/>
        </w:rPr>
      </w:pPr>
      <w:r w:rsidRPr="20381F86">
        <w:rPr>
          <w:rFonts w:cs="Arial"/>
          <w:b/>
          <w:bCs/>
          <w:lang w:val="en-US"/>
        </w:rPr>
        <w:t>Resubmission pathways</w:t>
      </w:r>
    </w:p>
    <w:tbl>
      <w:tblPr>
        <w:tblW w:w="4701" w:type="pct"/>
        <w:tblInd w:w="416" w:type="dxa"/>
        <w:tblCellMar>
          <w:left w:w="0" w:type="dxa"/>
          <w:right w:w="0" w:type="dxa"/>
        </w:tblCellMar>
        <w:tblLook w:val="04A0" w:firstRow="1" w:lastRow="0" w:firstColumn="1" w:lastColumn="0" w:noHBand="0" w:noVBand="1"/>
      </w:tblPr>
      <w:tblGrid>
        <w:gridCol w:w="1956"/>
        <w:gridCol w:w="11149"/>
      </w:tblGrid>
      <w:tr w:rsidR="00B7375E" w:rsidRPr="00292120" w:rsidDel="008F66B5" w14:paraId="2184E548" w14:textId="77777777">
        <w:trPr>
          <w:cantSplit/>
          <w:trHeight w:val="300"/>
        </w:trPr>
        <w:tc>
          <w:tcPr>
            <w:tcW w:w="1445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7" w:type="dxa"/>
              <w:left w:w="57" w:type="dxa"/>
              <w:bottom w:w="57" w:type="dxa"/>
              <w:right w:w="57" w:type="dxa"/>
            </w:tcMar>
            <w:vAlign w:val="center"/>
            <w:hideMark/>
          </w:tcPr>
          <w:p w14:paraId="388355F2" w14:textId="77777777" w:rsidR="00B7375E" w:rsidRPr="00292120" w:rsidDel="008F66B5" w:rsidRDefault="00B7375E">
            <w:pPr>
              <w:rPr>
                <w:rFonts w:cs="Arial"/>
              </w:rPr>
            </w:pPr>
            <w:r w:rsidRPr="20381F86">
              <w:rPr>
                <w:rFonts w:cs="Arial"/>
                <w:color w:val="333333"/>
              </w:rPr>
              <w:t xml:space="preserve">There are four different resubmission pathways available to applicants following a ‘not recommended’ PBAC outcome. Resubmission pathways are not available for submissions that receive a positive recommendation from the PBAC. </w:t>
            </w:r>
            <w:r w:rsidRPr="20381F86">
              <w:rPr>
                <w:rFonts w:cs="Arial"/>
              </w:rPr>
              <w:t>The resubmission pathways are classified into the following categories:</w:t>
            </w:r>
          </w:p>
        </w:tc>
      </w:tr>
      <w:tr w:rsidR="007A6558" w:rsidRPr="00292120" w:rsidDel="008F66B5" w14:paraId="31A926A2" w14:textId="77777777">
        <w:trPr>
          <w:cantSplit/>
          <w:trHeight w:val="300"/>
        </w:trPr>
        <w:tc>
          <w:tcPr>
            <w:tcW w:w="2068" w:type="dxa"/>
            <w:tcBorders>
              <w:top w:val="nil"/>
              <w:left w:val="single" w:sz="8" w:space="0" w:color="000000" w:themeColor="text1"/>
              <w:bottom w:val="single" w:sz="8" w:space="0" w:color="000000" w:themeColor="text1"/>
              <w:right w:val="single" w:sz="8" w:space="0" w:color="000000" w:themeColor="text1"/>
            </w:tcBorders>
            <w:tcMar>
              <w:top w:w="57" w:type="dxa"/>
              <w:left w:w="57" w:type="dxa"/>
              <w:bottom w:w="57" w:type="dxa"/>
              <w:right w:w="57" w:type="dxa"/>
            </w:tcMar>
            <w:vAlign w:val="center"/>
          </w:tcPr>
          <w:p w14:paraId="025CAFC3" w14:textId="77777777" w:rsidR="00B7375E" w:rsidRPr="00292120" w:rsidDel="008F66B5" w:rsidRDefault="00B7375E">
            <w:pPr>
              <w:contextualSpacing/>
              <w:rPr>
                <w:rFonts w:cs="Arial"/>
                <w:b/>
                <w:bCs/>
              </w:rPr>
            </w:pPr>
            <w:r w:rsidRPr="20381F86">
              <w:rPr>
                <w:rFonts w:cs="Arial"/>
                <w:b/>
                <w:bCs/>
              </w:rPr>
              <w:t>Standard re-entry</w:t>
            </w:r>
          </w:p>
          <w:p w14:paraId="38CF6C96" w14:textId="77777777" w:rsidR="00B7375E" w:rsidRPr="00292120" w:rsidDel="008F66B5" w:rsidRDefault="00B7375E">
            <w:pPr>
              <w:rPr>
                <w:rFonts w:cs="Arial"/>
                <w:b/>
                <w:bCs/>
              </w:rPr>
            </w:pPr>
          </w:p>
        </w:tc>
        <w:tc>
          <w:tcPr>
            <w:tcW w:w="12390" w:type="dxa"/>
            <w:tcBorders>
              <w:top w:val="nil"/>
              <w:left w:val="nil"/>
              <w:bottom w:val="single" w:sz="8" w:space="0" w:color="000000" w:themeColor="text1"/>
              <w:right w:val="single" w:sz="8" w:space="0" w:color="000000" w:themeColor="text1"/>
            </w:tcBorders>
            <w:tcMar>
              <w:top w:w="57" w:type="dxa"/>
              <w:left w:w="57" w:type="dxa"/>
              <w:bottom w:w="57" w:type="dxa"/>
              <w:right w:w="57" w:type="dxa"/>
            </w:tcMar>
            <w:vAlign w:val="center"/>
            <w:hideMark/>
          </w:tcPr>
          <w:p w14:paraId="0885786F" w14:textId="77777777" w:rsidR="00B7375E" w:rsidRPr="00292120" w:rsidDel="008F66B5" w:rsidRDefault="00B7375E">
            <w:pPr>
              <w:autoSpaceDE w:val="0"/>
              <w:autoSpaceDN w:val="0"/>
              <w:rPr>
                <w:rFonts w:cs="Arial"/>
                <w:color w:val="000000"/>
              </w:rPr>
            </w:pPr>
            <w:r w:rsidRPr="20381F86">
              <w:rPr>
                <w:rFonts w:cs="Arial"/>
                <w:color w:val="000000" w:themeColor="text1"/>
              </w:rPr>
              <w:t xml:space="preserve">The Standard Re-entry Pathway is the default pathway for resubmissions and also applies where: </w:t>
            </w:r>
          </w:p>
          <w:p w14:paraId="0369FED0" w14:textId="77777777" w:rsidR="00B7375E" w:rsidRPr="00292120" w:rsidDel="008F66B5" w:rsidRDefault="00B7375E" w:rsidP="00B7375E">
            <w:pPr>
              <w:pStyle w:val="ListParagraph"/>
              <w:numPr>
                <w:ilvl w:val="0"/>
                <w:numId w:val="6"/>
              </w:numPr>
              <w:autoSpaceDE w:val="0"/>
              <w:autoSpaceDN w:val="0"/>
              <w:spacing w:after="0" w:line="240" w:lineRule="auto"/>
              <w:rPr>
                <w:rFonts w:cs="Arial"/>
                <w:color w:val="000000"/>
                <w:szCs w:val="20"/>
              </w:rPr>
            </w:pPr>
            <w:r w:rsidRPr="20381F86">
              <w:rPr>
                <w:rFonts w:cs="Arial"/>
                <w:color w:val="000000" w:themeColor="text1"/>
                <w:szCs w:val="20"/>
              </w:rPr>
              <w:t xml:space="preserve">an applicant chooses not to accept the PBAC nominated resubmission pathway; or </w:t>
            </w:r>
          </w:p>
          <w:p w14:paraId="146125CA" w14:textId="77777777" w:rsidR="00B7375E" w:rsidRPr="00292120" w:rsidDel="008F66B5" w:rsidRDefault="00B7375E" w:rsidP="00B7375E">
            <w:pPr>
              <w:pStyle w:val="ListParagraph"/>
              <w:numPr>
                <w:ilvl w:val="0"/>
                <w:numId w:val="6"/>
              </w:numPr>
              <w:autoSpaceDE w:val="0"/>
              <w:autoSpaceDN w:val="0"/>
              <w:spacing w:after="0" w:line="240" w:lineRule="auto"/>
              <w:rPr>
                <w:rFonts w:cs="Arial"/>
                <w:color w:val="000000"/>
                <w:szCs w:val="20"/>
              </w:rPr>
            </w:pPr>
            <w:r w:rsidRPr="20381F86">
              <w:rPr>
                <w:rFonts w:cs="Arial"/>
                <w:color w:val="000000" w:themeColor="text1"/>
                <w:szCs w:val="20"/>
              </w:rPr>
              <w:t xml:space="preserve">an Early Re-entry or Early Resolution Pathway has been nominated by the PBAC and an applicant decides to address issues other than those identified by the PBAC (including a subset of issues); or </w:t>
            </w:r>
          </w:p>
          <w:p w14:paraId="6DF38102" w14:textId="77777777" w:rsidR="00B7375E" w:rsidRPr="00292120" w:rsidDel="008F66B5" w:rsidRDefault="00B7375E" w:rsidP="00B7375E">
            <w:pPr>
              <w:pStyle w:val="ListParagraph"/>
              <w:numPr>
                <w:ilvl w:val="0"/>
                <w:numId w:val="6"/>
              </w:numPr>
              <w:autoSpaceDE w:val="0"/>
              <w:autoSpaceDN w:val="0"/>
              <w:spacing w:after="0" w:line="240" w:lineRule="auto"/>
              <w:rPr>
                <w:rFonts w:cs="Arial"/>
                <w:color w:val="000000"/>
                <w:szCs w:val="20"/>
              </w:rPr>
            </w:pPr>
            <w:r w:rsidRPr="20381F86">
              <w:rPr>
                <w:rFonts w:cs="Arial"/>
                <w:color w:val="000000" w:themeColor="text1"/>
                <w:szCs w:val="20"/>
              </w:rPr>
              <w:t xml:space="preserve">an applicant decides to lodge later than the allowable timelines for the other pathways. </w:t>
            </w:r>
          </w:p>
        </w:tc>
      </w:tr>
      <w:tr w:rsidR="007A6558" w:rsidRPr="00292120" w:rsidDel="008F66B5" w14:paraId="0B8F9E39" w14:textId="77777777">
        <w:trPr>
          <w:cantSplit/>
          <w:trHeight w:val="300"/>
        </w:trPr>
        <w:tc>
          <w:tcPr>
            <w:tcW w:w="2068" w:type="dxa"/>
            <w:tcBorders>
              <w:top w:val="nil"/>
              <w:left w:val="single" w:sz="8" w:space="0" w:color="000000" w:themeColor="text1"/>
              <w:bottom w:val="single" w:sz="8" w:space="0" w:color="000000" w:themeColor="text1"/>
              <w:right w:val="single" w:sz="8" w:space="0" w:color="000000" w:themeColor="text1"/>
            </w:tcBorders>
            <w:tcMar>
              <w:top w:w="57" w:type="dxa"/>
              <w:left w:w="57" w:type="dxa"/>
              <w:bottom w:w="57" w:type="dxa"/>
              <w:right w:w="57" w:type="dxa"/>
            </w:tcMar>
            <w:vAlign w:val="center"/>
            <w:hideMark/>
          </w:tcPr>
          <w:p w14:paraId="413BE6E6" w14:textId="77777777" w:rsidR="00B7375E" w:rsidRPr="00292120" w:rsidDel="008F66B5" w:rsidRDefault="00B7375E">
            <w:pPr>
              <w:contextualSpacing/>
              <w:rPr>
                <w:rFonts w:cs="Arial"/>
                <w:b/>
                <w:bCs/>
              </w:rPr>
            </w:pPr>
            <w:r w:rsidRPr="20381F86">
              <w:rPr>
                <w:rFonts w:cs="Arial"/>
                <w:b/>
                <w:bCs/>
              </w:rPr>
              <w:t>Early re-entry pathway</w:t>
            </w:r>
          </w:p>
        </w:tc>
        <w:tc>
          <w:tcPr>
            <w:tcW w:w="12390" w:type="dxa"/>
            <w:tcBorders>
              <w:top w:val="nil"/>
              <w:left w:val="nil"/>
              <w:bottom w:val="single" w:sz="8" w:space="0" w:color="000000" w:themeColor="text1"/>
              <w:right w:val="single" w:sz="8" w:space="0" w:color="000000" w:themeColor="text1"/>
            </w:tcBorders>
            <w:tcMar>
              <w:top w:w="57" w:type="dxa"/>
              <w:left w:w="57" w:type="dxa"/>
              <w:bottom w:w="57" w:type="dxa"/>
              <w:right w:w="57" w:type="dxa"/>
            </w:tcMar>
            <w:vAlign w:val="center"/>
            <w:hideMark/>
          </w:tcPr>
          <w:p w14:paraId="3215DB6C" w14:textId="77777777" w:rsidR="00B7375E" w:rsidRPr="00292120" w:rsidDel="008F66B5" w:rsidRDefault="00B7375E">
            <w:pPr>
              <w:contextualSpacing/>
              <w:rPr>
                <w:rFonts w:cs="Arial"/>
                <w:color w:val="000000"/>
              </w:rPr>
            </w:pPr>
            <w:r w:rsidRPr="20381F86">
              <w:rPr>
                <w:rFonts w:cs="Arial"/>
              </w:rPr>
              <w:t xml:space="preserve">An Early Re-entry Pathway may be nominated by the PBAC where the PBAC considers that the remaining issues could be easily resolved and the medicine or vaccine does not represent </w:t>
            </w:r>
            <w:r w:rsidRPr="20381F86">
              <w:rPr>
                <w:rFonts w:cs="Arial"/>
                <w:color w:val="000000" w:themeColor="text1"/>
              </w:rPr>
              <w:t xml:space="preserve">High Added Therapeutic Value (HATV) </w:t>
            </w:r>
            <w:r w:rsidRPr="20381F86">
              <w:rPr>
                <w:rFonts w:cs="Arial"/>
              </w:rPr>
              <w:t>for the proposed population. Applicants who accept this pathway are eligible for PBAC consideration at the immediate next meeting.</w:t>
            </w:r>
          </w:p>
        </w:tc>
      </w:tr>
      <w:tr w:rsidR="007A6558" w:rsidRPr="00292120" w:rsidDel="008F66B5" w14:paraId="3C2AE7A9" w14:textId="77777777">
        <w:trPr>
          <w:cantSplit/>
          <w:trHeight w:val="300"/>
        </w:trPr>
        <w:tc>
          <w:tcPr>
            <w:tcW w:w="2068" w:type="dxa"/>
            <w:tcBorders>
              <w:top w:val="nil"/>
              <w:left w:val="single" w:sz="8" w:space="0" w:color="000000" w:themeColor="text1"/>
              <w:bottom w:val="single" w:sz="8" w:space="0" w:color="000000" w:themeColor="text1"/>
              <w:right w:val="single" w:sz="8" w:space="0" w:color="000000" w:themeColor="text1"/>
            </w:tcBorders>
            <w:tcMar>
              <w:top w:w="57" w:type="dxa"/>
              <w:left w:w="57" w:type="dxa"/>
              <w:bottom w:w="57" w:type="dxa"/>
              <w:right w:w="57" w:type="dxa"/>
            </w:tcMar>
            <w:vAlign w:val="center"/>
          </w:tcPr>
          <w:p w14:paraId="1FB597F9" w14:textId="77777777" w:rsidR="00B7375E" w:rsidRPr="00292120" w:rsidDel="008F66B5" w:rsidRDefault="00B7375E">
            <w:pPr>
              <w:rPr>
                <w:rFonts w:cs="Arial"/>
                <w:b/>
                <w:bCs/>
              </w:rPr>
            </w:pPr>
            <w:r w:rsidRPr="20381F86">
              <w:rPr>
                <w:rFonts w:cs="Arial"/>
                <w:b/>
                <w:bCs/>
              </w:rPr>
              <w:t>Early resolution pathway</w:t>
            </w:r>
          </w:p>
          <w:p w14:paraId="1493E5D4" w14:textId="77777777" w:rsidR="00B7375E" w:rsidRPr="00292120" w:rsidDel="008F66B5" w:rsidRDefault="00B7375E">
            <w:pPr>
              <w:rPr>
                <w:rFonts w:cs="Arial"/>
              </w:rPr>
            </w:pPr>
          </w:p>
        </w:tc>
        <w:tc>
          <w:tcPr>
            <w:tcW w:w="12390" w:type="dxa"/>
            <w:tcBorders>
              <w:top w:val="nil"/>
              <w:left w:val="nil"/>
              <w:bottom w:val="single" w:sz="8" w:space="0" w:color="000000" w:themeColor="text1"/>
              <w:right w:val="single" w:sz="8" w:space="0" w:color="000000" w:themeColor="text1"/>
            </w:tcBorders>
            <w:tcMar>
              <w:top w:w="57" w:type="dxa"/>
              <w:left w:w="57" w:type="dxa"/>
              <w:bottom w:w="57" w:type="dxa"/>
              <w:right w:w="57" w:type="dxa"/>
            </w:tcMar>
            <w:vAlign w:val="center"/>
            <w:hideMark/>
          </w:tcPr>
          <w:p w14:paraId="08E4BC9A" w14:textId="77777777" w:rsidR="00B7375E" w:rsidRPr="00292120" w:rsidDel="008F66B5" w:rsidRDefault="00B7375E">
            <w:pPr>
              <w:autoSpaceDE w:val="0"/>
              <w:autoSpaceDN w:val="0"/>
              <w:rPr>
                <w:rFonts w:cs="Arial"/>
                <w:color w:val="000000"/>
              </w:rPr>
            </w:pPr>
            <w:r w:rsidRPr="20381F86">
              <w:rPr>
                <w:rFonts w:cs="Arial"/>
                <w:color w:val="000000" w:themeColor="text1"/>
              </w:rPr>
              <w:t xml:space="preserve">For medicines or vaccines deemed by the PBAC to represent HATV AND where the PBAC considers that the remaining issues could be easily resolved, including when: </w:t>
            </w:r>
          </w:p>
          <w:p w14:paraId="4A241778" w14:textId="77777777" w:rsidR="00B7375E" w:rsidRPr="00292120" w:rsidDel="008F66B5" w:rsidRDefault="00B7375E" w:rsidP="00B7375E">
            <w:pPr>
              <w:pStyle w:val="ListParagraph"/>
              <w:numPr>
                <w:ilvl w:val="0"/>
                <w:numId w:val="7"/>
              </w:numPr>
              <w:autoSpaceDE w:val="0"/>
              <w:autoSpaceDN w:val="0"/>
              <w:spacing w:after="0" w:line="240" w:lineRule="auto"/>
              <w:rPr>
                <w:rFonts w:cs="Arial"/>
                <w:color w:val="000000"/>
                <w:szCs w:val="20"/>
              </w:rPr>
            </w:pPr>
            <w:r w:rsidRPr="20381F86">
              <w:rPr>
                <w:rFonts w:cs="Arial"/>
                <w:color w:val="000000" w:themeColor="text1"/>
                <w:szCs w:val="20"/>
              </w:rPr>
              <w:t xml:space="preserve">new clinical study data requiring evaluation is not considered necessary by the PBAC to support new clinical claims to be made in the resubmission; and </w:t>
            </w:r>
          </w:p>
          <w:p w14:paraId="65A520EC" w14:textId="77777777" w:rsidR="00B7375E" w:rsidRPr="00292120" w:rsidDel="008F66B5" w:rsidRDefault="00B7375E" w:rsidP="00B7375E">
            <w:pPr>
              <w:pStyle w:val="ListParagraph"/>
              <w:numPr>
                <w:ilvl w:val="0"/>
                <w:numId w:val="7"/>
              </w:numPr>
              <w:autoSpaceDE w:val="0"/>
              <w:autoSpaceDN w:val="0"/>
              <w:spacing w:after="0" w:line="240" w:lineRule="auto"/>
              <w:rPr>
                <w:rFonts w:cs="Arial"/>
                <w:color w:val="000000"/>
                <w:szCs w:val="20"/>
              </w:rPr>
            </w:pPr>
            <w:r w:rsidRPr="20381F86">
              <w:rPr>
                <w:rFonts w:cs="Arial"/>
                <w:color w:val="000000" w:themeColor="text1"/>
                <w:szCs w:val="20"/>
              </w:rPr>
              <w:t xml:space="preserve">a revised model structure or input variable changes (beyond those specified by the PBAC) are not necessary to support any new economic claims, or to estimate the utilisation and financial impacts to be made in the resubmission. </w:t>
            </w:r>
          </w:p>
          <w:p w14:paraId="0AECDEC5" w14:textId="77777777" w:rsidR="00B7375E" w:rsidRPr="00292120" w:rsidDel="008F66B5" w:rsidRDefault="00B7375E">
            <w:pPr>
              <w:pStyle w:val="NormalWeb"/>
              <w:spacing w:before="0" w:beforeAutospacing="0" w:after="0" w:afterAutospacing="0"/>
              <w:rPr>
                <w:rFonts w:ascii="Arial" w:hAnsi="Arial" w:cs="Arial"/>
                <w:sz w:val="20"/>
                <w:szCs w:val="20"/>
              </w:rPr>
            </w:pPr>
            <w:r w:rsidRPr="20381F86">
              <w:rPr>
                <w:rFonts w:ascii="Arial" w:hAnsi="Arial" w:cs="Arial"/>
                <w:sz w:val="20"/>
                <w:szCs w:val="20"/>
              </w:rPr>
              <w:t xml:space="preserve">Applicants who accept this pathway are eligible for PBAC consideration out-of-session (before the main meeting), unless the department, in consultation with the PBAC Chair, identifies an unexpected issue such that the resubmission needs consideration at the next main PBAC meeting. </w:t>
            </w:r>
          </w:p>
        </w:tc>
      </w:tr>
      <w:tr w:rsidR="007A6558" w:rsidRPr="00292120" w:rsidDel="008F66B5" w14:paraId="569D3622" w14:textId="77777777">
        <w:trPr>
          <w:cantSplit/>
          <w:trHeight w:val="300"/>
        </w:trPr>
        <w:tc>
          <w:tcPr>
            <w:tcW w:w="2068" w:type="dxa"/>
            <w:tcBorders>
              <w:top w:val="nil"/>
              <w:left w:val="single" w:sz="8" w:space="0" w:color="000000" w:themeColor="text1"/>
              <w:bottom w:val="single" w:sz="8" w:space="0" w:color="000000" w:themeColor="text1"/>
              <w:right w:val="single" w:sz="8" w:space="0" w:color="000000" w:themeColor="text1"/>
            </w:tcBorders>
            <w:tcMar>
              <w:top w:w="57" w:type="dxa"/>
              <w:left w:w="57" w:type="dxa"/>
              <w:bottom w:w="57" w:type="dxa"/>
              <w:right w:w="57" w:type="dxa"/>
            </w:tcMar>
            <w:vAlign w:val="center"/>
            <w:hideMark/>
          </w:tcPr>
          <w:p w14:paraId="55060BCB" w14:textId="77777777" w:rsidR="00B7375E" w:rsidRPr="00292120" w:rsidDel="008F66B5" w:rsidRDefault="00B7375E">
            <w:pPr>
              <w:rPr>
                <w:rFonts w:cs="Arial"/>
              </w:rPr>
            </w:pPr>
            <w:r w:rsidRPr="20381F86">
              <w:rPr>
                <w:rFonts w:cs="Arial"/>
                <w:b/>
                <w:bCs/>
              </w:rPr>
              <w:t>Facilitated resolution pathway</w:t>
            </w:r>
          </w:p>
        </w:tc>
        <w:tc>
          <w:tcPr>
            <w:tcW w:w="12390" w:type="dxa"/>
            <w:tcBorders>
              <w:top w:val="nil"/>
              <w:left w:val="nil"/>
              <w:bottom w:val="single" w:sz="8" w:space="0" w:color="000000" w:themeColor="text1"/>
              <w:right w:val="single" w:sz="8" w:space="0" w:color="000000" w:themeColor="text1"/>
            </w:tcBorders>
            <w:tcMar>
              <w:top w:w="57" w:type="dxa"/>
              <w:left w:w="57" w:type="dxa"/>
              <w:bottom w:w="57" w:type="dxa"/>
              <w:right w:w="57" w:type="dxa"/>
            </w:tcMar>
            <w:vAlign w:val="center"/>
            <w:hideMark/>
          </w:tcPr>
          <w:p w14:paraId="63FF5CEF" w14:textId="77777777" w:rsidR="00B7375E" w:rsidRPr="00F657EC" w:rsidDel="008F66B5" w:rsidRDefault="00B7375E">
            <w:pPr>
              <w:autoSpaceDE w:val="0"/>
              <w:autoSpaceDN w:val="0"/>
              <w:rPr>
                <w:rFonts w:cs="Arial"/>
                <w:b/>
              </w:rPr>
            </w:pPr>
            <w:r w:rsidRPr="20381F86">
              <w:rPr>
                <w:rFonts w:cs="Arial"/>
                <w:color w:val="000000" w:themeColor="text1"/>
              </w:rPr>
              <w:t>A Facilitated Resolution Pathway may be nominated by the PBAC where the PBAC considers the issues for resolution could be explored through a workshop AND where the medicine or vaccine meets the HATV criteria. Applicants who accept this pathway are eligible for a solution-focussed workshop with one or more members of the PBAC. The workshop agenda will be based on the issues for resolution outlined in the PBAC Minutes. This can be further clarified during the post-PBAC meeting with the Chair.</w:t>
            </w:r>
          </w:p>
        </w:tc>
      </w:tr>
    </w:tbl>
    <w:p w14:paraId="46F33878" w14:textId="71EF6B65" w:rsidR="007510EF" w:rsidRPr="00E71941" w:rsidRDefault="007510EF" w:rsidP="00E71941">
      <w:pPr>
        <w:tabs>
          <w:tab w:val="left" w:pos="5716"/>
        </w:tabs>
      </w:pPr>
    </w:p>
    <w:sectPr w:rsidR="007510EF" w:rsidRPr="00E71941" w:rsidSect="00824DBC">
      <w:headerReference w:type="even" r:id="rId12"/>
      <w:headerReference w:type="default" r:id="rId13"/>
      <w:footerReference w:type="even" r:id="rId14"/>
      <w:footerReference w:type="default" r:id="rId15"/>
      <w:headerReference w:type="first" r:id="rId16"/>
      <w:footerReference w:type="first" r:id="rId1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60EC5" w14:textId="77777777" w:rsidR="000A0013" w:rsidRDefault="000A0013" w:rsidP="00824DBC">
      <w:pPr>
        <w:spacing w:after="0" w:line="240" w:lineRule="auto"/>
      </w:pPr>
      <w:r>
        <w:separator/>
      </w:r>
    </w:p>
  </w:endnote>
  <w:endnote w:type="continuationSeparator" w:id="0">
    <w:p w14:paraId="589CD099" w14:textId="77777777" w:rsidR="000A0013" w:rsidRDefault="000A0013" w:rsidP="00824D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A95BE" w14:textId="2D7FCF77" w:rsidR="00352C64" w:rsidRDefault="00352C64">
    <w:pPr>
      <w:pStyle w:val="Footer"/>
    </w:pPr>
    <w:r>
      <w:rPr>
        <w:noProof/>
      </w:rPr>
      <mc:AlternateContent>
        <mc:Choice Requires="wps">
          <w:drawing>
            <wp:anchor distT="0" distB="0" distL="0" distR="0" simplePos="0" relativeHeight="251658244" behindDoc="0" locked="0" layoutInCell="1" allowOverlap="1" wp14:anchorId="1B46DFA3" wp14:editId="182B6EFA">
              <wp:simplePos x="635" y="635"/>
              <wp:positionH relativeFrom="page">
                <wp:align>center</wp:align>
              </wp:positionH>
              <wp:positionV relativeFrom="page">
                <wp:align>bottom</wp:align>
              </wp:positionV>
              <wp:extent cx="622300" cy="391160"/>
              <wp:effectExtent l="0" t="0" r="6350" b="0"/>
              <wp:wrapNone/>
              <wp:docPr id="38354648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40D3875D" w14:textId="0DFCC5E7" w:rsidR="00352C64" w:rsidRPr="00352C64" w:rsidRDefault="00352C64" w:rsidP="00352C64">
                          <w:pPr>
                            <w:spacing w:after="0"/>
                            <w:rPr>
                              <w:rFonts w:ascii="Aptos" w:eastAsia="Aptos" w:hAnsi="Aptos" w:cs="Aptos"/>
                              <w:noProof/>
                              <w:color w:val="FF0000"/>
                              <w:sz w:val="24"/>
                            </w:rPr>
                          </w:pPr>
                          <w:r w:rsidRPr="00352C64">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46DFA3" id="_x0000_t202" coordsize="21600,21600" o:spt="202" path="m,l,21600r21600,l21600,xe">
              <v:stroke joinstyle="miter"/>
              <v:path gradientshapeok="t" o:connecttype="rect"/>
            </v:shapetype>
            <v:shape id="Text Box 5" o:spid="_x0000_s1028" type="#_x0000_t202" alt="OFFICIAL" style="position:absolute;margin-left:0;margin-top:0;width:49pt;height:30.8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PdTDQ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" filled="f" stroked="f">
              <v:textbox style="mso-fit-shape-to-text:t" inset="0,0,0,15pt">
                <w:txbxContent>
                  <w:p w14:paraId="40D3875D" w14:textId="0DFCC5E7" w:rsidR="00352C64" w:rsidRPr="00352C64" w:rsidRDefault="00352C64" w:rsidP="00352C64">
                    <w:pPr>
                      <w:spacing w:after="0"/>
                      <w:rPr>
                        <w:rFonts w:ascii="Aptos" w:eastAsia="Aptos" w:hAnsi="Aptos" w:cs="Aptos"/>
                        <w:noProof/>
                        <w:color w:val="FF0000"/>
                        <w:sz w:val="24"/>
                      </w:rPr>
                    </w:pPr>
                    <w:r w:rsidRPr="00352C64">
                      <w:rPr>
                        <w:rFonts w:ascii="Aptos" w:eastAsia="Aptos" w:hAnsi="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9A593" w14:textId="0B4CF03E" w:rsidR="00352C64" w:rsidRDefault="00352C64">
    <w:pPr>
      <w:pStyle w:val="Footer"/>
    </w:pPr>
    <w:r>
      <w:rPr>
        <w:noProof/>
      </w:rPr>
      <mc:AlternateContent>
        <mc:Choice Requires="wps">
          <w:drawing>
            <wp:anchor distT="0" distB="0" distL="0" distR="0" simplePos="0" relativeHeight="251658245" behindDoc="0" locked="0" layoutInCell="1" allowOverlap="1" wp14:anchorId="21A92649" wp14:editId="6227B30C">
              <wp:simplePos x="914400" y="6968836"/>
              <wp:positionH relativeFrom="page">
                <wp:align>center</wp:align>
              </wp:positionH>
              <wp:positionV relativeFrom="page">
                <wp:align>bottom</wp:align>
              </wp:positionV>
              <wp:extent cx="622300" cy="391160"/>
              <wp:effectExtent l="0" t="0" r="6350" b="0"/>
              <wp:wrapNone/>
              <wp:docPr id="2008928705"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40B6DCDE" w14:textId="4243F56F" w:rsidR="00352C64" w:rsidRPr="00352C64" w:rsidRDefault="00352C64" w:rsidP="00352C64">
                          <w:pPr>
                            <w:spacing w:after="0"/>
                            <w:rPr>
                              <w:rFonts w:ascii="Aptos" w:eastAsia="Aptos" w:hAnsi="Aptos" w:cs="Aptos"/>
                              <w:noProof/>
                              <w:color w:val="FF0000"/>
                              <w:sz w:val="24"/>
                            </w:rPr>
                          </w:pPr>
                          <w:r w:rsidRPr="00352C64">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A92649" id="_x0000_t202" coordsize="21600,21600" o:spt="202" path="m,l,21600r21600,l21600,xe">
              <v:stroke joinstyle="miter"/>
              <v:path gradientshapeok="t" o:connecttype="rect"/>
            </v:shapetype>
            <v:shape id="Text Box 6" o:spid="_x0000_s1029" type="#_x0000_t202" alt="OFFICIAL" style="position:absolute;margin-left:0;margin-top:0;width:49pt;height:30.8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0VuDQ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" filled="f" stroked="f">
              <v:textbox style="mso-fit-shape-to-text:t" inset="0,0,0,15pt">
                <w:txbxContent>
                  <w:p w14:paraId="40B6DCDE" w14:textId="4243F56F" w:rsidR="00352C64" w:rsidRPr="00352C64" w:rsidRDefault="00352C64" w:rsidP="00352C64">
                    <w:pPr>
                      <w:spacing w:after="0"/>
                      <w:rPr>
                        <w:rFonts w:ascii="Aptos" w:eastAsia="Aptos" w:hAnsi="Aptos" w:cs="Aptos"/>
                        <w:noProof/>
                        <w:color w:val="FF0000"/>
                        <w:sz w:val="24"/>
                      </w:rPr>
                    </w:pPr>
                    <w:r w:rsidRPr="00352C64">
                      <w:rPr>
                        <w:rFonts w:ascii="Aptos" w:eastAsia="Aptos" w:hAnsi="Aptos" w:cs="Aptos"/>
                        <w:noProof/>
                        <w:color w:val="FF0000"/>
                        <w:sz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A97C0" w14:textId="50AEF85B" w:rsidR="00352C64" w:rsidRDefault="00352C64">
    <w:pPr>
      <w:pStyle w:val="Footer"/>
    </w:pPr>
    <w:r>
      <w:rPr>
        <w:noProof/>
      </w:rPr>
      <mc:AlternateContent>
        <mc:Choice Requires="wps">
          <w:drawing>
            <wp:anchor distT="0" distB="0" distL="0" distR="0" simplePos="0" relativeHeight="251658243" behindDoc="0" locked="0" layoutInCell="1" allowOverlap="1" wp14:anchorId="637AA7DA" wp14:editId="019D8C0F">
              <wp:simplePos x="635" y="635"/>
              <wp:positionH relativeFrom="page">
                <wp:align>center</wp:align>
              </wp:positionH>
              <wp:positionV relativeFrom="page">
                <wp:align>bottom</wp:align>
              </wp:positionV>
              <wp:extent cx="622300" cy="391160"/>
              <wp:effectExtent l="0" t="0" r="6350" b="0"/>
              <wp:wrapNone/>
              <wp:docPr id="183929742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4FE3178B" w14:textId="560B0092" w:rsidR="00352C64" w:rsidRPr="00352C64" w:rsidRDefault="00352C64" w:rsidP="00352C64">
                          <w:pPr>
                            <w:spacing w:after="0"/>
                            <w:rPr>
                              <w:rFonts w:ascii="Aptos" w:eastAsia="Aptos" w:hAnsi="Aptos" w:cs="Aptos"/>
                              <w:noProof/>
                              <w:color w:val="FF0000"/>
                              <w:sz w:val="24"/>
                            </w:rPr>
                          </w:pPr>
                          <w:r w:rsidRPr="00352C64">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37AA7DA" id="_x0000_t202" coordsize="21600,21600" o:spt="202" path="m,l,21600r21600,l21600,xe">
              <v:stroke joinstyle="miter"/>
              <v:path gradientshapeok="t" o:connecttype="rect"/>
            </v:shapetype>
            <v:shape id="Text Box 4" o:spid="_x0000_s1031" type="#_x0000_t202" alt="OFFICIAL" style="position:absolute;margin-left:0;margin-top:0;width:49pt;height:30.8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" filled="f" stroked="f">
              <v:textbox style="mso-fit-shape-to-text:t" inset="0,0,0,15pt">
                <w:txbxContent>
                  <w:p w14:paraId="4FE3178B" w14:textId="560B0092" w:rsidR="00352C64" w:rsidRPr="00352C64" w:rsidRDefault="00352C64" w:rsidP="00352C64">
                    <w:pPr>
                      <w:spacing w:after="0"/>
                      <w:rPr>
                        <w:rFonts w:ascii="Aptos" w:eastAsia="Aptos" w:hAnsi="Aptos" w:cs="Aptos"/>
                        <w:noProof/>
                        <w:color w:val="FF0000"/>
                        <w:sz w:val="24"/>
                      </w:rPr>
                    </w:pPr>
                    <w:r w:rsidRPr="00352C64">
                      <w:rPr>
                        <w:rFonts w:ascii="Aptos" w:eastAsia="Aptos" w:hAnsi="Aptos" w:cs="Aptos"/>
                        <w:noProof/>
                        <w:color w:val="FF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A1406" w14:textId="77777777" w:rsidR="000A0013" w:rsidRDefault="000A0013" w:rsidP="00824DBC">
      <w:pPr>
        <w:spacing w:after="0" w:line="240" w:lineRule="auto"/>
      </w:pPr>
      <w:r>
        <w:separator/>
      </w:r>
    </w:p>
  </w:footnote>
  <w:footnote w:type="continuationSeparator" w:id="0">
    <w:p w14:paraId="11CE57BB" w14:textId="77777777" w:rsidR="000A0013" w:rsidRDefault="000A0013" w:rsidP="00824D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EE14D" w14:textId="3963DFAF" w:rsidR="00352C64" w:rsidRDefault="00352C64">
    <w:pPr>
      <w:pStyle w:val="Header"/>
    </w:pPr>
    <w:r>
      <w:rPr>
        <w:noProof/>
      </w:rPr>
      <mc:AlternateContent>
        <mc:Choice Requires="wps">
          <w:drawing>
            <wp:anchor distT="0" distB="0" distL="0" distR="0" simplePos="0" relativeHeight="251658241" behindDoc="0" locked="0" layoutInCell="1" allowOverlap="1" wp14:anchorId="47891105" wp14:editId="1A5A390B">
              <wp:simplePos x="635" y="635"/>
              <wp:positionH relativeFrom="page">
                <wp:align>center</wp:align>
              </wp:positionH>
              <wp:positionV relativeFrom="page">
                <wp:align>top</wp:align>
              </wp:positionV>
              <wp:extent cx="622300" cy="391160"/>
              <wp:effectExtent l="0" t="0" r="6350" b="8890"/>
              <wp:wrapNone/>
              <wp:docPr id="130822291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5944ED25" w14:textId="444A8E9D" w:rsidR="00352C64" w:rsidRPr="00352C64" w:rsidRDefault="00352C64" w:rsidP="00352C64">
                          <w:pPr>
                            <w:spacing w:after="0"/>
                            <w:rPr>
                              <w:rFonts w:ascii="Aptos" w:eastAsia="Aptos" w:hAnsi="Aptos" w:cs="Aptos"/>
                              <w:noProof/>
                              <w:color w:val="FF0000"/>
                              <w:sz w:val="24"/>
                            </w:rPr>
                          </w:pPr>
                          <w:r w:rsidRPr="00352C64">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7891105" id="_x0000_t202" coordsize="21600,21600" o:spt="202" path="m,l,21600r21600,l21600,xe">
              <v:stroke joinstyle="miter"/>
              <v:path gradientshapeok="t" o:connecttype="rect"/>
            </v:shapetype>
            <v:shape id="Text Box 2" o:spid="_x0000_s1026" type="#_x0000_t202" alt="OFFICIAL" style="position:absolute;margin-left:0;margin-top:0;width:49pt;height:30.8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" filled="f" stroked="f">
              <v:textbox style="mso-fit-shape-to-text:t" inset="0,15pt,0,0">
                <w:txbxContent>
                  <w:p w14:paraId="5944ED25" w14:textId="444A8E9D" w:rsidR="00352C64" w:rsidRPr="00352C64" w:rsidRDefault="00352C64" w:rsidP="00352C64">
                    <w:pPr>
                      <w:spacing w:after="0"/>
                      <w:rPr>
                        <w:rFonts w:ascii="Aptos" w:eastAsia="Aptos" w:hAnsi="Aptos" w:cs="Aptos"/>
                        <w:noProof/>
                        <w:color w:val="FF0000"/>
                        <w:sz w:val="24"/>
                      </w:rPr>
                    </w:pPr>
                    <w:r w:rsidRPr="00352C64">
                      <w:rPr>
                        <w:rFonts w:ascii="Aptos" w:eastAsia="Aptos" w:hAnsi="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3B128" w14:textId="689E99C7" w:rsidR="00824DBC" w:rsidRDefault="00352C64" w:rsidP="00824DBC">
    <w:pPr>
      <w:pStyle w:val="paragraph"/>
      <w:spacing w:before="0" w:beforeAutospacing="0" w:after="0" w:afterAutospacing="0"/>
      <w:jc w:val="center"/>
      <w:textAlignment w:val="baseline"/>
      <w:rPr>
        <w:rFonts w:ascii="Segoe UI" w:hAnsi="Segoe UI" w:cs="Segoe UI"/>
        <w:sz w:val="18"/>
        <w:szCs w:val="18"/>
      </w:rPr>
    </w:pPr>
    <w:r>
      <w:rPr>
        <w:rFonts w:ascii="Arial" w:eastAsiaTheme="majorEastAsia" w:hAnsi="Arial" w:cs="Arial"/>
        <w:b/>
        <w:bCs/>
        <w:noProof/>
        <w:color w:val="000000"/>
        <w:sz w:val="20"/>
        <w:szCs w:val="20"/>
        <w14:ligatures w14:val="standardContextual"/>
      </w:rPr>
      <mc:AlternateContent>
        <mc:Choice Requires="wps">
          <w:drawing>
            <wp:anchor distT="0" distB="0" distL="0" distR="0" simplePos="0" relativeHeight="251658242" behindDoc="0" locked="0" layoutInCell="1" allowOverlap="1" wp14:anchorId="277E4A6D" wp14:editId="5E51446A">
              <wp:simplePos x="914400" y="443345"/>
              <wp:positionH relativeFrom="page">
                <wp:align>center</wp:align>
              </wp:positionH>
              <wp:positionV relativeFrom="page">
                <wp:align>top</wp:align>
              </wp:positionV>
              <wp:extent cx="622300" cy="391160"/>
              <wp:effectExtent l="0" t="0" r="6350" b="8890"/>
              <wp:wrapNone/>
              <wp:docPr id="204685219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1E83EA69" w14:textId="45C47B36" w:rsidR="00352C64" w:rsidRPr="00352C64" w:rsidRDefault="00352C64" w:rsidP="00352C64">
                          <w:pPr>
                            <w:spacing w:after="0"/>
                            <w:rPr>
                              <w:rFonts w:ascii="Aptos" w:eastAsia="Aptos" w:hAnsi="Aptos" w:cs="Aptos"/>
                              <w:noProof/>
                              <w:color w:val="FF0000"/>
                              <w:sz w:val="24"/>
                            </w:rPr>
                          </w:pPr>
                          <w:r w:rsidRPr="00352C64">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7E4A6D" id="_x0000_t202" coordsize="21600,21600" o:spt="202" path="m,l,21600r21600,l21600,xe">
              <v:stroke joinstyle="miter"/>
              <v:path gradientshapeok="t" o:connecttype="rect"/>
            </v:shapetype>
            <v:shape id="Text Box 3" o:spid="_x0000_s1027" type="#_x0000_t202" alt="OFFICIAL" style="position:absolute;left:0;text-align:left;margin-left:0;margin-top:0;width:49pt;height:30.8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" filled="f" stroked="f">
              <v:textbox style="mso-fit-shape-to-text:t" inset="0,15pt,0,0">
                <w:txbxContent>
                  <w:p w14:paraId="1E83EA69" w14:textId="45C47B36" w:rsidR="00352C64" w:rsidRPr="00352C64" w:rsidRDefault="00352C64" w:rsidP="00352C64">
                    <w:pPr>
                      <w:spacing w:after="0"/>
                      <w:rPr>
                        <w:rFonts w:ascii="Aptos" w:eastAsia="Aptos" w:hAnsi="Aptos" w:cs="Aptos"/>
                        <w:noProof/>
                        <w:color w:val="FF0000"/>
                        <w:sz w:val="24"/>
                      </w:rPr>
                    </w:pPr>
                    <w:r w:rsidRPr="00352C64">
                      <w:rPr>
                        <w:rFonts w:ascii="Aptos" w:eastAsia="Aptos" w:hAnsi="Aptos" w:cs="Aptos"/>
                        <w:noProof/>
                        <w:color w:val="FF0000"/>
                        <w:sz w:val="24"/>
                      </w:rPr>
                      <w:t>OFFICIAL</w:t>
                    </w:r>
                  </w:p>
                </w:txbxContent>
              </v:textbox>
              <w10:wrap anchorx="page" anchory="page"/>
            </v:shape>
          </w:pict>
        </mc:Fallback>
      </mc:AlternateContent>
    </w:r>
    <w:r w:rsidR="00824DBC">
      <w:rPr>
        <w:rStyle w:val="normaltextrun"/>
        <w:rFonts w:ascii="Arial" w:eastAsiaTheme="majorEastAsia" w:hAnsi="Arial" w:cs="Arial"/>
        <w:b/>
        <w:bCs/>
        <w:color w:val="000000"/>
        <w:sz w:val="20"/>
        <w:szCs w:val="20"/>
      </w:rPr>
      <w:t>PHARMACEUTICAL BENEFITS ADVISORY COMMITTEE (PBAC) MEETING </w:t>
    </w:r>
    <w:r w:rsidR="00824DBC">
      <w:rPr>
        <w:rStyle w:val="normaltextrun"/>
        <w:rFonts w:ascii="Arial" w:eastAsiaTheme="majorEastAsia" w:hAnsi="Arial" w:cs="Arial"/>
        <w:b/>
        <w:bCs/>
        <w:sz w:val="20"/>
        <w:szCs w:val="20"/>
      </w:rPr>
      <w:t>OUTCOMES</w:t>
    </w:r>
    <w:r w:rsidR="00824DBC">
      <w:rPr>
        <w:rStyle w:val="eop"/>
        <w:rFonts w:ascii="Arial" w:eastAsiaTheme="majorEastAsia" w:hAnsi="Arial" w:cs="Arial"/>
        <w:sz w:val="20"/>
        <w:szCs w:val="20"/>
      </w:rPr>
      <w:t> </w:t>
    </w:r>
  </w:p>
  <w:p w14:paraId="17A021B4" w14:textId="541A3820" w:rsidR="00824DBC" w:rsidRDefault="00ED3125" w:rsidP="00824DBC">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eastAsiaTheme="majorEastAsia" w:hAnsi="Arial" w:cs="Arial"/>
        <w:b/>
        <w:bCs/>
        <w:sz w:val="20"/>
        <w:szCs w:val="20"/>
      </w:rPr>
      <w:t>March 2026</w:t>
    </w:r>
    <w:r w:rsidR="00824DBC">
      <w:rPr>
        <w:rStyle w:val="normaltextrun"/>
        <w:rFonts w:ascii="Arial" w:eastAsiaTheme="majorEastAsia" w:hAnsi="Arial" w:cs="Arial"/>
        <w:b/>
        <w:bCs/>
        <w:sz w:val="20"/>
        <w:szCs w:val="20"/>
      </w:rPr>
      <w:t> PBAC MEETING</w:t>
    </w:r>
    <w:r w:rsidR="00824DBC">
      <w:rPr>
        <w:rStyle w:val="eop"/>
        <w:rFonts w:ascii="Arial" w:eastAsiaTheme="majorEastAsia" w:hAnsi="Arial" w:cs="Arial"/>
        <w:sz w:val="20"/>
        <w:szCs w:val="20"/>
      </w:rPr>
      <w:t> </w:t>
    </w:r>
  </w:p>
  <w:p w14:paraId="7539A585" w14:textId="77777777" w:rsidR="00824DBC" w:rsidRDefault="00824DBC" w:rsidP="00824DBC">
    <w:pPr>
      <w:pStyle w:val="paragraph"/>
      <w:spacing w:before="0" w:beforeAutospacing="0" w:after="0" w:afterAutospacing="0"/>
      <w:jc w:val="center"/>
      <w:textAlignment w:val="baseline"/>
      <w:rPr>
        <w:rFonts w:ascii="Segoe UI" w:hAnsi="Segoe UI" w:cs="Segoe UI"/>
        <w:sz w:val="18"/>
        <w:szCs w:val="18"/>
      </w:rPr>
    </w:pPr>
    <w:r>
      <w:rPr>
        <w:rStyle w:val="eop"/>
        <w:rFonts w:ascii="Arial" w:eastAsiaTheme="majorEastAsia" w:hAnsi="Arial" w:cs="Arial"/>
        <w:sz w:val="20"/>
        <w:szCs w:val="20"/>
      </w:rPr>
      <w:t> </w:t>
    </w:r>
  </w:p>
  <w:p w14:paraId="62872984" w14:textId="77777777" w:rsidR="00824DBC" w:rsidRDefault="00824D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95F0E" w14:textId="7BCF8B26" w:rsidR="00352C64" w:rsidRDefault="00352C64">
    <w:pPr>
      <w:pStyle w:val="Header"/>
    </w:pPr>
    <w:r>
      <w:rPr>
        <w:noProof/>
      </w:rPr>
      <mc:AlternateContent>
        <mc:Choice Requires="wps">
          <w:drawing>
            <wp:anchor distT="0" distB="0" distL="0" distR="0" simplePos="0" relativeHeight="251658240" behindDoc="0" locked="0" layoutInCell="1" allowOverlap="1" wp14:anchorId="641A380C" wp14:editId="57CCDCB5">
              <wp:simplePos x="635" y="635"/>
              <wp:positionH relativeFrom="page">
                <wp:align>center</wp:align>
              </wp:positionH>
              <wp:positionV relativeFrom="page">
                <wp:align>top</wp:align>
              </wp:positionV>
              <wp:extent cx="622300" cy="391160"/>
              <wp:effectExtent l="0" t="0" r="6350" b="8890"/>
              <wp:wrapNone/>
              <wp:docPr id="42407933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61EB9D97" w14:textId="27098439" w:rsidR="00352C64" w:rsidRPr="00352C64" w:rsidRDefault="00352C64" w:rsidP="00352C64">
                          <w:pPr>
                            <w:spacing w:after="0"/>
                            <w:rPr>
                              <w:rFonts w:ascii="Aptos" w:eastAsia="Aptos" w:hAnsi="Aptos" w:cs="Aptos"/>
                              <w:noProof/>
                              <w:color w:val="FF0000"/>
                              <w:sz w:val="24"/>
                            </w:rPr>
                          </w:pPr>
                          <w:r w:rsidRPr="00352C64">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1A380C" id="_x0000_t202" coordsize="21600,21600" o:spt="202" path="m,l,21600r21600,l21600,xe">
              <v:stroke joinstyle="miter"/>
              <v:path gradientshapeok="t" o:connecttype="rect"/>
            </v:shapetype>
            <v:shape id="Text Box 1" o:spid="_x0000_s1030" type="#_x0000_t202" alt="OFFICIAL" style="position:absolute;margin-left:0;margin-top:0;width:49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" filled="f" stroked="f">
              <v:textbox style="mso-fit-shape-to-text:t" inset="0,15pt,0,0">
                <w:txbxContent>
                  <w:p w14:paraId="61EB9D97" w14:textId="27098439" w:rsidR="00352C64" w:rsidRPr="00352C64" w:rsidRDefault="00352C64" w:rsidP="00352C64">
                    <w:pPr>
                      <w:spacing w:after="0"/>
                      <w:rPr>
                        <w:rFonts w:ascii="Aptos" w:eastAsia="Aptos" w:hAnsi="Aptos" w:cs="Aptos"/>
                        <w:noProof/>
                        <w:color w:val="FF0000"/>
                        <w:sz w:val="24"/>
                      </w:rPr>
                    </w:pPr>
                    <w:r w:rsidRPr="00352C64">
                      <w:rPr>
                        <w:rFonts w:ascii="Aptos" w:eastAsia="Aptos" w:hAnsi="Aptos" w:cs="Aptos"/>
                        <w:noProof/>
                        <w:color w:val="FF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77074"/>
    <w:multiLevelType w:val="hybridMultilevel"/>
    <w:tmpl w:val="CFEE6A98"/>
    <w:lvl w:ilvl="0" w:tplc="0C090001">
      <w:start w:val="1"/>
      <w:numFmt w:val="bullet"/>
      <w:lvlText w:val=""/>
      <w:lvlJc w:val="left"/>
      <w:pPr>
        <w:ind w:left="731" w:hanging="360"/>
      </w:pPr>
      <w:rPr>
        <w:rFonts w:ascii="Symbol" w:hAnsi="Symbol" w:hint="default"/>
      </w:rPr>
    </w:lvl>
    <w:lvl w:ilvl="1" w:tplc="0C090003" w:tentative="1">
      <w:start w:val="1"/>
      <w:numFmt w:val="bullet"/>
      <w:lvlText w:val="o"/>
      <w:lvlJc w:val="left"/>
      <w:pPr>
        <w:ind w:left="1451" w:hanging="360"/>
      </w:pPr>
      <w:rPr>
        <w:rFonts w:ascii="Courier New" w:hAnsi="Courier New" w:cs="Courier New" w:hint="default"/>
      </w:rPr>
    </w:lvl>
    <w:lvl w:ilvl="2" w:tplc="0C090005" w:tentative="1">
      <w:start w:val="1"/>
      <w:numFmt w:val="bullet"/>
      <w:lvlText w:val=""/>
      <w:lvlJc w:val="left"/>
      <w:pPr>
        <w:ind w:left="2171" w:hanging="360"/>
      </w:pPr>
      <w:rPr>
        <w:rFonts w:ascii="Wingdings" w:hAnsi="Wingdings" w:hint="default"/>
      </w:rPr>
    </w:lvl>
    <w:lvl w:ilvl="3" w:tplc="0C090001" w:tentative="1">
      <w:start w:val="1"/>
      <w:numFmt w:val="bullet"/>
      <w:lvlText w:val=""/>
      <w:lvlJc w:val="left"/>
      <w:pPr>
        <w:ind w:left="2891" w:hanging="360"/>
      </w:pPr>
      <w:rPr>
        <w:rFonts w:ascii="Symbol" w:hAnsi="Symbol" w:hint="default"/>
      </w:rPr>
    </w:lvl>
    <w:lvl w:ilvl="4" w:tplc="0C090003" w:tentative="1">
      <w:start w:val="1"/>
      <w:numFmt w:val="bullet"/>
      <w:lvlText w:val="o"/>
      <w:lvlJc w:val="left"/>
      <w:pPr>
        <w:ind w:left="3611" w:hanging="360"/>
      </w:pPr>
      <w:rPr>
        <w:rFonts w:ascii="Courier New" w:hAnsi="Courier New" w:cs="Courier New" w:hint="default"/>
      </w:rPr>
    </w:lvl>
    <w:lvl w:ilvl="5" w:tplc="0C090005" w:tentative="1">
      <w:start w:val="1"/>
      <w:numFmt w:val="bullet"/>
      <w:lvlText w:val=""/>
      <w:lvlJc w:val="left"/>
      <w:pPr>
        <w:ind w:left="4331" w:hanging="360"/>
      </w:pPr>
      <w:rPr>
        <w:rFonts w:ascii="Wingdings" w:hAnsi="Wingdings" w:hint="default"/>
      </w:rPr>
    </w:lvl>
    <w:lvl w:ilvl="6" w:tplc="0C090001" w:tentative="1">
      <w:start w:val="1"/>
      <w:numFmt w:val="bullet"/>
      <w:lvlText w:val=""/>
      <w:lvlJc w:val="left"/>
      <w:pPr>
        <w:ind w:left="5051" w:hanging="360"/>
      </w:pPr>
      <w:rPr>
        <w:rFonts w:ascii="Symbol" w:hAnsi="Symbol" w:hint="default"/>
      </w:rPr>
    </w:lvl>
    <w:lvl w:ilvl="7" w:tplc="0C090003" w:tentative="1">
      <w:start w:val="1"/>
      <w:numFmt w:val="bullet"/>
      <w:lvlText w:val="o"/>
      <w:lvlJc w:val="left"/>
      <w:pPr>
        <w:ind w:left="5771" w:hanging="360"/>
      </w:pPr>
      <w:rPr>
        <w:rFonts w:ascii="Courier New" w:hAnsi="Courier New" w:cs="Courier New" w:hint="default"/>
      </w:rPr>
    </w:lvl>
    <w:lvl w:ilvl="8" w:tplc="0C090005" w:tentative="1">
      <w:start w:val="1"/>
      <w:numFmt w:val="bullet"/>
      <w:lvlText w:val=""/>
      <w:lvlJc w:val="left"/>
      <w:pPr>
        <w:ind w:left="6491" w:hanging="360"/>
      </w:pPr>
      <w:rPr>
        <w:rFonts w:ascii="Wingdings" w:hAnsi="Wingdings" w:hint="default"/>
      </w:rPr>
    </w:lvl>
  </w:abstractNum>
  <w:abstractNum w:abstractNumId="1" w15:restartNumberingAfterBreak="0">
    <w:nsid w:val="157272EA"/>
    <w:multiLevelType w:val="hybridMultilevel"/>
    <w:tmpl w:val="7B8ACD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0D30749"/>
    <w:multiLevelType w:val="hybridMultilevel"/>
    <w:tmpl w:val="33ACD6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4C425F8"/>
    <w:multiLevelType w:val="hybridMultilevel"/>
    <w:tmpl w:val="C6FC2E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6A3013E"/>
    <w:multiLevelType w:val="hybridMultilevel"/>
    <w:tmpl w:val="8E5A9264"/>
    <w:lvl w:ilvl="0" w:tplc="0C090001">
      <w:start w:val="1"/>
      <w:numFmt w:val="bullet"/>
      <w:lvlText w:val=""/>
      <w:lvlJc w:val="left"/>
      <w:pPr>
        <w:ind w:left="731" w:hanging="360"/>
      </w:pPr>
      <w:rPr>
        <w:rFonts w:ascii="Symbol" w:hAnsi="Symbol" w:hint="default"/>
      </w:rPr>
    </w:lvl>
    <w:lvl w:ilvl="1" w:tplc="771043B0">
      <w:numFmt w:val="bullet"/>
      <w:lvlText w:val="•"/>
      <w:lvlJc w:val="left"/>
      <w:pPr>
        <w:ind w:left="1801" w:hanging="710"/>
      </w:pPr>
      <w:rPr>
        <w:rFonts w:ascii="Aptos" w:eastAsiaTheme="minorHAnsi" w:hAnsi="Aptos" w:cstheme="minorHAnsi" w:hint="default"/>
      </w:rPr>
    </w:lvl>
    <w:lvl w:ilvl="2" w:tplc="0C090005" w:tentative="1">
      <w:start w:val="1"/>
      <w:numFmt w:val="bullet"/>
      <w:lvlText w:val=""/>
      <w:lvlJc w:val="left"/>
      <w:pPr>
        <w:ind w:left="2171" w:hanging="360"/>
      </w:pPr>
      <w:rPr>
        <w:rFonts w:ascii="Wingdings" w:hAnsi="Wingdings" w:hint="default"/>
      </w:rPr>
    </w:lvl>
    <w:lvl w:ilvl="3" w:tplc="0C090001" w:tentative="1">
      <w:start w:val="1"/>
      <w:numFmt w:val="bullet"/>
      <w:lvlText w:val=""/>
      <w:lvlJc w:val="left"/>
      <w:pPr>
        <w:ind w:left="2891" w:hanging="360"/>
      </w:pPr>
      <w:rPr>
        <w:rFonts w:ascii="Symbol" w:hAnsi="Symbol" w:hint="default"/>
      </w:rPr>
    </w:lvl>
    <w:lvl w:ilvl="4" w:tplc="0C090003" w:tentative="1">
      <w:start w:val="1"/>
      <w:numFmt w:val="bullet"/>
      <w:lvlText w:val="o"/>
      <w:lvlJc w:val="left"/>
      <w:pPr>
        <w:ind w:left="3611" w:hanging="360"/>
      </w:pPr>
      <w:rPr>
        <w:rFonts w:ascii="Courier New" w:hAnsi="Courier New" w:cs="Courier New" w:hint="default"/>
      </w:rPr>
    </w:lvl>
    <w:lvl w:ilvl="5" w:tplc="0C090005" w:tentative="1">
      <w:start w:val="1"/>
      <w:numFmt w:val="bullet"/>
      <w:lvlText w:val=""/>
      <w:lvlJc w:val="left"/>
      <w:pPr>
        <w:ind w:left="4331" w:hanging="360"/>
      </w:pPr>
      <w:rPr>
        <w:rFonts w:ascii="Wingdings" w:hAnsi="Wingdings" w:hint="default"/>
      </w:rPr>
    </w:lvl>
    <w:lvl w:ilvl="6" w:tplc="0C090001" w:tentative="1">
      <w:start w:val="1"/>
      <w:numFmt w:val="bullet"/>
      <w:lvlText w:val=""/>
      <w:lvlJc w:val="left"/>
      <w:pPr>
        <w:ind w:left="5051" w:hanging="360"/>
      </w:pPr>
      <w:rPr>
        <w:rFonts w:ascii="Symbol" w:hAnsi="Symbol" w:hint="default"/>
      </w:rPr>
    </w:lvl>
    <w:lvl w:ilvl="7" w:tplc="0C090003" w:tentative="1">
      <w:start w:val="1"/>
      <w:numFmt w:val="bullet"/>
      <w:lvlText w:val="o"/>
      <w:lvlJc w:val="left"/>
      <w:pPr>
        <w:ind w:left="5771" w:hanging="360"/>
      </w:pPr>
      <w:rPr>
        <w:rFonts w:ascii="Courier New" w:hAnsi="Courier New" w:cs="Courier New" w:hint="default"/>
      </w:rPr>
    </w:lvl>
    <w:lvl w:ilvl="8" w:tplc="0C090005" w:tentative="1">
      <w:start w:val="1"/>
      <w:numFmt w:val="bullet"/>
      <w:lvlText w:val=""/>
      <w:lvlJc w:val="left"/>
      <w:pPr>
        <w:ind w:left="6491" w:hanging="360"/>
      </w:pPr>
      <w:rPr>
        <w:rFonts w:ascii="Wingdings" w:hAnsi="Wingdings" w:hint="default"/>
      </w:rPr>
    </w:lvl>
  </w:abstractNum>
  <w:abstractNum w:abstractNumId="5" w15:restartNumberingAfterBreak="0">
    <w:nsid w:val="26CF0056"/>
    <w:multiLevelType w:val="hybridMultilevel"/>
    <w:tmpl w:val="A41425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233" w:hanging="360"/>
      </w:pPr>
      <w:rPr>
        <w:rFonts w:ascii="Courier New" w:hAnsi="Courier New" w:cs="Courier New" w:hint="default"/>
      </w:rPr>
    </w:lvl>
    <w:lvl w:ilvl="2" w:tplc="0C090005" w:tentative="1">
      <w:start w:val="1"/>
      <w:numFmt w:val="bullet"/>
      <w:lvlText w:val=""/>
      <w:lvlJc w:val="left"/>
      <w:pPr>
        <w:ind w:left="1953" w:hanging="360"/>
      </w:pPr>
      <w:rPr>
        <w:rFonts w:ascii="Wingdings" w:hAnsi="Wingdings" w:hint="default"/>
      </w:rPr>
    </w:lvl>
    <w:lvl w:ilvl="3" w:tplc="0C090001" w:tentative="1">
      <w:start w:val="1"/>
      <w:numFmt w:val="bullet"/>
      <w:lvlText w:val=""/>
      <w:lvlJc w:val="left"/>
      <w:pPr>
        <w:ind w:left="2673" w:hanging="360"/>
      </w:pPr>
      <w:rPr>
        <w:rFonts w:ascii="Symbol" w:hAnsi="Symbol" w:hint="default"/>
      </w:rPr>
    </w:lvl>
    <w:lvl w:ilvl="4" w:tplc="0C090003" w:tentative="1">
      <w:start w:val="1"/>
      <w:numFmt w:val="bullet"/>
      <w:lvlText w:val="o"/>
      <w:lvlJc w:val="left"/>
      <w:pPr>
        <w:ind w:left="3393" w:hanging="360"/>
      </w:pPr>
      <w:rPr>
        <w:rFonts w:ascii="Courier New" w:hAnsi="Courier New" w:cs="Courier New" w:hint="default"/>
      </w:rPr>
    </w:lvl>
    <w:lvl w:ilvl="5" w:tplc="0C090005" w:tentative="1">
      <w:start w:val="1"/>
      <w:numFmt w:val="bullet"/>
      <w:lvlText w:val=""/>
      <w:lvlJc w:val="left"/>
      <w:pPr>
        <w:ind w:left="4113" w:hanging="360"/>
      </w:pPr>
      <w:rPr>
        <w:rFonts w:ascii="Wingdings" w:hAnsi="Wingdings" w:hint="default"/>
      </w:rPr>
    </w:lvl>
    <w:lvl w:ilvl="6" w:tplc="0C090001" w:tentative="1">
      <w:start w:val="1"/>
      <w:numFmt w:val="bullet"/>
      <w:lvlText w:val=""/>
      <w:lvlJc w:val="left"/>
      <w:pPr>
        <w:ind w:left="4833" w:hanging="360"/>
      </w:pPr>
      <w:rPr>
        <w:rFonts w:ascii="Symbol" w:hAnsi="Symbol" w:hint="default"/>
      </w:rPr>
    </w:lvl>
    <w:lvl w:ilvl="7" w:tplc="0C090003" w:tentative="1">
      <w:start w:val="1"/>
      <w:numFmt w:val="bullet"/>
      <w:lvlText w:val="o"/>
      <w:lvlJc w:val="left"/>
      <w:pPr>
        <w:ind w:left="5553" w:hanging="360"/>
      </w:pPr>
      <w:rPr>
        <w:rFonts w:ascii="Courier New" w:hAnsi="Courier New" w:cs="Courier New" w:hint="default"/>
      </w:rPr>
    </w:lvl>
    <w:lvl w:ilvl="8" w:tplc="0C090005" w:tentative="1">
      <w:start w:val="1"/>
      <w:numFmt w:val="bullet"/>
      <w:lvlText w:val=""/>
      <w:lvlJc w:val="left"/>
      <w:pPr>
        <w:ind w:left="6273" w:hanging="360"/>
      </w:pPr>
      <w:rPr>
        <w:rFonts w:ascii="Wingdings" w:hAnsi="Wingdings" w:hint="default"/>
      </w:rPr>
    </w:lvl>
  </w:abstractNum>
  <w:abstractNum w:abstractNumId="6" w15:restartNumberingAfterBreak="0">
    <w:nsid w:val="28EE7899"/>
    <w:multiLevelType w:val="hybridMultilevel"/>
    <w:tmpl w:val="C546C440"/>
    <w:lvl w:ilvl="0" w:tplc="0C090001">
      <w:start w:val="1"/>
      <w:numFmt w:val="bullet"/>
      <w:lvlText w:val=""/>
      <w:lvlJc w:val="left"/>
      <w:pPr>
        <w:ind w:left="1811" w:hanging="360"/>
      </w:pPr>
      <w:rPr>
        <w:rFonts w:ascii="Symbol" w:hAnsi="Symbol" w:hint="default"/>
      </w:rPr>
    </w:lvl>
    <w:lvl w:ilvl="1" w:tplc="0C090003" w:tentative="1">
      <w:start w:val="1"/>
      <w:numFmt w:val="bullet"/>
      <w:lvlText w:val="o"/>
      <w:lvlJc w:val="left"/>
      <w:pPr>
        <w:ind w:left="2531" w:hanging="360"/>
      </w:pPr>
      <w:rPr>
        <w:rFonts w:ascii="Courier New" w:hAnsi="Courier New" w:cs="Courier New" w:hint="default"/>
      </w:rPr>
    </w:lvl>
    <w:lvl w:ilvl="2" w:tplc="0C090005" w:tentative="1">
      <w:start w:val="1"/>
      <w:numFmt w:val="bullet"/>
      <w:lvlText w:val=""/>
      <w:lvlJc w:val="left"/>
      <w:pPr>
        <w:ind w:left="3251" w:hanging="360"/>
      </w:pPr>
      <w:rPr>
        <w:rFonts w:ascii="Wingdings" w:hAnsi="Wingdings" w:hint="default"/>
      </w:rPr>
    </w:lvl>
    <w:lvl w:ilvl="3" w:tplc="0C090001" w:tentative="1">
      <w:start w:val="1"/>
      <w:numFmt w:val="bullet"/>
      <w:lvlText w:val=""/>
      <w:lvlJc w:val="left"/>
      <w:pPr>
        <w:ind w:left="3971" w:hanging="360"/>
      </w:pPr>
      <w:rPr>
        <w:rFonts w:ascii="Symbol" w:hAnsi="Symbol" w:hint="default"/>
      </w:rPr>
    </w:lvl>
    <w:lvl w:ilvl="4" w:tplc="0C090003" w:tentative="1">
      <w:start w:val="1"/>
      <w:numFmt w:val="bullet"/>
      <w:lvlText w:val="o"/>
      <w:lvlJc w:val="left"/>
      <w:pPr>
        <w:ind w:left="4691" w:hanging="360"/>
      </w:pPr>
      <w:rPr>
        <w:rFonts w:ascii="Courier New" w:hAnsi="Courier New" w:cs="Courier New" w:hint="default"/>
      </w:rPr>
    </w:lvl>
    <w:lvl w:ilvl="5" w:tplc="0C090005" w:tentative="1">
      <w:start w:val="1"/>
      <w:numFmt w:val="bullet"/>
      <w:lvlText w:val=""/>
      <w:lvlJc w:val="left"/>
      <w:pPr>
        <w:ind w:left="5411" w:hanging="360"/>
      </w:pPr>
      <w:rPr>
        <w:rFonts w:ascii="Wingdings" w:hAnsi="Wingdings" w:hint="default"/>
      </w:rPr>
    </w:lvl>
    <w:lvl w:ilvl="6" w:tplc="0C090001" w:tentative="1">
      <w:start w:val="1"/>
      <w:numFmt w:val="bullet"/>
      <w:lvlText w:val=""/>
      <w:lvlJc w:val="left"/>
      <w:pPr>
        <w:ind w:left="6131" w:hanging="360"/>
      </w:pPr>
      <w:rPr>
        <w:rFonts w:ascii="Symbol" w:hAnsi="Symbol" w:hint="default"/>
      </w:rPr>
    </w:lvl>
    <w:lvl w:ilvl="7" w:tplc="0C090003" w:tentative="1">
      <w:start w:val="1"/>
      <w:numFmt w:val="bullet"/>
      <w:lvlText w:val="o"/>
      <w:lvlJc w:val="left"/>
      <w:pPr>
        <w:ind w:left="6851" w:hanging="360"/>
      </w:pPr>
      <w:rPr>
        <w:rFonts w:ascii="Courier New" w:hAnsi="Courier New" w:cs="Courier New" w:hint="default"/>
      </w:rPr>
    </w:lvl>
    <w:lvl w:ilvl="8" w:tplc="0C090005" w:tentative="1">
      <w:start w:val="1"/>
      <w:numFmt w:val="bullet"/>
      <w:lvlText w:val=""/>
      <w:lvlJc w:val="left"/>
      <w:pPr>
        <w:ind w:left="7571" w:hanging="360"/>
      </w:pPr>
      <w:rPr>
        <w:rFonts w:ascii="Wingdings" w:hAnsi="Wingdings" w:hint="default"/>
      </w:rPr>
    </w:lvl>
  </w:abstractNum>
  <w:abstractNum w:abstractNumId="7" w15:restartNumberingAfterBreak="0">
    <w:nsid w:val="291245D9"/>
    <w:multiLevelType w:val="hybridMultilevel"/>
    <w:tmpl w:val="9BD0E26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ABA4E24"/>
    <w:multiLevelType w:val="hybridMultilevel"/>
    <w:tmpl w:val="11B22BEA"/>
    <w:lvl w:ilvl="0" w:tplc="0C090001">
      <w:start w:val="1"/>
      <w:numFmt w:val="bullet"/>
      <w:lvlText w:val=""/>
      <w:lvlJc w:val="left"/>
      <w:pPr>
        <w:ind w:left="731" w:hanging="360"/>
      </w:pPr>
      <w:rPr>
        <w:rFonts w:ascii="Symbol" w:hAnsi="Symbol" w:hint="default"/>
      </w:rPr>
    </w:lvl>
    <w:lvl w:ilvl="1" w:tplc="0C090003" w:tentative="1">
      <w:start w:val="1"/>
      <w:numFmt w:val="bullet"/>
      <w:lvlText w:val="o"/>
      <w:lvlJc w:val="left"/>
      <w:pPr>
        <w:ind w:left="1451" w:hanging="360"/>
      </w:pPr>
      <w:rPr>
        <w:rFonts w:ascii="Courier New" w:hAnsi="Courier New" w:cs="Courier New" w:hint="default"/>
      </w:rPr>
    </w:lvl>
    <w:lvl w:ilvl="2" w:tplc="0C090005" w:tentative="1">
      <w:start w:val="1"/>
      <w:numFmt w:val="bullet"/>
      <w:lvlText w:val=""/>
      <w:lvlJc w:val="left"/>
      <w:pPr>
        <w:ind w:left="2171" w:hanging="360"/>
      </w:pPr>
      <w:rPr>
        <w:rFonts w:ascii="Wingdings" w:hAnsi="Wingdings" w:hint="default"/>
      </w:rPr>
    </w:lvl>
    <w:lvl w:ilvl="3" w:tplc="0C090001" w:tentative="1">
      <w:start w:val="1"/>
      <w:numFmt w:val="bullet"/>
      <w:lvlText w:val=""/>
      <w:lvlJc w:val="left"/>
      <w:pPr>
        <w:ind w:left="2891" w:hanging="360"/>
      </w:pPr>
      <w:rPr>
        <w:rFonts w:ascii="Symbol" w:hAnsi="Symbol" w:hint="default"/>
      </w:rPr>
    </w:lvl>
    <w:lvl w:ilvl="4" w:tplc="0C090003" w:tentative="1">
      <w:start w:val="1"/>
      <w:numFmt w:val="bullet"/>
      <w:lvlText w:val="o"/>
      <w:lvlJc w:val="left"/>
      <w:pPr>
        <w:ind w:left="3611" w:hanging="360"/>
      </w:pPr>
      <w:rPr>
        <w:rFonts w:ascii="Courier New" w:hAnsi="Courier New" w:cs="Courier New" w:hint="default"/>
      </w:rPr>
    </w:lvl>
    <w:lvl w:ilvl="5" w:tplc="0C090005" w:tentative="1">
      <w:start w:val="1"/>
      <w:numFmt w:val="bullet"/>
      <w:lvlText w:val=""/>
      <w:lvlJc w:val="left"/>
      <w:pPr>
        <w:ind w:left="4331" w:hanging="360"/>
      </w:pPr>
      <w:rPr>
        <w:rFonts w:ascii="Wingdings" w:hAnsi="Wingdings" w:hint="default"/>
      </w:rPr>
    </w:lvl>
    <w:lvl w:ilvl="6" w:tplc="0C090001" w:tentative="1">
      <w:start w:val="1"/>
      <w:numFmt w:val="bullet"/>
      <w:lvlText w:val=""/>
      <w:lvlJc w:val="left"/>
      <w:pPr>
        <w:ind w:left="5051" w:hanging="360"/>
      </w:pPr>
      <w:rPr>
        <w:rFonts w:ascii="Symbol" w:hAnsi="Symbol" w:hint="default"/>
      </w:rPr>
    </w:lvl>
    <w:lvl w:ilvl="7" w:tplc="0C090003" w:tentative="1">
      <w:start w:val="1"/>
      <w:numFmt w:val="bullet"/>
      <w:lvlText w:val="o"/>
      <w:lvlJc w:val="left"/>
      <w:pPr>
        <w:ind w:left="5771" w:hanging="360"/>
      </w:pPr>
      <w:rPr>
        <w:rFonts w:ascii="Courier New" w:hAnsi="Courier New" w:cs="Courier New" w:hint="default"/>
      </w:rPr>
    </w:lvl>
    <w:lvl w:ilvl="8" w:tplc="0C090005" w:tentative="1">
      <w:start w:val="1"/>
      <w:numFmt w:val="bullet"/>
      <w:lvlText w:val=""/>
      <w:lvlJc w:val="left"/>
      <w:pPr>
        <w:ind w:left="6491" w:hanging="360"/>
      </w:pPr>
      <w:rPr>
        <w:rFonts w:ascii="Wingdings" w:hAnsi="Wingdings" w:hint="default"/>
      </w:rPr>
    </w:lvl>
  </w:abstractNum>
  <w:abstractNum w:abstractNumId="9" w15:restartNumberingAfterBreak="0">
    <w:nsid w:val="492B2D4C"/>
    <w:multiLevelType w:val="multilevel"/>
    <w:tmpl w:val="34F04474"/>
    <w:lvl w:ilvl="0">
      <w:start w:val="1"/>
      <w:numFmt w:val="bullet"/>
      <w:lvlText w:val=""/>
      <w:lvlJc w:val="left"/>
      <w:pPr>
        <w:ind w:left="369" w:hanging="369"/>
      </w:pPr>
      <w:rPr>
        <w:rFonts w:ascii="Symbol" w:hAnsi="Symbol" w:hint="default"/>
        <w:i w:val="0"/>
        <w:color w:val="auto"/>
        <w:sz w:val="24"/>
        <w:szCs w:val="24"/>
      </w:rPr>
    </w:lvl>
    <w:lvl w:ilvl="1">
      <w:start w:val="1"/>
      <w:numFmt w:val="bullet"/>
      <w:lvlText w:val=""/>
      <w:lvlJc w:val="left"/>
      <w:pPr>
        <w:ind w:left="738" w:hanging="369"/>
      </w:pPr>
      <w:rPr>
        <w:rFonts w:ascii="Symbol" w:hAnsi="Symbol" w:hint="default"/>
      </w:rPr>
    </w:lvl>
    <w:lvl w:ilvl="2">
      <w:start w:val="1"/>
      <w:numFmt w:val="bullet"/>
      <w:lvlText w:val=""/>
      <w:lvlJc w:val="left"/>
      <w:pPr>
        <w:ind w:left="1107" w:hanging="369"/>
      </w:pPr>
      <w:rPr>
        <w:rFonts w:ascii="Symbol" w:hAnsi="Symbol" w:hint="default"/>
      </w:rPr>
    </w:lvl>
    <w:lvl w:ilvl="3">
      <w:start w:val="1"/>
      <w:numFmt w:val="none"/>
      <w:lvlText w:val="%4"/>
      <w:lvlJc w:val="left"/>
      <w:pPr>
        <w:ind w:left="1476" w:hanging="369"/>
      </w:pPr>
    </w:lvl>
    <w:lvl w:ilvl="4">
      <w:start w:val="1"/>
      <w:numFmt w:val="none"/>
      <w:lvlText w:val=""/>
      <w:lvlJc w:val="left"/>
      <w:pPr>
        <w:ind w:left="1845" w:hanging="369"/>
      </w:pPr>
    </w:lvl>
    <w:lvl w:ilvl="5">
      <w:start w:val="1"/>
      <w:numFmt w:val="none"/>
      <w:lvlText w:val=""/>
      <w:lvlJc w:val="left"/>
      <w:pPr>
        <w:ind w:left="2214" w:hanging="369"/>
      </w:pPr>
    </w:lvl>
    <w:lvl w:ilvl="6">
      <w:start w:val="1"/>
      <w:numFmt w:val="none"/>
      <w:lvlText w:val=""/>
      <w:lvlJc w:val="left"/>
      <w:pPr>
        <w:ind w:left="2583" w:hanging="369"/>
      </w:pPr>
    </w:lvl>
    <w:lvl w:ilvl="7">
      <w:start w:val="1"/>
      <w:numFmt w:val="none"/>
      <w:lvlText w:val=""/>
      <w:lvlJc w:val="left"/>
      <w:pPr>
        <w:ind w:left="2952" w:hanging="369"/>
      </w:pPr>
    </w:lvl>
    <w:lvl w:ilvl="8">
      <w:start w:val="1"/>
      <w:numFmt w:val="none"/>
      <w:lvlText w:val=""/>
      <w:lvlJc w:val="left"/>
      <w:pPr>
        <w:ind w:left="3321" w:hanging="369"/>
      </w:pPr>
    </w:lvl>
  </w:abstractNum>
  <w:abstractNum w:abstractNumId="10" w15:restartNumberingAfterBreak="0">
    <w:nsid w:val="4DA92195"/>
    <w:multiLevelType w:val="multilevel"/>
    <w:tmpl w:val="E1CE3240"/>
    <w:lvl w:ilvl="0">
      <w:start w:val="1"/>
      <w:numFmt w:val="bullet"/>
      <w:lvlText w:val=""/>
      <w:lvlJc w:val="left"/>
      <w:pPr>
        <w:ind w:left="369" w:hanging="369"/>
      </w:pPr>
      <w:rPr>
        <w:rFonts w:ascii="Symbol" w:hAnsi="Symbol" w:hint="default"/>
        <w:i w:val="0"/>
        <w:color w:val="auto"/>
        <w:sz w:val="24"/>
        <w:szCs w:val="24"/>
      </w:rPr>
    </w:lvl>
    <w:lvl w:ilvl="1">
      <w:start w:val="1"/>
      <w:numFmt w:val="bullet"/>
      <w:lvlText w:val=""/>
      <w:lvlJc w:val="left"/>
      <w:pPr>
        <w:ind w:left="738" w:hanging="369"/>
      </w:pPr>
      <w:rPr>
        <w:rFonts w:ascii="Symbol" w:hAnsi="Symbol" w:hint="default"/>
      </w:rPr>
    </w:lvl>
    <w:lvl w:ilvl="2">
      <w:start w:val="1"/>
      <w:numFmt w:val="bullet"/>
      <w:lvlText w:val=""/>
      <w:lvlJc w:val="left"/>
      <w:pPr>
        <w:ind w:left="1107" w:hanging="369"/>
      </w:pPr>
      <w:rPr>
        <w:rFonts w:ascii="Symbol" w:hAnsi="Symbol" w:hint="default"/>
      </w:rPr>
    </w:lvl>
    <w:lvl w:ilvl="3">
      <w:start w:val="1"/>
      <w:numFmt w:val="none"/>
      <w:lvlText w:val="%4"/>
      <w:lvlJc w:val="left"/>
      <w:pPr>
        <w:ind w:left="1476" w:hanging="369"/>
      </w:pPr>
    </w:lvl>
    <w:lvl w:ilvl="4">
      <w:start w:val="1"/>
      <w:numFmt w:val="none"/>
      <w:lvlText w:val=""/>
      <w:lvlJc w:val="left"/>
      <w:pPr>
        <w:ind w:left="1845" w:hanging="369"/>
      </w:pPr>
    </w:lvl>
    <w:lvl w:ilvl="5">
      <w:start w:val="1"/>
      <w:numFmt w:val="none"/>
      <w:lvlText w:val=""/>
      <w:lvlJc w:val="left"/>
      <w:pPr>
        <w:ind w:left="2214" w:hanging="369"/>
      </w:pPr>
    </w:lvl>
    <w:lvl w:ilvl="6">
      <w:start w:val="1"/>
      <w:numFmt w:val="none"/>
      <w:lvlText w:val=""/>
      <w:lvlJc w:val="left"/>
      <w:pPr>
        <w:ind w:left="2583" w:hanging="369"/>
      </w:pPr>
    </w:lvl>
    <w:lvl w:ilvl="7">
      <w:start w:val="1"/>
      <w:numFmt w:val="none"/>
      <w:lvlText w:val=""/>
      <w:lvlJc w:val="left"/>
      <w:pPr>
        <w:ind w:left="2952" w:hanging="369"/>
      </w:pPr>
    </w:lvl>
    <w:lvl w:ilvl="8">
      <w:start w:val="1"/>
      <w:numFmt w:val="none"/>
      <w:lvlText w:val=""/>
      <w:lvlJc w:val="left"/>
      <w:pPr>
        <w:ind w:left="3321" w:hanging="369"/>
      </w:pPr>
    </w:lvl>
  </w:abstractNum>
  <w:abstractNum w:abstractNumId="11" w15:restartNumberingAfterBreak="0">
    <w:nsid w:val="57C97701"/>
    <w:multiLevelType w:val="hybridMultilevel"/>
    <w:tmpl w:val="522A98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5BAD4327"/>
    <w:multiLevelType w:val="hybridMultilevel"/>
    <w:tmpl w:val="B5EA450A"/>
    <w:lvl w:ilvl="0" w:tplc="12B409DC">
      <w:start w:val="1"/>
      <w:numFmt w:val="decimal"/>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3" w15:restartNumberingAfterBreak="0">
    <w:nsid w:val="5C0E6014"/>
    <w:multiLevelType w:val="hybridMultilevel"/>
    <w:tmpl w:val="4850AACC"/>
    <w:lvl w:ilvl="0" w:tplc="0C090001">
      <w:start w:val="1"/>
      <w:numFmt w:val="bullet"/>
      <w:lvlText w:val=""/>
      <w:lvlJc w:val="left"/>
      <w:pPr>
        <w:ind w:left="731" w:hanging="360"/>
      </w:pPr>
      <w:rPr>
        <w:rFonts w:ascii="Symbol" w:hAnsi="Symbol" w:hint="default"/>
      </w:rPr>
    </w:lvl>
    <w:lvl w:ilvl="1" w:tplc="0C090003" w:tentative="1">
      <w:start w:val="1"/>
      <w:numFmt w:val="bullet"/>
      <w:lvlText w:val="o"/>
      <w:lvlJc w:val="left"/>
      <w:pPr>
        <w:ind w:left="1451" w:hanging="360"/>
      </w:pPr>
      <w:rPr>
        <w:rFonts w:ascii="Courier New" w:hAnsi="Courier New" w:cs="Courier New" w:hint="default"/>
      </w:rPr>
    </w:lvl>
    <w:lvl w:ilvl="2" w:tplc="0C090005" w:tentative="1">
      <w:start w:val="1"/>
      <w:numFmt w:val="bullet"/>
      <w:lvlText w:val=""/>
      <w:lvlJc w:val="left"/>
      <w:pPr>
        <w:ind w:left="2171" w:hanging="360"/>
      </w:pPr>
      <w:rPr>
        <w:rFonts w:ascii="Wingdings" w:hAnsi="Wingdings" w:hint="default"/>
      </w:rPr>
    </w:lvl>
    <w:lvl w:ilvl="3" w:tplc="0C090001" w:tentative="1">
      <w:start w:val="1"/>
      <w:numFmt w:val="bullet"/>
      <w:lvlText w:val=""/>
      <w:lvlJc w:val="left"/>
      <w:pPr>
        <w:ind w:left="2891" w:hanging="360"/>
      </w:pPr>
      <w:rPr>
        <w:rFonts w:ascii="Symbol" w:hAnsi="Symbol" w:hint="default"/>
      </w:rPr>
    </w:lvl>
    <w:lvl w:ilvl="4" w:tplc="0C090003" w:tentative="1">
      <w:start w:val="1"/>
      <w:numFmt w:val="bullet"/>
      <w:lvlText w:val="o"/>
      <w:lvlJc w:val="left"/>
      <w:pPr>
        <w:ind w:left="3611" w:hanging="360"/>
      </w:pPr>
      <w:rPr>
        <w:rFonts w:ascii="Courier New" w:hAnsi="Courier New" w:cs="Courier New" w:hint="default"/>
      </w:rPr>
    </w:lvl>
    <w:lvl w:ilvl="5" w:tplc="0C090005" w:tentative="1">
      <w:start w:val="1"/>
      <w:numFmt w:val="bullet"/>
      <w:lvlText w:val=""/>
      <w:lvlJc w:val="left"/>
      <w:pPr>
        <w:ind w:left="4331" w:hanging="360"/>
      </w:pPr>
      <w:rPr>
        <w:rFonts w:ascii="Wingdings" w:hAnsi="Wingdings" w:hint="default"/>
      </w:rPr>
    </w:lvl>
    <w:lvl w:ilvl="6" w:tplc="0C090001" w:tentative="1">
      <w:start w:val="1"/>
      <w:numFmt w:val="bullet"/>
      <w:lvlText w:val=""/>
      <w:lvlJc w:val="left"/>
      <w:pPr>
        <w:ind w:left="5051" w:hanging="360"/>
      </w:pPr>
      <w:rPr>
        <w:rFonts w:ascii="Symbol" w:hAnsi="Symbol" w:hint="default"/>
      </w:rPr>
    </w:lvl>
    <w:lvl w:ilvl="7" w:tplc="0C090003" w:tentative="1">
      <w:start w:val="1"/>
      <w:numFmt w:val="bullet"/>
      <w:lvlText w:val="o"/>
      <w:lvlJc w:val="left"/>
      <w:pPr>
        <w:ind w:left="5771" w:hanging="360"/>
      </w:pPr>
      <w:rPr>
        <w:rFonts w:ascii="Courier New" w:hAnsi="Courier New" w:cs="Courier New" w:hint="default"/>
      </w:rPr>
    </w:lvl>
    <w:lvl w:ilvl="8" w:tplc="0C090005" w:tentative="1">
      <w:start w:val="1"/>
      <w:numFmt w:val="bullet"/>
      <w:lvlText w:val=""/>
      <w:lvlJc w:val="left"/>
      <w:pPr>
        <w:ind w:left="6491" w:hanging="360"/>
      </w:pPr>
      <w:rPr>
        <w:rFonts w:ascii="Wingdings" w:hAnsi="Wingdings" w:hint="default"/>
      </w:rPr>
    </w:lvl>
  </w:abstractNum>
  <w:abstractNum w:abstractNumId="14" w15:restartNumberingAfterBreak="0">
    <w:nsid w:val="6E6F75A3"/>
    <w:multiLevelType w:val="hybridMultilevel"/>
    <w:tmpl w:val="617420AC"/>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2544559"/>
    <w:multiLevelType w:val="hybridMultilevel"/>
    <w:tmpl w:val="4C782DEA"/>
    <w:lvl w:ilvl="0" w:tplc="0C090001">
      <w:start w:val="1"/>
      <w:numFmt w:val="bullet"/>
      <w:lvlText w:val=""/>
      <w:lvlJc w:val="left"/>
      <w:pPr>
        <w:ind w:left="1811" w:hanging="360"/>
      </w:pPr>
      <w:rPr>
        <w:rFonts w:ascii="Symbol" w:hAnsi="Symbol" w:hint="default"/>
      </w:rPr>
    </w:lvl>
    <w:lvl w:ilvl="1" w:tplc="0C090003" w:tentative="1">
      <w:start w:val="1"/>
      <w:numFmt w:val="bullet"/>
      <w:lvlText w:val="o"/>
      <w:lvlJc w:val="left"/>
      <w:pPr>
        <w:ind w:left="2531" w:hanging="360"/>
      </w:pPr>
      <w:rPr>
        <w:rFonts w:ascii="Courier New" w:hAnsi="Courier New" w:cs="Courier New" w:hint="default"/>
      </w:rPr>
    </w:lvl>
    <w:lvl w:ilvl="2" w:tplc="0C090005" w:tentative="1">
      <w:start w:val="1"/>
      <w:numFmt w:val="bullet"/>
      <w:lvlText w:val=""/>
      <w:lvlJc w:val="left"/>
      <w:pPr>
        <w:ind w:left="3251" w:hanging="360"/>
      </w:pPr>
      <w:rPr>
        <w:rFonts w:ascii="Wingdings" w:hAnsi="Wingdings" w:hint="default"/>
      </w:rPr>
    </w:lvl>
    <w:lvl w:ilvl="3" w:tplc="0C090001" w:tentative="1">
      <w:start w:val="1"/>
      <w:numFmt w:val="bullet"/>
      <w:lvlText w:val=""/>
      <w:lvlJc w:val="left"/>
      <w:pPr>
        <w:ind w:left="3971" w:hanging="360"/>
      </w:pPr>
      <w:rPr>
        <w:rFonts w:ascii="Symbol" w:hAnsi="Symbol" w:hint="default"/>
      </w:rPr>
    </w:lvl>
    <w:lvl w:ilvl="4" w:tplc="0C090003" w:tentative="1">
      <w:start w:val="1"/>
      <w:numFmt w:val="bullet"/>
      <w:lvlText w:val="o"/>
      <w:lvlJc w:val="left"/>
      <w:pPr>
        <w:ind w:left="4691" w:hanging="360"/>
      </w:pPr>
      <w:rPr>
        <w:rFonts w:ascii="Courier New" w:hAnsi="Courier New" w:cs="Courier New" w:hint="default"/>
      </w:rPr>
    </w:lvl>
    <w:lvl w:ilvl="5" w:tplc="0C090005" w:tentative="1">
      <w:start w:val="1"/>
      <w:numFmt w:val="bullet"/>
      <w:lvlText w:val=""/>
      <w:lvlJc w:val="left"/>
      <w:pPr>
        <w:ind w:left="5411" w:hanging="360"/>
      </w:pPr>
      <w:rPr>
        <w:rFonts w:ascii="Wingdings" w:hAnsi="Wingdings" w:hint="default"/>
      </w:rPr>
    </w:lvl>
    <w:lvl w:ilvl="6" w:tplc="0C090001" w:tentative="1">
      <w:start w:val="1"/>
      <w:numFmt w:val="bullet"/>
      <w:lvlText w:val=""/>
      <w:lvlJc w:val="left"/>
      <w:pPr>
        <w:ind w:left="6131" w:hanging="360"/>
      </w:pPr>
      <w:rPr>
        <w:rFonts w:ascii="Symbol" w:hAnsi="Symbol" w:hint="default"/>
      </w:rPr>
    </w:lvl>
    <w:lvl w:ilvl="7" w:tplc="0C090003" w:tentative="1">
      <w:start w:val="1"/>
      <w:numFmt w:val="bullet"/>
      <w:lvlText w:val="o"/>
      <w:lvlJc w:val="left"/>
      <w:pPr>
        <w:ind w:left="6851" w:hanging="360"/>
      </w:pPr>
      <w:rPr>
        <w:rFonts w:ascii="Courier New" w:hAnsi="Courier New" w:cs="Courier New" w:hint="default"/>
      </w:rPr>
    </w:lvl>
    <w:lvl w:ilvl="8" w:tplc="0C090005" w:tentative="1">
      <w:start w:val="1"/>
      <w:numFmt w:val="bullet"/>
      <w:lvlText w:val=""/>
      <w:lvlJc w:val="left"/>
      <w:pPr>
        <w:ind w:left="7571" w:hanging="360"/>
      </w:pPr>
      <w:rPr>
        <w:rFonts w:ascii="Wingdings" w:hAnsi="Wingdings" w:hint="default"/>
      </w:rPr>
    </w:lvl>
  </w:abstractNum>
  <w:num w:numId="1" w16cid:durableId="627904043">
    <w:abstractNumId w:val="8"/>
  </w:num>
  <w:num w:numId="2" w16cid:durableId="605499989">
    <w:abstractNumId w:val="1"/>
  </w:num>
  <w:num w:numId="3" w16cid:durableId="1340156248">
    <w:abstractNumId w:val="13"/>
  </w:num>
  <w:num w:numId="4" w16cid:durableId="1030687391">
    <w:abstractNumId w:val="4"/>
  </w:num>
  <w:num w:numId="5" w16cid:durableId="1935237053">
    <w:abstractNumId w:val="3"/>
  </w:num>
  <w:num w:numId="6" w16cid:durableId="1871843868">
    <w:abstractNumId w:val="1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18950695">
    <w:abstractNumId w:val="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56997367">
    <w:abstractNumId w:val="14"/>
  </w:num>
  <w:num w:numId="9" w16cid:durableId="1955818708">
    <w:abstractNumId w:val="2"/>
  </w:num>
  <w:num w:numId="10" w16cid:durableId="1762793081">
    <w:abstractNumId w:val="5"/>
  </w:num>
  <w:num w:numId="11" w16cid:durableId="1042025453">
    <w:abstractNumId w:val="11"/>
  </w:num>
  <w:num w:numId="12" w16cid:durableId="902636996">
    <w:abstractNumId w:val="0"/>
  </w:num>
  <w:num w:numId="13" w16cid:durableId="509375501">
    <w:abstractNumId w:val="15"/>
  </w:num>
  <w:num w:numId="14" w16cid:durableId="386683199">
    <w:abstractNumId w:val="6"/>
  </w:num>
  <w:num w:numId="15" w16cid:durableId="123432583">
    <w:abstractNumId w:val="12"/>
  </w:num>
  <w:num w:numId="16" w16cid:durableId="9964939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DBC"/>
    <w:rsid w:val="00001CC1"/>
    <w:rsid w:val="00002D85"/>
    <w:rsid w:val="000040E3"/>
    <w:rsid w:val="00006911"/>
    <w:rsid w:val="00010E81"/>
    <w:rsid w:val="00010E85"/>
    <w:rsid w:val="00011A95"/>
    <w:rsid w:val="00015332"/>
    <w:rsid w:val="0001616C"/>
    <w:rsid w:val="00016D43"/>
    <w:rsid w:val="00017E41"/>
    <w:rsid w:val="000201A6"/>
    <w:rsid w:val="00021388"/>
    <w:rsid w:val="00021CD9"/>
    <w:rsid w:val="000246AB"/>
    <w:rsid w:val="00025B25"/>
    <w:rsid w:val="00042E3F"/>
    <w:rsid w:val="00045EA2"/>
    <w:rsid w:val="00054340"/>
    <w:rsid w:val="00054B74"/>
    <w:rsid w:val="00062ED0"/>
    <w:rsid w:val="0006598A"/>
    <w:rsid w:val="00066174"/>
    <w:rsid w:val="00067F21"/>
    <w:rsid w:val="00081D6C"/>
    <w:rsid w:val="00085345"/>
    <w:rsid w:val="00095168"/>
    <w:rsid w:val="00096F85"/>
    <w:rsid w:val="000A0013"/>
    <w:rsid w:val="000A1856"/>
    <w:rsid w:val="000A28F2"/>
    <w:rsid w:val="000B40DF"/>
    <w:rsid w:val="000B7E1F"/>
    <w:rsid w:val="000C20EF"/>
    <w:rsid w:val="000C5801"/>
    <w:rsid w:val="000D1557"/>
    <w:rsid w:val="000D35FD"/>
    <w:rsid w:val="000D3A92"/>
    <w:rsid w:val="000D4B0B"/>
    <w:rsid w:val="000D6AFD"/>
    <w:rsid w:val="000F03A4"/>
    <w:rsid w:val="000F0DF6"/>
    <w:rsid w:val="000F4E0E"/>
    <w:rsid w:val="00106AF8"/>
    <w:rsid w:val="00110930"/>
    <w:rsid w:val="001147C6"/>
    <w:rsid w:val="001205CE"/>
    <w:rsid w:val="001373B8"/>
    <w:rsid w:val="00143BB8"/>
    <w:rsid w:val="00153464"/>
    <w:rsid w:val="00163184"/>
    <w:rsid w:val="00170562"/>
    <w:rsid w:val="00180620"/>
    <w:rsid w:val="00182A83"/>
    <w:rsid w:val="001858FD"/>
    <w:rsid w:val="0019054D"/>
    <w:rsid w:val="0019523D"/>
    <w:rsid w:val="00195244"/>
    <w:rsid w:val="001970AE"/>
    <w:rsid w:val="001A1AB1"/>
    <w:rsid w:val="001A27B3"/>
    <w:rsid w:val="001A4D94"/>
    <w:rsid w:val="001A6020"/>
    <w:rsid w:val="001A6399"/>
    <w:rsid w:val="001A646D"/>
    <w:rsid w:val="001B0C71"/>
    <w:rsid w:val="001B38A4"/>
    <w:rsid w:val="001B39CE"/>
    <w:rsid w:val="001B431A"/>
    <w:rsid w:val="001B4831"/>
    <w:rsid w:val="001B5ADA"/>
    <w:rsid w:val="001C24A9"/>
    <w:rsid w:val="001C363B"/>
    <w:rsid w:val="001C4E49"/>
    <w:rsid w:val="001C5BCC"/>
    <w:rsid w:val="001C5C6E"/>
    <w:rsid w:val="001C6A47"/>
    <w:rsid w:val="001D1EA4"/>
    <w:rsid w:val="001D561D"/>
    <w:rsid w:val="001E295C"/>
    <w:rsid w:val="001E6F16"/>
    <w:rsid w:val="001F0FEF"/>
    <w:rsid w:val="001F433F"/>
    <w:rsid w:val="001F4E2D"/>
    <w:rsid w:val="00200C7C"/>
    <w:rsid w:val="00200E75"/>
    <w:rsid w:val="00211E02"/>
    <w:rsid w:val="00212776"/>
    <w:rsid w:val="00215645"/>
    <w:rsid w:val="00217444"/>
    <w:rsid w:val="00217E7B"/>
    <w:rsid w:val="00217F55"/>
    <w:rsid w:val="00220950"/>
    <w:rsid w:val="00223596"/>
    <w:rsid w:val="00224ADC"/>
    <w:rsid w:val="002253D2"/>
    <w:rsid w:val="002353EE"/>
    <w:rsid w:val="00237939"/>
    <w:rsid w:val="00241142"/>
    <w:rsid w:val="00241C28"/>
    <w:rsid w:val="0024403D"/>
    <w:rsid w:val="00246E7B"/>
    <w:rsid w:val="00252DBC"/>
    <w:rsid w:val="00253773"/>
    <w:rsid w:val="00254F33"/>
    <w:rsid w:val="00256049"/>
    <w:rsid w:val="0026069D"/>
    <w:rsid w:val="00265DF3"/>
    <w:rsid w:val="002676C3"/>
    <w:rsid w:val="00273BA9"/>
    <w:rsid w:val="00274EA9"/>
    <w:rsid w:val="00280050"/>
    <w:rsid w:val="00281FBF"/>
    <w:rsid w:val="002829C3"/>
    <w:rsid w:val="00285AC9"/>
    <w:rsid w:val="00285FC5"/>
    <w:rsid w:val="002922FC"/>
    <w:rsid w:val="00293129"/>
    <w:rsid w:val="002947F7"/>
    <w:rsid w:val="00295C38"/>
    <w:rsid w:val="002A04F8"/>
    <w:rsid w:val="002A49F0"/>
    <w:rsid w:val="002B07BE"/>
    <w:rsid w:val="002B12A6"/>
    <w:rsid w:val="002B38D9"/>
    <w:rsid w:val="002C094F"/>
    <w:rsid w:val="002C19BB"/>
    <w:rsid w:val="002C2746"/>
    <w:rsid w:val="002D1BBC"/>
    <w:rsid w:val="002D5E7D"/>
    <w:rsid w:val="002E14DF"/>
    <w:rsid w:val="002E51FF"/>
    <w:rsid w:val="002F0441"/>
    <w:rsid w:val="002F0E5B"/>
    <w:rsid w:val="002F2ABA"/>
    <w:rsid w:val="002F429E"/>
    <w:rsid w:val="003004BB"/>
    <w:rsid w:val="00303E97"/>
    <w:rsid w:val="003104C4"/>
    <w:rsid w:val="00312156"/>
    <w:rsid w:val="003133F4"/>
    <w:rsid w:val="00314109"/>
    <w:rsid w:val="00314BDC"/>
    <w:rsid w:val="003161FF"/>
    <w:rsid w:val="003174F0"/>
    <w:rsid w:val="003228F1"/>
    <w:rsid w:val="00323064"/>
    <w:rsid w:val="00325C21"/>
    <w:rsid w:val="00327891"/>
    <w:rsid w:val="003347F4"/>
    <w:rsid w:val="003351D9"/>
    <w:rsid w:val="00336053"/>
    <w:rsid w:val="00341443"/>
    <w:rsid w:val="00344532"/>
    <w:rsid w:val="0034768E"/>
    <w:rsid w:val="00351FEA"/>
    <w:rsid w:val="00352C64"/>
    <w:rsid w:val="003617AF"/>
    <w:rsid w:val="003637F8"/>
    <w:rsid w:val="00370B43"/>
    <w:rsid w:val="00371DE8"/>
    <w:rsid w:val="003725E7"/>
    <w:rsid w:val="0037474F"/>
    <w:rsid w:val="003846E1"/>
    <w:rsid w:val="0038760B"/>
    <w:rsid w:val="00390784"/>
    <w:rsid w:val="00391EAC"/>
    <w:rsid w:val="003921D1"/>
    <w:rsid w:val="00392EAF"/>
    <w:rsid w:val="00394CE9"/>
    <w:rsid w:val="00396E82"/>
    <w:rsid w:val="003A004F"/>
    <w:rsid w:val="003A1A02"/>
    <w:rsid w:val="003A630A"/>
    <w:rsid w:val="003A6972"/>
    <w:rsid w:val="003A727A"/>
    <w:rsid w:val="003B33AA"/>
    <w:rsid w:val="003B5FDC"/>
    <w:rsid w:val="003C7EBF"/>
    <w:rsid w:val="003D2413"/>
    <w:rsid w:val="003D28AF"/>
    <w:rsid w:val="003D3CC4"/>
    <w:rsid w:val="003D5CD8"/>
    <w:rsid w:val="003E6DA6"/>
    <w:rsid w:val="003E73D2"/>
    <w:rsid w:val="003E7D4C"/>
    <w:rsid w:val="003F0F89"/>
    <w:rsid w:val="003F2EF4"/>
    <w:rsid w:val="003F58AB"/>
    <w:rsid w:val="00401324"/>
    <w:rsid w:val="00402EA7"/>
    <w:rsid w:val="0040608D"/>
    <w:rsid w:val="0041022F"/>
    <w:rsid w:val="00412883"/>
    <w:rsid w:val="004179D9"/>
    <w:rsid w:val="00420D18"/>
    <w:rsid w:val="004212C6"/>
    <w:rsid w:val="004243AE"/>
    <w:rsid w:val="00426111"/>
    <w:rsid w:val="0042735A"/>
    <w:rsid w:val="00431E50"/>
    <w:rsid w:val="00437471"/>
    <w:rsid w:val="00440AC5"/>
    <w:rsid w:val="00440C4A"/>
    <w:rsid w:val="004419EA"/>
    <w:rsid w:val="004436D6"/>
    <w:rsid w:val="0044623E"/>
    <w:rsid w:val="00450997"/>
    <w:rsid w:val="00453201"/>
    <w:rsid w:val="0045372B"/>
    <w:rsid w:val="00454C28"/>
    <w:rsid w:val="00460F3B"/>
    <w:rsid w:val="00461956"/>
    <w:rsid w:val="00466729"/>
    <w:rsid w:val="004715DA"/>
    <w:rsid w:val="00471B47"/>
    <w:rsid w:val="00472FA4"/>
    <w:rsid w:val="004740D7"/>
    <w:rsid w:val="00474EDE"/>
    <w:rsid w:val="0048593A"/>
    <w:rsid w:val="0049085F"/>
    <w:rsid w:val="00491A0C"/>
    <w:rsid w:val="004A43A9"/>
    <w:rsid w:val="004A473C"/>
    <w:rsid w:val="004B0C86"/>
    <w:rsid w:val="004B5479"/>
    <w:rsid w:val="004B5CF0"/>
    <w:rsid w:val="004C3EBA"/>
    <w:rsid w:val="004C5740"/>
    <w:rsid w:val="004C729C"/>
    <w:rsid w:val="004C7742"/>
    <w:rsid w:val="004C7EF4"/>
    <w:rsid w:val="004D0540"/>
    <w:rsid w:val="004D152A"/>
    <w:rsid w:val="004D22DE"/>
    <w:rsid w:val="004D34DC"/>
    <w:rsid w:val="004D3672"/>
    <w:rsid w:val="004D4AE3"/>
    <w:rsid w:val="004D7F10"/>
    <w:rsid w:val="004E0298"/>
    <w:rsid w:val="004E12C7"/>
    <w:rsid w:val="004E5BFF"/>
    <w:rsid w:val="004F23D1"/>
    <w:rsid w:val="004F5786"/>
    <w:rsid w:val="004F57E1"/>
    <w:rsid w:val="0050065F"/>
    <w:rsid w:val="0050770C"/>
    <w:rsid w:val="00510490"/>
    <w:rsid w:val="0051084A"/>
    <w:rsid w:val="00512D9F"/>
    <w:rsid w:val="0051600E"/>
    <w:rsid w:val="005174A1"/>
    <w:rsid w:val="00521AAC"/>
    <w:rsid w:val="0052379A"/>
    <w:rsid w:val="00524A2B"/>
    <w:rsid w:val="0052626C"/>
    <w:rsid w:val="00527A62"/>
    <w:rsid w:val="00530D39"/>
    <w:rsid w:val="00534502"/>
    <w:rsid w:val="005405AB"/>
    <w:rsid w:val="00542537"/>
    <w:rsid w:val="0054410A"/>
    <w:rsid w:val="00545C5B"/>
    <w:rsid w:val="00545E1D"/>
    <w:rsid w:val="00546AC9"/>
    <w:rsid w:val="00547CC3"/>
    <w:rsid w:val="00556034"/>
    <w:rsid w:val="005600DD"/>
    <w:rsid w:val="00562A08"/>
    <w:rsid w:val="00565212"/>
    <w:rsid w:val="00567398"/>
    <w:rsid w:val="0057155F"/>
    <w:rsid w:val="0057353C"/>
    <w:rsid w:val="005736B1"/>
    <w:rsid w:val="00573CA4"/>
    <w:rsid w:val="005749E8"/>
    <w:rsid w:val="00577881"/>
    <w:rsid w:val="00580BDD"/>
    <w:rsid w:val="0058150B"/>
    <w:rsid w:val="00582949"/>
    <w:rsid w:val="00586999"/>
    <w:rsid w:val="00586E88"/>
    <w:rsid w:val="00591DA7"/>
    <w:rsid w:val="00593C95"/>
    <w:rsid w:val="00597EDE"/>
    <w:rsid w:val="005A1EB6"/>
    <w:rsid w:val="005A1F38"/>
    <w:rsid w:val="005A2B1F"/>
    <w:rsid w:val="005B3330"/>
    <w:rsid w:val="005B3B16"/>
    <w:rsid w:val="005C15CB"/>
    <w:rsid w:val="005C2175"/>
    <w:rsid w:val="005C6E41"/>
    <w:rsid w:val="005D37A6"/>
    <w:rsid w:val="005D4727"/>
    <w:rsid w:val="005D555C"/>
    <w:rsid w:val="005D66B2"/>
    <w:rsid w:val="005D7322"/>
    <w:rsid w:val="005D7F2E"/>
    <w:rsid w:val="005E16D4"/>
    <w:rsid w:val="005E24B6"/>
    <w:rsid w:val="005E415E"/>
    <w:rsid w:val="005F21D6"/>
    <w:rsid w:val="005F2E85"/>
    <w:rsid w:val="005F6B22"/>
    <w:rsid w:val="00601B8E"/>
    <w:rsid w:val="00603393"/>
    <w:rsid w:val="00603F78"/>
    <w:rsid w:val="00610E95"/>
    <w:rsid w:val="0061120C"/>
    <w:rsid w:val="00612CFD"/>
    <w:rsid w:val="0061324D"/>
    <w:rsid w:val="00615B42"/>
    <w:rsid w:val="006211DA"/>
    <w:rsid w:val="00621F34"/>
    <w:rsid w:val="0062287A"/>
    <w:rsid w:val="00627552"/>
    <w:rsid w:val="00627667"/>
    <w:rsid w:val="00635D12"/>
    <w:rsid w:val="00636D5F"/>
    <w:rsid w:val="006409B7"/>
    <w:rsid w:val="00643F8E"/>
    <w:rsid w:val="00644241"/>
    <w:rsid w:val="00644857"/>
    <w:rsid w:val="006462E9"/>
    <w:rsid w:val="00646E29"/>
    <w:rsid w:val="00647A54"/>
    <w:rsid w:val="00647D33"/>
    <w:rsid w:val="006525B9"/>
    <w:rsid w:val="00653857"/>
    <w:rsid w:val="006562A8"/>
    <w:rsid w:val="0066306E"/>
    <w:rsid w:val="006645B3"/>
    <w:rsid w:val="00666F61"/>
    <w:rsid w:val="006676C8"/>
    <w:rsid w:val="00674076"/>
    <w:rsid w:val="00684F8B"/>
    <w:rsid w:val="006869AA"/>
    <w:rsid w:val="00692675"/>
    <w:rsid w:val="00696B4F"/>
    <w:rsid w:val="006A36E6"/>
    <w:rsid w:val="006A7465"/>
    <w:rsid w:val="006B0EAE"/>
    <w:rsid w:val="006B2335"/>
    <w:rsid w:val="006B2761"/>
    <w:rsid w:val="006B461B"/>
    <w:rsid w:val="006B6BF5"/>
    <w:rsid w:val="006B6E25"/>
    <w:rsid w:val="006C1BDF"/>
    <w:rsid w:val="006C35D2"/>
    <w:rsid w:val="006C502A"/>
    <w:rsid w:val="006C740B"/>
    <w:rsid w:val="006D2AC0"/>
    <w:rsid w:val="006D30D0"/>
    <w:rsid w:val="006E3375"/>
    <w:rsid w:val="006E4D5E"/>
    <w:rsid w:val="006F13D9"/>
    <w:rsid w:val="006F196C"/>
    <w:rsid w:val="006F2DF8"/>
    <w:rsid w:val="006F56BD"/>
    <w:rsid w:val="006F753B"/>
    <w:rsid w:val="00703A09"/>
    <w:rsid w:val="0071095A"/>
    <w:rsid w:val="00716069"/>
    <w:rsid w:val="00717CD4"/>
    <w:rsid w:val="00725213"/>
    <w:rsid w:val="007310C4"/>
    <w:rsid w:val="007330A6"/>
    <w:rsid w:val="007348F2"/>
    <w:rsid w:val="00736DD6"/>
    <w:rsid w:val="007378F7"/>
    <w:rsid w:val="0074253F"/>
    <w:rsid w:val="00742C7B"/>
    <w:rsid w:val="00742EC3"/>
    <w:rsid w:val="00745D29"/>
    <w:rsid w:val="007510EF"/>
    <w:rsid w:val="00753E53"/>
    <w:rsid w:val="00754316"/>
    <w:rsid w:val="0075466F"/>
    <w:rsid w:val="00760E84"/>
    <w:rsid w:val="0076295B"/>
    <w:rsid w:val="00764178"/>
    <w:rsid w:val="00766940"/>
    <w:rsid w:val="00771EC2"/>
    <w:rsid w:val="00772692"/>
    <w:rsid w:val="00774052"/>
    <w:rsid w:val="00774824"/>
    <w:rsid w:val="0077509E"/>
    <w:rsid w:val="00776FC7"/>
    <w:rsid w:val="0078603A"/>
    <w:rsid w:val="007875CE"/>
    <w:rsid w:val="00794063"/>
    <w:rsid w:val="007A0A0F"/>
    <w:rsid w:val="007A0EE8"/>
    <w:rsid w:val="007A3F4D"/>
    <w:rsid w:val="007A5444"/>
    <w:rsid w:val="007A6558"/>
    <w:rsid w:val="007B0D69"/>
    <w:rsid w:val="007B100C"/>
    <w:rsid w:val="007B3E46"/>
    <w:rsid w:val="007B5E89"/>
    <w:rsid w:val="007D430A"/>
    <w:rsid w:val="007E266A"/>
    <w:rsid w:val="007E7294"/>
    <w:rsid w:val="007E77E4"/>
    <w:rsid w:val="007F5BAA"/>
    <w:rsid w:val="0080384E"/>
    <w:rsid w:val="00804035"/>
    <w:rsid w:val="008067C3"/>
    <w:rsid w:val="00816983"/>
    <w:rsid w:val="00820359"/>
    <w:rsid w:val="00822681"/>
    <w:rsid w:val="008235B5"/>
    <w:rsid w:val="00824DBC"/>
    <w:rsid w:val="008257F6"/>
    <w:rsid w:val="00825D3D"/>
    <w:rsid w:val="00825D76"/>
    <w:rsid w:val="008322E8"/>
    <w:rsid w:val="00834575"/>
    <w:rsid w:val="008406FE"/>
    <w:rsid w:val="0084089E"/>
    <w:rsid w:val="00843820"/>
    <w:rsid w:val="00843D92"/>
    <w:rsid w:val="008533DF"/>
    <w:rsid w:val="008569D4"/>
    <w:rsid w:val="00864986"/>
    <w:rsid w:val="00864F92"/>
    <w:rsid w:val="00865A07"/>
    <w:rsid w:val="008670C7"/>
    <w:rsid w:val="00870520"/>
    <w:rsid w:val="00870DD5"/>
    <w:rsid w:val="00871557"/>
    <w:rsid w:val="008737E3"/>
    <w:rsid w:val="00875A0A"/>
    <w:rsid w:val="008778BD"/>
    <w:rsid w:val="008815CF"/>
    <w:rsid w:val="00886459"/>
    <w:rsid w:val="008952B3"/>
    <w:rsid w:val="00895638"/>
    <w:rsid w:val="00896A44"/>
    <w:rsid w:val="008A3DCC"/>
    <w:rsid w:val="008A7C73"/>
    <w:rsid w:val="008B273C"/>
    <w:rsid w:val="008B56EC"/>
    <w:rsid w:val="008B79EB"/>
    <w:rsid w:val="008C058F"/>
    <w:rsid w:val="008C21D7"/>
    <w:rsid w:val="008C52F1"/>
    <w:rsid w:val="008D4BFD"/>
    <w:rsid w:val="008D6C0D"/>
    <w:rsid w:val="008D7050"/>
    <w:rsid w:val="008D784F"/>
    <w:rsid w:val="008E705E"/>
    <w:rsid w:val="008F3C47"/>
    <w:rsid w:val="00906377"/>
    <w:rsid w:val="00916A91"/>
    <w:rsid w:val="00917A1F"/>
    <w:rsid w:val="00924624"/>
    <w:rsid w:val="00925B4F"/>
    <w:rsid w:val="0092684B"/>
    <w:rsid w:val="00931F76"/>
    <w:rsid w:val="009370D8"/>
    <w:rsid w:val="009402D3"/>
    <w:rsid w:val="00941475"/>
    <w:rsid w:val="0094651C"/>
    <w:rsid w:val="00953077"/>
    <w:rsid w:val="009539E4"/>
    <w:rsid w:val="00953F90"/>
    <w:rsid w:val="00955928"/>
    <w:rsid w:val="00957109"/>
    <w:rsid w:val="00961195"/>
    <w:rsid w:val="009627B9"/>
    <w:rsid w:val="00963F89"/>
    <w:rsid w:val="00964205"/>
    <w:rsid w:val="00964ECF"/>
    <w:rsid w:val="009662AE"/>
    <w:rsid w:val="00966821"/>
    <w:rsid w:val="00973DE8"/>
    <w:rsid w:val="00976BAF"/>
    <w:rsid w:val="00983B90"/>
    <w:rsid w:val="009859C9"/>
    <w:rsid w:val="009909C2"/>
    <w:rsid w:val="0099223A"/>
    <w:rsid w:val="00993E51"/>
    <w:rsid w:val="009A024D"/>
    <w:rsid w:val="009A7ABD"/>
    <w:rsid w:val="009B16DE"/>
    <w:rsid w:val="009B5D3F"/>
    <w:rsid w:val="009C3C35"/>
    <w:rsid w:val="009C4EB6"/>
    <w:rsid w:val="009C675E"/>
    <w:rsid w:val="009C75FE"/>
    <w:rsid w:val="009D09BA"/>
    <w:rsid w:val="009D1088"/>
    <w:rsid w:val="009D22E8"/>
    <w:rsid w:val="009D3CC3"/>
    <w:rsid w:val="009D737A"/>
    <w:rsid w:val="009E0A4E"/>
    <w:rsid w:val="009E2A27"/>
    <w:rsid w:val="009E5B87"/>
    <w:rsid w:val="009E78E5"/>
    <w:rsid w:val="009F5C5B"/>
    <w:rsid w:val="009F5CE9"/>
    <w:rsid w:val="009F7345"/>
    <w:rsid w:val="009F7C36"/>
    <w:rsid w:val="00A020F5"/>
    <w:rsid w:val="00A039C9"/>
    <w:rsid w:val="00A057EC"/>
    <w:rsid w:val="00A17899"/>
    <w:rsid w:val="00A2360B"/>
    <w:rsid w:val="00A260BF"/>
    <w:rsid w:val="00A31A4E"/>
    <w:rsid w:val="00A33846"/>
    <w:rsid w:val="00A33CA8"/>
    <w:rsid w:val="00A34D77"/>
    <w:rsid w:val="00A428C5"/>
    <w:rsid w:val="00A51C68"/>
    <w:rsid w:val="00A54FF5"/>
    <w:rsid w:val="00A6166A"/>
    <w:rsid w:val="00A62E84"/>
    <w:rsid w:val="00A71511"/>
    <w:rsid w:val="00A71920"/>
    <w:rsid w:val="00A755BE"/>
    <w:rsid w:val="00A7577F"/>
    <w:rsid w:val="00A75BF0"/>
    <w:rsid w:val="00A76B0A"/>
    <w:rsid w:val="00A84C8E"/>
    <w:rsid w:val="00A85BA9"/>
    <w:rsid w:val="00A87EAC"/>
    <w:rsid w:val="00A92569"/>
    <w:rsid w:val="00A96E64"/>
    <w:rsid w:val="00A978B6"/>
    <w:rsid w:val="00A97EA6"/>
    <w:rsid w:val="00AA0042"/>
    <w:rsid w:val="00AA4A0A"/>
    <w:rsid w:val="00AB1E56"/>
    <w:rsid w:val="00AB429A"/>
    <w:rsid w:val="00AB60F7"/>
    <w:rsid w:val="00AB6C9E"/>
    <w:rsid w:val="00AC1104"/>
    <w:rsid w:val="00AD03DD"/>
    <w:rsid w:val="00AD5933"/>
    <w:rsid w:val="00AD6346"/>
    <w:rsid w:val="00AE0C8E"/>
    <w:rsid w:val="00AE116D"/>
    <w:rsid w:val="00AE1A2B"/>
    <w:rsid w:val="00AF0697"/>
    <w:rsid w:val="00AF0B4C"/>
    <w:rsid w:val="00AF10F2"/>
    <w:rsid w:val="00AF3D45"/>
    <w:rsid w:val="00B06FD1"/>
    <w:rsid w:val="00B07454"/>
    <w:rsid w:val="00B11E12"/>
    <w:rsid w:val="00B13C6A"/>
    <w:rsid w:val="00B1552D"/>
    <w:rsid w:val="00B156A3"/>
    <w:rsid w:val="00B15B3C"/>
    <w:rsid w:val="00B264D0"/>
    <w:rsid w:val="00B26E8F"/>
    <w:rsid w:val="00B27CAE"/>
    <w:rsid w:val="00B30F88"/>
    <w:rsid w:val="00B3140C"/>
    <w:rsid w:val="00B4089E"/>
    <w:rsid w:val="00B42574"/>
    <w:rsid w:val="00B43F0E"/>
    <w:rsid w:val="00B507EA"/>
    <w:rsid w:val="00B51744"/>
    <w:rsid w:val="00B55ECB"/>
    <w:rsid w:val="00B572C3"/>
    <w:rsid w:val="00B63B82"/>
    <w:rsid w:val="00B6577D"/>
    <w:rsid w:val="00B674CA"/>
    <w:rsid w:val="00B7375E"/>
    <w:rsid w:val="00B7500E"/>
    <w:rsid w:val="00B75B42"/>
    <w:rsid w:val="00B80176"/>
    <w:rsid w:val="00B8062C"/>
    <w:rsid w:val="00B8268D"/>
    <w:rsid w:val="00B85064"/>
    <w:rsid w:val="00B86D4A"/>
    <w:rsid w:val="00B86F94"/>
    <w:rsid w:val="00B87C25"/>
    <w:rsid w:val="00B9493B"/>
    <w:rsid w:val="00BA0CAC"/>
    <w:rsid w:val="00BA7532"/>
    <w:rsid w:val="00BB01EF"/>
    <w:rsid w:val="00BB2E55"/>
    <w:rsid w:val="00BB4D86"/>
    <w:rsid w:val="00BC17A1"/>
    <w:rsid w:val="00BC4BA6"/>
    <w:rsid w:val="00BC5794"/>
    <w:rsid w:val="00BD3A24"/>
    <w:rsid w:val="00BD791D"/>
    <w:rsid w:val="00BE0687"/>
    <w:rsid w:val="00BE4A08"/>
    <w:rsid w:val="00BE7083"/>
    <w:rsid w:val="00BF06D1"/>
    <w:rsid w:val="00BF2017"/>
    <w:rsid w:val="00BF409F"/>
    <w:rsid w:val="00BF4EA7"/>
    <w:rsid w:val="00BF7130"/>
    <w:rsid w:val="00C01F5E"/>
    <w:rsid w:val="00C03CE6"/>
    <w:rsid w:val="00C06582"/>
    <w:rsid w:val="00C10DB6"/>
    <w:rsid w:val="00C13496"/>
    <w:rsid w:val="00C14C2E"/>
    <w:rsid w:val="00C150E1"/>
    <w:rsid w:val="00C2191E"/>
    <w:rsid w:val="00C27073"/>
    <w:rsid w:val="00C27123"/>
    <w:rsid w:val="00C30B02"/>
    <w:rsid w:val="00C312E5"/>
    <w:rsid w:val="00C35A7D"/>
    <w:rsid w:val="00C36637"/>
    <w:rsid w:val="00C414F2"/>
    <w:rsid w:val="00C42AC9"/>
    <w:rsid w:val="00C50054"/>
    <w:rsid w:val="00C61E27"/>
    <w:rsid w:val="00C6438B"/>
    <w:rsid w:val="00C65D57"/>
    <w:rsid w:val="00C71B81"/>
    <w:rsid w:val="00C71C1A"/>
    <w:rsid w:val="00C74742"/>
    <w:rsid w:val="00C770CA"/>
    <w:rsid w:val="00C77269"/>
    <w:rsid w:val="00C77F94"/>
    <w:rsid w:val="00C806F6"/>
    <w:rsid w:val="00C8598A"/>
    <w:rsid w:val="00C872CE"/>
    <w:rsid w:val="00C9016E"/>
    <w:rsid w:val="00C90FEA"/>
    <w:rsid w:val="00C94DD7"/>
    <w:rsid w:val="00C95144"/>
    <w:rsid w:val="00C95B49"/>
    <w:rsid w:val="00CA130D"/>
    <w:rsid w:val="00CA32D6"/>
    <w:rsid w:val="00CB0D37"/>
    <w:rsid w:val="00CB1794"/>
    <w:rsid w:val="00CB3270"/>
    <w:rsid w:val="00CB3DCF"/>
    <w:rsid w:val="00CC1557"/>
    <w:rsid w:val="00CC33D0"/>
    <w:rsid w:val="00CC35E3"/>
    <w:rsid w:val="00CC5BE3"/>
    <w:rsid w:val="00CC6A9F"/>
    <w:rsid w:val="00CD2E51"/>
    <w:rsid w:val="00CD6184"/>
    <w:rsid w:val="00CD6363"/>
    <w:rsid w:val="00CD6BFA"/>
    <w:rsid w:val="00CE2EAA"/>
    <w:rsid w:val="00CE397A"/>
    <w:rsid w:val="00CE431D"/>
    <w:rsid w:val="00CE739F"/>
    <w:rsid w:val="00CF024B"/>
    <w:rsid w:val="00CF65B2"/>
    <w:rsid w:val="00CF69A5"/>
    <w:rsid w:val="00D0079F"/>
    <w:rsid w:val="00D07644"/>
    <w:rsid w:val="00D17577"/>
    <w:rsid w:val="00D17F49"/>
    <w:rsid w:val="00D17F7D"/>
    <w:rsid w:val="00D201AB"/>
    <w:rsid w:val="00D227F2"/>
    <w:rsid w:val="00D23B17"/>
    <w:rsid w:val="00D254F5"/>
    <w:rsid w:val="00D27D94"/>
    <w:rsid w:val="00D31AA9"/>
    <w:rsid w:val="00D3283B"/>
    <w:rsid w:val="00D34533"/>
    <w:rsid w:val="00D362C3"/>
    <w:rsid w:val="00D40854"/>
    <w:rsid w:val="00D40E64"/>
    <w:rsid w:val="00D428AC"/>
    <w:rsid w:val="00D44771"/>
    <w:rsid w:val="00D47169"/>
    <w:rsid w:val="00D525A3"/>
    <w:rsid w:val="00D53EB3"/>
    <w:rsid w:val="00D54DE4"/>
    <w:rsid w:val="00D604F7"/>
    <w:rsid w:val="00D613E8"/>
    <w:rsid w:val="00D62349"/>
    <w:rsid w:val="00D664AB"/>
    <w:rsid w:val="00D72E30"/>
    <w:rsid w:val="00D8082B"/>
    <w:rsid w:val="00D86CF5"/>
    <w:rsid w:val="00D9091C"/>
    <w:rsid w:val="00D90E99"/>
    <w:rsid w:val="00D9690F"/>
    <w:rsid w:val="00D9691D"/>
    <w:rsid w:val="00DA21B0"/>
    <w:rsid w:val="00DA7585"/>
    <w:rsid w:val="00DB3AD2"/>
    <w:rsid w:val="00DB4447"/>
    <w:rsid w:val="00DB4E08"/>
    <w:rsid w:val="00DB502E"/>
    <w:rsid w:val="00DB7565"/>
    <w:rsid w:val="00DC2A26"/>
    <w:rsid w:val="00DD2B93"/>
    <w:rsid w:val="00DD3A4C"/>
    <w:rsid w:val="00DD4C34"/>
    <w:rsid w:val="00DD76BE"/>
    <w:rsid w:val="00DE1259"/>
    <w:rsid w:val="00DE2B58"/>
    <w:rsid w:val="00DF244B"/>
    <w:rsid w:val="00DF2D04"/>
    <w:rsid w:val="00DF412D"/>
    <w:rsid w:val="00DF7003"/>
    <w:rsid w:val="00DF7320"/>
    <w:rsid w:val="00E02460"/>
    <w:rsid w:val="00E0449B"/>
    <w:rsid w:val="00E05F21"/>
    <w:rsid w:val="00E074B7"/>
    <w:rsid w:val="00E1347E"/>
    <w:rsid w:val="00E144DE"/>
    <w:rsid w:val="00E1531F"/>
    <w:rsid w:val="00E17611"/>
    <w:rsid w:val="00E2043A"/>
    <w:rsid w:val="00E20E48"/>
    <w:rsid w:val="00E22024"/>
    <w:rsid w:val="00E30D99"/>
    <w:rsid w:val="00E36029"/>
    <w:rsid w:val="00E36D6F"/>
    <w:rsid w:val="00E40EC3"/>
    <w:rsid w:val="00E46ED9"/>
    <w:rsid w:val="00E50326"/>
    <w:rsid w:val="00E54B16"/>
    <w:rsid w:val="00E54BF9"/>
    <w:rsid w:val="00E576CA"/>
    <w:rsid w:val="00E61E29"/>
    <w:rsid w:val="00E71941"/>
    <w:rsid w:val="00E7450B"/>
    <w:rsid w:val="00E8125A"/>
    <w:rsid w:val="00E86DD4"/>
    <w:rsid w:val="00E9197D"/>
    <w:rsid w:val="00E91D1F"/>
    <w:rsid w:val="00E93728"/>
    <w:rsid w:val="00E94472"/>
    <w:rsid w:val="00E960D0"/>
    <w:rsid w:val="00EA0EEC"/>
    <w:rsid w:val="00EA598F"/>
    <w:rsid w:val="00EA6F96"/>
    <w:rsid w:val="00EB06AD"/>
    <w:rsid w:val="00EB0FE9"/>
    <w:rsid w:val="00EB3892"/>
    <w:rsid w:val="00EB70BA"/>
    <w:rsid w:val="00EC20A8"/>
    <w:rsid w:val="00EC5985"/>
    <w:rsid w:val="00EC61CE"/>
    <w:rsid w:val="00ED15FD"/>
    <w:rsid w:val="00ED29E2"/>
    <w:rsid w:val="00ED3125"/>
    <w:rsid w:val="00ED44EF"/>
    <w:rsid w:val="00ED5A96"/>
    <w:rsid w:val="00ED65E1"/>
    <w:rsid w:val="00EE55DB"/>
    <w:rsid w:val="00EE6766"/>
    <w:rsid w:val="00EE7E7A"/>
    <w:rsid w:val="00EF13F4"/>
    <w:rsid w:val="00EF41B7"/>
    <w:rsid w:val="00EF4E15"/>
    <w:rsid w:val="00F03E48"/>
    <w:rsid w:val="00F07ECA"/>
    <w:rsid w:val="00F11102"/>
    <w:rsid w:val="00F13341"/>
    <w:rsid w:val="00F14291"/>
    <w:rsid w:val="00F14D6C"/>
    <w:rsid w:val="00F17E58"/>
    <w:rsid w:val="00F228B4"/>
    <w:rsid w:val="00F232A9"/>
    <w:rsid w:val="00F238F5"/>
    <w:rsid w:val="00F23C09"/>
    <w:rsid w:val="00F2720C"/>
    <w:rsid w:val="00F310EF"/>
    <w:rsid w:val="00F32DFB"/>
    <w:rsid w:val="00F36574"/>
    <w:rsid w:val="00F40301"/>
    <w:rsid w:val="00F406A6"/>
    <w:rsid w:val="00F44B8F"/>
    <w:rsid w:val="00F47C51"/>
    <w:rsid w:val="00F62A31"/>
    <w:rsid w:val="00F646F3"/>
    <w:rsid w:val="00F65157"/>
    <w:rsid w:val="00F670BE"/>
    <w:rsid w:val="00F700B0"/>
    <w:rsid w:val="00F7029A"/>
    <w:rsid w:val="00F746C0"/>
    <w:rsid w:val="00F752A2"/>
    <w:rsid w:val="00F75B50"/>
    <w:rsid w:val="00F76162"/>
    <w:rsid w:val="00F77835"/>
    <w:rsid w:val="00F7796F"/>
    <w:rsid w:val="00F8215C"/>
    <w:rsid w:val="00F83816"/>
    <w:rsid w:val="00F84775"/>
    <w:rsid w:val="00F853C3"/>
    <w:rsid w:val="00F93285"/>
    <w:rsid w:val="00F9364C"/>
    <w:rsid w:val="00F97C59"/>
    <w:rsid w:val="00FA15ED"/>
    <w:rsid w:val="00FA5986"/>
    <w:rsid w:val="00FA5C84"/>
    <w:rsid w:val="00FA6203"/>
    <w:rsid w:val="00FB1099"/>
    <w:rsid w:val="00FB600D"/>
    <w:rsid w:val="00FB6AC4"/>
    <w:rsid w:val="00FC0524"/>
    <w:rsid w:val="00FD219A"/>
    <w:rsid w:val="00FD428D"/>
    <w:rsid w:val="00FE050D"/>
    <w:rsid w:val="00FE345A"/>
    <w:rsid w:val="00FE668E"/>
    <w:rsid w:val="00FE72DF"/>
    <w:rsid w:val="00FF36A9"/>
    <w:rsid w:val="00FF3C91"/>
    <w:rsid w:val="00FF6340"/>
    <w:rsid w:val="15988E5D"/>
    <w:rsid w:val="261B510B"/>
    <w:rsid w:val="26B634A0"/>
    <w:rsid w:val="39DDF63A"/>
    <w:rsid w:val="4C3465F5"/>
    <w:rsid w:val="714BB7D9"/>
    <w:rsid w:val="71A2F084"/>
    <w:rsid w:val="724F2BA4"/>
    <w:rsid w:val="727C07C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04D5F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kern w:val="2"/>
        <w:szCs w:val="24"/>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4D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4D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4DB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4DB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24DB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24DB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24DB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24DB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24DB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4D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4D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4DB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4DB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24DB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24DB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24DB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24DB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24DB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24D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4D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4DB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4DB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24DBC"/>
    <w:pPr>
      <w:spacing w:before="160"/>
      <w:jc w:val="center"/>
    </w:pPr>
    <w:rPr>
      <w:i/>
      <w:iCs/>
      <w:color w:val="404040" w:themeColor="text1" w:themeTint="BF"/>
    </w:rPr>
  </w:style>
  <w:style w:type="character" w:customStyle="1" w:styleId="QuoteChar">
    <w:name w:val="Quote Char"/>
    <w:basedOn w:val="DefaultParagraphFont"/>
    <w:link w:val="Quote"/>
    <w:uiPriority w:val="29"/>
    <w:rsid w:val="00824DBC"/>
    <w:rPr>
      <w:i/>
      <w:iCs/>
      <w:color w:val="404040" w:themeColor="text1" w:themeTint="BF"/>
    </w:rPr>
  </w:style>
  <w:style w:type="paragraph" w:styleId="ListParagraph">
    <w:name w:val="List Paragraph"/>
    <w:aliases w:val="Body Text Bullet Points,Bullet Point,Bullet point,BulletPoints,Bulletr List Paragraph,ES Paragraph,Footnote,L,List Paragraph1,List Paragraph11,Numbered para,PBAC ES Paragraph,PBAC normal points,Recommendation,Section heading,Styl moj"/>
    <w:basedOn w:val="Normal"/>
    <w:link w:val="ListParagraphChar"/>
    <w:uiPriority w:val="34"/>
    <w:qFormat/>
    <w:rsid w:val="00824DBC"/>
    <w:pPr>
      <w:ind w:left="720"/>
      <w:contextualSpacing/>
    </w:pPr>
  </w:style>
  <w:style w:type="character" w:styleId="IntenseEmphasis">
    <w:name w:val="Intense Emphasis"/>
    <w:basedOn w:val="DefaultParagraphFont"/>
    <w:uiPriority w:val="21"/>
    <w:qFormat/>
    <w:rsid w:val="00824DBC"/>
    <w:rPr>
      <w:i/>
      <w:iCs/>
      <w:color w:val="0F4761" w:themeColor="accent1" w:themeShade="BF"/>
    </w:rPr>
  </w:style>
  <w:style w:type="paragraph" w:styleId="IntenseQuote">
    <w:name w:val="Intense Quote"/>
    <w:basedOn w:val="Normal"/>
    <w:next w:val="Normal"/>
    <w:link w:val="IntenseQuoteChar"/>
    <w:uiPriority w:val="30"/>
    <w:qFormat/>
    <w:rsid w:val="00824D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4DBC"/>
    <w:rPr>
      <w:i/>
      <w:iCs/>
      <w:color w:val="0F4761" w:themeColor="accent1" w:themeShade="BF"/>
    </w:rPr>
  </w:style>
  <w:style w:type="character" w:styleId="IntenseReference">
    <w:name w:val="Intense Reference"/>
    <w:basedOn w:val="DefaultParagraphFont"/>
    <w:uiPriority w:val="32"/>
    <w:qFormat/>
    <w:rsid w:val="00824DBC"/>
    <w:rPr>
      <w:b/>
      <w:bCs/>
      <w:smallCaps/>
      <w:color w:val="0F4761" w:themeColor="accent1" w:themeShade="BF"/>
      <w:spacing w:val="5"/>
    </w:rPr>
  </w:style>
  <w:style w:type="paragraph" w:styleId="Header">
    <w:name w:val="header"/>
    <w:aliases w:val="Page Header,Header title,he=header,cntr/bld"/>
    <w:basedOn w:val="Normal"/>
    <w:link w:val="HeaderChar"/>
    <w:unhideWhenUsed/>
    <w:rsid w:val="00824DBC"/>
    <w:pPr>
      <w:tabs>
        <w:tab w:val="center" w:pos="4513"/>
        <w:tab w:val="right" w:pos="9026"/>
      </w:tabs>
      <w:spacing w:after="0" w:line="240" w:lineRule="auto"/>
    </w:pPr>
  </w:style>
  <w:style w:type="character" w:customStyle="1" w:styleId="HeaderChar">
    <w:name w:val="Header Char"/>
    <w:aliases w:val="Page Header Char,Header title Char,he=header Char,cntr/bld Char"/>
    <w:basedOn w:val="DefaultParagraphFont"/>
    <w:link w:val="Header"/>
    <w:rsid w:val="00824DBC"/>
  </w:style>
  <w:style w:type="paragraph" w:styleId="Footer">
    <w:name w:val="footer"/>
    <w:basedOn w:val="Normal"/>
    <w:link w:val="FooterChar"/>
    <w:uiPriority w:val="99"/>
    <w:unhideWhenUsed/>
    <w:rsid w:val="00824D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4DBC"/>
  </w:style>
  <w:style w:type="paragraph" w:customStyle="1" w:styleId="paragraph">
    <w:name w:val="paragraph"/>
    <w:basedOn w:val="Normal"/>
    <w:rsid w:val="00824DBC"/>
    <w:pPr>
      <w:spacing w:before="100" w:beforeAutospacing="1" w:after="100" w:afterAutospacing="1" w:line="240" w:lineRule="auto"/>
    </w:pPr>
    <w:rPr>
      <w:rFonts w:ascii="Times New Roman" w:eastAsia="Times New Roman" w:hAnsi="Times New Roman"/>
      <w:kern w:val="0"/>
      <w:sz w:val="24"/>
      <w:lang w:eastAsia="en-AU"/>
      <w14:ligatures w14:val="none"/>
    </w:rPr>
  </w:style>
  <w:style w:type="character" w:customStyle="1" w:styleId="normaltextrun">
    <w:name w:val="normaltextrun"/>
    <w:basedOn w:val="DefaultParagraphFont"/>
    <w:rsid w:val="00824DBC"/>
  </w:style>
  <w:style w:type="character" w:customStyle="1" w:styleId="eop">
    <w:name w:val="eop"/>
    <w:basedOn w:val="DefaultParagraphFont"/>
    <w:rsid w:val="00824DBC"/>
  </w:style>
  <w:style w:type="character" w:customStyle="1" w:styleId="ListParagraphChar">
    <w:name w:val="List Paragraph Char"/>
    <w:aliases w:val="Body Text Bullet Points Char,Bullet Point Char,Bullet point Char,BulletPoints Char,Bulletr List Paragraph Char,ES Paragraph Char,Footnote Char,L Char,List Paragraph1 Char,List Paragraph11 Char,Numbered para Char,Recommendation Char"/>
    <w:link w:val="ListParagraph"/>
    <w:uiPriority w:val="34"/>
    <w:qFormat/>
    <w:rsid w:val="00E71941"/>
  </w:style>
  <w:style w:type="table" w:styleId="TableGrid">
    <w:name w:val="Table Grid"/>
    <w:basedOn w:val="TableNormal"/>
    <w:rsid w:val="00B7375E"/>
    <w:pPr>
      <w:spacing w:after="0" w:line="240" w:lineRule="auto"/>
    </w:pPr>
    <w:rPr>
      <w:rFonts w:ascii="Times New Roman" w:eastAsia="Times New Roman" w:hAnsi="Times New Roman"/>
      <w:kern w:val="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7375E"/>
    <w:pPr>
      <w:spacing w:before="100" w:beforeAutospacing="1" w:after="100" w:afterAutospacing="1" w:line="240" w:lineRule="auto"/>
    </w:pPr>
    <w:rPr>
      <w:rFonts w:ascii="Times New Roman" w:eastAsia="Times New Roman" w:hAnsi="Times New Roman"/>
      <w:kern w:val="0"/>
      <w:sz w:val="24"/>
      <w:lang w:eastAsia="en-AU"/>
      <w14:ligatures w14:val="none"/>
    </w:rPr>
  </w:style>
  <w:style w:type="paragraph" w:customStyle="1" w:styleId="Default">
    <w:name w:val="Default"/>
    <w:rsid w:val="00B7375E"/>
    <w:pPr>
      <w:autoSpaceDE w:val="0"/>
      <w:autoSpaceDN w:val="0"/>
      <w:adjustRightInd w:val="0"/>
      <w:spacing w:after="0" w:line="240" w:lineRule="auto"/>
    </w:pPr>
    <w:rPr>
      <w:rFonts w:ascii="Times New Roman" w:eastAsia="Times New Roman" w:hAnsi="Times New Roman"/>
      <w:color w:val="000000"/>
      <w:kern w:val="0"/>
      <w:sz w:val="24"/>
      <w:lang w:eastAsia="en-AU"/>
      <w14:ligatures w14:val="none"/>
    </w:rPr>
  </w:style>
  <w:style w:type="character" w:styleId="CommentReference">
    <w:name w:val="annotation reference"/>
    <w:basedOn w:val="DefaultParagraphFont"/>
    <w:uiPriority w:val="99"/>
    <w:semiHidden/>
    <w:unhideWhenUsed/>
    <w:rsid w:val="00F65157"/>
    <w:rPr>
      <w:sz w:val="16"/>
      <w:szCs w:val="16"/>
    </w:rPr>
  </w:style>
  <w:style w:type="paragraph" w:styleId="CommentText">
    <w:name w:val="annotation text"/>
    <w:basedOn w:val="Normal"/>
    <w:link w:val="CommentTextChar"/>
    <w:uiPriority w:val="99"/>
    <w:unhideWhenUsed/>
    <w:rsid w:val="00F65157"/>
    <w:pPr>
      <w:spacing w:line="240" w:lineRule="auto"/>
    </w:pPr>
    <w:rPr>
      <w:szCs w:val="20"/>
    </w:rPr>
  </w:style>
  <w:style w:type="character" w:customStyle="1" w:styleId="CommentTextChar">
    <w:name w:val="Comment Text Char"/>
    <w:basedOn w:val="DefaultParagraphFont"/>
    <w:link w:val="CommentText"/>
    <w:uiPriority w:val="99"/>
    <w:rsid w:val="00F65157"/>
    <w:rPr>
      <w:szCs w:val="20"/>
    </w:rPr>
  </w:style>
  <w:style w:type="paragraph" w:styleId="CommentSubject">
    <w:name w:val="annotation subject"/>
    <w:basedOn w:val="CommentText"/>
    <w:next w:val="CommentText"/>
    <w:link w:val="CommentSubjectChar"/>
    <w:uiPriority w:val="99"/>
    <w:semiHidden/>
    <w:unhideWhenUsed/>
    <w:rsid w:val="00F65157"/>
    <w:rPr>
      <w:b/>
      <w:bCs/>
    </w:rPr>
  </w:style>
  <w:style w:type="character" w:customStyle="1" w:styleId="CommentSubjectChar">
    <w:name w:val="Comment Subject Char"/>
    <w:basedOn w:val="CommentTextChar"/>
    <w:link w:val="CommentSubject"/>
    <w:uiPriority w:val="99"/>
    <w:semiHidden/>
    <w:rsid w:val="00F65157"/>
    <w:rPr>
      <w:b/>
      <w:bCs/>
      <w:szCs w:val="20"/>
    </w:rPr>
  </w:style>
  <w:style w:type="paragraph" w:styleId="Revision">
    <w:name w:val="Revision"/>
    <w:hidden/>
    <w:uiPriority w:val="99"/>
    <w:semiHidden/>
    <w:rsid w:val="00EB06AD"/>
    <w:pPr>
      <w:spacing w:after="0" w:line="240" w:lineRule="auto"/>
    </w:pPr>
  </w:style>
  <w:style w:type="character" w:styleId="Hyperlink">
    <w:name w:val="Hyperlink"/>
    <w:basedOn w:val="DefaultParagraphFont"/>
    <w:uiPriority w:val="99"/>
    <w:unhideWhenUsed/>
    <w:rsid w:val="00C71C1A"/>
    <w:rPr>
      <w:color w:val="467886" w:themeColor="hyperlink"/>
      <w:u w:val="single"/>
    </w:rPr>
  </w:style>
  <w:style w:type="character" w:styleId="UnresolvedMention">
    <w:name w:val="Unresolved Mention"/>
    <w:basedOn w:val="DefaultParagraphFont"/>
    <w:uiPriority w:val="99"/>
    <w:semiHidden/>
    <w:unhideWhenUsed/>
    <w:rsid w:val="00C71C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bs.gov.au/info/industry/listing/elements/pbac-meetings/pbac-outcomes/recommendations-made-out-of-session-by-the-pbac-between-mee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atecreated xmlns="7f856f8d-13b3-495a-9a4b-41f8182eda4c" xsi:nil="true"/>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5" ma:contentTypeDescription="Create a new document." ma:contentTypeScope="" ma:versionID="800ebfdfa1bbf1ff6c9cf58b3ab635a0">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cd488804b94607c00d160a5d5b6e66e9"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Datecreated" ma:index="22" nillable="true" ma:displayName="Date created" ma:description="date created" ma:format="DateOnly" ma:internalName="Date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6B09BC-2E59-42D4-8DD6-45D63E62E53B}">
  <ds:schemaRefs>
    <ds:schemaRef ds:uri="http://schemas.openxmlformats.org/officeDocument/2006/bibliography"/>
  </ds:schemaRefs>
</ds:datastoreItem>
</file>

<file path=customXml/itemProps2.xml><?xml version="1.0" encoding="utf-8"?>
<ds:datastoreItem xmlns:ds="http://schemas.openxmlformats.org/officeDocument/2006/customXml" ds:itemID="{FD8A52F9-36E6-4556-BAAA-E207200F5A3B}">
  <ds:schemaRefs>
    <ds:schemaRef ds:uri="http://schemas.microsoft.com/office/2006/metadata/properties"/>
    <ds:schemaRef ds:uri="http://schemas.microsoft.com/office/infopath/2007/PartnerControls"/>
    <ds:schemaRef ds:uri="7f856f8d-13b3-495a-9a4b-41f8182eda4c"/>
    <ds:schemaRef ds:uri="72f95629-adac-4ec1-8738-e1cec852b92b"/>
  </ds:schemaRefs>
</ds:datastoreItem>
</file>

<file path=customXml/itemProps3.xml><?xml version="1.0" encoding="utf-8"?>
<ds:datastoreItem xmlns:ds="http://schemas.openxmlformats.org/officeDocument/2006/customXml" ds:itemID="{C9C86F3D-4247-468B-8A08-5B072DC930C5}">
  <ds:schemaRefs>
    <ds:schemaRef ds:uri="http://schemas.microsoft.com/sharepoint/v3/contenttype/forms"/>
  </ds:schemaRefs>
</ds:datastoreItem>
</file>

<file path=customXml/itemProps4.xml><?xml version="1.0" encoding="utf-8"?>
<ds:datastoreItem xmlns:ds="http://schemas.openxmlformats.org/officeDocument/2006/customXml" ds:itemID="{46551490-6280-45EE-9E7D-300DFB1F10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56f8d-13b3-495a-9a4b-41f8182eda4c"/>
    <ds:schemaRef ds:uri="72f95629-adac-4ec1-8738-e1cec852b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66</Pages>
  <Words>19708</Words>
  <Characters>113719</Characters>
  <Application>Microsoft Office Word</Application>
  <DocSecurity>0</DocSecurity>
  <Lines>4061</Lines>
  <Paragraphs>553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2026-05-12T04:46:00Z</dcterms:created>
  <dcterms:modified xsi:type="dcterms:W3CDTF">2026-05-12T04:50:00Z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cd3e8b9-ffed-43a8-b7f4-cc2fa0382d36_SiteId">
    <vt:lpwstr>34a3929c-73cf-4954-abfe-147dc3517892</vt:lpwstr>
  </property>
  <property fmtid="{D5CDD505-2E9C-101B-9397-08002B2CF9AE}" pid="3" name="ClassificationContentMarkingFooterText">
    <vt:lpwstr>OFFICIAL</vt:lpwstr>
  </property>
  <property fmtid="{D5CDD505-2E9C-101B-9397-08002B2CF9AE}" pid="4" name="MSIP_Label_7cd3e8b9-ffed-43a8-b7f4-cc2fa0382d36_Method">
    <vt:lpwstr>Privileged</vt:lpwstr>
  </property>
  <property fmtid="{D5CDD505-2E9C-101B-9397-08002B2CF9AE}" pid="5" name="MSIP_Label_7cd3e8b9-ffed-43a8-b7f4-cc2fa0382d36_Tag">
    <vt:lpwstr>10, 0, 1, 1</vt:lpwstr>
  </property>
  <property fmtid="{D5CDD505-2E9C-101B-9397-08002B2CF9AE}" pid="6" name="ClassificationContentMarkingHeaderText">
    <vt:lpwstr>OFFICIAL</vt:lpwstr>
  </property>
  <property fmtid="{D5CDD505-2E9C-101B-9397-08002B2CF9AE}" pid="7" name="MSIP_Label_7cd3e8b9-ffed-43a8-b7f4-cc2fa0382d36_ActionId">
    <vt:lpwstr>3c5486cd-cd52-4030-82ee-5fd72191b576</vt:lpwstr>
  </property>
  <property fmtid="{D5CDD505-2E9C-101B-9397-08002B2CF9AE}" pid="8" name="MediaServiceImageTags">
    <vt:lpwstr/>
  </property>
  <property fmtid="{D5CDD505-2E9C-101B-9397-08002B2CF9AE}" pid="9" name="ContentTypeId">
    <vt:lpwstr>0x0101007FED174C5281F747A8037A05221D6DBD</vt:lpwstr>
  </property>
  <property fmtid="{D5CDD505-2E9C-101B-9397-08002B2CF9AE}" pid="10" name="ClassificationContentMarkingHeaderFontProps">
    <vt:lpwstr>#ff0000,12,Aptos</vt:lpwstr>
  </property>
  <property fmtid="{D5CDD505-2E9C-101B-9397-08002B2CF9AE}" pid="11" name="MSIP_Label_7cd3e8b9-ffed-43a8-b7f4-cc2fa0382d36_ContentBits">
    <vt:lpwstr>3</vt:lpwstr>
  </property>
  <property fmtid="{D5CDD505-2E9C-101B-9397-08002B2CF9AE}" pid="12" name="docLang">
    <vt:lpwstr>en</vt:lpwstr>
  </property>
  <property fmtid="{D5CDD505-2E9C-101B-9397-08002B2CF9AE}" pid="13" name="MSIP_Label_7cd3e8b9-ffed-43a8-b7f4-cc2fa0382d36_Name">
    <vt:lpwstr>O</vt:lpwstr>
  </property>
  <property fmtid="{D5CDD505-2E9C-101B-9397-08002B2CF9AE}" pid="14" name="ClassificationContentMarkingFooterShapeIds">
    <vt:lpwstr>6da1738d,16dc7476,77bdd1c1</vt:lpwstr>
  </property>
  <property fmtid="{D5CDD505-2E9C-101B-9397-08002B2CF9AE}" pid="15" name="MSIP_Label_7cd3e8b9-ffed-43a8-b7f4-cc2fa0382d36_Enabled">
    <vt:lpwstr>true</vt:lpwstr>
  </property>
  <property fmtid="{D5CDD505-2E9C-101B-9397-08002B2CF9AE}" pid="16" name="ClassificationContentMarkingHeaderShapeIds">
    <vt:lpwstr>1946efe9,4df9e5c2,7a007c61</vt:lpwstr>
  </property>
  <property fmtid="{D5CDD505-2E9C-101B-9397-08002B2CF9AE}" pid="17" name="ClassificationContentMarkingFooterFontProps">
    <vt:lpwstr>#ff0000,12,Aptos</vt:lpwstr>
  </property>
  <property fmtid="{D5CDD505-2E9C-101B-9397-08002B2CF9AE}" pid="18" name="MSIP_Label_7cd3e8b9-ffed-43a8-b7f4-cc2fa0382d36_SetDate">
    <vt:lpwstr>2025-12-09T06:14:32Z</vt:lpwstr>
  </property>
</Properties>
</file>