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B0EE" w14:textId="7CDB471C" w:rsidR="00D7136A" w:rsidRDefault="00464DA0" w:rsidP="00052897">
      <w:pPr>
        <w:contextualSpacing/>
        <w:jc w:val="both"/>
        <w:rPr>
          <w:rFonts w:ascii="Arial" w:hAnsi="Arial" w:cs="Arial"/>
          <w:b/>
          <w:szCs w:val="20"/>
          <w:lang w:eastAsia="en-AU"/>
        </w:rPr>
      </w:pPr>
      <w:r>
        <w:rPr>
          <w:rFonts w:ascii="Arial" w:hAnsi="Arial" w:cs="Arial"/>
          <w:b/>
          <w:sz w:val="28"/>
          <w:lang w:eastAsia="en-AU"/>
        </w:rPr>
        <w:t xml:space="preserve">PBAC CONSIDERATION OF THE </w:t>
      </w:r>
      <w:r w:rsidR="00D7136A">
        <w:rPr>
          <w:rFonts w:ascii="Arial" w:hAnsi="Arial" w:cs="Arial"/>
          <w:b/>
          <w:sz w:val="28"/>
          <w:lang w:eastAsia="en-AU"/>
        </w:rPr>
        <w:t>REPORT</w:t>
      </w:r>
      <w:r w:rsidR="00267A9D">
        <w:rPr>
          <w:rFonts w:ascii="Arial" w:hAnsi="Arial" w:cs="Arial"/>
          <w:b/>
          <w:sz w:val="28"/>
          <w:lang w:eastAsia="en-AU"/>
        </w:rPr>
        <w:t xml:space="preserve"> OF THE DRUG </w:t>
      </w:r>
      <w:r w:rsidR="00D7136A" w:rsidRPr="00B94022">
        <w:rPr>
          <w:rFonts w:ascii="Arial" w:hAnsi="Arial" w:cs="Arial"/>
          <w:b/>
          <w:sz w:val="28"/>
          <w:lang w:eastAsia="en-AU"/>
        </w:rPr>
        <w:t>UTILISATION SUB-COMMITTEE</w:t>
      </w:r>
    </w:p>
    <w:p w14:paraId="7F124E9C" w14:textId="77777777" w:rsidR="00D7136A" w:rsidRPr="006951BF" w:rsidRDefault="00D7136A" w:rsidP="00052897">
      <w:pPr>
        <w:jc w:val="both"/>
        <w:rPr>
          <w:rFonts w:ascii="Arial" w:hAnsi="Arial" w:cs="Arial"/>
          <w:b/>
          <w:sz w:val="28"/>
          <w:szCs w:val="20"/>
          <w:lang w:eastAsia="en-AU"/>
        </w:rPr>
      </w:pPr>
    </w:p>
    <w:p w14:paraId="2BEF9007" w14:textId="60D249F3" w:rsidR="005616CC" w:rsidRDefault="00D7136A" w:rsidP="00052897">
      <w:pPr>
        <w:contextualSpacing/>
        <w:jc w:val="both"/>
        <w:rPr>
          <w:rFonts w:ascii="Arial" w:hAnsi="Arial" w:cs="Arial"/>
          <w:sz w:val="22"/>
          <w:lang w:eastAsia="en-AU"/>
        </w:rPr>
      </w:pPr>
      <w:r w:rsidRPr="006951BF">
        <w:rPr>
          <w:rFonts w:ascii="Arial" w:hAnsi="Arial" w:cs="Arial"/>
          <w:sz w:val="22"/>
          <w:lang w:eastAsia="en-AU"/>
        </w:rPr>
        <w:t xml:space="preserve">The PBAC noted reports with associated stakeholder responses from the </w:t>
      </w:r>
      <w:r w:rsidR="00B5125B">
        <w:rPr>
          <w:rFonts w:ascii="Arial" w:hAnsi="Arial" w:cs="Arial"/>
          <w:sz w:val="22"/>
          <w:lang w:eastAsia="en-AU"/>
        </w:rPr>
        <w:t>October</w:t>
      </w:r>
      <w:r w:rsidR="00A83403">
        <w:rPr>
          <w:rFonts w:ascii="Arial" w:hAnsi="Arial" w:cs="Arial"/>
          <w:sz w:val="22"/>
          <w:lang w:eastAsia="en-AU"/>
        </w:rPr>
        <w:t xml:space="preserve"> 2025 </w:t>
      </w:r>
      <w:r w:rsidR="00A31269" w:rsidRPr="006951BF">
        <w:rPr>
          <w:rFonts w:ascii="Arial" w:hAnsi="Arial" w:cs="Arial"/>
          <w:sz w:val="22"/>
          <w:lang w:eastAsia="en-AU"/>
        </w:rPr>
        <w:t xml:space="preserve">Drug Utilisation Sub-Committee (DUSC) </w:t>
      </w:r>
      <w:r w:rsidRPr="006951BF">
        <w:rPr>
          <w:rFonts w:ascii="Arial" w:hAnsi="Arial" w:cs="Arial"/>
          <w:sz w:val="22"/>
          <w:lang w:eastAsia="en-AU"/>
        </w:rPr>
        <w:t xml:space="preserve">meeting, which were provided in </w:t>
      </w:r>
      <w:r w:rsidR="00EC6408">
        <w:rPr>
          <w:rFonts w:ascii="Arial" w:hAnsi="Arial" w:cs="Arial"/>
          <w:sz w:val="22"/>
          <w:lang w:eastAsia="en-AU"/>
        </w:rPr>
        <w:t>i</w:t>
      </w:r>
      <w:r w:rsidRPr="006951BF">
        <w:rPr>
          <w:rFonts w:ascii="Arial" w:hAnsi="Arial" w:cs="Arial"/>
          <w:sz w:val="22"/>
          <w:lang w:eastAsia="en-AU"/>
        </w:rPr>
        <w:t>tem</w:t>
      </w:r>
      <w:r w:rsidR="00A31269" w:rsidRPr="006951BF">
        <w:rPr>
          <w:rFonts w:ascii="Arial" w:hAnsi="Arial" w:cs="Arial"/>
          <w:sz w:val="22"/>
          <w:lang w:eastAsia="en-AU"/>
        </w:rPr>
        <w:t>s</w:t>
      </w:r>
      <w:r w:rsidR="00D6624D">
        <w:rPr>
          <w:rFonts w:ascii="Arial" w:hAnsi="Arial" w:cs="Arial"/>
          <w:sz w:val="22"/>
          <w:lang w:eastAsia="en-AU"/>
        </w:rPr>
        <w:t xml:space="preserve"> </w:t>
      </w:r>
      <w:r w:rsidR="006354AB">
        <w:rPr>
          <w:rFonts w:ascii="Arial" w:hAnsi="Arial" w:cs="Arial"/>
          <w:sz w:val="22"/>
          <w:lang w:eastAsia="en-AU"/>
        </w:rPr>
        <w:t>10.</w:t>
      </w:r>
      <w:r w:rsidR="00E91740">
        <w:rPr>
          <w:rFonts w:ascii="Arial" w:hAnsi="Arial" w:cs="Arial"/>
          <w:sz w:val="22"/>
          <w:lang w:eastAsia="en-AU"/>
        </w:rPr>
        <w:t>0</w:t>
      </w:r>
      <w:r w:rsidR="00A83403">
        <w:rPr>
          <w:rFonts w:ascii="Arial" w:hAnsi="Arial" w:cs="Arial"/>
          <w:sz w:val="22"/>
          <w:lang w:eastAsia="en-AU"/>
        </w:rPr>
        <w:t>3</w:t>
      </w:r>
      <w:r w:rsidR="00C9267A">
        <w:rPr>
          <w:rFonts w:ascii="Arial" w:hAnsi="Arial" w:cs="Arial"/>
          <w:sz w:val="22"/>
          <w:lang w:eastAsia="en-AU"/>
        </w:rPr>
        <w:t xml:space="preserve">, </w:t>
      </w:r>
      <w:r w:rsidR="00594361">
        <w:rPr>
          <w:rFonts w:ascii="Arial" w:hAnsi="Arial" w:cs="Arial"/>
          <w:sz w:val="22"/>
          <w:lang w:eastAsia="en-AU"/>
        </w:rPr>
        <w:t>10.</w:t>
      </w:r>
      <w:r w:rsidR="00E91740">
        <w:rPr>
          <w:rFonts w:ascii="Arial" w:hAnsi="Arial" w:cs="Arial"/>
          <w:sz w:val="22"/>
          <w:lang w:eastAsia="en-AU"/>
        </w:rPr>
        <w:t>0</w:t>
      </w:r>
      <w:r w:rsidR="00A83403">
        <w:rPr>
          <w:rFonts w:ascii="Arial" w:hAnsi="Arial" w:cs="Arial"/>
          <w:sz w:val="22"/>
          <w:lang w:eastAsia="en-AU"/>
        </w:rPr>
        <w:t>4</w:t>
      </w:r>
      <w:r w:rsidR="00A47F7C">
        <w:rPr>
          <w:rFonts w:ascii="Arial" w:hAnsi="Arial" w:cs="Arial"/>
          <w:sz w:val="22"/>
          <w:lang w:eastAsia="en-AU"/>
        </w:rPr>
        <w:t xml:space="preserve">, </w:t>
      </w:r>
      <w:r w:rsidR="00B5125B">
        <w:rPr>
          <w:rFonts w:ascii="Arial" w:hAnsi="Arial" w:cs="Arial"/>
          <w:sz w:val="22"/>
          <w:lang w:eastAsia="en-AU"/>
        </w:rPr>
        <w:t xml:space="preserve">and </w:t>
      </w:r>
      <w:r w:rsidR="00C9267A">
        <w:rPr>
          <w:rFonts w:ascii="Arial" w:hAnsi="Arial" w:cs="Arial"/>
          <w:sz w:val="22"/>
          <w:lang w:eastAsia="en-AU"/>
        </w:rPr>
        <w:t>10</w:t>
      </w:r>
      <w:r w:rsidR="00053A39">
        <w:rPr>
          <w:rFonts w:ascii="Arial" w:hAnsi="Arial" w:cs="Arial"/>
          <w:sz w:val="22"/>
          <w:lang w:eastAsia="en-AU"/>
        </w:rPr>
        <w:t>.</w:t>
      </w:r>
      <w:r w:rsidR="00E91740">
        <w:rPr>
          <w:rFonts w:ascii="Arial" w:hAnsi="Arial" w:cs="Arial"/>
          <w:sz w:val="22"/>
          <w:lang w:eastAsia="en-AU"/>
        </w:rPr>
        <w:t>0</w:t>
      </w:r>
      <w:r w:rsidR="00A83403">
        <w:rPr>
          <w:rFonts w:ascii="Arial" w:hAnsi="Arial" w:cs="Arial"/>
          <w:sz w:val="22"/>
          <w:lang w:eastAsia="en-AU"/>
        </w:rPr>
        <w:t>5</w:t>
      </w:r>
      <w:r w:rsidR="00C229C3">
        <w:rPr>
          <w:rFonts w:ascii="Arial" w:hAnsi="Arial" w:cs="Arial"/>
          <w:sz w:val="22"/>
          <w:lang w:eastAsia="en-AU"/>
        </w:rPr>
        <w:t xml:space="preserve"> </w:t>
      </w:r>
      <w:r w:rsidRPr="006951BF">
        <w:rPr>
          <w:rFonts w:ascii="Arial" w:hAnsi="Arial" w:cs="Arial"/>
          <w:sz w:val="22"/>
          <w:lang w:eastAsia="en-AU"/>
        </w:rPr>
        <w:t xml:space="preserve">of the PBAC Agenda. </w:t>
      </w:r>
      <w:r w:rsidR="00A31269" w:rsidRPr="006951BF">
        <w:rPr>
          <w:rFonts w:ascii="Arial" w:hAnsi="Arial" w:cs="Arial"/>
          <w:sz w:val="22"/>
          <w:lang w:eastAsia="en-AU"/>
        </w:rPr>
        <w:t>DUSC minutes relating to these items were provided to the PBAC</w:t>
      </w:r>
      <w:r w:rsidR="00F8213A">
        <w:rPr>
          <w:rFonts w:ascii="Arial" w:hAnsi="Arial" w:cs="Arial"/>
          <w:sz w:val="22"/>
          <w:lang w:eastAsia="en-AU"/>
        </w:rPr>
        <w:t xml:space="preserve">. </w:t>
      </w:r>
      <w:r w:rsidR="006F6BA6" w:rsidRPr="006F6BA6">
        <w:rPr>
          <w:rFonts w:ascii="Arial" w:hAnsi="Arial" w:cs="Arial"/>
          <w:sz w:val="22"/>
          <w:lang w:eastAsia="en-AU"/>
        </w:rPr>
        <w:t xml:space="preserve">The outcomes of the DUSC consideration of these items are available in the </w:t>
      </w:r>
      <w:hyperlink r:id="rId8" w:history="1">
        <w:r w:rsidR="00B5125B">
          <w:rPr>
            <w:rStyle w:val="Hyperlink"/>
            <w:rFonts w:ascii="Arial" w:hAnsi="Arial" w:cs="Arial"/>
            <w:sz w:val="22"/>
            <w:lang w:eastAsia="en-AU"/>
          </w:rPr>
          <w:t>October 2025 DUSC outcome statement</w:t>
        </w:r>
      </w:hyperlink>
      <w:r w:rsidR="006F6BA6" w:rsidRPr="006F6BA6">
        <w:rPr>
          <w:rFonts w:ascii="Arial" w:hAnsi="Arial" w:cs="Arial"/>
          <w:sz w:val="22"/>
          <w:lang w:eastAsia="en-AU"/>
        </w:rPr>
        <w:t>.</w:t>
      </w:r>
    </w:p>
    <w:p w14:paraId="72F6215A" w14:textId="77777777" w:rsidR="00E42CE1" w:rsidRDefault="00E42CE1" w:rsidP="00052897">
      <w:pPr>
        <w:contextualSpacing/>
        <w:jc w:val="both"/>
        <w:rPr>
          <w:rFonts w:ascii="Arial" w:hAnsi="Arial" w:cs="Arial"/>
          <w:sz w:val="22"/>
          <w:lang w:eastAsia="en-AU"/>
        </w:rPr>
      </w:pPr>
    </w:p>
    <w:p w14:paraId="1269DA16" w14:textId="3FB73163" w:rsidR="00A807F2" w:rsidRPr="00DB7FD0" w:rsidRDefault="00DB7FD0" w:rsidP="00DB7FD0">
      <w:pPr>
        <w:contextualSpacing/>
        <w:rPr>
          <w:rFonts w:ascii="Arial" w:eastAsia="Calibri" w:hAnsi="Arial" w:cs="Arial"/>
          <w:b/>
          <w:caps/>
          <w:sz w:val="22"/>
          <w:szCs w:val="22"/>
        </w:rPr>
      </w:pPr>
      <w:r w:rsidRPr="00DB7FD0">
        <w:rPr>
          <w:rFonts w:ascii="Arial" w:eastAsia="Calibri" w:hAnsi="Arial" w:cs="Arial"/>
          <w:b/>
          <w:caps/>
          <w:sz w:val="22"/>
          <w:szCs w:val="22"/>
        </w:rPr>
        <w:t xml:space="preserve">Medicines for chronic lymphocytic leukaemia </w:t>
      </w:r>
      <w:r w:rsidR="00784CCA">
        <w:rPr>
          <w:rFonts w:ascii="Arial" w:eastAsia="Calibri" w:hAnsi="Arial" w:cs="Arial"/>
          <w:b/>
          <w:caps/>
          <w:sz w:val="22"/>
          <w:szCs w:val="22"/>
        </w:rPr>
        <w:t xml:space="preserve">(CLL) </w:t>
      </w:r>
      <w:r w:rsidRPr="00DB7FD0">
        <w:rPr>
          <w:rFonts w:ascii="Arial" w:eastAsia="Calibri" w:hAnsi="Arial" w:cs="Arial"/>
          <w:b/>
          <w:caps/>
          <w:sz w:val="22"/>
          <w:szCs w:val="22"/>
        </w:rPr>
        <w:t>or small lymphocytic lymphoma</w:t>
      </w:r>
      <w:r w:rsidR="00784CCA">
        <w:rPr>
          <w:rFonts w:ascii="Arial" w:eastAsia="Calibri" w:hAnsi="Arial" w:cs="Arial"/>
          <w:b/>
          <w:caps/>
          <w:sz w:val="22"/>
          <w:szCs w:val="22"/>
        </w:rPr>
        <w:t xml:space="preserve"> (SLL)</w:t>
      </w:r>
      <w:r w:rsidRPr="00DB7FD0">
        <w:rPr>
          <w:rFonts w:ascii="Arial" w:eastAsia="Calibri" w:hAnsi="Arial" w:cs="Arial"/>
          <w:b/>
          <w:caps/>
          <w:sz w:val="22"/>
          <w:szCs w:val="22"/>
        </w:rPr>
        <w:cr/>
      </w:r>
    </w:p>
    <w:p w14:paraId="4820ECEF" w14:textId="382584F1" w:rsidR="00A807F2" w:rsidRDefault="00A807F2" w:rsidP="00A807F2">
      <w:pPr>
        <w:contextualSpacing/>
        <w:jc w:val="both"/>
        <w:rPr>
          <w:rFonts w:ascii="Arial" w:eastAsia="Calibri" w:hAnsi="Arial" w:cs="Arial"/>
          <w:bCs/>
          <w:i/>
          <w:iCs/>
          <w:sz w:val="22"/>
          <w:szCs w:val="22"/>
        </w:rPr>
      </w:pPr>
      <w:r w:rsidRPr="004F6F8F">
        <w:rPr>
          <w:rFonts w:ascii="Arial" w:eastAsia="Calibri" w:hAnsi="Arial" w:cs="Arial"/>
          <w:bCs/>
          <w:i/>
          <w:iCs/>
          <w:sz w:val="22"/>
          <w:szCs w:val="22"/>
        </w:rPr>
        <w:t>Outcome</w:t>
      </w:r>
    </w:p>
    <w:p w14:paraId="2FA3639B" w14:textId="6C3C3D72" w:rsidR="00784CCA" w:rsidRDefault="00784CCA" w:rsidP="00784CCA">
      <w:pPr>
        <w:contextualSpacing/>
        <w:jc w:val="both"/>
        <w:rPr>
          <w:rFonts w:ascii="Arial" w:eastAsia="Calibri" w:hAnsi="Arial" w:cs="Arial"/>
          <w:bCs/>
          <w:sz w:val="22"/>
          <w:szCs w:val="22"/>
        </w:rPr>
      </w:pPr>
      <w:r w:rsidRPr="00784CCA">
        <w:rPr>
          <w:rFonts w:ascii="Arial" w:eastAsia="Calibri" w:hAnsi="Arial" w:cs="Arial"/>
          <w:bCs/>
          <w:sz w:val="22"/>
          <w:szCs w:val="22"/>
        </w:rPr>
        <w:t>The PBAC noted the increase in the number of first-line incident and prevalent patients treated since the third quarter (Q3) of 2023, and that the number of second-line incident and prevalent patients treated has remained constant over the analysis period.</w:t>
      </w:r>
    </w:p>
    <w:p w14:paraId="603DAAE8" w14:textId="77777777" w:rsidR="00784CCA" w:rsidRPr="00784CCA" w:rsidRDefault="00784CCA" w:rsidP="00784CCA">
      <w:pPr>
        <w:contextualSpacing/>
        <w:jc w:val="both"/>
        <w:rPr>
          <w:rFonts w:ascii="Arial" w:eastAsia="Calibri" w:hAnsi="Arial" w:cs="Arial"/>
          <w:bCs/>
          <w:sz w:val="22"/>
          <w:szCs w:val="22"/>
        </w:rPr>
      </w:pPr>
    </w:p>
    <w:p w14:paraId="3374C5C9" w14:textId="4F2E03F2" w:rsidR="00784CCA" w:rsidRDefault="00784CCA" w:rsidP="00784CCA">
      <w:pPr>
        <w:contextualSpacing/>
        <w:jc w:val="both"/>
        <w:rPr>
          <w:rFonts w:ascii="Arial" w:eastAsia="Calibri" w:hAnsi="Arial" w:cs="Arial"/>
          <w:bCs/>
          <w:sz w:val="22"/>
          <w:szCs w:val="22"/>
        </w:rPr>
      </w:pPr>
      <w:r w:rsidRPr="00784CCA">
        <w:rPr>
          <w:rFonts w:ascii="Arial" w:eastAsia="Calibri" w:hAnsi="Arial" w:cs="Arial"/>
          <w:bCs/>
          <w:sz w:val="22"/>
          <w:szCs w:val="22"/>
        </w:rPr>
        <w:t>The PBAC noted the emerging evidence in relation to venetoclax retreatment (second-line) following fixed-dose venetoclax use in the first-line. However, the PBAC d</w:t>
      </w:r>
      <w:r w:rsidR="00F43BC5">
        <w:rPr>
          <w:rFonts w:ascii="Arial" w:eastAsia="Calibri" w:hAnsi="Arial" w:cs="Arial"/>
          <w:bCs/>
          <w:sz w:val="22"/>
          <w:szCs w:val="22"/>
        </w:rPr>
        <w:t>id</w:t>
      </w:r>
      <w:r w:rsidRPr="00784CCA">
        <w:rPr>
          <w:rFonts w:ascii="Arial" w:eastAsia="Calibri" w:hAnsi="Arial" w:cs="Arial"/>
          <w:bCs/>
          <w:sz w:val="22"/>
          <w:szCs w:val="22"/>
        </w:rPr>
        <w:t xml:space="preserve"> not consider that the existing evidence </w:t>
      </w:r>
      <w:r w:rsidR="00F43BC5">
        <w:rPr>
          <w:rFonts w:ascii="Arial" w:eastAsia="Calibri" w:hAnsi="Arial" w:cs="Arial"/>
          <w:bCs/>
          <w:sz w:val="22"/>
          <w:szCs w:val="22"/>
        </w:rPr>
        <w:t>wa</w:t>
      </w:r>
      <w:r w:rsidRPr="00784CCA">
        <w:rPr>
          <w:rFonts w:ascii="Arial" w:eastAsia="Calibri" w:hAnsi="Arial" w:cs="Arial"/>
          <w:bCs/>
          <w:sz w:val="22"/>
          <w:szCs w:val="22"/>
        </w:rPr>
        <w:t>s sufficient to alter the current venetoclax restrictions to allow for retreatment with venetoclax in the second-line.</w:t>
      </w:r>
    </w:p>
    <w:p w14:paraId="01DD05C1" w14:textId="77777777" w:rsidR="00784CCA" w:rsidRPr="00784CCA" w:rsidRDefault="00784CCA" w:rsidP="00784CCA">
      <w:pPr>
        <w:contextualSpacing/>
        <w:jc w:val="both"/>
        <w:rPr>
          <w:rFonts w:ascii="Arial" w:eastAsia="Calibri" w:hAnsi="Arial" w:cs="Arial"/>
          <w:bCs/>
          <w:sz w:val="22"/>
          <w:szCs w:val="22"/>
        </w:rPr>
      </w:pPr>
    </w:p>
    <w:p w14:paraId="1B9F8AA6" w14:textId="5D054284" w:rsidR="00E9718A" w:rsidRDefault="00784CCA" w:rsidP="00784CCA">
      <w:pPr>
        <w:contextualSpacing/>
        <w:jc w:val="both"/>
        <w:rPr>
          <w:rFonts w:ascii="Arial" w:eastAsia="Calibri" w:hAnsi="Arial" w:cs="Arial"/>
          <w:bCs/>
          <w:sz w:val="22"/>
          <w:szCs w:val="22"/>
        </w:rPr>
      </w:pPr>
      <w:r w:rsidRPr="00784CCA">
        <w:rPr>
          <w:rFonts w:ascii="Arial" w:eastAsia="Calibri" w:hAnsi="Arial" w:cs="Arial"/>
          <w:bCs/>
          <w:sz w:val="22"/>
          <w:szCs w:val="22"/>
        </w:rPr>
        <w:t>The PBAC considered that, overall, patients were achieving a durable response and the use of treatments for CLL or SLL are in line with expectations and that no restriction changes are required.</w:t>
      </w:r>
    </w:p>
    <w:p w14:paraId="101F5671" w14:textId="77777777" w:rsidR="00377B0E" w:rsidRPr="00E9718A" w:rsidRDefault="00377B0E" w:rsidP="00E9718A">
      <w:pPr>
        <w:contextualSpacing/>
        <w:jc w:val="both"/>
        <w:rPr>
          <w:rFonts w:ascii="Arial" w:eastAsia="Calibri" w:hAnsi="Arial" w:cs="Arial"/>
          <w:bCs/>
          <w:sz w:val="22"/>
          <w:szCs w:val="22"/>
        </w:rPr>
      </w:pPr>
    </w:p>
    <w:p w14:paraId="16961968" w14:textId="4ECD63A9" w:rsidR="00406EAB" w:rsidRDefault="00DB7FD0" w:rsidP="00052897">
      <w:pPr>
        <w:contextualSpacing/>
        <w:jc w:val="both"/>
        <w:rPr>
          <w:rFonts w:ascii="Arial" w:eastAsia="Calibri" w:hAnsi="Arial" w:cs="Arial"/>
          <w:b/>
          <w:caps/>
          <w:sz w:val="22"/>
          <w:szCs w:val="22"/>
        </w:rPr>
      </w:pPr>
      <w:r w:rsidRPr="00DB7FD0">
        <w:rPr>
          <w:rFonts w:ascii="Arial" w:eastAsia="Calibri" w:hAnsi="Arial" w:cs="Arial"/>
          <w:b/>
          <w:caps/>
          <w:sz w:val="22"/>
          <w:szCs w:val="22"/>
        </w:rPr>
        <w:t>daratumumab for newly diagnosed amyloid light-chain amyloidosis</w:t>
      </w:r>
    </w:p>
    <w:p w14:paraId="03156B4A" w14:textId="77777777" w:rsidR="00DB7FD0" w:rsidRDefault="00DB7FD0" w:rsidP="00052897">
      <w:pPr>
        <w:contextualSpacing/>
        <w:jc w:val="both"/>
        <w:rPr>
          <w:rFonts w:ascii="Arial" w:eastAsia="Calibri" w:hAnsi="Arial" w:cs="Arial"/>
          <w:b/>
          <w:caps/>
          <w:sz w:val="22"/>
          <w:szCs w:val="22"/>
        </w:rPr>
      </w:pPr>
    </w:p>
    <w:p w14:paraId="41E1DD76" w14:textId="77777777" w:rsidR="00406EAB" w:rsidRDefault="00406EAB" w:rsidP="00406EAB">
      <w:pPr>
        <w:contextualSpacing/>
        <w:jc w:val="both"/>
        <w:rPr>
          <w:rFonts w:ascii="Arial" w:eastAsia="Calibri" w:hAnsi="Arial" w:cs="Arial"/>
          <w:bCs/>
          <w:i/>
          <w:iCs/>
          <w:sz w:val="22"/>
          <w:szCs w:val="22"/>
        </w:rPr>
      </w:pPr>
      <w:r w:rsidRPr="004F6F8F">
        <w:rPr>
          <w:rFonts w:ascii="Arial" w:eastAsia="Calibri" w:hAnsi="Arial" w:cs="Arial"/>
          <w:bCs/>
          <w:i/>
          <w:iCs/>
          <w:sz w:val="22"/>
          <w:szCs w:val="22"/>
        </w:rPr>
        <w:t>Outcome</w:t>
      </w:r>
    </w:p>
    <w:p w14:paraId="650D7026" w14:textId="6E9EC1C8" w:rsidR="00E12ADB" w:rsidRPr="00757886" w:rsidRDefault="00F6262A" w:rsidP="00757886">
      <w:pPr>
        <w:spacing w:before="120" w:after="120"/>
        <w:jc w:val="both"/>
        <w:rPr>
          <w:rFonts w:ascii="Arial" w:hAnsi="Arial" w:cs="Arial"/>
          <w:sz w:val="22"/>
          <w:szCs w:val="22"/>
          <w:lang w:eastAsia="en-AU"/>
        </w:rPr>
      </w:pPr>
      <w:r w:rsidRPr="00F6262A">
        <w:rPr>
          <w:rFonts w:ascii="Arial" w:hAnsi="Arial" w:cs="Arial"/>
          <w:sz w:val="22"/>
          <w:szCs w:val="22"/>
        </w:rPr>
        <w:t>The PBAC noted in 2024, 443 patients were supplied 4,881 prescriptions for the treatment of AL amyloidosis. The PBAC noted median age of patients initiating treatment with daratumumab for the treatment of AL amyloidosis was 70 years.</w:t>
      </w:r>
      <w:r w:rsidRPr="00F6262A">
        <w:rPr>
          <w:rFonts w:asciiTheme="minorHAnsi" w:hAnsiTheme="minorHAnsi" w:cstheme="minorHAnsi"/>
          <w:sz w:val="22"/>
          <w:szCs w:val="22"/>
        </w:rPr>
        <w:t xml:space="preserve"> </w:t>
      </w:r>
    </w:p>
    <w:p w14:paraId="5871CAF5" w14:textId="77777777" w:rsidR="00A47F7C" w:rsidRDefault="00A47F7C" w:rsidP="00052897">
      <w:pPr>
        <w:contextualSpacing/>
        <w:jc w:val="both"/>
        <w:rPr>
          <w:rFonts w:ascii="Arial" w:eastAsia="Calibri" w:hAnsi="Arial" w:cs="Arial"/>
          <w:b/>
          <w:caps/>
          <w:sz w:val="22"/>
          <w:szCs w:val="22"/>
        </w:rPr>
      </w:pPr>
    </w:p>
    <w:p w14:paraId="54A7367E" w14:textId="1A4FCFEF" w:rsidR="00026370" w:rsidRDefault="00DB7FD0" w:rsidP="00052897">
      <w:pPr>
        <w:contextualSpacing/>
        <w:jc w:val="both"/>
        <w:rPr>
          <w:rFonts w:ascii="Arial" w:eastAsia="Calibri" w:hAnsi="Arial" w:cs="Arial"/>
          <w:b/>
          <w:caps/>
          <w:sz w:val="22"/>
          <w:szCs w:val="22"/>
        </w:rPr>
      </w:pPr>
      <w:r w:rsidRPr="00DB7FD0">
        <w:rPr>
          <w:rFonts w:ascii="Arial" w:eastAsia="Calibri" w:hAnsi="Arial" w:cs="Arial"/>
          <w:b/>
          <w:caps/>
          <w:sz w:val="22"/>
          <w:szCs w:val="22"/>
        </w:rPr>
        <w:t xml:space="preserve">elexacaftor, tezacaftor and ivacaftor </w:t>
      </w:r>
      <w:r w:rsidR="00C25FAC">
        <w:rPr>
          <w:rFonts w:ascii="Arial" w:eastAsia="Calibri" w:hAnsi="Arial" w:cs="Arial"/>
          <w:b/>
          <w:caps/>
          <w:sz w:val="22"/>
          <w:szCs w:val="22"/>
        </w:rPr>
        <w:t xml:space="preserve">(ELX/TEZ/IVA) </w:t>
      </w:r>
      <w:r w:rsidRPr="00DB7FD0">
        <w:rPr>
          <w:rFonts w:ascii="Arial" w:eastAsia="Calibri" w:hAnsi="Arial" w:cs="Arial"/>
          <w:b/>
          <w:caps/>
          <w:sz w:val="22"/>
          <w:szCs w:val="22"/>
        </w:rPr>
        <w:t>for cystic fibrosis</w:t>
      </w:r>
    </w:p>
    <w:p w14:paraId="799B28AF" w14:textId="77777777" w:rsidR="00DB7FD0" w:rsidRDefault="00DB7FD0" w:rsidP="00052897">
      <w:pPr>
        <w:contextualSpacing/>
        <w:jc w:val="both"/>
        <w:rPr>
          <w:rFonts w:ascii="Arial" w:eastAsia="Calibri" w:hAnsi="Arial" w:cs="Arial"/>
          <w:b/>
          <w:caps/>
          <w:sz w:val="22"/>
          <w:szCs w:val="22"/>
        </w:rPr>
      </w:pPr>
    </w:p>
    <w:p w14:paraId="6143DA4E" w14:textId="5D8A903B" w:rsidR="00026370" w:rsidRDefault="00026370" w:rsidP="00052897">
      <w:pPr>
        <w:contextualSpacing/>
        <w:jc w:val="both"/>
        <w:rPr>
          <w:rFonts w:ascii="Arial" w:eastAsia="Calibri" w:hAnsi="Arial" w:cs="Arial"/>
          <w:bCs/>
          <w:i/>
          <w:iCs/>
          <w:sz w:val="22"/>
          <w:szCs w:val="22"/>
        </w:rPr>
      </w:pPr>
      <w:r w:rsidRPr="00026370">
        <w:rPr>
          <w:rFonts w:ascii="Arial" w:eastAsia="Calibri" w:hAnsi="Arial" w:cs="Arial"/>
          <w:bCs/>
          <w:i/>
          <w:iCs/>
          <w:caps/>
          <w:sz w:val="22"/>
          <w:szCs w:val="22"/>
        </w:rPr>
        <w:t>O</w:t>
      </w:r>
      <w:r w:rsidRPr="00026370">
        <w:rPr>
          <w:rFonts w:ascii="Arial" w:eastAsia="Calibri" w:hAnsi="Arial" w:cs="Arial"/>
          <w:bCs/>
          <w:i/>
          <w:iCs/>
          <w:sz w:val="22"/>
          <w:szCs w:val="22"/>
        </w:rPr>
        <w:t>utcome</w:t>
      </w:r>
    </w:p>
    <w:p w14:paraId="6B0B7BD5" w14:textId="789A5E0D" w:rsidR="00467BA8" w:rsidRDefault="00467BA8" w:rsidP="00467BA8">
      <w:pPr>
        <w:spacing w:before="120" w:after="120"/>
        <w:jc w:val="both"/>
        <w:rPr>
          <w:rFonts w:ascii="Arial" w:hAnsi="Arial" w:cs="Arial"/>
          <w:sz w:val="22"/>
          <w:szCs w:val="22"/>
        </w:rPr>
      </w:pPr>
      <w:r>
        <w:rPr>
          <w:rFonts w:ascii="Arial" w:hAnsi="Arial" w:cs="Arial"/>
          <w:sz w:val="22"/>
          <w:szCs w:val="22"/>
        </w:rPr>
        <w:t>The PBAC noted that i</w:t>
      </w:r>
      <w:r w:rsidRPr="00467BA8">
        <w:rPr>
          <w:rFonts w:ascii="Arial" w:hAnsi="Arial" w:cs="Arial"/>
          <w:sz w:val="22"/>
          <w:szCs w:val="22"/>
        </w:rPr>
        <w:t xml:space="preserve">n 2024, 3,126 patients </w:t>
      </w:r>
      <w:r>
        <w:rPr>
          <w:rFonts w:ascii="Arial" w:hAnsi="Arial" w:cs="Arial"/>
          <w:sz w:val="22"/>
          <w:szCs w:val="22"/>
        </w:rPr>
        <w:t xml:space="preserve">were </w:t>
      </w:r>
      <w:r w:rsidRPr="00467BA8">
        <w:rPr>
          <w:rFonts w:ascii="Arial" w:hAnsi="Arial" w:cs="Arial"/>
          <w:sz w:val="22"/>
          <w:szCs w:val="22"/>
        </w:rPr>
        <w:t>supplied 30,208 prescriptions of cystic fibrosis transmembrane conductance regulator (CFTR) modulators, including 307 initiating patients.</w:t>
      </w:r>
      <w:r w:rsidRPr="00467BA8">
        <w:rPr>
          <w:rFonts w:ascii="Arial" w:hAnsi="Arial" w:cs="Arial"/>
          <w:sz w:val="22"/>
          <w:szCs w:val="22"/>
        </w:rPr>
        <w:tab/>
        <w:t xml:space="preserve">There were 27,089 prescriptions of the combination </w:t>
      </w:r>
      <w:r>
        <w:rPr>
          <w:rFonts w:ascii="Arial" w:hAnsi="Arial" w:cs="Arial"/>
          <w:sz w:val="22"/>
          <w:szCs w:val="22"/>
        </w:rPr>
        <w:t>m</w:t>
      </w:r>
      <w:r w:rsidRPr="00467BA8">
        <w:rPr>
          <w:rFonts w:ascii="Arial" w:hAnsi="Arial" w:cs="Arial"/>
          <w:sz w:val="22"/>
          <w:szCs w:val="22"/>
        </w:rPr>
        <w:t>edicine ELX/TEZ/IVA supplied to 2,890 patients, including 209 initiating patients.</w:t>
      </w:r>
    </w:p>
    <w:p w14:paraId="2C5CBB96" w14:textId="2AF80A56" w:rsidR="00467BA8" w:rsidRPr="00467BA8" w:rsidRDefault="00467BA8" w:rsidP="00467BA8">
      <w:pPr>
        <w:spacing w:before="120" w:after="120"/>
        <w:jc w:val="both"/>
        <w:rPr>
          <w:rFonts w:ascii="Arial" w:hAnsi="Arial" w:cs="Arial"/>
          <w:sz w:val="22"/>
          <w:szCs w:val="22"/>
        </w:rPr>
      </w:pPr>
      <w:r w:rsidRPr="00467BA8">
        <w:rPr>
          <w:rFonts w:ascii="Arial" w:hAnsi="Arial" w:cs="Arial"/>
          <w:sz w:val="22"/>
          <w:szCs w:val="22"/>
        </w:rPr>
        <w:t>The PBAC noted that there was very rapid switching from other therapies to ELX/TEZ/IV</w:t>
      </w:r>
      <w:r w:rsidR="00345710">
        <w:rPr>
          <w:rFonts w:ascii="Arial" w:hAnsi="Arial" w:cs="Arial"/>
          <w:sz w:val="22"/>
          <w:szCs w:val="22"/>
        </w:rPr>
        <w:t>A</w:t>
      </w:r>
      <w:r w:rsidRPr="00467BA8">
        <w:rPr>
          <w:rFonts w:ascii="Arial" w:hAnsi="Arial" w:cs="Arial"/>
          <w:sz w:val="22"/>
          <w:szCs w:val="22"/>
        </w:rPr>
        <w:t>. The PBAC considered patients may be supplied PBS therapy of ELX/TEZ/IVA for longer than anticipated.</w:t>
      </w:r>
    </w:p>
    <w:p w14:paraId="73706D43" w14:textId="74083C67" w:rsidR="004F6F8F" w:rsidRPr="00467BA8" w:rsidRDefault="00467BA8" w:rsidP="00467BA8">
      <w:pPr>
        <w:spacing w:before="120" w:after="120"/>
        <w:jc w:val="both"/>
        <w:rPr>
          <w:rFonts w:ascii="Arial" w:hAnsi="Arial" w:cs="Arial"/>
          <w:sz w:val="22"/>
          <w:szCs w:val="22"/>
        </w:rPr>
      </w:pPr>
      <w:r w:rsidRPr="00467BA8">
        <w:rPr>
          <w:rFonts w:ascii="Arial" w:hAnsi="Arial" w:cs="Arial"/>
          <w:sz w:val="22"/>
          <w:szCs w:val="22"/>
        </w:rPr>
        <w:t>The PBAC commented on the consumer input to the review, noting how transformative therapy with CFTR modulators has been for these patients.</w:t>
      </w:r>
    </w:p>
    <w:sectPr w:rsidR="004F6F8F" w:rsidRPr="00467BA8" w:rsidSect="007A242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7FE4" w14:textId="77777777" w:rsidR="008E5070" w:rsidRDefault="008E5070">
      <w:r>
        <w:separator/>
      </w:r>
    </w:p>
  </w:endnote>
  <w:endnote w:type="continuationSeparator" w:id="0">
    <w:p w14:paraId="5C61D0B1" w14:textId="77777777" w:rsidR="008E5070" w:rsidRDefault="008E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907D" w14:textId="37FC0C93" w:rsidR="00B5125B" w:rsidRDefault="00B5125B">
    <w:pPr>
      <w:pStyle w:val="Footer"/>
    </w:pPr>
    <w:r>
      <w:rPr>
        <w:noProof/>
      </w:rPr>
      <mc:AlternateContent>
        <mc:Choice Requires="wps">
          <w:drawing>
            <wp:anchor distT="0" distB="0" distL="0" distR="0" simplePos="0" relativeHeight="251662336" behindDoc="0" locked="0" layoutInCell="1" allowOverlap="1" wp14:anchorId="5B7B4003" wp14:editId="31A1E0A6">
              <wp:simplePos x="635" y="635"/>
              <wp:positionH relativeFrom="page">
                <wp:align>center</wp:align>
              </wp:positionH>
              <wp:positionV relativeFrom="page">
                <wp:align>bottom</wp:align>
              </wp:positionV>
              <wp:extent cx="551815" cy="376555"/>
              <wp:effectExtent l="0" t="0" r="635" b="0"/>
              <wp:wrapNone/>
              <wp:docPr id="12816393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8F7550" w14:textId="7194610A"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7B4003"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38F7550" w14:textId="7194610A"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F5BA" w14:textId="2B15780A" w:rsidR="001F312C" w:rsidRPr="004630FE" w:rsidRDefault="00B5125B">
    <w:pPr>
      <w:pStyle w:val="Footer"/>
      <w:jc w:val="center"/>
      <w:rPr>
        <w:rFonts w:ascii="Arial" w:hAnsi="Arial" w:cs="Arial"/>
        <w:sz w:val="22"/>
      </w:rPr>
    </w:pPr>
    <w:r>
      <w:rPr>
        <w:rFonts w:ascii="Arial" w:hAnsi="Arial" w:cs="Arial"/>
        <w:noProof/>
        <w:sz w:val="22"/>
      </w:rPr>
      <mc:AlternateContent>
        <mc:Choice Requires="wps">
          <w:drawing>
            <wp:anchor distT="0" distB="0" distL="0" distR="0" simplePos="0" relativeHeight="251663360" behindDoc="0" locked="0" layoutInCell="1" allowOverlap="1" wp14:anchorId="71AADA77" wp14:editId="10242D2A">
              <wp:simplePos x="1143000" y="9458325"/>
              <wp:positionH relativeFrom="page">
                <wp:align>center</wp:align>
              </wp:positionH>
              <wp:positionV relativeFrom="page">
                <wp:align>bottom</wp:align>
              </wp:positionV>
              <wp:extent cx="551815" cy="376555"/>
              <wp:effectExtent l="0" t="0" r="635" b="0"/>
              <wp:wrapNone/>
              <wp:docPr id="13448346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642C95" w14:textId="730F4517"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AADA77"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9642C95" w14:textId="730F4517"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v:textbox>
              <w10:wrap anchorx="page" anchory="page"/>
            </v:shape>
          </w:pict>
        </mc:Fallback>
      </mc:AlternateContent>
    </w:r>
  </w:p>
  <w:p w14:paraId="0A6D77EE" w14:textId="1328933C" w:rsidR="001F312C" w:rsidRPr="00EC37B4" w:rsidRDefault="001F312C" w:rsidP="00EC37B4">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84143">
      <w:rPr>
        <w:rFonts w:ascii="Arial" w:hAnsi="Arial" w:cs="Arial"/>
        <w:noProof/>
        <w:sz w:val="22"/>
      </w:rPr>
      <w:t>3</w:t>
    </w:r>
    <w:r w:rsidRPr="004630FE">
      <w:rPr>
        <w:rFonts w:ascii="Arial" w:hAnsi="Arial" w:cs="Arial"/>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C59A" w14:textId="54F3E36F" w:rsidR="00B5125B" w:rsidRDefault="00B5125B">
    <w:pPr>
      <w:pStyle w:val="Footer"/>
    </w:pPr>
    <w:r>
      <w:rPr>
        <w:noProof/>
      </w:rPr>
      <mc:AlternateContent>
        <mc:Choice Requires="wps">
          <w:drawing>
            <wp:anchor distT="0" distB="0" distL="0" distR="0" simplePos="0" relativeHeight="251661312" behindDoc="0" locked="0" layoutInCell="1" allowOverlap="1" wp14:anchorId="2B690539" wp14:editId="363C7848">
              <wp:simplePos x="635" y="635"/>
              <wp:positionH relativeFrom="page">
                <wp:align>center</wp:align>
              </wp:positionH>
              <wp:positionV relativeFrom="page">
                <wp:align>bottom</wp:align>
              </wp:positionV>
              <wp:extent cx="551815" cy="376555"/>
              <wp:effectExtent l="0" t="0" r="635" b="0"/>
              <wp:wrapNone/>
              <wp:docPr id="2696201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A84C70" w14:textId="728939BA"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690539"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BA84C70" w14:textId="728939BA"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D69C" w14:textId="77777777" w:rsidR="008E5070" w:rsidRDefault="008E5070">
      <w:r>
        <w:separator/>
      </w:r>
    </w:p>
  </w:footnote>
  <w:footnote w:type="continuationSeparator" w:id="0">
    <w:p w14:paraId="0208FD30" w14:textId="77777777" w:rsidR="008E5070" w:rsidRDefault="008E5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5839" w14:textId="2F21A2B2" w:rsidR="00B5125B" w:rsidRDefault="00B5125B">
    <w:pPr>
      <w:pStyle w:val="Header"/>
    </w:pPr>
    <w:r>
      <w:rPr>
        <w:noProof/>
      </w:rPr>
      <mc:AlternateContent>
        <mc:Choice Requires="wps">
          <w:drawing>
            <wp:anchor distT="0" distB="0" distL="0" distR="0" simplePos="0" relativeHeight="251659264" behindDoc="0" locked="0" layoutInCell="1" allowOverlap="1" wp14:anchorId="386B57D0" wp14:editId="7CA0A116">
              <wp:simplePos x="635" y="635"/>
              <wp:positionH relativeFrom="page">
                <wp:align>center</wp:align>
              </wp:positionH>
              <wp:positionV relativeFrom="page">
                <wp:align>top</wp:align>
              </wp:positionV>
              <wp:extent cx="551815" cy="376555"/>
              <wp:effectExtent l="0" t="0" r="635" b="4445"/>
              <wp:wrapNone/>
              <wp:docPr id="14741906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698E99" w14:textId="4B906836"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B57D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B698E99" w14:textId="4B906836"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87D6" w14:textId="09C1D786" w:rsidR="001F312C" w:rsidRPr="00A47F7C" w:rsidRDefault="00B5125B" w:rsidP="00A47F7C">
    <w:pPr>
      <w:tabs>
        <w:tab w:val="center" w:pos="4153"/>
        <w:tab w:val="right" w:pos="8306"/>
      </w:tabs>
      <w:jc w:val="center"/>
      <w:rPr>
        <w:rFonts w:ascii="Arial" w:hAnsi="Arial" w:cs="Arial"/>
        <w:b/>
        <w:caps/>
        <w:sz w:val="20"/>
      </w:rPr>
    </w:pPr>
    <w:r>
      <w:rPr>
        <w:rFonts w:ascii="Arial" w:hAnsi="Arial" w:cs="Arial"/>
        <w:b/>
        <w:caps/>
        <w:noProof/>
        <w:sz w:val="20"/>
      </w:rPr>
      <mc:AlternateContent>
        <mc:Choice Requires="wps">
          <w:drawing>
            <wp:anchor distT="0" distB="0" distL="0" distR="0" simplePos="0" relativeHeight="251660288" behindDoc="0" locked="0" layoutInCell="1" allowOverlap="1" wp14:anchorId="33260B96" wp14:editId="5B147F36">
              <wp:simplePos x="1143000" y="914400"/>
              <wp:positionH relativeFrom="page">
                <wp:align>center</wp:align>
              </wp:positionH>
              <wp:positionV relativeFrom="page">
                <wp:align>top</wp:align>
              </wp:positionV>
              <wp:extent cx="551815" cy="376555"/>
              <wp:effectExtent l="0" t="0" r="635" b="4445"/>
              <wp:wrapNone/>
              <wp:docPr id="340289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9E58A" w14:textId="4967E302"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60B9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279E58A" w14:textId="4967E302"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v:textbox>
              <w10:wrap anchorx="page" anchory="page"/>
            </v:shape>
          </w:pict>
        </mc:Fallback>
      </mc:AlternateContent>
    </w:r>
    <w:r>
      <w:rPr>
        <w:rFonts w:ascii="Arial" w:hAnsi="Arial" w:cs="Arial"/>
        <w:b/>
        <w:caps/>
        <w:sz w:val="20"/>
      </w:rPr>
      <w:t>NOVEMBER</w:t>
    </w:r>
    <w:r w:rsidR="00A83403">
      <w:rPr>
        <w:rFonts w:ascii="Arial" w:hAnsi="Arial" w:cs="Arial"/>
        <w:b/>
        <w:caps/>
        <w:sz w:val="20"/>
      </w:rPr>
      <w:t xml:space="preserve"> 2025</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E009" w14:textId="6698D1B1" w:rsidR="00B5125B" w:rsidRDefault="00B5125B">
    <w:pPr>
      <w:pStyle w:val="Header"/>
    </w:pPr>
    <w:r>
      <w:rPr>
        <w:noProof/>
      </w:rPr>
      <mc:AlternateContent>
        <mc:Choice Requires="wps">
          <w:drawing>
            <wp:anchor distT="0" distB="0" distL="0" distR="0" simplePos="0" relativeHeight="251658240" behindDoc="0" locked="0" layoutInCell="1" allowOverlap="1" wp14:anchorId="0FB15875" wp14:editId="41445A59">
              <wp:simplePos x="635" y="635"/>
              <wp:positionH relativeFrom="page">
                <wp:align>center</wp:align>
              </wp:positionH>
              <wp:positionV relativeFrom="page">
                <wp:align>top</wp:align>
              </wp:positionV>
              <wp:extent cx="551815" cy="376555"/>
              <wp:effectExtent l="0" t="0" r="635" b="4445"/>
              <wp:wrapNone/>
              <wp:docPr id="1205248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972BEB" w14:textId="457CCDCF"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15875"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F972BEB" w14:textId="457CCDCF" w:rsidR="00B5125B" w:rsidRPr="00B5125B" w:rsidRDefault="00B5125B" w:rsidP="00B5125B">
                    <w:pPr>
                      <w:rPr>
                        <w:rFonts w:ascii="Calibri" w:eastAsia="Calibri" w:hAnsi="Calibri" w:cs="Calibri"/>
                        <w:noProof/>
                        <w:color w:val="FF0000"/>
                      </w:rPr>
                    </w:pPr>
                    <w:r w:rsidRPr="00B5125B">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68F"/>
    <w:multiLevelType w:val="hybridMultilevel"/>
    <w:tmpl w:val="8FE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60536"/>
    <w:multiLevelType w:val="multilevel"/>
    <w:tmpl w:val="2A8A66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E9208E"/>
    <w:multiLevelType w:val="hybridMultilevel"/>
    <w:tmpl w:val="28E061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8DD1D32"/>
    <w:multiLevelType w:val="hybridMultilevel"/>
    <w:tmpl w:val="97CE3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78199203">
    <w:abstractNumId w:val="13"/>
  </w:num>
  <w:num w:numId="2" w16cid:durableId="1589389630">
    <w:abstractNumId w:val="8"/>
  </w:num>
  <w:num w:numId="3" w16cid:durableId="1547256440">
    <w:abstractNumId w:val="4"/>
  </w:num>
  <w:num w:numId="4" w16cid:durableId="405959758">
    <w:abstractNumId w:val="9"/>
  </w:num>
  <w:num w:numId="5" w16cid:durableId="95175730">
    <w:abstractNumId w:val="6"/>
  </w:num>
  <w:num w:numId="6" w16cid:durableId="1082995549">
    <w:abstractNumId w:val="11"/>
  </w:num>
  <w:num w:numId="7" w16cid:durableId="1388995512">
    <w:abstractNumId w:val="3"/>
  </w:num>
  <w:num w:numId="8" w16cid:durableId="2034452257">
    <w:abstractNumId w:val="5"/>
  </w:num>
  <w:num w:numId="9" w16cid:durableId="2011633779">
    <w:abstractNumId w:val="12"/>
  </w:num>
  <w:num w:numId="10" w16cid:durableId="1838376336">
    <w:abstractNumId w:val="10"/>
  </w:num>
  <w:num w:numId="11" w16cid:durableId="301230094">
    <w:abstractNumId w:val="0"/>
  </w:num>
  <w:num w:numId="12" w16cid:durableId="763184617">
    <w:abstractNumId w:val="7"/>
  </w:num>
  <w:num w:numId="13" w16cid:durableId="1905749045">
    <w:abstractNumId w:val="1"/>
  </w:num>
  <w:num w:numId="14" w16cid:durableId="1953782012">
    <w:abstractNumId w:val="2"/>
  </w:num>
  <w:num w:numId="15" w16cid:durableId="580412721">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6A"/>
    <w:rsid w:val="0000028F"/>
    <w:rsid w:val="00015D78"/>
    <w:rsid w:val="00016CBD"/>
    <w:rsid w:val="0002143A"/>
    <w:rsid w:val="00022BF9"/>
    <w:rsid w:val="00026370"/>
    <w:rsid w:val="00027CEB"/>
    <w:rsid w:val="00031B90"/>
    <w:rsid w:val="00034F16"/>
    <w:rsid w:val="0003556F"/>
    <w:rsid w:val="000413ED"/>
    <w:rsid w:val="000437B9"/>
    <w:rsid w:val="00046F5C"/>
    <w:rsid w:val="00047A4B"/>
    <w:rsid w:val="00050E03"/>
    <w:rsid w:val="000510DE"/>
    <w:rsid w:val="00052897"/>
    <w:rsid w:val="00053A39"/>
    <w:rsid w:val="00053F80"/>
    <w:rsid w:val="0006056A"/>
    <w:rsid w:val="000606D4"/>
    <w:rsid w:val="00060A45"/>
    <w:rsid w:val="000663E7"/>
    <w:rsid w:val="0007306F"/>
    <w:rsid w:val="00080336"/>
    <w:rsid w:val="00084B66"/>
    <w:rsid w:val="0008741B"/>
    <w:rsid w:val="00092D31"/>
    <w:rsid w:val="00095F78"/>
    <w:rsid w:val="000A160F"/>
    <w:rsid w:val="000A2CDC"/>
    <w:rsid w:val="000A37FB"/>
    <w:rsid w:val="000B2DD0"/>
    <w:rsid w:val="000B3012"/>
    <w:rsid w:val="000C0053"/>
    <w:rsid w:val="000C5770"/>
    <w:rsid w:val="000C6902"/>
    <w:rsid w:val="000E2791"/>
    <w:rsid w:val="000E4B3A"/>
    <w:rsid w:val="000F1997"/>
    <w:rsid w:val="000F1D2B"/>
    <w:rsid w:val="0010257C"/>
    <w:rsid w:val="001171AF"/>
    <w:rsid w:val="0012151C"/>
    <w:rsid w:val="00132A6A"/>
    <w:rsid w:val="00132DA2"/>
    <w:rsid w:val="0014056F"/>
    <w:rsid w:val="001416A4"/>
    <w:rsid w:val="00150970"/>
    <w:rsid w:val="00156D69"/>
    <w:rsid w:val="00161F4C"/>
    <w:rsid w:val="00164CD2"/>
    <w:rsid w:val="00171A7A"/>
    <w:rsid w:val="00176F11"/>
    <w:rsid w:val="0018016B"/>
    <w:rsid w:val="00180E7D"/>
    <w:rsid w:val="001B2984"/>
    <w:rsid w:val="001B5725"/>
    <w:rsid w:val="001B5726"/>
    <w:rsid w:val="001B648D"/>
    <w:rsid w:val="001C658A"/>
    <w:rsid w:val="001D0ACE"/>
    <w:rsid w:val="001D0B69"/>
    <w:rsid w:val="001D1F90"/>
    <w:rsid w:val="001D38C7"/>
    <w:rsid w:val="001D42A8"/>
    <w:rsid w:val="001D45AF"/>
    <w:rsid w:val="001E1951"/>
    <w:rsid w:val="001E7E86"/>
    <w:rsid w:val="001F0355"/>
    <w:rsid w:val="001F312C"/>
    <w:rsid w:val="001F3D96"/>
    <w:rsid w:val="001F4B84"/>
    <w:rsid w:val="0020695E"/>
    <w:rsid w:val="00215203"/>
    <w:rsid w:val="00215DE5"/>
    <w:rsid w:val="00216E50"/>
    <w:rsid w:val="0022150A"/>
    <w:rsid w:val="00222E8B"/>
    <w:rsid w:val="002374AC"/>
    <w:rsid w:val="00244B20"/>
    <w:rsid w:val="00250A1C"/>
    <w:rsid w:val="00250D4C"/>
    <w:rsid w:val="00251848"/>
    <w:rsid w:val="00265781"/>
    <w:rsid w:val="00267819"/>
    <w:rsid w:val="00267932"/>
    <w:rsid w:val="00267A9D"/>
    <w:rsid w:val="00271216"/>
    <w:rsid w:val="002754CF"/>
    <w:rsid w:val="002756E4"/>
    <w:rsid w:val="0028590B"/>
    <w:rsid w:val="002879B4"/>
    <w:rsid w:val="00293F23"/>
    <w:rsid w:val="002A0EF1"/>
    <w:rsid w:val="002D4006"/>
    <w:rsid w:val="002D7178"/>
    <w:rsid w:val="002E5D73"/>
    <w:rsid w:val="002E7273"/>
    <w:rsid w:val="002F3398"/>
    <w:rsid w:val="002F7591"/>
    <w:rsid w:val="002F775E"/>
    <w:rsid w:val="00301E55"/>
    <w:rsid w:val="00310423"/>
    <w:rsid w:val="0031133D"/>
    <w:rsid w:val="003172AB"/>
    <w:rsid w:val="003211BA"/>
    <w:rsid w:val="003232E1"/>
    <w:rsid w:val="00326328"/>
    <w:rsid w:val="00332BA2"/>
    <w:rsid w:val="0034025C"/>
    <w:rsid w:val="00341334"/>
    <w:rsid w:val="00341E66"/>
    <w:rsid w:val="00345710"/>
    <w:rsid w:val="00347C95"/>
    <w:rsid w:val="00350620"/>
    <w:rsid w:val="003603AD"/>
    <w:rsid w:val="00362AC3"/>
    <w:rsid w:val="003637C8"/>
    <w:rsid w:val="0037227B"/>
    <w:rsid w:val="00377B0E"/>
    <w:rsid w:val="00383568"/>
    <w:rsid w:val="00385940"/>
    <w:rsid w:val="00397836"/>
    <w:rsid w:val="003A0382"/>
    <w:rsid w:val="003A5212"/>
    <w:rsid w:val="003B0BEA"/>
    <w:rsid w:val="003B695E"/>
    <w:rsid w:val="003B79EE"/>
    <w:rsid w:val="003C2B83"/>
    <w:rsid w:val="003D43E0"/>
    <w:rsid w:val="003D52DC"/>
    <w:rsid w:val="003E4F94"/>
    <w:rsid w:val="003E55CB"/>
    <w:rsid w:val="003F07CB"/>
    <w:rsid w:val="00400159"/>
    <w:rsid w:val="0040140B"/>
    <w:rsid w:val="004048D8"/>
    <w:rsid w:val="00406EAB"/>
    <w:rsid w:val="00407FAA"/>
    <w:rsid w:val="00417600"/>
    <w:rsid w:val="00425CC6"/>
    <w:rsid w:val="00433DFA"/>
    <w:rsid w:val="0043596C"/>
    <w:rsid w:val="004362FB"/>
    <w:rsid w:val="00446CF7"/>
    <w:rsid w:val="004566CA"/>
    <w:rsid w:val="004630FE"/>
    <w:rsid w:val="00464B70"/>
    <w:rsid w:val="00464DA0"/>
    <w:rsid w:val="004669DB"/>
    <w:rsid w:val="00467BA8"/>
    <w:rsid w:val="004709EF"/>
    <w:rsid w:val="00486875"/>
    <w:rsid w:val="004A1627"/>
    <w:rsid w:val="004B1F3C"/>
    <w:rsid w:val="004B2A39"/>
    <w:rsid w:val="004C295B"/>
    <w:rsid w:val="004C3CD0"/>
    <w:rsid w:val="004C435C"/>
    <w:rsid w:val="004C4C12"/>
    <w:rsid w:val="004D49EF"/>
    <w:rsid w:val="004D4DEE"/>
    <w:rsid w:val="004E08EF"/>
    <w:rsid w:val="004E1867"/>
    <w:rsid w:val="004E3D28"/>
    <w:rsid w:val="004E76AE"/>
    <w:rsid w:val="004F2C21"/>
    <w:rsid w:val="004F6F8F"/>
    <w:rsid w:val="005018C1"/>
    <w:rsid w:val="00504298"/>
    <w:rsid w:val="00507F23"/>
    <w:rsid w:val="00514593"/>
    <w:rsid w:val="005166A6"/>
    <w:rsid w:val="00517290"/>
    <w:rsid w:val="00520024"/>
    <w:rsid w:val="00533BC7"/>
    <w:rsid w:val="005402AB"/>
    <w:rsid w:val="0054067A"/>
    <w:rsid w:val="0054217F"/>
    <w:rsid w:val="005433E2"/>
    <w:rsid w:val="00550F01"/>
    <w:rsid w:val="0055106A"/>
    <w:rsid w:val="00553E58"/>
    <w:rsid w:val="0055669D"/>
    <w:rsid w:val="005616CC"/>
    <w:rsid w:val="005639BA"/>
    <w:rsid w:val="005642B3"/>
    <w:rsid w:val="00565336"/>
    <w:rsid w:val="005732A3"/>
    <w:rsid w:val="00575B2C"/>
    <w:rsid w:val="00582F85"/>
    <w:rsid w:val="00593867"/>
    <w:rsid w:val="00594361"/>
    <w:rsid w:val="00597564"/>
    <w:rsid w:val="005A209F"/>
    <w:rsid w:val="005A71CE"/>
    <w:rsid w:val="005A7A04"/>
    <w:rsid w:val="005B0BA9"/>
    <w:rsid w:val="005C202C"/>
    <w:rsid w:val="005D081A"/>
    <w:rsid w:val="005D1506"/>
    <w:rsid w:val="005D4115"/>
    <w:rsid w:val="005D774C"/>
    <w:rsid w:val="005E2846"/>
    <w:rsid w:val="005F2273"/>
    <w:rsid w:val="005F5574"/>
    <w:rsid w:val="006102C6"/>
    <w:rsid w:val="00613096"/>
    <w:rsid w:val="00614F10"/>
    <w:rsid w:val="00625C2B"/>
    <w:rsid w:val="006354AB"/>
    <w:rsid w:val="00641F0C"/>
    <w:rsid w:val="0064310D"/>
    <w:rsid w:val="006457E0"/>
    <w:rsid w:val="00647788"/>
    <w:rsid w:val="00652D57"/>
    <w:rsid w:val="00664A75"/>
    <w:rsid w:val="006658CC"/>
    <w:rsid w:val="00666368"/>
    <w:rsid w:val="00666863"/>
    <w:rsid w:val="00666881"/>
    <w:rsid w:val="0067208B"/>
    <w:rsid w:val="00677683"/>
    <w:rsid w:val="00677983"/>
    <w:rsid w:val="00683251"/>
    <w:rsid w:val="006847AC"/>
    <w:rsid w:val="00692238"/>
    <w:rsid w:val="006951BF"/>
    <w:rsid w:val="006A0F20"/>
    <w:rsid w:val="006A2EB2"/>
    <w:rsid w:val="006A5F26"/>
    <w:rsid w:val="006B5034"/>
    <w:rsid w:val="006C41DA"/>
    <w:rsid w:val="006D0A58"/>
    <w:rsid w:val="006D316F"/>
    <w:rsid w:val="006D36DC"/>
    <w:rsid w:val="006D4A9B"/>
    <w:rsid w:val="006D4C23"/>
    <w:rsid w:val="006D4F54"/>
    <w:rsid w:val="006D50A0"/>
    <w:rsid w:val="006D593A"/>
    <w:rsid w:val="006D7E0B"/>
    <w:rsid w:val="006E57A3"/>
    <w:rsid w:val="006F6BA6"/>
    <w:rsid w:val="006F6F34"/>
    <w:rsid w:val="0070348A"/>
    <w:rsid w:val="00707145"/>
    <w:rsid w:val="007178BA"/>
    <w:rsid w:val="00732885"/>
    <w:rsid w:val="0073297F"/>
    <w:rsid w:val="0074603E"/>
    <w:rsid w:val="0075366B"/>
    <w:rsid w:val="00757886"/>
    <w:rsid w:val="00775A8D"/>
    <w:rsid w:val="007844F2"/>
    <w:rsid w:val="00784CCA"/>
    <w:rsid w:val="00793AF0"/>
    <w:rsid w:val="007A2421"/>
    <w:rsid w:val="007A4968"/>
    <w:rsid w:val="007B1715"/>
    <w:rsid w:val="007B7F4C"/>
    <w:rsid w:val="007C1098"/>
    <w:rsid w:val="007C758A"/>
    <w:rsid w:val="007C75EE"/>
    <w:rsid w:val="007D7263"/>
    <w:rsid w:val="007E275C"/>
    <w:rsid w:val="007E7A1B"/>
    <w:rsid w:val="007F2CE8"/>
    <w:rsid w:val="007F4E20"/>
    <w:rsid w:val="00801B19"/>
    <w:rsid w:val="00813997"/>
    <w:rsid w:val="00814987"/>
    <w:rsid w:val="00816A6C"/>
    <w:rsid w:val="008177B6"/>
    <w:rsid w:val="00820EAA"/>
    <w:rsid w:val="0082199A"/>
    <w:rsid w:val="00821B15"/>
    <w:rsid w:val="0082288D"/>
    <w:rsid w:val="0083082B"/>
    <w:rsid w:val="0083210F"/>
    <w:rsid w:val="008361CD"/>
    <w:rsid w:val="00843EFF"/>
    <w:rsid w:val="00845B30"/>
    <w:rsid w:val="008479A0"/>
    <w:rsid w:val="008545D1"/>
    <w:rsid w:val="00854810"/>
    <w:rsid w:val="008571DE"/>
    <w:rsid w:val="00857B3B"/>
    <w:rsid w:val="008613B3"/>
    <w:rsid w:val="008621E7"/>
    <w:rsid w:val="00866D71"/>
    <w:rsid w:val="00871936"/>
    <w:rsid w:val="008842CE"/>
    <w:rsid w:val="008866E8"/>
    <w:rsid w:val="00890D53"/>
    <w:rsid w:val="0089331D"/>
    <w:rsid w:val="008934F5"/>
    <w:rsid w:val="008A2CFE"/>
    <w:rsid w:val="008A4311"/>
    <w:rsid w:val="008A4B6F"/>
    <w:rsid w:val="008A651A"/>
    <w:rsid w:val="008A71D8"/>
    <w:rsid w:val="008B279B"/>
    <w:rsid w:val="008B4388"/>
    <w:rsid w:val="008B6009"/>
    <w:rsid w:val="008B69CF"/>
    <w:rsid w:val="008C2EAD"/>
    <w:rsid w:val="008D020C"/>
    <w:rsid w:val="008E354F"/>
    <w:rsid w:val="008E5070"/>
    <w:rsid w:val="008F5691"/>
    <w:rsid w:val="008F5977"/>
    <w:rsid w:val="00901CE1"/>
    <w:rsid w:val="00905347"/>
    <w:rsid w:val="00916187"/>
    <w:rsid w:val="009202B6"/>
    <w:rsid w:val="009203A6"/>
    <w:rsid w:val="00921543"/>
    <w:rsid w:val="009218E2"/>
    <w:rsid w:val="00922279"/>
    <w:rsid w:val="00922E47"/>
    <w:rsid w:val="00923A78"/>
    <w:rsid w:val="00925E21"/>
    <w:rsid w:val="00933952"/>
    <w:rsid w:val="00940D5C"/>
    <w:rsid w:val="009445C2"/>
    <w:rsid w:val="00955964"/>
    <w:rsid w:val="00955CD6"/>
    <w:rsid w:val="009611CD"/>
    <w:rsid w:val="009618D4"/>
    <w:rsid w:val="00964E5C"/>
    <w:rsid w:val="00971160"/>
    <w:rsid w:val="00973009"/>
    <w:rsid w:val="00984270"/>
    <w:rsid w:val="00996049"/>
    <w:rsid w:val="00997EA7"/>
    <w:rsid w:val="009A1ACC"/>
    <w:rsid w:val="009B339D"/>
    <w:rsid w:val="009E121B"/>
    <w:rsid w:val="009E143F"/>
    <w:rsid w:val="009E20A4"/>
    <w:rsid w:val="009E253D"/>
    <w:rsid w:val="009E60AF"/>
    <w:rsid w:val="009E6EA9"/>
    <w:rsid w:val="009E7E00"/>
    <w:rsid w:val="009F55CE"/>
    <w:rsid w:val="009F5908"/>
    <w:rsid w:val="009F5FE2"/>
    <w:rsid w:val="00A03E25"/>
    <w:rsid w:val="00A0539F"/>
    <w:rsid w:val="00A06B54"/>
    <w:rsid w:val="00A101AB"/>
    <w:rsid w:val="00A152EE"/>
    <w:rsid w:val="00A1560D"/>
    <w:rsid w:val="00A2489B"/>
    <w:rsid w:val="00A25973"/>
    <w:rsid w:val="00A31269"/>
    <w:rsid w:val="00A32269"/>
    <w:rsid w:val="00A3346B"/>
    <w:rsid w:val="00A36F7E"/>
    <w:rsid w:val="00A4098E"/>
    <w:rsid w:val="00A413AF"/>
    <w:rsid w:val="00A425E5"/>
    <w:rsid w:val="00A45D82"/>
    <w:rsid w:val="00A45FA1"/>
    <w:rsid w:val="00A47E2F"/>
    <w:rsid w:val="00A47F7C"/>
    <w:rsid w:val="00A50253"/>
    <w:rsid w:val="00A56266"/>
    <w:rsid w:val="00A570BF"/>
    <w:rsid w:val="00A70179"/>
    <w:rsid w:val="00A71C64"/>
    <w:rsid w:val="00A74CCD"/>
    <w:rsid w:val="00A76D1B"/>
    <w:rsid w:val="00A807F2"/>
    <w:rsid w:val="00A83403"/>
    <w:rsid w:val="00A925D7"/>
    <w:rsid w:val="00A9331B"/>
    <w:rsid w:val="00A93361"/>
    <w:rsid w:val="00AA5E4E"/>
    <w:rsid w:val="00AB23B4"/>
    <w:rsid w:val="00AB5403"/>
    <w:rsid w:val="00AC0FC5"/>
    <w:rsid w:val="00AC0FFB"/>
    <w:rsid w:val="00AC2CB7"/>
    <w:rsid w:val="00AC3B55"/>
    <w:rsid w:val="00AC4352"/>
    <w:rsid w:val="00AC78CB"/>
    <w:rsid w:val="00AD20C9"/>
    <w:rsid w:val="00AD2551"/>
    <w:rsid w:val="00AD3542"/>
    <w:rsid w:val="00AD37E5"/>
    <w:rsid w:val="00AD4267"/>
    <w:rsid w:val="00AE5FF1"/>
    <w:rsid w:val="00AE77DB"/>
    <w:rsid w:val="00AF144F"/>
    <w:rsid w:val="00AF2F79"/>
    <w:rsid w:val="00AF3B3E"/>
    <w:rsid w:val="00AF669A"/>
    <w:rsid w:val="00AF6DA0"/>
    <w:rsid w:val="00B03643"/>
    <w:rsid w:val="00B06BB8"/>
    <w:rsid w:val="00B139EF"/>
    <w:rsid w:val="00B13AD3"/>
    <w:rsid w:val="00B1491D"/>
    <w:rsid w:val="00B1693A"/>
    <w:rsid w:val="00B170F6"/>
    <w:rsid w:val="00B20C0D"/>
    <w:rsid w:val="00B26B58"/>
    <w:rsid w:val="00B27383"/>
    <w:rsid w:val="00B275E3"/>
    <w:rsid w:val="00B31433"/>
    <w:rsid w:val="00B35E96"/>
    <w:rsid w:val="00B36F4A"/>
    <w:rsid w:val="00B41635"/>
    <w:rsid w:val="00B445D9"/>
    <w:rsid w:val="00B47632"/>
    <w:rsid w:val="00B50A69"/>
    <w:rsid w:val="00B5125B"/>
    <w:rsid w:val="00B52928"/>
    <w:rsid w:val="00B532C3"/>
    <w:rsid w:val="00B60CCA"/>
    <w:rsid w:val="00B62228"/>
    <w:rsid w:val="00B725E4"/>
    <w:rsid w:val="00B736E4"/>
    <w:rsid w:val="00B74C7C"/>
    <w:rsid w:val="00B754AD"/>
    <w:rsid w:val="00B8335A"/>
    <w:rsid w:val="00B84143"/>
    <w:rsid w:val="00B856BF"/>
    <w:rsid w:val="00B860B5"/>
    <w:rsid w:val="00B94AFC"/>
    <w:rsid w:val="00B95F3B"/>
    <w:rsid w:val="00B96629"/>
    <w:rsid w:val="00BA0860"/>
    <w:rsid w:val="00BA0ED1"/>
    <w:rsid w:val="00BA4D95"/>
    <w:rsid w:val="00BA5A6C"/>
    <w:rsid w:val="00BB24D0"/>
    <w:rsid w:val="00BB5497"/>
    <w:rsid w:val="00BC3BE5"/>
    <w:rsid w:val="00BD0BA3"/>
    <w:rsid w:val="00BD4745"/>
    <w:rsid w:val="00BD6B3E"/>
    <w:rsid w:val="00BE182E"/>
    <w:rsid w:val="00BE4405"/>
    <w:rsid w:val="00BF5B32"/>
    <w:rsid w:val="00C06010"/>
    <w:rsid w:val="00C20FE7"/>
    <w:rsid w:val="00C22340"/>
    <w:rsid w:val="00C229C3"/>
    <w:rsid w:val="00C22AB9"/>
    <w:rsid w:val="00C25FAC"/>
    <w:rsid w:val="00C375F9"/>
    <w:rsid w:val="00C37771"/>
    <w:rsid w:val="00C405E9"/>
    <w:rsid w:val="00C411AA"/>
    <w:rsid w:val="00C47D24"/>
    <w:rsid w:val="00C62ED6"/>
    <w:rsid w:val="00C636C2"/>
    <w:rsid w:val="00C6535C"/>
    <w:rsid w:val="00C71A4B"/>
    <w:rsid w:val="00C811BA"/>
    <w:rsid w:val="00C87A6B"/>
    <w:rsid w:val="00C9267A"/>
    <w:rsid w:val="00C96A3F"/>
    <w:rsid w:val="00CB4375"/>
    <w:rsid w:val="00CB56CD"/>
    <w:rsid w:val="00CB6BC5"/>
    <w:rsid w:val="00CB79AF"/>
    <w:rsid w:val="00CC0199"/>
    <w:rsid w:val="00CC0C6D"/>
    <w:rsid w:val="00CD04DF"/>
    <w:rsid w:val="00CD2ADF"/>
    <w:rsid w:val="00CD3BA9"/>
    <w:rsid w:val="00CD401E"/>
    <w:rsid w:val="00CD4158"/>
    <w:rsid w:val="00CE2298"/>
    <w:rsid w:val="00D01D56"/>
    <w:rsid w:val="00D03290"/>
    <w:rsid w:val="00D04F41"/>
    <w:rsid w:val="00D068D4"/>
    <w:rsid w:val="00D108DB"/>
    <w:rsid w:val="00D113EF"/>
    <w:rsid w:val="00D14FAD"/>
    <w:rsid w:val="00D24B42"/>
    <w:rsid w:val="00D33531"/>
    <w:rsid w:val="00D43DA6"/>
    <w:rsid w:val="00D47451"/>
    <w:rsid w:val="00D51F57"/>
    <w:rsid w:val="00D52710"/>
    <w:rsid w:val="00D60E82"/>
    <w:rsid w:val="00D61A27"/>
    <w:rsid w:val="00D63C11"/>
    <w:rsid w:val="00D6624D"/>
    <w:rsid w:val="00D7136A"/>
    <w:rsid w:val="00D7176E"/>
    <w:rsid w:val="00D729FE"/>
    <w:rsid w:val="00D72D36"/>
    <w:rsid w:val="00D82194"/>
    <w:rsid w:val="00D82D67"/>
    <w:rsid w:val="00D943D6"/>
    <w:rsid w:val="00D96895"/>
    <w:rsid w:val="00DA25F6"/>
    <w:rsid w:val="00DA2A81"/>
    <w:rsid w:val="00DA2C46"/>
    <w:rsid w:val="00DB4B4C"/>
    <w:rsid w:val="00DB58B1"/>
    <w:rsid w:val="00DB7FD0"/>
    <w:rsid w:val="00DC0E0A"/>
    <w:rsid w:val="00DC7A41"/>
    <w:rsid w:val="00DD315C"/>
    <w:rsid w:val="00DD4060"/>
    <w:rsid w:val="00DE22A0"/>
    <w:rsid w:val="00DE6CA5"/>
    <w:rsid w:val="00DE7389"/>
    <w:rsid w:val="00E11B1E"/>
    <w:rsid w:val="00E12ADB"/>
    <w:rsid w:val="00E14009"/>
    <w:rsid w:val="00E149F0"/>
    <w:rsid w:val="00E16015"/>
    <w:rsid w:val="00E24412"/>
    <w:rsid w:val="00E25A33"/>
    <w:rsid w:val="00E37984"/>
    <w:rsid w:val="00E37FD3"/>
    <w:rsid w:val="00E42CE1"/>
    <w:rsid w:val="00E474DF"/>
    <w:rsid w:val="00E51B48"/>
    <w:rsid w:val="00E64B09"/>
    <w:rsid w:val="00E659DB"/>
    <w:rsid w:val="00E65BFD"/>
    <w:rsid w:val="00E74222"/>
    <w:rsid w:val="00E75D86"/>
    <w:rsid w:val="00E86AE7"/>
    <w:rsid w:val="00E91740"/>
    <w:rsid w:val="00E91EAD"/>
    <w:rsid w:val="00E92B64"/>
    <w:rsid w:val="00E96DB2"/>
    <w:rsid w:val="00E9718A"/>
    <w:rsid w:val="00EA1C83"/>
    <w:rsid w:val="00EA43F8"/>
    <w:rsid w:val="00EA6A0A"/>
    <w:rsid w:val="00EB38E2"/>
    <w:rsid w:val="00EC18FC"/>
    <w:rsid w:val="00EC37B4"/>
    <w:rsid w:val="00EC6408"/>
    <w:rsid w:val="00ED0E5B"/>
    <w:rsid w:val="00ED1C3D"/>
    <w:rsid w:val="00ED66F3"/>
    <w:rsid w:val="00ED7A68"/>
    <w:rsid w:val="00EE12C0"/>
    <w:rsid w:val="00EE523C"/>
    <w:rsid w:val="00EE6509"/>
    <w:rsid w:val="00EE68E4"/>
    <w:rsid w:val="00EF3FE6"/>
    <w:rsid w:val="00EF7DF2"/>
    <w:rsid w:val="00F046B8"/>
    <w:rsid w:val="00F04ECB"/>
    <w:rsid w:val="00F159FC"/>
    <w:rsid w:val="00F2009D"/>
    <w:rsid w:val="00F32FEB"/>
    <w:rsid w:val="00F3543C"/>
    <w:rsid w:val="00F43BC5"/>
    <w:rsid w:val="00F514E4"/>
    <w:rsid w:val="00F51922"/>
    <w:rsid w:val="00F53FA7"/>
    <w:rsid w:val="00F55E20"/>
    <w:rsid w:val="00F6262A"/>
    <w:rsid w:val="00F628C7"/>
    <w:rsid w:val="00F66E50"/>
    <w:rsid w:val="00F67C46"/>
    <w:rsid w:val="00F71F01"/>
    <w:rsid w:val="00F73897"/>
    <w:rsid w:val="00F77445"/>
    <w:rsid w:val="00F8213A"/>
    <w:rsid w:val="00F85F30"/>
    <w:rsid w:val="00F87883"/>
    <w:rsid w:val="00FA12CB"/>
    <w:rsid w:val="00FA1648"/>
    <w:rsid w:val="00FA20C0"/>
    <w:rsid w:val="00FA4D8A"/>
    <w:rsid w:val="00FB0B10"/>
    <w:rsid w:val="00FB1FCA"/>
    <w:rsid w:val="00FB34DE"/>
    <w:rsid w:val="00FB5E27"/>
    <w:rsid w:val="00FC15A2"/>
    <w:rsid w:val="00FC2585"/>
    <w:rsid w:val="00FC47CC"/>
    <w:rsid w:val="00FD0680"/>
    <w:rsid w:val="00FD0DE4"/>
    <w:rsid w:val="00FD3A6D"/>
    <w:rsid w:val="00FD4A60"/>
    <w:rsid w:val="00FE3BDD"/>
    <w:rsid w:val="00FF52C8"/>
    <w:rsid w:val="00FF7990"/>
    <w:rsid w:val="00FF7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6A"/>
    <w:rPr>
      <w:rFonts w:eastAsia="Times New Roman"/>
      <w:sz w:val="24"/>
      <w:szCs w:val="24"/>
      <w:lang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72"/>
    <w:qFormat/>
    <w:rsid w:val="00A31269"/>
    <w:pPr>
      <w:ind w:left="720" w:hanging="720"/>
      <w:contextualSpacing/>
    </w:pPr>
    <w:rPr>
      <w:rFonts w:ascii="Arial" w:hAnsi="Arial"/>
      <w:sz w:val="22"/>
      <w:lang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 w:type="paragraph" w:styleId="Revision">
    <w:name w:val="Revision"/>
    <w:hidden/>
    <w:uiPriority w:val="99"/>
    <w:semiHidden/>
    <w:rsid w:val="00084B66"/>
    <w:rPr>
      <w:rFonts w:eastAsia="Times New Roman"/>
      <w:sz w:val="24"/>
      <w:szCs w:val="24"/>
      <w:lang w:val="en-US" w:eastAsia="en-US"/>
    </w:rPr>
  </w:style>
  <w:style w:type="paragraph" w:styleId="NormalWeb">
    <w:name w:val="Normal (Web)"/>
    <w:basedOn w:val="Normal"/>
    <w:uiPriority w:val="99"/>
    <w:unhideWhenUsed/>
    <w:rsid w:val="007E275C"/>
    <w:pPr>
      <w:spacing w:before="100" w:beforeAutospacing="1" w:after="100" w:afterAutospacing="1"/>
    </w:pPr>
    <w:rPr>
      <w:lang w:eastAsia="en-AU"/>
    </w:rPr>
  </w:style>
  <w:style w:type="paragraph" w:styleId="FootnoteText">
    <w:name w:val="footnote text"/>
    <w:basedOn w:val="Normal"/>
    <w:link w:val="FootnoteTextChar"/>
    <w:uiPriority w:val="99"/>
    <w:unhideWhenUsed/>
    <w:rsid w:val="00ED1C3D"/>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rsid w:val="00ED1C3D"/>
    <w:rPr>
      <w:rFonts w:ascii="Calibri" w:eastAsiaTheme="minorHAnsi" w:hAnsi="Calibri" w:cs="Calibri"/>
      <w:lang w:eastAsia="en-US"/>
    </w:rPr>
  </w:style>
  <w:style w:type="character" w:styleId="FootnoteReference">
    <w:name w:val="footnote reference"/>
    <w:basedOn w:val="DefaultParagraphFont"/>
    <w:uiPriority w:val="99"/>
    <w:unhideWhenUsed/>
    <w:rsid w:val="00ED1C3D"/>
    <w:rPr>
      <w:vertAlign w:val="superscript"/>
    </w:rPr>
  </w:style>
  <w:style w:type="character" w:styleId="UnresolvedMention">
    <w:name w:val="Unresolved Mention"/>
    <w:basedOn w:val="DefaultParagraphFont"/>
    <w:uiPriority w:val="99"/>
    <w:semiHidden/>
    <w:unhideWhenUsed/>
    <w:rsid w:val="006F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14743321">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480707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5932554">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dusc-meetings/d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BE58-614A-4570-82B5-5A52B7B8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2016</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2025-06-17T22:30:00Z</dcterms:created>
  <dcterms:modified xsi:type="dcterms:W3CDTF">2025-12-18T23:50:00Z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47d6a033,57de5d5c,14486890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101213bf,4c6443d1,50288c68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2025-11-02T22:34:42Z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c2bd52c9-c4e1-484e-aa1d-7b79e0c227f9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