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951C4" w14:textId="20FD0836" w:rsidR="007567D2" w:rsidRDefault="007567D2" w:rsidP="00A94408">
      <w:pPr>
        <w:pStyle w:val="Default"/>
        <w:ind w:right="656"/>
        <w:jc w:val="both"/>
        <w:rPr>
          <w:rFonts w:asciiTheme="minorHAnsi" w:hAnsiTheme="minorHAnsi" w:cstheme="minorHAnsi"/>
          <w:sz w:val="20"/>
          <w:szCs w:val="20"/>
        </w:rPr>
      </w:pPr>
      <w:r w:rsidRPr="005B5602">
        <w:rPr>
          <w:rFonts w:asciiTheme="minorHAnsi" w:hAnsiTheme="minorHAnsi" w:cstheme="minorHAnsi"/>
          <w:sz w:val="20"/>
          <w:szCs w:val="20"/>
        </w:rPr>
        <w:t xml:space="preserve">The </w:t>
      </w:r>
      <w:r w:rsidR="009E648E" w:rsidRPr="005B5602">
        <w:rPr>
          <w:rFonts w:asciiTheme="minorHAnsi" w:hAnsiTheme="minorHAnsi" w:cstheme="minorHAnsi"/>
          <w:sz w:val="20"/>
          <w:szCs w:val="20"/>
        </w:rPr>
        <w:t>PBAC outcomes and recommendations are presented</w:t>
      </w:r>
      <w:r w:rsidRPr="005B5602">
        <w:rPr>
          <w:rFonts w:asciiTheme="minorHAnsi" w:hAnsiTheme="minorHAnsi" w:cstheme="minorHAnsi"/>
          <w:sz w:val="20"/>
          <w:szCs w:val="20"/>
        </w:rPr>
        <w:t xml:space="preserve"> in alphabetical order by drug name</w:t>
      </w:r>
      <w:r w:rsidR="00D97548" w:rsidRPr="005B5602">
        <w:rPr>
          <w:rFonts w:asciiTheme="minorHAnsi" w:hAnsiTheme="minorHAnsi" w:cstheme="minorHAnsi"/>
          <w:sz w:val="20"/>
          <w:szCs w:val="20"/>
        </w:rPr>
        <w:t>.</w:t>
      </w:r>
    </w:p>
    <w:p w14:paraId="5BEA8AF7" w14:textId="77777777" w:rsidR="003D69CD" w:rsidRPr="005B5602" w:rsidRDefault="003D69CD" w:rsidP="00A94408">
      <w:pPr>
        <w:pStyle w:val="Default"/>
        <w:ind w:right="656"/>
        <w:jc w:val="both"/>
        <w:rPr>
          <w:rFonts w:asciiTheme="minorHAnsi" w:hAnsiTheme="minorHAnsi" w:cstheme="minorHAnsi"/>
          <w:sz w:val="20"/>
          <w:szCs w:val="20"/>
        </w:rPr>
      </w:pPr>
    </w:p>
    <w:tbl>
      <w:tblPr>
        <w:tblW w:w="15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3016"/>
        <w:gridCol w:w="2082"/>
        <w:gridCol w:w="2694"/>
        <w:gridCol w:w="1701"/>
        <w:gridCol w:w="5686"/>
      </w:tblGrid>
      <w:tr w:rsidR="00F374F7" w:rsidRPr="00F1155D" w14:paraId="2F780D8A" w14:textId="77777777" w:rsidTr="128117E3">
        <w:trPr>
          <w:cantSplit/>
          <w:trHeight w:val="20"/>
          <w:tblHeader/>
          <w:jc w:val="center"/>
        </w:trPr>
        <w:tc>
          <w:tcPr>
            <w:tcW w:w="3016" w:type="dxa"/>
            <w:tcMar>
              <w:top w:w="28" w:type="dxa"/>
              <w:bottom w:w="28" w:type="dxa"/>
            </w:tcMar>
            <w:vAlign w:val="center"/>
          </w:tcPr>
          <w:p w14:paraId="58BB41E5" w14:textId="46F847AB" w:rsidR="00F374F7" w:rsidRPr="00F1155D" w:rsidRDefault="00F374F7" w:rsidP="00A94408">
            <w:pPr>
              <w:keepLines/>
              <w:widowControl w:val="0"/>
              <w:ind w:right="-106"/>
              <w:jc w:val="center"/>
              <w:rPr>
                <w:rFonts w:asciiTheme="minorHAnsi" w:hAnsiTheme="minorHAnsi" w:cstheme="minorHAnsi"/>
                <w:b/>
                <w:sz w:val="18"/>
                <w:szCs w:val="18"/>
              </w:rPr>
            </w:pPr>
            <w:bookmarkStart w:id="0" w:name="_Hlk143070631"/>
            <w:bookmarkStart w:id="1" w:name="_Hlk164175861"/>
            <w:r w:rsidRPr="00F1155D">
              <w:rPr>
                <w:rFonts w:asciiTheme="minorHAnsi" w:hAnsiTheme="minorHAnsi" w:cstheme="minorHAnsi"/>
                <w:b/>
                <w:sz w:val="18"/>
                <w:szCs w:val="18"/>
              </w:rPr>
              <w:t>DRUG NAME, FORM(S), STRENGTH(S), SPONSOR, TYPE OF SUBMISSION</w:t>
            </w:r>
          </w:p>
        </w:tc>
        <w:tc>
          <w:tcPr>
            <w:tcW w:w="2082" w:type="dxa"/>
            <w:tcMar>
              <w:top w:w="28" w:type="dxa"/>
              <w:bottom w:w="28" w:type="dxa"/>
            </w:tcMar>
            <w:vAlign w:val="center"/>
          </w:tcPr>
          <w:p w14:paraId="64FD3362" w14:textId="3DF64AED" w:rsidR="00F374F7" w:rsidRPr="00F1155D" w:rsidRDefault="00F374F7" w:rsidP="00A94408">
            <w:pPr>
              <w:keepLines/>
              <w:widowControl w:val="0"/>
              <w:jc w:val="center"/>
              <w:rPr>
                <w:rFonts w:asciiTheme="minorHAnsi" w:hAnsiTheme="minorHAnsi" w:cstheme="minorHAnsi"/>
                <w:b/>
                <w:snapToGrid w:val="0"/>
                <w:sz w:val="18"/>
                <w:szCs w:val="18"/>
                <w:lang w:eastAsia="en-US"/>
              </w:rPr>
            </w:pPr>
            <w:r w:rsidRPr="00F1155D">
              <w:rPr>
                <w:rFonts w:asciiTheme="minorHAnsi" w:hAnsiTheme="minorHAnsi" w:cstheme="minorHAnsi"/>
                <w:b/>
                <w:snapToGrid w:val="0"/>
                <w:sz w:val="18"/>
                <w:szCs w:val="18"/>
                <w:lang w:eastAsia="en-US"/>
              </w:rPr>
              <w:t>DRUG TYPE AND USE</w:t>
            </w:r>
          </w:p>
        </w:tc>
        <w:tc>
          <w:tcPr>
            <w:tcW w:w="2694" w:type="dxa"/>
            <w:tcMar>
              <w:top w:w="28" w:type="dxa"/>
              <w:bottom w:w="28" w:type="dxa"/>
            </w:tcMar>
            <w:vAlign w:val="center"/>
          </w:tcPr>
          <w:p w14:paraId="60A9336E" w14:textId="77777777" w:rsidR="00F374F7" w:rsidRPr="00F1155D" w:rsidRDefault="00F374F7" w:rsidP="00A94408">
            <w:pPr>
              <w:keepLines/>
              <w:widowControl w:val="0"/>
              <w:jc w:val="center"/>
              <w:rPr>
                <w:rFonts w:asciiTheme="minorHAnsi" w:hAnsiTheme="minorHAnsi" w:cstheme="minorHAnsi"/>
                <w:b/>
                <w:snapToGrid w:val="0"/>
                <w:sz w:val="18"/>
                <w:szCs w:val="18"/>
                <w:lang w:eastAsia="en-US"/>
              </w:rPr>
            </w:pPr>
            <w:r w:rsidRPr="00F1155D">
              <w:rPr>
                <w:rFonts w:asciiTheme="minorHAnsi" w:hAnsiTheme="minorHAnsi" w:cstheme="minorHAnsi"/>
                <w:b/>
                <w:snapToGrid w:val="0"/>
                <w:sz w:val="18"/>
                <w:szCs w:val="18"/>
                <w:lang w:eastAsia="en-US"/>
              </w:rPr>
              <w:t>LISTING REQUESTED BY SPONSOR / PURPOSE OF SUBMISSION</w:t>
            </w:r>
          </w:p>
        </w:tc>
        <w:tc>
          <w:tcPr>
            <w:tcW w:w="7387" w:type="dxa"/>
            <w:gridSpan w:val="2"/>
            <w:vAlign w:val="center"/>
          </w:tcPr>
          <w:p w14:paraId="5626F454" w14:textId="255B5DC5" w:rsidR="00F374F7" w:rsidRPr="00F1155D" w:rsidRDefault="00F374F7" w:rsidP="00402818">
            <w:pPr>
              <w:pStyle w:val="Header"/>
              <w:keepLines/>
              <w:jc w:val="center"/>
              <w:rPr>
                <w:rFonts w:asciiTheme="minorHAnsi" w:hAnsiTheme="minorHAnsi" w:cstheme="minorHAnsi"/>
                <w:b/>
                <w:bCs/>
                <w:snapToGrid w:val="0"/>
                <w:sz w:val="18"/>
                <w:szCs w:val="18"/>
                <w:lang w:eastAsia="en-US"/>
              </w:rPr>
            </w:pPr>
            <w:r w:rsidRPr="00F1155D">
              <w:rPr>
                <w:rFonts w:asciiTheme="minorHAnsi" w:hAnsiTheme="minorHAnsi" w:cstheme="minorHAnsi"/>
                <w:b/>
                <w:bCs/>
                <w:snapToGrid w:val="0"/>
                <w:sz w:val="18"/>
                <w:szCs w:val="18"/>
                <w:lang w:eastAsia="en-US"/>
              </w:rPr>
              <w:t>PBAC OUTCOME</w:t>
            </w:r>
            <w:bookmarkEnd w:id="0"/>
          </w:p>
        </w:tc>
      </w:tr>
      <w:bookmarkEnd w:id="1"/>
      <w:tr w:rsidR="00F574B4" w:rsidRPr="00F1155D" w:rsidDel="008F66B5" w14:paraId="59456C9B" w14:textId="11C3513F" w:rsidTr="00694ECA">
        <w:trPr>
          <w:cantSplit/>
          <w:trHeight w:val="20"/>
          <w:jc w:val="center"/>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4814FF5" w14:textId="0A105866" w:rsidR="00F574B4" w:rsidRPr="00F1155D" w:rsidRDefault="00F574B4" w:rsidP="00F574B4">
            <w:pPr>
              <w:jc w:val="center"/>
              <w:rPr>
                <w:rFonts w:asciiTheme="minorHAnsi" w:hAnsiTheme="minorHAnsi" w:cstheme="minorHAnsi"/>
                <w:sz w:val="18"/>
                <w:szCs w:val="18"/>
              </w:rPr>
            </w:pPr>
            <w:r w:rsidRPr="00F1155D">
              <w:rPr>
                <w:rFonts w:asciiTheme="minorHAnsi" w:hAnsiTheme="minorHAnsi" w:cstheme="minorHAnsi"/>
                <w:color w:val="000000"/>
                <w:sz w:val="18"/>
                <w:szCs w:val="18"/>
              </w:rPr>
              <w:t>DAPAGLIFLOZIN</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Tablet 10 mg (as propanediol monohydrate)</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Forxiga</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ASTRAZENECA PTY LTD</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Category 3</w:t>
            </w:r>
            <w:r w:rsidRPr="00F1155D">
              <w:rPr>
                <w:rFonts w:asciiTheme="minorHAnsi" w:hAnsiTheme="minorHAnsi" w:cstheme="minorHAnsi"/>
                <w:color w:val="000000"/>
                <w:sz w:val="18"/>
                <w:szCs w:val="18"/>
              </w:rPr>
              <w:br/>
              <w:t>(Change to existing listing)</w:t>
            </w:r>
          </w:p>
        </w:tc>
        <w:tc>
          <w:tcPr>
            <w:tcW w:w="2082" w:type="dxa"/>
            <w:tcBorders>
              <w:top w:val="single" w:sz="4" w:space="0" w:color="auto"/>
              <w:left w:val="single" w:sz="4" w:space="0" w:color="auto"/>
              <w:bottom w:val="single" w:sz="4" w:space="0" w:color="auto"/>
              <w:right w:val="single" w:sz="4" w:space="0" w:color="auto"/>
            </w:tcBorders>
            <w:vAlign w:val="center"/>
          </w:tcPr>
          <w:p w14:paraId="456051AC" w14:textId="301C023E" w:rsidR="00F574B4" w:rsidRPr="00F1155D" w:rsidRDefault="00F574B4" w:rsidP="00F574B4">
            <w:pPr>
              <w:jc w:val="center"/>
              <w:rPr>
                <w:rFonts w:asciiTheme="minorHAnsi" w:hAnsiTheme="minorHAnsi" w:cstheme="minorHAnsi"/>
                <w:sz w:val="18"/>
                <w:szCs w:val="18"/>
              </w:rPr>
            </w:pPr>
            <w:r w:rsidRPr="00F1155D">
              <w:rPr>
                <w:rFonts w:asciiTheme="minorHAnsi" w:hAnsiTheme="minorHAnsi" w:cstheme="minorHAnsi"/>
                <w:color w:val="000000"/>
                <w:sz w:val="18"/>
                <w:szCs w:val="18"/>
              </w:rPr>
              <w:t>Chronic kidney disease (CKD)</w:t>
            </w:r>
          </w:p>
        </w:tc>
        <w:tc>
          <w:tcPr>
            <w:tcW w:w="26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5AD9C28" w14:textId="3D8EDF69" w:rsidR="00F574B4" w:rsidRPr="00F1155D" w:rsidRDefault="00F574B4" w:rsidP="00F574B4">
            <w:pPr>
              <w:jc w:val="center"/>
              <w:rPr>
                <w:rFonts w:asciiTheme="minorHAnsi" w:hAnsiTheme="minorHAnsi" w:cstheme="minorHAnsi"/>
                <w:sz w:val="18"/>
                <w:szCs w:val="18"/>
              </w:rPr>
            </w:pPr>
            <w:r w:rsidRPr="00F1155D">
              <w:rPr>
                <w:rFonts w:asciiTheme="minorHAnsi" w:hAnsiTheme="minorHAnsi" w:cstheme="minorHAnsi"/>
                <w:color w:val="000000"/>
                <w:sz w:val="18"/>
                <w:szCs w:val="18"/>
              </w:rPr>
              <w:t>To consider amending the General Schedule Authority Required (STREAMLINED) listing for the treatment of CKD to align with the broader population recommended in May 2025 for empagliflozin.</w:t>
            </w:r>
          </w:p>
        </w:tc>
        <w:tc>
          <w:tcPr>
            <w:tcW w:w="1701" w:type="dxa"/>
            <w:vAlign w:val="center"/>
          </w:tcPr>
          <w:p w14:paraId="2316FD21" w14:textId="06376E7D" w:rsidR="00F574B4" w:rsidRPr="00F1155D" w:rsidDel="008F66B5" w:rsidRDefault="00F574B4" w:rsidP="00F574B4">
            <w:pPr>
              <w:pStyle w:val="ListParagraph"/>
              <w:keepLines/>
              <w:ind w:left="0"/>
              <w:jc w:val="center"/>
              <w:rPr>
                <w:rFonts w:asciiTheme="minorHAnsi" w:eastAsia="Times New Roman" w:hAnsiTheme="minorHAnsi" w:cstheme="minorHAnsi"/>
                <w:sz w:val="18"/>
                <w:szCs w:val="18"/>
              </w:rPr>
            </w:pPr>
            <w:r w:rsidRPr="00F1155D">
              <w:rPr>
                <w:rFonts w:asciiTheme="minorHAnsi" w:hAnsiTheme="minorHAnsi" w:cstheme="minorHAnsi"/>
                <w:color w:val="000000"/>
                <w:sz w:val="18"/>
                <w:szCs w:val="18"/>
              </w:rPr>
              <w:t>Recommended</w:t>
            </w:r>
          </w:p>
        </w:tc>
        <w:tc>
          <w:tcPr>
            <w:tcW w:w="5686" w:type="dxa"/>
          </w:tcPr>
          <w:p w14:paraId="01AFC8CE" w14:textId="133C5A68" w:rsidR="00845148" w:rsidRPr="00F1155D" w:rsidRDefault="00F574B4" w:rsidP="00633F9B">
            <w:pPr>
              <w:jc w:val="both"/>
              <w:rPr>
                <w:rFonts w:asciiTheme="minorHAnsi" w:hAnsiTheme="minorHAnsi" w:cstheme="minorHAnsi"/>
                <w:color w:val="000000"/>
                <w:sz w:val="18"/>
                <w:szCs w:val="18"/>
              </w:rPr>
            </w:pPr>
            <w:r w:rsidRPr="00F1155D">
              <w:rPr>
                <w:rFonts w:asciiTheme="minorHAnsi" w:hAnsiTheme="minorHAnsi" w:cstheme="minorHAnsi"/>
                <w:color w:val="000000"/>
                <w:sz w:val="18"/>
                <w:szCs w:val="18"/>
              </w:rPr>
              <w:t xml:space="preserve">The PBAC recommended expanding the eligible population for the PBS listing for dapagliflozin for the treatment of adult patients with CKD to include a larger population that is in line with its May 2025 recommendation for empagliflozin. The additional population for the expanded listing includes 4 distinct subgroups of patients with: </w:t>
            </w:r>
          </w:p>
          <w:p w14:paraId="47CF3A45" w14:textId="77777777" w:rsidR="000D56CE" w:rsidRDefault="00F574B4" w:rsidP="00633F9B">
            <w:pPr>
              <w:jc w:val="both"/>
              <w:rPr>
                <w:rFonts w:asciiTheme="minorHAnsi" w:hAnsiTheme="minorHAnsi" w:cstheme="minorHAnsi"/>
                <w:color w:val="000000"/>
                <w:sz w:val="18"/>
                <w:szCs w:val="18"/>
              </w:rPr>
            </w:pPr>
            <w:r w:rsidRPr="00F1155D">
              <w:rPr>
                <w:rFonts w:asciiTheme="minorHAnsi" w:hAnsiTheme="minorHAnsi" w:cstheme="minorHAnsi"/>
                <w:color w:val="000000"/>
                <w:sz w:val="18"/>
                <w:szCs w:val="18"/>
              </w:rPr>
              <w:t>• estimated Glomerular Filtration Rate (eGFR) 20 to &lt;25 mL/min/1.</w:t>
            </w:r>
            <w:r w:rsidR="00FF3C9B" w:rsidRPr="00F1155D">
              <w:rPr>
                <w:rFonts w:asciiTheme="minorHAnsi" w:hAnsiTheme="minorHAnsi" w:cstheme="minorHAnsi"/>
                <w:color w:val="000000"/>
                <w:sz w:val="18"/>
                <w:szCs w:val="18"/>
              </w:rPr>
              <w:t>73</w:t>
            </w:r>
            <w:r w:rsidR="00FF3C9B">
              <w:rPr>
                <w:rFonts w:asciiTheme="minorHAnsi" w:hAnsiTheme="minorHAnsi" w:cstheme="minorHAnsi"/>
                <w:color w:val="000000"/>
                <w:sz w:val="18"/>
                <w:szCs w:val="18"/>
              </w:rPr>
              <w:t> </w:t>
            </w:r>
            <w:r w:rsidRPr="00F1155D">
              <w:rPr>
                <w:rFonts w:asciiTheme="minorHAnsi" w:hAnsiTheme="minorHAnsi" w:cstheme="minorHAnsi"/>
                <w:color w:val="000000"/>
                <w:sz w:val="18"/>
                <w:szCs w:val="18"/>
              </w:rPr>
              <w:t>m</w:t>
            </w:r>
            <w:r w:rsidRPr="00F475B9">
              <w:rPr>
                <w:rFonts w:asciiTheme="minorHAnsi" w:hAnsiTheme="minorHAnsi" w:cstheme="minorHAnsi"/>
                <w:color w:val="000000"/>
                <w:sz w:val="18"/>
                <w:szCs w:val="18"/>
                <w:vertAlign w:val="superscript"/>
              </w:rPr>
              <w:t>2</w:t>
            </w:r>
            <w:r w:rsidRPr="00F1155D">
              <w:rPr>
                <w:rFonts w:asciiTheme="minorHAnsi" w:hAnsiTheme="minorHAnsi" w:cstheme="minorHAnsi"/>
                <w:color w:val="000000"/>
                <w:sz w:val="18"/>
                <w:szCs w:val="18"/>
              </w:rPr>
              <w:t xml:space="preserve"> regardless of urinary albumin to creatinine ratio (UACR)</w:t>
            </w:r>
          </w:p>
          <w:p w14:paraId="0E49AB02" w14:textId="77777777" w:rsidR="000D56CE" w:rsidRDefault="00F574B4" w:rsidP="00633F9B">
            <w:pPr>
              <w:jc w:val="both"/>
              <w:rPr>
                <w:rFonts w:asciiTheme="minorHAnsi" w:hAnsiTheme="minorHAnsi" w:cstheme="minorHAnsi"/>
                <w:color w:val="000000"/>
                <w:sz w:val="18"/>
                <w:szCs w:val="18"/>
              </w:rPr>
            </w:pPr>
            <w:r w:rsidRPr="00F1155D">
              <w:rPr>
                <w:rFonts w:asciiTheme="minorHAnsi" w:hAnsiTheme="minorHAnsi" w:cstheme="minorHAnsi"/>
                <w:color w:val="000000"/>
                <w:sz w:val="18"/>
                <w:szCs w:val="18"/>
              </w:rPr>
              <w:t>• eGFR 25 to &lt;45 mL/min/1.73 m</w:t>
            </w:r>
            <w:r w:rsidRPr="00F475B9">
              <w:rPr>
                <w:rFonts w:asciiTheme="minorHAnsi" w:hAnsiTheme="minorHAnsi" w:cstheme="minorHAnsi"/>
                <w:color w:val="000000"/>
                <w:sz w:val="18"/>
                <w:szCs w:val="18"/>
                <w:vertAlign w:val="superscript"/>
              </w:rPr>
              <w:t>2</w:t>
            </w:r>
            <w:r w:rsidRPr="00F1155D">
              <w:rPr>
                <w:rFonts w:asciiTheme="minorHAnsi" w:hAnsiTheme="minorHAnsi" w:cstheme="minorHAnsi"/>
                <w:color w:val="000000"/>
                <w:sz w:val="18"/>
                <w:szCs w:val="18"/>
              </w:rPr>
              <w:t xml:space="preserve"> with UACR &lt;200 mg/g</w:t>
            </w:r>
          </w:p>
          <w:p w14:paraId="55C0C0F1" w14:textId="77777777" w:rsidR="000D56CE" w:rsidRDefault="00F574B4" w:rsidP="00633F9B">
            <w:pPr>
              <w:jc w:val="both"/>
              <w:rPr>
                <w:rFonts w:asciiTheme="minorHAnsi" w:hAnsiTheme="minorHAnsi" w:cstheme="minorHAnsi"/>
                <w:color w:val="000000"/>
                <w:sz w:val="18"/>
                <w:szCs w:val="18"/>
              </w:rPr>
            </w:pPr>
            <w:r w:rsidRPr="00F1155D">
              <w:rPr>
                <w:rFonts w:asciiTheme="minorHAnsi" w:hAnsiTheme="minorHAnsi" w:cstheme="minorHAnsi"/>
                <w:color w:val="000000"/>
                <w:sz w:val="18"/>
                <w:szCs w:val="18"/>
              </w:rPr>
              <w:t>• eGFR 25 to 75 mL/min/1.73 m</w:t>
            </w:r>
            <w:r w:rsidRPr="00F475B9">
              <w:rPr>
                <w:rFonts w:asciiTheme="minorHAnsi" w:hAnsiTheme="minorHAnsi" w:cstheme="minorHAnsi"/>
                <w:color w:val="000000"/>
                <w:sz w:val="18"/>
                <w:szCs w:val="18"/>
                <w:vertAlign w:val="superscript"/>
              </w:rPr>
              <w:t>2</w:t>
            </w:r>
            <w:r w:rsidRPr="00F1155D">
              <w:rPr>
                <w:rFonts w:asciiTheme="minorHAnsi" w:hAnsiTheme="minorHAnsi" w:cstheme="minorHAnsi"/>
                <w:color w:val="000000"/>
                <w:sz w:val="18"/>
                <w:szCs w:val="18"/>
              </w:rPr>
              <w:t xml:space="preserve"> with UACR &gt;5,000 mg/g</w:t>
            </w:r>
          </w:p>
          <w:p w14:paraId="0561EEBA" w14:textId="26551E95" w:rsidR="00845148" w:rsidRDefault="00F574B4" w:rsidP="00633F9B">
            <w:pPr>
              <w:jc w:val="both"/>
              <w:rPr>
                <w:rFonts w:asciiTheme="minorHAnsi" w:hAnsiTheme="minorHAnsi" w:cstheme="minorHAnsi"/>
                <w:color w:val="000000"/>
                <w:sz w:val="18"/>
                <w:szCs w:val="18"/>
              </w:rPr>
            </w:pPr>
            <w:r w:rsidRPr="00F1155D">
              <w:rPr>
                <w:rFonts w:asciiTheme="minorHAnsi" w:hAnsiTheme="minorHAnsi" w:cstheme="minorHAnsi"/>
                <w:color w:val="000000"/>
                <w:sz w:val="18"/>
                <w:szCs w:val="18"/>
              </w:rPr>
              <w:t>• eGFR &gt;75 to 90 mL/min/1.73 m</w:t>
            </w:r>
            <w:r w:rsidRPr="00F475B9">
              <w:rPr>
                <w:rFonts w:asciiTheme="minorHAnsi" w:hAnsiTheme="minorHAnsi" w:cstheme="minorHAnsi"/>
                <w:color w:val="000000"/>
                <w:sz w:val="18"/>
                <w:szCs w:val="18"/>
                <w:vertAlign w:val="superscript"/>
              </w:rPr>
              <w:t>2</w:t>
            </w:r>
            <w:r w:rsidRPr="00F1155D">
              <w:rPr>
                <w:rFonts w:asciiTheme="minorHAnsi" w:hAnsiTheme="minorHAnsi" w:cstheme="minorHAnsi"/>
                <w:color w:val="000000"/>
                <w:sz w:val="18"/>
                <w:szCs w:val="18"/>
              </w:rPr>
              <w:t xml:space="preserve"> with UACR ≥200 mg/g</w:t>
            </w:r>
          </w:p>
          <w:p w14:paraId="0037B311" w14:textId="77777777" w:rsidR="000D56CE" w:rsidRPr="00F1155D" w:rsidRDefault="000D56CE" w:rsidP="00633F9B">
            <w:pPr>
              <w:jc w:val="both"/>
              <w:rPr>
                <w:rFonts w:asciiTheme="minorHAnsi" w:hAnsiTheme="minorHAnsi" w:cstheme="minorHAnsi"/>
                <w:color w:val="000000"/>
                <w:sz w:val="18"/>
                <w:szCs w:val="18"/>
              </w:rPr>
            </w:pPr>
          </w:p>
          <w:p w14:paraId="36E493A2" w14:textId="61A36DCA" w:rsidR="00845148" w:rsidRPr="00F1155D" w:rsidRDefault="00F574B4" w:rsidP="00633F9B">
            <w:pPr>
              <w:jc w:val="both"/>
              <w:rPr>
                <w:rFonts w:asciiTheme="minorHAnsi" w:hAnsiTheme="minorHAnsi" w:cstheme="minorHAnsi"/>
                <w:color w:val="000000"/>
                <w:sz w:val="18"/>
                <w:szCs w:val="18"/>
              </w:rPr>
            </w:pPr>
            <w:r w:rsidRPr="00F1155D">
              <w:rPr>
                <w:rFonts w:asciiTheme="minorHAnsi" w:hAnsiTheme="minorHAnsi" w:cstheme="minorHAnsi"/>
                <w:color w:val="000000"/>
                <w:sz w:val="18"/>
                <w:szCs w:val="18"/>
              </w:rPr>
              <w:t xml:space="preserve">The PBAC noted and welcomed consumer inputs from health care professionals and organisations received after the publication of the empagliflozin outcome from the May 2025 meeting. The PBAC acknowledged that the benefits of </w:t>
            </w:r>
            <w:r w:rsidR="00212697" w:rsidRPr="00212697">
              <w:rPr>
                <w:rFonts w:asciiTheme="minorHAnsi" w:hAnsiTheme="minorHAnsi" w:cstheme="minorHAnsi"/>
                <w:color w:val="000000"/>
                <w:sz w:val="18"/>
                <w:szCs w:val="18"/>
              </w:rPr>
              <w:t xml:space="preserve">sodium-glucose cotransporter 2 </w:t>
            </w:r>
            <w:r w:rsidR="00212697">
              <w:rPr>
                <w:rFonts w:asciiTheme="minorHAnsi" w:hAnsiTheme="minorHAnsi" w:cstheme="minorHAnsi"/>
                <w:color w:val="000000"/>
                <w:sz w:val="18"/>
                <w:szCs w:val="18"/>
              </w:rPr>
              <w:t>(</w:t>
            </w:r>
            <w:r w:rsidRPr="00F1155D">
              <w:rPr>
                <w:rFonts w:asciiTheme="minorHAnsi" w:hAnsiTheme="minorHAnsi" w:cstheme="minorHAnsi"/>
                <w:color w:val="000000"/>
                <w:sz w:val="18"/>
                <w:szCs w:val="18"/>
              </w:rPr>
              <w:t>SGLT2</w:t>
            </w:r>
            <w:r w:rsidR="00212697">
              <w:rPr>
                <w:rFonts w:asciiTheme="minorHAnsi" w:hAnsiTheme="minorHAnsi" w:cstheme="minorHAnsi"/>
                <w:color w:val="000000"/>
                <w:sz w:val="18"/>
                <w:szCs w:val="18"/>
              </w:rPr>
              <w:t xml:space="preserve">) </w:t>
            </w:r>
            <w:r w:rsidRPr="00F1155D">
              <w:rPr>
                <w:rFonts w:asciiTheme="minorHAnsi" w:hAnsiTheme="minorHAnsi" w:cstheme="minorHAnsi"/>
                <w:color w:val="000000"/>
                <w:sz w:val="18"/>
                <w:szCs w:val="18"/>
              </w:rPr>
              <w:t>inhibitors</w:t>
            </w:r>
            <w:r w:rsidR="00772244">
              <w:rPr>
                <w:rFonts w:asciiTheme="minorHAnsi" w:hAnsiTheme="minorHAnsi" w:cstheme="minorHAnsi"/>
                <w:color w:val="000000"/>
                <w:sz w:val="18"/>
                <w:szCs w:val="18"/>
              </w:rPr>
              <w:t xml:space="preserve"> such as dapagliflozin and empagl</w:t>
            </w:r>
            <w:r w:rsidR="002D434D">
              <w:rPr>
                <w:rFonts w:asciiTheme="minorHAnsi" w:hAnsiTheme="minorHAnsi" w:cstheme="minorHAnsi"/>
                <w:color w:val="000000"/>
                <w:sz w:val="18"/>
                <w:szCs w:val="18"/>
              </w:rPr>
              <w:t>iflozin</w:t>
            </w:r>
            <w:r w:rsidRPr="00F1155D">
              <w:rPr>
                <w:rFonts w:asciiTheme="minorHAnsi" w:hAnsiTheme="minorHAnsi" w:cstheme="minorHAnsi"/>
                <w:color w:val="000000"/>
                <w:sz w:val="18"/>
                <w:szCs w:val="18"/>
              </w:rPr>
              <w:t xml:space="preserve"> extend to a broader CKD population and the support for the alignment of the dapagliflozin with empagliflozin restrictions was based on evidence from clinical trials, real-world data and international clinical practice guidelines. Additionally, the PBAC agreed with the consumer inputs’ arguments that aligning dapagliflozin with empagliflozin restrictions would improve quality use of medicines and provide equitable access for patients and clinical clarity for prescribers for this class of medicine.</w:t>
            </w:r>
          </w:p>
          <w:p w14:paraId="6FB48897" w14:textId="77777777" w:rsidR="00845148" w:rsidRPr="00F1155D" w:rsidRDefault="00845148" w:rsidP="00633F9B">
            <w:pPr>
              <w:jc w:val="both"/>
              <w:rPr>
                <w:rFonts w:asciiTheme="minorHAnsi" w:hAnsiTheme="minorHAnsi" w:cstheme="minorHAnsi"/>
                <w:color w:val="000000"/>
                <w:sz w:val="18"/>
                <w:szCs w:val="18"/>
              </w:rPr>
            </w:pPr>
          </w:p>
          <w:p w14:paraId="570B99D5" w14:textId="35834D87" w:rsidR="004E1C98" w:rsidRPr="00F1155D" w:rsidRDefault="00F574B4" w:rsidP="00633F9B">
            <w:pPr>
              <w:jc w:val="both"/>
              <w:rPr>
                <w:rFonts w:asciiTheme="minorHAnsi" w:hAnsiTheme="minorHAnsi" w:cstheme="minorHAnsi"/>
                <w:color w:val="000000"/>
                <w:sz w:val="18"/>
                <w:szCs w:val="18"/>
              </w:rPr>
            </w:pPr>
            <w:r w:rsidRPr="00F1155D">
              <w:rPr>
                <w:rFonts w:asciiTheme="minorHAnsi" w:hAnsiTheme="minorHAnsi" w:cstheme="minorHAnsi"/>
                <w:color w:val="000000"/>
                <w:sz w:val="18"/>
                <w:szCs w:val="18"/>
              </w:rPr>
              <w:t>The PBAC considered that the submission provided adequate evidence to align the dapagliflozin restrictions with empagliflozin</w:t>
            </w:r>
            <w:r w:rsidR="0002264D">
              <w:rPr>
                <w:rFonts w:asciiTheme="minorHAnsi" w:hAnsiTheme="minorHAnsi" w:cstheme="minorHAnsi"/>
                <w:color w:val="000000"/>
                <w:sz w:val="18"/>
                <w:szCs w:val="18"/>
              </w:rPr>
              <w:t xml:space="preserve">. </w:t>
            </w:r>
            <w:r w:rsidR="00694ECA">
              <w:rPr>
                <w:rFonts w:asciiTheme="minorHAnsi" w:hAnsiTheme="minorHAnsi" w:cstheme="minorHAnsi"/>
                <w:color w:val="000000"/>
                <w:sz w:val="18"/>
                <w:szCs w:val="18"/>
              </w:rPr>
              <w:t>This included</w:t>
            </w:r>
            <w:r w:rsidRPr="00F1155D">
              <w:rPr>
                <w:rFonts w:asciiTheme="minorHAnsi" w:hAnsiTheme="minorHAnsi" w:cstheme="minorHAnsi"/>
                <w:color w:val="000000"/>
                <w:sz w:val="18"/>
                <w:szCs w:val="18"/>
              </w:rPr>
              <w:t xml:space="preserve"> the update to the current Therapeutic Goods Administration approved indication for dapagliflozin, current clinical guidelines for CKD treatment with SGLT2 inhibitors</w:t>
            </w:r>
            <w:r w:rsidR="00322E1D">
              <w:rPr>
                <w:rFonts w:asciiTheme="minorHAnsi" w:hAnsiTheme="minorHAnsi" w:cstheme="minorHAnsi"/>
                <w:color w:val="000000"/>
                <w:sz w:val="18"/>
                <w:szCs w:val="18"/>
              </w:rPr>
              <w:t>,</w:t>
            </w:r>
            <w:r w:rsidRPr="00F1155D">
              <w:rPr>
                <w:rFonts w:asciiTheme="minorHAnsi" w:hAnsiTheme="minorHAnsi" w:cstheme="minorHAnsi"/>
                <w:color w:val="000000"/>
                <w:sz w:val="18"/>
                <w:szCs w:val="18"/>
              </w:rPr>
              <w:t xml:space="preserve"> and real-world evidence that </w:t>
            </w:r>
            <w:r w:rsidR="00711B5F" w:rsidRPr="00F1155D">
              <w:rPr>
                <w:rFonts w:asciiTheme="minorHAnsi" w:hAnsiTheme="minorHAnsi" w:cstheme="minorHAnsi"/>
                <w:color w:val="000000"/>
                <w:sz w:val="18"/>
                <w:szCs w:val="18"/>
              </w:rPr>
              <w:t>in the</w:t>
            </w:r>
            <w:r w:rsidR="00711B5F">
              <w:rPr>
                <w:rFonts w:asciiTheme="minorHAnsi" w:hAnsiTheme="minorHAnsi" w:cstheme="minorHAnsi"/>
                <w:color w:val="000000"/>
                <w:sz w:val="18"/>
                <w:szCs w:val="18"/>
              </w:rPr>
              <w:t xml:space="preserve"> requested</w:t>
            </w:r>
            <w:r w:rsidR="00711B5F" w:rsidRPr="00F1155D">
              <w:rPr>
                <w:rFonts w:asciiTheme="minorHAnsi" w:hAnsiTheme="minorHAnsi" w:cstheme="minorHAnsi"/>
                <w:color w:val="000000"/>
                <w:sz w:val="18"/>
                <w:szCs w:val="18"/>
              </w:rPr>
              <w:t xml:space="preserve"> additional population</w:t>
            </w:r>
            <w:r w:rsidR="003D5529">
              <w:rPr>
                <w:rFonts w:asciiTheme="minorHAnsi" w:hAnsiTheme="minorHAnsi" w:cstheme="minorHAnsi"/>
                <w:color w:val="000000"/>
                <w:sz w:val="18"/>
                <w:szCs w:val="18"/>
              </w:rPr>
              <w:t>,</w:t>
            </w:r>
            <w:r w:rsidR="00711B5F" w:rsidRPr="00F1155D">
              <w:rPr>
                <w:rFonts w:asciiTheme="minorHAnsi" w:hAnsiTheme="minorHAnsi" w:cstheme="minorHAnsi"/>
                <w:color w:val="000000"/>
                <w:sz w:val="18"/>
                <w:szCs w:val="18"/>
              </w:rPr>
              <w:t xml:space="preserve"> </w:t>
            </w:r>
            <w:r w:rsidRPr="00F1155D">
              <w:rPr>
                <w:rFonts w:asciiTheme="minorHAnsi" w:hAnsiTheme="minorHAnsi" w:cstheme="minorHAnsi"/>
                <w:color w:val="000000"/>
                <w:sz w:val="18"/>
                <w:szCs w:val="18"/>
              </w:rPr>
              <w:t>dapagliflozin had a similar benefit to empagliflozin.</w:t>
            </w:r>
          </w:p>
          <w:p w14:paraId="3158C8FB" w14:textId="77777777" w:rsidR="004E1C98" w:rsidRPr="00F1155D" w:rsidRDefault="004E1C98" w:rsidP="00633F9B">
            <w:pPr>
              <w:jc w:val="both"/>
              <w:rPr>
                <w:rFonts w:asciiTheme="minorHAnsi" w:hAnsiTheme="minorHAnsi" w:cstheme="minorHAnsi"/>
                <w:color w:val="000000"/>
                <w:sz w:val="18"/>
                <w:szCs w:val="18"/>
              </w:rPr>
            </w:pPr>
          </w:p>
          <w:p w14:paraId="43F997E8" w14:textId="73196C33" w:rsidR="00F574B4" w:rsidRPr="00F1155D" w:rsidDel="008F66B5" w:rsidRDefault="00F574B4" w:rsidP="00633F9B">
            <w:pPr>
              <w:jc w:val="both"/>
              <w:rPr>
                <w:rFonts w:asciiTheme="minorHAnsi" w:eastAsiaTheme="minorHAnsi" w:hAnsiTheme="minorHAnsi" w:cstheme="minorHAnsi"/>
                <w:sz w:val="18"/>
                <w:szCs w:val="18"/>
                <w:lang w:val="en-GB"/>
              </w:rPr>
            </w:pPr>
            <w:r w:rsidRPr="00F1155D">
              <w:rPr>
                <w:rFonts w:asciiTheme="minorHAnsi" w:hAnsiTheme="minorHAnsi" w:cstheme="minorHAnsi"/>
                <w:color w:val="000000"/>
                <w:sz w:val="18"/>
                <w:szCs w:val="18"/>
              </w:rPr>
              <w:t>The PBAC recommended listing dapagliflozin on a cost-minimisation basis to empagliflozin (Jardiance®). The PBAC advised the equi-effective doses to be empagliflozin 10 mg once per day and dapagliflozin 10 mg once per day.</w:t>
            </w:r>
          </w:p>
        </w:tc>
      </w:tr>
      <w:tr w:rsidR="00305CA4" w:rsidRPr="00F1155D" w:rsidDel="008F66B5" w14:paraId="41369496" w14:textId="7EF7CEE9" w:rsidTr="128117E3">
        <w:trPr>
          <w:cantSplit/>
          <w:trHeight w:val="20"/>
          <w:jc w:val="center"/>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1C26252" w14:textId="2D1DA5A6" w:rsidR="00305CA4" w:rsidRPr="00F1155D" w:rsidRDefault="00305CA4" w:rsidP="00305CA4">
            <w:pPr>
              <w:jc w:val="center"/>
              <w:rPr>
                <w:rFonts w:asciiTheme="minorHAnsi" w:hAnsiTheme="minorHAnsi" w:cstheme="minorHAnsi"/>
                <w:sz w:val="18"/>
                <w:szCs w:val="18"/>
              </w:rPr>
            </w:pPr>
            <w:r w:rsidRPr="00F1155D">
              <w:rPr>
                <w:rFonts w:asciiTheme="minorHAnsi" w:hAnsiTheme="minorHAnsi" w:cstheme="minorHAnsi"/>
                <w:color w:val="000000"/>
                <w:sz w:val="18"/>
                <w:szCs w:val="18"/>
              </w:rPr>
              <w:lastRenderedPageBreak/>
              <w:t>MOGAMULIZUMAB</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Solution concentrate for I.V. infusion 20 mg in 5 mL</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Poteligeo</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Kyowa Kirin Australia Pty Ltd</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Matters arising from the minutes</w:t>
            </w:r>
            <w:r w:rsidRPr="00F1155D">
              <w:rPr>
                <w:rFonts w:asciiTheme="minorHAnsi" w:hAnsiTheme="minorHAnsi" w:cstheme="minorHAnsi"/>
                <w:color w:val="000000"/>
                <w:sz w:val="18"/>
                <w:szCs w:val="18"/>
              </w:rPr>
              <w:br/>
              <w:t>(New PBS listing)</w:t>
            </w:r>
          </w:p>
        </w:tc>
        <w:tc>
          <w:tcPr>
            <w:tcW w:w="2082" w:type="dxa"/>
            <w:tcBorders>
              <w:top w:val="single" w:sz="4" w:space="0" w:color="auto"/>
              <w:left w:val="single" w:sz="4" w:space="0" w:color="auto"/>
              <w:bottom w:val="single" w:sz="4" w:space="0" w:color="auto"/>
              <w:right w:val="single" w:sz="4" w:space="0" w:color="auto"/>
            </w:tcBorders>
            <w:vAlign w:val="center"/>
          </w:tcPr>
          <w:p w14:paraId="500A95A7" w14:textId="6568975C" w:rsidR="00305CA4" w:rsidRPr="00F1155D" w:rsidRDefault="00305CA4" w:rsidP="00305CA4">
            <w:pPr>
              <w:jc w:val="center"/>
              <w:rPr>
                <w:rFonts w:asciiTheme="minorHAnsi" w:hAnsiTheme="minorHAnsi" w:cstheme="minorHAnsi"/>
                <w:sz w:val="18"/>
                <w:szCs w:val="18"/>
              </w:rPr>
            </w:pPr>
            <w:r w:rsidRPr="00F1155D">
              <w:rPr>
                <w:rFonts w:asciiTheme="minorHAnsi" w:hAnsiTheme="minorHAnsi" w:cstheme="minorHAnsi"/>
                <w:color w:val="000000"/>
                <w:sz w:val="18"/>
                <w:szCs w:val="18"/>
              </w:rPr>
              <w:t>Cutaneous T-cell lymphoma (CTCL)</w:t>
            </w:r>
          </w:p>
        </w:tc>
        <w:tc>
          <w:tcPr>
            <w:tcW w:w="26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32C3EE4" w14:textId="487EBD54" w:rsidR="00305CA4" w:rsidRPr="00F1155D" w:rsidRDefault="00305CA4" w:rsidP="00305CA4">
            <w:pPr>
              <w:jc w:val="center"/>
              <w:rPr>
                <w:rFonts w:asciiTheme="minorHAnsi" w:hAnsiTheme="minorHAnsi" w:cstheme="minorHAnsi"/>
                <w:sz w:val="18"/>
                <w:szCs w:val="18"/>
              </w:rPr>
            </w:pPr>
            <w:r w:rsidRPr="00F1155D">
              <w:rPr>
                <w:rFonts w:asciiTheme="minorHAnsi" w:hAnsiTheme="minorHAnsi" w:cstheme="minorHAnsi"/>
                <w:color w:val="000000"/>
                <w:sz w:val="18"/>
                <w:szCs w:val="18"/>
              </w:rPr>
              <w:t>To consider the sponsor’s proposal for listing mogamulizumab for the treatment of CTCL. This matter was considered at the March</w:t>
            </w:r>
            <w:r w:rsidR="00885EBA">
              <w:rPr>
                <w:rFonts w:asciiTheme="minorHAnsi" w:hAnsiTheme="minorHAnsi" w:cstheme="minorHAnsi"/>
                <w:color w:val="000000"/>
                <w:sz w:val="18"/>
                <w:szCs w:val="18"/>
              </w:rPr>
              <w:t> </w:t>
            </w:r>
            <w:r w:rsidRPr="00F1155D">
              <w:rPr>
                <w:rFonts w:asciiTheme="minorHAnsi" w:hAnsiTheme="minorHAnsi" w:cstheme="minorHAnsi"/>
                <w:color w:val="000000"/>
                <w:sz w:val="18"/>
                <w:szCs w:val="18"/>
              </w:rPr>
              <w:t>2025 PBAC Meeting.</w:t>
            </w:r>
          </w:p>
        </w:tc>
        <w:tc>
          <w:tcPr>
            <w:tcW w:w="1701" w:type="dxa"/>
            <w:vAlign w:val="center"/>
          </w:tcPr>
          <w:p w14:paraId="6FB45133" w14:textId="4393BA4E" w:rsidR="00305CA4" w:rsidRPr="00F1155D" w:rsidDel="008F66B5" w:rsidRDefault="00305CA4" w:rsidP="00305CA4">
            <w:pPr>
              <w:pStyle w:val="ListParagraph"/>
              <w:keepLines/>
              <w:ind w:left="0"/>
              <w:jc w:val="center"/>
              <w:rPr>
                <w:rFonts w:asciiTheme="minorHAnsi" w:eastAsia="Times New Roman" w:hAnsiTheme="minorHAnsi" w:cstheme="minorHAnsi"/>
                <w:sz w:val="18"/>
                <w:szCs w:val="18"/>
              </w:rPr>
            </w:pPr>
            <w:r w:rsidRPr="00F1155D">
              <w:rPr>
                <w:rFonts w:asciiTheme="minorHAnsi" w:hAnsiTheme="minorHAnsi" w:cstheme="minorHAnsi"/>
                <w:color w:val="000000"/>
                <w:sz w:val="18"/>
                <w:szCs w:val="18"/>
              </w:rPr>
              <w:t>Advice Provided</w:t>
            </w:r>
          </w:p>
        </w:tc>
        <w:tc>
          <w:tcPr>
            <w:tcW w:w="5686" w:type="dxa"/>
            <w:vAlign w:val="center"/>
          </w:tcPr>
          <w:p w14:paraId="739BF5EE" w14:textId="27BE11A7" w:rsidR="00305CA4" w:rsidRPr="00F1155D" w:rsidDel="008F66B5" w:rsidRDefault="00305CA4" w:rsidP="00633F9B">
            <w:pPr>
              <w:jc w:val="both"/>
              <w:rPr>
                <w:rFonts w:asciiTheme="minorHAnsi" w:hAnsiTheme="minorHAnsi" w:cstheme="minorHAnsi"/>
                <w:color w:val="000000"/>
                <w:sz w:val="18"/>
                <w:szCs w:val="18"/>
              </w:rPr>
            </w:pPr>
            <w:r w:rsidRPr="00F1155D">
              <w:rPr>
                <w:rFonts w:asciiTheme="minorHAnsi" w:hAnsiTheme="minorHAnsi" w:cstheme="minorHAnsi"/>
                <w:color w:val="000000"/>
                <w:sz w:val="18"/>
                <w:szCs w:val="18"/>
              </w:rPr>
              <w:t xml:space="preserve">The PBAC provided additional advice in relation to its March 2025 recommendation for listing mogamulizumab on the PBS for the treatment of patients with cutaneous T-cell lymphoma that has </w:t>
            </w:r>
            <w:r w:rsidR="00B644C8">
              <w:rPr>
                <w:rFonts w:asciiTheme="minorHAnsi" w:hAnsiTheme="minorHAnsi" w:cstheme="minorHAnsi"/>
                <w:color w:val="000000"/>
                <w:sz w:val="18"/>
                <w:szCs w:val="18"/>
              </w:rPr>
              <w:t>reappeared</w:t>
            </w:r>
            <w:r w:rsidR="00B644C8" w:rsidRPr="00F1155D">
              <w:rPr>
                <w:rFonts w:asciiTheme="minorHAnsi" w:hAnsiTheme="minorHAnsi" w:cstheme="minorHAnsi"/>
                <w:color w:val="000000"/>
                <w:sz w:val="18"/>
                <w:szCs w:val="18"/>
              </w:rPr>
              <w:t xml:space="preserve"> </w:t>
            </w:r>
            <w:r w:rsidRPr="00F1155D">
              <w:rPr>
                <w:rFonts w:asciiTheme="minorHAnsi" w:hAnsiTheme="minorHAnsi" w:cstheme="minorHAnsi"/>
                <w:color w:val="000000"/>
                <w:sz w:val="18"/>
                <w:szCs w:val="18"/>
              </w:rPr>
              <w:t xml:space="preserve">after, or not responded to, initial treatment (relapsed or refractory CTCL). The PBAC recalled its previous advice that there was a high clinical need for alternative therapies to treat this rare disease, and its advice that mogamulizumab has a unique mechanism of action which would be particularly useful in patients with blood compartment involvement. The PBAC considered that a small premium over the previously recommended cost-minimisation approach was appropriate to reflect the additional benefits that these patients would receive with </w:t>
            </w:r>
            <w:r w:rsidR="00463B8E" w:rsidRPr="00F1155D">
              <w:rPr>
                <w:rFonts w:asciiTheme="minorHAnsi" w:hAnsiTheme="minorHAnsi" w:cstheme="minorHAnsi"/>
                <w:color w:val="000000"/>
                <w:sz w:val="18"/>
                <w:szCs w:val="18"/>
              </w:rPr>
              <w:t xml:space="preserve">mogamulizumab </w:t>
            </w:r>
            <w:r w:rsidRPr="00F1155D">
              <w:rPr>
                <w:rFonts w:asciiTheme="minorHAnsi" w:hAnsiTheme="minorHAnsi" w:cstheme="minorHAnsi"/>
                <w:color w:val="000000"/>
                <w:sz w:val="18"/>
                <w:szCs w:val="18"/>
              </w:rPr>
              <w:t>treatment.</w:t>
            </w:r>
          </w:p>
        </w:tc>
      </w:tr>
      <w:tr w:rsidR="003237D5" w:rsidRPr="00F1155D" w:rsidDel="008F66B5" w14:paraId="354C63DC" w14:textId="77777777" w:rsidTr="00694ECA">
        <w:trPr>
          <w:cantSplit/>
          <w:trHeight w:val="20"/>
          <w:jc w:val="center"/>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C5B0ACA" w14:textId="77777777" w:rsidR="003237D5" w:rsidRPr="00F1155D" w:rsidRDefault="003237D5" w:rsidP="003237D5">
            <w:pPr>
              <w:jc w:val="center"/>
              <w:rPr>
                <w:rFonts w:asciiTheme="minorHAnsi" w:hAnsiTheme="minorHAnsi" w:cstheme="minorHAnsi"/>
                <w:color w:val="000000"/>
                <w:sz w:val="18"/>
                <w:szCs w:val="18"/>
              </w:rPr>
            </w:pPr>
            <w:r w:rsidRPr="00F1155D">
              <w:rPr>
                <w:rFonts w:asciiTheme="minorHAnsi" w:hAnsiTheme="minorHAnsi" w:cstheme="minorHAnsi"/>
                <w:color w:val="000000"/>
                <w:sz w:val="18"/>
                <w:szCs w:val="18"/>
              </w:rPr>
              <w:lastRenderedPageBreak/>
              <w:t>NIVOLUMAB + IPILIMUMAB</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NIVOLUMAB</w:t>
            </w:r>
            <w:r w:rsidRPr="00F1155D">
              <w:rPr>
                <w:rFonts w:asciiTheme="minorHAnsi" w:hAnsiTheme="minorHAnsi" w:cstheme="minorHAnsi"/>
                <w:color w:val="000000"/>
                <w:sz w:val="18"/>
                <w:szCs w:val="18"/>
              </w:rPr>
              <w:br/>
              <w:t>Injection concentrate for I.V. infusion 40 mg in 4 mL</w:t>
            </w:r>
            <w:r w:rsidRPr="00F1155D">
              <w:rPr>
                <w:rFonts w:asciiTheme="minorHAnsi" w:hAnsiTheme="minorHAnsi" w:cstheme="minorHAnsi"/>
                <w:color w:val="000000"/>
                <w:sz w:val="18"/>
                <w:szCs w:val="18"/>
              </w:rPr>
              <w:br/>
              <w:t>Injection concentrate for I.V. infusion 100 mg in 10 mL</w:t>
            </w:r>
            <w:r w:rsidRPr="00F1155D">
              <w:rPr>
                <w:rFonts w:asciiTheme="minorHAnsi" w:hAnsiTheme="minorHAnsi" w:cstheme="minorHAnsi"/>
                <w:color w:val="000000"/>
                <w:sz w:val="18"/>
                <w:szCs w:val="18"/>
              </w:rPr>
              <w:br/>
              <w:t>Opdivo®</w:t>
            </w:r>
          </w:p>
          <w:p w14:paraId="06CA7BB6" w14:textId="1C2978C3" w:rsidR="003237D5" w:rsidRPr="00F1155D" w:rsidRDefault="003237D5" w:rsidP="003237D5">
            <w:pPr>
              <w:jc w:val="center"/>
              <w:rPr>
                <w:rFonts w:asciiTheme="minorHAnsi" w:eastAsia="Calibri" w:hAnsiTheme="minorHAnsi" w:cstheme="minorHAnsi"/>
                <w:color w:val="000000" w:themeColor="text1"/>
                <w:sz w:val="18"/>
                <w:szCs w:val="18"/>
              </w:rPr>
            </w:pPr>
            <w:r w:rsidRPr="00F1155D">
              <w:rPr>
                <w:rFonts w:asciiTheme="minorHAnsi" w:hAnsiTheme="minorHAnsi" w:cstheme="minorHAnsi"/>
                <w:color w:val="000000"/>
                <w:sz w:val="18"/>
                <w:szCs w:val="18"/>
              </w:rPr>
              <w:br/>
              <w:t>IPILIMUMAB</w:t>
            </w:r>
            <w:r w:rsidRPr="00F1155D">
              <w:rPr>
                <w:rFonts w:asciiTheme="minorHAnsi" w:hAnsiTheme="minorHAnsi" w:cstheme="minorHAnsi"/>
                <w:color w:val="000000"/>
                <w:sz w:val="18"/>
                <w:szCs w:val="18"/>
              </w:rPr>
              <w:br/>
              <w:t>Injection concentrate for I.V. infusion 50 mg in 10 mL</w:t>
            </w:r>
            <w:r w:rsidRPr="00F1155D">
              <w:rPr>
                <w:rFonts w:asciiTheme="minorHAnsi" w:hAnsiTheme="minorHAnsi" w:cstheme="minorHAnsi"/>
                <w:color w:val="000000"/>
                <w:sz w:val="18"/>
                <w:szCs w:val="18"/>
              </w:rPr>
              <w:br/>
              <w:t>Injection concentrate for I.V. infusion 200 mg in 40 mL</w:t>
            </w:r>
            <w:r w:rsidRPr="00F1155D">
              <w:rPr>
                <w:rFonts w:asciiTheme="minorHAnsi" w:hAnsiTheme="minorHAnsi" w:cstheme="minorHAnsi"/>
                <w:color w:val="000000"/>
                <w:sz w:val="18"/>
                <w:szCs w:val="18"/>
              </w:rPr>
              <w:br/>
              <w:t>Yervoy®</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BRISTOL-MYERS SQUIBB AUSTRALIA PTY LTD</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r>
            <w:r w:rsidR="00D74A2A">
              <w:rPr>
                <w:rFonts w:asciiTheme="minorHAnsi" w:hAnsiTheme="minorHAnsi" w:cstheme="minorHAnsi"/>
                <w:color w:val="000000"/>
                <w:sz w:val="18"/>
                <w:szCs w:val="18"/>
              </w:rPr>
              <w:t>M</w:t>
            </w:r>
            <w:r w:rsidRPr="00F1155D">
              <w:rPr>
                <w:rFonts w:asciiTheme="minorHAnsi" w:hAnsiTheme="minorHAnsi" w:cstheme="minorHAnsi"/>
                <w:color w:val="000000"/>
                <w:sz w:val="18"/>
                <w:szCs w:val="18"/>
              </w:rPr>
              <w:t>atters</w:t>
            </w:r>
            <w:r w:rsidR="00D74A2A">
              <w:rPr>
                <w:rFonts w:asciiTheme="minorHAnsi" w:hAnsiTheme="minorHAnsi" w:cstheme="minorHAnsi"/>
                <w:color w:val="000000"/>
                <w:sz w:val="18"/>
                <w:szCs w:val="18"/>
              </w:rPr>
              <w:t xml:space="preserve"> outstanding</w:t>
            </w:r>
            <w:r w:rsidRPr="00F1155D">
              <w:rPr>
                <w:rFonts w:asciiTheme="minorHAnsi" w:hAnsiTheme="minorHAnsi" w:cstheme="minorHAnsi"/>
                <w:color w:val="000000"/>
                <w:sz w:val="18"/>
                <w:szCs w:val="18"/>
              </w:rPr>
              <w:br/>
              <w:t>(Change to existing listing)</w:t>
            </w:r>
          </w:p>
        </w:tc>
        <w:tc>
          <w:tcPr>
            <w:tcW w:w="2082" w:type="dxa"/>
            <w:tcBorders>
              <w:top w:val="single" w:sz="4" w:space="0" w:color="auto"/>
              <w:left w:val="single" w:sz="4" w:space="0" w:color="auto"/>
              <w:bottom w:val="single" w:sz="4" w:space="0" w:color="auto"/>
              <w:right w:val="single" w:sz="4" w:space="0" w:color="auto"/>
            </w:tcBorders>
            <w:vAlign w:val="center"/>
          </w:tcPr>
          <w:p w14:paraId="20F89FE7" w14:textId="20E8B170" w:rsidR="003237D5" w:rsidRPr="00F1155D" w:rsidRDefault="003237D5" w:rsidP="003237D5">
            <w:pPr>
              <w:jc w:val="center"/>
              <w:rPr>
                <w:rFonts w:asciiTheme="minorHAnsi" w:eastAsia="Calibri" w:hAnsiTheme="minorHAnsi" w:cstheme="minorHAnsi"/>
                <w:color w:val="000000" w:themeColor="text1"/>
                <w:sz w:val="18"/>
                <w:szCs w:val="18"/>
              </w:rPr>
            </w:pPr>
            <w:r w:rsidRPr="00F1155D">
              <w:rPr>
                <w:rFonts w:asciiTheme="minorHAnsi" w:hAnsiTheme="minorHAnsi" w:cstheme="minorHAnsi"/>
                <w:color w:val="000000"/>
                <w:sz w:val="18"/>
                <w:szCs w:val="18"/>
              </w:rPr>
              <w:t>Unresectable advanced and metastatic cancer</w:t>
            </w:r>
          </w:p>
        </w:tc>
        <w:tc>
          <w:tcPr>
            <w:tcW w:w="26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D1B2FE4" w14:textId="3C35A624" w:rsidR="003237D5" w:rsidRPr="00F1155D" w:rsidRDefault="003237D5" w:rsidP="003237D5">
            <w:pPr>
              <w:jc w:val="center"/>
              <w:rPr>
                <w:rFonts w:asciiTheme="minorHAnsi" w:eastAsia="Calibri" w:hAnsiTheme="minorHAnsi" w:cstheme="minorHAnsi"/>
                <w:color w:val="000000" w:themeColor="text1"/>
                <w:sz w:val="18"/>
                <w:szCs w:val="18"/>
              </w:rPr>
            </w:pPr>
            <w:r w:rsidRPr="00F1155D">
              <w:rPr>
                <w:rFonts w:asciiTheme="minorHAnsi" w:hAnsiTheme="minorHAnsi" w:cstheme="minorHAnsi"/>
                <w:color w:val="000000"/>
                <w:sz w:val="18"/>
                <w:szCs w:val="18"/>
              </w:rPr>
              <w:t>To consider a proposal for an expanded listing to facilitate broad access for the treatment of unresectable advanced and metastatic cancer. This matter was deferred at the July</w:t>
            </w:r>
            <w:r w:rsidR="00F62E30">
              <w:rPr>
                <w:rFonts w:asciiTheme="minorHAnsi" w:hAnsiTheme="minorHAnsi" w:cstheme="minorHAnsi"/>
                <w:color w:val="000000"/>
                <w:sz w:val="18"/>
                <w:szCs w:val="18"/>
              </w:rPr>
              <w:t> </w:t>
            </w:r>
            <w:r w:rsidRPr="00F1155D">
              <w:rPr>
                <w:rFonts w:asciiTheme="minorHAnsi" w:hAnsiTheme="minorHAnsi" w:cstheme="minorHAnsi"/>
                <w:color w:val="000000"/>
                <w:sz w:val="18"/>
                <w:szCs w:val="18"/>
              </w:rPr>
              <w:t>2025 PBAC Meeting.</w:t>
            </w:r>
          </w:p>
        </w:tc>
        <w:tc>
          <w:tcPr>
            <w:tcW w:w="1701" w:type="dxa"/>
            <w:vAlign w:val="center"/>
          </w:tcPr>
          <w:p w14:paraId="170928E7" w14:textId="78DDDCCB" w:rsidR="003237D5" w:rsidRPr="00F1155D" w:rsidRDefault="003237D5" w:rsidP="003237D5">
            <w:pPr>
              <w:pStyle w:val="ListParagraph"/>
              <w:keepLines/>
              <w:ind w:left="0"/>
              <w:jc w:val="center"/>
              <w:rPr>
                <w:rFonts w:asciiTheme="minorHAnsi" w:hAnsiTheme="minorHAnsi" w:cstheme="minorHAnsi"/>
                <w:color w:val="000000"/>
                <w:sz w:val="18"/>
                <w:szCs w:val="18"/>
              </w:rPr>
            </w:pPr>
            <w:r w:rsidRPr="00F1155D">
              <w:rPr>
                <w:rFonts w:asciiTheme="minorHAnsi" w:hAnsiTheme="minorHAnsi" w:cstheme="minorHAnsi"/>
                <w:color w:val="000000"/>
                <w:sz w:val="18"/>
                <w:szCs w:val="18"/>
              </w:rPr>
              <w:t>Recommended</w:t>
            </w:r>
          </w:p>
        </w:tc>
        <w:tc>
          <w:tcPr>
            <w:tcW w:w="5686" w:type="dxa"/>
          </w:tcPr>
          <w:p w14:paraId="0FA0F4CA" w14:textId="77777777" w:rsidR="004E1C98" w:rsidRPr="00F1155D" w:rsidRDefault="003237D5" w:rsidP="00633F9B">
            <w:pPr>
              <w:jc w:val="both"/>
              <w:rPr>
                <w:rFonts w:asciiTheme="minorHAnsi" w:hAnsiTheme="minorHAnsi" w:cstheme="minorHAnsi"/>
                <w:color w:val="000000"/>
                <w:sz w:val="18"/>
                <w:szCs w:val="18"/>
              </w:rPr>
            </w:pPr>
            <w:r w:rsidRPr="00F1155D">
              <w:rPr>
                <w:rFonts w:asciiTheme="minorHAnsi" w:hAnsiTheme="minorHAnsi" w:cstheme="minorHAnsi"/>
                <w:color w:val="000000"/>
                <w:sz w:val="18"/>
                <w:szCs w:val="18"/>
              </w:rPr>
              <w:t xml:space="preserve">The PBAC recommended a multi-indication (broad) listing for nivolumab and ipilimumab in advanced or metastatic cancers. The PBAC considered the revised proposal put forward by the sponsor addressed its concerns, particularly in ensuring the financial risk was acceptably contained within the proposed risk sharing arrangement. </w:t>
            </w:r>
          </w:p>
          <w:p w14:paraId="02A7185F" w14:textId="77777777" w:rsidR="004E1C98" w:rsidRPr="00F1155D" w:rsidRDefault="004E1C98" w:rsidP="00633F9B">
            <w:pPr>
              <w:jc w:val="both"/>
              <w:rPr>
                <w:rFonts w:asciiTheme="minorHAnsi" w:hAnsiTheme="minorHAnsi" w:cstheme="minorHAnsi"/>
                <w:color w:val="000000"/>
                <w:sz w:val="18"/>
                <w:szCs w:val="18"/>
              </w:rPr>
            </w:pPr>
          </w:p>
          <w:p w14:paraId="1F3A1AB5" w14:textId="5D3C123D" w:rsidR="004E1C98" w:rsidRPr="00F1155D" w:rsidRDefault="003237D5" w:rsidP="00633F9B">
            <w:pPr>
              <w:jc w:val="both"/>
              <w:rPr>
                <w:rFonts w:asciiTheme="minorHAnsi" w:hAnsiTheme="minorHAnsi" w:cstheme="minorHAnsi"/>
                <w:color w:val="000000"/>
                <w:sz w:val="18"/>
                <w:szCs w:val="18"/>
              </w:rPr>
            </w:pPr>
            <w:r w:rsidRPr="00F1155D">
              <w:rPr>
                <w:rFonts w:asciiTheme="minorHAnsi" w:hAnsiTheme="minorHAnsi" w:cstheme="minorHAnsi"/>
                <w:color w:val="000000"/>
                <w:sz w:val="18"/>
                <w:szCs w:val="18"/>
              </w:rPr>
              <w:t>The PBAC noted the recommended wording for the listing would allow clinicians to apply clinical judgment and discretion in using the medicines according to the best available evidence at the time, including for retreatment, extended time on treatment and rare cancers for which regulatory submissions are unlikely. The listing would also remove the once in a lifetime limitation for these medicines when used for advanced or metastatic cancers.</w:t>
            </w:r>
          </w:p>
          <w:p w14:paraId="31C6B912" w14:textId="77777777" w:rsidR="004E1C98" w:rsidRPr="00F1155D" w:rsidRDefault="004E1C98" w:rsidP="00633F9B">
            <w:pPr>
              <w:jc w:val="both"/>
              <w:rPr>
                <w:rFonts w:asciiTheme="minorHAnsi" w:hAnsiTheme="minorHAnsi" w:cstheme="minorHAnsi"/>
                <w:color w:val="000000"/>
                <w:sz w:val="18"/>
                <w:szCs w:val="18"/>
              </w:rPr>
            </w:pPr>
          </w:p>
          <w:p w14:paraId="539D4BD1" w14:textId="77777777" w:rsidR="004E1C98" w:rsidRPr="00F1155D" w:rsidRDefault="003237D5" w:rsidP="00633F9B">
            <w:pPr>
              <w:jc w:val="both"/>
              <w:rPr>
                <w:rFonts w:asciiTheme="minorHAnsi" w:hAnsiTheme="minorHAnsi" w:cstheme="minorHAnsi"/>
                <w:color w:val="000000"/>
                <w:sz w:val="18"/>
                <w:szCs w:val="18"/>
              </w:rPr>
            </w:pPr>
            <w:r w:rsidRPr="00F1155D">
              <w:rPr>
                <w:rFonts w:asciiTheme="minorHAnsi" w:hAnsiTheme="minorHAnsi" w:cstheme="minorHAnsi"/>
                <w:color w:val="000000"/>
                <w:sz w:val="18"/>
                <w:szCs w:val="18"/>
              </w:rPr>
              <w:t xml:space="preserve">The PBAC acknowledged the significant amount of work that had gone into developing this proposal from the sponsor and the Department, as well as the support from a range of consumer and clinical representative bodies. The PBAC was pleased to have found an agreeable way forward for this novel approach to medicines funding under the PBS and hoped this may serve as a framework for future proposals of this kind. </w:t>
            </w:r>
          </w:p>
          <w:p w14:paraId="466DBC3E" w14:textId="77777777" w:rsidR="004E1C98" w:rsidRPr="00F1155D" w:rsidRDefault="004E1C98" w:rsidP="00633F9B">
            <w:pPr>
              <w:jc w:val="both"/>
              <w:rPr>
                <w:rFonts w:asciiTheme="minorHAnsi" w:hAnsiTheme="minorHAnsi" w:cstheme="minorHAnsi"/>
                <w:color w:val="000000"/>
                <w:sz w:val="18"/>
                <w:szCs w:val="18"/>
              </w:rPr>
            </w:pPr>
          </w:p>
          <w:p w14:paraId="5572EF1F" w14:textId="54F24DB0" w:rsidR="003237D5" w:rsidRPr="00F1155D" w:rsidDel="008F66B5" w:rsidRDefault="003237D5" w:rsidP="00633F9B">
            <w:pPr>
              <w:jc w:val="both"/>
              <w:rPr>
                <w:rFonts w:asciiTheme="minorHAnsi" w:hAnsiTheme="minorHAnsi" w:cstheme="minorHAnsi"/>
                <w:color w:val="000000"/>
                <w:sz w:val="18"/>
                <w:szCs w:val="18"/>
              </w:rPr>
            </w:pPr>
            <w:r w:rsidRPr="00F1155D">
              <w:rPr>
                <w:rFonts w:asciiTheme="minorHAnsi" w:hAnsiTheme="minorHAnsi" w:cstheme="minorHAnsi"/>
                <w:color w:val="000000"/>
                <w:sz w:val="18"/>
                <w:szCs w:val="18"/>
              </w:rPr>
              <w:t xml:space="preserve">The PBAC noted that successful implementation and appropriate use of this listing would be crucial to support considerations of both this and </w:t>
            </w:r>
            <w:r w:rsidR="00CC223A">
              <w:rPr>
                <w:rFonts w:asciiTheme="minorHAnsi" w:hAnsiTheme="minorHAnsi" w:cstheme="minorHAnsi"/>
                <w:color w:val="000000"/>
                <w:sz w:val="18"/>
                <w:szCs w:val="18"/>
              </w:rPr>
              <w:t>any</w:t>
            </w:r>
            <w:r w:rsidRPr="00F1155D">
              <w:rPr>
                <w:rFonts w:asciiTheme="minorHAnsi" w:hAnsiTheme="minorHAnsi" w:cstheme="minorHAnsi"/>
                <w:color w:val="000000"/>
                <w:sz w:val="18"/>
                <w:szCs w:val="18"/>
              </w:rPr>
              <w:t xml:space="preserve"> similar future broad listing proposals. The PBAC reiterated the importance of engagement from the sponsor, patient groups, clinical peak bodies and healthcare practitioners in supporting the ongoing viability of the listing. The PBAC requested the Department review how the listing was being used after three years to ensure </w:t>
            </w:r>
            <w:r w:rsidR="00C729E1" w:rsidRPr="00F1155D">
              <w:rPr>
                <w:rFonts w:asciiTheme="minorHAnsi" w:hAnsiTheme="minorHAnsi" w:cstheme="minorHAnsi"/>
                <w:color w:val="000000"/>
                <w:sz w:val="18"/>
                <w:szCs w:val="18"/>
              </w:rPr>
              <w:t>th</w:t>
            </w:r>
            <w:r w:rsidR="00C729E1">
              <w:rPr>
                <w:rFonts w:asciiTheme="minorHAnsi" w:hAnsiTheme="minorHAnsi" w:cstheme="minorHAnsi"/>
                <w:color w:val="000000"/>
                <w:sz w:val="18"/>
                <w:szCs w:val="18"/>
              </w:rPr>
              <w:t>e</w:t>
            </w:r>
            <w:r w:rsidR="00C729E1" w:rsidRPr="00F1155D">
              <w:rPr>
                <w:rFonts w:asciiTheme="minorHAnsi" w:hAnsiTheme="minorHAnsi" w:cstheme="minorHAnsi"/>
                <w:color w:val="000000"/>
                <w:sz w:val="18"/>
                <w:szCs w:val="18"/>
              </w:rPr>
              <w:t xml:space="preserve"> </w:t>
            </w:r>
            <w:r w:rsidRPr="00F1155D">
              <w:rPr>
                <w:rFonts w:asciiTheme="minorHAnsi" w:hAnsiTheme="minorHAnsi" w:cstheme="minorHAnsi"/>
                <w:color w:val="000000"/>
                <w:sz w:val="18"/>
                <w:szCs w:val="18"/>
              </w:rPr>
              <w:t>use remained consistent with its intention.</w:t>
            </w:r>
          </w:p>
        </w:tc>
      </w:tr>
      <w:tr w:rsidR="00E363BA" w:rsidRPr="00F1155D" w:rsidDel="008F66B5" w14:paraId="15392436" w14:textId="08784C3B" w:rsidTr="00F475B9">
        <w:trPr>
          <w:cantSplit/>
          <w:trHeight w:val="20"/>
          <w:jc w:val="center"/>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4431AA7" w14:textId="0882400D" w:rsidR="00E363BA" w:rsidRPr="00F1155D" w:rsidRDefault="00E363BA" w:rsidP="00E363BA">
            <w:pPr>
              <w:jc w:val="center"/>
              <w:rPr>
                <w:rFonts w:asciiTheme="minorHAnsi" w:hAnsiTheme="minorHAnsi" w:cstheme="minorHAnsi"/>
                <w:sz w:val="18"/>
                <w:szCs w:val="18"/>
              </w:rPr>
            </w:pPr>
            <w:r w:rsidRPr="00F1155D">
              <w:rPr>
                <w:rFonts w:asciiTheme="minorHAnsi" w:hAnsiTheme="minorHAnsi" w:cstheme="minorHAnsi"/>
                <w:color w:val="000000"/>
                <w:sz w:val="18"/>
                <w:szCs w:val="18"/>
              </w:rPr>
              <w:lastRenderedPageBreak/>
              <w:t>OSIMERTINIB</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Tablet 40 mg</w:t>
            </w:r>
            <w:r w:rsidRPr="00F1155D">
              <w:rPr>
                <w:rFonts w:asciiTheme="minorHAnsi" w:hAnsiTheme="minorHAnsi" w:cstheme="minorHAnsi"/>
                <w:color w:val="000000"/>
                <w:sz w:val="18"/>
                <w:szCs w:val="18"/>
              </w:rPr>
              <w:br/>
              <w:t>Tablet 80 mg</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Tagrisso®</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ASTRAZENECA PTY LTD</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Early re-entry</w:t>
            </w:r>
            <w:r w:rsidRPr="00F1155D">
              <w:rPr>
                <w:rFonts w:asciiTheme="minorHAnsi" w:hAnsiTheme="minorHAnsi" w:cstheme="minorHAnsi"/>
                <w:color w:val="000000"/>
                <w:sz w:val="18"/>
                <w:szCs w:val="18"/>
              </w:rPr>
              <w:br/>
              <w:t>(Change to existing listing)</w:t>
            </w:r>
          </w:p>
        </w:tc>
        <w:tc>
          <w:tcPr>
            <w:tcW w:w="2082" w:type="dxa"/>
            <w:tcBorders>
              <w:top w:val="single" w:sz="4" w:space="0" w:color="auto"/>
              <w:left w:val="single" w:sz="4" w:space="0" w:color="auto"/>
              <w:bottom w:val="single" w:sz="4" w:space="0" w:color="auto"/>
              <w:right w:val="single" w:sz="4" w:space="0" w:color="auto"/>
            </w:tcBorders>
            <w:vAlign w:val="center"/>
          </w:tcPr>
          <w:p w14:paraId="3DD7194D" w14:textId="07DFE035" w:rsidR="00E363BA" w:rsidRPr="00F1155D" w:rsidRDefault="00E363BA" w:rsidP="00E363BA">
            <w:pPr>
              <w:jc w:val="center"/>
              <w:rPr>
                <w:rFonts w:asciiTheme="minorHAnsi" w:hAnsiTheme="minorHAnsi" w:cstheme="minorHAnsi"/>
                <w:sz w:val="18"/>
                <w:szCs w:val="18"/>
              </w:rPr>
            </w:pPr>
            <w:r w:rsidRPr="00F1155D">
              <w:rPr>
                <w:rFonts w:asciiTheme="minorHAnsi" w:hAnsiTheme="minorHAnsi" w:cstheme="minorHAnsi"/>
                <w:color w:val="000000"/>
                <w:sz w:val="18"/>
                <w:szCs w:val="18"/>
              </w:rPr>
              <w:t>Non-small cell lung cancer (NSCLC)</w:t>
            </w:r>
          </w:p>
        </w:tc>
        <w:tc>
          <w:tcPr>
            <w:tcW w:w="26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15803C4" w14:textId="32A90E8C" w:rsidR="00E363BA" w:rsidRPr="00F1155D" w:rsidRDefault="00E363BA" w:rsidP="00E363BA">
            <w:pPr>
              <w:jc w:val="center"/>
              <w:rPr>
                <w:rFonts w:asciiTheme="minorHAnsi" w:hAnsiTheme="minorHAnsi" w:cstheme="minorHAnsi"/>
                <w:sz w:val="18"/>
                <w:szCs w:val="18"/>
              </w:rPr>
            </w:pPr>
            <w:r w:rsidRPr="00F1155D">
              <w:rPr>
                <w:rFonts w:asciiTheme="minorHAnsi" w:hAnsiTheme="minorHAnsi" w:cstheme="minorHAnsi"/>
                <w:color w:val="000000"/>
                <w:sz w:val="18"/>
                <w:szCs w:val="18"/>
              </w:rPr>
              <w:t>To request a General Schedule Authority Required (Telephone/Online) listing for the first line treatment of Stage IIIB (locally advanced) or Stage IV (metastatic) epidermal growth factor receptor mutation-positive (EGFRm) NSCLC in combination with pemetrexed and platinum-based chemotherapy.</w:t>
            </w:r>
          </w:p>
        </w:tc>
        <w:tc>
          <w:tcPr>
            <w:tcW w:w="1701" w:type="dxa"/>
            <w:vAlign w:val="center"/>
          </w:tcPr>
          <w:p w14:paraId="6975FA0E" w14:textId="6C2F0042" w:rsidR="00E363BA" w:rsidRPr="00F1155D" w:rsidDel="008F66B5" w:rsidRDefault="00E363BA" w:rsidP="00E363BA">
            <w:pPr>
              <w:pStyle w:val="ListParagraph"/>
              <w:keepLines/>
              <w:ind w:left="0"/>
              <w:jc w:val="center"/>
              <w:rPr>
                <w:rFonts w:asciiTheme="minorHAnsi" w:hAnsiTheme="minorHAnsi" w:cstheme="minorHAnsi"/>
                <w:color w:val="000000"/>
                <w:sz w:val="18"/>
                <w:szCs w:val="18"/>
              </w:rPr>
            </w:pPr>
            <w:r w:rsidRPr="00F1155D">
              <w:rPr>
                <w:rFonts w:asciiTheme="minorHAnsi" w:hAnsiTheme="minorHAnsi" w:cstheme="minorHAnsi"/>
                <w:color w:val="000000"/>
                <w:sz w:val="18"/>
                <w:szCs w:val="18"/>
              </w:rPr>
              <w:t>Recommended</w:t>
            </w:r>
          </w:p>
        </w:tc>
        <w:tc>
          <w:tcPr>
            <w:tcW w:w="5686" w:type="dxa"/>
            <w:vAlign w:val="center"/>
          </w:tcPr>
          <w:p w14:paraId="6E06C825" w14:textId="767086C6" w:rsidR="00E363BA" w:rsidRPr="00F1155D" w:rsidDel="008F66B5" w:rsidRDefault="00E363BA" w:rsidP="00633F9B">
            <w:pPr>
              <w:jc w:val="both"/>
              <w:rPr>
                <w:rFonts w:asciiTheme="minorHAnsi" w:hAnsiTheme="minorHAnsi" w:cstheme="minorHAnsi"/>
                <w:color w:val="000000"/>
                <w:sz w:val="18"/>
                <w:szCs w:val="18"/>
                <w:lang w:val="en-GB"/>
              </w:rPr>
            </w:pPr>
            <w:r w:rsidRPr="00F1155D">
              <w:rPr>
                <w:rFonts w:asciiTheme="minorHAnsi" w:hAnsiTheme="minorHAnsi" w:cstheme="minorHAnsi"/>
                <w:color w:val="000000"/>
                <w:sz w:val="18"/>
                <w:szCs w:val="18"/>
              </w:rPr>
              <w:t>The PBAC recommended the listing of osimertinib, in combination with chemotherapy, for the first-line treatment of patients with locally advanced or metastatic NSCLC with evidence of an activating epidermal growth factor receptor mutation (EGFRm) in tumour material. The PBAC considered the early re-entry resubmission had addressed the outstanding issues from its May 2025 consideration (see the public summary document for more detail). The PBAC considered a single osimertinib restriction covering all patient populations with EGFRm NSCLC was appropriate and the methodology proposed in the pre-PBAC response for calculating a price for this listing was appropriate.</w:t>
            </w:r>
          </w:p>
        </w:tc>
      </w:tr>
      <w:tr w:rsidR="003237D5" w:rsidRPr="00F1155D" w:rsidDel="008F66B5" w14:paraId="4FFCA2D9" w14:textId="6E3CFFEB" w:rsidTr="00694ECA">
        <w:trPr>
          <w:cantSplit/>
          <w:trHeight w:val="20"/>
          <w:jc w:val="center"/>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82A49A2" w14:textId="47DC623C" w:rsidR="003237D5" w:rsidRPr="00F1155D" w:rsidRDefault="003237D5" w:rsidP="003237D5">
            <w:pPr>
              <w:jc w:val="center"/>
              <w:rPr>
                <w:rFonts w:asciiTheme="minorHAnsi" w:hAnsiTheme="minorHAnsi" w:cstheme="minorHAnsi"/>
                <w:sz w:val="18"/>
                <w:szCs w:val="18"/>
              </w:rPr>
            </w:pPr>
            <w:bookmarkStart w:id="2" w:name="_Hlk207700684"/>
            <w:r w:rsidRPr="00F1155D">
              <w:rPr>
                <w:rFonts w:asciiTheme="minorHAnsi" w:hAnsiTheme="minorHAnsi" w:cstheme="minorHAnsi"/>
                <w:color w:val="000000"/>
                <w:sz w:val="18"/>
                <w:szCs w:val="18"/>
              </w:rPr>
              <w:t>VANZACAFTOR WITH TEZACAFTOR AND WITH DEUTIVACAFTOR</w:t>
            </w:r>
            <w:bookmarkEnd w:id="2"/>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Pack containing 84 tablets vanzacaftor 4 mg with tezacaftor 20</w:t>
            </w:r>
            <w:r w:rsidR="00513E31">
              <w:rPr>
                <w:rFonts w:asciiTheme="minorHAnsi" w:hAnsiTheme="minorHAnsi" w:cstheme="minorHAnsi"/>
                <w:color w:val="000000"/>
                <w:sz w:val="18"/>
                <w:szCs w:val="18"/>
              </w:rPr>
              <w:t> </w:t>
            </w:r>
            <w:r w:rsidRPr="00F1155D">
              <w:rPr>
                <w:rFonts w:asciiTheme="minorHAnsi" w:hAnsiTheme="minorHAnsi" w:cstheme="minorHAnsi"/>
                <w:color w:val="000000"/>
                <w:sz w:val="18"/>
                <w:szCs w:val="18"/>
              </w:rPr>
              <w:t>mg and with deutivacaftor 50 mg</w:t>
            </w:r>
            <w:r w:rsidRPr="00F1155D">
              <w:rPr>
                <w:rFonts w:asciiTheme="minorHAnsi" w:hAnsiTheme="minorHAnsi" w:cstheme="minorHAnsi"/>
                <w:color w:val="000000"/>
                <w:sz w:val="18"/>
                <w:szCs w:val="18"/>
              </w:rPr>
              <w:br/>
              <w:t>Pack containing 56 tablet vanzacaftor 10 mg with tezacaftor 50 mg and with deutivacaftor 125 mg</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Alyftrek®</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VERTEX PHARMACEUTICALS PTY LTD</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Matters outstanding</w:t>
            </w:r>
            <w:r w:rsidRPr="00F1155D">
              <w:rPr>
                <w:rFonts w:asciiTheme="minorHAnsi" w:hAnsiTheme="minorHAnsi" w:cstheme="minorHAnsi"/>
                <w:color w:val="000000"/>
                <w:sz w:val="18"/>
                <w:szCs w:val="18"/>
              </w:rPr>
              <w:br/>
              <w:t>(New PBS listing)</w:t>
            </w:r>
          </w:p>
        </w:tc>
        <w:tc>
          <w:tcPr>
            <w:tcW w:w="2082" w:type="dxa"/>
            <w:tcBorders>
              <w:top w:val="single" w:sz="4" w:space="0" w:color="auto"/>
              <w:left w:val="single" w:sz="4" w:space="0" w:color="auto"/>
              <w:bottom w:val="single" w:sz="4" w:space="0" w:color="auto"/>
              <w:right w:val="single" w:sz="4" w:space="0" w:color="auto"/>
            </w:tcBorders>
            <w:vAlign w:val="center"/>
          </w:tcPr>
          <w:p w14:paraId="208166A4" w14:textId="01948261" w:rsidR="003237D5" w:rsidRPr="00F1155D" w:rsidRDefault="003237D5" w:rsidP="003237D5">
            <w:pPr>
              <w:jc w:val="center"/>
              <w:rPr>
                <w:rFonts w:asciiTheme="minorHAnsi" w:hAnsiTheme="minorHAnsi" w:cstheme="minorHAnsi"/>
                <w:sz w:val="18"/>
                <w:szCs w:val="18"/>
              </w:rPr>
            </w:pPr>
            <w:r w:rsidRPr="00F1155D">
              <w:rPr>
                <w:rFonts w:asciiTheme="minorHAnsi" w:hAnsiTheme="minorHAnsi" w:cstheme="minorHAnsi"/>
                <w:color w:val="000000"/>
                <w:sz w:val="18"/>
                <w:szCs w:val="18"/>
              </w:rPr>
              <w:t>Cystic fibrosis</w:t>
            </w:r>
          </w:p>
        </w:tc>
        <w:tc>
          <w:tcPr>
            <w:tcW w:w="26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5F05350" w14:textId="1D8E0FD6" w:rsidR="003237D5" w:rsidRPr="00F1155D" w:rsidRDefault="003237D5" w:rsidP="003237D5">
            <w:pPr>
              <w:jc w:val="center"/>
              <w:rPr>
                <w:rFonts w:asciiTheme="minorHAnsi" w:hAnsiTheme="minorHAnsi" w:cstheme="minorHAnsi"/>
                <w:sz w:val="18"/>
                <w:szCs w:val="18"/>
              </w:rPr>
            </w:pPr>
            <w:r w:rsidRPr="00F1155D">
              <w:rPr>
                <w:rFonts w:asciiTheme="minorHAnsi" w:hAnsiTheme="minorHAnsi" w:cstheme="minorHAnsi"/>
                <w:color w:val="000000"/>
                <w:sz w:val="18"/>
                <w:szCs w:val="18"/>
              </w:rPr>
              <w:t>To request a Section 100 (Highly Specialised Drugs Program) Authority Required (Written) listing for the treatment of cystic fibrosis in patients who are aged 6 years and older and who have at least one F508del mutation or another responsive mutation in the cystic fibrosis transmembrane conductance regulator (</w:t>
            </w:r>
            <w:r w:rsidRPr="00D7410D">
              <w:rPr>
                <w:rFonts w:asciiTheme="minorHAnsi" w:hAnsiTheme="minorHAnsi" w:cstheme="minorHAnsi"/>
                <w:i/>
                <w:iCs/>
                <w:color w:val="000000"/>
                <w:sz w:val="18"/>
                <w:szCs w:val="18"/>
              </w:rPr>
              <w:t>CFTR</w:t>
            </w:r>
            <w:r w:rsidRPr="00F1155D">
              <w:rPr>
                <w:rFonts w:asciiTheme="minorHAnsi" w:hAnsiTheme="minorHAnsi" w:cstheme="minorHAnsi"/>
                <w:color w:val="000000"/>
                <w:sz w:val="18"/>
                <w:szCs w:val="18"/>
              </w:rPr>
              <w:t>) gene.</w:t>
            </w:r>
            <w:r w:rsidR="004B2837">
              <w:t xml:space="preserve"> </w:t>
            </w:r>
            <w:r w:rsidR="004B2837" w:rsidRPr="004B2837">
              <w:rPr>
                <w:rFonts w:asciiTheme="minorHAnsi" w:hAnsiTheme="minorHAnsi" w:cstheme="minorHAnsi"/>
                <w:color w:val="000000"/>
                <w:sz w:val="18"/>
                <w:szCs w:val="18"/>
              </w:rPr>
              <w:t xml:space="preserve">This matter was deferred at the </w:t>
            </w:r>
            <w:r w:rsidR="004B2837">
              <w:rPr>
                <w:rFonts w:asciiTheme="minorHAnsi" w:hAnsiTheme="minorHAnsi" w:cstheme="minorHAnsi"/>
                <w:color w:val="000000"/>
                <w:sz w:val="18"/>
                <w:szCs w:val="18"/>
              </w:rPr>
              <w:t>July</w:t>
            </w:r>
            <w:r w:rsidR="004B2837" w:rsidRPr="004B2837">
              <w:rPr>
                <w:rFonts w:asciiTheme="minorHAnsi" w:hAnsiTheme="minorHAnsi" w:cstheme="minorHAnsi"/>
                <w:color w:val="000000"/>
                <w:sz w:val="18"/>
                <w:szCs w:val="18"/>
              </w:rPr>
              <w:t xml:space="preserve"> 2025 PBAC Meeting.</w:t>
            </w:r>
          </w:p>
        </w:tc>
        <w:tc>
          <w:tcPr>
            <w:tcW w:w="1701" w:type="dxa"/>
            <w:vAlign w:val="center"/>
          </w:tcPr>
          <w:p w14:paraId="700BE01A" w14:textId="75DA7688" w:rsidR="003237D5" w:rsidRPr="00F1155D" w:rsidDel="008F66B5" w:rsidRDefault="003237D5" w:rsidP="003237D5">
            <w:pPr>
              <w:pStyle w:val="ListParagraph"/>
              <w:keepLines/>
              <w:ind w:left="0"/>
              <w:jc w:val="center"/>
              <w:rPr>
                <w:rFonts w:asciiTheme="minorHAnsi" w:hAnsiTheme="minorHAnsi" w:cstheme="minorHAnsi"/>
                <w:color w:val="000000"/>
                <w:sz w:val="18"/>
                <w:szCs w:val="18"/>
              </w:rPr>
            </w:pPr>
            <w:r w:rsidRPr="00F1155D">
              <w:rPr>
                <w:rFonts w:asciiTheme="minorHAnsi" w:hAnsiTheme="minorHAnsi" w:cstheme="minorHAnsi"/>
                <w:color w:val="000000"/>
                <w:sz w:val="18"/>
                <w:szCs w:val="18"/>
              </w:rPr>
              <w:t>Recommended</w:t>
            </w:r>
          </w:p>
        </w:tc>
        <w:tc>
          <w:tcPr>
            <w:tcW w:w="5686" w:type="dxa"/>
          </w:tcPr>
          <w:p w14:paraId="14A375AD" w14:textId="171B2820" w:rsidR="0073511B" w:rsidRPr="00F1155D" w:rsidRDefault="003237D5" w:rsidP="00633F9B">
            <w:pPr>
              <w:jc w:val="both"/>
              <w:rPr>
                <w:rFonts w:asciiTheme="minorHAnsi" w:hAnsiTheme="minorHAnsi" w:cstheme="minorHAnsi"/>
                <w:color w:val="000000"/>
                <w:sz w:val="18"/>
                <w:szCs w:val="18"/>
              </w:rPr>
            </w:pPr>
            <w:r w:rsidRPr="00F1155D">
              <w:rPr>
                <w:rFonts w:asciiTheme="minorHAnsi" w:hAnsiTheme="minorHAnsi" w:cstheme="minorHAnsi"/>
                <w:color w:val="000000"/>
                <w:sz w:val="18"/>
                <w:szCs w:val="18"/>
              </w:rPr>
              <w:t>The PBAC recommended the Section 100 (Highly Specialised Drugs Program) listing of vanzacaftor with tezacaftor and with deutivacaftor (VNZ/TEZ/D-IVA) for the treatment of cystic fibrosis in patients aged 6</w:t>
            </w:r>
            <w:r w:rsidR="00513E31">
              <w:rPr>
                <w:rFonts w:asciiTheme="minorHAnsi" w:hAnsiTheme="minorHAnsi" w:cstheme="minorHAnsi"/>
                <w:color w:val="000000"/>
                <w:sz w:val="18"/>
                <w:szCs w:val="18"/>
              </w:rPr>
              <w:t> </w:t>
            </w:r>
            <w:r w:rsidRPr="00F1155D">
              <w:rPr>
                <w:rFonts w:asciiTheme="minorHAnsi" w:hAnsiTheme="minorHAnsi" w:cstheme="minorHAnsi"/>
                <w:color w:val="000000"/>
                <w:sz w:val="18"/>
                <w:szCs w:val="18"/>
              </w:rPr>
              <w:t xml:space="preserve">years and older who have at least one mutation in the </w:t>
            </w:r>
            <w:r w:rsidRPr="00F475B9">
              <w:rPr>
                <w:rFonts w:asciiTheme="minorHAnsi" w:hAnsiTheme="minorHAnsi" w:cstheme="minorHAnsi"/>
                <w:i/>
                <w:iCs/>
                <w:color w:val="000000"/>
                <w:sz w:val="18"/>
                <w:szCs w:val="18"/>
              </w:rPr>
              <w:t>CFTR</w:t>
            </w:r>
            <w:r w:rsidRPr="00F1155D">
              <w:rPr>
                <w:rFonts w:asciiTheme="minorHAnsi" w:hAnsiTheme="minorHAnsi" w:cstheme="minorHAnsi"/>
                <w:color w:val="000000"/>
                <w:sz w:val="18"/>
                <w:szCs w:val="18"/>
              </w:rPr>
              <w:t xml:space="preserve"> gene that is responsive to VNZ/TEZ/D</w:t>
            </w:r>
            <w:r w:rsidR="004816F7">
              <w:rPr>
                <w:rFonts w:asciiTheme="minorHAnsi" w:hAnsiTheme="minorHAnsi" w:cstheme="minorHAnsi"/>
                <w:color w:val="000000"/>
                <w:sz w:val="18"/>
                <w:szCs w:val="18"/>
              </w:rPr>
              <w:noBreakHyphen/>
            </w:r>
            <w:r w:rsidRPr="00F1155D">
              <w:rPr>
                <w:rFonts w:asciiTheme="minorHAnsi" w:hAnsiTheme="minorHAnsi" w:cstheme="minorHAnsi"/>
                <w:color w:val="000000"/>
                <w:sz w:val="18"/>
                <w:szCs w:val="18"/>
              </w:rPr>
              <w:t>IVA potentiation based on clinical and/or in vitro assay data.</w:t>
            </w:r>
          </w:p>
          <w:p w14:paraId="62904831" w14:textId="77777777" w:rsidR="0073511B" w:rsidRPr="00F1155D" w:rsidRDefault="0073511B" w:rsidP="00633F9B">
            <w:pPr>
              <w:jc w:val="both"/>
              <w:rPr>
                <w:rFonts w:asciiTheme="minorHAnsi" w:hAnsiTheme="minorHAnsi" w:cstheme="minorHAnsi"/>
                <w:color w:val="000000"/>
                <w:sz w:val="18"/>
                <w:szCs w:val="18"/>
              </w:rPr>
            </w:pPr>
          </w:p>
          <w:p w14:paraId="0471220A" w14:textId="0F6A1999" w:rsidR="0073511B" w:rsidRPr="00F1155D" w:rsidRDefault="003237D5" w:rsidP="00633F9B">
            <w:pPr>
              <w:jc w:val="both"/>
              <w:rPr>
                <w:rFonts w:asciiTheme="minorHAnsi" w:hAnsiTheme="minorHAnsi" w:cstheme="minorHAnsi"/>
                <w:color w:val="000000"/>
                <w:sz w:val="18"/>
                <w:szCs w:val="18"/>
              </w:rPr>
            </w:pPr>
            <w:r w:rsidRPr="00F1155D">
              <w:rPr>
                <w:rFonts w:asciiTheme="minorHAnsi" w:hAnsiTheme="minorHAnsi" w:cstheme="minorHAnsi"/>
                <w:color w:val="000000"/>
                <w:sz w:val="18"/>
                <w:szCs w:val="18"/>
              </w:rPr>
              <w:t xml:space="preserve">The PBAC welcomed input from clinicians and consumers </w:t>
            </w:r>
            <w:r w:rsidR="00844043">
              <w:rPr>
                <w:rFonts w:asciiTheme="minorHAnsi" w:hAnsiTheme="minorHAnsi" w:cstheme="minorHAnsi"/>
                <w:color w:val="000000"/>
                <w:sz w:val="18"/>
                <w:szCs w:val="18"/>
              </w:rPr>
              <w:t>for</w:t>
            </w:r>
            <w:r w:rsidRPr="00F1155D">
              <w:rPr>
                <w:rFonts w:asciiTheme="minorHAnsi" w:hAnsiTheme="minorHAnsi" w:cstheme="minorHAnsi"/>
                <w:color w:val="000000"/>
                <w:sz w:val="18"/>
                <w:szCs w:val="18"/>
              </w:rPr>
              <w:t xml:space="preserve"> the July</w:t>
            </w:r>
            <w:r w:rsidR="004816F7">
              <w:rPr>
                <w:rFonts w:asciiTheme="minorHAnsi" w:hAnsiTheme="minorHAnsi" w:cstheme="minorHAnsi"/>
                <w:color w:val="000000"/>
                <w:sz w:val="18"/>
                <w:szCs w:val="18"/>
              </w:rPr>
              <w:t> </w:t>
            </w:r>
            <w:r w:rsidRPr="00F1155D">
              <w:rPr>
                <w:rFonts w:asciiTheme="minorHAnsi" w:hAnsiTheme="minorHAnsi" w:cstheme="minorHAnsi"/>
                <w:color w:val="000000"/>
                <w:sz w:val="18"/>
                <w:szCs w:val="18"/>
              </w:rPr>
              <w:t xml:space="preserve">2025 meeting. The PBAC acknowledged there was strong support for the listing of this medicine. The PBAC noted consumer </w:t>
            </w:r>
            <w:r w:rsidR="00040463">
              <w:rPr>
                <w:rFonts w:asciiTheme="minorHAnsi" w:hAnsiTheme="minorHAnsi" w:cstheme="minorHAnsi"/>
                <w:color w:val="000000"/>
                <w:sz w:val="18"/>
                <w:szCs w:val="18"/>
              </w:rPr>
              <w:t>inputs</w:t>
            </w:r>
            <w:r w:rsidRPr="00F1155D">
              <w:rPr>
                <w:rFonts w:asciiTheme="minorHAnsi" w:hAnsiTheme="minorHAnsi" w:cstheme="minorHAnsi"/>
                <w:color w:val="000000"/>
                <w:sz w:val="18"/>
                <w:szCs w:val="18"/>
              </w:rPr>
              <w:t xml:space="preserve"> that VNZ/TEZ/D</w:t>
            </w:r>
            <w:r w:rsidR="004816F7">
              <w:rPr>
                <w:rFonts w:asciiTheme="minorHAnsi" w:hAnsiTheme="minorHAnsi" w:cstheme="minorHAnsi"/>
                <w:color w:val="000000"/>
                <w:sz w:val="18"/>
                <w:szCs w:val="18"/>
              </w:rPr>
              <w:noBreakHyphen/>
            </w:r>
            <w:r w:rsidRPr="00F1155D">
              <w:rPr>
                <w:rFonts w:asciiTheme="minorHAnsi" w:hAnsiTheme="minorHAnsi" w:cstheme="minorHAnsi"/>
                <w:color w:val="000000"/>
                <w:sz w:val="18"/>
                <w:szCs w:val="18"/>
              </w:rPr>
              <w:t xml:space="preserve">IVA would provide a once daily treatment option for patients with responsive mutations. Additionally, the PBAC noted VNZ/TEZ/D-IVA would provide access to a </w:t>
            </w:r>
            <w:r w:rsidRPr="006B44BA">
              <w:rPr>
                <w:rFonts w:asciiTheme="minorHAnsi" w:hAnsiTheme="minorHAnsi" w:cstheme="minorHAnsi"/>
                <w:color w:val="000000"/>
                <w:sz w:val="18"/>
                <w:szCs w:val="18"/>
              </w:rPr>
              <w:t>CFTR</w:t>
            </w:r>
            <w:r w:rsidRPr="00F1155D">
              <w:rPr>
                <w:rFonts w:asciiTheme="minorHAnsi" w:hAnsiTheme="minorHAnsi" w:cstheme="minorHAnsi"/>
                <w:color w:val="000000"/>
                <w:sz w:val="18"/>
                <w:szCs w:val="18"/>
              </w:rPr>
              <w:t xml:space="preserve"> modulator for a small number of patients (&lt;</w:t>
            </w:r>
            <w:r w:rsidR="004816F7">
              <w:rPr>
                <w:rFonts w:asciiTheme="minorHAnsi" w:hAnsiTheme="minorHAnsi" w:cstheme="minorHAnsi"/>
                <w:color w:val="000000"/>
                <w:sz w:val="18"/>
                <w:szCs w:val="18"/>
              </w:rPr>
              <w:t>500</w:t>
            </w:r>
            <w:r w:rsidRPr="00F1155D">
              <w:rPr>
                <w:rFonts w:asciiTheme="minorHAnsi" w:hAnsiTheme="minorHAnsi" w:cstheme="minorHAnsi"/>
                <w:color w:val="000000"/>
                <w:sz w:val="18"/>
                <w:szCs w:val="18"/>
              </w:rPr>
              <w:t>) who have mutations that do not respond to elexacaftor, tezacaftor and ivacaftor (ELX/TEZ/IVA</w:t>
            </w:r>
            <w:r w:rsidR="009043E3">
              <w:rPr>
                <w:rFonts w:asciiTheme="minorHAnsi" w:hAnsiTheme="minorHAnsi" w:cstheme="minorHAnsi"/>
                <w:color w:val="000000"/>
                <w:sz w:val="18"/>
                <w:szCs w:val="18"/>
              </w:rPr>
              <w:t>, Trikafta</w:t>
            </w:r>
            <w:r w:rsidR="009043E3" w:rsidRPr="009043E3">
              <w:rPr>
                <w:rFonts w:asciiTheme="minorHAnsi" w:hAnsiTheme="minorHAnsi" w:cstheme="minorHAnsi"/>
                <w:color w:val="000000"/>
                <w:sz w:val="18"/>
                <w:szCs w:val="18"/>
              </w:rPr>
              <w:t>®</w:t>
            </w:r>
            <w:r w:rsidRPr="00F1155D">
              <w:rPr>
                <w:rFonts w:asciiTheme="minorHAnsi" w:hAnsiTheme="minorHAnsi" w:cstheme="minorHAnsi"/>
                <w:color w:val="000000"/>
                <w:sz w:val="18"/>
                <w:szCs w:val="18"/>
              </w:rPr>
              <w:t xml:space="preserve">). </w:t>
            </w:r>
          </w:p>
          <w:p w14:paraId="69AE1461" w14:textId="77777777" w:rsidR="0073511B" w:rsidRPr="00F1155D" w:rsidRDefault="0073511B" w:rsidP="00633F9B">
            <w:pPr>
              <w:jc w:val="both"/>
              <w:rPr>
                <w:rFonts w:asciiTheme="minorHAnsi" w:hAnsiTheme="minorHAnsi" w:cstheme="minorHAnsi"/>
                <w:color w:val="000000"/>
                <w:sz w:val="18"/>
                <w:szCs w:val="18"/>
              </w:rPr>
            </w:pPr>
          </w:p>
          <w:p w14:paraId="71D2221E" w14:textId="3BDC7DB6" w:rsidR="0073511B" w:rsidRPr="00F1155D" w:rsidRDefault="003237D5" w:rsidP="00633F9B">
            <w:pPr>
              <w:jc w:val="both"/>
              <w:rPr>
                <w:rFonts w:asciiTheme="minorHAnsi" w:hAnsiTheme="minorHAnsi" w:cstheme="minorHAnsi"/>
                <w:color w:val="000000"/>
                <w:sz w:val="18"/>
                <w:szCs w:val="18"/>
              </w:rPr>
            </w:pPr>
            <w:r w:rsidRPr="00F1155D">
              <w:rPr>
                <w:rFonts w:asciiTheme="minorHAnsi" w:hAnsiTheme="minorHAnsi" w:cstheme="minorHAnsi"/>
                <w:color w:val="000000"/>
                <w:sz w:val="18"/>
                <w:szCs w:val="18"/>
              </w:rPr>
              <w:t xml:space="preserve">The PBAC considered VNZ/TEZ/D-IVA was as effective and safe as ELX/TEZ/IVA, </w:t>
            </w:r>
            <w:bookmarkStart w:id="3" w:name="_Hlk214874258"/>
            <w:r w:rsidR="00DF3645" w:rsidRPr="00736A09">
              <w:rPr>
                <w:rFonts w:asciiTheme="minorHAnsi" w:hAnsiTheme="minorHAnsi" w:cstheme="minorHAnsi"/>
                <w:color w:val="000000"/>
                <w:sz w:val="18"/>
                <w:szCs w:val="18"/>
              </w:rPr>
              <w:t>and noted the submission requested listing at a similar cost</w:t>
            </w:r>
            <w:bookmarkEnd w:id="3"/>
            <w:r w:rsidR="00DF3645" w:rsidRPr="00736A09">
              <w:rPr>
                <w:rFonts w:asciiTheme="minorHAnsi" w:hAnsiTheme="minorHAnsi" w:cstheme="minorHAnsi"/>
                <w:color w:val="000000"/>
                <w:sz w:val="18"/>
                <w:szCs w:val="18"/>
              </w:rPr>
              <w:t xml:space="preserve"> </w:t>
            </w:r>
            <w:r w:rsidRPr="00F1155D">
              <w:rPr>
                <w:rFonts w:asciiTheme="minorHAnsi" w:hAnsiTheme="minorHAnsi" w:cstheme="minorHAnsi"/>
                <w:color w:val="000000"/>
                <w:sz w:val="18"/>
                <w:szCs w:val="18"/>
              </w:rPr>
              <w:t>as ELX/TEZ/IVA. The PBAC considered that VNZ/TEZ/D-IVA could be included in the risk sharing arrangement currently in place for CFTR modulators with no increase in expenditure caps.</w:t>
            </w:r>
          </w:p>
          <w:p w14:paraId="63DEBFEC" w14:textId="77777777" w:rsidR="0073511B" w:rsidRPr="00F1155D" w:rsidRDefault="0073511B" w:rsidP="00633F9B">
            <w:pPr>
              <w:jc w:val="both"/>
              <w:rPr>
                <w:rFonts w:asciiTheme="minorHAnsi" w:hAnsiTheme="minorHAnsi" w:cstheme="minorHAnsi"/>
                <w:color w:val="000000"/>
                <w:sz w:val="18"/>
                <w:szCs w:val="18"/>
              </w:rPr>
            </w:pPr>
          </w:p>
          <w:p w14:paraId="12A145BA" w14:textId="2573BB22" w:rsidR="003237D5" w:rsidRPr="00F1155D" w:rsidDel="008F66B5" w:rsidRDefault="003237D5" w:rsidP="00633F9B">
            <w:pPr>
              <w:jc w:val="both"/>
              <w:rPr>
                <w:rFonts w:asciiTheme="minorHAnsi" w:hAnsiTheme="minorHAnsi" w:cstheme="minorHAnsi"/>
                <w:color w:val="000000"/>
                <w:sz w:val="18"/>
                <w:szCs w:val="18"/>
              </w:rPr>
            </w:pPr>
            <w:r w:rsidRPr="00F1155D">
              <w:rPr>
                <w:rFonts w:asciiTheme="minorHAnsi" w:hAnsiTheme="minorHAnsi" w:cstheme="minorHAnsi"/>
                <w:color w:val="000000"/>
                <w:sz w:val="18"/>
                <w:szCs w:val="18"/>
              </w:rPr>
              <w:t xml:space="preserve">The PBAC noted flow-on changes to the CFTR modulator PBS listings for cystic fibrosis were required to include reference to VNZ/TEZ/D-IVA.  </w:t>
            </w:r>
          </w:p>
        </w:tc>
      </w:tr>
      <w:tr w:rsidR="00BC3E51" w:rsidRPr="00F1155D" w:rsidDel="008F66B5" w14:paraId="160A6F61" w14:textId="452A0DD4" w:rsidTr="128117E3">
        <w:trPr>
          <w:cantSplit/>
          <w:trHeight w:val="20"/>
          <w:jc w:val="center"/>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1908999" w14:textId="17CB7CC3" w:rsidR="00BC3E51" w:rsidRPr="00F1155D" w:rsidRDefault="00BC3E51" w:rsidP="00BC3E51">
            <w:pPr>
              <w:jc w:val="center"/>
              <w:rPr>
                <w:rFonts w:asciiTheme="minorHAnsi" w:hAnsiTheme="minorHAnsi" w:cstheme="minorHAnsi"/>
                <w:sz w:val="18"/>
                <w:szCs w:val="18"/>
              </w:rPr>
            </w:pPr>
            <w:r w:rsidRPr="00F1155D">
              <w:rPr>
                <w:rFonts w:asciiTheme="minorHAnsi" w:hAnsiTheme="minorHAnsi" w:cstheme="minorHAnsi"/>
                <w:color w:val="000000"/>
                <w:sz w:val="18"/>
                <w:szCs w:val="18"/>
              </w:rPr>
              <w:t>ZOLBETUXIMAB</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Powder for I.V. infusion 100 mg (20</w:t>
            </w:r>
            <w:r w:rsidR="00EE109E">
              <w:rPr>
                <w:rFonts w:asciiTheme="minorHAnsi" w:hAnsiTheme="minorHAnsi" w:cstheme="minorHAnsi"/>
                <w:color w:val="000000"/>
                <w:sz w:val="18"/>
                <w:szCs w:val="18"/>
              </w:rPr>
              <w:t> </w:t>
            </w:r>
            <w:r w:rsidRPr="00F1155D">
              <w:rPr>
                <w:rFonts w:asciiTheme="minorHAnsi" w:hAnsiTheme="minorHAnsi" w:cstheme="minorHAnsi"/>
                <w:color w:val="000000"/>
                <w:sz w:val="18"/>
                <w:szCs w:val="18"/>
              </w:rPr>
              <w:t>mg per mL)</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Vyloy®</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ASTELLAS PHARMA AUSTRALIA PTY LTD</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Matters outstanding</w:t>
            </w:r>
            <w:r w:rsidRPr="00F1155D">
              <w:rPr>
                <w:rFonts w:asciiTheme="minorHAnsi" w:hAnsiTheme="minorHAnsi" w:cstheme="minorHAnsi"/>
                <w:color w:val="000000"/>
                <w:sz w:val="18"/>
                <w:szCs w:val="18"/>
              </w:rPr>
              <w:br/>
              <w:t>(New PBS listing)</w:t>
            </w:r>
          </w:p>
        </w:tc>
        <w:tc>
          <w:tcPr>
            <w:tcW w:w="2082" w:type="dxa"/>
            <w:tcBorders>
              <w:top w:val="single" w:sz="4" w:space="0" w:color="auto"/>
              <w:left w:val="single" w:sz="4" w:space="0" w:color="auto"/>
              <w:bottom w:val="single" w:sz="4" w:space="0" w:color="auto"/>
              <w:right w:val="single" w:sz="4" w:space="0" w:color="auto"/>
            </w:tcBorders>
            <w:vAlign w:val="center"/>
          </w:tcPr>
          <w:p w14:paraId="2BF07BA0" w14:textId="21BCF256" w:rsidR="00BC3E51" w:rsidRPr="00F1155D" w:rsidRDefault="00BC3E51" w:rsidP="00BC3E51">
            <w:pPr>
              <w:jc w:val="center"/>
              <w:rPr>
                <w:rFonts w:asciiTheme="minorHAnsi" w:hAnsiTheme="minorHAnsi" w:cstheme="minorHAnsi"/>
                <w:sz w:val="18"/>
                <w:szCs w:val="18"/>
              </w:rPr>
            </w:pPr>
            <w:r w:rsidRPr="00F1155D">
              <w:rPr>
                <w:rFonts w:asciiTheme="minorHAnsi" w:hAnsiTheme="minorHAnsi" w:cstheme="minorHAnsi"/>
                <w:color w:val="000000"/>
                <w:sz w:val="18"/>
                <w:szCs w:val="18"/>
              </w:rPr>
              <w:t>Gastric or gastroesophageal junction (G/GOJ) cancer</w:t>
            </w:r>
          </w:p>
        </w:tc>
        <w:tc>
          <w:tcPr>
            <w:tcW w:w="26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6015281" w14:textId="68A98EF4" w:rsidR="00BC3E51" w:rsidRPr="00F1155D" w:rsidRDefault="00BC3E51" w:rsidP="00BC3E51">
            <w:pPr>
              <w:jc w:val="center"/>
              <w:rPr>
                <w:rFonts w:asciiTheme="minorHAnsi" w:hAnsiTheme="minorHAnsi" w:cstheme="minorHAnsi"/>
                <w:sz w:val="18"/>
                <w:szCs w:val="18"/>
              </w:rPr>
            </w:pPr>
            <w:r w:rsidRPr="00F1155D">
              <w:rPr>
                <w:rFonts w:asciiTheme="minorHAnsi" w:hAnsiTheme="minorHAnsi" w:cstheme="minorHAnsi"/>
                <w:color w:val="000000"/>
                <w:sz w:val="18"/>
                <w:szCs w:val="18"/>
              </w:rPr>
              <w:t>To request a Section 100 (Efficient Funding of Chemotherapy) Authority Required (STREAMLINED) listing for the first-line treatment of locally advanced unresectable or metastatic epidermal growth factor receptor 2-negative G/GOJ adenocarcinoma whose tumours are CLDN18.2- positive. This matter was deferred at the March 2025 PBAC Meeting.</w:t>
            </w:r>
          </w:p>
        </w:tc>
        <w:tc>
          <w:tcPr>
            <w:tcW w:w="1701" w:type="dxa"/>
            <w:vAlign w:val="center"/>
          </w:tcPr>
          <w:p w14:paraId="2FEF30D2" w14:textId="2A55E312" w:rsidR="00BC3E51" w:rsidRPr="00F1155D" w:rsidDel="008F66B5" w:rsidRDefault="00BC3E51" w:rsidP="00BC3E51">
            <w:pPr>
              <w:pStyle w:val="ListParagraph"/>
              <w:keepLines/>
              <w:ind w:left="0"/>
              <w:jc w:val="center"/>
              <w:rPr>
                <w:rFonts w:asciiTheme="minorHAnsi" w:hAnsiTheme="minorHAnsi" w:cstheme="minorHAnsi"/>
                <w:color w:val="000000"/>
                <w:sz w:val="18"/>
                <w:szCs w:val="18"/>
              </w:rPr>
            </w:pPr>
            <w:r w:rsidRPr="00F1155D">
              <w:rPr>
                <w:rFonts w:asciiTheme="minorHAnsi" w:hAnsiTheme="minorHAnsi" w:cstheme="minorHAnsi"/>
                <w:color w:val="000000"/>
                <w:sz w:val="18"/>
                <w:szCs w:val="18"/>
              </w:rPr>
              <w:t>Recommended</w:t>
            </w:r>
          </w:p>
        </w:tc>
        <w:tc>
          <w:tcPr>
            <w:tcW w:w="5686" w:type="dxa"/>
            <w:vAlign w:val="center"/>
          </w:tcPr>
          <w:p w14:paraId="0283E1E5" w14:textId="092A4630" w:rsidR="0073511B" w:rsidRPr="00F1155D" w:rsidRDefault="00BC3E51" w:rsidP="00633F9B">
            <w:pPr>
              <w:jc w:val="both"/>
              <w:rPr>
                <w:rFonts w:asciiTheme="minorHAnsi" w:hAnsiTheme="minorHAnsi" w:cstheme="minorHAnsi"/>
                <w:color w:val="000000"/>
                <w:sz w:val="18"/>
                <w:szCs w:val="18"/>
              </w:rPr>
            </w:pPr>
            <w:r w:rsidRPr="00F1155D">
              <w:rPr>
                <w:rFonts w:asciiTheme="minorHAnsi" w:hAnsiTheme="minorHAnsi" w:cstheme="minorHAnsi"/>
                <w:color w:val="000000"/>
                <w:sz w:val="18"/>
                <w:szCs w:val="18"/>
              </w:rPr>
              <w:t xml:space="preserve">The PBAC recommended the PBS listing of zolbetuximab in combination with chemotherapy for the treatment of patients with </w:t>
            </w:r>
            <w:r w:rsidR="006B44BA" w:rsidRPr="00F1155D">
              <w:rPr>
                <w:rFonts w:asciiTheme="minorHAnsi" w:hAnsiTheme="minorHAnsi" w:cstheme="minorHAnsi"/>
                <w:color w:val="000000"/>
                <w:sz w:val="18"/>
                <w:szCs w:val="18"/>
              </w:rPr>
              <w:t xml:space="preserve">G/GOJ </w:t>
            </w:r>
            <w:r w:rsidRPr="00F1155D">
              <w:rPr>
                <w:rFonts w:asciiTheme="minorHAnsi" w:hAnsiTheme="minorHAnsi" w:cstheme="minorHAnsi"/>
                <w:color w:val="000000"/>
                <w:sz w:val="18"/>
                <w:szCs w:val="18"/>
              </w:rPr>
              <w:t xml:space="preserve">cancer that: cannot be removed by surgery or has metastasised to other parts of the body; is HER2-negative (a common cancer marker); and has a specific protein called </w:t>
            </w:r>
            <w:r w:rsidR="00451A22">
              <w:rPr>
                <w:rFonts w:asciiTheme="minorHAnsi" w:hAnsiTheme="minorHAnsi" w:cstheme="minorHAnsi"/>
                <w:color w:val="000000"/>
                <w:sz w:val="18"/>
                <w:szCs w:val="18"/>
              </w:rPr>
              <w:t>C</w:t>
            </w:r>
            <w:r w:rsidRPr="00F1155D">
              <w:rPr>
                <w:rFonts w:asciiTheme="minorHAnsi" w:hAnsiTheme="minorHAnsi" w:cstheme="minorHAnsi"/>
                <w:color w:val="000000"/>
                <w:sz w:val="18"/>
                <w:szCs w:val="18"/>
              </w:rPr>
              <w:t xml:space="preserve">laudin 18.2 on the surface of the cancer cells, which enables zolbetuximab to target cancer cells in those patients. The </w:t>
            </w:r>
            <w:r w:rsidR="000E1594">
              <w:rPr>
                <w:rFonts w:asciiTheme="minorHAnsi" w:hAnsiTheme="minorHAnsi" w:cstheme="minorHAnsi"/>
                <w:color w:val="000000"/>
                <w:sz w:val="18"/>
                <w:szCs w:val="18"/>
              </w:rPr>
              <w:t>Medical Services Advisory Committee</w:t>
            </w:r>
            <w:r w:rsidRPr="00F1155D">
              <w:rPr>
                <w:rFonts w:asciiTheme="minorHAnsi" w:hAnsiTheme="minorHAnsi" w:cstheme="minorHAnsi"/>
                <w:color w:val="000000"/>
                <w:sz w:val="18"/>
                <w:szCs w:val="18"/>
              </w:rPr>
              <w:t xml:space="preserve"> has now recommended </w:t>
            </w:r>
            <w:r w:rsidR="00A64CD0">
              <w:rPr>
                <w:rFonts w:asciiTheme="minorHAnsi" w:hAnsiTheme="minorHAnsi" w:cstheme="minorHAnsi"/>
                <w:color w:val="000000"/>
                <w:sz w:val="18"/>
                <w:szCs w:val="18"/>
              </w:rPr>
              <w:t xml:space="preserve">Medicare Benefits </w:t>
            </w:r>
            <w:r w:rsidR="008630D7">
              <w:rPr>
                <w:rFonts w:asciiTheme="minorHAnsi" w:hAnsiTheme="minorHAnsi" w:cstheme="minorHAnsi"/>
                <w:color w:val="000000"/>
                <w:sz w:val="18"/>
                <w:szCs w:val="18"/>
              </w:rPr>
              <w:t xml:space="preserve">Schedule </w:t>
            </w:r>
            <w:r w:rsidR="008630D7" w:rsidRPr="00F1155D">
              <w:rPr>
                <w:rFonts w:asciiTheme="minorHAnsi" w:hAnsiTheme="minorHAnsi" w:cstheme="minorHAnsi"/>
                <w:color w:val="000000"/>
                <w:sz w:val="18"/>
                <w:szCs w:val="18"/>
              </w:rPr>
              <w:t>listing</w:t>
            </w:r>
            <w:r w:rsidRPr="00F1155D">
              <w:rPr>
                <w:rFonts w:asciiTheme="minorHAnsi" w:hAnsiTheme="minorHAnsi" w:cstheme="minorHAnsi"/>
                <w:color w:val="000000"/>
                <w:sz w:val="18"/>
                <w:szCs w:val="18"/>
              </w:rPr>
              <w:t xml:space="preserve"> of pathology testing to detect Claudin 18.2 on the patient’s cancer cells.</w:t>
            </w:r>
          </w:p>
          <w:p w14:paraId="5D4AE1CD" w14:textId="77777777" w:rsidR="0073511B" w:rsidRPr="00F1155D" w:rsidRDefault="0073511B" w:rsidP="00633F9B">
            <w:pPr>
              <w:jc w:val="both"/>
              <w:rPr>
                <w:rFonts w:asciiTheme="minorHAnsi" w:hAnsiTheme="minorHAnsi" w:cstheme="minorHAnsi"/>
                <w:color w:val="000000"/>
                <w:sz w:val="18"/>
                <w:szCs w:val="18"/>
              </w:rPr>
            </w:pPr>
          </w:p>
          <w:p w14:paraId="5A18AF5E" w14:textId="182BCE2C" w:rsidR="0073511B" w:rsidRPr="00F1155D" w:rsidRDefault="00BC3E51" w:rsidP="00633F9B">
            <w:pPr>
              <w:jc w:val="both"/>
              <w:rPr>
                <w:rFonts w:asciiTheme="minorHAnsi" w:hAnsiTheme="minorHAnsi" w:cstheme="minorHAnsi"/>
                <w:color w:val="000000"/>
                <w:sz w:val="18"/>
                <w:szCs w:val="18"/>
              </w:rPr>
            </w:pPr>
            <w:r w:rsidRPr="00F1155D">
              <w:rPr>
                <w:rFonts w:asciiTheme="minorHAnsi" w:hAnsiTheme="minorHAnsi" w:cstheme="minorHAnsi"/>
                <w:color w:val="000000"/>
                <w:sz w:val="18"/>
                <w:szCs w:val="18"/>
              </w:rPr>
              <w:t xml:space="preserve">The PBAC noted that at its March 2025 meeting it considered that there is a clinical need for new treatments for </w:t>
            </w:r>
            <w:r w:rsidR="007F1015" w:rsidRPr="00F1155D">
              <w:rPr>
                <w:rFonts w:asciiTheme="minorHAnsi" w:hAnsiTheme="minorHAnsi" w:cstheme="minorHAnsi"/>
                <w:color w:val="000000"/>
                <w:sz w:val="18"/>
                <w:szCs w:val="18"/>
              </w:rPr>
              <w:t>G/GOJ</w:t>
            </w:r>
            <w:r w:rsidRPr="00F1155D">
              <w:rPr>
                <w:rFonts w:asciiTheme="minorHAnsi" w:hAnsiTheme="minorHAnsi" w:cstheme="minorHAnsi"/>
                <w:color w:val="000000"/>
                <w:sz w:val="18"/>
                <w:szCs w:val="18"/>
              </w:rPr>
              <w:t xml:space="preserve"> cancer as there are few effective treatment options</w:t>
            </w:r>
            <w:r w:rsidR="00451A22">
              <w:rPr>
                <w:rFonts w:asciiTheme="minorHAnsi" w:hAnsiTheme="minorHAnsi" w:cstheme="minorHAnsi"/>
                <w:color w:val="000000"/>
                <w:sz w:val="18"/>
                <w:szCs w:val="18"/>
              </w:rPr>
              <w:t>,</w:t>
            </w:r>
            <w:r w:rsidRPr="00F1155D">
              <w:rPr>
                <w:rFonts w:asciiTheme="minorHAnsi" w:hAnsiTheme="minorHAnsi" w:cstheme="minorHAnsi"/>
                <w:color w:val="000000"/>
                <w:sz w:val="18"/>
                <w:szCs w:val="18"/>
              </w:rPr>
              <w:t xml:space="preserve"> and prognosis with current treatments remains poor. </w:t>
            </w:r>
          </w:p>
          <w:p w14:paraId="7F42C4F4" w14:textId="77777777" w:rsidR="0073511B" w:rsidRPr="00F1155D" w:rsidRDefault="0073511B" w:rsidP="00633F9B">
            <w:pPr>
              <w:jc w:val="both"/>
              <w:rPr>
                <w:rFonts w:asciiTheme="minorHAnsi" w:hAnsiTheme="minorHAnsi" w:cstheme="minorHAnsi"/>
                <w:color w:val="000000"/>
                <w:sz w:val="18"/>
                <w:szCs w:val="18"/>
              </w:rPr>
            </w:pPr>
          </w:p>
          <w:p w14:paraId="0630B7DE" w14:textId="67C96D02" w:rsidR="00BC3E51" w:rsidRPr="00F1155D" w:rsidDel="008F66B5" w:rsidRDefault="00BC3E51" w:rsidP="00633F9B">
            <w:pPr>
              <w:jc w:val="both"/>
              <w:rPr>
                <w:rFonts w:asciiTheme="minorHAnsi" w:hAnsiTheme="minorHAnsi" w:cstheme="minorHAnsi"/>
                <w:color w:val="000000"/>
                <w:sz w:val="18"/>
                <w:szCs w:val="18"/>
              </w:rPr>
            </w:pPr>
            <w:r w:rsidRPr="00F1155D">
              <w:rPr>
                <w:rFonts w:asciiTheme="minorHAnsi" w:hAnsiTheme="minorHAnsi" w:cstheme="minorHAnsi"/>
                <w:color w:val="000000"/>
                <w:sz w:val="18"/>
                <w:szCs w:val="18"/>
              </w:rPr>
              <w:t xml:space="preserve">The PBAC considered that zolbetuximab was as effective as nivolumab at slowing cancer progression and improving survival. </w:t>
            </w:r>
            <w:r w:rsidR="007943C0" w:rsidRPr="007943C0">
              <w:rPr>
                <w:rFonts w:asciiTheme="minorHAnsi" w:hAnsiTheme="minorHAnsi" w:cstheme="minorHAnsi"/>
                <w:color w:val="000000"/>
                <w:sz w:val="18"/>
                <w:szCs w:val="18"/>
              </w:rPr>
              <w:t>The PBAC noted that compared to nivolumab, use of zolbetuximab in combination with chemotherapy caused higher rates of severe nausea, vomiting and appetite loss.</w:t>
            </w:r>
            <w:r w:rsidRPr="00F1155D">
              <w:rPr>
                <w:rFonts w:asciiTheme="minorHAnsi" w:hAnsiTheme="minorHAnsi" w:cstheme="minorHAnsi"/>
                <w:color w:val="000000"/>
                <w:sz w:val="18"/>
                <w:szCs w:val="18"/>
              </w:rPr>
              <w:t xml:space="preserve"> </w:t>
            </w:r>
            <w:r w:rsidR="00B13AD9" w:rsidRPr="00B13AD9">
              <w:rPr>
                <w:rFonts w:asciiTheme="minorHAnsi" w:hAnsiTheme="minorHAnsi" w:cstheme="minorHAnsi"/>
                <w:color w:val="000000"/>
                <w:sz w:val="18"/>
                <w:szCs w:val="18"/>
              </w:rPr>
              <w:t xml:space="preserve">The PBAC therefore considered </w:t>
            </w:r>
            <w:r w:rsidR="00B73EA6">
              <w:rPr>
                <w:rFonts w:asciiTheme="minorHAnsi" w:hAnsiTheme="minorHAnsi" w:cstheme="minorHAnsi"/>
                <w:color w:val="000000"/>
                <w:sz w:val="18"/>
                <w:szCs w:val="18"/>
              </w:rPr>
              <w:t xml:space="preserve">that </w:t>
            </w:r>
            <w:r w:rsidRPr="00F1155D">
              <w:rPr>
                <w:rFonts w:asciiTheme="minorHAnsi" w:hAnsiTheme="minorHAnsi" w:cstheme="minorHAnsi"/>
                <w:color w:val="000000"/>
                <w:sz w:val="18"/>
                <w:szCs w:val="18"/>
              </w:rPr>
              <w:t>the price for zolbetuximab should reflect the potential for these side effects to impact patients’ quality of life.</w:t>
            </w:r>
          </w:p>
        </w:tc>
      </w:tr>
    </w:tbl>
    <w:p w14:paraId="4A41EC12" w14:textId="253D6618" w:rsidR="00C04E0F" w:rsidRDefault="00C04E0F"/>
    <w:p w14:paraId="22224732" w14:textId="77777777" w:rsidR="006A6FAE" w:rsidRPr="00736A09" w:rsidRDefault="006A6FAE" w:rsidP="006A6FAE">
      <w:pPr>
        <w:rPr>
          <w:rFonts w:ascii="Calibri" w:hAnsi="Calibri" w:cs="Calibri"/>
          <w:b/>
          <w:bCs/>
          <w:color w:val="000000"/>
          <w:sz w:val="18"/>
          <w:szCs w:val="18"/>
        </w:rPr>
      </w:pPr>
      <w:r w:rsidRPr="00736A09">
        <w:rPr>
          <w:rFonts w:ascii="Calibri" w:hAnsi="Calibri" w:cs="Calibri"/>
          <w:b/>
          <w:bCs/>
          <w:color w:val="000000"/>
          <w:sz w:val="18"/>
          <w:szCs w:val="18"/>
        </w:rPr>
        <w:t xml:space="preserve">Version </w:t>
      </w:r>
      <w:r>
        <w:rPr>
          <w:rFonts w:ascii="Calibri" w:hAnsi="Calibri" w:cs="Calibri"/>
          <w:b/>
          <w:bCs/>
          <w:color w:val="000000"/>
          <w:sz w:val="18"/>
          <w:szCs w:val="18"/>
        </w:rPr>
        <w:t>2</w:t>
      </w:r>
    </w:p>
    <w:p w14:paraId="181200EA" w14:textId="77777777" w:rsidR="006A6FAE" w:rsidRPr="00736A09" w:rsidRDefault="006A6FAE" w:rsidP="006A6FAE">
      <w:pPr>
        <w:rPr>
          <w:rFonts w:ascii="Calibri" w:hAnsi="Calibri" w:cs="Calibri"/>
          <w:b/>
          <w:bCs/>
          <w:color w:val="000000"/>
          <w:sz w:val="18"/>
          <w:szCs w:val="18"/>
        </w:rPr>
      </w:pPr>
    </w:p>
    <w:p w14:paraId="05B9C9E2" w14:textId="77777777" w:rsidR="006A6FAE" w:rsidRPr="00736A09" w:rsidRDefault="006A6FAE" w:rsidP="006A6FAE">
      <w:pPr>
        <w:rPr>
          <w:rFonts w:ascii="Calibri" w:hAnsi="Calibri" w:cs="Calibri"/>
          <w:color w:val="000000"/>
          <w:sz w:val="18"/>
          <w:szCs w:val="18"/>
        </w:rPr>
      </w:pPr>
      <w:r w:rsidRPr="00736A09">
        <w:rPr>
          <w:rFonts w:ascii="Calibri" w:hAnsi="Calibri" w:cs="Calibri"/>
          <w:color w:val="000000"/>
          <w:sz w:val="18"/>
          <w:szCs w:val="18"/>
        </w:rPr>
        <w:t xml:space="preserve">Amendment: </w:t>
      </w:r>
    </w:p>
    <w:p w14:paraId="43829168" w14:textId="77777777" w:rsidR="006A6FAE" w:rsidRPr="00736A09" w:rsidRDefault="006A6FAE" w:rsidP="006A6FAE">
      <w:pPr>
        <w:numPr>
          <w:ilvl w:val="0"/>
          <w:numId w:val="69"/>
        </w:numPr>
        <w:contextualSpacing/>
        <w:rPr>
          <w:rFonts w:ascii="Calibri" w:eastAsia="SimSun" w:hAnsi="Calibri" w:cs="Calibri"/>
          <w:color w:val="000000"/>
          <w:sz w:val="18"/>
          <w:szCs w:val="18"/>
        </w:rPr>
      </w:pPr>
      <w:r w:rsidRPr="00736A09">
        <w:rPr>
          <w:rFonts w:ascii="Calibri" w:eastAsia="SimSun" w:hAnsi="Calibri" w:cs="Calibri"/>
          <w:color w:val="000000"/>
          <w:sz w:val="18"/>
          <w:szCs w:val="18"/>
        </w:rPr>
        <w:t xml:space="preserve">VANZACAFTOR WITH TEZACAFTOR AND WITH DEUTIVACAFTOR – Replaced </w:t>
      </w:r>
      <w:r>
        <w:rPr>
          <w:rFonts w:ascii="Calibri" w:eastAsia="SimSun" w:hAnsi="Calibri" w:cs="Calibri"/>
          <w:color w:val="000000"/>
          <w:sz w:val="18"/>
          <w:szCs w:val="18"/>
        </w:rPr>
        <w:t xml:space="preserve">PBAC outcome </w:t>
      </w:r>
      <w:bookmarkStart w:id="4" w:name="_Hlk214874780"/>
      <w:r>
        <w:rPr>
          <w:rFonts w:ascii="Calibri" w:eastAsia="SimSun" w:hAnsi="Calibri" w:cs="Calibri"/>
          <w:color w:val="000000"/>
          <w:sz w:val="18"/>
          <w:szCs w:val="18"/>
        </w:rPr>
        <w:t xml:space="preserve">wording </w:t>
      </w:r>
      <w:r w:rsidRPr="00736A09">
        <w:rPr>
          <w:rFonts w:ascii="Calibri" w:eastAsia="SimSun" w:hAnsi="Calibri" w:cs="Calibri"/>
          <w:color w:val="000000"/>
          <w:sz w:val="18"/>
          <w:szCs w:val="18"/>
        </w:rPr>
        <w:t xml:space="preserve"> ‘and noted the submission requested the same price’  with ‘and noted the submission requested listing at a similar cost’ </w:t>
      </w:r>
    </w:p>
    <w:bookmarkEnd w:id="4"/>
    <w:p w14:paraId="4F9A52F8" w14:textId="77777777" w:rsidR="006A6FAE" w:rsidRDefault="006A6FAE" w:rsidP="128117E3">
      <w:pPr>
        <w:rPr>
          <w:rFonts w:ascii="Calibri" w:hAnsi="Calibri" w:cs="Calibri"/>
          <w:i/>
          <w:iCs/>
        </w:rPr>
      </w:pPr>
    </w:p>
    <w:p w14:paraId="03350CEC" w14:textId="0F283879" w:rsidR="00C04E0F" w:rsidRPr="004F3C8C" w:rsidRDefault="6CADB218" w:rsidP="128117E3">
      <w:pPr>
        <w:rPr>
          <w:rFonts w:ascii="Calibri" w:hAnsi="Calibri" w:cs="Calibri"/>
          <w:i/>
          <w:iCs/>
        </w:rPr>
      </w:pPr>
      <w:r w:rsidRPr="004F3C8C">
        <w:rPr>
          <w:rFonts w:ascii="Calibri" w:hAnsi="Calibri" w:cs="Calibri"/>
          <w:i/>
          <w:iCs/>
        </w:rPr>
        <w:t>Other items</w:t>
      </w:r>
      <w:r w:rsidR="00BD02D2">
        <w:rPr>
          <w:rFonts w:ascii="Calibri" w:hAnsi="Calibri" w:cs="Calibri"/>
          <w:i/>
          <w:iCs/>
        </w:rPr>
        <w:t xml:space="preserve"> considered where the PBAC provided advice</w:t>
      </w:r>
    </w:p>
    <w:p w14:paraId="39864CE5" w14:textId="77777777" w:rsidR="00F82211" w:rsidRDefault="00F82211"/>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2970"/>
        <w:gridCol w:w="1419"/>
        <w:gridCol w:w="2268"/>
        <w:gridCol w:w="8731"/>
      </w:tblGrid>
      <w:tr w:rsidR="00F80034" w:rsidRPr="0009421C" w:rsidDel="008F66B5" w14:paraId="4E7C7F21" w14:textId="77777777" w:rsidTr="00F1155D">
        <w:trPr>
          <w:trHeight w:val="20"/>
          <w:tblHeader/>
        </w:trPr>
        <w:tc>
          <w:tcPr>
            <w:tcW w:w="965"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1E50B82" w14:textId="539CD85F" w:rsidR="00C04E0F" w:rsidRPr="00F1155D" w:rsidRDefault="0F60CC91" w:rsidP="00F1155D">
            <w:pPr>
              <w:jc w:val="center"/>
              <w:rPr>
                <w:rFonts w:ascii="Calibri" w:hAnsi="Calibri" w:cs="Calibri"/>
                <w:color w:val="000000"/>
                <w:sz w:val="18"/>
                <w:szCs w:val="18"/>
              </w:rPr>
            </w:pPr>
            <w:r w:rsidRPr="00F1155D">
              <w:rPr>
                <w:rFonts w:asciiTheme="minorHAnsi" w:hAnsiTheme="minorHAnsi" w:cstheme="minorBidi"/>
                <w:b/>
                <w:bCs/>
                <w:sz w:val="18"/>
                <w:szCs w:val="18"/>
              </w:rPr>
              <w:t>AGENDA ITEM</w:t>
            </w:r>
            <w:r w:rsidR="40D30662" w:rsidRPr="00F1155D">
              <w:rPr>
                <w:rFonts w:asciiTheme="minorHAnsi" w:hAnsiTheme="minorHAnsi" w:cstheme="minorBidi"/>
                <w:b/>
                <w:bCs/>
                <w:sz w:val="18"/>
                <w:szCs w:val="18"/>
              </w:rPr>
              <w:t xml:space="preserve">, FORM(S), STRENGTH(S), SPONSOR, TYPE OF </w:t>
            </w:r>
            <w:r w:rsidR="6CADB218" w:rsidRPr="00F1155D">
              <w:rPr>
                <w:rFonts w:asciiTheme="minorHAnsi" w:hAnsiTheme="minorHAnsi" w:cstheme="minorBidi"/>
                <w:b/>
                <w:bCs/>
                <w:sz w:val="18"/>
                <w:szCs w:val="18"/>
              </w:rPr>
              <w:t>AGENDA ITEM</w:t>
            </w:r>
          </w:p>
        </w:tc>
        <w:tc>
          <w:tcPr>
            <w:tcW w:w="461" w:type="pct"/>
            <w:tcBorders>
              <w:top w:val="single" w:sz="4" w:space="0" w:color="auto"/>
              <w:left w:val="single" w:sz="4" w:space="0" w:color="auto"/>
              <w:bottom w:val="single" w:sz="4" w:space="0" w:color="auto"/>
              <w:right w:val="single" w:sz="4" w:space="0" w:color="auto"/>
            </w:tcBorders>
            <w:vAlign w:val="center"/>
          </w:tcPr>
          <w:p w14:paraId="0AF75DF6" w14:textId="09994774" w:rsidR="00C04E0F" w:rsidRPr="00F1155D" w:rsidRDefault="00C04E0F" w:rsidP="00F1155D">
            <w:pPr>
              <w:jc w:val="center"/>
              <w:rPr>
                <w:rFonts w:ascii="Calibri" w:hAnsi="Calibri" w:cs="Calibri"/>
                <w:color w:val="000000"/>
                <w:sz w:val="18"/>
                <w:szCs w:val="18"/>
              </w:rPr>
            </w:pPr>
            <w:r w:rsidRPr="00F1155D">
              <w:rPr>
                <w:rFonts w:asciiTheme="minorHAnsi" w:hAnsiTheme="minorHAnsi" w:cstheme="minorHAnsi"/>
                <w:b/>
                <w:sz w:val="18"/>
                <w:szCs w:val="18"/>
              </w:rPr>
              <w:t>DRUG TYPE AND USE</w:t>
            </w:r>
          </w:p>
        </w:tc>
        <w:tc>
          <w:tcPr>
            <w:tcW w:w="737"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EDC67C7" w14:textId="4F8AA37C" w:rsidR="00C04E0F" w:rsidRPr="00F1155D" w:rsidRDefault="40D30662" w:rsidP="00F1155D">
            <w:pPr>
              <w:jc w:val="center"/>
              <w:rPr>
                <w:rFonts w:ascii="Calibri" w:hAnsi="Calibri" w:cs="Calibri"/>
                <w:color w:val="000000"/>
                <w:sz w:val="18"/>
                <w:szCs w:val="18"/>
              </w:rPr>
            </w:pPr>
            <w:r w:rsidRPr="00F1155D">
              <w:rPr>
                <w:rFonts w:asciiTheme="minorHAnsi" w:hAnsiTheme="minorHAnsi" w:cstheme="minorBidi"/>
                <w:b/>
                <w:bCs/>
                <w:sz w:val="18"/>
                <w:szCs w:val="18"/>
              </w:rPr>
              <w:t xml:space="preserve">PURPOSE OF </w:t>
            </w:r>
            <w:r w:rsidR="6CADB218" w:rsidRPr="00F1155D">
              <w:rPr>
                <w:rFonts w:asciiTheme="minorHAnsi" w:hAnsiTheme="minorHAnsi" w:cstheme="minorBidi"/>
                <w:b/>
                <w:bCs/>
                <w:sz w:val="18"/>
                <w:szCs w:val="18"/>
              </w:rPr>
              <w:t>AGENDA ITEM</w:t>
            </w:r>
          </w:p>
        </w:tc>
        <w:tc>
          <w:tcPr>
            <w:tcW w:w="2837" w:type="pct"/>
            <w:vAlign w:val="center"/>
          </w:tcPr>
          <w:p w14:paraId="78862D15" w14:textId="1A3B64D2" w:rsidR="00C04E0F" w:rsidRPr="00F1155D" w:rsidRDefault="00C04E0F" w:rsidP="00F1155D">
            <w:pPr>
              <w:jc w:val="both"/>
              <w:rPr>
                <w:rFonts w:ascii="Calibri" w:hAnsi="Calibri" w:cs="Calibri"/>
                <w:color w:val="000000"/>
                <w:sz w:val="18"/>
                <w:szCs w:val="18"/>
              </w:rPr>
            </w:pPr>
            <w:r w:rsidRPr="00F1155D">
              <w:rPr>
                <w:rFonts w:asciiTheme="minorHAnsi" w:hAnsiTheme="minorHAnsi" w:cstheme="minorHAnsi"/>
                <w:b/>
                <w:sz w:val="18"/>
                <w:szCs w:val="18"/>
              </w:rPr>
              <w:t>PBAC OUTCOME</w:t>
            </w:r>
          </w:p>
        </w:tc>
      </w:tr>
      <w:tr w:rsidR="00153FD3" w:rsidRPr="0009421C" w:rsidDel="008F66B5" w14:paraId="13225EF2" w14:textId="399D688C" w:rsidTr="00F1155D">
        <w:trPr>
          <w:trHeight w:val="20"/>
        </w:trPr>
        <w:tc>
          <w:tcPr>
            <w:tcW w:w="965"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2B2EFEF" w14:textId="75004F2C" w:rsidR="00153FD3" w:rsidRPr="00F1155D" w:rsidRDefault="00153FD3" w:rsidP="00F1155D">
            <w:pPr>
              <w:jc w:val="center"/>
              <w:rPr>
                <w:rFonts w:asciiTheme="minorHAnsi" w:hAnsiTheme="minorHAnsi" w:cstheme="minorHAnsi"/>
                <w:sz w:val="18"/>
                <w:szCs w:val="18"/>
              </w:rPr>
            </w:pPr>
            <w:r w:rsidRPr="00F1155D">
              <w:rPr>
                <w:rFonts w:ascii="Calibri" w:hAnsi="Calibri" w:cs="Calibri"/>
                <w:color w:val="000000"/>
                <w:sz w:val="18"/>
                <w:szCs w:val="18"/>
              </w:rPr>
              <w:t>Post Market Review (PMR) work plan</w:t>
            </w:r>
            <w:r w:rsidRPr="00F1155D">
              <w:rPr>
                <w:rFonts w:ascii="Calibri" w:hAnsi="Calibri" w:cs="Calibri"/>
                <w:color w:val="000000"/>
                <w:sz w:val="18"/>
                <w:szCs w:val="18"/>
              </w:rPr>
              <w:br/>
            </w:r>
            <w:r w:rsidRPr="00F1155D">
              <w:rPr>
                <w:rFonts w:ascii="Calibri" w:hAnsi="Calibri" w:cs="Calibri"/>
                <w:color w:val="000000"/>
                <w:sz w:val="18"/>
                <w:szCs w:val="18"/>
              </w:rPr>
              <w:br/>
              <w:t>Various drugs, strengths, brands and sponsors</w:t>
            </w:r>
            <w:r w:rsidRPr="00F1155D">
              <w:rPr>
                <w:rFonts w:ascii="Calibri" w:hAnsi="Calibri" w:cs="Calibri"/>
                <w:color w:val="000000"/>
                <w:sz w:val="18"/>
                <w:szCs w:val="18"/>
              </w:rPr>
              <w:br/>
            </w:r>
            <w:r w:rsidRPr="00F1155D">
              <w:rPr>
                <w:rFonts w:ascii="Calibri" w:hAnsi="Calibri" w:cs="Calibri"/>
                <w:color w:val="000000"/>
                <w:sz w:val="18"/>
                <w:szCs w:val="18"/>
              </w:rPr>
              <w:br/>
              <w:t>Post-market review</w:t>
            </w:r>
            <w:r w:rsidRPr="00F1155D">
              <w:rPr>
                <w:rFonts w:ascii="Calibri" w:hAnsi="Calibri" w:cs="Calibri"/>
                <w:color w:val="000000"/>
                <w:sz w:val="18"/>
                <w:szCs w:val="18"/>
              </w:rPr>
              <w:br/>
              <w:t>(PBS review)</w:t>
            </w:r>
          </w:p>
        </w:tc>
        <w:tc>
          <w:tcPr>
            <w:tcW w:w="461" w:type="pct"/>
            <w:tcBorders>
              <w:top w:val="single" w:sz="4" w:space="0" w:color="auto"/>
              <w:left w:val="single" w:sz="4" w:space="0" w:color="auto"/>
              <w:bottom w:val="single" w:sz="4" w:space="0" w:color="auto"/>
              <w:right w:val="single" w:sz="4" w:space="0" w:color="auto"/>
            </w:tcBorders>
            <w:vAlign w:val="center"/>
          </w:tcPr>
          <w:p w14:paraId="08DE0F92" w14:textId="27EA4AE4" w:rsidR="00153FD3" w:rsidRPr="00F1155D" w:rsidRDefault="00153FD3" w:rsidP="00F1155D">
            <w:pPr>
              <w:jc w:val="center"/>
              <w:rPr>
                <w:rFonts w:asciiTheme="minorHAnsi" w:hAnsiTheme="minorHAnsi" w:cstheme="minorHAnsi"/>
                <w:sz w:val="18"/>
                <w:szCs w:val="18"/>
              </w:rPr>
            </w:pPr>
            <w:r w:rsidRPr="00F1155D">
              <w:rPr>
                <w:rFonts w:ascii="Calibri" w:hAnsi="Calibri" w:cs="Calibri"/>
                <w:color w:val="000000"/>
                <w:sz w:val="18"/>
                <w:szCs w:val="18"/>
              </w:rPr>
              <w:t>Various indications</w:t>
            </w:r>
          </w:p>
        </w:tc>
        <w:tc>
          <w:tcPr>
            <w:tcW w:w="737"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67762D0" w14:textId="6247C2B3" w:rsidR="00153FD3" w:rsidRPr="00F1155D" w:rsidRDefault="00153FD3" w:rsidP="00F1155D">
            <w:pPr>
              <w:jc w:val="center"/>
              <w:rPr>
                <w:rFonts w:asciiTheme="minorHAnsi" w:hAnsiTheme="minorHAnsi" w:cstheme="minorHAnsi"/>
                <w:sz w:val="18"/>
                <w:szCs w:val="18"/>
              </w:rPr>
            </w:pPr>
            <w:r w:rsidRPr="00F1155D">
              <w:rPr>
                <w:rFonts w:ascii="Calibri" w:hAnsi="Calibri" w:cs="Calibri"/>
                <w:color w:val="000000"/>
                <w:sz w:val="18"/>
                <w:szCs w:val="18"/>
              </w:rPr>
              <w:t>To provide the PBAC with an update on the status of current post-market review research projects for noting and request PBAC advice on the Attention Deficit Hyperactivity Disorder (ADHD) medicine review.</w:t>
            </w:r>
          </w:p>
        </w:tc>
        <w:tc>
          <w:tcPr>
            <w:tcW w:w="2837" w:type="pct"/>
          </w:tcPr>
          <w:p w14:paraId="1F9786FD" w14:textId="40B64CD0" w:rsidR="00153FD3" w:rsidRPr="00F1155D" w:rsidDel="008F66B5" w:rsidRDefault="006F7109" w:rsidP="00F1155D">
            <w:pPr>
              <w:jc w:val="both"/>
              <w:rPr>
                <w:rFonts w:asciiTheme="minorHAnsi" w:hAnsiTheme="minorHAnsi" w:cstheme="minorBidi"/>
                <w:color w:val="000000"/>
                <w:sz w:val="18"/>
                <w:szCs w:val="18"/>
              </w:rPr>
            </w:pPr>
            <w:r>
              <w:rPr>
                <w:rFonts w:ascii="Calibri" w:hAnsi="Calibri" w:cs="Calibri"/>
                <w:color w:val="000000"/>
                <w:sz w:val="18"/>
                <w:szCs w:val="18"/>
              </w:rPr>
              <w:t xml:space="preserve">The </w:t>
            </w:r>
            <w:r w:rsidR="00153FD3" w:rsidRPr="00F1155D">
              <w:rPr>
                <w:rFonts w:ascii="Calibri" w:hAnsi="Calibri" w:cs="Calibri"/>
                <w:color w:val="000000"/>
                <w:sz w:val="18"/>
                <w:szCs w:val="18"/>
              </w:rPr>
              <w:t xml:space="preserve">PBAC </w:t>
            </w:r>
            <w:r>
              <w:rPr>
                <w:rFonts w:ascii="Calibri" w:hAnsi="Calibri" w:cs="Calibri"/>
                <w:color w:val="000000"/>
                <w:sz w:val="18"/>
                <w:szCs w:val="18"/>
              </w:rPr>
              <w:t>provided advice</w:t>
            </w:r>
            <w:r w:rsidRPr="00F1155D">
              <w:rPr>
                <w:rFonts w:ascii="Calibri" w:hAnsi="Calibri" w:cs="Calibri"/>
                <w:color w:val="000000"/>
                <w:sz w:val="18"/>
                <w:szCs w:val="18"/>
              </w:rPr>
              <w:t xml:space="preserve"> </w:t>
            </w:r>
            <w:r>
              <w:rPr>
                <w:rFonts w:ascii="Calibri" w:hAnsi="Calibri" w:cs="Calibri"/>
                <w:color w:val="000000"/>
                <w:sz w:val="18"/>
                <w:szCs w:val="18"/>
              </w:rPr>
              <w:t xml:space="preserve">on </w:t>
            </w:r>
            <w:r w:rsidR="00153FD3" w:rsidRPr="00F1155D">
              <w:rPr>
                <w:rFonts w:ascii="Calibri" w:hAnsi="Calibri" w:cs="Calibri"/>
                <w:color w:val="000000"/>
                <w:sz w:val="18"/>
                <w:szCs w:val="18"/>
              </w:rPr>
              <w:t>the updated Post-market Review workplan, which includes the status of current and recently completed projects, as well as new projects recently requested by</w:t>
            </w:r>
            <w:r w:rsidR="00681D8B">
              <w:rPr>
                <w:rFonts w:ascii="Calibri" w:hAnsi="Calibri" w:cs="Calibri"/>
                <w:color w:val="000000"/>
                <w:sz w:val="18"/>
                <w:szCs w:val="18"/>
              </w:rPr>
              <w:t xml:space="preserve"> the</w:t>
            </w:r>
            <w:r w:rsidR="00153FD3" w:rsidRPr="00F1155D">
              <w:rPr>
                <w:rFonts w:ascii="Calibri" w:hAnsi="Calibri" w:cs="Calibri"/>
                <w:color w:val="000000"/>
                <w:sz w:val="18"/>
                <w:szCs w:val="18"/>
              </w:rPr>
              <w:t xml:space="preserve"> PBAC </w:t>
            </w:r>
            <w:r w:rsidR="00950B82">
              <w:rPr>
                <w:rFonts w:ascii="Calibri" w:hAnsi="Calibri" w:cs="Calibri"/>
                <w:color w:val="000000"/>
                <w:sz w:val="18"/>
                <w:szCs w:val="18"/>
              </w:rPr>
              <w:t>relating to</w:t>
            </w:r>
            <w:r w:rsidR="00950B82" w:rsidRPr="00F1155D">
              <w:rPr>
                <w:rFonts w:ascii="Calibri" w:hAnsi="Calibri" w:cs="Calibri"/>
                <w:color w:val="000000"/>
                <w:sz w:val="18"/>
                <w:szCs w:val="18"/>
              </w:rPr>
              <w:t xml:space="preserve"> </w:t>
            </w:r>
            <w:r w:rsidR="00153FD3" w:rsidRPr="00F1155D">
              <w:rPr>
                <w:rFonts w:ascii="Calibri" w:hAnsi="Calibri" w:cs="Calibri"/>
                <w:color w:val="000000"/>
                <w:sz w:val="18"/>
                <w:szCs w:val="18"/>
              </w:rPr>
              <w:t>Pulmonary Arterial Hypertension and lamotrigine for</w:t>
            </w:r>
            <w:r w:rsidR="00950B82">
              <w:rPr>
                <w:rFonts w:ascii="Calibri" w:hAnsi="Calibri" w:cs="Calibri"/>
                <w:color w:val="000000"/>
                <w:sz w:val="18"/>
                <w:szCs w:val="18"/>
              </w:rPr>
              <w:t xml:space="preserve"> the treatment of</w:t>
            </w:r>
            <w:r w:rsidR="00153FD3" w:rsidRPr="00F1155D">
              <w:rPr>
                <w:rFonts w:ascii="Calibri" w:hAnsi="Calibri" w:cs="Calibri"/>
                <w:color w:val="000000"/>
                <w:sz w:val="18"/>
                <w:szCs w:val="18"/>
              </w:rPr>
              <w:t xml:space="preserve"> bipolar disorder. The PBAC noted that there are currently no formal Post-market Reviews are underway and did not recommend any new Post-market Review topics. The PBAC agreed for the Department to undertake a research project to review </w:t>
            </w:r>
            <w:r w:rsidR="00EB4000">
              <w:rPr>
                <w:rFonts w:ascii="Calibri" w:hAnsi="Calibri" w:cs="Calibri"/>
                <w:color w:val="000000"/>
                <w:sz w:val="18"/>
                <w:szCs w:val="18"/>
              </w:rPr>
              <w:t xml:space="preserve">the </w:t>
            </w:r>
            <w:r w:rsidR="00153FD3" w:rsidRPr="00F1155D">
              <w:rPr>
                <w:rFonts w:ascii="Calibri" w:hAnsi="Calibri" w:cs="Calibri"/>
                <w:color w:val="000000"/>
                <w:sz w:val="18"/>
                <w:szCs w:val="18"/>
              </w:rPr>
              <w:t xml:space="preserve">PBS listings for the treatment of ADHD. This research project will explore topics recommended for review by the Senate Community Affairs References Committee in its inquiry into the assessment and support services for people with ADHD, which was supported in-principle by Government in December 2024 subject to agreement by </w:t>
            </w:r>
            <w:r w:rsidR="00EB4000">
              <w:rPr>
                <w:rFonts w:ascii="Calibri" w:hAnsi="Calibri" w:cs="Calibri"/>
                <w:color w:val="000000"/>
                <w:sz w:val="18"/>
                <w:szCs w:val="18"/>
              </w:rPr>
              <w:t xml:space="preserve">the </w:t>
            </w:r>
            <w:r w:rsidR="00153FD3" w:rsidRPr="00F1155D">
              <w:rPr>
                <w:rFonts w:ascii="Calibri" w:hAnsi="Calibri" w:cs="Calibri"/>
                <w:color w:val="000000"/>
                <w:sz w:val="18"/>
                <w:szCs w:val="18"/>
              </w:rPr>
              <w:t xml:space="preserve">PBAC to undertake a review. </w:t>
            </w:r>
            <w:r w:rsidR="00EB4000">
              <w:rPr>
                <w:rFonts w:ascii="Calibri" w:hAnsi="Calibri" w:cs="Calibri"/>
                <w:color w:val="000000"/>
                <w:sz w:val="18"/>
                <w:szCs w:val="18"/>
              </w:rPr>
              <w:t xml:space="preserve">The </w:t>
            </w:r>
            <w:r w:rsidR="00153FD3" w:rsidRPr="00F1155D">
              <w:rPr>
                <w:rFonts w:ascii="Calibri" w:hAnsi="Calibri" w:cs="Calibri"/>
                <w:color w:val="000000"/>
                <w:sz w:val="18"/>
                <w:szCs w:val="18"/>
              </w:rPr>
              <w:t>PBAC advised that this work should be done as a research project, rather than necessitating a formal Post-market Review.</w:t>
            </w:r>
          </w:p>
        </w:tc>
      </w:tr>
      <w:tr w:rsidR="00153FD3" w:rsidRPr="0009421C" w:rsidDel="008F66B5" w14:paraId="22F54673" w14:textId="68264969" w:rsidTr="00F1155D">
        <w:trPr>
          <w:cantSplit/>
          <w:trHeight w:val="20"/>
        </w:trPr>
        <w:tc>
          <w:tcPr>
            <w:tcW w:w="965"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6EE2365" w14:textId="510EFC16" w:rsidR="00153FD3" w:rsidRPr="00F1155D" w:rsidRDefault="00153FD3" w:rsidP="00F1155D">
            <w:pPr>
              <w:jc w:val="center"/>
              <w:rPr>
                <w:rFonts w:asciiTheme="minorHAnsi" w:hAnsiTheme="minorHAnsi" w:cstheme="minorHAnsi"/>
                <w:sz w:val="18"/>
                <w:szCs w:val="18"/>
              </w:rPr>
            </w:pPr>
            <w:r w:rsidRPr="00F1155D">
              <w:rPr>
                <w:rFonts w:ascii="Calibri" w:hAnsi="Calibri" w:cs="Calibri"/>
                <w:color w:val="000000"/>
                <w:sz w:val="18"/>
                <w:szCs w:val="18"/>
              </w:rPr>
              <w:t>Prescriber Bag Review</w:t>
            </w:r>
            <w:r w:rsidRPr="00F1155D">
              <w:rPr>
                <w:rFonts w:ascii="Calibri" w:hAnsi="Calibri" w:cs="Calibri"/>
                <w:color w:val="000000"/>
                <w:sz w:val="18"/>
                <w:szCs w:val="18"/>
              </w:rPr>
              <w:br/>
            </w:r>
            <w:r w:rsidRPr="00F1155D">
              <w:rPr>
                <w:rFonts w:ascii="Calibri" w:hAnsi="Calibri" w:cs="Calibri"/>
                <w:color w:val="000000"/>
                <w:sz w:val="18"/>
                <w:szCs w:val="18"/>
              </w:rPr>
              <w:br/>
            </w:r>
            <w:r w:rsidR="00F1155D" w:rsidRPr="00F1155D">
              <w:rPr>
                <w:rFonts w:ascii="Calibri" w:hAnsi="Calibri" w:cs="Calibri"/>
                <w:color w:val="000000"/>
                <w:sz w:val="18"/>
                <w:szCs w:val="18"/>
              </w:rPr>
              <w:t>Various drugs, strengths, brands and sponsors</w:t>
            </w:r>
            <w:r w:rsidRPr="00F1155D">
              <w:rPr>
                <w:rFonts w:ascii="Calibri" w:hAnsi="Calibri" w:cs="Calibri"/>
                <w:color w:val="000000"/>
                <w:sz w:val="18"/>
                <w:szCs w:val="18"/>
              </w:rPr>
              <w:br/>
            </w:r>
            <w:r w:rsidRPr="00F1155D">
              <w:rPr>
                <w:rFonts w:ascii="Calibri" w:hAnsi="Calibri" w:cs="Calibri"/>
                <w:color w:val="000000"/>
                <w:sz w:val="18"/>
                <w:szCs w:val="18"/>
              </w:rPr>
              <w:br/>
              <w:t>Post-market review</w:t>
            </w:r>
            <w:r w:rsidRPr="00F1155D">
              <w:rPr>
                <w:rFonts w:ascii="Calibri" w:hAnsi="Calibri" w:cs="Calibri"/>
                <w:color w:val="000000"/>
                <w:sz w:val="18"/>
                <w:szCs w:val="18"/>
              </w:rPr>
              <w:br/>
              <w:t>(Change to existing listing)</w:t>
            </w:r>
          </w:p>
        </w:tc>
        <w:tc>
          <w:tcPr>
            <w:tcW w:w="461" w:type="pct"/>
            <w:tcBorders>
              <w:top w:val="single" w:sz="4" w:space="0" w:color="auto"/>
              <w:left w:val="single" w:sz="4" w:space="0" w:color="auto"/>
              <w:bottom w:val="single" w:sz="4" w:space="0" w:color="auto"/>
              <w:right w:val="single" w:sz="4" w:space="0" w:color="auto"/>
            </w:tcBorders>
            <w:vAlign w:val="center"/>
          </w:tcPr>
          <w:p w14:paraId="299E0385" w14:textId="3F6B7109" w:rsidR="00153FD3" w:rsidRPr="00F1155D" w:rsidRDefault="00153FD3" w:rsidP="00F1155D">
            <w:pPr>
              <w:jc w:val="center"/>
              <w:rPr>
                <w:rFonts w:asciiTheme="minorHAnsi" w:hAnsiTheme="minorHAnsi" w:cstheme="minorHAnsi"/>
                <w:sz w:val="18"/>
                <w:szCs w:val="18"/>
              </w:rPr>
            </w:pPr>
            <w:r w:rsidRPr="00F1155D">
              <w:rPr>
                <w:rFonts w:ascii="Calibri" w:hAnsi="Calibri" w:cs="Calibri"/>
                <w:color w:val="000000"/>
                <w:sz w:val="18"/>
                <w:szCs w:val="18"/>
              </w:rPr>
              <w:t>Multiple-emergency drug supplies</w:t>
            </w:r>
          </w:p>
        </w:tc>
        <w:tc>
          <w:tcPr>
            <w:tcW w:w="737"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08890D6" w14:textId="77777777" w:rsidR="00F1155D" w:rsidRDefault="00153FD3" w:rsidP="00F1155D">
            <w:pPr>
              <w:jc w:val="center"/>
              <w:rPr>
                <w:rFonts w:ascii="Calibri" w:hAnsi="Calibri" w:cs="Calibri"/>
                <w:color w:val="000000"/>
                <w:sz w:val="18"/>
                <w:szCs w:val="18"/>
              </w:rPr>
            </w:pPr>
            <w:r w:rsidRPr="00F1155D">
              <w:rPr>
                <w:rFonts w:ascii="Calibri" w:hAnsi="Calibri" w:cs="Calibri"/>
                <w:color w:val="000000"/>
                <w:sz w:val="18"/>
                <w:szCs w:val="18"/>
              </w:rPr>
              <w:t>To review the items currently listed in the PBS Prescriber Bag so emergency patient care is supported through the inclusion of pharmaceutical benefits that reflect contemporary best emergency practice and are efficacious and safe.</w:t>
            </w:r>
          </w:p>
          <w:p w14:paraId="27858FFE" w14:textId="77777777" w:rsidR="00F1155D" w:rsidRDefault="00F1155D" w:rsidP="00F1155D">
            <w:pPr>
              <w:jc w:val="center"/>
              <w:rPr>
                <w:rFonts w:ascii="Calibri" w:hAnsi="Calibri" w:cs="Calibri"/>
                <w:color w:val="000000"/>
                <w:sz w:val="18"/>
                <w:szCs w:val="18"/>
              </w:rPr>
            </w:pPr>
          </w:p>
          <w:p w14:paraId="5BABB683" w14:textId="77777777" w:rsidR="00F1155D" w:rsidRDefault="00153FD3" w:rsidP="00F1155D">
            <w:pPr>
              <w:jc w:val="center"/>
              <w:rPr>
                <w:rFonts w:ascii="Calibri" w:hAnsi="Calibri" w:cs="Calibri"/>
                <w:color w:val="000000"/>
                <w:sz w:val="18"/>
                <w:szCs w:val="18"/>
              </w:rPr>
            </w:pPr>
            <w:r w:rsidRPr="00F1155D">
              <w:rPr>
                <w:rFonts w:ascii="Calibri" w:hAnsi="Calibri" w:cs="Calibri"/>
                <w:color w:val="000000"/>
                <w:sz w:val="18"/>
                <w:szCs w:val="18"/>
              </w:rPr>
              <w:t>To consider stakeholder requests for potential inclusion of additional items in the Prescriber Bag.</w:t>
            </w:r>
          </w:p>
          <w:p w14:paraId="532AADCF" w14:textId="77777777" w:rsidR="00F1155D" w:rsidRDefault="00F1155D" w:rsidP="00F1155D">
            <w:pPr>
              <w:jc w:val="center"/>
              <w:rPr>
                <w:rFonts w:ascii="Calibri" w:hAnsi="Calibri" w:cs="Calibri"/>
                <w:color w:val="000000"/>
                <w:sz w:val="18"/>
                <w:szCs w:val="18"/>
              </w:rPr>
            </w:pPr>
          </w:p>
          <w:p w14:paraId="230945EA" w14:textId="77777777" w:rsidR="00F1155D" w:rsidRDefault="00153FD3" w:rsidP="00F1155D">
            <w:pPr>
              <w:jc w:val="center"/>
              <w:rPr>
                <w:rFonts w:ascii="Calibri" w:hAnsi="Calibri" w:cs="Calibri"/>
                <w:color w:val="000000"/>
                <w:sz w:val="18"/>
                <w:szCs w:val="18"/>
              </w:rPr>
            </w:pPr>
            <w:r w:rsidRPr="00F1155D">
              <w:rPr>
                <w:rFonts w:ascii="Calibri" w:hAnsi="Calibri" w:cs="Calibri"/>
                <w:color w:val="000000"/>
                <w:sz w:val="18"/>
                <w:szCs w:val="18"/>
              </w:rPr>
              <w:t>To consider the Prescriber Bag utilisation analysis.</w:t>
            </w:r>
          </w:p>
          <w:p w14:paraId="68BB3CDA" w14:textId="77777777" w:rsidR="00F1155D" w:rsidRDefault="00F1155D" w:rsidP="00F1155D">
            <w:pPr>
              <w:jc w:val="center"/>
              <w:rPr>
                <w:rFonts w:ascii="Calibri" w:hAnsi="Calibri" w:cs="Calibri"/>
                <w:color w:val="000000"/>
                <w:sz w:val="18"/>
                <w:szCs w:val="18"/>
              </w:rPr>
            </w:pPr>
          </w:p>
          <w:p w14:paraId="3B8F7ACD" w14:textId="721A760C" w:rsidR="00153FD3" w:rsidRPr="00F1155D" w:rsidRDefault="00153FD3" w:rsidP="00F1155D">
            <w:pPr>
              <w:jc w:val="center"/>
              <w:rPr>
                <w:rFonts w:asciiTheme="minorHAnsi" w:hAnsiTheme="minorHAnsi" w:cstheme="minorHAnsi"/>
                <w:sz w:val="18"/>
                <w:szCs w:val="18"/>
              </w:rPr>
            </w:pPr>
            <w:r w:rsidRPr="00F1155D">
              <w:rPr>
                <w:rFonts w:ascii="Calibri" w:hAnsi="Calibri" w:cs="Calibri"/>
                <w:color w:val="000000"/>
                <w:sz w:val="18"/>
                <w:szCs w:val="18"/>
              </w:rPr>
              <w:t>To make recommendations for items that should be added to or removed from the Prescriber Bag.</w:t>
            </w:r>
          </w:p>
        </w:tc>
        <w:tc>
          <w:tcPr>
            <w:tcW w:w="2837" w:type="pct"/>
            <w:tcBorders>
              <w:top w:val="single" w:sz="4" w:space="0" w:color="auto"/>
              <w:left w:val="single" w:sz="4" w:space="0" w:color="auto"/>
              <w:bottom w:val="single" w:sz="4" w:space="0" w:color="auto"/>
              <w:right w:val="single" w:sz="4" w:space="0" w:color="auto"/>
            </w:tcBorders>
          </w:tcPr>
          <w:p w14:paraId="22F1F223" w14:textId="1848FD92" w:rsidR="0073511B" w:rsidRPr="00F1155D" w:rsidRDefault="00153FD3" w:rsidP="00F1155D">
            <w:pPr>
              <w:jc w:val="both"/>
              <w:rPr>
                <w:rFonts w:ascii="Calibri" w:hAnsi="Calibri" w:cs="Calibri"/>
                <w:color w:val="000000"/>
                <w:sz w:val="18"/>
                <w:szCs w:val="18"/>
              </w:rPr>
            </w:pPr>
            <w:r w:rsidRPr="00F1155D">
              <w:rPr>
                <w:rFonts w:ascii="Calibri" w:hAnsi="Calibri" w:cs="Calibri"/>
                <w:color w:val="000000"/>
                <w:sz w:val="18"/>
                <w:szCs w:val="18"/>
              </w:rPr>
              <w:t xml:space="preserve">The PBAC provided advice on findings from the first tranche of a Review of PBS Prescriber Bag medicines. The PBAC considered consolidated stakeholder input received from </w:t>
            </w:r>
            <w:r w:rsidR="00A122A4">
              <w:rPr>
                <w:rFonts w:ascii="Calibri" w:hAnsi="Calibri" w:cs="Calibri"/>
                <w:color w:val="000000"/>
                <w:sz w:val="18"/>
                <w:szCs w:val="18"/>
              </w:rPr>
              <w:t>a</w:t>
            </w:r>
            <w:r w:rsidR="00A122A4" w:rsidRPr="00F1155D">
              <w:rPr>
                <w:rFonts w:ascii="Calibri" w:hAnsi="Calibri" w:cs="Calibri"/>
                <w:color w:val="000000"/>
                <w:sz w:val="18"/>
                <w:szCs w:val="18"/>
              </w:rPr>
              <w:t xml:space="preserve"> </w:t>
            </w:r>
            <w:r w:rsidRPr="00F1155D">
              <w:rPr>
                <w:rFonts w:ascii="Calibri" w:hAnsi="Calibri" w:cs="Calibri"/>
                <w:color w:val="000000"/>
                <w:sz w:val="18"/>
                <w:szCs w:val="18"/>
              </w:rPr>
              <w:t xml:space="preserve">targeted consultation process and considered requests for </w:t>
            </w:r>
            <w:r w:rsidR="00A122A4">
              <w:rPr>
                <w:rFonts w:ascii="Calibri" w:hAnsi="Calibri" w:cs="Calibri"/>
                <w:color w:val="000000"/>
                <w:sz w:val="18"/>
                <w:szCs w:val="18"/>
              </w:rPr>
              <w:t xml:space="preserve">the </w:t>
            </w:r>
            <w:r w:rsidRPr="00F1155D">
              <w:rPr>
                <w:rFonts w:ascii="Calibri" w:hAnsi="Calibri" w:cs="Calibri"/>
                <w:color w:val="000000"/>
                <w:sz w:val="18"/>
                <w:szCs w:val="18"/>
              </w:rPr>
              <w:t>removal of items, addition of new strengths of existing items, new items to replace current items</w:t>
            </w:r>
            <w:r w:rsidR="00A122A4">
              <w:rPr>
                <w:rFonts w:ascii="Calibri" w:hAnsi="Calibri" w:cs="Calibri"/>
                <w:color w:val="000000"/>
                <w:sz w:val="18"/>
                <w:szCs w:val="18"/>
              </w:rPr>
              <w:t>,</w:t>
            </w:r>
            <w:r w:rsidRPr="00F1155D">
              <w:rPr>
                <w:rFonts w:ascii="Calibri" w:hAnsi="Calibri" w:cs="Calibri"/>
                <w:color w:val="000000"/>
                <w:sz w:val="18"/>
                <w:szCs w:val="18"/>
              </w:rPr>
              <w:t xml:space="preserve"> and increased maximum quantities. The PBAC considered </w:t>
            </w:r>
            <w:r w:rsidR="00A122A4">
              <w:rPr>
                <w:rFonts w:ascii="Calibri" w:hAnsi="Calibri" w:cs="Calibri"/>
                <w:color w:val="000000"/>
                <w:sz w:val="18"/>
                <w:szCs w:val="18"/>
              </w:rPr>
              <w:t xml:space="preserve">the </w:t>
            </w:r>
            <w:r w:rsidRPr="00F1155D">
              <w:rPr>
                <w:rFonts w:ascii="Calibri" w:hAnsi="Calibri" w:cs="Calibri"/>
                <w:color w:val="000000"/>
                <w:sz w:val="18"/>
                <w:szCs w:val="18"/>
              </w:rPr>
              <w:t xml:space="preserve">stakeholder requests by applying an algorithm developed by the Department intended to support </w:t>
            </w:r>
            <w:r w:rsidR="00A122A4">
              <w:rPr>
                <w:rFonts w:ascii="Calibri" w:hAnsi="Calibri" w:cs="Calibri"/>
                <w:color w:val="000000"/>
                <w:sz w:val="18"/>
                <w:szCs w:val="18"/>
              </w:rPr>
              <w:t xml:space="preserve">the </w:t>
            </w:r>
            <w:r w:rsidRPr="00F1155D">
              <w:rPr>
                <w:rFonts w:ascii="Calibri" w:hAnsi="Calibri" w:cs="Calibri"/>
                <w:color w:val="000000"/>
                <w:sz w:val="18"/>
                <w:szCs w:val="18"/>
              </w:rPr>
              <w:t>PBAC's consideration of the suitability of a medicine to be listed or retained as a Prescriber Bag benefit. The PBAC also considered advice from the Drug Utilisation Sub-Committee (DUSC) on the utilisation of existing PBS Prescriber Bag items.</w:t>
            </w:r>
          </w:p>
          <w:p w14:paraId="663807C9" w14:textId="77777777" w:rsidR="0073511B" w:rsidRPr="00F1155D" w:rsidRDefault="0073511B" w:rsidP="00F1155D">
            <w:pPr>
              <w:jc w:val="both"/>
              <w:rPr>
                <w:rFonts w:ascii="Calibri" w:hAnsi="Calibri" w:cs="Calibri"/>
                <w:color w:val="000000"/>
                <w:sz w:val="18"/>
                <w:szCs w:val="18"/>
              </w:rPr>
            </w:pPr>
          </w:p>
          <w:p w14:paraId="422FFD12" w14:textId="1CDF4765" w:rsidR="0073511B" w:rsidRPr="00F1155D" w:rsidRDefault="00153FD3" w:rsidP="00F1155D">
            <w:pPr>
              <w:jc w:val="both"/>
              <w:rPr>
                <w:rFonts w:ascii="Calibri" w:hAnsi="Calibri" w:cs="Calibri"/>
                <w:color w:val="000000"/>
                <w:sz w:val="18"/>
                <w:szCs w:val="18"/>
              </w:rPr>
            </w:pPr>
            <w:r w:rsidRPr="00F1155D">
              <w:rPr>
                <w:rFonts w:ascii="Calibri" w:hAnsi="Calibri" w:cs="Calibri"/>
                <w:color w:val="000000"/>
                <w:sz w:val="18"/>
                <w:szCs w:val="18"/>
              </w:rPr>
              <w:t>The PBAC recommended that all currently listed Prescriber Bag benefits remain suitable, except molnupiravir 200</w:t>
            </w:r>
            <w:r w:rsidR="001F09CF">
              <w:rPr>
                <w:rFonts w:ascii="Calibri" w:hAnsi="Calibri" w:cs="Calibri"/>
                <w:color w:val="000000"/>
                <w:sz w:val="18"/>
                <w:szCs w:val="18"/>
              </w:rPr>
              <w:t> </w:t>
            </w:r>
            <w:r w:rsidRPr="00F1155D">
              <w:rPr>
                <w:rFonts w:ascii="Calibri" w:hAnsi="Calibri" w:cs="Calibri"/>
                <w:color w:val="000000"/>
                <w:sz w:val="18"/>
                <w:szCs w:val="18"/>
              </w:rPr>
              <w:t>mg tablet and nirmatrelvir 150 mg tablet &amp; ritonavir 100 mg tablet, (COVID-19 antiviral medicines) and furosemide tablets. The PBAC recommended that COVID</w:t>
            </w:r>
            <w:r w:rsidR="008E66B3">
              <w:rPr>
                <w:rFonts w:ascii="Calibri" w:hAnsi="Calibri" w:cs="Calibri"/>
                <w:color w:val="000000"/>
                <w:sz w:val="18"/>
                <w:szCs w:val="18"/>
              </w:rPr>
              <w:t>-</w:t>
            </w:r>
            <w:r w:rsidRPr="00F1155D">
              <w:rPr>
                <w:rFonts w:ascii="Calibri" w:hAnsi="Calibri" w:cs="Calibri"/>
                <w:color w:val="000000"/>
                <w:sz w:val="18"/>
                <w:szCs w:val="18"/>
              </w:rPr>
              <w:t>19 anti-viral medicines be removed, acknowledging that stakeholders may hold disparate views but that the clinical landscape had evolved from the time of Prescriber Bag listing.</w:t>
            </w:r>
          </w:p>
          <w:p w14:paraId="64D234FF" w14:textId="77777777" w:rsidR="0073511B" w:rsidRPr="00F1155D" w:rsidRDefault="0073511B" w:rsidP="00F1155D">
            <w:pPr>
              <w:jc w:val="both"/>
              <w:rPr>
                <w:rFonts w:ascii="Calibri" w:hAnsi="Calibri" w:cs="Calibri"/>
                <w:color w:val="000000"/>
                <w:sz w:val="18"/>
                <w:szCs w:val="18"/>
              </w:rPr>
            </w:pPr>
          </w:p>
          <w:p w14:paraId="36BA5BF4" w14:textId="77777777" w:rsidR="0073511B" w:rsidRPr="00F1155D" w:rsidRDefault="00153FD3" w:rsidP="00F1155D">
            <w:pPr>
              <w:jc w:val="both"/>
              <w:rPr>
                <w:rFonts w:ascii="Calibri" w:hAnsi="Calibri" w:cs="Calibri"/>
                <w:color w:val="000000"/>
                <w:sz w:val="18"/>
                <w:szCs w:val="18"/>
              </w:rPr>
            </w:pPr>
            <w:r w:rsidRPr="00F1155D">
              <w:rPr>
                <w:rFonts w:ascii="Calibri" w:hAnsi="Calibri" w:cs="Calibri"/>
                <w:color w:val="000000"/>
                <w:sz w:val="18"/>
                <w:szCs w:val="18"/>
              </w:rPr>
              <w:t>The PBAC considered the potential for wastage of furosemide tablets due to the pack size (50) but noted support from stakeholders to retain this item in the PBS Prescriber Bag. The PBAC deferred making its recommendation on furosemide and requested the Department investigate with sponsors the availability of a smaller pack size which may decrease wastage.</w:t>
            </w:r>
          </w:p>
          <w:p w14:paraId="43078419" w14:textId="77777777" w:rsidR="0073511B" w:rsidRPr="00F1155D" w:rsidRDefault="0073511B" w:rsidP="00F1155D">
            <w:pPr>
              <w:jc w:val="both"/>
              <w:rPr>
                <w:rFonts w:ascii="Calibri" w:hAnsi="Calibri" w:cs="Calibri"/>
                <w:color w:val="000000"/>
                <w:sz w:val="18"/>
                <w:szCs w:val="18"/>
              </w:rPr>
            </w:pPr>
          </w:p>
          <w:p w14:paraId="117AFBE4" w14:textId="140C3441" w:rsidR="0073511B" w:rsidRPr="00F1155D" w:rsidRDefault="00153FD3" w:rsidP="00F1155D">
            <w:pPr>
              <w:jc w:val="both"/>
              <w:rPr>
                <w:rFonts w:ascii="Calibri" w:hAnsi="Calibri" w:cs="Calibri"/>
                <w:color w:val="000000"/>
                <w:sz w:val="18"/>
                <w:szCs w:val="18"/>
              </w:rPr>
            </w:pPr>
            <w:r w:rsidRPr="00F1155D">
              <w:rPr>
                <w:rFonts w:ascii="Calibri" w:hAnsi="Calibri" w:cs="Calibri"/>
                <w:color w:val="000000"/>
                <w:sz w:val="18"/>
                <w:szCs w:val="18"/>
              </w:rPr>
              <w:t xml:space="preserve">The PBAC recommended the addition of ceftriaxone 2 g injection on the Prescriber Bag, noting support from multiple stakeholders for the emergency treatment of sepsis. The PBAC did not recommend </w:t>
            </w:r>
            <w:r w:rsidR="009569F0">
              <w:rPr>
                <w:rFonts w:ascii="Calibri" w:hAnsi="Calibri" w:cs="Calibri"/>
                <w:color w:val="000000"/>
                <w:sz w:val="18"/>
                <w:szCs w:val="18"/>
              </w:rPr>
              <w:t xml:space="preserve">the </w:t>
            </w:r>
            <w:r w:rsidRPr="00F1155D">
              <w:rPr>
                <w:rFonts w:ascii="Calibri" w:hAnsi="Calibri" w:cs="Calibri"/>
                <w:color w:val="000000"/>
                <w:sz w:val="18"/>
                <w:szCs w:val="18"/>
              </w:rPr>
              <w:t xml:space="preserve">remaining stakeholder requests for additional strengths of existing items and new items to replace current items, noting that these items did not meet the algorithm criteria of </w:t>
            </w:r>
            <w:r w:rsidR="00BB2EAB">
              <w:rPr>
                <w:rFonts w:ascii="Calibri" w:hAnsi="Calibri" w:cs="Calibri"/>
                <w:color w:val="000000"/>
                <w:sz w:val="18"/>
                <w:szCs w:val="18"/>
              </w:rPr>
              <w:t>Therapeutic Goods Administration</w:t>
            </w:r>
            <w:r w:rsidRPr="00F1155D">
              <w:rPr>
                <w:rFonts w:ascii="Calibri" w:hAnsi="Calibri" w:cs="Calibri"/>
                <w:color w:val="000000"/>
                <w:sz w:val="18"/>
                <w:szCs w:val="18"/>
              </w:rPr>
              <w:t xml:space="preserve"> registration for the requested indication and/or PBS listing, and that this was a significant barrier to inclusion.</w:t>
            </w:r>
          </w:p>
          <w:p w14:paraId="3A80F48B" w14:textId="77777777" w:rsidR="0073511B" w:rsidRPr="00F1155D" w:rsidRDefault="0073511B" w:rsidP="00F1155D">
            <w:pPr>
              <w:jc w:val="both"/>
              <w:rPr>
                <w:rFonts w:ascii="Calibri" w:hAnsi="Calibri" w:cs="Calibri"/>
                <w:color w:val="000000"/>
                <w:sz w:val="18"/>
                <w:szCs w:val="18"/>
              </w:rPr>
            </w:pPr>
          </w:p>
          <w:p w14:paraId="06FFEB5F" w14:textId="2A475808" w:rsidR="00153FD3" w:rsidRPr="00F1155D" w:rsidDel="008F66B5" w:rsidRDefault="00153FD3" w:rsidP="00F1155D">
            <w:pPr>
              <w:jc w:val="both"/>
              <w:rPr>
                <w:rFonts w:asciiTheme="minorHAnsi" w:hAnsiTheme="minorHAnsi" w:cstheme="minorHAnsi"/>
                <w:color w:val="000000"/>
                <w:sz w:val="18"/>
                <w:szCs w:val="18"/>
              </w:rPr>
            </w:pPr>
            <w:r w:rsidRPr="00F1155D">
              <w:rPr>
                <w:rFonts w:ascii="Calibri" w:hAnsi="Calibri" w:cs="Calibri"/>
                <w:color w:val="000000"/>
                <w:sz w:val="18"/>
                <w:szCs w:val="18"/>
              </w:rPr>
              <w:t>In considering a request from the Australian College of Midwives (ACM), the PBAC recommended that the PBS listings of benzathine benzylpenicillin (Prescriber Bag and the General Schedule) and adrenaline injections (Prescriber Bag) be amended to allow prescribing by endorsed midwives. The PBAC considered that extending prescribing of benzathine benzylpenicillin to endorsed midwives would harmonise best practice standards, facilitate earlier intervention, improve maternal and neonatal outcomes by reducing congenital syphilis cases</w:t>
            </w:r>
            <w:r w:rsidR="002764D5">
              <w:rPr>
                <w:rFonts w:ascii="Calibri" w:hAnsi="Calibri" w:cs="Calibri"/>
                <w:color w:val="000000"/>
                <w:sz w:val="18"/>
                <w:szCs w:val="18"/>
              </w:rPr>
              <w:t>,</w:t>
            </w:r>
            <w:r w:rsidRPr="00F1155D">
              <w:rPr>
                <w:rFonts w:ascii="Calibri" w:hAnsi="Calibri" w:cs="Calibri"/>
                <w:color w:val="000000"/>
                <w:sz w:val="18"/>
                <w:szCs w:val="18"/>
              </w:rPr>
              <w:t xml:space="preserve"> and support the National syphilis response. The PBAC considered</w:t>
            </w:r>
            <w:r w:rsidR="00667519">
              <w:rPr>
                <w:rFonts w:ascii="Calibri" w:hAnsi="Calibri" w:cs="Calibri"/>
                <w:color w:val="000000"/>
                <w:sz w:val="18"/>
                <w:szCs w:val="18"/>
              </w:rPr>
              <w:t xml:space="preserve"> that</w:t>
            </w:r>
            <w:r w:rsidRPr="00F1155D">
              <w:rPr>
                <w:rFonts w:ascii="Calibri" w:hAnsi="Calibri" w:cs="Calibri"/>
                <w:color w:val="000000"/>
                <w:sz w:val="18"/>
                <w:szCs w:val="18"/>
              </w:rPr>
              <w:t xml:space="preserve"> extending prescribing of adrenaline to midwives would support </w:t>
            </w:r>
            <w:r w:rsidR="002764D5">
              <w:rPr>
                <w:rFonts w:ascii="Calibri" w:hAnsi="Calibri" w:cs="Calibri"/>
                <w:color w:val="000000"/>
                <w:sz w:val="18"/>
                <w:szCs w:val="18"/>
              </w:rPr>
              <w:t xml:space="preserve">their </w:t>
            </w:r>
            <w:r w:rsidRPr="00F1155D">
              <w:rPr>
                <w:rFonts w:ascii="Calibri" w:hAnsi="Calibri" w:cs="Calibri"/>
                <w:color w:val="000000"/>
                <w:sz w:val="18"/>
                <w:szCs w:val="18"/>
              </w:rPr>
              <w:t>practice as immunisation providers and as first responders in emergency care.</w:t>
            </w:r>
          </w:p>
        </w:tc>
      </w:tr>
    </w:tbl>
    <w:p w14:paraId="235972BA" w14:textId="0979A19A" w:rsidR="00D63B5A" w:rsidRDefault="00F1155D" w:rsidP="00A169D1">
      <w:r>
        <w:br w:type="textWrapping" w:clear="all"/>
      </w:r>
    </w:p>
    <w:p w14:paraId="2FD72212" w14:textId="77777777" w:rsidR="00E00F33" w:rsidRDefault="00E00F33">
      <w:pPr>
        <w:rPr>
          <w:rFonts w:ascii="Arial" w:hAnsi="Arial" w:cs="Arial"/>
          <w:b/>
          <w:bCs/>
          <w:lang w:val="en-US"/>
        </w:rPr>
      </w:pPr>
      <w:r>
        <w:rPr>
          <w:rFonts w:ascii="Arial" w:hAnsi="Arial" w:cs="Arial"/>
          <w:b/>
          <w:bCs/>
          <w:lang w:val="en-US"/>
        </w:rPr>
        <w:br w:type="page"/>
      </w:r>
    </w:p>
    <w:p w14:paraId="5180F58C" w14:textId="77777777" w:rsidR="00736A09" w:rsidRDefault="00736A09" w:rsidP="00A94408">
      <w:pPr>
        <w:rPr>
          <w:rFonts w:ascii="Arial" w:hAnsi="Arial" w:cs="Arial"/>
          <w:b/>
          <w:bCs/>
          <w:lang w:val="en-US"/>
        </w:rPr>
      </w:pPr>
    </w:p>
    <w:p w14:paraId="6B64D1DE" w14:textId="4E47B427" w:rsidR="007F48F6" w:rsidRPr="00292120" w:rsidDel="008F66B5" w:rsidRDefault="007F48F6" w:rsidP="00A94408">
      <w:pPr>
        <w:rPr>
          <w:rFonts w:ascii="Arial" w:hAnsi="Arial" w:cs="Arial"/>
          <w:b/>
          <w:bCs/>
          <w:lang w:val="en-US"/>
        </w:rPr>
      </w:pPr>
      <w:r w:rsidRPr="20381F86">
        <w:rPr>
          <w:rFonts w:ascii="Arial" w:hAnsi="Arial" w:cs="Arial"/>
          <w:b/>
          <w:bCs/>
          <w:lang w:val="en-US"/>
        </w:rPr>
        <w:t>Submission category types</w:t>
      </w:r>
    </w:p>
    <w:p w14:paraId="15D4233E" w14:textId="1C46F133" w:rsidR="007F48F6" w:rsidRPr="00292120" w:rsidDel="008F66B5" w:rsidRDefault="007F48F6" w:rsidP="00A94408">
      <w:pPr>
        <w:rPr>
          <w:rFonts w:ascii="Arial" w:hAnsi="Arial" w:cs="Arial"/>
          <w:b/>
          <w:bCs/>
          <w:lang w:val="en-US"/>
        </w:rPr>
      </w:pPr>
    </w:p>
    <w:tbl>
      <w:tblPr>
        <w:tblStyle w:val="TableGrid"/>
        <w:tblW w:w="14458" w:type="dxa"/>
        <w:tblInd w:w="421" w:type="dxa"/>
        <w:tblLook w:val="04A0" w:firstRow="1" w:lastRow="0" w:firstColumn="1" w:lastColumn="0" w:noHBand="0" w:noVBand="1"/>
      </w:tblPr>
      <w:tblGrid>
        <w:gridCol w:w="1984"/>
        <w:gridCol w:w="12474"/>
      </w:tblGrid>
      <w:tr w:rsidR="007F48F6" w:rsidRPr="00292120" w:rsidDel="008F66B5" w14:paraId="49C9D26F" w14:textId="501D6309" w:rsidTr="20381F86">
        <w:trPr>
          <w:trHeight w:val="300"/>
        </w:trPr>
        <w:tc>
          <w:tcPr>
            <w:tcW w:w="1984" w:type="dxa"/>
          </w:tcPr>
          <w:p w14:paraId="1640FA5D" w14:textId="5A043ED1" w:rsidR="007F48F6" w:rsidRPr="00292120" w:rsidDel="008F66B5" w:rsidRDefault="007F48F6" w:rsidP="00A94408">
            <w:pPr>
              <w:autoSpaceDE w:val="0"/>
              <w:autoSpaceDN w:val="0"/>
              <w:adjustRightInd w:val="0"/>
              <w:rPr>
                <w:rFonts w:ascii="Arial" w:hAnsi="Arial" w:cs="Arial"/>
                <w:b/>
                <w:bCs/>
                <w:lang w:val="en-US"/>
              </w:rPr>
            </w:pPr>
            <w:r w:rsidRPr="20381F86">
              <w:rPr>
                <w:rFonts w:ascii="Arial" w:hAnsi="Arial" w:cs="Arial"/>
                <w:b/>
                <w:bCs/>
                <w:color w:val="000000" w:themeColor="text1"/>
              </w:rPr>
              <w:t>Category 1</w:t>
            </w:r>
          </w:p>
        </w:tc>
        <w:tc>
          <w:tcPr>
            <w:tcW w:w="12474" w:type="dxa"/>
          </w:tcPr>
          <w:p w14:paraId="55D16D51" w14:textId="1C953CA4" w:rsidR="007F48F6" w:rsidRPr="00292120" w:rsidDel="008F66B5" w:rsidRDefault="007F48F6" w:rsidP="00A94408">
            <w:pPr>
              <w:autoSpaceDE w:val="0"/>
              <w:autoSpaceDN w:val="0"/>
              <w:adjustRightInd w:val="0"/>
              <w:rPr>
                <w:rFonts w:ascii="Arial" w:hAnsi="Arial" w:cs="Arial"/>
                <w:b/>
                <w:bCs/>
                <w:color w:val="000000"/>
              </w:rPr>
            </w:pPr>
            <w:r w:rsidRPr="20381F86">
              <w:rPr>
                <w:rFonts w:ascii="Arial" w:hAnsi="Arial" w:cs="Arial"/>
                <w:color w:val="000000" w:themeColor="text1"/>
              </w:rPr>
              <w:t xml:space="preserve">A request for PBS or NIP listing of one or more of the following: </w:t>
            </w:r>
          </w:p>
          <w:p w14:paraId="5E5BAAB8" w14:textId="64CF3868" w:rsidR="007F48F6" w:rsidRPr="00292120" w:rsidDel="008F66B5" w:rsidRDefault="007F48F6" w:rsidP="00A94408">
            <w:pPr>
              <w:pStyle w:val="ListParagraph"/>
              <w:numPr>
                <w:ilvl w:val="0"/>
                <w:numId w:val="3"/>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 xml:space="preserve">A first in class medicine or vaccine, and/or a medicine or vaccine for a new population. OR </w:t>
            </w:r>
          </w:p>
          <w:p w14:paraId="7DB13D11" w14:textId="1D5BF29E" w:rsidR="007F48F6" w:rsidRPr="00292120" w:rsidDel="008F66B5" w:rsidRDefault="007F48F6" w:rsidP="00A94408">
            <w:pPr>
              <w:pStyle w:val="ListParagraph"/>
              <w:numPr>
                <w:ilvl w:val="0"/>
                <w:numId w:val="3"/>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 xml:space="preserve">A drug with a codependent technology that requires an integrated codependent submission to the PBAC and MSAC. OR </w:t>
            </w:r>
          </w:p>
          <w:p w14:paraId="1380A86B" w14:textId="5E2F1AA0" w:rsidR="007F48F6" w:rsidRPr="00292120" w:rsidDel="008F66B5" w:rsidRDefault="007F48F6" w:rsidP="00A94408">
            <w:pPr>
              <w:pStyle w:val="ListParagraph"/>
              <w:numPr>
                <w:ilvl w:val="0"/>
                <w:numId w:val="3"/>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A drug or designated vaccine with a TGA Provisional determination related to the proposed population.</w:t>
            </w:r>
          </w:p>
        </w:tc>
      </w:tr>
      <w:tr w:rsidR="007F48F6" w:rsidRPr="00292120" w:rsidDel="008F66B5" w14:paraId="55E97F75" w14:textId="03BFE596" w:rsidTr="20381F86">
        <w:trPr>
          <w:trHeight w:val="300"/>
        </w:trPr>
        <w:tc>
          <w:tcPr>
            <w:tcW w:w="1984" w:type="dxa"/>
          </w:tcPr>
          <w:p w14:paraId="5E9AC3B0" w14:textId="02795464" w:rsidR="007F48F6" w:rsidRPr="00292120" w:rsidDel="008F66B5" w:rsidRDefault="007F48F6" w:rsidP="00A94408">
            <w:pPr>
              <w:tabs>
                <w:tab w:val="left" w:pos="5210"/>
              </w:tabs>
              <w:rPr>
                <w:rFonts w:ascii="Arial" w:hAnsi="Arial" w:cs="Arial"/>
                <w:b/>
                <w:bCs/>
                <w:lang w:val="en-US"/>
              </w:rPr>
            </w:pPr>
            <w:r w:rsidRPr="20381F86">
              <w:rPr>
                <w:rFonts w:ascii="Arial" w:hAnsi="Arial" w:cs="Arial"/>
                <w:b/>
                <w:bCs/>
              </w:rPr>
              <w:t>Category 2</w:t>
            </w:r>
          </w:p>
        </w:tc>
        <w:tc>
          <w:tcPr>
            <w:tcW w:w="12474" w:type="dxa"/>
          </w:tcPr>
          <w:p w14:paraId="72522F32" w14:textId="07B69D5E" w:rsidR="007F48F6" w:rsidRPr="00292120" w:rsidDel="008F66B5" w:rsidRDefault="007F48F6" w:rsidP="00A94408">
            <w:pPr>
              <w:tabs>
                <w:tab w:val="left" w:pos="5210"/>
              </w:tabs>
              <w:rPr>
                <w:rFonts w:ascii="Arial" w:hAnsi="Arial" w:cs="Arial"/>
              </w:rPr>
            </w:pPr>
            <w:r w:rsidRPr="20381F86">
              <w:rPr>
                <w:rFonts w:ascii="Arial" w:hAnsi="Arial" w:cs="Arial"/>
              </w:rPr>
              <w:t>A request for PBS or NIP listing of a new medicine or new vaccine, a new indication of a currently listed medicine or vaccine, or to make material changes to a currently listed indication and do not meet the criteria for a Category 1 submission.</w:t>
            </w:r>
          </w:p>
        </w:tc>
      </w:tr>
      <w:tr w:rsidR="007F48F6" w:rsidRPr="00292120" w:rsidDel="008F66B5" w14:paraId="2189A220" w14:textId="61A0DBC9" w:rsidTr="20381F86">
        <w:trPr>
          <w:trHeight w:val="300"/>
        </w:trPr>
        <w:tc>
          <w:tcPr>
            <w:tcW w:w="1984" w:type="dxa"/>
          </w:tcPr>
          <w:p w14:paraId="79CB93BA" w14:textId="26E7B2D7" w:rsidR="007F48F6" w:rsidRPr="00292120" w:rsidDel="008F66B5" w:rsidRDefault="007F48F6" w:rsidP="00A94408">
            <w:pPr>
              <w:tabs>
                <w:tab w:val="left" w:pos="5210"/>
              </w:tabs>
              <w:rPr>
                <w:rFonts w:ascii="Arial" w:hAnsi="Arial" w:cs="Arial"/>
                <w:b/>
                <w:bCs/>
                <w:lang w:val="en-US"/>
              </w:rPr>
            </w:pPr>
            <w:r w:rsidRPr="20381F86">
              <w:rPr>
                <w:rFonts w:ascii="Arial" w:hAnsi="Arial" w:cs="Arial"/>
                <w:b/>
                <w:bCs/>
              </w:rPr>
              <w:t>Category 3</w:t>
            </w:r>
          </w:p>
        </w:tc>
        <w:tc>
          <w:tcPr>
            <w:tcW w:w="12474" w:type="dxa"/>
          </w:tcPr>
          <w:p w14:paraId="11EF39D0" w14:textId="6C5945B9" w:rsidR="007F48F6" w:rsidRPr="00292120" w:rsidDel="008F66B5" w:rsidRDefault="007F48F6" w:rsidP="00A94408">
            <w:pPr>
              <w:tabs>
                <w:tab w:val="left" w:pos="5210"/>
              </w:tabs>
              <w:rPr>
                <w:rFonts w:ascii="Arial" w:hAnsi="Arial" w:cs="Arial"/>
              </w:rPr>
            </w:pPr>
            <w:r w:rsidRPr="20381F86">
              <w:rPr>
                <w:rFonts w:ascii="Arial" w:hAnsi="Arial" w:cs="Arial"/>
              </w:rPr>
              <w:t xml:space="preserve">Requests to change existing listings that do not change the population or </w:t>
            </w:r>
            <w:r w:rsidRPr="00292120" w:rsidDel="008F66B5">
              <w:rPr>
                <w:rFonts w:ascii="Arial" w:hAnsi="Arial" w:cs="Arial"/>
              </w:rPr>
              <w:t>cost</w:t>
            </w:r>
            <w:r w:rsidR="00884764">
              <w:rPr>
                <w:rFonts w:ascii="Arial" w:hAnsi="Arial" w:cs="Arial"/>
              </w:rPr>
              <w:t xml:space="preserve"> </w:t>
            </w:r>
            <w:r w:rsidRPr="20381F86">
              <w:rPr>
                <w:rFonts w:ascii="Arial" w:hAnsi="Arial" w:cs="Arial"/>
              </w:rPr>
              <w:t>effectiveness</w:t>
            </w:r>
            <w:r w:rsidRPr="00292120" w:rsidDel="008F66B5">
              <w:rPr>
                <w:rFonts w:ascii="Arial" w:hAnsi="Arial" w:cs="Arial"/>
              </w:rPr>
              <w:t xml:space="preserve"> of the medicine or vaccine that do not meet the criteria for a Category 4 submission.</w:t>
            </w:r>
          </w:p>
        </w:tc>
      </w:tr>
      <w:tr w:rsidR="007F48F6" w:rsidRPr="00292120" w:rsidDel="008F66B5" w14:paraId="3189B6F0" w14:textId="58D078D0" w:rsidTr="20381F86">
        <w:trPr>
          <w:trHeight w:val="300"/>
        </w:trPr>
        <w:tc>
          <w:tcPr>
            <w:tcW w:w="1984" w:type="dxa"/>
          </w:tcPr>
          <w:p w14:paraId="381D7CFE" w14:textId="2C6348C1" w:rsidR="007F48F6" w:rsidRPr="00292120" w:rsidDel="008F66B5" w:rsidRDefault="007F48F6" w:rsidP="00A94408">
            <w:pPr>
              <w:pStyle w:val="Default"/>
              <w:rPr>
                <w:rFonts w:ascii="Arial" w:hAnsi="Arial" w:cs="Arial"/>
                <w:b/>
                <w:bCs/>
                <w:sz w:val="20"/>
                <w:szCs w:val="20"/>
                <w:lang w:val="en-US"/>
              </w:rPr>
            </w:pPr>
            <w:r w:rsidRPr="20381F86">
              <w:rPr>
                <w:rFonts w:ascii="Arial" w:hAnsi="Arial" w:cs="Arial"/>
                <w:b/>
                <w:bCs/>
                <w:sz w:val="20"/>
                <w:szCs w:val="20"/>
              </w:rPr>
              <w:t xml:space="preserve">Category 4 </w:t>
            </w:r>
          </w:p>
        </w:tc>
        <w:tc>
          <w:tcPr>
            <w:tcW w:w="12474" w:type="dxa"/>
          </w:tcPr>
          <w:p w14:paraId="5E50EE2B" w14:textId="0844D782" w:rsidR="007F48F6" w:rsidRPr="00292120" w:rsidDel="008F66B5" w:rsidRDefault="007F48F6" w:rsidP="00A94408">
            <w:pPr>
              <w:pStyle w:val="Default"/>
              <w:rPr>
                <w:rFonts w:ascii="Arial" w:hAnsi="Arial" w:cs="Arial"/>
                <w:b/>
                <w:bCs/>
                <w:sz w:val="20"/>
                <w:szCs w:val="20"/>
              </w:rPr>
            </w:pPr>
            <w:r w:rsidRPr="20381F86">
              <w:rPr>
                <w:rFonts w:ascii="Arial" w:hAnsi="Arial" w:cs="Arial"/>
                <w:sz w:val="20"/>
                <w:szCs w:val="20"/>
              </w:rPr>
              <w:t xml:space="preserve">A request for one or more of the following: </w:t>
            </w:r>
          </w:p>
          <w:p w14:paraId="61CDD5EA" w14:textId="78CA3529" w:rsidR="007F48F6" w:rsidRPr="00292120" w:rsidDel="008F66B5" w:rsidRDefault="007F48F6" w:rsidP="00A94408">
            <w:pPr>
              <w:pStyle w:val="ListParagraph"/>
              <w:numPr>
                <w:ilvl w:val="0"/>
                <w:numId w:val="4"/>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 xml:space="preserve">Listing of a new pharmaceutical item of a listed medicine. </w:t>
            </w:r>
          </w:p>
          <w:p w14:paraId="30945A3C" w14:textId="40913576" w:rsidR="007F48F6" w:rsidRPr="00292120" w:rsidDel="008F66B5" w:rsidRDefault="007F48F6" w:rsidP="00A94408">
            <w:pPr>
              <w:pStyle w:val="ListParagraph"/>
              <w:numPr>
                <w:ilvl w:val="0"/>
                <w:numId w:val="4"/>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 xml:space="preserve">Consideration as an exempt item (Exempt item as per subsection 84AH of the </w:t>
            </w:r>
            <w:r w:rsidRPr="20381F86">
              <w:rPr>
                <w:rFonts w:ascii="Arial" w:hAnsi="Arial" w:cs="Arial"/>
                <w:i/>
                <w:iCs/>
                <w:color w:val="000000" w:themeColor="text1"/>
                <w:sz w:val="20"/>
                <w:szCs w:val="20"/>
              </w:rPr>
              <w:t>National Health Act 1953</w:t>
            </w:r>
            <w:r w:rsidRPr="20381F86">
              <w:rPr>
                <w:rFonts w:ascii="Arial" w:hAnsi="Arial" w:cs="Arial"/>
                <w:color w:val="000000" w:themeColor="text1"/>
                <w:sz w:val="20"/>
                <w:szCs w:val="20"/>
              </w:rPr>
              <w:t xml:space="preserve">). </w:t>
            </w:r>
          </w:p>
          <w:p w14:paraId="46567CAC" w14:textId="0295E6C9" w:rsidR="007F48F6" w:rsidRPr="00292120" w:rsidDel="008F66B5" w:rsidRDefault="007F48F6" w:rsidP="00A94408">
            <w:pPr>
              <w:pStyle w:val="ListParagraph"/>
              <w:numPr>
                <w:ilvl w:val="0"/>
                <w:numId w:val="4"/>
              </w:numPr>
              <w:autoSpaceDE w:val="0"/>
              <w:autoSpaceDN w:val="0"/>
              <w:adjustRightInd w:val="0"/>
              <w:ind w:left="360"/>
              <w:rPr>
                <w:rFonts w:ascii="Arial" w:hAnsi="Arial" w:cs="Arial"/>
                <w:b/>
                <w:bCs/>
                <w:color w:val="000000"/>
                <w:sz w:val="20"/>
                <w:szCs w:val="20"/>
              </w:rPr>
            </w:pPr>
            <w:r w:rsidRPr="20381F86">
              <w:rPr>
                <w:rFonts w:ascii="Arial" w:hAnsi="Arial" w:cs="Arial"/>
                <w:sz w:val="20"/>
                <w:szCs w:val="20"/>
              </w:rPr>
              <w:t xml:space="preserve">Including a listed medicine on the prescriber </w:t>
            </w:r>
            <w:r w:rsidR="00222348" w:rsidRPr="20381F86">
              <w:rPr>
                <w:rFonts w:ascii="Arial" w:hAnsi="Arial" w:cs="Arial"/>
                <w:sz w:val="20"/>
                <w:szCs w:val="20"/>
              </w:rPr>
              <w:t>bag or</w:t>
            </w:r>
            <w:r w:rsidRPr="20381F86">
              <w:rPr>
                <w:rFonts w:ascii="Arial" w:hAnsi="Arial" w:cs="Arial"/>
                <w:sz w:val="20"/>
                <w:szCs w:val="20"/>
              </w:rPr>
              <w:t xml:space="preserve"> varying an existing prescriber bag listing. </w:t>
            </w:r>
          </w:p>
          <w:p w14:paraId="7EF9BA42" w14:textId="54849C05" w:rsidR="007F48F6" w:rsidRPr="00292120" w:rsidDel="008F66B5" w:rsidRDefault="007F48F6" w:rsidP="00A94408">
            <w:pPr>
              <w:pStyle w:val="ListParagraph"/>
              <w:numPr>
                <w:ilvl w:val="0"/>
                <w:numId w:val="5"/>
              </w:numPr>
              <w:autoSpaceDE w:val="0"/>
              <w:autoSpaceDN w:val="0"/>
              <w:adjustRightInd w:val="0"/>
              <w:ind w:left="360"/>
              <w:rPr>
                <w:rFonts w:ascii="Arial" w:hAnsi="Arial" w:cs="Arial"/>
                <w:b/>
                <w:bCs/>
                <w:sz w:val="20"/>
                <w:szCs w:val="20"/>
              </w:rPr>
            </w:pPr>
            <w:r w:rsidRPr="20381F86">
              <w:rPr>
                <w:rFonts w:ascii="Arial" w:hAnsi="Arial" w:cs="Arial"/>
                <w:sz w:val="20"/>
                <w:szCs w:val="20"/>
              </w:rPr>
              <w:t xml:space="preserve">A change/new manner of administration of a listed medicine. </w:t>
            </w:r>
          </w:p>
          <w:p w14:paraId="4D6B65C5" w14:textId="1E6FA92B" w:rsidR="007F48F6" w:rsidRPr="00292120" w:rsidDel="008F66B5" w:rsidRDefault="007F48F6" w:rsidP="00A94408">
            <w:pPr>
              <w:pStyle w:val="ListParagraph"/>
              <w:numPr>
                <w:ilvl w:val="0"/>
                <w:numId w:val="5"/>
              </w:numPr>
              <w:autoSpaceDE w:val="0"/>
              <w:autoSpaceDN w:val="0"/>
              <w:adjustRightInd w:val="0"/>
              <w:ind w:left="360"/>
              <w:rPr>
                <w:rFonts w:ascii="Arial" w:hAnsi="Arial" w:cs="Arial"/>
                <w:b/>
                <w:bCs/>
                <w:sz w:val="20"/>
                <w:szCs w:val="20"/>
              </w:rPr>
            </w:pPr>
            <w:r w:rsidRPr="20381F86">
              <w:rPr>
                <w:rFonts w:ascii="Arial" w:hAnsi="Arial" w:cs="Arial"/>
                <w:sz w:val="20"/>
                <w:szCs w:val="20"/>
              </w:rPr>
              <w:t xml:space="preserve">A change to the maximum quantity and/or number of repeats of a listed medicine. </w:t>
            </w:r>
          </w:p>
          <w:p w14:paraId="2C2C10B5" w14:textId="34D1344F" w:rsidR="007F48F6" w:rsidRPr="00292120" w:rsidDel="008F66B5" w:rsidRDefault="007F48F6" w:rsidP="00A94408">
            <w:pPr>
              <w:pStyle w:val="ListParagraph"/>
              <w:numPr>
                <w:ilvl w:val="0"/>
                <w:numId w:val="5"/>
              </w:numPr>
              <w:autoSpaceDE w:val="0"/>
              <w:autoSpaceDN w:val="0"/>
              <w:adjustRightInd w:val="0"/>
              <w:ind w:left="360"/>
              <w:rPr>
                <w:rFonts w:ascii="Arial" w:hAnsi="Arial" w:cs="Arial"/>
                <w:b/>
                <w:bCs/>
                <w:sz w:val="20"/>
                <w:szCs w:val="20"/>
              </w:rPr>
            </w:pPr>
            <w:r w:rsidRPr="20381F86">
              <w:rPr>
                <w:rFonts w:ascii="Arial" w:hAnsi="Arial" w:cs="Arial"/>
                <w:sz w:val="20"/>
                <w:szCs w:val="20"/>
              </w:rPr>
              <w:t>A change or addition to the prescriber type(s) of a listed medicine.</w:t>
            </w:r>
          </w:p>
        </w:tc>
      </w:tr>
      <w:tr w:rsidR="009A1C75" w:rsidRPr="00292120" w:rsidDel="008F66B5" w14:paraId="5129ECF2" w14:textId="5315E1E8" w:rsidTr="20381F86">
        <w:trPr>
          <w:trHeight w:val="1026"/>
        </w:trPr>
        <w:tc>
          <w:tcPr>
            <w:tcW w:w="1984" w:type="dxa"/>
          </w:tcPr>
          <w:p w14:paraId="4FD9FAAA" w14:textId="327403AE" w:rsidR="009A1C75" w:rsidRPr="00292120" w:rsidDel="008F66B5" w:rsidRDefault="71EB8FAF" w:rsidP="00A94408">
            <w:pPr>
              <w:pStyle w:val="Default"/>
              <w:rPr>
                <w:rFonts w:ascii="Arial" w:hAnsi="Arial" w:cs="Arial"/>
                <w:sz w:val="20"/>
                <w:szCs w:val="20"/>
              </w:rPr>
            </w:pPr>
            <w:r w:rsidRPr="20381F86">
              <w:rPr>
                <w:rFonts w:ascii="Arial" w:hAnsi="Arial" w:cs="Arial"/>
                <w:b/>
                <w:bCs/>
                <w:sz w:val="20"/>
                <w:szCs w:val="20"/>
              </w:rPr>
              <w:t>Committee Secretariat</w:t>
            </w:r>
          </w:p>
        </w:tc>
        <w:tc>
          <w:tcPr>
            <w:tcW w:w="12474" w:type="dxa"/>
          </w:tcPr>
          <w:p w14:paraId="4E0E04D8" w14:textId="4029D2D5" w:rsidR="009A1C75" w:rsidRPr="00292120" w:rsidDel="008F66B5" w:rsidRDefault="71EB8FAF" w:rsidP="00A94408">
            <w:pPr>
              <w:rPr>
                <w:rFonts w:ascii="Arial" w:hAnsi="Arial" w:cs="Arial"/>
                <w:color w:val="000000"/>
              </w:rPr>
            </w:pPr>
            <w:r w:rsidRPr="20381F86">
              <w:rPr>
                <w:rFonts w:ascii="Arial" w:hAnsi="Arial" w:cs="Arial"/>
                <w:color w:val="000000" w:themeColor="text1"/>
              </w:rPr>
              <w:t>Application is not in Categories 1, 2, 3 or 4 and requests for one or more of the following:</w:t>
            </w:r>
          </w:p>
          <w:p w14:paraId="0ADCA80A" w14:textId="48EDD50B" w:rsidR="009A1C75" w:rsidRPr="00292120" w:rsidDel="008F66B5" w:rsidRDefault="71EB8FAF" w:rsidP="00A94408">
            <w:pPr>
              <w:pStyle w:val="ListParagraph"/>
              <w:numPr>
                <w:ilvl w:val="0"/>
                <w:numId w:val="8"/>
              </w:numPr>
              <w:rPr>
                <w:rFonts w:ascii="Arial" w:eastAsia="Times New Roman" w:hAnsi="Arial" w:cs="Arial"/>
                <w:sz w:val="20"/>
                <w:szCs w:val="20"/>
              </w:rPr>
            </w:pPr>
            <w:r w:rsidRPr="20381F86">
              <w:rPr>
                <w:rFonts w:ascii="Arial" w:eastAsia="Times New Roman" w:hAnsi="Arial" w:cs="Arial"/>
                <w:sz w:val="20"/>
                <w:szCs w:val="20"/>
              </w:rPr>
              <w:t>New or varied listed drugs, medicinal preparations and designated vaccines that pose no greater risk</w:t>
            </w:r>
            <w:r w:rsidR="00CA405C">
              <w:rPr>
                <w:rFonts w:ascii="Arial" w:eastAsia="Times New Roman" w:hAnsi="Arial" w:cs="Arial"/>
                <w:sz w:val="20"/>
                <w:szCs w:val="20"/>
              </w:rPr>
              <w:t>.</w:t>
            </w:r>
          </w:p>
          <w:p w14:paraId="4E274BBE" w14:textId="6712D033" w:rsidR="009A1C75" w:rsidRPr="00292120" w:rsidDel="008F66B5" w:rsidRDefault="71EB8FAF" w:rsidP="00A94408">
            <w:pPr>
              <w:pStyle w:val="ListParagraph"/>
              <w:numPr>
                <w:ilvl w:val="0"/>
                <w:numId w:val="8"/>
              </w:numPr>
              <w:rPr>
                <w:rFonts w:ascii="Arial" w:eastAsia="Times New Roman" w:hAnsi="Arial" w:cs="Arial"/>
                <w:sz w:val="20"/>
                <w:szCs w:val="20"/>
              </w:rPr>
            </w:pPr>
            <w:r w:rsidRPr="20381F86">
              <w:rPr>
                <w:rFonts w:ascii="Arial" w:eastAsia="Times New Roman" w:hAnsi="Arial" w:cs="Arial"/>
                <w:sz w:val="20"/>
                <w:szCs w:val="20"/>
              </w:rPr>
              <w:t>Pharmaceutical benefits that can no longer be supplied early</w:t>
            </w:r>
            <w:r w:rsidR="00CA405C">
              <w:rPr>
                <w:rFonts w:ascii="Arial" w:eastAsia="Times New Roman" w:hAnsi="Arial" w:cs="Arial"/>
                <w:sz w:val="20"/>
                <w:szCs w:val="20"/>
              </w:rPr>
              <w:t>.</w:t>
            </w:r>
          </w:p>
          <w:p w14:paraId="78723A0D" w14:textId="76E8912A" w:rsidR="009A1C75" w:rsidRPr="00292120" w:rsidDel="008F66B5" w:rsidRDefault="71EB8FAF" w:rsidP="00A94408">
            <w:pPr>
              <w:pStyle w:val="ListParagraph"/>
              <w:numPr>
                <w:ilvl w:val="0"/>
                <w:numId w:val="8"/>
              </w:numPr>
              <w:rPr>
                <w:rFonts w:ascii="Arial" w:eastAsia="Times New Roman" w:hAnsi="Arial" w:cs="Arial"/>
                <w:sz w:val="20"/>
                <w:szCs w:val="20"/>
              </w:rPr>
            </w:pPr>
            <w:r w:rsidRPr="20381F86">
              <w:rPr>
                <w:rFonts w:ascii="Arial" w:eastAsia="Times New Roman" w:hAnsi="Arial" w:cs="Arial"/>
                <w:sz w:val="20"/>
                <w:szCs w:val="20"/>
              </w:rPr>
              <w:t>New brand of glucose indicator pharmaceutical item.</w:t>
            </w:r>
          </w:p>
        </w:tc>
      </w:tr>
    </w:tbl>
    <w:p w14:paraId="1A3326E0" w14:textId="09885F9F" w:rsidR="007F48F6" w:rsidRPr="00292120" w:rsidDel="008F66B5" w:rsidRDefault="007F48F6" w:rsidP="00A94408">
      <w:pPr>
        <w:rPr>
          <w:rFonts w:ascii="Arial" w:hAnsi="Arial" w:cs="Arial"/>
          <w:b/>
          <w:bCs/>
          <w:lang w:val="en-US"/>
        </w:rPr>
      </w:pPr>
    </w:p>
    <w:p w14:paraId="379497B6" w14:textId="3CD337BC" w:rsidR="008D62B4" w:rsidRPr="00292120" w:rsidDel="008F66B5" w:rsidRDefault="008D62B4" w:rsidP="00A94408">
      <w:pPr>
        <w:rPr>
          <w:rFonts w:ascii="Arial" w:hAnsi="Arial" w:cs="Arial"/>
          <w:b/>
          <w:bCs/>
          <w:lang w:val="en-US"/>
        </w:rPr>
      </w:pPr>
    </w:p>
    <w:p w14:paraId="749816E3" w14:textId="77777777" w:rsidR="00E00F33" w:rsidRDefault="00E00F33">
      <w:pPr>
        <w:rPr>
          <w:rFonts w:ascii="Arial" w:hAnsi="Arial" w:cs="Arial"/>
          <w:b/>
          <w:bCs/>
          <w:lang w:val="en-US"/>
        </w:rPr>
      </w:pPr>
      <w:r>
        <w:rPr>
          <w:rFonts w:ascii="Arial" w:hAnsi="Arial" w:cs="Arial"/>
          <w:b/>
          <w:bCs/>
          <w:lang w:val="en-US"/>
        </w:rPr>
        <w:br w:type="page"/>
      </w:r>
    </w:p>
    <w:p w14:paraId="6CE3C41E" w14:textId="7D6DB3CF" w:rsidR="00640C80" w:rsidRPr="00292120" w:rsidDel="008F66B5" w:rsidRDefault="005A0A21" w:rsidP="00A94408">
      <w:pPr>
        <w:rPr>
          <w:rFonts w:ascii="Arial" w:hAnsi="Arial" w:cs="Arial"/>
          <w:b/>
          <w:bCs/>
          <w:lang w:val="en-US"/>
        </w:rPr>
      </w:pPr>
      <w:r w:rsidRPr="20381F86">
        <w:rPr>
          <w:rFonts w:ascii="Arial" w:hAnsi="Arial" w:cs="Arial"/>
          <w:b/>
          <w:bCs/>
          <w:lang w:val="en-US"/>
        </w:rPr>
        <w:t>Resubmission pathways</w:t>
      </w:r>
    </w:p>
    <w:p w14:paraId="025CE011" w14:textId="198CC318" w:rsidR="005A0A21" w:rsidRPr="00292120" w:rsidDel="008F66B5" w:rsidRDefault="005A0A21" w:rsidP="00A94408">
      <w:pPr>
        <w:tabs>
          <w:tab w:val="left" w:pos="5210"/>
        </w:tabs>
        <w:rPr>
          <w:rFonts w:ascii="Arial" w:hAnsi="Arial" w:cs="Arial"/>
          <w:b/>
          <w:bCs/>
          <w:lang w:val="en-US"/>
        </w:rPr>
      </w:pPr>
    </w:p>
    <w:tbl>
      <w:tblPr>
        <w:tblW w:w="4701" w:type="pct"/>
        <w:tblInd w:w="416" w:type="dxa"/>
        <w:tblCellMar>
          <w:left w:w="0" w:type="dxa"/>
          <w:right w:w="0" w:type="dxa"/>
        </w:tblCellMar>
        <w:tblLook w:val="04A0" w:firstRow="1" w:lastRow="0" w:firstColumn="1" w:lastColumn="0" w:noHBand="0" w:noVBand="1"/>
      </w:tblPr>
      <w:tblGrid>
        <w:gridCol w:w="2068"/>
        <w:gridCol w:w="12390"/>
      </w:tblGrid>
      <w:tr w:rsidR="004A3371" w:rsidRPr="00292120" w:rsidDel="008F66B5" w14:paraId="1B32CA1F" w14:textId="277FF3EC" w:rsidTr="20381F86">
        <w:trPr>
          <w:cantSplit/>
          <w:trHeight w:val="300"/>
        </w:trPr>
        <w:tc>
          <w:tcPr>
            <w:tcW w:w="1445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16822E31" w14:textId="5BE62756" w:rsidR="004A3371" w:rsidRPr="00292120" w:rsidDel="008F66B5" w:rsidRDefault="790B7E0C" w:rsidP="00A94408">
            <w:pPr>
              <w:rPr>
                <w:rFonts w:ascii="Arial" w:hAnsi="Arial" w:cs="Arial"/>
              </w:rPr>
            </w:pPr>
            <w:r w:rsidRPr="20381F86">
              <w:rPr>
                <w:rFonts w:ascii="Arial" w:hAnsi="Arial" w:cs="Arial"/>
                <w:color w:val="333333"/>
              </w:rPr>
              <w:t xml:space="preserve">There are four different resubmission pathways available to applicants following a ‘not recommended’ PBAC outcome. Resubmission pathways are not available for submissions that receive a positive recommendation from the PBAC. </w:t>
            </w:r>
            <w:r w:rsidRPr="20381F86">
              <w:rPr>
                <w:rFonts w:ascii="Arial" w:hAnsi="Arial" w:cs="Arial"/>
              </w:rPr>
              <w:t>The resubmission pathways are classified into the following categories:</w:t>
            </w:r>
          </w:p>
        </w:tc>
      </w:tr>
      <w:tr w:rsidR="004A3371" w:rsidRPr="00292120" w:rsidDel="008F66B5" w14:paraId="5A78A628" w14:textId="684A0CE2" w:rsidTr="20381F86">
        <w:trPr>
          <w:cantSplit/>
          <w:trHeight w:val="300"/>
        </w:trPr>
        <w:tc>
          <w:tcPr>
            <w:tcW w:w="2068" w:type="dxa"/>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tcPr>
          <w:p w14:paraId="0680C335" w14:textId="67B9A116" w:rsidR="004A3371" w:rsidRPr="00292120" w:rsidDel="008F66B5" w:rsidRDefault="790B7E0C" w:rsidP="00A94408">
            <w:pPr>
              <w:contextualSpacing/>
              <w:rPr>
                <w:rFonts w:ascii="Arial" w:hAnsi="Arial" w:cs="Arial"/>
                <w:b/>
                <w:bCs/>
              </w:rPr>
            </w:pPr>
            <w:r w:rsidRPr="20381F86">
              <w:rPr>
                <w:rFonts w:ascii="Arial" w:hAnsi="Arial" w:cs="Arial"/>
                <w:b/>
                <w:bCs/>
              </w:rPr>
              <w:t>Standard re-entry</w:t>
            </w:r>
          </w:p>
          <w:p w14:paraId="14CD87B9" w14:textId="5765AC1F" w:rsidR="004A3371" w:rsidRPr="00292120" w:rsidDel="008F66B5" w:rsidRDefault="004A3371" w:rsidP="00A94408">
            <w:pPr>
              <w:rPr>
                <w:rFonts w:ascii="Arial" w:hAnsi="Arial" w:cs="Arial"/>
                <w:b/>
                <w:bCs/>
              </w:rPr>
            </w:pPr>
          </w:p>
        </w:tc>
        <w:tc>
          <w:tcPr>
            <w:tcW w:w="12390" w:type="dxa"/>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2BDC71EA" w14:textId="0DDEF18F" w:rsidR="004A3371" w:rsidRPr="00292120" w:rsidDel="008F66B5" w:rsidRDefault="790B7E0C" w:rsidP="00A94408">
            <w:pPr>
              <w:autoSpaceDE w:val="0"/>
              <w:autoSpaceDN w:val="0"/>
              <w:rPr>
                <w:rFonts w:ascii="Arial" w:hAnsi="Arial" w:cs="Arial"/>
                <w:color w:val="000000"/>
              </w:rPr>
            </w:pPr>
            <w:r w:rsidRPr="20381F86">
              <w:rPr>
                <w:rFonts w:ascii="Arial" w:hAnsi="Arial" w:cs="Arial"/>
                <w:color w:val="000000" w:themeColor="text1"/>
              </w:rPr>
              <w:t xml:space="preserve">The Standard Re-entry Pathway is the default pathway for resubmissions and also applies where: </w:t>
            </w:r>
          </w:p>
          <w:p w14:paraId="430AF034" w14:textId="51DD2338" w:rsidR="004A3371" w:rsidRPr="00292120" w:rsidDel="008F66B5" w:rsidRDefault="790B7E0C" w:rsidP="00A94408">
            <w:pPr>
              <w:pStyle w:val="ListParagraph"/>
              <w:numPr>
                <w:ilvl w:val="0"/>
                <w:numId w:val="1"/>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an applicant chooses not to accept the PBAC nominated resubmission pathway; or </w:t>
            </w:r>
          </w:p>
          <w:p w14:paraId="15ADDEB3" w14:textId="4C3EDDB6" w:rsidR="004A3371" w:rsidRPr="00292120" w:rsidDel="008F66B5" w:rsidRDefault="790B7E0C" w:rsidP="00A94408">
            <w:pPr>
              <w:pStyle w:val="ListParagraph"/>
              <w:numPr>
                <w:ilvl w:val="0"/>
                <w:numId w:val="1"/>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an Early Re-entry or Early Resolution Pathway has been nominated by the PBAC and an applicant decides to address issues other than those identified by the PBAC (including a subset of issues); or </w:t>
            </w:r>
          </w:p>
          <w:p w14:paraId="4A452A68" w14:textId="18E019CA" w:rsidR="004A3371" w:rsidRPr="00292120" w:rsidDel="008F66B5" w:rsidRDefault="790B7E0C" w:rsidP="00A94408">
            <w:pPr>
              <w:pStyle w:val="ListParagraph"/>
              <w:numPr>
                <w:ilvl w:val="0"/>
                <w:numId w:val="1"/>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an applicant decides to lodge later than the allowable timelines for the other pathways. </w:t>
            </w:r>
          </w:p>
        </w:tc>
      </w:tr>
      <w:tr w:rsidR="004A3371" w:rsidRPr="00292120" w:rsidDel="008F66B5" w14:paraId="46BDFCAF" w14:textId="3FB447C8" w:rsidTr="20381F86">
        <w:trPr>
          <w:cantSplit/>
          <w:trHeight w:val="300"/>
        </w:trPr>
        <w:tc>
          <w:tcPr>
            <w:tcW w:w="2068" w:type="dxa"/>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618B2638" w14:textId="6DC57A07" w:rsidR="004A3371" w:rsidRPr="00292120" w:rsidDel="008F66B5" w:rsidRDefault="790B7E0C" w:rsidP="00A94408">
            <w:pPr>
              <w:contextualSpacing/>
              <w:rPr>
                <w:rFonts w:ascii="Arial" w:hAnsi="Arial" w:cs="Arial"/>
                <w:b/>
                <w:bCs/>
                <w:lang w:eastAsia="en-US"/>
              </w:rPr>
            </w:pPr>
            <w:r w:rsidRPr="20381F86">
              <w:rPr>
                <w:rFonts w:ascii="Arial" w:hAnsi="Arial" w:cs="Arial"/>
                <w:b/>
                <w:bCs/>
              </w:rPr>
              <w:t>Early re-entry pathway</w:t>
            </w:r>
          </w:p>
        </w:tc>
        <w:tc>
          <w:tcPr>
            <w:tcW w:w="12390" w:type="dxa"/>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32461C72" w14:textId="1FCABCA8" w:rsidR="004A3371" w:rsidRPr="00292120" w:rsidDel="008F66B5" w:rsidRDefault="790B7E0C" w:rsidP="00A94408">
            <w:pPr>
              <w:contextualSpacing/>
              <w:rPr>
                <w:rFonts w:ascii="Arial" w:hAnsi="Arial" w:cs="Arial"/>
                <w:color w:val="000000"/>
              </w:rPr>
            </w:pPr>
            <w:r w:rsidRPr="20381F86">
              <w:rPr>
                <w:rFonts w:ascii="Arial" w:hAnsi="Arial" w:cs="Arial"/>
              </w:rPr>
              <w:t xml:space="preserve">An Early Re-entry Pathway may be nominated by the PBAC where the PBAC considers that the remaining issues could be easily resolved and the medicine or vaccine does not represent </w:t>
            </w:r>
            <w:r w:rsidR="64EC2FDB" w:rsidRPr="20381F86">
              <w:rPr>
                <w:rFonts w:ascii="Arial" w:hAnsi="Arial" w:cs="Arial"/>
                <w:color w:val="000000" w:themeColor="text1"/>
              </w:rPr>
              <w:t xml:space="preserve">High Added Therapeutic Value (HATV) </w:t>
            </w:r>
            <w:r w:rsidRPr="20381F86">
              <w:rPr>
                <w:rFonts w:ascii="Arial" w:hAnsi="Arial" w:cs="Arial"/>
              </w:rPr>
              <w:t>for the proposed population. Applicants who accept this pathway are eligible for PBAC consideration at the immediate next meeting.</w:t>
            </w:r>
          </w:p>
        </w:tc>
      </w:tr>
      <w:tr w:rsidR="004A3371" w:rsidRPr="00292120" w:rsidDel="008F66B5" w14:paraId="1A2475F2" w14:textId="4E349E5C" w:rsidTr="20381F86">
        <w:trPr>
          <w:cantSplit/>
          <w:trHeight w:val="300"/>
        </w:trPr>
        <w:tc>
          <w:tcPr>
            <w:tcW w:w="2068" w:type="dxa"/>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tcPr>
          <w:p w14:paraId="0193930E" w14:textId="6A440925" w:rsidR="004A3371" w:rsidRPr="00292120" w:rsidDel="008F66B5" w:rsidRDefault="790B7E0C" w:rsidP="00A94408">
            <w:pPr>
              <w:rPr>
                <w:rFonts w:ascii="Arial" w:hAnsi="Arial" w:cs="Arial"/>
                <w:b/>
                <w:bCs/>
                <w:lang w:eastAsia="en-US"/>
              </w:rPr>
            </w:pPr>
            <w:r w:rsidRPr="20381F86">
              <w:rPr>
                <w:rFonts w:ascii="Arial" w:hAnsi="Arial" w:cs="Arial"/>
                <w:b/>
                <w:bCs/>
              </w:rPr>
              <w:t>Early resolution pathway</w:t>
            </w:r>
          </w:p>
          <w:p w14:paraId="157D2C85" w14:textId="4F1FB3F3" w:rsidR="004A3371" w:rsidRPr="00292120" w:rsidDel="008F66B5" w:rsidRDefault="004A3371" w:rsidP="00A94408">
            <w:pPr>
              <w:rPr>
                <w:rFonts w:ascii="Arial" w:hAnsi="Arial" w:cs="Arial"/>
              </w:rPr>
            </w:pPr>
          </w:p>
        </w:tc>
        <w:tc>
          <w:tcPr>
            <w:tcW w:w="12390" w:type="dxa"/>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7E21B924" w14:textId="5F0E3B99" w:rsidR="004A3371" w:rsidRPr="00292120" w:rsidDel="008F66B5" w:rsidRDefault="790B7E0C" w:rsidP="00A94408">
            <w:pPr>
              <w:autoSpaceDE w:val="0"/>
              <w:autoSpaceDN w:val="0"/>
              <w:rPr>
                <w:rFonts w:ascii="Arial" w:hAnsi="Arial" w:cs="Arial"/>
                <w:color w:val="000000"/>
              </w:rPr>
            </w:pPr>
            <w:r w:rsidRPr="20381F86">
              <w:rPr>
                <w:rFonts w:ascii="Arial" w:hAnsi="Arial" w:cs="Arial"/>
                <w:color w:val="000000" w:themeColor="text1"/>
              </w:rPr>
              <w:t xml:space="preserve">For medicines or vaccines deemed by the PBAC to represent HATV AND where the PBAC considers that the remaining issues could be easily resolved, including when: </w:t>
            </w:r>
          </w:p>
          <w:p w14:paraId="6EC882B7" w14:textId="521376DF" w:rsidR="004A3371" w:rsidRPr="00292120" w:rsidDel="008F66B5" w:rsidRDefault="790B7E0C" w:rsidP="00A94408">
            <w:pPr>
              <w:pStyle w:val="ListParagraph"/>
              <w:numPr>
                <w:ilvl w:val="0"/>
                <w:numId w:val="2"/>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new clinical study data requiring evaluation is not considered necessary by the PBAC to support new clinical claims to be made in the resubmission; and </w:t>
            </w:r>
          </w:p>
          <w:p w14:paraId="1D4B869E" w14:textId="7AD29ACC" w:rsidR="004A3371" w:rsidRPr="00292120" w:rsidDel="008F66B5" w:rsidRDefault="790B7E0C" w:rsidP="00A94408">
            <w:pPr>
              <w:pStyle w:val="ListParagraph"/>
              <w:numPr>
                <w:ilvl w:val="0"/>
                <w:numId w:val="2"/>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a revised model structure or input variable changes (beyond those specified by the PBAC) are not necessary to support any new economic claims, or to estimate the utilisation and financial impacts to be made in the resubmission. </w:t>
            </w:r>
          </w:p>
          <w:p w14:paraId="757810AB" w14:textId="4323C475" w:rsidR="004A3371" w:rsidRPr="00292120" w:rsidDel="008F66B5" w:rsidRDefault="790B7E0C" w:rsidP="00A94408">
            <w:pPr>
              <w:pStyle w:val="NormalWeb"/>
              <w:spacing w:before="0" w:beforeAutospacing="0" w:after="0" w:afterAutospacing="0"/>
              <w:rPr>
                <w:rFonts w:ascii="Arial" w:hAnsi="Arial" w:cs="Arial"/>
                <w:sz w:val="20"/>
                <w:szCs w:val="20"/>
              </w:rPr>
            </w:pPr>
            <w:r w:rsidRPr="20381F86">
              <w:rPr>
                <w:rFonts w:ascii="Arial" w:hAnsi="Arial" w:cs="Arial"/>
                <w:sz w:val="20"/>
                <w:szCs w:val="20"/>
              </w:rPr>
              <w:t xml:space="preserve">Applicants who accept this pathway are eligible for PBAC consideration out-of-session (before the main meeting), unless the department, in consultation with the PBAC Chair, identifies an unexpected issue such that the resubmission needs consideration at the next main PBAC meeting. </w:t>
            </w:r>
          </w:p>
        </w:tc>
      </w:tr>
      <w:tr w:rsidR="004A3371" w:rsidRPr="00292120" w:rsidDel="008F66B5" w14:paraId="1CF59836" w14:textId="2232F166" w:rsidTr="20381F86">
        <w:trPr>
          <w:cantSplit/>
          <w:trHeight w:val="300"/>
        </w:trPr>
        <w:tc>
          <w:tcPr>
            <w:tcW w:w="2068" w:type="dxa"/>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03CD8847" w14:textId="0B33D246" w:rsidR="004A3371" w:rsidRPr="00292120" w:rsidDel="008F66B5" w:rsidRDefault="790B7E0C" w:rsidP="00A94408">
            <w:pPr>
              <w:rPr>
                <w:rFonts w:ascii="Arial" w:hAnsi="Arial" w:cs="Arial"/>
              </w:rPr>
            </w:pPr>
            <w:r w:rsidRPr="20381F86">
              <w:rPr>
                <w:rFonts w:ascii="Arial" w:hAnsi="Arial" w:cs="Arial"/>
                <w:b/>
                <w:bCs/>
              </w:rPr>
              <w:t>Facilitated resolution pathway</w:t>
            </w:r>
          </w:p>
        </w:tc>
        <w:tc>
          <w:tcPr>
            <w:tcW w:w="12390" w:type="dxa"/>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7EF1CA94" w14:textId="3681875E" w:rsidR="004A3371" w:rsidRPr="00292120" w:rsidDel="008F66B5" w:rsidRDefault="790B7E0C" w:rsidP="00A94408">
            <w:pPr>
              <w:autoSpaceDE w:val="0"/>
              <w:autoSpaceDN w:val="0"/>
              <w:rPr>
                <w:rFonts w:ascii="Arial" w:hAnsi="Arial" w:cs="Arial"/>
                <w:b/>
                <w:bCs/>
                <w:highlight w:val="green"/>
              </w:rPr>
            </w:pPr>
            <w:r w:rsidRPr="20381F86">
              <w:rPr>
                <w:rFonts w:ascii="Arial" w:hAnsi="Arial" w:cs="Arial"/>
                <w:color w:val="000000" w:themeColor="text1"/>
              </w:rPr>
              <w:t>A Facilitated Resolution Pathway may be nominated by the PBAC where the PBAC considers the issues for resolution could be explored through a workshop AND where the medicine or vaccine meets the HATV criteria. Applicants who accept this pathway are eligible for a solution-focussed workshop with one or more members of the PBAC. The workshop agenda will be based on the issues for resolution outlined in the PBAC Minutes. This can be further clarified during the post-PBAC meeting with the Chair.</w:t>
            </w:r>
          </w:p>
        </w:tc>
      </w:tr>
    </w:tbl>
    <w:p w14:paraId="6C9BA0D5" w14:textId="77777777" w:rsidR="00461045" w:rsidRPr="00292120" w:rsidRDefault="00461045" w:rsidP="00A94408">
      <w:pPr>
        <w:tabs>
          <w:tab w:val="left" w:pos="5210"/>
        </w:tabs>
        <w:rPr>
          <w:rFonts w:ascii="Arial" w:hAnsi="Arial" w:cs="Arial"/>
          <w:lang w:val="en-US"/>
        </w:rPr>
      </w:pPr>
    </w:p>
    <w:sectPr w:rsidR="00461045" w:rsidRPr="00292120" w:rsidSect="00257615">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A4066" w14:textId="77777777" w:rsidR="007B45D5" w:rsidRDefault="007B45D5">
      <w:r>
        <w:separator/>
      </w:r>
    </w:p>
  </w:endnote>
  <w:endnote w:type="continuationSeparator" w:id="0">
    <w:p w14:paraId="04C15F6A" w14:textId="77777777" w:rsidR="007B45D5" w:rsidRDefault="007B45D5">
      <w:r>
        <w:continuationSeparator/>
      </w:r>
    </w:p>
  </w:endnote>
  <w:endnote w:type="continuationNotice" w:id="1">
    <w:p w14:paraId="11C35791" w14:textId="77777777" w:rsidR="007B45D5" w:rsidRDefault="007B45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7BCB" w14:textId="77777777" w:rsidR="00E902E8" w:rsidRDefault="00E902E8"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81329" w14:textId="77777777" w:rsidR="00E902E8" w:rsidRDefault="00E902E8"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180A" w14:textId="5E3AFE6F" w:rsidR="00E902E8" w:rsidRPr="00B46EE7" w:rsidRDefault="00E902E8" w:rsidP="00FE2A81">
    <w:pPr>
      <w:pStyle w:val="Footer"/>
      <w:framePr w:wrap="around" w:vAnchor="text" w:hAnchor="margin" w:xAlign="right" w:y="1"/>
      <w:rPr>
        <w:rStyle w:val="PageNumber"/>
        <w:rFonts w:ascii="Arial" w:hAnsi="Arial" w:cs="Arial"/>
        <w:b/>
        <w:bCs/>
      </w:rPr>
    </w:pPr>
    <w:r w:rsidRPr="00B46EE7">
      <w:rPr>
        <w:rStyle w:val="PageNumber"/>
        <w:rFonts w:ascii="Arial" w:hAnsi="Arial" w:cs="Arial"/>
        <w:b/>
        <w:bCs/>
      </w:rPr>
      <w:fldChar w:fldCharType="begin"/>
    </w:r>
    <w:r w:rsidRPr="00B0521C">
      <w:rPr>
        <w:rStyle w:val="PageNumber"/>
        <w:rFonts w:ascii="Arial" w:hAnsi="Arial" w:cs="Arial"/>
        <w:b/>
        <w:bCs/>
      </w:rPr>
      <w:instrText xml:space="preserve">PAGE  </w:instrText>
    </w:r>
    <w:r w:rsidRPr="00B46EE7">
      <w:rPr>
        <w:rStyle w:val="PageNumber"/>
        <w:rFonts w:ascii="Arial" w:hAnsi="Arial" w:cs="Arial"/>
        <w:b/>
        <w:bCs/>
      </w:rPr>
      <w:fldChar w:fldCharType="separate"/>
    </w:r>
    <w:r w:rsidRPr="00B0521C">
      <w:rPr>
        <w:rStyle w:val="PageNumber"/>
        <w:rFonts w:ascii="Arial" w:hAnsi="Arial" w:cs="Arial"/>
        <w:b/>
        <w:bCs/>
        <w:noProof/>
      </w:rPr>
      <w:t>65</w:t>
    </w:r>
    <w:r w:rsidRPr="00B46EE7">
      <w:rPr>
        <w:rStyle w:val="PageNumber"/>
        <w:rFonts w:ascii="Arial" w:hAnsi="Arial" w:cs="Arial"/>
        <w:b/>
        <w:bCs/>
      </w:rPr>
      <w:fldChar w:fldCharType="end"/>
    </w:r>
  </w:p>
  <w:p w14:paraId="429295B6" w14:textId="77777777" w:rsidR="00E902E8" w:rsidRDefault="00E902E8" w:rsidP="00B46EE7">
    <w:pPr>
      <w:pStyle w:val="Footer"/>
      <w:ind w:right="360"/>
    </w:pPr>
  </w:p>
  <w:p w14:paraId="56206A08" w14:textId="77777777" w:rsidR="00BA4987" w:rsidRDefault="00BA4987" w:rsidP="00B46EE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3248" w14:textId="77777777" w:rsidR="00AF6E7F" w:rsidRDefault="00AF6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B1F15" w14:textId="77777777" w:rsidR="007B45D5" w:rsidRDefault="007B45D5">
      <w:r>
        <w:separator/>
      </w:r>
    </w:p>
  </w:footnote>
  <w:footnote w:type="continuationSeparator" w:id="0">
    <w:p w14:paraId="16D1A944" w14:textId="77777777" w:rsidR="007B45D5" w:rsidRDefault="007B45D5">
      <w:r>
        <w:continuationSeparator/>
      </w:r>
    </w:p>
  </w:footnote>
  <w:footnote w:type="continuationNotice" w:id="1">
    <w:p w14:paraId="2400F6FD" w14:textId="77777777" w:rsidR="007B45D5" w:rsidRDefault="007B45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2AFB" w14:textId="77777777" w:rsidR="00AF6E7F" w:rsidRDefault="00AF6E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6D89" w14:textId="77777777" w:rsidR="00E902E8" w:rsidRPr="00571206" w:rsidRDefault="00E902E8" w:rsidP="00571206">
    <w:pPr>
      <w:autoSpaceDE w:val="0"/>
      <w:autoSpaceDN w:val="0"/>
      <w:adjustRightInd w:val="0"/>
      <w:rPr>
        <w:rFonts w:ascii="Arial" w:hAnsi="Arial" w:cs="Arial"/>
        <w:color w:val="000000"/>
        <w:sz w:val="24"/>
        <w:szCs w:val="24"/>
      </w:rPr>
    </w:pPr>
  </w:p>
  <w:p w14:paraId="117035EF" w14:textId="13495B1B" w:rsidR="00E902E8" w:rsidRDefault="00E902E8" w:rsidP="00571206">
    <w:pPr>
      <w:pStyle w:val="Header"/>
      <w:jc w:val="center"/>
      <w:rPr>
        <w:rFonts w:ascii="Arial" w:hAnsi="Arial" w:cs="Arial"/>
        <w:b/>
      </w:rPr>
    </w:pPr>
    <w:r w:rsidRPr="006E4516">
      <w:rPr>
        <w:rFonts w:ascii="Arial" w:hAnsi="Arial" w:cs="Arial"/>
        <w:b/>
      </w:rPr>
      <w:t xml:space="preserve">PHARMACEUTICAL BENEFITS ADVISORY COMMITTEE (PBAC) MEETING </w:t>
    </w:r>
    <w:r w:rsidRPr="0071356F">
      <w:rPr>
        <w:rFonts w:ascii="Arial" w:hAnsi="Arial" w:cs="Arial"/>
        <w:b/>
      </w:rPr>
      <w:t>OUTCOMES</w:t>
    </w:r>
  </w:p>
  <w:p w14:paraId="69737A53" w14:textId="6F3107F9" w:rsidR="00E902E8" w:rsidRDefault="00AF6E7F" w:rsidP="00571206">
    <w:pPr>
      <w:pStyle w:val="Header"/>
      <w:jc w:val="center"/>
      <w:rPr>
        <w:rFonts w:ascii="Arial" w:hAnsi="Arial" w:cs="Arial"/>
        <w:b/>
      </w:rPr>
    </w:pPr>
    <w:r>
      <w:rPr>
        <w:rFonts w:ascii="Arial" w:hAnsi="Arial" w:cs="Arial"/>
        <w:b/>
      </w:rPr>
      <w:t>SEPTEMBER</w:t>
    </w:r>
    <w:r w:rsidR="003D69CD">
      <w:rPr>
        <w:rFonts w:ascii="Arial" w:hAnsi="Arial" w:cs="Arial"/>
        <w:b/>
      </w:rPr>
      <w:t xml:space="preserve"> </w:t>
    </w:r>
    <w:r w:rsidR="00375520">
      <w:rPr>
        <w:rFonts w:ascii="Arial" w:hAnsi="Arial" w:cs="Arial"/>
        <w:b/>
      </w:rPr>
      <w:t>202</w:t>
    </w:r>
    <w:r w:rsidR="004F3DAC">
      <w:rPr>
        <w:rFonts w:ascii="Arial" w:hAnsi="Arial" w:cs="Arial"/>
        <w:b/>
      </w:rPr>
      <w:t>5</w:t>
    </w:r>
    <w:r w:rsidR="00E902E8">
      <w:rPr>
        <w:rFonts w:ascii="Arial" w:hAnsi="Arial" w:cs="Arial"/>
        <w:b/>
      </w:rPr>
      <w:t xml:space="preserve"> PBAC MEETING</w:t>
    </w:r>
  </w:p>
  <w:p w14:paraId="0E28AC1B" w14:textId="77777777" w:rsidR="00E902E8" w:rsidRPr="0071356F" w:rsidRDefault="00E902E8" w:rsidP="0071356F">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5DAF" w14:textId="77777777" w:rsidR="00AF6E7F" w:rsidRDefault="00AF6E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57C"/>
    <w:multiLevelType w:val="hybridMultilevel"/>
    <w:tmpl w:val="9DFA1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8F4DF7"/>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6D2057"/>
    <w:multiLevelType w:val="hybridMultilevel"/>
    <w:tmpl w:val="B6A20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74855"/>
    <w:multiLevelType w:val="hybridMultilevel"/>
    <w:tmpl w:val="5F92E2E8"/>
    <w:lvl w:ilvl="0" w:tplc="95705C56">
      <w:start w:val="1"/>
      <w:numFmt w:val="bullet"/>
      <w:lvlText w:val=""/>
      <w:lvlJc w:val="left"/>
      <w:pPr>
        <w:ind w:left="1440" w:hanging="360"/>
      </w:pPr>
      <w:rPr>
        <w:rFonts w:ascii="Symbol" w:hAnsi="Symbol"/>
      </w:rPr>
    </w:lvl>
    <w:lvl w:ilvl="1" w:tplc="DE4E0ADA">
      <w:start w:val="1"/>
      <w:numFmt w:val="bullet"/>
      <w:lvlText w:val=""/>
      <w:lvlJc w:val="left"/>
      <w:pPr>
        <w:ind w:left="1440" w:hanging="360"/>
      </w:pPr>
      <w:rPr>
        <w:rFonts w:ascii="Symbol" w:hAnsi="Symbol"/>
      </w:rPr>
    </w:lvl>
    <w:lvl w:ilvl="2" w:tplc="CEE476C8">
      <w:start w:val="1"/>
      <w:numFmt w:val="bullet"/>
      <w:lvlText w:val=""/>
      <w:lvlJc w:val="left"/>
      <w:pPr>
        <w:ind w:left="1440" w:hanging="360"/>
      </w:pPr>
      <w:rPr>
        <w:rFonts w:ascii="Symbol" w:hAnsi="Symbol"/>
      </w:rPr>
    </w:lvl>
    <w:lvl w:ilvl="3" w:tplc="687CFBD4">
      <w:start w:val="1"/>
      <w:numFmt w:val="bullet"/>
      <w:lvlText w:val=""/>
      <w:lvlJc w:val="left"/>
      <w:pPr>
        <w:ind w:left="1440" w:hanging="360"/>
      </w:pPr>
      <w:rPr>
        <w:rFonts w:ascii="Symbol" w:hAnsi="Symbol"/>
      </w:rPr>
    </w:lvl>
    <w:lvl w:ilvl="4" w:tplc="B7CED7FC">
      <w:start w:val="1"/>
      <w:numFmt w:val="bullet"/>
      <w:lvlText w:val=""/>
      <w:lvlJc w:val="left"/>
      <w:pPr>
        <w:ind w:left="1440" w:hanging="360"/>
      </w:pPr>
      <w:rPr>
        <w:rFonts w:ascii="Symbol" w:hAnsi="Symbol"/>
      </w:rPr>
    </w:lvl>
    <w:lvl w:ilvl="5" w:tplc="8EB8D116">
      <w:start w:val="1"/>
      <w:numFmt w:val="bullet"/>
      <w:lvlText w:val=""/>
      <w:lvlJc w:val="left"/>
      <w:pPr>
        <w:ind w:left="1440" w:hanging="360"/>
      </w:pPr>
      <w:rPr>
        <w:rFonts w:ascii="Symbol" w:hAnsi="Symbol"/>
      </w:rPr>
    </w:lvl>
    <w:lvl w:ilvl="6" w:tplc="F4D403D4">
      <w:start w:val="1"/>
      <w:numFmt w:val="bullet"/>
      <w:lvlText w:val=""/>
      <w:lvlJc w:val="left"/>
      <w:pPr>
        <w:ind w:left="1440" w:hanging="360"/>
      </w:pPr>
      <w:rPr>
        <w:rFonts w:ascii="Symbol" w:hAnsi="Symbol"/>
      </w:rPr>
    </w:lvl>
    <w:lvl w:ilvl="7" w:tplc="55F869F0">
      <w:start w:val="1"/>
      <w:numFmt w:val="bullet"/>
      <w:lvlText w:val=""/>
      <w:lvlJc w:val="left"/>
      <w:pPr>
        <w:ind w:left="1440" w:hanging="360"/>
      </w:pPr>
      <w:rPr>
        <w:rFonts w:ascii="Symbol" w:hAnsi="Symbol"/>
      </w:rPr>
    </w:lvl>
    <w:lvl w:ilvl="8" w:tplc="AC942B20">
      <w:start w:val="1"/>
      <w:numFmt w:val="bullet"/>
      <w:lvlText w:val=""/>
      <w:lvlJc w:val="left"/>
      <w:pPr>
        <w:ind w:left="1440" w:hanging="360"/>
      </w:pPr>
      <w:rPr>
        <w:rFonts w:ascii="Symbol" w:hAnsi="Symbol"/>
      </w:rPr>
    </w:lvl>
  </w:abstractNum>
  <w:abstractNum w:abstractNumId="4" w15:restartNumberingAfterBreak="0">
    <w:nsid w:val="0F5E2F98"/>
    <w:multiLevelType w:val="hybridMultilevel"/>
    <w:tmpl w:val="07106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B123E8"/>
    <w:multiLevelType w:val="hybridMultilevel"/>
    <w:tmpl w:val="81C00B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172B47"/>
    <w:multiLevelType w:val="hybridMultilevel"/>
    <w:tmpl w:val="DFA08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620044"/>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E75F17"/>
    <w:multiLevelType w:val="hybridMultilevel"/>
    <w:tmpl w:val="A22AC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B542D2"/>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F32422"/>
    <w:multiLevelType w:val="hybridMultilevel"/>
    <w:tmpl w:val="A3629898"/>
    <w:lvl w:ilvl="0" w:tplc="0AD036B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AF4823"/>
    <w:multiLevelType w:val="hybridMultilevel"/>
    <w:tmpl w:val="A2EEF776"/>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D30749"/>
    <w:multiLevelType w:val="hybridMultilevel"/>
    <w:tmpl w:val="33ACD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47523A"/>
    <w:multiLevelType w:val="hybridMultilevel"/>
    <w:tmpl w:val="67BE3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4F0D99"/>
    <w:multiLevelType w:val="hybridMultilevel"/>
    <w:tmpl w:val="3110C4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43C4470"/>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385B2A"/>
    <w:multiLevelType w:val="hybridMultilevel"/>
    <w:tmpl w:val="41E42586"/>
    <w:lvl w:ilvl="0" w:tplc="CF3846C0">
      <w:start w:val="1"/>
      <w:numFmt w:val="bullet"/>
      <w:lvlText w:val=""/>
      <w:lvlJc w:val="left"/>
      <w:pPr>
        <w:ind w:left="1440" w:hanging="360"/>
      </w:pPr>
      <w:rPr>
        <w:rFonts w:ascii="Symbol" w:hAnsi="Symbol"/>
      </w:rPr>
    </w:lvl>
    <w:lvl w:ilvl="1" w:tplc="B53C3900">
      <w:start w:val="1"/>
      <w:numFmt w:val="bullet"/>
      <w:lvlText w:val=""/>
      <w:lvlJc w:val="left"/>
      <w:pPr>
        <w:ind w:left="1440" w:hanging="360"/>
      </w:pPr>
      <w:rPr>
        <w:rFonts w:ascii="Symbol" w:hAnsi="Symbol"/>
      </w:rPr>
    </w:lvl>
    <w:lvl w:ilvl="2" w:tplc="3DBA6542">
      <w:start w:val="1"/>
      <w:numFmt w:val="bullet"/>
      <w:lvlText w:val=""/>
      <w:lvlJc w:val="left"/>
      <w:pPr>
        <w:ind w:left="1440" w:hanging="360"/>
      </w:pPr>
      <w:rPr>
        <w:rFonts w:ascii="Symbol" w:hAnsi="Symbol"/>
      </w:rPr>
    </w:lvl>
    <w:lvl w:ilvl="3" w:tplc="F0EC15F8">
      <w:start w:val="1"/>
      <w:numFmt w:val="bullet"/>
      <w:lvlText w:val=""/>
      <w:lvlJc w:val="left"/>
      <w:pPr>
        <w:ind w:left="1440" w:hanging="360"/>
      </w:pPr>
      <w:rPr>
        <w:rFonts w:ascii="Symbol" w:hAnsi="Symbol"/>
      </w:rPr>
    </w:lvl>
    <w:lvl w:ilvl="4" w:tplc="3482D43C">
      <w:start w:val="1"/>
      <w:numFmt w:val="bullet"/>
      <w:lvlText w:val=""/>
      <w:lvlJc w:val="left"/>
      <w:pPr>
        <w:ind w:left="1440" w:hanging="360"/>
      </w:pPr>
      <w:rPr>
        <w:rFonts w:ascii="Symbol" w:hAnsi="Symbol"/>
      </w:rPr>
    </w:lvl>
    <w:lvl w:ilvl="5" w:tplc="8D16FCD8">
      <w:start w:val="1"/>
      <w:numFmt w:val="bullet"/>
      <w:lvlText w:val=""/>
      <w:lvlJc w:val="left"/>
      <w:pPr>
        <w:ind w:left="1440" w:hanging="360"/>
      </w:pPr>
      <w:rPr>
        <w:rFonts w:ascii="Symbol" w:hAnsi="Symbol"/>
      </w:rPr>
    </w:lvl>
    <w:lvl w:ilvl="6" w:tplc="B0DA1F34">
      <w:start w:val="1"/>
      <w:numFmt w:val="bullet"/>
      <w:lvlText w:val=""/>
      <w:lvlJc w:val="left"/>
      <w:pPr>
        <w:ind w:left="1440" w:hanging="360"/>
      </w:pPr>
      <w:rPr>
        <w:rFonts w:ascii="Symbol" w:hAnsi="Symbol"/>
      </w:rPr>
    </w:lvl>
    <w:lvl w:ilvl="7" w:tplc="8B441676">
      <w:start w:val="1"/>
      <w:numFmt w:val="bullet"/>
      <w:lvlText w:val=""/>
      <w:lvlJc w:val="left"/>
      <w:pPr>
        <w:ind w:left="1440" w:hanging="360"/>
      </w:pPr>
      <w:rPr>
        <w:rFonts w:ascii="Symbol" w:hAnsi="Symbol"/>
      </w:rPr>
    </w:lvl>
    <w:lvl w:ilvl="8" w:tplc="ED8CD9E0">
      <w:start w:val="1"/>
      <w:numFmt w:val="bullet"/>
      <w:lvlText w:val=""/>
      <w:lvlJc w:val="left"/>
      <w:pPr>
        <w:ind w:left="1440" w:hanging="360"/>
      </w:pPr>
      <w:rPr>
        <w:rFonts w:ascii="Symbol" w:hAnsi="Symbol"/>
      </w:rPr>
    </w:lvl>
  </w:abstractNum>
  <w:abstractNum w:abstractNumId="17" w15:restartNumberingAfterBreak="0">
    <w:nsid w:val="26CF0056"/>
    <w:multiLevelType w:val="hybridMultilevel"/>
    <w:tmpl w:val="A4142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18" w15:restartNumberingAfterBreak="0">
    <w:nsid w:val="2959726F"/>
    <w:multiLevelType w:val="hybridMultilevel"/>
    <w:tmpl w:val="6EEAA5F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FD6A05"/>
    <w:multiLevelType w:val="hybridMultilevel"/>
    <w:tmpl w:val="34949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1A3B8F"/>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25A5B08"/>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5C1725"/>
    <w:multiLevelType w:val="hybridMultilevel"/>
    <w:tmpl w:val="F0688B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40F6FA3"/>
    <w:multiLevelType w:val="hybridMultilevel"/>
    <w:tmpl w:val="282ECA06"/>
    <w:lvl w:ilvl="0" w:tplc="CEF8AB5A">
      <w:start w:val="1"/>
      <w:numFmt w:val="bullet"/>
      <w:lvlText w:val=""/>
      <w:lvlJc w:val="left"/>
      <w:pPr>
        <w:ind w:left="720" w:hanging="360"/>
      </w:pPr>
      <w:rPr>
        <w:rFonts w:ascii="Symbol" w:hAnsi="Symbol"/>
      </w:rPr>
    </w:lvl>
    <w:lvl w:ilvl="1" w:tplc="2040BF9A">
      <w:start w:val="1"/>
      <w:numFmt w:val="bullet"/>
      <w:lvlText w:val=""/>
      <w:lvlJc w:val="left"/>
      <w:pPr>
        <w:ind w:left="720" w:hanging="360"/>
      </w:pPr>
      <w:rPr>
        <w:rFonts w:ascii="Symbol" w:hAnsi="Symbol"/>
      </w:rPr>
    </w:lvl>
    <w:lvl w:ilvl="2" w:tplc="088AE166">
      <w:start w:val="1"/>
      <w:numFmt w:val="bullet"/>
      <w:lvlText w:val=""/>
      <w:lvlJc w:val="left"/>
      <w:pPr>
        <w:ind w:left="720" w:hanging="360"/>
      </w:pPr>
      <w:rPr>
        <w:rFonts w:ascii="Symbol" w:hAnsi="Symbol"/>
      </w:rPr>
    </w:lvl>
    <w:lvl w:ilvl="3" w:tplc="B93EF51C">
      <w:start w:val="1"/>
      <w:numFmt w:val="bullet"/>
      <w:lvlText w:val=""/>
      <w:lvlJc w:val="left"/>
      <w:pPr>
        <w:ind w:left="720" w:hanging="360"/>
      </w:pPr>
      <w:rPr>
        <w:rFonts w:ascii="Symbol" w:hAnsi="Symbol"/>
      </w:rPr>
    </w:lvl>
    <w:lvl w:ilvl="4" w:tplc="E7BE2682">
      <w:start w:val="1"/>
      <w:numFmt w:val="bullet"/>
      <w:lvlText w:val=""/>
      <w:lvlJc w:val="left"/>
      <w:pPr>
        <w:ind w:left="720" w:hanging="360"/>
      </w:pPr>
      <w:rPr>
        <w:rFonts w:ascii="Symbol" w:hAnsi="Symbol"/>
      </w:rPr>
    </w:lvl>
    <w:lvl w:ilvl="5" w:tplc="8C3C55EE">
      <w:start w:val="1"/>
      <w:numFmt w:val="bullet"/>
      <w:lvlText w:val=""/>
      <w:lvlJc w:val="left"/>
      <w:pPr>
        <w:ind w:left="720" w:hanging="360"/>
      </w:pPr>
      <w:rPr>
        <w:rFonts w:ascii="Symbol" w:hAnsi="Symbol"/>
      </w:rPr>
    </w:lvl>
    <w:lvl w:ilvl="6" w:tplc="1D18998C">
      <w:start w:val="1"/>
      <w:numFmt w:val="bullet"/>
      <w:lvlText w:val=""/>
      <w:lvlJc w:val="left"/>
      <w:pPr>
        <w:ind w:left="720" w:hanging="360"/>
      </w:pPr>
      <w:rPr>
        <w:rFonts w:ascii="Symbol" w:hAnsi="Symbol"/>
      </w:rPr>
    </w:lvl>
    <w:lvl w:ilvl="7" w:tplc="F5C2C564">
      <w:start w:val="1"/>
      <w:numFmt w:val="bullet"/>
      <w:lvlText w:val=""/>
      <w:lvlJc w:val="left"/>
      <w:pPr>
        <w:ind w:left="720" w:hanging="360"/>
      </w:pPr>
      <w:rPr>
        <w:rFonts w:ascii="Symbol" w:hAnsi="Symbol"/>
      </w:rPr>
    </w:lvl>
    <w:lvl w:ilvl="8" w:tplc="1E96C5B2">
      <w:start w:val="1"/>
      <w:numFmt w:val="bullet"/>
      <w:lvlText w:val=""/>
      <w:lvlJc w:val="left"/>
      <w:pPr>
        <w:ind w:left="720" w:hanging="360"/>
      </w:pPr>
      <w:rPr>
        <w:rFonts w:ascii="Symbol" w:hAnsi="Symbol"/>
      </w:rPr>
    </w:lvl>
  </w:abstractNum>
  <w:abstractNum w:abstractNumId="25" w15:restartNumberingAfterBreak="0">
    <w:nsid w:val="341554A2"/>
    <w:multiLevelType w:val="hybridMultilevel"/>
    <w:tmpl w:val="41B2A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4393A4C"/>
    <w:multiLevelType w:val="hybridMultilevel"/>
    <w:tmpl w:val="8DAC99CE"/>
    <w:lvl w:ilvl="0" w:tplc="EDC895E8">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7DC32C2"/>
    <w:multiLevelType w:val="hybridMultilevel"/>
    <w:tmpl w:val="A8904258"/>
    <w:lvl w:ilvl="0" w:tplc="3A82E9D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B2B0EF9"/>
    <w:multiLevelType w:val="hybridMultilevel"/>
    <w:tmpl w:val="274E6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B4D3EC3"/>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E3B13B7"/>
    <w:multiLevelType w:val="hybridMultilevel"/>
    <w:tmpl w:val="D6B45E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FDA598B"/>
    <w:multiLevelType w:val="multilevel"/>
    <w:tmpl w:val="CAD4E43E"/>
    <w:lvl w:ilvl="0">
      <w:start w:val="1"/>
      <w:numFmt w:val="bullet"/>
      <w:lvlText w:val=""/>
      <w:lvlJc w:val="left"/>
      <w:pPr>
        <w:ind w:left="1440" w:hanging="720"/>
      </w:pPr>
      <w:rPr>
        <w:rFonts w:ascii="Symbol" w:hAnsi="Symbol" w:hint="default"/>
      </w:rPr>
    </w:lvl>
    <w:lvl w:ilvl="1">
      <w:start w:val="1"/>
      <w:numFmt w:val="decimal"/>
      <w:lvlText w:val="%1.%2"/>
      <w:lvlJc w:val="left"/>
      <w:pPr>
        <w:ind w:left="1440" w:hanging="720"/>
      </w:pPr>
      <w:rPr>
        <w:rFonts w:hint="default"/>
        <w:color w:val="auto"/>
      </w:rPr>
    </w:lvl>
    <w:lvl w:ilvl="2">
      <w:start w:val="1"/>
      <w:numFmt w:val="lowerRoman"/>
      <w:lvlText w:val="%3."/>
      <w:lvlJc w:val="right"/>
      <w:pPr>
        <w:ind w:left="3237" w:hanging="177"/>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2" w15:restartNumberingAfterBreak="0">
    <w:nsid w:val="419E1075"/>
    <w:multiLevelType w:val="hybridMultilevel"/>
    <w:tmpl w:val="0CECF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2934841"/>
    <w:multiLevelType w:val="hybridMultilevel"/>
    <w:tmpl w:val="9D4C0956"/>
    <w:lvl w:ilvl="0" w:tplc="0ED2E4A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4510CFF"/>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7344C6C"/>
    <w:multiLevelType w:val="hybridMultilevel"/>
    <w:tmpl w:val="F72634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80368AB"/>
    <w:multiLevelType w:val="hybridMultilevel"/>
    <w:tmpl w:val="96667622"/>
    <w:lvl w:ilvl="0" w:tplc="4CC6CD4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88E2D82"/>
    <w:multiLevelType w:val="hybridMultilevel"/>
    <w:tmpl w:val="3F6A3322"/>
    <w:lvl w:ilvl="0" w:tplc="F036E636">
      <w:start w:val="1"/>
      <w:numFmt w:val="bullet"/>
      <w:lvlText w:val=""/>
      <w:lvlJc w:val="left"/>
      <w:pPr>
        <w:ind w:left="720" w:hanging="360"/>
      </w:pPr>
      <w:rPr>
        <w:rFonts w:ascii="Symbol" w:hAnsi="Symbol"/>
      </w:rPr>
    </w:lvl>
    <w:lvl w:ilvl="1" w:tplc="43882EFC">
      <w:start w:val="1"/>
      <w:numFmt w:val="bullet"/>
      <w:lvlText w:val=""/>
      <w:lvlJc w:val="left"/>
      <w:pPr>
        <w:ind w:left="720" w:hanging="360"/>
      </w:pPr>
      <w:rPr>
        <w:rFonts w:ascii="Symbol" w:hAnsi="Symbol"/>
      </w:rPr>
    </w:lvl>
    <w:lvl w:ilvl="2" w:tplc="CD54969C">
      <w:start w:val="1"/>
      <w:numFmt w:val="bullet"/>
      <w:lvlText w:val=""/>
      <w:lvlJc w:val="left"/>
      <w:pPr>
        <w:ind w:left="720" w:hanging="360"/>
      </w:pPr>
      <w:rPr>
        <w:rFonts w:ascii="Symbol" w:hAnsi="Symbol"/>
      </w:rPr>
    </w:lvl>
    <w:lvl w:ilvl="3" w:tplc="69E6105E">
      <w:start w:val="1"/>
      <w:numFmt w:val="bullet"/>
      <w:lvlText w:val=""/>
      <w:lvlJc w:val="left"/>
      <w:pPr>
        <w:ind w:left="720" w:hanging="360"/>
      </w:pPr>
      <w:rPr>
        <w:rFonts w:ascii="Symbol" w:hAnsi="Symbol"/>
      </w:rPr>
    </w:lvl>
    <w:lvl w:ilvl="4" w:tplc="61A68664">
      <w:start w:val="1"/>
      <w:numFmt w:val="bullet"/>
      <w:lvlText w:val=""/>
      <w:lvlJc w:val="left"/>
      <w:pPr>
        <w:ind w:left="720" w:hanging="360"/>
      </w:pPr>
      <w:rPr>
        <w:rFonts w:ascii="Symbol" w:hAnsi="Symbol"/>
      </w:rPr>
    </w:lvl>
    <w:lvl w:ilvl="5" w:tplc="460A48AE">
      <w:start w:val="1"/>
      <w:numFmt w:val="bullet"/>
      <w:lvlText w:val=""/>
      <w:lvlJc w:val="left"/>
      <w:pPr>
        <w:ind w:left="720" w:hanging="360"/>
      </w:pPr>
      <w:rPr>
        <w:rFonts w:ascii="Symbol" w:hAnsi="Symbol"/>
      </w:rPr>
    </w:lvl>
    <w:lvl w:ilvl="6" w:tplc="C696FB9E">
      <w:start w:val="1"/>
      <w:numFmt w:val="bullet"/>
      <w:lvlText w:val=""/>
      <w:lvlJc w:val="left"/>
      <w:pPr>
        <w:ind w:left="720" w:hanging="360"/>
      </w:pPr>
      <w:rPr>
        <w:rFonts w:ascii="Symbol" w:hAnsi="Symbol"/>
      </w:rPr>
    </w:lvl>
    <w:lvl w:ilvl="7" w:tplc="9190B6F4">
      <w:start w:val="1"/>
      <w:numFmt w:val="bullet"/>
      <w:lvlText w:val=""/>
      <w:lvlJc w:val="left"/>
      <w:pPr>
        <w:ind w:left="720" w:hanging="360"/>
      </w:pPr>
      <w:rPr>
        <w:rFonts w:ascii="Symbol" w:hAnsi="Symbol"/>
      </w:rPr>
    </w:lvl>
    <w:lvl w:ilvl="8" w:tplc="1C1255B6">
      <w:start w:val="1"/>
      <w:numFmt w:val="bullet"/>
      <w:lvlText w:val=""/>
      <w:lvlJc w:val="left"/>
      <w:pPr>
        <w:ind w:left="720" w:hanging="360"/>
      </w:pPr>
      <w:rPr>
        <w:rFonts w:ascii="Symbol" w:hAnsi="Symbol"/>
      </w:rPr>
    </w:lvl>
  </w:abstractNum>
  <w:abstractNum w:abstractNumId="39" w15:restartNumberingAfterBreak="0">
    <w:nsid w:val="48E5325C"/>
    <w:multiLevelType w:val="hybridMultilevel"/>
    <w:tmpl w:val="465A4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41" w15:restartNumberingAfterBreak="0">
    <w:nsid w:val="4B6E11C9"/>
    <w:multiLevelType w:val="hybridMultilevel"/>
    <w:tmpl w:val="DB9C7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43" w15:restartNumberingAfterBreak="0">
    <w:nsid w:val="4E94483F"/>
    <w:multiLevelType w:val="hybridMultilevel"/>
    <w:tmpl w:val="DDD61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F3433AA"/>
    <w:multiLevelType w:val="hybridMultilevel"/>
    <w:tmpl w:val="2A3EE49E"/>
    <w:lvl w:ilvl="0" w:tplc="72188AA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02F4FE4"/>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7C97701"/>
    <w:multiLevelType w:val="hybridMultilevel"/>
    <w:tmpl w:val="522A98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5E617972"/>
    <w:multiLevelType w:val="hybridMultilevel"/>
    <w:tmpl w:val="CD32B0FA"/>
    <w:lvl w:ilvl="0" w:tplc="FF0899FC">
      <w:start w:val="1"/>
      <w:numFmt w:val="bullet"/>
      <w:lvlText w:val=""/>
      <w:lvlJc w:val="left"/>
      <w:pPr>
        <w:ind w:left="720" w:hanging="360"/>
      </w:pPr>
      <w:rPr>
        <w:rFonts w:ascii="Symbol" w:hAnsi="Symbol"/>
      </w:rPr>
    </w:lvl>
    <w:lvl w:ilvl="1" w:tplc="DAF69C6C">
      <w:start w:val="1"/>
      <w:numFmt w:val="bullet"/>
      <w:lvlText w:val=""/>
      <w:lvlJc w:val="left"/>
      <w:pPr>
        <w:ind w:left="720" w:hanging="360"/>
      </w:pPr>
      <w:rPr>
        <w:rFonts w:ascii="Symbol" w:hAnsi="Symbol"/>
      </w:rPr>
    </w:lvl>
    <w:lvl w:ilvl="2" w:tplc="7B8C1B16">
      <w:start w:val="1"/>
      <w:numFmt w:val="bullet"/>
      <w:lvlText w:val=""/>
      <w:lvlJc w:val="left"/>
      <w:pPr>
        <w:ind w:left="720" w:hanging="360"/>
      </w:pPr>
      <w:rPr>
        <w:rFonts w:ascii="Symbol" w:hAnsi="Symbol"/>
      </w:rPr>
    </w:lvl>
    <w:lvl w:ilvl="3" w:tplc="6DF85986">
      <w:start w:val="1"/>
      <w:numFmt w:val="bullet"/>
      <w:lvlText w:val=""/>
      <w:lvlJc w:val="left"/>
      <w:pPr>
        <w:ind w:left="720" w:hanging="360"/>
      </w:pPr>
      <w:rPr>
        <w:rFonts w:ascii="Symbol" w:hAnsi="Symbol"/>
      </w:rPr>
    </w:lvl>
    <w:lvl w:ilvl="4" w:tplc="E6226CE6">
      <w:start w:val="1"/>
      <w:numFmt w:val="bullet"/>
      <w:lvlText w:val=""/>
      <w:lvlJc w:val="left"/>
      <w:pPr>
        <w:ind w:left="720" w:hanging="360"/>
      </w:pPr>
      <w:rPr>
        <w:rFonts w:ascii="Symbol" w:hAnsi="Symbol"/>
      </w:rPr>
    </w:lvl>
    <w:lvl w:ilvl="5" w:tplc="4B846BD2">
      <w:start w:val="1"/>
      <w:numFmt w:val="bullet"/>
      <w:lvlText w:val=""/>
      <w:lvlJc w:val="left"/>
      <w:pPr>
        <w:ind w:left="720" w:hanging="360"/>
      </w:pPr>
      <w:rPr>
        <w:rFonts w:ascii="Symbol" w:hAnsi="Symbol"/>
      </w:rPr>
    </w:lvl>
    <w:lvl w:ilvl="6" w:tplc="C66CAB50">
      <w:start w:val="1"/>
      <w:numFmt w:val="bullet"/>
      <w:lvlText w:val=""/>
      <w:lvlJc w:val="left"/>
      <w:pPr>
        <w:ind w:left="720" w:hanging="360"/>
      </w:pPr>
      <w:rPr>
        <w:rFonts w:ascii="Symbol" w:hAnsi="Symbol"/>
      </w:rPr>
    </w:lvl>
    <w:lvl w:ilvl="7" w:tplc="CE4610C0">
      <w:start w:val="1"/>
      <w:numFmt w:val="bullet"/>
      <w:lvlText w:val=""/>
      <w:lvlJc w:val="left"/>
      <w:pPr>
        <w:ind w:left="720" w:hanging="360"/>
      </w:pPr>
      <w:rPr>
        <w:rFonts w:ascii="Symbol" w:hAnsi="Symbol"/>
      </w:rPr>
    </w:lvl>
    <w:lvl w:ilvl="8" w:tplc="119E41B6">
      <w:start w:val="1"/>
      <w:numFmt w:val="bullet"/>
      <w:lvlText w:val=""/>
      <w:lvlJc w:val="left"/>
      <w:pPr>
        <w:ind w:left="720" w:hanging="360"/>
      </w:pPr>
      <w:rPr>
        <w:rFonts w:ascii="Symbol" w:hAnsi="Symbol"/>
      </w:rPr>
    </w:lvl>
  </w:abstractNum>
  <w:abstractNum w:abstractNumId="48" w15:restartNumberingAfterBreak="0">
    <w:nsid w:val="62910E89"/>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42B1460"/>
    <w:multiLevelType w:val="hybridMultilevel"/>
    <w:tmpl w:val="B0A08F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7EB7BA9"/>
    <w:multiLevelType w:val="hybridMultilevel"/>
    <w:tmpl w:val="A75608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1" w15:restartNumberingAfterBreak="0">
    <w:nsid w:val="68321CCF"/>
    <w:multiLevelType w:val="hybridMultilevel"/>
    <w:tmpl w:val="F5D0E7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9DD1F31"/>
    <w:multiLevelType w:val="hybridMultilevel"/>
    <w:tmpl w:val="979EF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E6F75A3"/>
    <w:multiLevelType w:val="hybridMultilevel"/>
    <w:tmpl w:val="617420A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15D4EDC"/>
    <w:multiLevelType w:val="hybridMultilevel"/>
    <w:tmpl w:val="7968F776"/>
    <w:lvl w:ilvl="0" w:tplc="B926701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1E0726B"/>
    <w:multiLevelType w:val="hybridMultilevel"/>
    <w:tmpl w:val="643A8A08"/>
    <w:lvl w:ilvl="0" w:tplc="B7C6AC5A">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20A3D01"/>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2D074AA"/>
    <w:multiLevelType w:val="hybridMultilevel"/>
    <w:tmpl w:val="2A0208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8" w15:restartNumberingAfterBreak="0">
    <w:nsid w:val="72F15BEB"/>
    <w:multiLevelType w:val="hybridMultilevel"/>
    <w:tmpl w:val="1D34A118"/>
    <w:lvl w:ilvl="0" w:tplc="97181EEA">
      <w:start w:val="1"/>
      <w:numFmt w:val="bullet"/>
      <w:lvlText w:val=""/>
      <w:lvlJc w:val="left"/>
      <w:pPr>
        <w:ind w:left="1440" w:hanging="360"/>
      </w:pPr>
      <w:rPr>
        <w:rFonts w:ascii="Symbol" w:hAnsi="Symbol"/>
      </w:rPr>
    </w:lvl>
    <w:lvl w:ilvl="1" w:tplc="54884C16">
      <w:start w:val="1"/>
      <w:numFmt w:val="bullet"/>
      <w:lvlText w:val=""/>
      <w:lvlJc w:val="left"/>
      <w:pPr>
        <w:ind w:left="1440" w:hanging="360"/>
      </w:pPr>
      <w:rPr>
        <w:rFonts w:ascii="Symbol" w:hAnsi="Symbol"/>
      </w:rPr>
    </w:lvl>
    <w:lvl w:ilvl="2" w:tplc="3C9A4136">
      <w:start w:val="1"/>
      <w:numFmt w:val="bullet"/>
      <w:lvlText w:val=""/>
      <w:lvlJc w:val="left"/>
      <w:pPr>
        <w:ind w:left="1440" w:hanging="360"/>
      </w:pPr>
      <w:rPr>
        <w:rFonts w:ascii="Symbol" w:hAnsi="Symbol"/>
      </w:rPr>
    </w:lvl>
    <w:lvl w:ilvl="3" w:tplc="1B0E6CEC">
      <w:start w:val="1"/>
      <w:numFmt w:val="bullet"/>
      <w:lvlText w:val=""/>
      <w:lvlJc w:val="left"/>
      <w:pPr>
        <w:ind w:left="1440" w:hanging="360"/>
      </w:pPr>
      <w:rPr>
        <w:rFonts w:ascii="Symbol" w:hAnsi="Symbol"/>
      </w:rPr>
    </w:lvl>
    <w:lvl w:ilvl="4" w:tplc="11B4A37A">
      <w:start w:val="1"/>
      <w:numFmt w:val="bullet"/>
      <w:lvlText w:val=""/>
      <w:lvlJc w:val="left"/>
      <w:pPr>
        <w:ind w:left="1440" w:hanging="360"/>
      </w:pPr>
      <w:rPr>
        <w:rFonts w:ascii="Symbol" w:hAnsi="Symbol"/>
      </w:rPr>
    </w:lvl>
    <w:lvl w:ilvl="5" w:tplc="E73EC97E">
      <w:start w:val="1"/>
      <w:numFmt w:val="bullet"/>
      <w:lvlText w:val=""/>
      <w:lvlJc w:val="left"/>
      <w:pPr>
        <w:ind w:left="1440" w:hanging="360"/>
      </w:pPr>
      <w:rPr>
        <w:rFonts w:ascii="Symbol" w:hAnsi="Symbol"/>
      </w:rPr>
    </w:lvl>
    <w:lvl w:ilvl="6" w:tplc="6FA8F2E0">
      <w:start w:val="1"/>
      <w:numFmt w:val="bullet"/>
      <w:lvlText w:val=""/>
      <w:lvlJc w:val="left"/>
      <w:pPr>
        <w:ind w:left="1440" w:hanging="360"/>
      </w:pPr>
      <w:rPr>
        <w:rFonts w:ascii="Symbol" w:hAnsi="Symbol"/>
      </w:rPr>
    </w:lvl>
    <w:lvl w:ilvl="7" w:tplc="2C38D8A6">
      <w:start w:val="1"/>
      <w:numFmt w:val="bullet"/>
      <w:lvlText w:val=""/>
      <w:lvlJc w:val="left"/>
      <w:pPr>
        <w:ind w:left="1440" w:hanging="360"/>
      </w:pPr>
      <w:rPr>
        <w:rFonts w:ascii="Symbol" w:hAnsi="Symbol"/>
      </w:rPr>
    </w:lvl>
    <w:lvl w:ilvl="8" w:tplc="1588712E">
      <w:start w:val="1"/>
      <w:numFmt w:val="bullet"/>
      <w:lvlText w:val=""/>
      <w:lvlJc w:val="left"/>
      <w:pPr>
        <w:ind w:left="1440" w:hanging="360"/>
      </w:pPr>
      <w:rPr>
        <w:rFonts w:ascii="Symbol" w:hAnsi="Symbol"/>
      </w:rPr>
    </w:lvl>
  </w:abstractNum>
  <w:abstractNum w:abstractNumId="59" w15:restartNumberingAfterBreak="0">
    <w:nsid w:val="73234DD2"/>
    <w:multiLevelType w:val="hybridMultilevel"/>
    <w:tmpl w:val="9402B6BC"/>
    <w:lvl w:ilvl="0" w:tplc="E2D82A90">
      <w:start w:val="1"/>
      <w:numFmt w:val="bullet"/>
      <w:lvlText w:val=""/>
      <w:lvlJc w:val="left"/>
      <w:pPr>
        <w:ind w:left="720" w:hanging="360"/>
      </w:pPr>
      <w:rPr>
        <w:rFonts w:ascii="Symbol" w:hAnsi="Symbol"/>
      </w:rPr>
    </w:lvl>
    <w:lvl w:ilvl="1" w:tplc="5D782C0E">
      <w:start w:val="1"/>
      <w:numFmt w:val="bullet"/>
      <w:lvlText w:val=""/>
      <w:lvlJc w:val="left"/>
      <w:pPr>
        <w:ind w:left="720" w:hanging="360"/>
      </w:pPr>
      <w:rPr>
        <w:rFonts w:ascii="Symbol" w:hAnsi="Symbol"/>
      </w:rPr>
    </w:lvl>
    <w:lvl w:ilvl="2" w:tplc="6248DDC0">
      <w:start w:val="1"/>
      <w:numFmt w:val="bullet"/>
      <w:lvlText w:val=""/>
      <w:lvlJc w:val="left"/>
      <w:pPr>
        <w:ind w:left="720" w:hanging="360"/>
      </w:pPr>
      <w:rPr>
        <w:rFonts w:ascii="Symbol" w:hAnsi="Symbol"/>
      </w:rPr>
    </w:lvl>
    <w:lvl w:ilvl="3" w:tplc="CF1E3504">
      <w:start w:val="1"/>
      <w:numFmt w:val="bullet"/>
      <w:lvlText w:val=""/>
      <w:lvlJc w:val="left"/>
      <w:pPr>
        <w:ind w:left="720" w:hanging="360"/>
      </w:pPr>
      <w:rPr>
        <w:rFonts w:ascii="Symbol" w:hAnsi="Symbol"/>
      </w:rPr>
    </w:lvl>
    <w:lvl w:ilvl="4" w:tplc="47723E1E">
      <w:start w:val="1"/>
      <w:numFmt w:val="bullet"/>
      <w:lvlText w:val=""/>
      <w:lvlJc w:val="left"/>
      <w:pPr>
        <w:ind w:left="720" w:hanging="360"/>
      </w:pPr>
      <w:rPr>
        <w:rFonts w:ascii="Symbol" w:hAnsi="Symbol"/>
      </w:rPr>
    </w:lvl>
    <w:lvl w:ilvl="5" w:tplc="61A8C094">
      <w:start w:val="1"/>
      <w:numFmt w:val="bullet"/>
      <w:lvlText w:val=""/>
      <w:lvlJc w:val="left"/>
      <w:pPr>
        <w:ind w:left="720" w:hanging="360"/>
      </w:pPr>
      <w:rPr>
        <w:rFonts w:ascii="Symbol" w:hAnsi="Symbol"/>
      </w:rPr>
    </w:lvl>
    <w:lvl w:ilvl="6" w:tplc="731EDD8A">
      <w:start w:val="1"/>
      <w:numFmt w:val="bullet"/>
      <w:lvlText w:val=""/>
      <w:lvlJc w:val="left"/>
      <w:pPr>
        <w:ind w:left="720" w:hanging="360"/>
      </w:pPr>
      <w:rPr>
        <w:rFonts w:ascii="Symbol" w:hAnsi="Symbol"/>
      </w:rPr>
    </w:lvl>
    <w:lvl w:ilvl="7" w:tplc="7D908074">
      <w:start w:val="1"/>
      <w:numFmt w:val="bullet"/>
      <w:lvlText w:val=""/>
      <w:lvlJc w:val="left"/>
      <w:pPr>
        <w:ind w:left="720" w:hanging="360"/>
      </w:pPr>
      <w:rPr>
        <w:rFonts w:ascii="Symbol" w:hAnsi="Symbol"/>
      </w:rPr>
    </w:lvl>
    <w:lvl w:ilvl="8" w:tplc="6A6638C4">
      <w:start w:val="1"/>
      <w:numFmt w:val="bullet"/>
      <w:lvlText w:val=""/>
      <w:lvlJc w:val="left"/>
      <w:pPr>
        <w:ind w:left="720" w:hanging="360"/>
      </w:pPr>
      <w:rPr>
        <w:rFonts w:ascii="Symbol" w:hAnsi="Symbol"/>
      </w:rPr>
    </w:lvl>
  </w:abstractNum>
  <w:abstractNum w:abstractNumId="60" w15:restartNumberingAfterBreak="0">
    <w:nsid w:val="7390380D"/>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449763E"/>
    <w:multiLevelType w:val="hybridMultilevel"/>
    <w:tmpl w:val="880491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74F9586D"/>
    <w:multiLevelType w:val="hybridMultilevel"/>
    <w:tmpl w:val="142C2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5087ED8"/>
    <w:multiLevelType w:val="hybridMultilevel"/>
    <w:tmpl w:val="D3FE6A9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64" w15:restartNumberingAfterBreak="0">
    <w:nsid w:val="784D033C"/>
    <w:multiLevelType w:val="multilevel"/>
    <w:tmpl w:val="CC92A716"/>
    <w:lvl w:ilvl="0">
      <w:start w:val="1"/>
      <w:numFmt w:val="decimal"/>
      <w:pStyle w:val="2-SectionHeading"/>
      <w:lvlText w:val="%1"/>
      <w:lvlJc w:val="left"/>
      <w:pPr>
        <w:ind w:left="720" w:hanging="720"/>
      </w:pPr>
      <w:rPr>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5" w15:restartNumberingAfterBreak="0">
    <w:nsid w:val="78AE75E8"/>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A6B2804"/>
    <w:multiLevelType w:val="hybridMultilevel"/>
    <w:tmpl w:val="9D60F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C021DBB"/>
    <w:multiLevelType w:val="hybridMultilevel"/>
    <w:tmpl w:val="7E5CF7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1843868">
    <w:abstractNumId w:val="4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8950695">
    <w:abstractNumId w:val="4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6997367">
    <w:abstractNumId w:val="53"/>
  </w:num>
  <w:num w:numId="4" w16cid:durableId="1955818708">
    <w:abstractNumId w:val="12"/>
  </w:num>
  <w:num w:numId="5" w16cid:durableId="1762793081">
    <w:abstractNumId w:val="17"/>
  </w:num>
  <w:num w:numId="6" w16cid:durableId="1063870176">
    <w:abstractNumId w:val="8"/>
  </w:num>
  <w:num w:numId="7" w16cid:durableId="17202420">
    <w:abstractNumId w:val="21"/>
  </w:num>
  <w:num w:numId="8" w16cid:durableId="1042025453">
    <w:abstractNumId w:val="46"/>
  </w:num>
  <w:num w:numId="9" w16cid:durableId="6538040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3588150">
    <w:abstractNumId w:val="30"/>
  </w:num>
  <w:num w:numId="11" w16cid:durableId="1146433718">
    <w:abstractNumId w:val="14"/>
  </w:num>
  <w:num w:numId="12" w16cid:durableId="403258695">
    <w:abstractNumId w:val="61"/>
  </w:num>
  <w:num w:numId="13" w16cid:durableId="1862627038">
    <w:abstractNumId w:val="66"/>
  </w:num>
  <w:num w:numId="14" w16cid:durableId="1933540907">
    <w:abstractNumId w:val="19"/>
  </w:num>
  <w:num w:numId="15" w16cid:durableId="410933758">
    <w:abstractNumId w:val="27"/>
  </w:num>
  <w:num w:numId="16" w16cid:durableId="1277060000">
    <w:abstractNumId w:val="35"/>
  </w:num>
  <w:num w:numId="17" w16cid:durableId="932201648">
    <w:abstractNumId w:val="64"/>
  </w:num>
  <w:num w:numId="18" w16cid:durableId="871497882">
    <w:abstractNumId w:val="11"/>
  </w:num>
  <w:num w:numId="19" w16cid:durableId="2057124610">
    <w:abstractNumId w:val="52"/>
  </w:num>
  <w:num w:numId="20" w16cid:durableId="174879048">
    <w:abstractNumId w:val="26"/>
  </w:num>
  <w:num w:numId="21" w16cid:durableId="258415052">
    <w:abstractNumId w:val="51"/>
  </w:num>
  <w:num w:numId="22" w16cid:durableId="1753772491">
    <w:abstractNumId w:val="55"/>
  </w:num>
  <w:num w:numId="23" w16cid:durableId="701518877">
    <w:abstractNumId w:val="49"/>
  </w:num>
  <w:num w:numId="24" w16cid:durableId="1493136778">
    <w:abstractNumId w:val="33"/>
  </w:num>
  <w:num w:numId="25" w16cid:durableId="527648721">
    <w:abstractNumId w:val="10"/>
  </w:num>
  <w:num w:numId="26" w16cid:durableId="753933244">
    <w:abstractNumId w:val="44"/>
  </w:num>
  <w:num w:numId="27" w16cid:durableId="1139153049">
    <w:abstractNumId w:val="36"/>
  </w:num>
  <w:num w:numId="28" w16cid:durableId="699205066">
    <w:abstractNumId w:val="22"/>
  </w:num>
  <w:num w:numId="29" w16cid:durableId="1951667345">
    <w:abstractNumId w:val="9"/>
  </w:num>
  <w:num w:numId="30" w16cid:durableId="860750086">
    <w:abstractNumId w:val="48"/>
  </w:num>
  <w:num w:numId="31" w16cid:durableId="2092240650">
    <w:abstractNumId w:val="1"/>
  </w:num>
  <w:num w:numId="32" w16cid:durableId="20669193">
    <w:abstractNumId w:val="7"/>
  </w:num>
  <w:num w:numId="33" w16cid:durableId="602032988">
    <w:abstractNumId w:val="34"/>
  </w:num>
  <w:num w:numId="34" w16cid:durableId="795491393">
    <w:abstractNumId w:val="20"/>
  </w:num>
  <w:num w:numId="35" w16cid:durableId="1371421239">
    <w:abstractNumId w:val="60"/>
  </w:num>
  <w:num w:numId="36" w16cid:durableId="495536337">
    <w:abstractNumId w:val="65"/>
  </w:num>
  <w:num w:numId="37" w16cid:durableId="508719203">
    <w:abstractNumId w:val="15"/>
  </w:num>
  <w:num w:numId="38" w16cid:durableId="258568966">
    <w:abstractNumId w:val="29"/>
  </w:num>
  <w:num w:numId="39" w16cid:durableId="1399867477">
    <w:abstractNumId w:val="45"/>
  </w:num>
  <w:num w:numId="40" w16cid:durableId="1150096549">
    <w:abstractNumId w:val="56"/>
  </w:num>
  <w:num w:numId="41" w16cid:durableId="1847667302">
    <w:abstractNumId w:val="32"/>
  </w:num>
  <w:num w:numId="42" w16cid:durableId="1178958632">
    <w:abstractNumId w:val="62"/>
  </w:num>
  <w:num w:numId="43" w16cid:durableId="764303977">
    <w:abstractNumId w:val="37"/>
  </w:num>
  <w:num w:numId="44" w16cid:durableId="645934640">
    <w:abstractNumId w:val="6"/>
  </w:num>
  <w:num w:numId="45" w16cid:durableId="1871991393">
    <w:abstractNumId w:val="4"/>
  </w:num>
  <w:num w:numId="46" w16cid:durableId="1059479469">
    <w:abstractNumId w:val="25"/>
  </w:num>
  <w:num w:numId="47" w16cid:durableId="2069498770">
    <w:abstractNumId w:val="13"/>
  </w:num>
  <w:num w:numId="48" w16cid:durableId="722487997">
    <w:abstractNumId w:val="2"/>
  </w:num>
  <w:num w:numId="49" w16cid:durableId="1622765155">
    <w:abstractNumId w:val="50"/>
  </w:num>
  <w:num w:numId="50" w16cid:durableId="1981885625">
    <w:abstractNumId w:val="67"/>
  </w:num>
  <w:num w:numId="51" w16cid:durableId="1588225749">
    <w:abstractNumId w:val="39"/>
  </w:num>
  <w:num w:numId="52" w16cid:durableId="1233615601">
    <w:abstractNumId w:val="58"/>
  </w:num>
  <w:num w:numId="53" w16cid:durableId="1957903164">
    <w:abstractNumId w:val="16"/>
  </w:num>
  <w:num w:numId="54" w16cid:durableId="113528507">
    <w:abstractNumId w:val="59"/>
  </w:num>
  <w:num w:numId="55" w16cid:durableId="609044352">
    <w:abstractNumId w:val="47"/>
  </w:num>
  <w:num w:numId="56" w16cid:durableId="1704600303">
    <w:abstractNumId w:val="24"/>
  </w:num>
  <w:num w:numId="57" w16cid:durableId="1602568203">
    <w:abstractNumId w:val="38"/>
  </w:num>
  <w:num w:numId="58" w16cid:durableId="1486430306">
    <w:abstractNumId w:val="0"/>
  </w:num>
  <w:num w:numId="59" w16cid:durableId="234127176">
    <w:abstractNumId w:val="31"/>
  </w:num>
  <w:num w:numId="60" w16cid:durableId="2103794336">
    <w:abstractNumId w:val="63"/>
  </w:num>
  <w:num w:numId="61" w16cid:durableId="1903590950">
    <w:abstractNumId w:val="28"/>
  </w:num>
  <w:num w:numId="62" w16cid:durableId="1809662724">
    <w:abstractNumId w:val="3"/>
  </w:num>
  <w:num w:numId="63" w16cid:durableId="1377510151">
    <w:abstractNumId w:val="23"/>
  </w:num>
  <w:num w:numId="64" w16cid:durableId="1755781740">
    <w:abstractNumId w:val="43"/>
  </w:num>
  <w:num w:numId="65" w16cid:durableId="74058971">
    <w:abstractNumId w:val="54"/>
  </w:num>
  <w:num w:numId="66" w16cid:durableId="369300931">
    <w:abstractNumId w:val="5"/>
  </w:num>
  <w:num w:numId="67" w16cid:durableId="1781758842">
    <w:abstractNumId w:val="18"/>
  </w:num>
  <w:num w:numId="68" w16cid:durableId="1723168477">
    <w:abstractNumId w:val="41"/>
  </w:num>
  <w:num w:numId="69" w16cid:durableId="110044577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B27"/>
    <w:rsid w:val="00000C2B"/>
    <w:rsid w:val="00001364"/>
    <w:rsid w:val="0000162D"/>
    <w:rsid w:val="000017CE"/>
    <w:rsid w:val="0000217D"/>
    <w:rsid w:val="00002288"/>
    <w:rsid w:val="00002868"/>
    <w:rsid w:val="00002E16"/>
    <w:rsid w:val="00002E7D"/>
    <w:rsid w:val="0000304C"/>
    <w:rsid w:val="000034C3"/>
    <w:rsid w:val="00003584"/>
    <w:rsid w:val="00004628"/>
    <w:rsid w:val="0000462B"/>
    <w:rsid w:val="00004D33"/>
    <w:rsid w:val="00004D75"/>
    <w:rsid w:val="00004F9D"/>
    <w:rsid w:val="000053F8"/>
    <w:rsid w:val="0000554D"/>
    <w:rsid w:val="00005B5B"/>
    <w:rsid w:val="00005DD2"/>
    <w:rsid w:val="00005EC6"/>
    <w:rsid w:val="00005F17"/>
    <w:rsid w:val="00005FA7"/>
    <w:rsid w:val="000060A0"/>
    <w:rsid w:val="000063DB"/>
    <w:rsid w:val="000065C9"/>
    <w:rsid w:val="000068DD"/>
    <w:rsid w:val="00006BB1"/>
    <w:rsid w:val="00006E1B"/>
    <w:rsid w:val="0000733C"/>
    <w:rsid w:val="000074BD"/>
    <w:rsid w:val="00007932"/>
    <w:rsid w:val="00007BAD"/>
    <w:rsid w:val="00007D69"/>
    <w:rsid w:val="000102AF"/>
    <w:rsid w:val="000102C6"/>
    <w:rsid w:val="00010379"/>
    <w:rsid w:val="000104B9"/>
    <w:rsid w:val="00010886"/>
    <w:rsid w:val="00010920"/>
    <w:rsid w:val="00010B32"/>
    <w:rsid w:val="00010EF9"/>
    <w:rsid w:val="00011394"/>
    <w:rsid w:val="00011420"/>
    <w:rsid w:val="0001152D"/>
    <w:rsid w:val="000118E3"/>
    <w:rsid w:val="00011DBF"/>
    <w:rsid w:val="00011EA7"/>
    <w:rsid w:val="000120D3"/>
    <w:rsid w:val="000128E9"/>
    <w:rsid w:val="000129ED"/>
    <w:rsid w:val="00012DEC"/>
    <w:rsid w:val="00013238"/>
    <w:rsid w:val="00013284"/>
    <w:rsid w:val="0001362E"/>
    <w:rsid w:val="000136A0"/>
    <w:rsid w:val="00013785"/>
    <w:rsid w:val="000140D3"/>
    <w:rsid w:val="00014746"/>
    <w:rsid w:val="000147E4"/>
    <w:rsid w:val="00014B96"/>
    <w:rsid w:val="00014DC1"/>
    <w:rsid w:val="00014FF8"/>
    <w:rsid w:val="00015091"/>
    <w:rsid w:val="00015520"/>
    <w:rsid w:val="000155A7"/>
    <w:rsid w:val="00015748"/>
    <w:rsid w:val="00015DFE"/>
    <w:rsid w:val="00016092"/>
    <w:rsid w:val="0001617C"/>
    <w:rsid w:val="00016211"/>
    <w:rsid w:val="0001634D"/>
    <w:rsid w:val="00016386"/>
    <w:rsid w:val="00016707"/>
    <w:rsid w:val="00016960"/>
    <w:rsid w:val="00016F44"/>
    <w:rsid w:val="00017050"/>
    <w:rsid w:val="000171D6"/>
    <w:rsid w:val="00017870"/>
    <w:rsid w:val="000179CE"/>
    <w:rsid w:val="00017CDE"/>
    <w:rsid w:val="00020127"/>
    <w:rsid w:val="00020764"/>
    <w:rsid w:val="00020827"/>
    <w:rsid w:val="000209C6"/>
    <w:rsid w:val="00020D50"/>
    <w:rsid w:val="00020EB1"/>
    <w:rsid w:val="000210EB"/>
    <w:rsid w:val="0002174C"/>
    <w:rsid w:val="00021B23"/>
    <w:rsid w:val="000220E8"/>
    <w:rsid w:val="00022361"/>
    <w:rsid w:val="000223D3"/>
    <w:rsid w:val="00022435"/>
    <w:rsid w:val="0002264D"/>
    <w:rsid w:val="00022686"/>
    <w:rsid w:val="000228B1"/>
    <w:rsid w:val="00022BDB"/>
    <w:rsid w:val="00022BF5"/>
    <w:rsid w:val="0002300F"/>
    <w:rsid w:val="0002305C"/>
    <w:rsid w:val="000231EA"/>
    <w:rsid w:val="00023228"/>
    <w:rsid w:val="00023422"/>
    <w:rsid w:val="000235A6"/>
    <w:rsid w:val="00023817"/>
    <w:rsid w:val="0002401C"/>
    <w:rsid w:val="00024248"/>
    <w:rsid w:val="000245BC"/>
    <w:rsid w:val="0002470A"/>
    <w:rsid w:val="00024B49"/>
    <w:rsid w:val="00024CE2"/>
    <w:rsid w:val="0002564D"/>
    <w:rsid w:val="00025967"/>
    <w:rsid w:val="00025F56"/>
    <w:rsid w:val="00026187"/>
    <w:rsid w:val="0002655C"/>
    <w:rsid w:val="00026954"/>
    <w:rsid w:val="0002716D"/>
    <w:rsid w:val="00027346"/>
    <w:rsid w:val="00027672"/>
    <w:rsid w:val="00027773"/>
    <w:rsid w:val="00027845"/>
    <w:rsid w:val="00027AB0"/>
    <w:rsid w:val="0002DC56"/>
    <w:rsid w:val="0003017D"/>
    <w:rsid w:val="00030263"/>
    <w:rsid w:val="00030320"/>
    <w:rsid w:val="00030887"/>
    <w:rsid w:val="00030A03"/>
    <w:rsid w:val="00030A49"/>
    <w:rsid w:val="000311AC"/>
    <w:rsid w:val="0003160F"/>
    <w:rsid w:val="00031946"/>
    <w:rsid w:val="00031FAB"/>
    <w:rsid w:val="00032078"/>
    <w:rsid w:val="00032180"/>
    <w:rsid w:val="00032226"/>
    <w:rsid w:val="0003225B"/>
    <w:rsid w:val="000322EC"/>
    <w:rsid w:val="00032403"/>
    <w:rsid w:val="000324DA"/>
    <w:rsid w:val="00032AB9"/>
    <w:rsid w:val="00032CE5"/>
    <w:rsid w:val="00033178"/>
    <w:rsid w:val="00033A72"/>
    <w:rsid w:val="00033AE2"/>
    <w:rsid w:val="00033D0B"/>
    <w:rsid w:val="00033D40"/>
    <w:rsid w:val="00034086"/>
    <w:rsid w:val="00034121"/>
    <w:rsid w:val="00034321"/>
    <w:rsid w:val="00034AE8"/>
    <w:rsid w:val="00034CCA"/>
    <w:rsid w:val="000350A9"/>
    <w:rsid w:val="00035472"/>
    <w:rsid w:val="0003551E"/>
    <w:rsid w:val="00035622"/>
    <w:rsid w:val="00035C4A"/>
    <w:rsid w:val="00035CFA"/>
    <w:rsid w:val="00036501"/>
    <w:rsid w:val="00036531"/>
    <w:rsid w:val="000365B0"/>
    <w:rsid w:val="00036CF7"/>
    <w:rsid w:val="00037175"/>
    <w:rsid w:val="00037647"/>
    <w:rsid w:val="00037F52"/>
    <w:rsid w:val="0004019D"/>
    <w:rsid w:val="0004024A"/>
    <w:rsid w:val="00040463"/>
    <w:rsid w:val="0004054A"/>
    <w:rsid w:val="000407E0"/>
    <w:rsid w:val="00040C0F"/>
    <w:rsid w:val="000412FE"/>
    <w:rsid w:val="00041467"/>
    <w:rsid w:val="0004160D"/>
    <w:rsid w:val="00041F3D"/>
    <w:rsid w:val="00042017"/>
    <w:rsid w:val="0004242F"/>
    <w:rsid w:val="0004257E"/>
    <w:rsid w:val="00042593"/>
    <w:rsid w:val="00042704"/>
    <w:rsid w:val="000428E8"/>
    <w:rsid w:val="00042970"/>
    <w:rsid w:val="000433CA"/>
    <w:rsid w:val="00043755"/>
    <w:rsid w:val="00043C1D"/>
    <w:rsid w:val="00044146"/>
    <w:rsid w:val="0004459D"/>
    <w:rsid w:val="0004479C"/>
    <w:rsid w:val="00044BB4"/>
    <w:rsid w:val="00045450"/>
    <w:rsid w:val="00045AE5"/>
    <w:rsid w:val="00045BFA"/>
    <w:rsid w:val="00046725"/>
    <w:rsid w:val="000468C0"/>
    <w:rsid w:val="00046DA2"/>
    <w:rsid w:val="000470CA"/>
    <w:rsid w:val="00047817"/>
    <w:rsid w:val="000478B3"/>
    <w:rsid w:val="00047C23"/>
    <w:rsid w:val="0005008F"/>
    <w:rsid w:val="00050762"/>
    <w:rsid w:val="000507B9"/>
    <w:rsid w:val="00050DA9"/>
    <w:rsid w:val="000510F0"/>
    <w:rsid w:val="0005132F"/>
    <w:rsid w:val="0005150B"/>
    <w:rsid w:val="00051AF5"/>
    <w:rsid w:val="00051F8F"/>
    <w:rsid w:val="00052E3F"/>
    <w:rsid w:val="00053AB1"/>
    <w:rsid w:val="000548C7"/>
    <w:rsid w:val="00054B8B"/>
    <w:rsid w:val="00054EA7"/>
    <w:rsid w:val="00055866"/>
    <w:rsid w:val="00055A01"/>
    <w:rsid w:val="000563D8"/>
    <w:rsid w:val="0005661F"/>
    <w:rsid w:val="00057006"/>
    <w:rsid w:val="000575B4"/>
    <w:rsid w:val="000601EA"/>
    <w:rsid w:val="000603A0"/>
    <w:rsid w:val="000603CB"/>
    <w:rsid w:val="000605F9"/>
    <w:rsid w:val="0006084C"/>
    <w:rsid w:val="000608FE"/>
    <w:rsid w:val="00060E7B"/>
    <w:rsid w:val="000615B0"/>
    <w:rsid w:val="000617D0"/>
    <w:rsid w:val="00061C73"/>
    <w:rsid w:val="00061E01"/>
    <w:rsid w:val="0006239E"/>
    <w:rsid w:val="0006295A"/>
    <w:rsid w:val="00062AF3"/>
    <w:rsid w:val="00062DBE"/>
    <w:rsid w:val="00062EE7"/>
    <w:rsid w:val="00062F87"/>
    <w:rsid w:val="00062FEE"/>
    <w:rsid w:val="0006305A"/>
    <w:rsid w:val="00063210"/>
    <w:rsid w:val="00063288"/>
    <w:rsid w:val="0006339E"/>
    <w:rsid w:val="000634F5"/>
    <w:rsid w:val="0006357B"/>
    <w:rsid w:val="00063B11"/>
    <w:rsid w:val="00063D17"/>
    <w:rsid w:val="000643D0"/>
    <w:rsid w:val="000648E2"/>
    <w:rsid w:val="000650C3"/>
    <w:rsid w:val="00065195"/>
    <w:rsid w:val="00065350"/>
    <w:rsid w:val="00065584"/>
    <w:rsid w:val="00065C22"/>
    <w:rsid w:val="00066645"/>
    <w:rsid w:val="000666A9"/>
    <w:rsid w:val="00066CF6"/>
    <w:rsid w:val="0006717D"/>
    <w:rsid w:val="000672D3"/>
    <w:rsid w:val="0006744F"/>
    <w:rsid w:val="00067A06"/>
    <w:rsid w:val="00067E91"/>
    <w:rsid w:val="00070204"/>
    <w:rsid w:val="00070550"/>
    <w:rsid w:val="00070612"/>
    <w:rsid w:val="0007061C"/>
    <w:rsid w:val="00070D59"/>
    <w:rsid w:val="00071230"/>
    <w:rsid w:val="000714CE"/>
    <w:rsid w:val="00071D67"/>
    <w:rsid w:val="0007221C"/>
    <w:rsid w:val="0007257C"/>
    <w:rsid w:val="00072584"/>
    <w:rsid w:val="000726C3"/>
    <w:rsid w:val="000728AC"/>
    <w:rsid w:val="00072E3B"/>
    <w:rsid w:val="00072F02"/>
    <w:rsid w:val="00072F85"/>
    <w:rsid w:val="0007309C"/>
    <w:rsid w:val="00073432"/>
    <w:rsid w:val="00073C49"/>
    <w:rsid w:val="00074126"/>
    <w:rsid w:val="00074BFE"/>
    <w:rsid w:val="00074D5B"/>
    <w:rsid w:val="00074E67"/>
    <w:rsid w:val="0007567B"/>
    <w:rsid w:val="00075B7E"/>
    <w:rsid w:val="00076287"/>
    <w:rsid w:val="00076297"/>
    <w:rsid w:val="00076AED"/>
    <w:rsid w:val="00076BC0"/>
    <w:rsid w:val="00077533"/>
    <w:rsid w:val="00077555"/>
    <w:rsid w:val="00077A40"/>
    <w:rsid w:val="00077D5C"/>
    <w:rsid w:val="00077F45"/>
    <w:rsid w:val="00080510"/>
    <w:rsid w:val="000809F7"/>
    <w:rsid w:val="00081153"/>
    <w:rsid w:val="00081DCD"/>
    <w:rsid w:val="00082053"/>
    <w:rsid w:val="00082507"/>
    <w:rsid w:val="0008274B"/>
    <w:rsid w:val="000827F9"/>
    <w:rsid w:val="00082A9D"/>
    <w:rsid w:val="00082ED9"/>
    <w:rsid w:val="000834C8"/>
    <w:rsid w:val="00083789"/>
    <w:rsid w:val="00083792"/>
    <w:rsid w:val="000839D5"/>
    <w:rsid w:val="00083A63"/>
    <w:rsid w:val="00083BE8"/>
    <w:rsid w:val="00083E6A"/>
    <w:rsid w:val="00084012"/>
    <w:rsid w:val="00084017"/>
    <w:rsid w:val="0008415A"/>
    <w:rsid w:val="00084264"/>
    <w:rsid w:val="000842BB"/>
    <w:rsid w:val="00084B20"/>
    <w:rsid w:val="00084CED"/>
    <w:rsid w:val="00084D37"/>
    <w:rsid w:val="00084E9F"/>
    <w:rsid w:val="000855C9"/>
    <w:rsid w:val="0008574F"/>
    <w:rsid w:val="00085A38"/>
    <w:rsid w:val="00085F9C"/>
    <w:rsid w:val="00086013"/>
    <w:rsid w:val="0008619D"/>
    <w:rsid w:val="0008687E"/>
    <w:rsid w:val="000868A3"/>
    <w:rsid w:val="00086D66"/>
    <w:rsid w:val="000872FA"/>
    <w:rsid w:val="0008737D"/>
    <w:rsid w:val="000879A5"/>
    <w:rsid w:val="00090385"/>
    <w:rsid w:val="000908F9"/>
    <w:rsid w:val="00090D21"/>
    <w:rsid w:val="00090E77"/>
    <w:rsid w:val="00090F42"/>
    <w:rsid w:val="00091262"/>
    <w:rsid w:val="00091269"/>
    <w:rsid w:val="000921BC"/>
    <w:rsid w:val="00092523"/>
    <w:rsid w:val="0009260A"/>
    <w:rsid w:val="00092A9E"/>
    <w:rsid w:val="00093960"/>
    <w:rsid w:val="00093FE9"/>
    <w:rsid w:val="0009421C"/>
    <w:rsid w:val="0009470A"/>
    <w:rsid w:val="00095C30"/>
    <w:rsid w:val="000968AD"/>
    <w:rsid w:val="00096AAC"/>
    <w:rsid w:val="00096B9F"/>
    <w:rsid w:val="00096E39"/>
    <w:rsid w:val="0009704F"/>
    <w:rsid w:val="000972AC"/>
    <w:rsid w:val="00097C0E"/>
    <w:rsid w:val="00097D99"/>
    <w:rsid w:val="00097ED4"/>
    <w:rsid w:val="000A0004"/>
    <w:rsid w:val="000A0466"/>
    <w:rsid w:val="000A06D9"/>
    <w:rsid w:val="000A084E"/>
    <w:rsid w:val="000A1188"/>
    <w:rsid w:val="000A1E1C"/>
    <w:rsid w:val="000A1F85"/>
    <w:rsid w:val="000A2697"/>
    <w:rsid w:val="000A26EE"/>
    <w:rsid w:val="000A29FA"/>
    <w:rsid w:val="000A2A86"/>
    <w:rsid w:val="000A2C2D"/>
    <w:rsid w:val="000A2DE4"/>
    <w:rsid w:val="000A2DFF"/>
    <w:rsid w:val="000A2FEC"/>
    <w:rsid w:val="000A30CC"/>
    <w:rsid w:val="000A3BB7"/>
    <w:rsid w:val="000A4187"/>
    <w:rsid w:val="000A418B"/>
    <w:rsid w:val="000A46FC"/>
    <w:rsid w:val="000A4955"/>
    <w:rsid w:val="000A4C9A"/>
    <w:rsid w:val="000A570D"/>
    <w:rsid w:val="000A59CC"/>
    <w:rsid w:val="000A5D40"/>
    <w:rsid w:val="000A6103"/>
    <w:rsid w:val="000A636F"/>
    <w:rsid w:val="000A647F"/>
    <w:rsid w:val="000A64C7"/>
    <w:rsid w:val="000A6654"/>
    <w:rsid w:val="000A6C92"/>
    <w:rsid w:val="000A7C8A"/>
    <w:rsid w:val="000A7F23"/>
    <w:rsid w:val="000B060D"/>
    <w:rsid w:val="000B0C47"/>
    <w:rsid w:val="000B1170"/>
    <w:rsid w:val="000B1811"/>
    <w:rsid w:val="000B1A6E"/>
    <w:rsid w:val="000B21DD"/>
    <w:rsid w:val="000B2F97"/>
    <w:rsid w:val="000B2FF6"/>
    <w:rsid w:val="000B3004"/>
    <w:rsid w:val="000B3043"/>
    <w:rsid w:val="000B3252"/>
    <w:rsid w:val="000B34FA"/>
    <w:rsid w:val="000B3688"/>
    <w:rsid w:val="000B36FE"/>
    <w:rsid w:val="000B372D"/>
    <w:rsid w:val="000B38D3"/>
    <w:rsid w:val="000B47CF"/>
    <w:rsid w:val="000B4A8E"/>
    <w:rsid w:val="000B5120"/>
    <w:rsid w:val="000B588A"/>
    <w:rsid w:val="000B5B24"/>
    <w:rsid w:val="000B5B51"/>
    <w:rsid w:val="000B5D32"/>
    <w:rsid w:val="000B624B"/>
    <w:rsid w:val="000B6487"/>
    <w:rsid w:val="000B6824"/>
    <w:rsid w:val="000B6DBE"/>
    <w:rsid w:val="000B7528"/>
    <w:rsid w:val="000B771A"/>
    <w:rsid w:val="000B7A91"/>
    <w:rsid w:val="000B7F45"/>
    <w:rsid w:val="000C0114"/>
    <w:rsid w:val="000C0211"/>
    <w:rsid w:val="000C040A"/>
    <w:rsid w:val="000C0497"/>
    <w:rsid w:val="000C0C31"/>
    <w:rsid w:val="000C0E21"/>
    <w:rsid w:val="000C11B0"/>
    <w:rsid w:val="000C147A"/>
    <w:rsid w:val="000C158C"/>
    <w:rsid w:val="000C15DB"/>
    <w:rsid w:val="000C1963"/>
    <w:rsid w:val="000C1A94"/>
    <w:rsid w:val="000C1BA1"/>
    <w:rsid w:val="000C1DF3"/>
    <w:rsid w:val="000C219D"/>
    <w:rsid w:val="000C22B0"/>
    <w:rsid w:val="000C2786"/>
    <w:rsid w:val="000C294C"/>
    <w:rsid w:val="000C2E72"/>
    <w:rsid w:val="000C2FFA"/>
    <w:rsid w:val="000C307D"/>
    <w:rsid w:val="000C3369"/>
    <w:rsid w:val="000C339F"/>
    <w:rsid w:val="000C3428"/>
    <w:rsid w:val="000C34BA"/>
    <w:rsid w:val="000C3841"/>
    <w:rsid w:val="000C3CAA"/>
    <w:rsid w:val="000C3F2C"/>
    <w:rsid w:val="000C3FC1"/>
    <w:rsid w:val="000C45E3"/>
    <w:rsid w:val="000C4805"/>
    <w:rsid w:val="000C494F"/>
    <w:rsid w:val="000C4B6C"/>
    <w:rsid w:val="000C5084"/>
    <w:rsid w:val="000C545B"/>
    <w:rsid w:val="000C56B4"/>
    <w:rsid w:val="000C586F"/>
    <w:rsid w:val="000C595D"/>
    <w:rsid w:val="000C5A78"/>
    <w:rsid w:val="000C5B48"/>
    <w:rsid w:val="000C661A"/>
    <w:rsid w:val="000C77A9"/>
    <w:rsid w:val="000D04DB"/>
    <w:rsid w:val="000D0D8B"/>
    <w:rsid w:val="000D1292"/>
    <w:rsid w:val="000D14F1"/>
    <w:rsid w:val="000D1785"/>
    <w:rsid w:val="000D17E0"/>
    <w:rsid w:val="000D1C61"/>
    <w:rsid w:val="000D20F2"/>
    <w:rsid w:val="000D2AFE"/>
    <w:rsid w:val="000D2BC3"/>
    <w:rsid w:val="000D2D84"/>
    <w:rsid w:val="000D3190"/>
    <w:rsid w:val="000D3239"/>
    <w:rsid w:val="000D3BC0"/>
    <w:rsid w:val="000D3DA7"/>
    <w:rsid w:val="000D3ECA"/>
    <w:rsid w:val="000D400D"/>
    <w:rsid w:val="000D418F"/>
    <w:rsid w:val="000D420F"/>
    <w:rsid w:val="000D4551"/>
    <w:rsid w:val="000D53FC"/>
    <w:rsid w:val="000D5520"/>
    <w:rsid w:val="000D56CE"/>
    <w:rsid w:val="000D5763"/>
    <w:rsid w:val="000D5D71"/>
    <w:rsid w:val="000D5EFB"/>
    <w:rsid w:val="000D6416"/>
    <w:rsid w:val="000D66F5"/>
    <w:rsid w:val="000D7005"/>
    <w:rsid w:val="000D7661"/>
    <w:rsid w:val="000D79EB"/>
    <w:rsid w:val="000D7E0C"/>
    <w:rsid w:val="000D7E79"/>
    <w:rsid w:val="000D7F3B"/>
    <w:rsid w:val="000E055E"/>
    <w:rsid w:val="000E08A5"/>
    <w:rsid w:val="000E0C55"/>
    <w:rsid w:val="000E1259"/>
    <w:rsid w:val="000E12D5"/>
    <w:rsid w:val="000E1594"/>
    <w:rsid w:val="000E15F8"/>
    <w:rsid w:val="000E18FB"/>
    <w:rsid w:val="000E1E84"/>
    <w:rsid w:val="000E2097"/>
    <w:rsid w:val="000E21D8"/>
    <w:rsid w:val="000E2360"/>
    <w:rsid w:val="000E2C73"/>
    <w:rsid w:val="000E2C8F"/>
    <w:rsid w:val="000E2CCD"/>
    <w:rsid w:val="000E2CD7"/>
    <w:rsid w:val="000E2EA3"/>
    <w:rsid w:val="000E31F7"/>
    <w:rsid w:val="000E3B38"/>
    <w:rsid w:val="000E3BFC"/>
    <w:rsid w:val="000E4B3E"/>
    <w:rsid w:val="000E4C15"/>
    <w:rsid w:val="000E539F"/>
    <w:rsid w:val="000E5563"/>
    <w:rsid w:val="000E5739"/>
    <w:rsid w:val="000E58C5"/>
    <w:rsid w:val="000E5D90"/>
    <w:rsid w:val="000E6793"/>
    <w:rsid w:val="000E6CF9"/>
    <w:rsid w:val="000E7005"/>
    <w:rsid w:val="000E72B8"/>
    <w:rsid w:val="000E73BD"/>
    <w:rsid w:val="000E76F0"/>
    <w:rsid w:val="000F0297"/>
    <w:rsid w:val="000F069C"/>
    <w:rsid w:val="000F0A1A"/>
    <w:rsid w:val="000F0B27"/>
    <w:rsid w:val="000F0D4C"/>
    <w:rsid w:val="000F0D73"/>
    <w:rsid w:val="000F0DFC"/>
    <w:rsid w:val="000F0E95"/>
    <w:rsid w:val="000F14EE"/>
    <w:rsid w:val="000F18F2"/>
    <w:rsid w:val="000F1D4F"/>
    <w:rsid w:val="000F26BE"/>
    <w:rsid w:val="000F2E82"/>
    <w:rsid w:val="000F305F"/>
    <w:rsid w:val="000F3A4F"/>
    <w:rsid w:val="000F3D50"/>
    <w:rsid w:val="000F4952"/>
    <w:rsid w:val="000F56C3"/>
    <w:rsid w:val="000F5D35"/>
    <w:rsid w:val="000F5DDE"/>
    <w:rsid w:val="000F67B1"/>
    <w:rsid w:val="000F69EF"/>
    <w:rsid w:val="000F6F0D"/>
    <w:rsid w:val="000F71CE"/>
    <w:rsid w:val="000F7390"/>
    <w:rsid w:val="000F7D67"/>
    <w:rsid w:val="001000EA"/>
    <w:rsid w:val="00100A53"/>
    <w:rsid w:val="00100B0B"/>
    <w:rsid w:val="001025E7"/>
    <w:rsid w:val="0010275F"/>
    <w:rsid w:val="001029B4"/>
    <w:rsid w:val="0010316E"/>
    <w:rsid w:val="001033CF"/>
    <w:rsid w:val="001038BB"/>
    <w:rsid w:val="00103D55"/>
    <w:rsid w:val="00103E13"/>
    <w:rsid w:val="00103F76"/>
    <w:rsid w:val="00104326"/>
    <w:rsid w:val="0010469E"/>
    <w:rsid w:val="001049E3"/>
    <w:rsid w:val="00104A50"/>
    <w:rsid w:val="00104C50"/>
    <w:rsid w:val="00105880"/>
    <w:rsid w:val="001059F0"/>
    <w:rsid w:val="001060A3"/>
    <w:rsid w:val="00106615"/>
    <w:rsid w:val="001067CF"/>
    <w:rsid w:val="00107038"/>
    <w:rsid w:val="00107219"/>
    <w:rsid w:val="00107405"/>
    <w:rsid w:val="001074AC"/>
    <w:rsid w:val="00107D47"/>
    <w:rsid w:val="001101E1"/>
    <w:rsid w:val="00110379"/>
    <w:rsid w:val="001103CF"/>
    <w:rsid w:val="00110471"/>
    <w:rsid w:val="001108E0"/>
    <w:rsid w:val="00111F4C"/>
    <w:rsid w:val="001122F9"/>
    <w:rsid w:val="00112358"/>
    <w:rsid w:val="0011254F"/>
    <w:rsid w:val="00112561"/>
    <w:rsid w:val="0011268F"/>
    <w:rsid w:val="001129E8"/>
    <w:rsid w:val="00112BA9"/>
    <w:rsid w:val="0011385A"/>
    <w:rsid w:val="00113C3D"/>
    <w:rsid w:val="00113C76"/>
    <w:rsid w:val="00114588"/>
    <w:rsid w:val="001149B9"/>
    <w:rsid w:val="00114A58"/>
    <w:rsid w:val="00114D12"/>
    <w:rsid w:val="00115257"/>
    <w:rsid w:val="00115629"/>
    <w:rsid w:val="001158B6"/>
    <w:rsid w:val="00115966"/>
    <w:rsid w:val="00115B67"/>
    <w:rsid w:val="00115C32"/>
    <w:rsid w:val="0011605A"/>
    <w:rsid w:val="00116222"/>
    <w:rsid w:val="001165DD"/>
    <w:rsid w:val="001171CB"/>
    <w:rsid w:val="00117210"/>
    <w:rsid w:val="0011744C"/>
    <w:rsid w:val="001178A1"/>
    <w:rsid w:val="00117AF4"/>
    <w:rsid w:val="00120070"/>
    <w:rsid w:val="0012010D"/>
    <w:rsid w:val="00120A89"/>
    <w:rsid w:val="00120F0F"/>
    <w:rsid w:val="00120FAC"/>
    <w:rsid w:val="00121311"/>
    <w:rsid w:val="0012186B"/>
    <w:rsid w:val="00121A8E"/>
    <w:rsid w:val="00121BF6"/>
    <w:rsid w:val="00122A1C"/>
    <w:rsid w:val="00122AB8"/>
    <w:rsid w:val="00123810"/>
    <w:rsid w:val="00123872"/>
    <w:rsid w:val="00123C91"/>
    <w:rsid w:val="001242F1"/>
    <w:rsid w:val="00124585"/>
    <w:rsid w:val="00124CFC"/>
    <w:rsid w:val="00124D80"/>
    <w:rsid w:val="00125074"/>
    <w:rsid w:val="00125CB8"/>
    <w:rsid w:val="001261A9"/>
    <w:rsid w:val="001267DB"/>
    <w:rsid w:val="001275A6"/>
    <w:rsid w:val="001276FB"/>
    <w:rsid w:val="00127B37"/>
    <w:rsid w:val="00130019"/>
    <w:rsid w:val="001302D0"/>
    <w:rsid w:val="00130C57"/>
    <w:rsid w:val="00130D30"/>
    <w:rsid w:val="00131290"/>
    <w:rsid w:val="0013141F"/>
    <w:rsid w:val="00131431"/>
    <w:rsid w:val="001317A0"/>
    <w:rsid w:val="001317E4"/>
    <w:rsid w:val="00131CB1"/>
    <w:rsid w:val="00131D1A"/>
    <w:rsid w:val="00132052"/>
    <w:rsid w:val="0013211B"/>
    <w:rsid w:val="0013270B"/>
    <w:rsid w:val="001329B7"/>
    <w:rsid w:val="001329EA"/>
    <w:rsid w:val="00132A3A"/>
    <w:rsid w:val="00132DAB"/>
    <w:rsid w:val="00132FA5"/>
    <w:rsid w:val="001334F9"/>
    <w:rsid w:val="001335DA"/>
    <w:rsid w:val="001337E6"/>
    <w:rsid w:val="00133B4C"/>
    <w:rsid w:val="00133D7F"/>
    <w:rsid w:val="00133E15"/>
    <w:rsid w:val="00134057"/>
    <w:rsid w:val="0013455E"/>
    <w:rsid w:val="001345C4"/>
    <w:rsid w:val="00134DF5"/>
    <w:rsid w:val="00134E9B"/>
    <w:rsid w:val="00134ECB"/>
    <w:rsid w:val="00134F08"/>
    <w:rsid w:val="00134F98"/>
    <w:rsid w:val="001356BD"/>
    <w:rsid w:val="001357A1"/>
    <w:rsid w:val="0013580B"/>
    <w:rsid w:val="0013587F"/>
    <w:rsid w:val="00135E47"/>
    <w:rsid w:val="001360BD"/>
    <w:rsid w:val="001362A6"/>
    <w:rsid w:val="0013630E"/>
    <w:rsid w:val="00136B1E"/>
    <w:rsid w:val="00136B3F"/>
    <w:rsid w:val="00136D64"/>
    <w:rsid w:val="00136DF8"/>
    <w:rsid w:val="0013745F"/>
    <w:rsid w:val="00137472"/>
    <w:rsid w:val="001374F4"/>
    <w:rsid w:val="001377FA"/>
    <w:rsid w:val="00137894"/>
    <w:rsid w:val="00137CB8"/>
    <w:rsid w:val="00140035"/>
    <w:rsid w:val="00140465"/>
    <w:rsid w:val="00140E09"/>
    <w:rsid w:val="0014101A"/>
    <w:rsid w:val="00141116"/>
    <w:rsid w:val="0014142D"/>
    <w:rsid w:val="0014148A"/>
    <w:rsid w:val="00141FEB"/>
    <w:rsid w:val="00142347"/>
    <w:rsid w:val="00142693"/>
    <w:rsid w:val="001426D3"/>
    <w:rsid w:val="00142EED"/>
    <w:rsid w:val="00143382"/>
    <w:rsid w:val="00143743"/>
    <w:rsid w:val="001437D5"/>
    <w:rsid w:val="0014392F"/>
    <w:rsid w:val="00143E66"/>
    <w:rsid w:val="00143EB0"/>
    <w:rsid w:val="00143FEE"/>
    <w:rsid w:val="00144240"/>
    <w:rsid w:val="0014495D"/>
    <w:rsid w:val="00144CCA"/>
    <w:rsid w:val="00145D66"/>
    <w:rsid w:val="00146059"/>
    <w:rsid w:val="00146A19"/>
    <w:rsid w:val="00146F0E"/>
    <w:rsid w:val="00146FF4"/>
    <w:rsid w:val="001476A2"/>
    <w:rsid w:val="0014776D"/>
    <w:rsid w:val="00147845"/>
    <w:rsid w:val="00147FC1"/>
    <w:rsid w:val="001500C8"/>
    <w:rsid w:val="001502B0"/>
    <w:rsid w:val="00150357"/>
    <w:rsid w:val="00150381"/>
    <w:rsid w:val="0015080E"/>
    <w:rsid w:val="0015100D"/>
    <w:rsid w:val="001511D3"/>
    <w:rsid w:val="0015153E"/>
    <w:rsid w:val="00151705"/>
    <w:rsid w:val="00151C88"/>
    <w:rsid w:val="00151D35"/>
    <w:rsid w:val="00152387"/>
    <w:rsid w:val="00152A0C"/>
    <w:rsid w:val="00153424"/>
    <w:rsid w:val="0015377C"/>
    <w:rsid w:val="0015395A"/>
    <w:rsid w:val="00153ABE"/>
    <w:rsid w:val="00153C15"/>
    <w:rsid w:val="00153EE1"/>
    <w:rsid w:val="00153FD3"/>
    <w:rsid w:val="0015402E"/>
    <w:rsid w:val="00154487"/>
    <w:rsid w:val="00154524"/>
    <w:rsid w:val="001546E8"/>
    <w:rsid w:val="00154828"/>
    <w:rsid w:val="0015484C"/>
    <w:rsid w:val="00155698"/>
    <w:rsid w:val="00155809"/>
    <w:rsid w:val="00155BC9"/>
    <w:rsid w:val="00155C11"/>
    <w:rsid w:val="001568EE"/>
    <w:rsid w:val="00157509"/>
    <w:rsid w:val="0015782B"/>
    <w:rsid w:val="00157D22"/>
    <w:rsid w:val="00157F62"/>
    <w:rsid w:val="001600EB"/>
    <w:rsid w:val="00160327"/>
    <w:rsid w:val="00160423"/>
    <w:rsid w:val="00160AB7"/>
    <w:rsid w:val="0016107D"/>
    <w:rsid w:val="00161177"/>
    <w:rsid w:val="00161841"/>
    <w:rsid w:val="00161B25"/>
    <w:rsid w:val="00161C25"/>
    <w:rsid w:val="00161CC6"/>
    <w:rsid w:val="00161CD7"/>
    <w:rsid w:val="001628AD"/>
    <w:rsid w:val="0016312E"/>
    <w:rsid w:val="00163182"/>
    <w:rsid w:val="0016341E"/>
    <w:rsid w:val="001634CE"/>
    <w:rsid w:val="00163694"/>
    <w:rsid w:val="00163826"/>
    <w:rsid w:val="00163ABE"/>
    <w:rsid w:val="0016414D"/>
    <w:rsid w:val="00164303"/>
    <w:rsid w:val="00164617"/>
    <w:rsid w:val="00164D3D"/>
    <w:rsid w:val="00164EA4"/>
    <w:rsid w:val="001654A9"/>
    <w:rsid w:val="001656ED"/>
    <w:rsid w:val="00165A05"/>
    <w:rsid w:val="00165E5D"/>
    <w:rsid w:val="00166263"/>
    <w:rsid w:val="00166279"/>
    <w:rsid w:val="00166297"/>
    <w:rsid w:val="001663D5"/>
    <w:rsid w:val="0016683E"/>
    <w:rsid w:val="00166EDA"/>
    <w:rsid w:val="00166F24"/>
    <w:rsid w:val="00167277"/>
    <w:rsid w:val="0016782D"/>
    <w:rsid w:val="00167AC7"/>
    <w:rsid w:val="0017025D"/>
    <w:rsid w:val="00170573"/>
    <w:rsid w:val="001707C4"/>
    <w:rsid w:val="001711A9"/>
    <w:rsid w:val="001712DE"/>
    <w:rsid w:val="00171570"/>
    <w:rsid w:val="0017186C"/>
    <w:rsid w:val="00171AD7"/>
    <w:rsid w:val="00171B2D"/>
    <w:rsid w:val="00171BE6"/>
    <w:rsid w:val="00171DC1"/>
    <w:rsid w:val="00171E1D"/>
    <w:rsid w:val="00171EF7"/>
    <w:rsid w:val="00172CC2"/>
    <w:rsid w:val="00172EAB"/>
    <w:rsid w:val="00172EDD"/>
    <w:rsid w:val="00173940"/>
    <w:rsid w:val="00173B32"/>
    <w:rsid w:val="00174067"/>
    <w:rsid w:val="0017449B"/>
    <w:rsid w:val="00174944"/>
    <w:rsid w:val="00175139"/>
    <w:rsid w:val="00175BA1"/>
    <w:rsid w:val="00176067"/>
    <w:rsid w:val="00176100"/>
    <w:rsid w:val="00176645"/>
    <w:rsid w:val="001766A8"/>
    <w:rsid w:val="0017687A"/>
    <w:rsid w:val="00176E59"/>
    <w:rsid w:val="001772D4"/>
    <w:rsid w:val="001772F0"/>
    <w:rsid w:val="0017743E"/>
    <w:rsid w:val="001774BD"/>
    <w:rsid w:val="00177845"/>
    <w:rsid w:val="00177965"/>
    <w:rsid w:val="00177D01"/>
    <w:rsid w:val="00180261"/>
    <w:rsid w:val="0018063A"/>
    <w:rsid w:val="001806A2"/>
    <w:rsid w:val="001807A5"/>
    <w:rsid w:val="00180A1D"/>
    <w:rsid w:val="001810C8"/>
    <w:rsid w:val="001812AE"/>
    <w:rsid w:val="00181612"/>
    <w:rsid w:val="001820AF"/>
    <w:rsid w:val="0018238C"/>
    <w:rsid w:val="001828A4"/>
    <w:rsid w:val="00182B3C"/>
    <w:rsid w:val="00182E45"/>
    <w:rsid w:val="00182E99"/>
    <w:rsid w:val="001839B0"/>
    <w:rsid w:val="00183DEE"/>
    <w:rsid w:val="0018419E"/>
    <w:rsid w:val="001849E7"/>
    <w:rsid w:val="00184DA1"/>
    <w:rsid w:val="00184E8A"/>
    <w:rsid w:val="0018519A"/>
    <w:rsid w:val="00185571"/>
    <w:rsid w:val="00185989"/>
    <w:rsid w:val="00186C46"/>
    <w:rsid w:val="00186EE5"/>
    <w:rsid w:val="0019025F"/>
    <w:rsid w:val="00190272"/>
    <w:rsid w:val="00190B36"/>
    <w:rsid w:val="00190B9C"/>
    <w:rsid w:val="00190D52"/>
    <w:rsid w:val="00190E20"/>
    <w:rsid w:val="0019138B"/>
    <w:rsid w:val="001917DA"/>
    <w:rsid w:val="001919D3"/>
    <w:rsid w:val="00191E1A"/>
    <w:rsid w:val="00191E84"/>
    <w:rsid w:val="00192157"/>
    <w:rsid w:val="001925E9"/>
    <w:rsid w:val="00192900"/>
    <w:rsid w:val="00192D91"/>
    <w:rsid w:val="00192F48"/>
    <w:rsid w:val="0019395E"/>
    <w:rsid w:val="00193C35"/>
    <w:rsid w:val="00194255"/>
    <w:rsid w:val="0019441C"/>
    <w:rsid w:val="001950D9"/>
    <w:rsid w:val="00195379"/>
    <w:rsid w:val="00195430"/>
    <w:rsid w:val="00195A6E"/>
    <w:rsid w:val="00196144"/>
    <w:rsid w:val="00196284"/>
    <w:rsid w:val="00196644"/>
    <w:rsid w:val="00196994"/>
    <w:rsid w:val="001971B1"/>
    <w:rsid w:val="001971EA"/>
    <w:rsid w:val="001976B3"/>
    <w:rsid w:val="00197975"/>
    <w:rsid w:val="001A0090"/>
    <w:rsid w:val="001A0295"/>
    <w:rsid w:val="001A06F5"/>
    <w:rsid w:val="001A0765"/>
    <w:rsid w:val="001A093C"/>
    <w:rsid w:val="001A0DC8"/>
    <w:rsid w:val="001A0F43"/>
    <w:rsid w:val="001A110B"/>
    <w:rsid w:val="001A118B"/>
    <w:rsid w:val="001A14F5"/>
    <w:rsid w:val="001A1777"/>
    <w:rsid w:val="001A1A8A"/>
    <w:rsid w:val="001A1EF5"/>
    <w:rsid w:val="001A2649"/>
    <w:rsid w:val="001A2B45"/>
    <w:rsid w:val="001A2C5C"/>
    <w:rsid w:val="001A307D"/>
    <w:rsid w:val="001A3986"/>
    <w:rsid w:val="001A3E19"/>
    <w:rsid w:val="001A4242"/>
    <w:rsid w:val="001A4389"/>
    <w:rsid w:val="001A48FD"/>
    <w:rsid w:val="001A63A3"/>
    <w:rsid w:val="001A6A97"/>
    <w:rsid w:val="001A6DEF"/>
    <w:rsid w:val="001A7A6A"/>
    <w:rsid w:val="001A7A87"/>
    <w:rsid w:val="001A7FE7"/>
    <w:rsid w:val="001B049D"/>
    <w:rsid w:val="001B04E4"/>
    <w:rsid w:val="001B0553"/>
    <w:rsid w:val="001B0636"/>
    <w:rsid w:val="001B07B0"/>
    <w:rsid w:val="001B0E41"/>
    <w:rsid w:val="001B1577"/>
    <w:rsid w:val="001B15BA"/>
    <w:rsid w:val="001B16C3"/>
    <w:rsid w:val="001B16C6"/>
    <w:rsid w:val="001B1838"/>
    <w:rsid w:val="001B1C15"/>
    <w:rsid w:val="001B1C67"/>
    <w:rsid w:val="001B1D5D"/>
    <w:rsid w:val="001B2234"/>
    <w:rsid w:val="001B22B4"/>
    <w:rsid w:val="001B2C7D"/>
    <w:rsid w:val="001B322D"/>
    <w:rsid w:val="001B33F0"/>
    <w:rsid w:val="001B344B"/>
    <w:rsid w:val="001B3984"/>
    <w:rsid w:val="001B3C3B"/>
    <w:rsid w:val="001B3E1C"/>
    <w:rsid w:val="001B3FE9"/>
    <w:rsid w:val="001B46AE"/>
    <w:rsid w:val="001B5009"/>
    <w:rsid w:val="001B54F0"/>
    <w:rsid w:val="001B5950"/>
    <w:rsid w:val="001B5DCE"/>
    <w:rsid w:val="001B61CA"/>
    <w:rsid w:val="001B653E"/>
    <w:rsid w:val="001B6AAD"/>
    <w:rsid w:val="001B6EB1"/>
    <w:rsid w:val="001B71B5"/>
    <w:rsid w:val="001B76C4"/>
    <w:rsid w:val="001B77E9"/>
    <w:rsid w:val="001B77FC"/>
    <w:rsid w:val="001B78E2"/>
    <w:rsid w:val="001B7BF2"/>
    <w:rsid w:val="001B7EED"/>
    <w:rsid w:val="001C00A8"/>
    <w:rsid w:val="001C0289"/>
    <w:rsid w:val="001C0B71"/>
    <w:rsid w:val="001C11E4"/>
    <w:rsid w:val="001C181C"/>
    <w:rsid w:val="001C1C01"/>
    <w:rsid w:val="001C1E19"/>
    <w:rsid w:val="001C246E"/>
    <w:rsid w:val="001C27AF"/>
    <w:rsid w:val="001C3033"/>
    <w:rsid w:val="001C30BA"/>
    <w:rsid w:val="001C3403"/>
    <w:rsid w:val="001C342C"/>
    <w:rsid w:val="001C3A40"/>
    <w:rsid w:val="001C3AAA"/>
    <w:rsid w:val="001C3D80"/>
    <w:rsid w:val="001C3FED"/>
    <w:rsid w:val="001C4100"/>
    <w:rsid w:val="001C41DA"/>
    <w:rsid w:val="001C43B3"/>
    <w:rsid w:val="001C457D"/>
    <w:rsid w:val="001C4834"/>
    <w:rsid w:val="001C4C95"/>
    <w:rsid w:val="001C4FF2"/>
    <w:rsid w:val="001C56EB"/>
    <w:rsid w:val="001C5905"/>
    <w:rsid w:val="001C5BA6"/>
    <w:rsid w:val="001C5EAD"/>
    <w:rsid w:val="001C5F74"/>
    <w:rsid w:val="001C5FC4"/>
    <w:rsid w:val="001C68B6"/>
    <w:rsid w:val="001C69C7"/>
    <w:rsid w:val="001C7079"/>
    <w:rsid w:val="001C7181"/>
    <w:rsid w:val="001D0229"/>
    <w:rsid w:val="001D028A"/>
    <w:rsid w:val="001D0868"/>
    <w:rsid w:val="001D1636"/>
    <w:rsid w:val="001D181F"/>
    <w:rsid w:val="001D1A42"/>
    <w:rsid w:val="001D2755"/>
    <w:rsid w:val="001D2F4D"/>
    <w:rsid w:val="001D30A0"/>
    <w:rsid w:val="001D3816"/>
    <w:rsid w:val="001D39E8"/>
    <w:rsid w:val="001D3B1F"/>
    <w:rsid w:val="001D3ECA"/>
    <w:rsid w:val="001D4075"/>
    <w:rsid w:val="001D4E5E"/>
    <w:rsid w:val="001D548F"/>
    <w:rsid w:val="001D5714"/>
    <w:rsid w:val="001D600F"/>
    <w:rsid w:val="001D6032"/>
    <w:rsid w:val="001D604E"/>
    <w:rsid w:val="001D6843"/>
    <w:rsid w:val="001D7299"/>
    <w:rsid w:val="001D7641"/>
    <w:rsid w:val="001D79BC"/>
    <w:rsid w:val="001E0221"/>
    <w:rsid w:val="001E0711"/>
    <w:rsid w:val="001E092F"/>
    <w:rsid w:val="001E0947"/>
    <w:rsid w:val="001E095D"/>
    <w:rsid w:val="001E152C"/>
    <w:rsid w:val="001E17F9"/>
    <w:rsid w:val="001E1ABD"/>
    <w:rsid w:val="001E24EA"/>
    <w:rsid w:val="001E25FF"/>
    <w:rsid w:val="001E267D"/>
    <w:rsid w:val="001E2A5D"/>
    <w:rsid w:val="001E2CF5"/>
    <w:rsid w:val="001E35D6"/>
    <w:rsid w:val="001E389C"/>
    <w:rsid w:val="001E3B0A"/>
    <w:rsid w:val="001E3ED8"/>
    <w:rsid w:val="001E411C"/>
    <w:rsid w:val="001E4950"/>
    <w:rsid w:val="001E5979"/>
    <w:rsid w:val="001E5C38"/>
    <w:rsid w:val="001E605F"/>
    <w:rsid w:val="001E6EC5"/>
    <w:rsid w:val="001E70C9"/>
    <w:rsid w:val="001E776D"/>
    <w:rsid w:val="001E777A"/>
    <w:rsid w:val="001E77D9"/>
    <w:rsid w:val="001E79E9"/>
    <w:rsid w:val="001E7D4E"/>
    <w:rsid w:val="001E7D86"/>
    <w:rsid w:val="001F09CF"/>
    <w:rsid w:val="001F0D67"/>
    <w:rsid w:val="001F1A00"/>
    <w:rsid w:val="001F1A90"/>
    <w:rsid w:val="001F1B8A"/>
    <w:rsid w:val="001F1C06"/>
    <w:rsid w:val="001F2058"/>
    <w:rsid w:val="001F23BC"/>
    <w:rsid w:val="001F265C"/>
    <w:rsid w:val="001F29C8"/>
    <w:rsid w:val="001F2E04"/>
    <w:rsid w:val="001F2FC5"/>
    <w:rsid w:val="001F3167"/>
    <w:rsid w:val="001F3474"/>
    <w:rsid w:val="001F391D"/>
    <w:rsid w:val="001F49C4"/>
    <w:rsid w:val="001F524C"/>
    <w:rsid w:val="001F5561"/>
    <w:rsid w:val="001F5939"/>
    <w:rsid w:val="001F5B96"/>
    <w:rsid w:val="001F659C"/>
    <w:rsid w:val="001F67F2"/>
    <w:rsid w:val="001F6895"/>
    <w:rsid w:val="001F6A3C"/>
    <w:rsid w:val="001F6DCB"/>
    <w:rsid w:val="001F7055"/>
    <w:rsid w:val="001F716B"/>
    <w:rsid w:val="001F7437"/>
    <w:rsid w:val="001F7B95"/>
    <w:rsid w:val="001F7C75"/>
    <w:rsid w:val="001F7E44"/>
    <w:rsid w:val="001F7FE1"/>
    <w:rsid w:val="0020062A"/>
    <w:rsid w:val="00200673"/>
    <w:rsid w:val="002010D3"/>
    <w:rsid w:val="00201311"/>
    <w:rsid w:val="002017E3"/>
    <w:rsid w:val="00201885"/>
    <w:rsid w:val="00201CF2"/>
    <w:rsid w:val="002024B2"/>
    <w:rsid w:val="002028FF"/>
    <w:rsid w:val="0020322B"/>
    <w:rsid w:val="002032C8"/>
    <w:rsid w:val="00203A75"/>
    <w:rsid w:val="00203BD7"/>
    <w:rsid w:val="0020401B"/>
    <w:rsid w:val="0020409B"/>
    <w:rsid w:val="00204875"/>
    <w:rsid w:val="00204F68"/>
    <w:rsid w:val="00205337"/>
    <w:rsid w:val="00205C7C"/>
    <w:rsid w:val="002060A5"/>
    <w:rsid w:val="0020622C"/>
    <w:rsid w:val="002065A8"/>
    <w:rsid w:val="00206636"/>
    <w:rsid w:val="002068F5"/>
    <w:rsid w:val="002070E4"/>
    <w:rsid w:val="002070E6"/>
    <w:rsid w:val="002071F1"/>
    <w:rsid w:val="0020721C"/>
    <w:rsid w:val="002072C3"/>
    <w:rsid w:val="002077A1"/>
    <w:rsid w:val="00207813"/>
    <w:rsid w:val="0020790A"/>
    <w:rsid w:val="00207C47"/>
    <w:rsid w:val="00207E86"/>
    <w:rsid w:val="00210594"/>
    <w:rsid w:val="00210CDB"/>
    <w:rsid w:val="00210F65"/>
    <w:rsid w:val="002110F2"/>
    <w:rsid w:val="002114F0"/>
    <w:rsid w:val="0021180D"/>
    <w:rsid w:val="00211DD3"/>
    <w:rsid w:val="002122A5"/>
    <w:rsid w:val="00212697"/>
    <w:rsid w:val="00212939"/>
    <w:rsid w:val="002129AB"/>
    <w:rsid w:val="00212B8B"/>
    <w:rsid w:val="00212BEC"/>
    <w:rsid w:val="00213388"/>
    <w:rsid w:val="002133B8"/>
    <w:rsid w:val="0021371C"/>
    <w:rsid w:val="002139E7"/>
    <w:rsid w:val="00213C4D"/>
    <w:rsid w:val="00213C5E"/>
    <w:rsid w:val="00213F04"/>
    <w:rsid w:val="002144A1"/>
    <w:rsid w:val="002147A6"/>
    <w:rsid w:val="00214D4B"/>
    <w:rsid w:val="00214DAE"/>
    <w:rsid w:val="00215739"/>
    <w:rsid w:val="002157B5"/>
    <w:rsid w:val="0021638C"/>
    <w:rsid w:val="00216869"/>
    <w:rsid w:val="00216C6E"/>
    <w:rsid w:val="0021720D"/>
    <w:rsid w:val="002175EB"/>
    <w:rsid w:val="00217D17"/>
    <w:rsid w:val="00217F0B"/>
    <w:rsid w:val="0022016A"/>
    <w:rsid w:val="00220CFF"/>
    <w:rsid w:val="00220F03"/>
    <w:rsid w:val="00221057"/>
    <w:rsid w:val="002212CB"/>
    <w:rsid w:val="002213D8"/>
    <w:rsid w:val="00221B4C"/>
    <w:rsid w:val="00222077"/>
    <w:rsid w:val="00222348"/>
    <w:rsid w:val="002226A9"/>
    <w:rsid w:val="0022277E"/>
    <w:rsid w:val="00223034"/>
    <w:rsid w:val="0022322D"/>
    <w:rsid w:val="002234F2"/>
    <w:rsid w:val="00223614"/>
    <w:rsid w:val="002238E6"/>
    <w:rsid w:val="00223A10"/>
    <w:rsid w:val="00223D63"/>
    <w:rsid w:val="00225534"/>
    <w:rsid w:val="00225597"/>
    <w:rsid w:val="00225CB8"/>
    <w:rsid w:val="00226AA6"/>
    <w:rsid w:val="00226E88"/>
    <w:rsid w:val="00226F8B"/>
    <w:rsid w:val="0022715D"/>
    <w:rsid w:val="0023053A"/>
    <w:rsid w:val="00230AF7"/>
    <w:rsid w:val="00230B76"/>
    <w:rsid w:val="00230BA9"/>
    <w:rsid w:val="00231068"/>
    <w:rsid w:val="00231F8F"/>
    <w:rsid w:val="00231FCB"/>
    <w:rsid w:val="00232552"/>
    <w:rsid w:val="0023358A"/>
    <w:rsid w:val="0023444B"/>
    <w:rsid w:val="00234DBA"/>
    <w:rsid w:val="00234F6C"/>
    <w:rsid w:val="00234FCD"/>
    <w:rsid w:val="00234FD9"/>
    <w:rsid w:val="0023596F"/>
    <w:rsid w:val="00235BAB"/>
    <w:rsid w:val="00235FB4"/>
    <w:rsid w:val="00236374"/>
    <w:rsid w:val="00236F49"/>
    <w:rsid w:val="002371B1"/>
    <w:rsid w:val="002379E2"/>
    <w:rsid w:val="00237E07"/>
    <w:rsid w:val="00237F8D"/>
    <w:rsid w:val="002400A1"/>
    <w:rsid w:val="00240222"/>
    <w:rsid w:val="00240568"/>
    <w:rsid w:val="002410B4"/>
    <w:rsid w:val="002410D8"/>
    <w:rsid w:val="002411C9"/>
    <w:rsid w:val="002418BB"/>
    <w:rsid w:val="00241AD9"/>
    <w:rsid w:val="0024218B"/>
    <w:rsid w:val="002425FE"/>
    <w:rsid w:val="00242CD9"/>
    <w:rsid w:val="002433D7"/>
    <w:rsid w:val="0024349D"/>
    <w:rsid w:val="00243967"/>
    <w:rsid w:val="00244034"/>
    <w:rsid w:val="002440F8"/>
    <w:rsid w:val="002441C4"/>
    <w:rsid w:val="0024424C"/>
    <w:rsid w:val="002444C2"/>
    <w:rsid w:val="00244BE9"/>
    <w:rsid w:val="0024523D"/>
    <w:rsid w:val="0024530D"/>
    <w:rsid w:val="00245393"/>
    <w:rsid w:val="0024566E"/>
    <w:rsid w:val="00245729"/>
    <w:rsid w:val="00245A74"/>
    <w:rsid w:val="00246A8F"/>
    <w:rsid w:val="00247085"/>
    <w:rsid w:val="0024723D"/>
    <w:rsid w:val="0024727D"/>
    <w:rsid w:val="0024736F"/>
    <w:rsid w:val="002475AF"/>
    <w:rsid w:val="00247783"/>
    <w:rsid w:val="00247EAA"/>
    <w:rsid w:val="00250208"/>
    <w:rsid w:val="0025050D"/>
    <w:rsid w:val="00250912"/>
    <w:rsid w:val="00250A5D"/>
    <w:rsid w:val="00250DBA"/>
    <w:rsid w:val="00251087"/>
    <w:rsid w:val="00251294"/>
    <w:rsid w:val="002518F5"/>
    <w:rsid w:val="00251AD5"/>
    <w:rsid w:val="00251E7D"/>
    <w:rsid w:val="00252179"/>
    <w:rsid w:val="002523E5"/>
    <w:rsid w:val="00252CD6"/>
    <w:rsid w:val="00253058"/>
    <w:rsid w:val="00253764"/>
    <w:rsid w:val="0025420C"/>
    <w:rsid w:val="0025423D"/>
    <w:rsid w:val="002548E8"/>
    <w:rsid w:val="00254E89"/>
    <w:rsid w:val="002550D8"/>
    <w:rsid w:val="00255896"/>
    <w:rsid w:val="00256078"/>
    <w:rsid w:val="0025615D"/>
    <w:rsid w:val="002564FB"/>
    <w:rsid w:val="00256907"/>
    <w:rsid w:val="00256AD5"/>
    <w:rsid w:val="00257387"/>
    <w:rsid w:val="00257461"/>
    <w:rsid w:val="002575E2"/>
    <w:rsid w:val="00257615"/>
    <w:rsid w:val="00257660"/>
    <w:rsid w:val="00257EB8"/>
    <w:rsid w:val="0026049B"/>
    <w:rsid w:val="0026071E"/>
    <w:rsid w:val="002607D3"/>
    <w:rsid w:val="00260820"/>
    <w:rsid w:val="002609CC"/>
    <w:rsid w:val="00260EFA"/>
    <w:rsid w:val="00261377"/>
    <w:rsid w:val="00261714"/>
    <w:rsid w:val="00261D8F"/>
    <w:rsid w:val="00261EFF"/>
    <w:rsid w:val="00261FF1"/>
    <w:rsid w:val="00262160"/>
    <w:rsid w:val="002621EA"/>
    <w:rsid w:val="0026262F"/>
    <w:rsid w:val="00262814"/>
    <w:rsid w:val="002629E0"/>
    <w:rsid w:val="00262A95"/>
    <w:rsid w:val="00262E2E"/>
    <w:rsid w:val="00263457"/>
    <w:rsid w:val="00263727"/>
    <w:rsid w:val="00263EF4"/>
    <w:rsid w:val="00264650"/>
    <w:rsid w:val="00264A64"/>
    <w:rsid w:val="00265312"/>
    <w:rsid w:val="00265C87"/>
    <w:rsid w:val="00265D31"/>
    <w:rsid w:val="00265E8F"/>
    <w:rsid w:val="00265FE9"/>
    <w:rsid w:val="00266CB9"/>
    <w:rsid w:val="00266D5F"/>
    <w:rsid w:val="00266F46"/>
    <w:rsid w:val="0026709A"/>
    <w:rsid w:val="0026773E"/>
    <w:rsid w:val="00267F1F"/>
    <w:rsid w:val="0027062D"/>
    <w:rsid w:val="00270AEE"/>
    <w:rsid w:val="00270E18"/>
    <w:rsid w:val="00271BEB"/>
    <w:rsid w:val="0027218C"/>
    <w:rsid w:val="002723FD"/>
    <w:rsid w:val="002728FE"/>
    <w:rsid w:val="00272E01"/>
    <w:rsid w:val="00272F1D"/>
    <w:rsid w:val="00273015"/>
    <w:rsid w:val="0027301B"/>
    <w:rsid w:val="00273042"/>
    <w:rsid w:val="00274171"/>
    <w:rsid w:val="0027463A"/>
    <w:rsid w:val="00274815"/>
    <w:rsid w:val="0027487A"/>
    <w:rsid w:val="00274AB7"/>
    <w:rsid w:val="00274D0D"/>
    <w:rsid w:val="00274D8B"/>
    <w:rsid w:val="00275318"/>
    <w:rsid w:val="00275FB7"/>
    <w:rsid w:val="00276041"/>
    <w:rsid w:val="002764D5"/>
    <w:rsid w:val="0027657E"/>
    <w:rsid w:val="002766B0"/>
    <w:rsid w:val="00277572"/>
    <w:rsid w:val="00277812"/>
    <w:rsid w:val="00277AA7"/>
    <w:rsid w:val="002802A1"/>
    <w:rsid w:val="002803B8"/>
    <w:rsid w:val="002805C4"/>
    <w:rsid w:val="0028078F"/>
    <w:rsid w:val="002808CA"/>
    <w:rsid w:val="00280926"/>
    <w:rsid w:val="00281269"/>
    <w:rsid w:val="002812F7"/>
    <w:rsid w:val="00281303"/>
    <w:rsid w:val="00281922"/>
    <w:rsid w:val="00281B0A"/>
    <w:rsid w:val="00281FE4"/>
    <w:rsid w:val="0028257E"/>
    <w:rsid w:val="00282720"/>
    <w:rsid w:val="00282CDE"/>
    <w:rsid w:val="00282D03"/>
    <w:rsid w:val="00283073"/>
    <w:rsid w:val="00283273"/>
    <w:rsid w:val="0028348A"/>
    <w:rsid w:val="00283C7F"/>
    <w:rsid w:val="00283E5C"/>
    <w:rsid w:val="00284142"/>
    <w:rsid w:val="0028456B"/>
    <w:rsid w:val="00284579"/>
    <w:rsid w:val="00285478"/>
    <w:rsid w:val="00285792"/>
    <w:rsid w:val="0028663C"/>
    <w:rsid w:val="00287329"/>
    <w:rsid w:val="00287C89"/>
    <w:rsid w:val="00287EC6"/>
    <w:rsid w:val="002905B5"/>
    <w:rsid w:val="002911D8"/>
    <w:rsid w:val="00292120"/>
    <w:rsid w:val="0029294F"/>
    <w:rsid w:val="00292A15"/>
    <w:rsid w:val="00293203"/>
    <w:rsid w:val="0029322C"/>
    <w:rsid w:val="0029329A"/>
    <w:rsid w:val="00293A15"/>
    <w:rsid w:val="00293D58"/>
    <w:rsid w:val="00294048"/>
    <w:rsid w:val="00295693"/>
    <w:rsid w:val="00295727"/>
    <w:rsid w:val="00295B54"/>
    <w:rsid w:val="00295BCF"/>
    <w:rsid w:val="002960C3"/>
    <w:rsid w:val="00296781"/>
    <w:rsid w:val="002969C0"/>
    <w:rsid w:val="0029707F"/>
    <w:rsid w:val="002972D4"/>
    <w:rsid w:val="002978B6"/>
    <w:rsid w:val="002979D2"/>
    <w:rsid w:val="002979E1"/>
    <w:rsid w:val="00297AEF"/>
    <w:rsid w:val="00297F02"/>
    <w:rsid w:val="002A039A"/>
    <w:rsid w:val="002A0622"/>
    <w:rsid w:val="002A06E1"/>
    <w:rsid w:val="002A0D05"/>
    <w:rsid w:val="002A1108"/>
    <w:rsid w:val="002A1520"/>
    <w:rsid w:val="002A21E8"/>
    <w:rsid w:val="002A2246"/>
    <w:rsid w:val="002A2863"/>
    <w:rsid w:val="002A29B6"/>
    <w:rsid w:val="002A2DC2"/>
    <w:rsid w:val="002A3220"/>
    <w:rsid w:val="002A3596"/>
    <w:rsid w:val="002A37BE"/>
    <w:rsid w:val="002A39E5"/>
    <w:rsid w:val="002A39FC"/>
    <w:rsid w:val="002A3AA9"/>
    <w:rsid w:val="002A570E"/>
    <w:rsid w:val="002A58F4"/>
    <w:rsid w:val="002A5AA2"/>
    <w:rsid w:val="002A5C85"/>
    <w:rsid w:val="002A5C87"/>
    <w:rsid w:val="002A5D50"/>
    <w:rsid w:val="002A5DE5"/>
    <w:rsid w:val="002A6503"/>
    <w:rsid w:val="002A659A"/>
    <w:rsid w:val="002A7096"/>
    <w:rsid w:val="002A7542"/>
    <w:rsid w:val="002A7BE8"/>
    <w:rsid w:val="002A7EE2"/>
    <w:rsid w:val="002B0474"/>
    <w:rsid w:val="002B04C5"/>
    <w:rsid w:val="002B0534"/>
    <w:rsid w:val="002B0687"/>
    <w:rsid w:val="002B09C6"/>
    <w:rsid w:val="002B09E1"/>
    <w:rsid w:val="002B0C43"/>
    <w:rsid w:val="002B0F52"/>
    <w:rsid w:val="002B1071"/>
    <w:rsid w:val="002B129B"/>
    <w:rsid w:val="002B1ABF"/>
    <w:rsid w:val="002B1B49"/>
    <w:rsid w:val="002B1C33"/>
    <w:rsid w:val="002B29E2"/>
    <w:rsid w:val="002B2C11"/>
    <w:rsid w:val="002B2CCE"/>
    <w:rsid w:val="002B3708"/>
    <w:rsid w:val="002B396D"/>
    <w:rsid w:val="002B3DA7"/>
    <w:rsid w:val="002B42DE"/>
    <w:rsid w:val="002B47FB"/>
    <w:rsid w:val="002B4D46"/>
    <w:rsid w:val="002B4FB2"/>
    <w:rsid w:val="002B519A"/>
    <w:rsid w:val="002B5625"/>
    <w:rsid w:val="002B5F00"/>
    <w:rsid w:val="002B5F9C"/>
    <w:rsid w:val="002B6147"/>
    <w:rsid w:val="002B6282"/>
    <w:rsid w:val="002B63E7"/>
    <w:rsid w:val="002B6BB5"/>
    <w:rsid w:val="002B7BFD"/>
    <w:rsid w:val="002B7E81"/>
    <w:rsid w:val="002B7F35"/>
    <w:rsid w:val="002B7F98"/>
    <w:rsid w:val="002C0170"/>
    <w:rsid w:val="002C0278"/>
    <w:rsid w:val="002C0857"/>
    <w:rsid w:val="002C0B1F"/>
    <w:rsid w:val="002C0E18"/>
    <w:rsid w:val="002C180D"/>
    <w:rsid w:val="002C1F7B"/>
    <w:rsid w:val="002C2427"/>
    <w:rsid w:val="002C2773"/>
    <w:rsid w:val="002C2A4F"/>
    <w:rsid w:val="002C2A5F"/>
    <w:rsid w:val="002C2DB9"/>
    <w:rsid w:val="002C2E50"/>
    <w:rsid w:val="002C3502"/>
    <w:rsid w:val="002C35B9"/>
    <w:rsid w:val="002C397B"/>
    <w:rsid w:val="002C3B01"/>
    <w:rsid w:val="002C3BA0"/>
    <w:rsid w:val="002C436C"/>
    <w:rsid w:val="002C47C4"/>
    <w:rsid w:val="002C5357"/>
    <w:rsid w:val="002C5B67"/>
    <w:rsid w:val="002C5CD2"/>
    <w:rsid w:val="002C65DE"/>
    <w:rsid w:val="002C666E"/>
    <w:rsid w:val="002C6BD4"/>
    <w:rsid w:val="002C6D72"/>
    <w:rsid w:val="002C6E41"/>
    <w:rsid w:val="002C7181"/>
    <w:rsid w:val="002C748E"/>
    <w:rsid w:val="002C7BFF"/>
    <w:rsid w:val="002C7D3C"/>
    <w:rsid w:val="002D01E4"/>
    <w:rsid w:val="002D04DB"/>
    <w:rsid w:val="002D0B00"/>
    <w:rsid w:val="002D0DDF"/>
    <w:rsid w:val="002D17A5"/>
    <w:rsid w:val="002D1AC7"/>
    <w:rsid w:val="002D1D54"/>
    <w:rsid w:val="002D21F7"/>
    <w:rsid w:val="002D2926"/>
    <w:rsid w:val="002D347E"/>
    <w:rsid w:val="002D37D6"/>
    <w:rsid w:val="002D3C72"/>
    <w:rsid w:val="002D3D17"/>
    <w:rsid w:val="002D3DB2"/>
    <w:rsid w:val="002D42A0"/>
    <w:rsid w:val="002D434D"/>
    <w:rsid w:val="002D4367"/>
    <w:rsid w:val="002D43E8"/>
    <w:rsid w:val="002D440D"/>
    <w:rsid w:val="002D4C8C"/>
    <w:rsid w:val="002D4EF6"/>
    <w:rsid w:val="002D52D4"/>
    <w:rsid w:val="002D5367"/>
    <w:rsid w:val="002D545A"/>
    <w:rsid w:val="002D550B"/>
    <w:rsid w:val="002D59E5"/>
    <w:rsid w:val="002D5BC8"/>
    <w:rsid w:val="002D5C23"/>
    <w:rsid w:val="002D5C3B"/>
    <w:rsid w:val="002D5CBC"/>
    <w:rsid w:val="002D5DC3"/>
    <w:rsid w:val="002D6635"/>
    <w:rsid w:val="002D6B4D"/>
    <w:rsid w:val="002D759A"/>
    <w:rsid w:val="002D774E"/>
    <w:rsid w:val="002D79CA"/>
    <w:rsid w:val="002E0FD6"/>
    <w:rsid w:val="002E1388"/>
    <w:rsid w:val="002E13B3"/>
    <w:rsid w:val="002E16E6"/>
    <w:rsid w:val="002E17C5"/>
    <w:rsid w:val="002E1AD3"/>
    <w:rsid w:val="002E1B83"/>
    <w:rsid w:val="002E1C1F"/>
    <w:rsid w:val="002E1EA3"/>
    <w:rsid w:val="002E2688"/>
    <w:rsid w:val="002E28A0"/>
    <w:rsid w:val="002E2DBC"/>
    <w:rsid w:val="002E3036"/>
    <w:rsid w:val="002E307D"/>
    <w:rsid w:val="002E34A3"/>
    <w:rsid w:val="002E36E1"/>
    <w:rsid w:val="002E39FE"/>
    <w:rsid w:val="002E3BF5"/>
    <w:rsid w:val="002E3E6F"/>
    <w:rsid w:val="002E3F75"/>
    <w:rsid w:val="002E45B7"/>
    <w:rsid w:val="002E4721"/>
    <w:rsid w:val="002E486A"/>
    <w:rsid w:val="002E4DC4"/>
    <w:rsid w:val="002E5281"/>
    <w:rsid w:val="002E5E0E"/>
    <w:rsid w:val="002E5E2F"/>
    <w:rsid w:val="002E5E35"/>
    <w:rsid w:val="002E5F1C"/>
    <w:rsid w:val="002E5F3E"/>
    <w:rsid w:val="002E62ED"/>
    <w:rsid w:val="002E6325"/>
    <w:rsid w:val="002E6BF6"/>
    <w:rsid w:val="002E6D48"/>
    <w:rsid w:val="002E7003"/>
    <w:rsid w:val="002E736D"/>
    <w:rsid w:val="002E7754"/>
    <w:rsid w:val="002E78AC"/>
    <w:rsid w:val="002F0875"/>
    <w:rsid w:val="002F0884"/>
    <w:rsid w:val="002F1A5B"/>
    <w:rsid w:val="002F1B87"/>
    <w:rsid w:val="002F1C7E"/>
    <w:rsid w:val="002F2228"/>
    <w:rsid w:val="002F2C95"/>
    <w:rsid w:val="002F3470"/>
    <w:rsid w:val="002F3532"/>
    <w:rsid w:val="002F3A0F"/>
    <w:rsid w:val="002F3C31"/>
    <w:rsid w:val="002F4C7E"/>
    <w:rsid w:val="002F4CA2"/>
    <w:rsid w:val="002F51B3"/>
    <w:rsid w:val="002F527B"/>
    <w:rsid w:val="002F5306"/>
    <w:rsid w:val="002F5570"/>
    <w:rsid w:val="002F55A4"/>
    <w:rsid w:val="002F5792"/>
    <w:rsid w:val="002F5C9A"/>
    <w:rsid w:val="002F6157"/>
    <w:rsid w:val="002F6254"/>
    <w:rsid w:val="002F6315"/>
    <w:rsid w:val="002F6432"/>
    <w:rsid w:val="002F64A0"/>
    <w:rsid w:val="002F69EB"/>
    <w:rsid w:val="002F6A64"/>
    <w:rsid w:val="002F6D11"/>
    <w:rsid w:val="002F6D57"/>
    <w:rsid w:val="002F6FC4"/>
    <w:rsid w:val="002F7255"/>
    <w:rsid w:val="002F7427"/>
    <w:rsid w:val="002F7D6F"/>
    <w:rsid w:val="002F7DAA"/>
    <w:rsid w:val="00300450"/>
    <w:rsid w:val="003005AA"/>
    <w:rsid w:val="0030078C"/>
    <w:rsid w:val="00300E4E"/>
    <w:rsid w:val="00300EA5"/>
    <w:rsid w:val="00301004"/>
    <w:rsid w:val="0030148D"/>
    <w:rsid w:val="0030194F"/>
    <w:rsid w:val="00301E17"/>
    <w:rsid w:val="00301F15"/>
    <w:rsid w:val="003020B4"/>
    <w:rsid w:val="003022B8"/>
    <w:rsid w:val="003023C4"/>
    <w:rsid w:val="003023EB"/>
    <w:rsid w:val="003026B9"/>
    <w:rsid w:val="00302883"/>
    <w:rsid w:val="00302C73"/>
    <w:rsid w:val="003035B2"/>
    <w:rsid w:val="00303697"/>
    <w:rsid w:val="00303733"/>
    <w:rsid w:val="003037A9"/>
    <w:rsid w:val="00303A2F"/>
    <w:rsid w:val="00303C94"/>
    <w:rsid w:val="00303E84"/>
    <w:rsid w:val="00304BF7"/>
    <w:rsid w:val="00304CF9"/>
    <w:rsid w:val="00304F0A"/>
    <w:rsid w:val="00304FE8"/>
    <w:rsid w:val="0030527B"/>
    <w:rsid w:val="00305CA4"/>
    <w:rsid w:val="00305FA4"/>
    <w:rsid w:val="00306076"/>
    <w:rsid w:val="003060BB"/>
    <w:rsid w:val="0030617A"/>
    <w:rsid w:val="00306989"/>
    <w:rsid w:val="00307214"/>
    <w:rsid w:val="0030755C"/>
    <w:rsid w:val="00310015"/>
    <w:rsid w:val="0031005D"/>
    <w:rsid w:val="00310992"/>
    <w:rsid w:val="00311387"/>
    <w:rsid w:val="00311820"/>
    <w:rsid w:val="00311883"/>
    <w:rsid w:val="003119DF"/>
    <w:rsid w:val="003119F0"/>
    <w:rsid w:val="00311D7D"/>
    <w:rsid w:val="00311EEA"/>
    <w:rsid w:val="00312151"/>
    <w:rsid w:val="00312593"/>
    <w:rsid w:val="00312763"/>
    <w:rsid w:val="00312BDD"/>
    <w:rsid w:val="00312C06"/>
    <w:rsid w:val="00313177"/>
    <w:rsid w:val="0031351E"/>
    <w:rsid w:val="00313537"/>
    <w:rsid w:val="003135CD"/>
    <w:rsid w:val="003138AC"/>
    <w:rsid w:val="00313C59"/>
    <w:rsid w:val="00314373"/>
    <w:rsid w:val="00314425"/>
    <w:rsid w:val="003146EE"/>
    <w:rsid w:val="003149BA"/>
    <w:rsid w:val="00314C28"/>
    <w:rsid w:val="00314DFA"/>
    <w:rsid w:val="003153EA"/>
    <w:rsid w:val="00315536"/>
    <w:rsid w:val="00315A29"/>
    <w:rsid w:val="003160B4"/>
    <w:rsid w:val="0031641C"/>
    <w:rsid w:val="00316745"/>
    <w:rsid w:val="00316CCF"/>
    <w:rsid w:val="00316D1E"/>
    <w:rsid w:val="003177C4"/>
    <w:rsid w:val="00317FE3"/>
    <w:rsid w:val="00320015"/>
    <w:rsid w:val="00320263"/>
    <w:rsid w:val="003209C7"/>
    <w:rsid w:val="00320A02"/>
    <w:rsid w:val="00320AB2"/>
    <w:rsid w:val="003219EA"/>
    <w:rsid w:val="003225D5"/>
    <w:rsid w:val="0032265B"/>
    <w:rsid w:val="0032271E"/>
    <w:rsid w:val="0032293A"/>
    <w:rsid w:val="003229A0"/>
    <w:rsid w:val="00322BC4"/>
    <w:rsid w:val="00322E1D"/>
    <w:rsid w:val="00323247"/>
    <w:rsid w:val="003232F1"/>
    <w:rsid w:val="003233CF"/>
    <w:rsid w:val="0032378E"/>
    <w:rsid w:val="003237D5"/>
    <w:rsid w:val="00323C12"/>
    <w:rsid w:val="00323C80"/>
    <w:rsid w:val="00323CB9"/>
    <w:rsid w:val="00323D04"/>
    <w:rsid w:val="003243CB"/>
    <w:rsid w:val="003245FB"/>
    <w:rsid w:val="0032477D"/>
    <w:rsid w:val="00324BA0"/>
    <w:rsid w:val="003250E2"/>
    <w:rsid w:val="0032569E"/>
    <w:rsid w:val="00325BC7"/>
    <w:rsid w:val="00326522"/>
    <w:rsid w:val="003270BF"/>
    <w:rsid w:val="003270C2"/>
    <w:rsid w:val="00327308"/>
    <w:rsid w:val="003277B3"/>
    <w:rsid w:val="00327A0C"/>
    <w:rsid w:val="003301A3"/>
    <w:rsid w:val="00330353"/>
    <w:rsid w:val="0033063D"/>
    <w:rsid w:val="0033094F"/>
    <w:rsid w:val="00330C46"/>
    <w:rsid w:val="00330D77"/>
    <w:rsid w:val="00330FFD"/>
    <w:rsid w:val="00331186"/>
    <w:rsid w:val="003312C3"/>
    <w:rsid w:val="0033149A"/>
    <w:rsid w:val="00331B79"/>
    <w:rsid w:val="00331DCA"/>
    <w:rsid w:val="00332129"/>
    <w:rsid w:val="00332736"/>
    <w:rsid w:val="0033322F"/>
    <w:rsid w:val="003332EC"/>
    <w:rsid w:val="0033399A"/>
    <w:rsid w:val="003347EC"/>
    <w:rsid w:val="00334912"/>
    <w:rsid w:val="00335779"/>
    <w:rsid w:val="00335A70"/>
    <w:rsid w:val="0033637A"/>
    <w:rsid w:val="00336CE8"/>
    <w:rsid w:val="00336FF2"/>
    <w:rsid w:val="0033709A"/>
    <w:rsid w:val="00337375"/>
    <w:rsid w:val="003376B5"/>
    <w:rsid w:val="003376DF"/>
    <w:rsid w:val="003402DF"/>
    <w:rsid w:val="003405F6"/>
    <w:rsid w:val="00340A89"/>
    <w:rsid w:val="00340D16"/>
    <w:rsid w:val="00340D94"/>
    <w:rsid w:val="00340EB5"/>
    <w:rsid w:val="00341361"/>
    <w:rsid w:val="003415C8"/>
    <w:rsid w:val="00341AD8"/>
    <w:rsid w:val="00342A29"/>
    <w:rsid w:val="00342CF5"/>
    <w:rsid w:val="00343AF7"/>
    <w:rsid w:val="00343D26"/>
    <w:rsid w:val="00343D77"/>
    <w:rsid w:val="00343E1B"/>
    <w:rsid w:val="00343F18"/>
    <w:rsid w:val="00344CBB"/>
    <w:rsid w:val="00345308"/>
    <w:rsid w:val="003455FE"/>
    <w:rsid w:val="00345652"/>
    <w:rsid w:val="00345B4F"/>
    <w:rsid w:val="0034620F"/>
    <w:rsid w:val="00346216"/>
    <w:rsid w:val="0034643D"/>
    <w:rsid w:val="0034672E"/>
    <w:rsid w:val="00346BB9"/>
    <w:rsid w:val="00346CED"/>
    <w:rsid w:val="00346E74"/>
    <w:rsid w:val="00347577"/>
    <w:rsid w:val="0034782B"/>
    <w:rsid w:val="00347C46"/>
    <w:rsid w:val="00347FAD"/>
    <w:rsid w:val="00350DDB"/>
    <w:rsid w:val="00351A7F"/>
    <w:rsid w:val="00352465"/>
    <w:rsid w:val="003524B1"/>
    <w:rsid w:val="003525C0"/>
    <w:rsid w:val="0035262D"/>
    <w:rsid w:val="00352CFB"/>
    <w:rsid w:val="00352F20"/>
    <w:rsid w:val="0035309E"/>
    <w:rsid w:val="003530B9"/>
    <w:rsid w:val="00353174"/>
    <w:rsid w:val="003532FC"/>
    <w:rsid w:val="003533E6"/>
    <w:rsid w:val="00353798"/>
    <w:rsid w:val="0035396F"/>
    <w:rsid w:val="003541D1"/>
    <w:rsid w:val="003541DB"/>
    <w:rsid w:val="00354278"/>
    <w:rsid w:val="00354804"/>
    <w:rsid w:val="003548D7"/>
    <w:rsid w:val="003548F0"/>
    <w:rsid w:val="00354D71"/>
    <w:rsid w:val="00354D94"/>
    <w:rsid w:val="00354DF4"/>
    <w:rsid w:val="003550C7"/>
    <w:rsid w:val="003559AA"/>
    <w:rsid w:val="00355E80"/>
    <w:rsid w:val="00355FEC"/>
    <w:rsid w:val="003564E7"/>
    <w:rsid w:val="003565C4"/>
    <w:rsid w:val="003566E9"/>
    <w:rsid w:val="00356F11"/>
    <w:rsid w:val="00357214"/>
    <w:rsid w:val="003577EB"/>
    <w:rsid w:val="00357869"/>
    <w:rsid w:val="0035791D"/>
    <w:rsid w:val="003607A0"/>
    <w:rsid w:val="00360CBD"/>
    <w:rsid w:val="00360D4F"/>
    <w:rsid w:val="00360D68"/>
    <w:rsid w:val="00361072"/>
    <w:rsid w:val="00361163"/>
    <w:rsid w:val="003613A9"/>
    <w:rsid w:val="00361851"/>
    <w:rsid w:val="00361D52"/>
    <w:rsid w:val="00362461"/>
    <w:rsid w:val="003628AA"/>
    <w:rsid w:val="00362D37"/>
    <w:rsid w:val="003632EB"/>
    <w:rsid w:val="00363DA3"/>
    <w:rsid w:val="00363F13"/>
    <w:rsid w:val="0036400A"/>
    <w:rsid w:val="00364B18"/>
    <w:rsid w:val="00364D63"/>
    <w:rsid w:val="00365105"/>
    <w:rsid w:val="0036579C"/>
    <w:rsid w:val="003657E7"/>
    <w:rsid w:val="00365E78"/>
    <w:rsid w:val="00366857"/>
    <w:rsid w:val="00370449"/>
    <w:rsid w:val="003708DD"/>
    <w:rsid w:val="003709D4"/>
    <w:rsid w:val="00370DAC"/>
    <w:rsid w:val="00370EE0"/>
    <w:rsid w:val="003713B0"/>
    <w:rsid w:val="003714A5"/>
    <w:rsid w:val="00371726"/>
    <w:rsid w:val="0037177B"/>
    <w:rsid w:val="003717F5"/>
    <w:rsid w:val="00371B3D"/>
    <w:rsid w:val="00372850"/>
    <w:rsid w:val="00372888"/>
    <w:rsid w:val="003728FE"/>
    <w:rsid w:val="00372E17"/>
    <w:rsid w:val="00372F44"/>
    <w:rsid w:val="0037362F"/>
    <w:rsid w:val="0037380C"/>
    <w:rsid w:val="00374783"/>
    <w:rsid w:val="00374ACD"/>
    <w:rsid w:val="00374DD9"/>
    <w:rsid w:val="003750B5"/>
    <w:rsid w:val="00375135"/>
    <w:rsid w:val="00375165"/>
    <w:rsid w:val="00375520"/>
    <w:rsid w:val="00375687"/>
    <w:rsid w:val="00375C71"/>
    <w:rsid w:val="003763FF"/>
    <w:rsid w:val="00377224"/>
    <w:rsid w:val="00377360"/>
    <w:rsid w:val="0037737B"/>
    <w:rsid w:val="003774D1"/>
    <w:rsid w:val="003774E1"/>
    <w:rsid w:val="003777B8"/>
    <w:rsid w:val="00377A8B"/>
    <w:rsid w:val="00377BAD"/>
    <w:rsid w:val="003809D0"/>
    <w:rsid w:val="0038138B"/>
    <w:rsid w:val="0038196D"/>
    <w:rsid w:val="00381DCB"/>
    <w:rsid w:val="00381F87"/>
    <w:rsid w:val="00382161"/>
    <w:rsid w:val="003821D7"/>
    <w:rsid w:val="00382EFE"/>
    <w:rsid w:val="003834EB"/>
    <w:rsid w:val="00383971"/>
    <w:rsid w:val="00383A59"/>
    <w:rsid w:val="00383FF3"/>
    <w:rsid w:val="00384485"/>
    <w:rsid w:val="00384800"/>
    <w:rsid w:val="00384833"/>
    <w:rsid w:val="00384B1C"/>
    <w:rsid w:val="00384B1D"/>
    <w:rsid w:val="00384CD4"/>
    <w:rsid w:val="00384EA5"/>
    <w:rsid w:val="0038505C"/>
    <w:rsid w:val="00385308"/>
    <w:rsid w:val="003853A1"/>
    <w:rsid w:val="00385599"/>
    <w:rsid w:val="0038574F"/>
    <w:rsid w:val="00385BBE"/>
    <w:rsid w:val="00385D5C"/>
    <w:rsid w:val="00386843"/>
    <w:rsid w:val="00386C4E"/>
    <w:rsid w:val="00386E5D"/>
    <w:rsid w:val="00387E97"/>
    <w:rsid w:val="003902AD"/>
    <w:rsid w:val="003902C1"/>
    <w:rsid w:val="00390619"/>
    <w:rsid w:val="00390919"/>
    <w:rsid w:val="00390A7C"/>
    <w:rsid w:val="00390A91"/>
    <w:rsid w:val="00390AFB"/>
    <w:rsid w:val="0039142B"/>
    <w:rsid w:val="00391A35"/>
    <w:rsid w:val="00391E07"/>
    <w:rsid w:val="00392721"/>
    <w:rsid w:val="00392A6F"/>
    <w:rsid w:val="00393110"/>
    <w:rsid w:val="00393B0C"/>
    <w:rsid w:val="00393DB1"/>
    <w:rsid w:val="00393DD4"/>
    <w:rsid w:val="003946AC"/>
    <w:rsid w:val="003947C0"/>
    <w:rsid w:val="00394F17"/>
    <w:rsid w:val="00395338"/>
    <w:rsid w:val="00395600"/>
    <w:rsid w:val="00395B97"/>
    <w:rsid w:val="0039698D"/>
    <w:rsid w:val="00396CE3"/>
    <w:rsid w:val="00397340"/>
    <w:rsid w:val="00397572"/>
    <w:rsid w:val="003A02FD"/>
    <w:rsid w:val="003A03EF"/>
    <w:rsid w:val="003A05C7"/>
    <w:rsid w:val="003A0717"/>
    <w:rsid w:val="003A074E"/>
    <w:rsid w:val="003A126C"/>
    <w:rsid w:val="003A1531"/>
    <w:rsid w:val="003A1CFF"/>
    <w:rsid w:val="003A2BB7"/>
    <w:rsid w:val="003A312D"/>
    <w:rsid w:val="003A37BF"/>
    <w:rsid w:val="003A4216"/>
    <w:rsid w:val="003A4AB4"/>
    <w:rsid w:val="003A4C61"/>
    <w:rsid w:val="003A4D4A"/>
    <w:rsid w:val="003A4F09"/>
    <w:rsid w:val="003A546F"/>
    <w:rsid w:val="003A565B"/>
    <w:rsid w:val="003A5962"/>
    <w:rsid w:val="003A5C29"/>
    <w:rsid w:val="003A5D24"/>
    <w:rsid w:val="003A5DEB"/>
    <w:rsid w:val="003A5F75"/>
    <w:rsid w:val="003A61D4"/>
    <w:rsid w:val="003A6240"/>
    <w:rsid w:val="003A63B8"/>
    <w:rsid w:val="003A648B"/>
    <w:rsid w:val="003A6592"/>
    <w:rsid w:val="003A6A14"/>
    <w:rsid w:val="003A6A20"/>
    <w:rsid w:val="003A6FDD"/>
    <w:rsid w:val="003A72E4"/>
    <w:rsid w:val="003A7535"/>
    <w:rsid w:val="003A7616"/>
    <w:rsid w:val="003A799B"/>
    <w:rsid w:val="003A7CBB"/>
    <w:rsid w:val="003A7D18"/>
    <w:rsid w:val="003B00C2"/>
    <w:rsid w:val="003B017F"/>
    <w:rsid w:val="003B07D1"/>
    <w:rsid w:val="003B0A3B"/>
    <w:rsid w:val="003B0DFF"/>
    <w:rsid w:val="003B12DB"/>
    <w:rsid w:val="003B166A"/>
    <w:rsid w:val="003B1AF6"/>
    <w:rsid w:val="003B1B1B"/>
    <w:rsid w:val="003B1B75"/>
    <w:rsid w:val="003B1C8A"/>
    <w:rsid w:val="003B2A4D"/>
    <w:rsid w:val="003B2E0C"/>
    <w:rsid w:val="003B2EEF"/>
    <w:rsid w:val="003B2FBC"/>
    <w:rsid w:val="003B32CC"/>
    <w:rsid w:val="003B35CB"/>
    <w:rsid w:val="003B497D"/>
    <w:rsid w:val="003B4BD8"/>
    <w:rsid w:val="003B4DA2"/>
    <w:rsid w:val="003B4DDF"/>
    <w:rsid w:val="003B4E68"/>
    <w:rsid w:val="003B4EE8"/>
    <w:rsid w:val="003B50C0"/>
    <w:rsid w:val="003B545C"/>
    <w:rsid w:val="003B5571"/>
    <w:rsid w:val="003B57B7"/>
    <w:rsid w:val="003B5E19"/>
    <w:rsid w:val="003B64D8"/>
    <w:rsid w:val="003B6D36"/>
    <w:rsid w:val="003B76F4"/>
    <w:rsid w:val="003B78AC"/>
    <w:rsid w:val="003B7FDD"/>
    <w:rsid w:val="003C0428"/>
    <w:rsid w:val="003C08BD"/>
    <w:rsid w:val="003C1A62"/>
    <w:rsid w:val="003C1E2C"/>
    <w:rsid w:val="003C27F3"/>
    <w:rsid w:val="003C2F43"/>
    <w:rsid w:val="003C32FC"/>
    <w:rsid w:val="003C3793"/>
    <w:rsid w:val="003C3ABE"/>
    <w:rsid w:val="003C3FD4"/>
    <w:rsid w:val="003C457C"/>
    <w:rsid w:val="003C49A9"/>
    <w:rsid w:val="003C4EBE"/>
    <w:rsid w:val="003C5564"/>
    <w:rsid w:val="003C558C"/>
    <w:rsid w:val="003C5807"/>
    <w:rsid w:val="003C5A3A"/>
    <w:rsid w:val="003C5CC4"/>
    <w:rsid w:val="003C6367"/>
    <w:rsid w:val="003C66C3"/>
    <w:rsid w:val="003C6F87"/>
    <w:rsid w:val="003C7429"/>
    <w:rsid w:val="003C75BD"/>
    <w:rsid w:val="003C7E0E"/>
    <w:rsid w:val="003D07CE"/>
    <w:rsid w:val="003D0802"/>
    <w:rsid w:val="003D098A"/>
    <w:rsid w:val="003D0B7A"/>
    <w:rsid w:val="003D1303"/>
    <w:rsid w:val="003D1634"/>
    <w:rsid w:val="003D17E4"/>
    <w:rsid w:val="003D1982"/>
    <w:rsid w:val="003D1A6C"/>
    <w:rsid w:val="003D1AE5"/>
    <w:rsid w:val="003D1AEC"/>
    <w:rsid w:val="003D1BA0"/>
    <w:rsid w:val="003D23D5"/>
    <w:rsid w:val="003D2533"/>
    <w:rsid w:val="003D295D"/>
    <w:rsid w:val="003D2F1C"/>
    <w:rsid w:val="003D2FE6"/>
    <w:rsid w:val="003D384C"/>
    <w:rsid w:val="003D3C58"/>
    <w:rsid w:val="003D3CD1"/>
    <w:rsid w:val="003D4417"/>
    <w:rsid w:val="003D489A"/>
    <w:rsid w:val="003D4AED"/>
    <w:rsid w:val="003D4EA6"/>
    <w:rsid w:val="003D4FB9"/>
    <w:rsid w:val="003D5529"/>
    <w:rsid w:val="003D5944"/>
    <w:rsid w:val="003D5C91"/>
    <w:rsid w:val="003D5D05"/>
    <w:rsid w:val="003D5ECA"/>
    <w:rsid w:val="003D5FB6"/>
    <w:rsid w:val="003D63D1"/>
    <w:rsid w:val="003D66AA"/>
    <w:rsid w:val="003D6948"/>
    <w:rsid w:val="003D69CD"/>
    <w:rsid w:val="003D6CBF"/>
    <w:rsid w:val="003D6F2B"/>
    <w:rsid w:val="003D72CC"/>
    <w:rsid w:val="003D7618"/>
    <w:rsid w:val="003D7BFD"/>
    <w:rsid w:val="003D7D05"/>
    <w:rsid w:val="003D7FA5"/>
    <w:rsid w:val="003E03C3"/>
    <w:rsid w:val="003E064B"/>
    <w:rsid w:val="003E067B"/>
    <w:rsid w:val="003E0E09"/>
    <w:rsid w:val="003E11A4"/>
    <w:rsid w:val="003E1613"/>
    <w:rsid w:val="003E1AD1"/>
    <w:rsid w:val="003E2244"/>
    <w:rsid w:val="003E230A"/>
    <w:rsid w:val="003E236D"/>
    <w:rsid w:val="003E2512"/>
    <w:rsid w:val="003E26E3"/>
    <w:rsid w:val="003E2CFE"/>
    <w:rsid w:val="003E2E8C"/>
    <w:rsid w:val="003E2F75"/>
    <w:rsid w:val="003E3009"/>
    <w:rsid w:val="003E308A"/>
    <w:rsid w:val="003E367A"/>
    <w:rsid w:val="003E37A4"/>
    <w:rsid w:val="003E3DEA"/>
    <w:rsid w:val="003E3E23"/>
    <w:rsid w:val="003E4075"/>
    <w:rsid w:val="003E4136"/>
    <w:rsid w:val="003E4338"/>
    <w:rsid w:val="003E4E45"/>
    <w:rsid w:val="003E5E1C"/>
    <w:rsid w:val="003E5F82"/>
    <w:rsid w:val="003E61CB"/>
    <w:rsid w:val="003E652F"/>
    <w:rsid w:val="003E6E90"/>
    <w:rsid w:val="003E718F"/>
    <w:rsid w:val="003E731F"/>
    <w:rsid w:val="003E7AFC"/>
    <w:rsid w:val="003E7C04"/>
    <w:rsid w:val="003E7C95"/>
    <w:rsid w:val="003E7FDA"/>
    <w:rsid w:val="003F01F7"/>
    <w:rsid w:val="003F0570"/>
    <w:rsid w:val="003F0D15"/>
    <w:rsid w:val="003F1283"/>
    <w:rsid w:val="003F13F6"/>
    <w:rsid w:val="003F148F"/>
    <w:rsid w:val="003F174E"/>
    <w:rsid w:val="003F1A53"/>
    <w:rsid w:val="003F1F13"/>
    <w:rsid w:val="003F2454"/>
    <w:rsid w:val="003F29E1"/>
    <w:rsid w:val="003F2DAF"/>
    <w:rsid w:val="003F2ED2"/>
    <w:rsid w:val="003F335A"/>
    <w:rsid w:val="003F3772"/>
    <w:rsid w:val="003F3A1B"/>
    <w:rsid w:val="003F3ED2"/>
    <w:rsid w:val="003F40B6"/>
    <w:rsid w:val="003F4627"/>
    <w:rsid w:val="003F4850"/>
    <w:rsid w:val="003F4ABA"/>
    <w:rsid w:val="003F53B6"/>
    <w:rsid w:val="003F54D5"/>
    <w:rsid w:val="003F6169"/>
    <w:rsid w:val="003F6265"/>
    <w:rsid w:val="003F6645"/>
    <w:rsid w:val="003F72D7"/>
    <w:rsid w:val="003F747C"/>
    <w:rsid w:val="003F77A6"/>
    <w:rsid w:val="003F77DA"/>
    <w:rsid w:val="003F7B2D"/>
    <w:rsid w:val="003F7C7A"/>
    <w:rsid w:val="003F7F3F"/>
    <w:rsid w:val="0040065E"/>
    <w:rsid w:val="00400954"/>
    <w:rsid w:val="00400BA3"/>
    <w:rsid w:val="00400C08"/>
    <w:rsid w:val="00400C8E"/>
    <w:rsid w:val="00400D40"/>
    <w:rsid w:val="0040144A"/>
    <w:rsid w:val="004014C9"/>
    <w:rsid w:val="00401B46"/>
    <w:rsid w:val="00401D0F"/>
    <w:rsid w:val="00401DDB"/>
    <w:rsid w:val="0040244D"/>
    <w:rsid w:val="00402818"/>
    <w:rsid w:val="00402889"/>
    <w:rsid w:val="004028FD"/>
    <w:rsid w:val="00402B5F"/>
    <w:rsid w:val="00402C3D"/>
    <w:rsid w:val="00403087"/>
    <w:rsid w:val="00403A5F"/>
    <w:rsid w:val="00403D81"/>
    <w:rsid w:val="00403EDA"/>
    <w:rsid w:val="00403F44"/>
    <w:rsid w:val="0040409C"/>
    <w:rsid w:val="00404A45"/>
    <w:rsid w:val="00405576"/>
    <w:rsid w:val="004058B8"/>
    <w:rsid w:val="00405B3F"/>
    <w:rsid w:val="00406113"/>
    <w:rsid w:val="004063C4"/>
    <w:rsid w:val="0040647F"/>
    <w:rsid w:val="00406928"/>
    <w:rsid w:val="004072FC"/>
    <w:rsid w:val="004074CB"/>
    <w:rsid w:val="004078F5"/>
    <w:rsid w:val="00407D7D"/>
    <w:rsid w:val="00407EDD"/>
    <w:rsid w:val="0041010F"/>
    <w:rsid w:val="0041014C"/>
    <w:rsid w:val="00410247"/>
    <w:rsid w:val="00410B00"/>
    <w:rsid w:val="00410B21"/>
    <w:rsid w:val="00410B24"/>
    <w:rsid w:val="00410E12"/>
    <w:rsid w:val="00410E3B"/>
    <w:rsid w:val="004115C8"/>
    <w:rsid w:val="004118DA"/>
    <w:rsid w:val="0041208E"/>
    <w:rsid w:val="00413975"/>
    <w:rsid w:val="00413B36"/>
    <w:rsid w:val="00413BE9"/>
    <w:rsid w:val="00413E03"/>
    <w:rsid w:val="004143DB"/>
    <w:rsid w:val="00414E73"/>
    <w:rsid w:val="00415330"/>
    <w:rsid w:val="00415367"/>
    <w:rsid w:val="004161C2"/>
    <w:rsid w:val="004166F8"/>
    <w:rsid w:val="004170A6"/>
    <w:rsid w:val="004174CB"/>
    <w:rsid w:val="004176BC"/>
    <w:rsid w:val="004176EB"/>
    <w:rsid w:val="004177A1"/>
    <w:rsid w:val="00417CB0"/>
    <w:rsid w:val="00417E9D"/>
    <w:rsid w:val="00417F47"/>
    <w:rsid w:val="00417FB8"/>
    <w:rsid w:val="00420584"/>
    <w:rsid w:val="004207B4"/>
    <w:rsid w:val="00420A61"/>
    <w:rsid w:val="00421048"/>
    <w:rsid w:val="00421449"/>
    <w:rsid w:val="0042164F"/>
    <w:rsid w:val="00421E8E"/>
    <w:rsid w:val="0042203D"/>
    <w:rsid w:val="00422084"/>
    <w:rsid w:val="004220E5"/>
    <w:rsid w:val="00422A93"/>
    <w:rsid w:val="00422BB1"/>
    <w:rsid w:val="00422C9F"/>
    <w:rsid w:val="00422E7D"/>
    <w:rsid w:val="0042314F"/>
    <w:rsid w:val="0042315B"/>
    <w:rsid w:val="00423EA1"/>
    <w:rsid w:val="004243EB"/>
    <w:rsid w:val="004247A9"/>
    <w:rsid w:val="00424D21"/>
    <w:rsid w:val="00424F1F"/>
    <w:rsid w:val="00424F3C"/>
    <w:rsid w:val="00425333"/>
    <w:rsid w:val="00425C24"/>
    <w:rsid w:val="0042640D"/>
    <w:rsid w:val="0042646A"/>
    <w:rsid w:val="00426BBC"/>
    <w:rsid w:val="00427238"/>
    <w:rsid w:val="004273BF"/>
    <w:rsid w:val="0042760E"/>
    <w:rsid w:val="0042767A"/>
    <w:rsid w:val="00427E91"/>
    <w:rsid w:val="004311FF"/>
    <w:rsid w:val="00431211"/>
    <w:rsid w:val="004314B6"/>
    <w:rsid w:val="00432185"/>
    <w:rsid w:val="00432447"/>
    <w:rsid w:val="00432B50"/>
    <w:rsid w:val="00432D97"/>
    <w:rsid w:val="00432F21"/>
    <w:rsid w:val="004332A0"/>
    <w:rsid w:val="004336D1"/>
    <w:rsid w:val="004337DF"/>
    <w:rsid w:val="004338BE"/>
    <w:rsid w:val="00433964"/>
    <w:rsid w:val="004342CE"/>
    <w:rsid w:val="004343AD"/>
    <w:rsid w:val="004349D9"/>
    <w:rsid w:val="00434C7F"/>
    <w:rsid w:val="004353AE"/>
    <w:rsid w:val="0043544F"/>
    <w:rsid w:val="004362C0"/>
    <w:rsid w:val="00436425"/>
    <w:rsid w:val="004364E6"/>
    <w:rsid w:val="00436B27"/>
    <w:rsid w:val="00436DBE"/>
    <w:rsid w:val="00437069"/>
    <w:rsid w:val="0043712E"/>
    <w:rsid w:val="00437E12"/>
    <w:rsid w:val="004400BC"/>
    <w:rsid w:val="00440B54"/>
    <w:rsid w:val="00440B81"/>
    <w:rsid w:val="00440E9F"/>
    <w:rsid w:val="00440F39"/>
    <w:rsid w:val="004412E8"/>
    <w:rsid w:val="00441947"/>
    <w:rsid w:val="0044296C"/>
    <w:rsid w:val="00442E85"/>
    <w:rsid w:val="00443331"/>
    <w:rsid w:val="00443561"/>
    <w:rsid w:val="00443591"/>
    <w:rsid w:val="00444859"/>
    <w:rsid w:val="00444A0A"/>
    <w:rsid w:val="00444BA5"/>
    <w:rsid w:val="00444C04"/>
    <w:rsid w:val="0044501E"/>
    <w:rsid w:val="0044580B"/>
    <w:rsid w:val="00445B35"/>
    <w:rsid w:val="00445DFA"/>
    <w:rsid w:val="004462BD"/>
    <w:rsid w:val="004462FA"/>
    <w:rsid w:val="0044692E"/>
    <w:rsid w:val="00447009"/>
    <w:rsid w:val="004472E0"/>
    <w:rsid w:val="0044732A"/>
    <w:rsid w:val="0044747E"/>
    <w:rsid w:val="00447CBD"/>
    <w:rsid w:val="00450BC1"/>
    <w:rsid w:val="00451103"/>
    <w:rsid w:val="0045165E"/>
    <w:rsid w:val="004519C6"/>
    <w:rsid w:val="00451A22"/>
    <w:rsid w:val="00451E6D"/>
    <w:rsid w:val="00451F2C"/>
    <w:rsid w:val="0045203F"/>
    <w:rsid w:val="004520DB"/>
    <w:rsid w:val="004521E8"/>
    <w:rsid w:val="00452550"/>
    <w:rsid w:val="004525A5"/>
    <w:rsid w:val="004526B0"/>
    <w:rsid w:val="00453228"/>
    <w:rsid w:val="004534FB"/>
    <w:rsid w:val="00453553"/>
    <w:rsid w:val="00453DB2"/>
    <w:rsid w:val="00453E81"/>
    <w:rsid w:val="00453F45"/>
    <w:rsid w:val="0045442E"/>
    <w:rsid w:val="00454471"/>
    <w:rsid w:val="00454829"/>
    <w:rsid w:val="00454D4D"/>
    <w:rsid w:val="00454F1D"/>
    <w:rsid w:val="00455817"/>
    <w:rsid w:val="00455982"/>
    <w:rsid w:val="00455AE4"/>
    <w:rsid w:val="004569E8"/>
    <w:rsid w:val="00456BD9"/>
    <w:rsid w:val="00457034"/>
    <w:rsid w:val="0045771B"/>
    <w:rsid w:val="00457BAA"/>
    <w:rsid w:val="00460981"/>
    <w:rsid w:val="004609DE"/>
    <w:rsid w:val="00461045"/>
    <w:rsid w:val="00461A3E"/>
    <w:rsid w:val="00461DC0"/>
    <w:rsid w:val="00462516"/>
    <w:rsid w:val="00462699"/>
    <w:rsid w:val="00462787"/>
    <w:rsid w:val="004628F0"/>
    <w:rsid w:val="00462AAF"/>
    <w:rsid w:val="00462D54"/>
    <w:rsid w:val="00462D63"/>
    <w:rsid w:val="004636BC"/>
    <w:rsid w:val="00463731"/>
    <w:rsid w:val="00463886"/>
    <w:rsid w:val="004638A7"/>
    <w:rsid w:val="00463AF8"/>
    <w:rsid w:val="00463B8E"/>
    <w:rsid w:val="004644E4"/>
    <w:rsid w:val="00464C70"/>
    <w:rsid w:val="00464E03"/>
    <w:rsid w:val="00464F36"/>
    <w:rsid w:val="00464F3A"/>
    <w:rsid w:val="0046507A"/>
    <w:rsid w:val="0046528B"/>
    <w:rsid w:val="0046568B"/>
    <w:rsid w:val="0046569B"/>
    <w:rsid w:val="00466121"/>
    <w:rsid w:val="00466912"/>
    <w:rsid w:val="00466CD1"/>
    <w:rsid w:val="004670C3"/>
    <w:rsid w:val="00467686"/>
    <w:rsid w:val="00467792"/>
    <w:rsid w:val="004679AB"/>
    <w:rsid w:val="004705A6"/>
    <w:rsid w:val="00470B06"/>
    <w:rsid w:val="00471665"/>
    <w:rsid w:val="0047195F"/>
    <w:rsid w:val="00471A9E"/>
    <w:rsid w:val="00471B86"/>
    <w:rsid w:val="00472227"/>
    <w:rsid w:val="00472797"/>
    <w:rsid w:val="00472E0B"/>
    <w:rsid w:val="00472E9C"/>
    <w:rsid w:val="0047312A"/>
    <w:rsid w:val="004732E6"/>
    <w:rsid w:val="00473E2B"/>
    <w:rsid w:val="00473FF9"/>
    <w:rsid w:val="00474927"/>
    <w:rsid w:val="00474E6B"/>
    <w:rsid w:val="00474FBE"/>
    <w:rsid w:val="00475122"/>
    <w:rsid w:val="0047540F"/>
    <w:rsid w:val="00475438"/>
    <w:rsid w:val="00476260"/>
    <w:rsid w:val="00476822"/>
    <w:rsid w:val="00476F8F"/>
    <w:rsid w:val="004772FF"/>
    <w:rsid w:val="00477324"/>
    <w:rsid w:val="00480310"/>
    <w:rsid w:val="0048048A"/>
    <w:rsid w:val="004807FF"/>
    <w:rsid w:val="004808F6"/>
    <w:rsid w:val="00480984"/>
    <w:rsid w:val="004816F7"/>
    <w:rsid w:val="00481705"/>
    <w:rsid w:val="00481966"/>
    <w:rsid w:val="00482044"/>
    <w:rsid w:val="00482254"/>
    <w:rsid w:val="004823C6"/>
    <w:rsid w:val="0048252E"/>
    <w:rsid w:val="00482F51"/>
    <w:rsid w:val="00483166"/>
    <w:rsid w:val="0048333B"/>
    <w:rsid w:val="0048365C"/>
    <w:rsid w:val="004837B4"/>
    <w:rsid w:val="00483AAB"/>
    <w:rsid w:val="00483E46"/>
    <w:rsid w:val="00484915"/>
    <w:rsid w:val="00484EEF"/>
    <w:rsid w:val="004853D8"/>
    <w:rsid w:val="0048589F"/>
    <w:rsid w:val="00486552"/>
    <w:rsid w:val="00486844"/>
    <w:rsid w:val="00486AEA"/>
    <w:rsid w:val="00486B59"/>
    <w:rsid w:val="00486DA8"/>
    <w:rsid w:val="00486EEE"/>
    <w:rsid w:val="0048735B"/>
    <w:rsid w:val="004875E6"/>
    <w:rsid w:val="004877B0"/>
    <w:rsid w:val="0048786C"/>
    <w:rsid w:val="00487AD4"/>
    <w:rsid w:val="00487BF3"/>
    <w:rsid w:val="00490275"/>
    <w:rsid w:val="004904BA"/>
    <w:rsid w:val="00490518"/>
    <w:rsid w:val="00490628"/>
    <w:rsid w:val="0049071D"/>
    <w:rsid w:val="0049103F"/>
    <w:rsid w:val="00491532"/>
    <w:rsid w:val="00491F80"/>
    <w:rsid w:val="0049239D"/>
    <w:rsid w:val="004925C9"/>
    <w:rsid w:val="004929E0"/>
    <w:rsid w:val="00492B52"/>
    <w:rsid w:val="00493577"/>
    <w:rsid w:val="00493767"/>
    <w:rsid w:val="00493EB8"/>
    <w:rsid w:val="0049405F"/>
    <w:rsid w:val="004941F1"/>
    <w:rsid w:val="004942A0"/>
    <w:rsid w:val="00494307"/>
    <w:rsid w:val="00494B3B"/>
    <w:rsid w:val="00495178"/>
    <w:rsid w:val="004954A4"/>
    <w:rsid w:val="00495665"/>
    <w:rsid w:val="0049596B"/>
    <w:rsid w:val="0049608C"/>
    <w:rsid w:val="004963FE"/>
    <w:rsid w:val="00496996"/>
    <w:rsid w:val="00496DD8"/>
    <w:rsid w:val="00497692"/>
    <w:rsid w:val="00497AE7"/>
    <w:rsid w:val="004A020A"/>
    <w:rsid w:val="004A022A"/>
    <w:rsid w:val="004A036F"/>
    <w:rsid w:val="004A04FE"/>
    <w:rsid w:val="004A0859"/>
    <w:rsid w:val="004A0C71"/>
    <w:rsid w:val="004A0CF6"/>
    <w:rsid w:val="004A15D4"/>
    <w:rsid w:val="004A18E6"/>
    <w:rsid w:val="004A18FA"/>
    <w:rsid w:val="004A1B4E"/>
    <w:rsid w:val="004A1D8E"/>
    <w:rsid w:val="004A20DA"/>
    <w:rsid w:val="004A2509"/>
    <w:rsid w:val="004A294E"/>
    <w:rsid w:val="004A2E67"/>
    <w:rsid w:val="004A326C"/>
    <w:rsid w:val="004A3371"/>
    <w:rsid w:val="004A3391"/>
    <w:rsid w:val="004A398C"/>
    <w:rsid w:val="004A3AC0"/>
    <w:rsid w:val="004A3C39"/>
    <w:rsid w:val="004A3FAE"/>
    <w:rsid w:val="004A4291"/>
    <w:rsid w:val="004A4728"/>
    <w:rsid w:val="004A4AC3"/>
    <w:rsid w:val="004A4D02"/>
    <w:rsid w:val="004A4F2D"/>
    <w:rsid w:val="004A5AFA"/>
    <w:rsid w:val="004A5B38"/>
    <w:rsid w:val="004B0928"/>
    <w:rsid w:val="004B0AF1"/>
    <w:rsid w:val="004B1545"/>
    <w:rsid w:val="004B1768"/>
    <w:rsid w:val="004B17CE"/>
    <w:rsid w:val="004B18CE"/>
    <w:rsid w:val="004B1903"/>
    <w:rsid w:val="004B1A9C"/>
    <w:rsid w:val="004B1B15"/>
    <w:rsid w:val="004B1C6F"/>
    <w:rsid w:val="004B1CB3"/>
    <w:rsid w:val="004B1F96"/>
    <w:rsid w:val="004B21DA"/>
    <w:rsid w:val="004B2241"/>
    <w:rsid w:val="004B25FA"/>
    <w:rsid w:val="004B27D6"/>
    <w:rsid w:val="004B2837"/>
    <w:rsid w:val="004B2EBB"/>
    <w:rsid w:val="004B2F12"/>
    <w:rsid w:val="004B3507"/>
    <w:rsid w:val="004B36DF"/>
    <w:rsid w:val="004B36F4"/>
    <w:rsid w:val="004B3C81"/>
    <w:rsid w:val="004B3CA4"/>
    <w:rsid w:val="004B47F4"/>
    <w:rsid w:val="004B4C18"/>
    <w:rsid w:val="004B4E4F"/>
    <w:rsid w:val="004B50CC"/>
    <w:rsid w:val="004B5825"/>
    <w:rsid w:val="004B5D8E"/>
    <w:rsid w:val="004B61C8"/>
    <w:rsid w:val="004B622F"/>
    <w:rsid w:val="004B6415"/>
    <w:rsid w:val="004B64FA"/>
    <w:rsid w:val="004B6C14"/>
    <w:rsid w:val="004B746F"/>
    <w:rsid w:val="004B758A"/>
    <w:rsid w:val="004B7F9F"/>
    <w:rsid w:val="004C03EA"/>
    <w:rsid w:val="004C0683"/>
    <w:rsid w:val="004C06CE"/>
    <w:rsid w:val="004C099B"/>
    <w:rsid w:val="004C0BAC"/>
    <w:rsid w:val="004C0DB4"/>
    <w:rsid w:val="004C10A2"/>
    <w:rsid w:val="004C13F1"/>
    <w:rsid w:val="004C16F5"/>
    <w:rsid w:val="004C1A4B"/>
    <w:rsid w:val="004C20D0"/>
    <w:rsid w:val="004C24B2"/>
    <w:rsid w:val="004C2E64"/>
    <w:rsid w:val="004C33E8"/>
    <w:rsid w:val="004C34AD"/>
    <w:rsid w:val="004C366F"/>
    <w:rsid w:val="004C3B71"/>
    <w:rsid w:val="004C3DE2"/>
    <w:rsid w:val="004C44DD"/>
    <w:rsid w:val="004C4A96"/>
    <w:rsid w:val="004C4BB6"/>
    <w:rsid w:val="004C4E5F"/>
    <w:rsid w:val="004C51A0"/>
    <w:rsid w:val="004C52E7"/>
    <w:rsid w:val="004C5875"/>
    <w:rsid w:val="004C5F28"/>
    <w:rsid w:val="004C5FCF"/>
    <w:rsid w:val="004C664B"/>
    <w:rsid w:val="004C66F8"/>
    <w:rsid w:val="004C6736"/>
    <w:rsid w:val="004C68C6"/>
    <w:rsid w:val="004C6997"/>
    <w:rsid w:val="004C6CDB"/>
    <w:rsid w:val="004C723F"/>
    <w:rsid w:val="004C72C2"/>
    <w:rsid w:val="004C750E"/>
    <w:rsid w:val="004C7872"/>
    <w:rsid w:val="004C7933"/>
    <w:rsid w:val="004C7C36"/>
    <w:rsid w:val="004C7D16"/>
    <w:rsid w:val="004D0132"/>
    <w:rsid w:val="004D051C"/>
    <w:rsid w:val="004D080F"/>
    <w:rsid w:val="004D08E7"/>
    <w:rsid w:val="004D0D87"/>
    <w:rsid w:val="004D138E"/>
    <w:rsid w:val="004D185E"/>
    <w:rsid w:val="004D1EEB"/>
    <w:rsid w:val="004D2556"/>
    <w:rsid w:val="004D25D9"/>
    <w:rsid w:val="004D29F9"/>
    <w:rsid w:val="004D32FF"/>
    <w:rsid w:val="004D367C"/>
    <w:rsid w:val="004D3701"/>
    <w:rsid w:val="004D3753"/>
    <w:rsid w:val="004D4B61"/>
    <w:rsid w:val="004D4CE4"/>
    <w:rsid w:val="004D59A5"/>
    <w:rsid w:val="004D5B84"/>
    <w:rsid w:val="004D606D"/>
    <w:rsid w:val="004D636D"/>
    <w:rsid w:val="004D6761"/>
    <w:rsid w:val="004D67CB"/>
    <w:rsid w:val="004D6B20"/>
    <w:rsid w:val="004D6C2F"/>
    <w:rsid w:val="004D71FE"/>
    <w:rsid w:val="004D72CE"/>
    <w:rsid w:val="004D73C0"/>
    <w:rsid w:val="004D73EF"/>
    <w:rsid w:val="004D7407"/>
    <w:rsid w:val="004D7745"/>
    <w:rsid w:val="004D7964"/>
    <w:rsid w:val="004D7A80"/>
    <w:rsid w:val="004D7CA3"/>
    <w:rsid w:val="004E0388"/>
    <w:rsid w:val="004E04C7"/>
    <w:rsid w:val="004E0894"/>
    <w:rsid w:val="004E0C77"/>
    <w:rsid w:val="004E135A"/>
    <w:rsid w:val="004E1AA0"/>
    <w:rsid w:val="004E1C50"/>
    <w:rsid w:val="004E1C98"/>
    <w:rsid w:val="004E1D36"/>
    <w:rsid w:val="004E20EE"/>
    <w:rsid w:val="004E23BB"/>
    <w:rsid w:val="004E251F"/>
    <w:rsid w:val="004E2B23"/>
    <w:rsid w:val="004E2E72"/>
    <w:rsid w:val="004E2FB9"/>
    <w:rsid w:val="004E3390"/>
    <w:rsid w:val="004E37C8"/>
    <w:rsid w:val="004E416F"/>
    <w:rsid w:val="004E424D"/>
    <w:rsid w:val="004E4439"/>
    <w:rsid w:val="004E4DBF"/>
    <w:rsid w:val="004E5BF9"/>
    <w:rsid w:val="004E5F45"/>
    <w:rsid w:val="004E64DC"/>
    <w:rsid w:val="004E674C"/>
    <w:rsid w:val="004E6F86"/>
    <w:rsid w:val="004E706A"/>
    <w:rsid w:val="004F02D7"/>
    <w:rsid w:val="004F0671"/>
    <w:rsid w:val="004F0C01"/>
    <w:rsid w:val="004F126D"/>
    <w:rsid w:val="004F1E92"/>
    <w:rsid w:val="004F234E"/>
    <w:rsid w:val="004F23A2"/>
    <w:rsid w:val="004F24B5"/>
    <w:rsid w:val="004F28A5"/>
    <w:rsid w:val="004F2B02"/>
    <w:rsid w:val="004F2D1B"/>
    <w:rsid w:val="004F2E11"/>
    <w:rsid w:val="004F2E17"/>
    <w:rsid w:val="004F2E33"/>
    <w:rsid w:val="004F31BD"/>
    <w:rsid w:val="004F378C"/>
    <w:rsid w:val="004F3B34"/>
    <w:rsid w:val="004F3C8C"/>
    <w:rsid w:val="004F3DAC"/>
    <w:rsid w:val="004F3E23"/>
    <w:rsid w:val="004F4722"/>
    <w:rsid w:val="004F4767"/>
    <w:rsid w:val="004F498A"/>
    <w:rsid w:val="004F4D86"/>
    <w:rsid w:val="004F505C"/>
    <w:rsid w:val="004F51B2"/>
    <w:rsid w:val="004F52AA"/>
    <w:rsid w:val="004F59C4"/>
    <w:rsid w:val="004F5D65"/>
    <w:rsid w:val="004F626E"/>
    <w:rsid w:val="004F6A63"/>
    <w:rsid w:val="004F705A"/>
    <w:rsid w:val="004F70F8"/>
    <w:rsid w:val="004F7230"/>
    <w:rsid w:val="004F7468"/>
    <w:rsid w:val="004F7BCD"/>
    <w:rsid w:val="004F7D65"/>
    <w:rsid w:val="004F7D7B"/>
    <w:rsid w:val="00500199"/>
    <w:rsid w:val="00501519"/>
    <w:rsid w:val="00501659"/>
    <w:rsid w:val="00501733"/>
    <w:rsid w:val="00501B75"/>
    <w:rsid w:val="00501C39"/>
    <w:rsid w:val="00502203"/>
    <w:rsid w:val="00502549"/>
    <w:rsid w:val="005026D4"/>
    <w:rsid w:val="005027B8"/>
    <w:rsid w:val="00503286"/>
    <w:rsid w:val="00503C6D"/>
    <w:rsid w:val="00503F42"/>
    <w:rsid w:val="0050449C"/>
    <w:rsid w:val="00504D6F"/>
    <w:rsid w:val="00505147"/>
    <w:rsid w:val="00505378"/>
    <w:rsid w:val="00505A66"/>
    <w:rsid w:val="00505C57"/>
    <w:rsid w:val="00505DD2"/>
    <w:rsid w:val="00505F9F"/>
    <w:rsid w:val="005060A2"/>
    <w:rsid w:val="00506192"/>
    <w:rsid w:val="00506576"/>
    <w:rsid w:val="00506710"/>
    <w:rsid w:val="00506DA6"/>
    <w:rsid w:val="00506E86"/>
    <w:rsid w:val="0050702C"/>
    <w:rsid w:val="0050722E"/>
    <w:rsid w:val="0050723E"/>
    <w:rsid w:val="005072DD"/>
    <w:rsid w:val="00507403"/>
    <w:rsid w:val="00507430"/>
    <w:rsid w:val="00507548"/>
    <w:rsid w:val="005077BC"/>
    <w:rsid w:val="005101E5"/>
    <w:rsid w:val="00510472"/>
    <w:rsid w:val="00510D5A"/>
    <w:rsid w:val="00511D75"/>
    <w:rsid w:val="00511FF2"/>
    <w:rsid w:val="005121CE"/>
    <w:rsid w:val="00512232"/>
    <w:rsid w:val="00512CD5"/>
    <w:rsid w:val="005135C0"/>
    <w:rsid w:val="00513B7E"/>
    <w:rsid w:val="00513E31"/>
    <w:rsid w:val="005140F7"/>
    <w:rsid w:val="00514326"/>
    <w:rsid w:val="00514597"/>
    <w:rsid w:val="00514F8E"/>
    <w:rsid w:val="005150AB"/>
    <w:rsid w:val="0051520F"/>
    <w:rsid w:val="0051557F"/>
    <w:rsid w:val="005159F9"/>
    <w:rsid w:val="00516164"/>
    <w:rsid w:val="005164CC"/>
    <w:rsid w:val="0051666B"/>
    <w:rsid w:val="00516C90"/>
    <w:rsid w:val="0051769B"/>
    <w:rsid w:val="00517D26"/>
    <w:rsid w:val="0052052F"/>
    <w:rsid w:val="00520571"/>
    <w:rsid w:val="00520FBB"/>
    <w:rsid w:val="005212B6"/>
    <w:rsid w:val="00522C8A"/>
    <w:rsid w:val="00523AF8"/>
    <w:rsid w:val="00523B83"/>
    <w:rsid w:val="00523BFF"/>
    <w:rsid w:val="00523F57"/>
    <w:rsid w:val="00523F8F"/>
    <w:rsid w:val="005242BC"/>
    <w:rsid w:val="005248F8"/>
    <w:rsid w:val="00524E1E"/>
    <w:rsid w:val="00524E25"/>
    <w:rsid w:val="00524F92"/>
    <w:rsid w:val="0052565F"/>
    <w:rsid w:val="00525D71"/>
    <w:rsid w:val="00525D92"/>
    <w:rsid w:val="0052654A"/>
    <w:rsid w:val="00526D56"/>
    <w:rsid w:val="00526E9C"/>
    <w:rsid w:val="005278F8"/>
    <w:rsid w:val="00527D11"/>
    <w:rsid w:val="005300ED"/>
    <w:rsid w:val="00530374"/>
    <w:rsid w:val="005306B9"/>
    <w:rsid w:val="005314D8"/>
    <w:rsid w:val="00531656"/>
    <w:rsid w:val="00531706"/>
    <w:rsid w:val="00531F66"/>
    <w:rsid w:val="00532121"/>
    <w:rsid w:val="00532350"/>
    <w:rsid w:val="00532429"/>
    <w:rsid w:val="00532850"/>
    <w:rsid w:val="005328A9"/>
    <w:rsid w:val="00532C7A"/>
    <w:rsid w:val="00532DEF"/>
    <w:rsid w:val="00532E23"/>
    <w:rsid w:val="005331D3"/>
    <w:rsid w:val="005331DA"/>
    <w:rsid w:val="005332FA"/>
    <w:rsid w:val="00533317"/>
    <w:rsid w:val="005334C9"/>
    <w:rsid w:val="005335ED"/>
    <w:rsid w:val="0053446A"/>
    <w:rsid w:val="00534668"/>
    <w:rsid w:val="005346BF"/>
    <w:rsid w:val="0053472D"/>
    <w:rsid w:val="00534E23"/>
    <w:rsid w:val="00535189"/>
    <w:rsid w:val="005356B6"/>
    <w:rsid w:val="00535D75"/>
    <w:rsid w:val="00535FF9"/>
    <w:rsid w:val="0053609B"/>
    <w:rsid w:val="0053655A"/>
    <w:rsid w:val="00536ECF"/>
    <w:rsid w:val="00537355"/>
    <w:rsid w:val="0053740F"/>
    <w:rsid w:val="005406D0"/>
    <w:rsid w:val="00540B60"/>
    <w:rsid w:val="00540D9E"/>
    <w:rsid w:val="0054171A"/>
    <w:rsid w:val="005419E2"/>
    <w:rsid w:val="00541B9A"/>
    <w:rsid w:val="005420CF"/>
    <w:rsid w:val="005420D6"/>
    <w:rsid w:val="005423CF"/>
    <w:rsid w:val="00542B75"/>
    <w:rsid w:val="00542C2A"/>
    <w:rsid w:val="0054337D"/>
    <w:rsid w:val="005434CF"/>
    <w:rsid w:val="005438E3"/>
    <w:rsid w:val="005439A8"/>
    <w:rsid w:val="00543CAC"/>
    <w:rsid w:val="00543CCD"/>
    <w:rsid w:val="00543E51"/>
    <w:rsid w:val="005440E4"/>
    <w:rsid w:val="00544497"/>
    <w:rsid w:val="005447D7"/>
    <w:rsid w:val="005448FE"/>
    <w:rsid w:val="0054544C"/>
    <w:rsid w:val="00545BEC"/>
    <w:rsid w:val="005460BB"/>
    <w:rsid w:val="005468A5"/>
    <w:rsid w:val="00546A1D"/>
    <w:rsid w:val="00546C8E"/>
    <w:rsid w:val="00546CB9"/>
    <w:rsid w:val="00546E83"/>
    <w:rsid w:val="00546ED1"/>
    <w:rsid w:val="005471C3"/>
    <w:rsid w:val="00547725"/>
    <w:rsid w:val="00547886"/>
    <w:rsid w:val="0054795A"/>
    <w:rsid w:val="00550292"/>
    <w:rsid w:val="0055066D"/>
    <w:rsid w:val="005506E5"/>
    <w:rsid w:val="00550B6D"/>
    <w:rsid w:val="00551309"/>
    <w:rsid w:val="00551BDC"/>
    <w:rsid w:val="00551C79"/>
    <w:rsid w:val="00551D80"/>
    <w:rsid w:val="00552426"/>
    <w:rsid w:val="00552604"/>
    <w:rsid w:val="00552DCE"/>
    <w:rsid w:val="00552F1A"/>
    <w:rsid w:val="0055363B"/>
    <w:rsid w:val="00553693"/>
    <w:rsid w:val="005536D5"/>
    <w:rsid w:val="00553848"/>
    <w:rsid w:val="00553934"/>
    <w:rsid w:val="00553B71"/>
    <w:rsid w:val="00553D3C"/>
    <w:rsid w:val="00554596"/>
    <w:rsid w:val="00554664"/>
    <w:rsid w:val="005547BB"/>
    <w:rsid w:val="00554999"/>
    <w:rsid w:val="00554C4D"/>
    <w:rsid w:val="00554DC4"/>
    <w:rsid w:val="00555241"/>
    <w:rsid w:val="00555C08"/>
    <w:rsid w:val="0055622C"/>
    <w:rsid w:val="005564BE"/>
    <w:rsid w:val="00556541"/>
    <w:rsid w:val="00556A43"/>
    <w:rsid w:val="00556A63"/>
    <w:rsid w:val="0055727C"/>
    <w:rsid w:val="00557836"/>
    <w:rsid w:val="00557AA4"/>
    <w:rsid w:val="00557FCE"/>
    <w:rsid w:val="0056087F"/>
    <w:rsid w:val="00560D8A"/>
    <w:rsid w:val="0056121A"/>
    <w:rsid w:val="005617BD"/>
    <w:rsid w:val="00561B79"/>
    <w:rsid w:val="00561E1F"/>
    <w:rsid w:val="00562195"/>
    <w:rsid w:val="0056261D"/>
    <w:rsid w:val="005627AA"/>
    <w:rsid w:val="005627E1"/>
    <w:rsid w:val="005627E6"/>
    <w:rsid w:val="005627F2"/>
    <w:rsid w:val="00562918"/>
    <w:rsid w:val="00562C78"/>
    <w:rsid w:val="00563269"/>
    <w:rsid w:val="00563DD0"/>
    <w:rsid w:val="00564169"/>
    <w:rsid w:val="00564369"/>
    <w:rsid w:val="00564643"/>
    <w:rsid w:val="00564772"/>
    <w:rsid w:val="005654CF"/>
    <w:rsid w:val="00566518"/>
    <w:rsid w:val="005669DA"/>
    <w:rsid w:val="00566B0A"/>
    <w:rsid w:val="0056700C"/>
    <w:rsid w:val="00567613"/>
    <w:rsid w:val="00567D48"/>
    <w:rsid w:val="00567E50"/>
    <w:rsid w:val="005702D2"/>
    <w:rsid w:val="00570A77"/>
    <w:rsid w:val="00570C88"/>
    <w:rsid w:val="005711BF"/>
    <w:rsid w:val="00571206"/>
    <w:rsid w:val="00571228"/>
    <w:rsid w:val="00571295"/>
    <w:rsid w:val="00571640"/>
    <w:rsid w:val="00571678"/>
    <w:rsid w:val="00571902"/>
    <w:rsid w:val="0057194C"/>
    <w:rsid w:val="00571D62"/>
    <w:rsid w:val="005720AF"/>
    <w:rsid w:val="00572150"/>
    <w:rsid w:val="00572283"/>
    <w:rsid w:val="00572F6B"/>
    <w:rsid w:val="00573604"/>
    <w:rsid w:val="00573952"/>
    <w:rsid w:val="00573B3D"/>
    <w:rsid w:val="00573DE2"/>
    <w:rsid w:val="00573F29"/>
    <w:rsid w:val="00574693"/>
    <w:rsid w:val="00574949"/>
    <w:rsid w:val="00574AD1"/>
    <w:rsid w:val="00574FF7"/>
    <w:rsid w:val="0057501B"/>
    <w:rsid w:val="00575F52"/>
    <w:rsid w:val="00575F8F"/>
    <w:rsid w:val="00575F94"/>
    <w:rsid w:val="005762C9"/>
    <w:rsid w:val="0057666F"/>
    <w:rsid w:val="005767F1"/>
    <w:rsid w:val="00576A92"/>
    <w:rsid w:val="00577417"/>
    <w:rsid w:val="005779BD"/>
    <w:rsid w:val="00577E60"/>
    <w:rsid w:val="00577F36"/>
    <w:rsid w:val="00580009"/>
    <w:rsid w:val="00580850"/>
    <w:rsid w:val="00580912"/>
    <w:rsid w:val="00580D6B"/>
    <w:rsid w:val="00580D71"/>
    <w:rsid w:val="00580F14"/>
    <w:rsid w:val="005812AE"/>
    <w:rsid w:val="0058144C"/>
    <w:rsid w:val="0058159E"/>
    <w:rsid w:val="00581F46"/>
    <w:rsid w:val="00581F5D"/>
    <w:rsid w:val="00582234"/>
    <w:rsid w:val="005824FB"/>
    <w:rsid w:val="00582686"/>
    <w:rsid w:val="00582706"/>
    <w:rsid w:val="005829C4"/>
    <w:rsid w:val="00582D45"/>
    <w:rsid w:val="00582E8D"/>
    <w:rsid w:val="00582FA1"/>
    <w:rsid w:val="00582FFE"/>
    <w:rsid w:val="0058313D"/>
    <w:rsid w:val="005843DF"/>
    <w:rsid w:val="00584640"/>
    <w:rsid w:val="005846E8"/>
    <w:rsid w:val="0058513F"/>
    <w:rsid w:val="00585620"/>
    <w:rsid w:val="005860BC"/>
    <w:rsid w:val="005862AF"/>
    <w:rsid w:val="00586CD8"/>
    <w:rsid w:val="00587129"/>
    <w:rsid w:val="0058724D"/>
    <w:rsid w:val="0058725A"/>
    <w:rsid w:val="005872C8"/>
    <w:rsid w:val="00587746"/>
    <w:rsid w:val="005879CE"/>
    <w:rsid w:val="00587D77"/>
    <w:rsid w:val="0059000C"/>
    <w:rsid w:val="00590136"/>
    <w:rsid w:val="00590B24"/>
    <w:rsid w:val="00590B6C"/>
    <w:rsid w:val="00590E74"/>
    <w:rsid w:val="00591392"/>
    <w:rsid w:val="005913B9"/>
    <w:rsid w:val="00591429"/>
    <w:rsid w:val="005915E6"/>
    <w:rsid w:val="00591A74"/>
    <w:rsid w:val="00591BEC"/>
    <w:rsid w:val="00591C20"/>
    <w:rsid w:val="005921E8"/>
    <w:rsid w:val="005924E3"/>
    <w:rsid w:val="00592DE3"/>
    <w:rsid w:val="00593E27"/>
    <w:rsid w:val="00593F41"/>
    <w:rsid w:val="00594948"/>
    <w:rsid w:val="00594ACF"/>
    <w:rsid w:val="005950B2"/>
    <w:rsid w:val="00595154"/>
    <w:rsid w:val="00595296"/>
    <w:rsid w:val="0059551E"/>
    <w:rsid w:val="00595917"/>
    <w:rsid w:val="00595C91"/>
    <w:rsid w:val="005963AF"/>
    <w:rsid w:val="0059665C"/>
    <w:rsid w:val="005969F6"/>
    <w:rsid w:val="00596FAA"/>
    <w:rsid w:val="00596FEB"/>
    <w:rsid w:val="005976CA"/>
    <w:rsid w:val="00597A00"/>
    <w:rsid w:val="00597AB3"/>
    <w:rsid w:val="00597DBB"/>
    <w:rsid w:val="005A050E"/>
    <w:rsid w:val="005A0713"/>
    <w:rsid w:val="005A0A21"/>
    <w:rsid w:val="005A0A74"/>
    <w:rsid w:val="005A118A"/>
    <w:rsid w:val="005A1897"/>
    <w:rsid w:val="005A252B"/>
    <w:rsid w:val="005A2738"/>
    <w:rsid w:val="005A2898"/>
    <w:rsid w:val="005A3B97"/>
    <w:rsid w:val="005A4017"/>
    <w:rsid w:val="005A45EC"/>
    <w:rsid w:val="005A4A89"/>
    <w:rsid w:val="005A55F6"/>
    <w:rsid w:val="005A57CE"/>
    <w:rsid w:val="005A57D4"/>
    <w:rsid w:val="005A5C31"/>
    <w:rsid w:val="005A5DB4"/>
    <w:rsid w:val="005A600A"/>
    <w:rsid w:val="005A6CA2"/>
    <w:rsid w:val="005A706F"/>
    <w:rsid w:val="005A74D9"/>
    <w:rsid w:val="005A7C39"/>
    <w:rsid w:val="005A7E88"/>
    <w:rsid w:val="005A7F92"/>
    <w:rsid w:val="005B01F4"/>
    <w:rsid w:val="005B05BE"/>
    <w:rsid w:val="005B0692"/>
    <w:rsid w:val="005B07C7"/>
    <w:rsid w:val="005B104E"/>
    <w:rsid w:val="005B14C2"/>
    <w:rsid w:val="005B1B4F"/>
    <w:rsid w:val="005B1E76"/>
    <w:rsid w:val="005B20C4"/>
    <w:rsid w:val="005B2237"/>
    <w:rsid w:val="005B22FC"/>
    <w:rsid w:val="005B2520"/>
    <w:rsid w:val="005B2564"/>
    <w:rsid w:val="005B2D65"/>
    <w:rsid w:val="005B2E53"/>
    <w:rsid w:val="005B2F26"/>
    <w:rsid w:val="005B3076"/>
    <w:rsid w:val="005B334E"/>
    <w:rsid w:val="005B360B"/>
    <w:rsid w:val="005B389B"/>
    <w:rsid w:val="005B3B79"/>
    <w:rsid w:val="005B3DA8"/>
    <w:rsid w:val="005B4224"/>
    <w:rsid w:val="005B426C"/>
    <w:rsid w:val="005B467F"/>
    <w:rsid w:val="005B4732"/>
    <w:rsid w:val="005B4B88"/>
    <w:rsid w:val="005B4C25"/>
    <w:rsid w:val="005B4E45"/>
    <w:rsid w:val="005B52D8"/>
    <w:rsid w:val="005B5602"/>
    <w:rsid w:val="005B57E9"/>
    <w:rsid w:val="005B583D"/>
    <w:rsid w:val="005B5A63"/>
    <w:rsid w:val="005B5DAD"/>
    <w:rsid w:val="005B6035"/>
    <w:rsid w:val="005B659A"/>
    <w:rsid w:val="005B65CA"/>
    <w:rsid w:val="005B79C6"/>
    <w:rsid w:val="005C04C0"/>
    <w:rsid w:val="005C07DF"/>
    <w:rsid w:val="005C0912"/>
    <w:rsid w:val="005C1160"/>
    <w:rsid w:val="005C1821"/>
    <w:rsid w:val="005C1912"/>
    <w:rsid w:val="005C1B15"/>
    <w:rsid w:val="005C1B46"/>
    <w:rsid w:val="005C1DE2"/>
    <w:rsid w:val="005C1F7E"/>
    <w:rsid w:val="005C2057"/>
    <w:rsid w:val="005C20A0"/>
    <w:rsid w:val="005C299A"/>
    <w:rsid w:val="005C2DD0"/>
    <w:rsid w:val="005C2EF2"/>
    <w:rsid w:val="005C311F"/>
    <w:rsid w:val="005C31EC"/>
    <w:rsid w:val="005C3234"/>
    <w:rsid w:val="005C34D5"/>
    <w:rsid w:val="005C3AE2"/>
    <w:rsid w:val="005C3DA9"/>
    <w:rsid w:val="005C4F09"/>
    <w:rsid w:val="005C511C"/>
    <w:rsid w:val="005C523E"/>
    <w:rsid w:val="005C5258"/>
    <w:rsid w:val="005C57F7"/>
    <w:rsid w:val="005C5E6A"/>
    <w:rsid w:val="005C63C2"/>
    <w:rsid w:val="005C64B4"/>
    <w:rsid w:val="005C6589"/>
    <w:rsid w:val="005C671A"/>
    <w:rsid w:val="005C694E"/>
    <w:rsid w:val="005C7159"/>
    <w:rsid w:val="005C76FD"/>
    <w:rsid w:val="005C7A6D"/>
    <w:rsid w:val="005C7DC3"/>
    <w:rsid w:val="005D027B"/>
    <w:rsid w:val="005D09FF"/>
    <w:rsid w:val="005D0C0B"/>
    <w:rsid w:val="005D0DAF"/>
    <w:rsid w:val="005D0E2B"/>
    <w:rsid w:val="005D13FE"/>
    <w:rsid w:val="005D14A4"/>
    <w:rsid w:val="005D1A50"/>
    <w:rsid w:val="005D1D83"/>
    <w:rsid w:val="005D2B25"/>
    <w:rsid w:val="005D2D12"/>
    <w:rsid w:val="005D2E2B"/>
    <w:rsid w:val="005D3633"/>
    <w:rsid w:val="005D3D10"/>
    <w:rsid w:val="005D4BA6"/>
    <w:rsid w:val="005D5A3A"/>
    <w:rsid w:val="005D63D9"/>
    <w:rsid w:val="005D65C7"/>
    <w:rsid w:val="005D6947"/>
    <w:rsid w:val="005D6BA6"/>
    <w:rsid w:val="005D6E2B"/>
    <w:rsid w:val="005D71BB"/>
    <w:rsid w:val="005D7565"/>
    <w:rsid w:val="005D78DA"/>
    <w:rsid w:val="005D7D0E"/>
    <w:rsid w:val="005E01C9"/>
    <w:rsid w:val="005E07F3"/>
    <w:rsid w:val="005E0823"/>
    <w:rsid w:val="005E0D53"/>
    <w:rsid w:val="005E1008"/>
    <w:rsid w:val="005E10B7"/>
    <w:rsid w:val="005E11E2"/>
    <w:rsid w:val="005E11E9"/>
    <w:rsid w:val="005E170E"/>
    <w:rsid w:val="005E1717"/>
    <w:rsid w:val="005E1941"/>
    <w:rsid w:val="005E1DDB"/>
    <w:rsid w:val="005E1F3B"/>
    <w:rsid w:val="005E1F3F"/>
    <w:rsid w:val="005E23F5"/>
    <w:rsid w:val="005E250E"/>
    <w:rsid w:val="005E2883"/>
    <w:rsid w:val="005E2961"/>
    <w:rsid w:val="005E2FF7"/>
    <w:rsid w:val="005E30A9"/>
    <w:rsid w:val="005E34F0"/>
    <w:rsid w:val="005E35A9"/>
    <w:rsid w:val="005E3769"/>
    <w:rsid w:val="005E3811"/>
    <w:rsid w:val="005E3B68"/>
    <w:rsid w:val="005E4148"/>
    <w:rsid w:val="005E4455"/>
    <w:rsid w:val="005E4538"/>
    <w:rsid w:val="005E4674"/>
    <w:rsid w:val="005E4AF5"/>
    <w:rsid w:val="005E4F30"/>
    <w:rsid w:val="005E511D"/>
    <w:rsid w:val="005E5675"/>
    <w:rsid w:val="005E56C4"/>
    <w:rsid w:val="005E5BEB"/>
    <w:rsid w:val="005E6369"/>
    <w:rsid w:val="005E652A"/>
    <w:rsid w:val="005E68B2"/>
    <w:rsid w:val="005E6C14"/>
    <w:rsid w:val="005E6F87"/>
    <w:rsid w:val="005E7035"/>
    <w:rsid w:val="005E7038"/>
    <w:rsid w:val="005E79FE"/>
    <w:rsid w:val="005E7ADA"/>
    <w:rsid w:val="005F043C"/>
    <w:rsid w:val="005F0593"/>
    <w:rsid w:val="005F117A"/>
    <w:rsid w:val="005F156A"/>
    <w:rsid w:val="005F1AE6"/>
    <w:rsid w:val="005F1BE8"/>
    <w:rsid w:val="005F1C1F"/>
    <w:rsid w:val="005F20C7"/>
    <w:rsid w:val="005F267F"/>
    <w:rsid w:val="005F29BA"/>
    <w:rsid w:val="005F2ABB"/>
    <w:rsid w:val="005F3375"/>
    <w:rsid w:val="005F354A"/>
    <w:rsid w:val="005F3FBF"/>
    <w:rsid w:val="005F405A"/>
    <w:rsid w:val="005F4391"/>
    <w:rsid w:val="005F570C"/>
    <w:rsid w:val="005F5922"/>
    <w:rsid w:val="005F5BD0"/>
    <w:rsid w:val="005F725D"/>
    <w:rsid w:val="005F74BD"/>
    <w:rsid w:val="005F7D2F"/>
    <w:rsid w:val="006003A9"/>
    <w:rsid w:val="006003EE"/>
    <w:rsid w:val="00600E8E"/>
    <w:rsid w:val="0060145D"/>
    <w:rsid w:val="006017B8"/>
    <w:rsid w:val="006018CA"/>
    <w:rsid w:val="006019E6"/>
    <w:rsid w:val="00601AA5"/>
    <w:rsid w:val="006021EE"/>
    <w:rsid w:val="0060270D"/>
    <w:rsid w:val="00602A5A"/>
    <w:rsid w:val="006034A7"/>
    <w:rsid w:val="006037C0"/>
    <w:rsid w:val="006037CC"/>
    <w:rsid w:val="00603A6B"/>
    <w:rsid w:val="00603DCD"/>
    <w:rsid w:val="006040F2"/>
    <w:rsid w:val="0060449A"/>
    <w:rsid w:val="00604805"/>
    <w:rsid w:val="00604919"/>
    <w:rsid w:val="00604C62"/>
    <w:rsid w:val="00604D61"/>
    <w:rsid w:val="00604EA9"/>
    <w:rsid w:val="00605279"/>
    <w:rsid w:val="0060529E"/>
    <w:rsid w:val="00605384"/>
    <w:rsid w:val="00605829"/>
    <w:rsid w:val="006059CE"/>
    <w:rsid w:val="00605BA8"/>
    <w:rsid w:val="0060601A"/>
    <w:rsid w:val="00606CD7"/>
    <w:rsid w:val="00606FBC"/>
    <w:rsid w:val="006072E8"/>
    <w:rsid w:val="00607C2D"/>
    <w:rsid w:val="00607E71"/>
    <w:rsid w:val="00610178"/>
    <w:rsid w:val="006103A4"/>
    <w:rsid w:val="00610837"/>
    <w:rsid w:val="00610922"/>
    <w:rsid w:val="00610D06"/>
    <w:rsid w:val="00610EC4"/>
    <w:rsid w:val="00611250"/>
    <w:rsid w:val="00611B57"/>
    <w:rsid w:val="00611D8D"/>
    <w:rsid w:val="00612075"/>
    <w:rsid w:val="006122E2"/>
    <w:rsid w:val="006125AA"/>
    <w:rsid w:val="00612638"/>
    <w:rsid w:val="00612C78"/>
    <w:rsid w:val="0061367E"/>
    <w:rsid w:val="00613821"/>
    <w:rsid w:val="00613E9D"/>
    <w:rsid w:val="0061423C"/>
    <w:rsid w:val="0061427C"/>
    <w:rsid w:val="0061444C"/>
    <w:rsid w:val="006147F4"/>
    <w:rsid w:val="00614D83"/>
    <w:rsid w:val="00615053"/>
    <w:rsid w:val="006150FD"/>
    <w:rsid w:val="00615136"/>
    <w:rsid w:val="00615427"/>
    <w:rsid w:val="006154F0"/>
    <w:rsid w:val="006155C4"/>
    <w:rsid w:val="00615DED"/>
    <w:rsid w:val="00615FAB"/>
    <w:rsid w:val="00616105"/>
    <w:rsid w:val="006161F8"/>
    <w:rsid w:val="006169BB"/>
    <w:rsid w:val="00616B50"/>
    <w:rsid w:val="00616F11"/>
    <w:rsid w:val="0061748A"/>
    <w:rsid w:val="006177F0"/>
    <w:rsid w:val="0062005F"/>
    <w:rsid w:val="00620165"/>
    <w:rsid w:val="006201DC"/>
    <w:rsid w:val="0062039B"/>
    <w:rsid w:val="00620985"/>
    <w:rsid w:val="00620BD5"/>
    <w:rsid w:val="006211AA"/>
    <w:rsid w:val="00621B17"/>
    <w:rsid w:val="00622289"/>
    <w:rsid w:val="00622344"/>
    <w:rsid w:val="00622543"/>
    <w:rsid w:val="0062261D"/>
    <w:rsid w:val="00622643"/>
    <w:rsid w:val="00622676"/>
    <w:rsid w:val="00623312"/>
    <w:rsid w:val="0062351E"/>
    <w:rsid w:val="00623D80"/>
    <w:rsid w:val="00623E92"/>
    <w:rsid w:val="00623E93"/>
    <w:rsid w:val="00624322"/>
    <w:rsid w:val="00624406"/>
    <w:rsid w:val="006248E3"/>
    <w:rsid w:val="00625685"/>
    <w:rsid w:val="0062577D"/>
    <w:rsid w:val="00625AE0"/>
    <w:rsid w:val="00625D3D"/>
    <w:rsid w:val="00625DB6"/>
    <w:rsid w:val="00626280"/>
    <w:rsid w:val="00626CAC"/>
    <w:rsid w:val="006276ED"/>
    <w:rsid w:val="00627AD4"/>
    <w:rsid w:val="00630F33"/>
    <w:rsid w:val="006312A4"/>
    <w:rsid w:val="006312F8"/>
    <w:rsid w:val="006313C9"/>
    <w:rsid w:val="006317D2"/>
    <w:rsid w:val="00631BFE"/>
    <w:rsid w:val="00631C0F"/>
    <w:rsid w:val="0063210D"/>
    <w:rsid w:val="0063261C"/>
    <w:rsid w:val="006326BD"/>
    <w:rsid w:val="00632B09"/>
    <w:rsid w:val="006337EA"/>
    <w:rsid w:val="00633F9B"/>
    <w:rsid w:val="00634871"/>
    <w:rsid w:val="006348ED"/>
    <w:rsid w:val="00634DF1"/>
    <w:rsid w:val="006355E6"/>
    <w:rsid w:val="0063593A"/>
    <w:rsid w:val="00635EFB"/>
    <w:rsid w:val="006366F8"/>
    <w:rsid w:val="00636A18"/>
    <w:rsid w:val="00636A48"/>
    <w:rsid w:val="00636C14"/>
    <w:rsid w:val="00636C52"/>
    <w:rsid w:val="0063771E"/>
    <w:rsid w:val="006401D2"/>
    <w:rsid w:val="0064038A"/>
    <w:rsid w:val="006406A6"/>
    <w:rsid w:val="006409F7"/>
    <w:rsid w:val="00640A17"/>
    <w:rsid w:val="00640A5A"/>
    <w:rsid w:val="00640BE3"/>
    <w:rsid w:val="00640C80"/>
    <w:rsid w:val="00640E6C"/>
    <w:rsid w:val="00641820"/>
    <w:rsid w:val="00641A99"/>
    <w:rsid w:val="00641F77"/>
    <w:rsid w:val="00642351"/>
    <w:rsid w:val="006424F7"/>
    <w:rsid w:val="00642A2C"/>
    <w:rsid w:val="00642B51"/>
    <w:rsid w:val="00642C32"/>
    <w:rsid w:val="0064314E"/>
    <w:rsid w:val="006433D0"/>
    <w:rsid w:val="00643467"/>
    <w:rsid w:val="00643A31"/>
    <w:rsid w:val="00643AAE"/>
    <w:rsid w:val="00643FAF"/>
    <w:rsid w:val="00644394"/>
    <w:rsid w:val="006443DD"/>
    <w:rsid w:val="006446AE"/>
    <w:rsid w:val="006446DF"/>
    <w:rsid w:val="006447B3"/>
    <w:rsid w:val="00644A9F"/>
    <w:rsid w:val="00645EB1"/>
    <w:rsid w:val="00646037"/>
    <w:rsid w:val="0064660F"/>
    <w:rsid w:val="00646BA0"/>
    <w:rsid w:val="00646E09"/>
    <w:rsid w:val="00646F54"/>
    <w:rsid w:val="006476B0"/>
    <w:rsid w:val="00647DF9"/>
    <w:rsid w:val="0065002D"/>
    <w:rsid w:val="0065014C"/>
    <w:rsid w:val="00650254"/>
    <w:rsid w:val="006502BB"/>
    <w:rsid w:val="006511BF"/>
    <w:rsid w:val="0065159E"/>
    <w:rsid w:val="006515EF"/>
    <w:rsid w:val="00651FCE"/>
    <w:rsid w:val="0065219E"/>
    <w:rsid w:val="00652202"/>
    <w:rsid w:val="0065227F"/>
    <w:rsid w:val="0065234B"/>
    <w:rsid w:val="006530E2"/>
    <w:rsid w:val="006535DE"/>
    <w:rsid w:val="006538F2"/>
    <w:rsid w:val="006542B9"/>
    <w:rsid w:val="00654342"/>
    <w:rsid w:val="0065453F"/>
    <w:rsid w:val="00654758"/>
    <w:rsid w:val="00654B2A"/>
    <w:rsid w:val="00656256"/>
    <w:rsid w:val="006563FC"/>
    <w:rsid w:val="00656422"/>
    <w:rsid w:val="00656777"/>
    <w:rsid w:val="00656796"/>
    <w:rsid w:val="006569AF"/>
    <w:rsid w:val="006569B1"/>
    <w:rsid w:val="00656D11"/>
    <w:rsid w:val="00656EAE"/>
    <w:rsid w:val="00656F61"/>
    <w:rsid w:val="00657269"/>
    <w:rsid w:val="00657344"/>
    <w:rsid w:val="00657AE2"/>
    <w:rsid w:val="00660186"/>
    <w:rsid w:val="006602CF"/>
    <w:rsid w:val="00660F20"/>
    <w:rsid w:val="00660FB0"/>
    <w:rsid w:val="00661356"/>
    <w:rsid w:val="00661FA9"/>
    <w:rsid w:val="0066228C"/>
    <w:rsid w:val="006622CF"/>
    <w:rsid w:val="00662399"/>
    <w:rsid w:val="006628D0"/>
    <w:rsid w:val="0066292F"/>
    <w:rsid w:val="00662D68"/>
    <w:rsid w:val="006631BA"/>
    <w:rsid w:val="00663205"/>
    <w:rsid w:val="00663E53"/>
    <w:rsid w:val="00664A30"/>
    <w:rsid w:val="00664B40"/>
    <w:rsid w:val="00664C5D"/>
    <w:rsid w:val="006652C0"/>
    <w:rsid w:val="006652FD"/>
    <w:rsid w:val="006653DF"/>
    <w:rsid w:val="006654BB"/>
    <w:rsid w:val="00665679"/>
    <w:rsid w:val="0066568C"/>
    <w:rsid w:val="0066590A"/>
    <w:rsid w:val="00665937"/>
    <w:rsid w:val="00665DB7"/>
    <w:rsid w:val="00666038"/>
    <w:rsid w:val="006662DF"/>
    <w:rsid w:val="0066633F"/>
    <w:rsid w:val="00666370"/>
    <w:rsid w:val="0066646F"/>
    <w:rsid w:val="00666775"/>
    <w:rsid w:val="00666A5B"/>
    <w:rsid w:val="00666C67"/>
    <w:rsid w:val="00666CB8"/>
    <w:rsid w:val="00667306"/>
    <w:rsid w:val="00667519"/>
    <w:rsid w:val="0066768F"/>
    <w:rsid w:val="00667BEA"/>
    <w:rsid w:val="006701F6"/>
    <w:rsid w:val="00670532"/>
    <w:rsid w:val="00670AA7"/>
    <w:rsid w:val="00670EFB"/>
    <w:rsid w:val="00671380"/>
    <w:rsid w:val="00671391"/>
    <w:rsid w:val="006713F9"/>
    <w:rsid w:val="006715DC"/>
    <w:rsid w:val="006715FF"/>
    <w:rsid w:val="00671C24"/>
    <w:rsid w:val="006720A4"/>
    <w:rsid w:val="00672F3E"/>
    <w:rsid w:val="00672FF4"/>
    <w:rsid w:val="00673BF2"/>
    <w:rsid w:val="00673C58"/>
    <w:rsid w:val="0067494B"/>
    <w:rsid w:val="00674DB0"/>
    <w:rsid w:val="00675296"/>
    <w:rsid w:val="006758C3"/>
    <w:rsid w:val="00675DF8"/>
    <w:rsid w:val="006761BE"/>
    <w:rsid w:val="006766B8"/>
    <w:rsid w:val="00677091"/>
    <w:rsid w:val="00677143"/>
    <w:rsid w:val="0067717D"/>
    <w:rsid w:val="006807E1"/>
    <w:rsid w:val="006809A0"/>
    <w:rsid w:val="00680C81"/>
    <w:rsid w:val="00680C9A"/>
    <w:rsid w:val="00680DE4"/>
    <w:rsid w:val="0068116A"/>
    <w:rsid w:val="00681353"/>
    <w:rsid w:val="00681663"/>
    <w:rsid w:val="006819C2"/>
    <w:rsid w:val="00681D8B"/>
    <w:rsid w:val="00681EF3"/>
    <w:rsid w:val="006823D9"/>
    <w:rsid w:val="00682434"/>
    <w:rsid w:val="00682741"/>
    <w:rsid w:val="006827CF"/>
    <w:rsid w:val="00683235"/>
    <w:rsid w:val="00683367"/>
    <w:rsid w:val="00683B8F"/>
    <w:rsid w:val="006841B1"/>
    <w:rsid w:val="006841F4"/>
    <w:rsid w:val="0068436A"/>
    <w:rsid w:val="0068454F"/>
    <w:rsid w:val="00684A55"/>
    <w:rsid w:val="00684E30"/>
    <w:rsid w:val="0068523F"/>
    <w:rsid w:val="006855A0"/>
    <w:rsid w:val="00685BE5"/>
    <w:rsid w:val="006861C4"/>
    <w:rsid w:val="00686494"/>
    <w:rsid w:val="006864D8"/>
    <w:rsid w:val="00686525"/>
    <w:rsid w:val="0068674B"/>
    <w:rsid w:val="00686C10"/>
    <w:rsid w:val="00686C23"/>
    <w:rsid w:val="00686EE5"/>
    <w:rsid w:val="00687033"/>
    <w:rsid w:val="0068762F"/>
    <w:rsid w:val="00687774"/>
    <w:rsid w:val="00687D28"/>
    <w:rsid w:val="00687EC6"/>
    <w:rsid w:val="00690AC8"/>
    <w:rsid w:val="00690CCF"/>
    <w:rsid w:val="00690E24"/>
    <w:rsid w:val="00691626"/>
    <w:rsid w:val="0069167D"/>
    <w:rsid w:val="00692A7E"/>
    <w:rsid w:val="00692F2B"/>
    <w:rsid w:val="00693053"/>
    <w:rsid w:val="00693166"/>
    <w:rsid w:val="006936CD"/>
    <w:rsid w:val="0069391C"/>
    <w:rsid w:val="00693EA8"/>
    <w:rsid w:val="00694188"/>
    <w:rsid w:val="00694430"/>
    <w:rsid w:val="00694731"/>
    <w:rsid w:val="0069493D"/>
    <w:rsid w:val="00694C13"/>
    <w:rsid w:val="00694ECA"/>
    <w:rsid w:val="00694FF9"/>
    <w:rsid w:val="0069620B"/>
    <w:rsid w:val="00696363"/>
    <w:rsid w:val="0069659F"/>
    <w:rsid w:val="00696801"/>
    <w:rsid w:val="00696F04"/>
    <w:rsid w:val="0069709C"/>
    <w:rsid w:val="0069758F"/>
    <w:rsid w:val="0069767A"/>
    <w:rsid w:val="006978DB"/>
    <w:rsid w:val="00697989"/>
    <w:rsid w:val="006979EF"/>
    <w:rsid w:val="006A049D"/>
    <w:rsid w:val="006A0623"/>
    <w:rsid w:val="006A0DCE"/>
    <w:rsid w:val="006A12AE"/>
    <w:rsid w:val="006A12E9"/>
    <w:rsid w:val="006A1BC6"/>
    <w:rsid w:val="006A272F"/>
    <w:rsid w:val="006A2842"/>
    <w:rsid w:val="006A2855"/>
    <w:rsid w:val="006A2B81"/>
    <w:rsid w:val="006A300A"/>
    <w:rsid w:val="006A32FB"/>
    <w:rsid w:val="006A393F"/>
    <w:rsid w:val="006A4443"/>
    <w:rsid w:val="006A4976"/>
    <w:rsid w:val="006A4B14"/>
    <w:rsid w:val="006A54EF"/>
    <w:rsid w:val="006A58A2"/>
    <w:rsid w:val="006A5A39"/>
    <w:rsid w:val="006A5C7F"/>
    <w:rsid w:val="006A5F5C"/>
    <w:rsid w:val="006A6263"/>
    <w:rsid w:val="006A6484"/>
    <w:rsid w:val="006A652E"/>
    <w:rsid w:val="006A67D8"/>
    <w:rsid w:val="006A6D0A"/>
    <w:rsid w:val="006A6FAE"/>
    <w:rsid w:val="006A745D"/>
    <w:rsid w:val="006A7C98"/>
    <w:rsid w:val="006A7DAA"/>
    <w:rsid w:val="006A7EA3"/>
    <w:rsid w:val="006B022C"/>
    <w:rsid w:val="006B06CD"/>
    <w:rsid w:val="006B07D8"/>
    <w:rsid w:val="006B0CEB"/>
    <w:rsid w:val="006B13C1"/>
    <w:rsid w:val="006B1707"/>
    <w:rsid w:val="006B1B45"/>
    <w:rsid w:val="006B1CE8"/>
    <w:rsid w:val="006B1F80"/>
    <w:rsid w:val="006B2194"/>
    <w:rsid w:val="006B2489"/>
    <w:rsid w:val="006B271B"/>
    <w:rsid w:val="006B2E64"/>
    <w:rsid w:val="006B3215"/>
    <w:rsid w:val="006B3348"/>
    <w:rsid w:val="006B3448"/>
    <w:rsid w:val="006B35F1"/>
    <w:rsid w:val="006B4346"/>
    <w:rsid w:val="006B44BA"/>
    <w:rsid w:val="006B4A1E"/>
    <w:rsid w:val="006B4F5C"/>
    <w:rsid w:val="006B5062"/>
    <w:rsid w:val="006B50A3"/>
    <w:rsid w:val="006B554A"/>
    <w:rsid w:val="006B5725"/>
    <w:rsid w:val="006B6BDE"/>
    <w:rsid w:val="006B6CBE"/>
    <w:rsid w:val="006B71E4"/>
    <w:rsid w:val="006B721B"/>
    <w:rsid w:val="006B721D"/>
    <w:rsid w:val="006B7256"/>
    <w:rsid w:val="006B7364"/>
    <w:rsid w:val="006C00B5"/>
    <w:rsid w:val="006C04B0"/>
    <w:rsid w:val="006C062E"/>
    <w:rsid w:val="006C0AD7"/>
    <w:rsid w:val="006C1170"/>
    <w:rsid w:val="006C17D4"/>
    <w:rsid w:val="006C1A53"/>
    <w:rsid w:val="006C1D88"/>
    <w:rsid w:val="006C2506"/>
    <w:rsid w:val="006C2793"/>
    <w:rsid w:val="006C2952"/>
    <w:rsid w:val="006C3343"/>
    <w:rsid w:val="006C348B"/>
    <w:rsid w:val="006C34C1"/>
    <w:rsid w:val="006C374C"/>
    <w:rsid w:val="006C3974"/>
    <w:rsid w:val="006C441B"/>
    <w:rsid w:val="006C4B43"/>
    <w:rsid w:val="006C4E73"/>
    <w:rsid w:val="006C4EB7"/>
    <w:rsid w:val="006C5014"/>
    <w:rsid w:val="006C565B"/>
    <w:rsid w:val="006C5D35"/>
    <w:rsid w:val="006C6470"/>
    <w:rsid w:val="006C6633"/>
    <w:rsid w:val="006C75FA"/>
    <w:rsid w:val="006C7EE5"/>
    <w:rsid w:val="006C7FAC"/>
    <w:rsid w:val="006D002D"/>
    <w:rsid w:val="006D040A"/>
    <w:rsid w:val="006D0421"/>
    <w:rsid w:val="006D047B"/>
    <w:rsid w:val="006D05BF"/>
    <w:rsid w:val="006D0655"/>
    <w:rsid w:val="006D0F86"/>
    <w:rsid w:val="006D13C5"/>
    <w:rsid w:val="006D1480"/>
    <w:rsid w:val="006D1D18"/>
    <w:rsid w:val="006D2413"/>
    <w:rsid w:val="006D2594"/>
    <w:rsid w:val="006D2BD4"/>
    <w:rsid w:val="006D2F2E"/>
    <w:rsid w:val="006D3530"/>
    <w:rsid w:val="006D36C9"/>
    <w:rsid w:val="006D3BF4"/>
    <w:rsid w:val="006D407D"/>
    <w:rsid w:val="006D4343"/>
    <w:rsid w:val="006D4721"/>
    <w:rsid w:val="006D477F"/>
    <w:rsid w:val="006D47BC"/>
    <w:rsid w:val="006D4ACA"/>
    <w:rsid w:val="006D4B0A"/>
    <w:rsid w:val="006D4E9E"/>
    <w:rsid w:val="006D4F07"/>
    <w:rsid w:val="006D5843"/>
    <w:rsid w:val="006D6871"/>
    <w:rsid w:val="006D6CA2"/>
    <w:rsid w:val="006D71D3"/>
    <w:rsid w:val="006E02F2"/>
    <w:rsid w:val="006E1BA4"/>
    <w:rsid w:val="006E1FB4"/>
    <w:rsid w:val="006E23E0"/>
    <w:rsid w:val="006E24D7"/>
    <w:rsid w:val="006E3415"/>
    <w:rsid w:val="006E3962"/>
    <w:rsid w:val="006E3A8F"/>
    <w:rsid w:val="006E3F3C"/>
    <w:rsid w:val="006E404F"/>
    <w:rsid w:val="006E4516"/>
    <w:rsid w:val="006E464C"/>
    <w:rsid w:val="006E4970"/>
    <w:rsid w:val="006E4A6B"/>
    <w:rsid w:val="006E4CCB"/>
    <w:rsid w:val="006E4CCC"/>
    <w:rsid w:val="006E516B"/>
    <w:rsid w:val="006E559F"/>
    <w:rsid w:val="006E60E1"/>
    <w:rsid w:val="006E64FC"/>
    <w:rsid w:val="006E6536"/>
    <w:rsid w:val="006E6A28"/>
    <w:rsid w:val="006E6B1D"/>
    <w:rsid w:val="006E7542"/>
    <w:rsid w:val="006E77E5"/>
    <w:rsid w:val="006E78A4"/>
    <w:rsid w:val="006E7A04"/>
    <w:rsid w:val="006E7B89"/>
    <w:rsid w:val="006E7E43"/>
    <w:rsid w:val="006F065D"/>
    <w:rsid w:val="006F0B1D"/>
    <w:rsid w:val="006F0C10"/>
    <w:rsid w:val="006F14B1"/>
    <w:rsid w:val="006F2860"/>
    <w:rsid w:val="006F290B"/>
    <w:rsid w:val="006F29B4"/>
    <w:rsid w:val="006F350F"/>
    <w:rsid w:val="006F36F0"/>
    <w:rsid w:val="006F3AB8"/>
    <w:rsid w:val="006F3C48"/>
    <w:rsid w:val="006F3F45"/>
    <w:rsid w:val="006F46FC"/>
    <w:rsid w:val="006F533D"/>
    <w:rsid w:val="006F6D3E"/>
    <w:rsid w:val="006F6DDA"/>
    <w:rsid w:val="006F6FFA"/>
    <w:rsid w:val="006F7041"/>
    <w:rsid w:val="006F7109"/>
    <w:rsid w:val="006F726F"/>
    <w:rsid w:val="006F77A9"/>
    <w:rsid w:val="006F7BBD"/>
    <w:rsid w:val="006F7CBA"/>
    <w:rsid w:val="0070068B"/>
    <w:rsid w:val="00700990"/>
    <w:rsid w:val="00700AB3"/>
    <w:rsid w:val="00700CF4"/>
    <w:rsid w:val="00701179"/>
    <w:rsid w:val="007016BE"/>
    <w:rsid w:val="00701816"/>
    <w:rsid w:val="00702038"/>
    <w:rsid w:val="007025A3"/>
    <w:rsid w:val="00702A5C"/>
    <w:rsid w:val="007030B9"/>
    <w:rsid w:val="00703181"/>
    <w:rsid w:val="007034E5"/>
    <w:rsid w:val="00703505"/>
    <w:rsid w:val="00703713"/>
    <w:rsid w:val="00703B08"/>
    <w:rsid w:val="00704001"/>
    <w:rsid w:val="007042E7"/>
    <w:rsid w:val="007044EC"/>
    <w:rsid w:val="00704571"/>
    <w:rsid w:val="0070469F"/>
    <w:rsid w:val="007048F0"/>
    <w:rsid w:val="00705209"/>
    <w:rsid w:val="00705362"/>
    <w:rsid w:val="00705793"/>
    <w:rsid w:val="00705FAD"/>
    <w:rsid w:val="0070604E"/>
    <w:rsid w:val="00706227"/>
    <w:rsid w:val="00706DF0"/>
    <w:rsid w:val="00706EEE"/>
    <w:rsid w:val="00706F63"/>
    <w:rsid w:val="0070718C"/>
    <w:rsid w:val="00707670"/>
    <w:rsid w:val="00707E44"/>
    <w:rsid w:val="0071016B"/>
    <w:rsid w:val="00710339"/>
    <w:rsid w:val="00710630"/>
    <w:rsid w:val="00710C71"/>
    <w:rsid w:val="00710F4A"/>
    <w:rsid w:val="00711526"/>
    <w:rsid w:val="0071165C"/>
    <w:rsid w:val="00711B5F"/>
    <w:rsid w:val="00711CAD"/>
    <w:rsid w:val="0071201B"/>
    <w:rsid w:val="007128F7"/>
    <w:rsid w:val="00712915"/>
    <w:rsid w:val="0071320C"/>
    <w:rsid w:val="0071356F"/>
    <w:rsid w:val="00713BCB"/>
    <w:rsid w:val="00713DC8"/>
    <w:rsid w:val="00714166"/>
    <w:rsid w:val="007153F0"/>
    <w:rsid w:val="007154CF"/>
    <w:rsid w:val="007159A1"/>
    <w:rsid w:val="00715CFE"/>
    <w:rsid w:val="00716550"/>
    <w:rsid w:val="007167FF"/>
    <w:rsid w:val="00716812"/>
    <w:rsid w:val="00716B78"/>
    <w:rsid w:val="00716C0F"/>
    <w:rsid w:val="007171DB"/>
    <w:rsid w:val="00717651"/>
    <w:rsid w:val="0071796A"/>
    <w:rsid w:val="00717A8D"/>
    <w:rsid w:val="00717BF6"/>
    <w:rsid w:val="00717C21"/>
    <w:rsid w:val="00717F9F"/>
    <w:rsid w:val="00720493"/>
    <w:rsid w:val="007209F2"/>
    <w:rsid w:val="00720B9E"/>
    <w:rsid w:val="0072128E"/>
    <w:rsid w:val="00721514"/>
    <w:rsid w:val="007217CB"/>
    <w:rsid w:val="00721887"/>
    <w:rsid w:val="00721962"/>
    <w:rsid w:val="00721CC5"/>
    <w:rsid w:val="00721D7F"/>
    <w:rsid w:val="00721DE0"/>
    <w:rsid w:val="007224ED"/>
    <w:rsid w:val="00722FBB"/>
    <w:rsid w:val="00722FD8"/>
    <w:rsid w:val="0072366C"/>
    <w:rsid w:val="00723865"/>
    <w:rsid w:val="00723B9D"/>
    <w:rsid w:val="00724291"/>
    <w:rsid w:val="007247A1"/>
    <w:rsid w:val="007247A6"/>
    <w:rsid w:val="007247DD"/>
    <w:rsid w:val="00724D0C"/>
    <w:rsid w:val="00725190"/>
    <w:rsid w:val="0072590A"/>
    <w:rsid w:val="00725996"/>
    <w:rsid w:val="00725BAC"/>
    <w:rsid w:val="00726886"/>
    <w:rsid w:val="0072724E"/>
    <w:rsid w:val="00727381"/>
    <w:rsid w:val="00727566"/>
    <w:rsid w:val="00727924"/>
    <w:rsid w:val="00730896"/>
    <w:rsid w:val="00731044"/>
    <w:rsid w:val="007310CE"/>
    <w:rsid w:val="007314BA"/>
    <w:rsid w:val="007319B3"/>
    <w:rsid w:val="00732303"/>
    <w:rsid w:val="00732A2D"/>
    <w:rsid w:val="00732D06"/>
    <w:rsid w:val="0073377D"/>
    <w:rsid w:val="00733D78"/>
    <w:rsid w:val="00733E70"/>
    <w:rsid w:val="00733FFC"/>
    <w:rsid w:val="0073438B"/>
    <w:rsid w:val="007343F1"/>
    <w:rsid w:val="00734428"/>
    <w:rsid w:val="007347C7"/>
    <w:rsid w:val="00734864"/>
    <w:rsid w:val="0073490E"/>
    <w:rsid w:val="00734F75"/>
    <w:rsid w:val="00734FE8"/>
    <w:rsid w:val="0073511B"/>
    <w:rsid w:val="0073536C"/>
    <w:rsid w:val="007357EC"/>
    <w:rsid w:val="007359A2"/>
    <w:rsid w:val="007359BD"/>
    <w:rsid w:val="007360A9"/>
    <w:rsid w:val="0073699B"/>
    <w:rsid w:val="00736A09"/>
    <w:rsid w:val="0073710F"/>
    <w:rsid w:val="00737362"/>
    <w:rsid w:val="00737707"/>
    <w:rsid w:val="00737753"/>
    <w:rsid w:val="00737882"/>
    <w:rsid w:val="00737D49"/>
    <w:rsid w:val="007405A3"/>
    <w:rsid w:val="007409AA"/>
    <w:rsid w:val="00740E1B"/>
    <w:rsid w:val="00740EE3"/>
    <w:rsid w:val="007410D2"/>
    <w:rsid w:val="007411F4"/>
    <w:rsid w:val="007413BF"/>
    <w:rsid w:val="00741968"/>
    <w:rsid w:val="00741BDD"/>
    <w:rsid w:val="007423E9"/>
    <w:rsid w:val="00742530"/>
    <w:rsid w:val="00742F63"/>
    <w:rsid w:val="007438D0"/>
    <w:rsid w:val="00743A58"/>
    <w:rsid w:val="00743D1C"/>
    <w:rsid w:val="00743D29"/>
    <w:rsid w:val="00744024"/>
    <w:rsid w:val="0074406C"/>
    <w:rsid w:val="00744146"/>
    <w:rsid w:val="0074472C"/>
    <w:rsid w:val="00744B1B"/>
    <w:rsid w:val="00745023"/>
    <w:rsid w:val="00745153"/>
    <w:rsid w:val="00745844"/>
    <w:rsid w:val="0074589E"/>
    <w:rsid w:val="00745D64"/>
    <w:rsid w:val="007460ED"/>
    <w:rsid w:val="0074661C"/>
    <w:rsid w:val="007467B0"/>
    <w:rsid w:val="00746A2F"/>
    <w:rsid w:val="00746B1E"/>
    <w:rsid w:val="007472EF"/>
    <w:rsid w:val="00747669"/>
    <w:rsid w:val="0074771E"/>
    <w:rsid w:val="007478AF"/>
    <w:rsid w:val="00747A9A"/>
    <w:rsid w:val="00747AFE"/>
    <w:rsid w:val="00750922"/>
    <w:rsid w:val="00751097"/>
    <w:rsid w:val="007519F6"/>
    <w:rsid w:val="00751E1F"/>
    <w:rsid w:val="0075296E"/>
    <w:rsid w:val="00752C51"/>
    <w:rsid w:val="00752F33"/>
    <w:rsid w:val="00753046"/>
    <w:rsid w:val="0075319C"/>
    <w:rsid w:val="007531A5"/>
    <w:rsid w:val="007535E3"/>
    <w:rsid w:val="00753FCB"/>
    <w:rsid w:val="007542B1"/>
    <w:rsid w:val="007545D7"/>
    <w:rsid w:val="00754A0F"/>
    <w:rsid w:val="007550FE"/>
    <w:rsid w:val="00755EE8"/>
    <w:rsid w:val="0075603B"/>
    <w:rsid w:val="00756609"/>
    <w:rsid w:val="007566A7"/>
    <w:rsid w:val="007567D2"/>
    <w:rsid w:val="00756E30"/>
    <w:rsid w:val="0075707E"/>
    <w:rsid w:val="00757941"/>
    <w:rsid w:val="0076005C"/>
    <w:rsid w:val="007606E7"/>
    <w:rsid w:val="007606EC"/>
    <w:rsid w:val="00760C28"/>
    <w:rsid w:val="007615C0"/>
    <w:rsid w:val="0076181E"/>
    <w:rsid w:val="00761948"/>
    <w:rsid w:val="00761F21"/>
    <w:rsid w:val="00762FCA"/>
    <w:rsid w:val="007639A5"/>
    <w:rsid w:val="00763DE8"/>
    <w:rsid w:val="00763EE9"/>
    <w:rsid w:val="00764375"/>
    <w:rsid w:val="007653BF"/>
    <w:rsid w:val="00765630"/>
    <w:rsid w:val="00765919"/>
    <w:rsid w:val="00765CA3"/>
    <w:rsid w:val="007661BB"/>
    <w:rsid w:val="0076653E"/>
    <w:rsid w:val="00766647"/>
    <w:rsid w:val="0076786D"/>
    <w:rsid w:val="007700F8"/>
    <w:rsid w:val="007701D4"/>
    <w:rsid w:val="00770685"/>
    <w:rsid w:val="0077094D"/>
    <w:rsid w:val="00770E63"/>
    <w:rsid w:val="00771D61"/>
    <w:rsid w:val="00771EC7"/>
    <w:rsid w:val="00772244"/>
    <w:rsid w:val="00772964"/>
    <w:rsid w:val="00772D0D"/>
    <w:rsid w:val="0077319D"/>
    <w:rsid w:val="0077372B"/>
    <w:rsid w:val="00773C06"/>
    <w:rsid w:val="00774311"/>
    <w:rsid w:val="00774469"/>
    <w:rsid w:val="007744B2"/>
    <w:rsid w:val="00774752"/>
    <w:rsid w:val="00774913"/>
    <w:rsid w:val="00774DD2"/>
    <w:rsid w:val="00775154"/>
    <w:rsid w:val="00775291"/>
    <w:rsid w:val="0077594E"/>
    <w:rsid w:val="00775FB9"/>
    <w:rsid w:val="00776268"/>
    <w:rsid w:val="00776DD3"/>
    <w:rsid w:val="00776E9E"/>
    <w:rsid w:val="00777495"/>
    <w:rsid w:val="00777C2C"/>
    <w:rsid w:val="00777F38"/>
    <w:rsid w:val="0078016F"/>
    <w:rsid w:val="007804B1"/>
    <w:rsid w:val="00780588"/>
    <w:rsid w:val="007805EC"/>
    <w:rsid w:val="007807E9"/>
    <w:rsid w:val="007807EA"/>
    <w:rsid w:val="007808A4"/>
    <w:rsid w:val="00780928"/>
    <w:rsid w:val="0078097A"/>
    <w:rsid w:val="00780B0E"/>
    <w:rsid w:val="00781689"/>
    <w:rsid w:val="00781F85"/>
    <w:rsid w:val="00782394"/>
    <w:rsid w:val="00782848"/>
    <w:rsid w:val="007829B1"/>
    <w:rsid w:val="00782C5A"/>
    <w:rsid w:val="00782D28"/>
    <w:rsid w:val="007834C1"/>
    <w:rsid w:val="00783873"/>
    <w:rsid w:val="00783F1A"/>
    <w:rsid w:val="007847D1"/>
    <w:rsid w:val="00784924"/>
    <w:rsid w:val="00785B0C"/>
    <w:rsid w:val="00785D82"/>
    <w:rsid w:val="00785DE4"/>
    <w:rsid w:val="0078647B"/>
    <w:rsid w:val="00786627"/>
    <w:rsid w:val="007866B1"/>
    <w:rsid w:val="0078695B"/>
    <w:rsid w:val="00786ED4"/>
    <w:rsid w:val="0078716F"/>
    <w:rsid w:val="00787256"/>
    <w:rsid w:val="007873C8"/>
    <w:rsid w:val="007878EA"/>
    <w:rsid w:val="0078793D"/>
    <w:rsid w:val="00787F80"/>
    <w:rsid w:val="007907DD"/>
    <w:rsid w:val="00790F50"/>
    <w:rsid w:val="00791374"/>
    <w:rsid w:val="007921C7"/>
    <w:rsid w:val="007922D1"/>
    <w:rsid w:val="0079263D"/>
    <w:rsid w:val="00792712"/>
    <w:rsid w:val="007929C5"/>
    <w:rsid w:val="00792B66"/>
    <w:rsid w:val="0079301E"/>
    <w:rsid w:val="0079352C"/>
    <w:rsid w:val="007937E7"/>
    <w:rsid w:val="00793B34"/>
    <w:rsid w:val="00793B84"/>
    <w:rsid w:val="00793CBC"/>
    <w:rsid w:val="00793D87"/>
    <w:rsid w:val="007943C0"/>
    <w:rsid w:val="007944EC"/>
    <w:rsid w:val="00794795"/>
    <w:rsid w:val="007949E6"/>
    <w:rsid w:val="00794C18"/>
    <w:rsid w:val="00794CC2"/>
    <w:rsid w:val="00794D98"/>
    <w:rsid w:val="00794F29"/>
    <w:rsid w:val="007954BD"/>
    <w:rsid w:val="0079563E"/>
    <w:rsid w:val="00795767"/>
    <w:rsid w:val="00795A2A"/>
    <w:rsid w:val="00795E7E"/>
    <w:rsid w:val="007964B5"/>
    <w:rsid w:val="00796A67"/>
    <w:rsid w:val="007972BC"/>
    <w:rsid w:val="007972FB"/>
    <w:rsid w:val="007977AD"/>
    <w:rsid w:val="007978FC"/>
    <w:rsid w:val="00797DEC"/>
    <w:rsid w:val="007A02BC"/>
    <w:rsid w:val="007A099F"/>
    <w:rsid w:val="007A0ADA"/>
    <w:rsid w:val="007A0D27"/>
    <w:rsid w:val="007A0F0F"/>
    <w:rsid w:val="007A16EB"/>
    <w:rsid w:val="007A17E2"/>
    <w:rsid w:val="007A1B78"/>
    <w:rsid w:val="007A26C4"/>
    <w:rsid w:val="007A2742"/>
    <w:rsid w:val="007A2790"/>
    <w:rsid w:val="007A2A9C"/>
    <w:rsid w:val="007A2F96"/>
    <w:rsid w:val="007A33C4"/>
    <w:rsid w:val="007A4096"/>
    <w:rsid w:val="007A42DA"/>
    <w:rsid w:val="007A46DC"/>
    <w:rsid w:val="007A49D9"/>
    <w:rsid w:val="007A5620"/>
    <w:rsid w:val="007A595E"/>
    <w:rsid w:val="007A5F49"/>
    <w:rsid w:val="007A5F96"/>
    <w:rsid w:val="007A740A"/>
    <w:rsid w:val="007A7605"/>
    <w:rsid w:val="007A79B4"/>
    <w:rsid w:val="007A7E4C"/>
    <w:rsid w:val="007B01E7"/>
    <w:rsid w:val="007B0810"/>
    <w:rsid w:val="007B0DC2"/>
    <w:rsid w:val="007B1021"/>
    <w:rsid w:val="007B104F"/>
    <w:rsid w:val="007B120B"/>
    <w:rsid w:val="007B1418"/>
    <w:rsid w:val="007B1C29"/>
    <w:rsid w:val="007B2177"/>
    <w:rsid w:val="007B23E6"/>
    <w:rsid w:val="007B25A2"/>
    <w:rsid w:val="007B2FF1"/>
    <w:rsid w:val="007B3347"/>
    <w:rsid w:val="007B3503"/>
    <w:rsid w:val="007B3584"/>
    <w:rsid w:val="007B3BDC"/>
    <w:rsid w:val="007B3E48"/>
    <w:rsid w:val="007B3F86"/>
    <w:rsid w:val="007B404F"/>
    <w:rsid w:val="007B41BE"/>
    <w:rsid w:val="007B45D5"/>
    <w:rsid w:val="007B4745"/>
    <w:rsid w:val="007B477A"/>
    <w:rsid w:val="007B482A"/>
    <w:rsid w:val="007B4D65"/>
    <w:rsid w:val="007B4F7F"/>
    <w:rsid w:val="007B52BB"/>
    <w:rsid w:val="007B56E1"/>
    <w:rsid w:val="007B5C49"/>
    <w:rsid w:val="007B6828"/>
    <w:rsid w:val="007B71D9"/>
    <w:rsid w:val="007B7BB1"/>
    <w:rsid w:val="007B7E03"/>
    <w:rsid w:val="007C03F6"/>
    <w:rsid w:val="007C0B47"/>
    <w:rsid w:val="007C107C"/>
    <w:rsid w:val="007C1229"/>
    <w:rsid w:val="007C136F"/>
    <w:rsid w:val="007C17AB"/>
    <w:rsid w:val="007C1DFF"/>
    <w:rsid w:val="007C1E1D"/>
    <w:rsid w:val="007C2145"/>
    <w:rsid w:val="007C21A1"/>
    <w:rsid w:val="007C2349"/>
    <w:rsid w:val="007C27BF"/>
    <w:rsid w:val="007C2A41"/>
    <w:rsid w:val="007C2AE7"/>
    <w:rsid w:val="007C33A0"/>
    <w:rsid w:val="007C33D6"/>
    <w:rsid w:val="007C377C"/>
    <w:rsid w:val="007C378F"/>
    <w:rsid w:val="007C3815"/>
    <w:rsid w:val="007C3849"/>
    <w:rsid w:val="007C3B7F"/>
    <w:rsid w:val="007C3F35"/>
    <w:rsid w:val="007C4A9F"/>
    <w:rsid w:val="007C4E9B"/>
    <w:rsid w:val="007C5A9A"/>
    <w:rsid w:val="007C5B20"/>
    <w:rsid w:val="007C65FA"/>
    <w:rsid w:val="007C685F"/>
    <w:rsid w:val="007C7513"/>
    <w:rsid w:val="007C775D"/>
    <w:rsid w:val="007C7A9E"/>
    <w:rsid w:val="007C7F59"/>
    <w:rsid w:val="007D069C"/>
    <w:rsid w:val="007D090A"/>
    <w:rsid w:val="007D0F10"/>
    <w:rsid w:val="007D14FF"/>
    <w:rsid w:val="007D186C"/>
    <w:rsid w:val="007D19F4"/>
    <w:rsid w:val="007D1AFD"/>
    <w:rsid w:val="007D1E73"/>
    <w:rsid w:val="007D23C4"/>
    <w:rsid w:val="007D25E6"/>
    <w:rsid w:val="007D298F"/>
    <w:rsid w:val="007D2FC8"/>
    <w:rsid w:val="007D310A"/>
    <w:rsid w:val="007D408D"/>
    <w:rsid w:val="007D4CA7"/>
    <w:rsid w:val="007D4CD5"/>
    <w:rsid w:val="007D5019"/>
    <w:rsid w:val="007D52A7"/>
    <w:rsid w:val="007D5BD5"/>
    <w:rsid w:val="007D619D"/>
    <w:rsid w:val="007D658F"/>
    <w:rsid w:val="007D68AD"/>
    <w:rsid w:val="007D6B04"/>
    <w:rsid w:val="007D6D6F"/>
    <w:rsid w:val="007D6E6D"/>
    <w:rsid w:val="007D6F1A"/>
    <w:rsid w:val="007D6F5D"/>
    <w:rsid w:val="007D7604"/>
    <w:rsid w:val="007D7642"/>
    <w:rsid w:val="007D7729"/>
    <w:rsid w:val="007D7AA9"/>
    <w:rsid w:val="007D7F8B"/>
    <w:rsid w:val="007E075D"/>
    <w:rsid w:val="007E0803"/>
    <w:rsid w:val="007E0D86"/>
    <w:rsid w:val="007E0E53"/>
    <w:rsid w:val="007E1099"/>
    <w:rsid w:val="007E13CF"/>
    <w:rsid w:val="007E16CE"/>
    <w:rsid w:val="007E170B"/>
    <w:rsid w:val="007E1720"/>
    <w:rsid w:val="007E18BA"/>
    <w:rsid w:val="007E18FA"/>
    <w:rsid w:val="007E1CD8"/>
    <w:rsid w:val="007E1DF2"/>
    <w:rsid w:val="007E2170"/>
    <w:rsid w:val="007E25D0"/>
    <w:rsid w:val="007E2888"/>
    <w:rsid w:val="007E29B7"/>
    <w:rsid w:val="007E2BA4"/>
    <w:rsid w:val="007E3026"/>
    <w:rsid w:val="007E32D4"/>
    <w:rsid w:val="007E349F"/>
    <w:rsid w:val="007E3514"/>
    <w:rsid w:val="007E3829"/>
    <w:rsid w:val="007E402B"/>
    <w:rsid w:val="007E4167"/>
    <w:rsid w:val="007E495E"/>
    <w:rsid w:val="007E4DF6"/>
    <w:rsid w:val="007E50F1"/>
    <w:rsid w:val="007E5172"/>
    <w:rsid w:val="007E5767"/>
    <w:rsid w:val="007E5FF3"/>
    <w:rsid w:val="007E6257"/>
    <w:rsid w:val="007E65FE"/>
    <w:rsid w:val="007E6782"/>
    <w:rsid w:val="007E6B64"/>
    <w:rsid w:val="007E6F9A"/>
    <w:rsid w:val="007E7679"/>
    <w:rsid w:val="007E7683"/>
    <w:rsid w:val="007E7980"/>
    <w:rsid w:val="007E79F5"/>
    <w:rsid w:val="007E7AF0"/>
    <w:rsid w:val="007F02BF"/>
    <w:rsid w:val="007F0A9A"/>
    <w:rsid w:val="007F1015"/>
    <w:rsid w:val="007F10B5"/>
    <w:rsid w:val="007F10D0"/>
    <w:rsid w:val="007F1B16"/>
    <w:rsid w:val="007F1BC2"/>
    <w:rsid w:val="007F1C7A"/>
    <w:rsid w:val="007F1CCC"/>
    <w:rsid w:val="007F1F15"/>
    <w:rsid w:val="007F25B4"/>
    <w:rsid w:val="007F2B31"/>
    <w:rsid w:val="007F2C38"/>
    <w:rsid w:val="007F2EFF"/>
    <w:rsid w:val="007F3244"/>
    <w:rsid w:val="007F3395"/>
    <w:rsid w:val="007F3639"/>
    <w:rsid w:val="007F3683"/>
    <w:rsid w:val="007F36F2"/>
    <w:rsid w:val="007F39D7"/>
    <w:rsid w:val="007F3A04"/>
    <w:rsid w:val="007F48F6"/>
    <w:rsid w:val="007F51FF"/>
    <w:rsid w:val="007F5557"/>
    <w:rsid w:val="007F57D6"/>
    <w:rsid w:val="007F5CD4"/>
    <w:rsid w:val="007F61AB"/>
    <w:rsid w:val="007F61E2"/>
    <w:rsid w:val="007F6460"/>
    <w:rsid w:val="007F6C16"/>
    <w:rsid w:val="007F6C74"/>
    <w:rsid w:val="007F730F"/>
    <w:rsid w:val="007F7527"/>
    <w:rsid w:val="007F753A"/>
    <w:rsid w:val="007F7563"/>
    <w:rsid w:val="007F759F"/>
    <w:rsid w:val="007F7903"/>
    <w:rsid w:val="007F7A54"/>
    <w:rsid w:val="007F7AB8"/>
    <w:rsid w:val="00800125"/>
    <w:rsid w:val="0080026A"/>
    <w:rsid w:val="00800338"/>
    <w:rsid w:val="00800FCD"/>
    <w:rsid w:val="00801057"/>
    <w:rsid w:val="00801387"/>
    <w:rsid w:val="008014DE"/>
    <w:rsid w:val="00801A60"/>
    <w:rsid w:val="00801B3F"/>
    <w:rsid w:val="00801BFF"/>
    <w:rsid w:val="0080250E"/>
    <w:rsid w:val="008026A8"/>
    <w:rsid w:val="0080281E"/>
    <w:rsid w:val="0080288E"/>
    <w:rsid w:val="00803DDF"/>
    <w:rsid w:val="00804121"/>
    <w:rsid w:val="00804C27"/>
    <w:rsid w:val="00804DCD"/>
    <w:rsid w:val="0080505E"/>
    <w:rsid w:val="00805261"/>
    <w:rsid w:val="0080563D"/>
    <w:rsid w:val="008056BE"/>
    <w:rsid w:val="008059F4"/>
    <w:rsid w:val="00805F75"/>
    <w:rsid w:val="00806071"/>
    <w:rsid w:val="00806DB1"/>
    <w:rsid w:val="008070F2"/>
    <w:rsid w:val="00807692"/>
    <w:rsid w:val="00807730"/>
    <w:rsid w:val="00807C1B"/>
    <w:rsid w:val="00807E3E"/>
    <w:rsid w:val="0081006B"/>
    <w:rsid w:val="00810489"/>
    <w:rsid w:val="008107E7"/>
    <w:rsid w:val="00810B18"/>
    <w:rsid w:val="00810D65"/>
    <w:rsid w:val="00810F2E"/>
    <w:rsid w:val="00811024"/>
    <w:rsid w:val="00811026"/>
    <w:rsid w:val="0081143A"/>
    <w:rsid w:val="00811816"/>
    <w:rsid w:val="008118CF"/>
    <w:rsid w:val="00811982"/>
    <w:rsid w:val="00811B7A"/>
    <w:rsid w:val="00811E77"/>
    <w:rsid w:val="0081206F"/>
    <w:rsid w:val="00812466"/>
    <w:rsid w:val="00812638"/>
    <w:rsid w:val="00812656"/>
    <w:rsid w:val="00812720"/>
    <w:rsid w:val="00812AE2"/>
    <w:rsid w:val="00812CD4"/>
    <w:rsid w:val="0081303A"/>
    <w:rsid w:val="008130B9"/>
    <w:rsid w:val="008133C0"/>
    <w:rsid w:val="0081342A"/>
    <w:rsid w:val="00814892"/>
    <w:rsid w:val="00814D78"/>
    <w:rsid w:val="00815167"/>
    <w:rsid w:val="008151B0"/>
    <w:rsid w:val="0081596C"/>
    <w:rsid w:val="00815F87"/>
    <w:rsid w:val="00816161"/>
    <w:rsid w:val="0081641E"/>
    <w:rsid w:val="00816744"/>
    <w:rsid w:val="0081696D"/>
    <w:rsid w:val="00816A62"/>
    <w:rsid w:val="00816B36"/>
    <w:rsid w:val="00817452"/>
    <w:rsid w:val="0081758D"/>
    <w:rsid w:val="00817C39"/>
    <w:rsid w:val="00817C8A"/>
    <w:rsid w:val="0082098B"/>
    <w:rsid w:val="008209DF"/>
    <w:rsid w:val="008210E5"/>
    <w:rsid w:val="008214EB"/>
    <w:rsid w:val="00821601"/>
    <w:rsid w:val="00821923"/>
    <w:rsid w:val="00821E84"/>
    <w:rsid w:val="00822005"/>
    <w:rsid w:val="0082256B"/>
    <w:rsid w:val="00822609"/>
    <w:rsid w:val="00822901"/>
    <w:rsid w:val="00822B0C"/>
    <w:rsid w:val="00822C45"/>
    <w:rsid w:val="00822F66"/>
    <w:rsid w:val="0082368A"/>
    <w:rsid w:val="00823764"/>
    <w:rsid w:val="008240F0"/>
    <w:rsid w:val="008241E4"/>
    <w:rsid w:val="00824394"/>
    <w:rsid w:val="00824912"/>
    <w:rsid w:val="00824F1A"/>
    <w:rsid w:val="00825B07"/>
    <w:rsid w:val="008265E8"/>
    <w:rsid w:val="00826634"/>
    <w:rsid w:val="00826BAC"/>
    <w:rsid w:val="00826C0C"/>
    <w:rsid w:val="0082711A"/>
    <w:rsid w:val="008279D3"/>
    <w:rsid w:val="00827A68"/>
    <w:rsid w:val="00827E75"/>
    <w:rsid w:val="00827ED8"/>
    <w:rsid w:val="0083008D"/>
    <w:rsid w:val="00830273"/>
    <w:rsid w:val="00830304"/>
    <w:rsid w:val="00830810"/>
    <w:rsid w:val="00830817"/>
    <w:rsid w:val="008309CF"/>
    <w:rsid w:val="00830AF8"/>
    <w:rsid w:val="00830B5F"/>
    <w:rsid w:val="00830DC0"/>
    <w:rsid w:val="00831427"/>
    <w:rsid w:val="00831C09"/>
    <w:rsid w:val="00831C68"/>
    <w:rsid w:val="00831E01"/>
    <w:rsid w:val="008322FB"/>
    <w:rsid w:val="0083272D"/>
    <w:rsid w:val="00832E6A"/>
    <w:rsid w:val="0083351E"/>
    <w:rsid w:val="00833A86"/>
    <w:rsid w:val="00833E4E"/>
    <w:rsid w:val="0083473D"/>
    <w:rsid w:val="00834AF4"/>
    <w:rsid w:val="00834BEC"/>
    <w:rsid w:val="00834D47"/>
    <w:rsid w:val="00834DC9"/>
    <w:rsid w:val="00834DE5"/>
    <w:rsid w:val="00834EC7"/>
    <w:rsid w:val="00835389"/>
    <w:rsid w:val="00835459"/>
    <w:rsid w:val="008356D1"/>
    <w:rsid w:val="00835819"/>
    <w:rsid w:val="008358DA"/>
    <w:rsid w:val="0083644D"/>
    <w:rsid w:val="00836F1C"/>
    <w:rsid w:val="00837060"/>
    <w:rsid w:val="008373F3"/>
    <w:rsid w:val="008375EA"/>
    <w:rsid w:val="00837AFA"/>
    <w:rsid w:val="00837C5C"/>
    <w:rsid w:val="00837CD5"/>
    <w:rsid w:val="00840350"/>
    <w:rsid w:val="00840409"/>
    <w:rsid w:val="0084055F"/>
    <w:rsid w:val="00840983"/>
    <w:rsid w:val="0084098C"/>
    <w:rsid w:val="0084108B"/>
    <w:rsid w:val="008411FD"/>
    <w:rsid w:val="008412C1"/>
    <w:rsid w:val="0084138C"/>
    <w:rsid w:val="008419BC"/>
    <w:rsid w:val="0084240D"/>
    <w:rsid w:val="00842584"/>
    <w:rsid w:val="008429DB"/>
    <w:rsid w:val="00842BA8"/>
    <w:rsid w:val="008430F2"/>
    <w:rsid w:val="0084324E"/>
    <w:rsid w:val="00843E4B"/>
    <w:rsid w:val="00844043"/>
    <w:rsid w:val="0084416C"/>
    <w:rsid w:val="00844AA3"/>
    <w:rsid w:val="00844B2A"/>
    <w:rsid w:val="00844ED2"/>
    <w:rsid w:val="00845148"/>
    <w:rsid w:val="0084562E"/>
    <w:rsid w:val="00845780"/>
    <w:rsid w:val="008467D6"/>
    <w:rsid w:val="00846FC0"/>
    <w:rsid w:val="00846FFE"/>
    <w:rsid w:val="008470E8"/>
    <w:rsid w:val="0084736D"/>
    <w:rsid w:val="0084770D"/>
    <w:rsid w:val="008479BC"/>
    <w:rsid w:val="00847C79"/>
    <w:rsid w:val="008503F8"/>
    <w:rsid w:val="00850565"/>
    <w:rsid w:val="00850680"/>
    <w:rsid w:val="0085083F"/>
    <w:rsid w:val="008508CC"/>
    <w:rsid w:val="00850923"/>
    <w:rsid w:val="00850A19"/>
    <w:rsid w:val="00850AFC"/>
    <w:rsid w:val="00850C7E"/>
    <w:rsid w:val="00850DA6"/>
    <w:rsid w:val="0085106C"/>
    <w:rsid w:val="008514EC"/>
    <w:rsid w:val="00851AFC"/>
    <w:rsid w:val="00851F31"/>
    <w:rsid w:val="0085233E"/>
    <w:rsid w:val="008524F7"/>
    <w:rsid w:val="00852A9A"/>
    <w:rsid w:val="00852C73"/>
    <w:rsid w:val="00852ED2"/>
    <w:rsid w:val="00852F34"/>
    <w:rsid w:val="008534FA"/>
    <w:rsid w:val="00853616"/>
    <w:rsid w:val="00853704"/>
    <w:rsid w:val="00853C23"/>
    <w:rsid w:val="00853EFD"/>
    <w:rsid w:val="00854020"/>
    <w:rsid w:val="0085413E"/>
    <w:rsid w:val="008542C1"/>
    <w:rsid w:val="00854546"/>
    <w:rsid w:val="00854674"/>
    <w:rsid w:val="00854784"/>
    <w:rsid w:val="008549C0"/>
    <w:rsid w:val="00854C48"/>
    <w:rsid w:val="00854C8E"/>
    <w:rsid w:val="008557F4"/>
    <w:rsid w:val="00855D65"/>
    <w:rsid w:val="00856542"/>
    <w:rsid w:val="008567FE"/>
    <w:rsid w:val="00856B56"/>
    <w:rsid w:val="00856FEF"/>
    <w:rsid w:val="0085729A"/>
    <w:rsid w:val="008575ED"/>
    <w:rsid w:val="008577A7"/>
    <w:rsid w:val="00857A8B"/>
    <w:rsid w:val="00857BC1"/>
    <w:rsid w:val="00857F3D"/>
    <w:rsid w:val="008601AC"/>
    <w:rsid w:val="008608B0"/>
    <w:rsid w:val="00860EF1"/>
    <w:rsid w:val="00860F08"/>
    <w:rsid w:val="008610DA"/>
    <w:rsid w:val="008611C8"/>
    <w:rsid w:val="008612F5"/>
    <w:rsid w:val="00861376"/>
    <w:rsid w:val="00861D5B"/>
    <w:rsid w:val="00861E55"/>
    <w:rsid w:val="00861F9D"/>
    <w:rsid w:val="00862B4C"/>
    <w:rsid w:val="0086307F"/>
    <w:rsid w:val="008630D7"/>
    <w:rsid w:val="008639AD"/>
    <w:rsid w:val="00863C1F"/>
    <w:rsid w:val="00863E22"/>
    <w:rsid w:val="0086425E"/>
    <w:rsid w:val="0086488A"/>
    <w:rsid w:val="00864991"/>
    <w:rsid w:val="00865ACA"/>
    <w:rsid w:val="00866BCC"/>
    <w:rsid w:val="00866D92"/>
    <w:rsid w:val="00870856"/>
    <w:rsid w:val="00870F6E"/>
    <w:rsid w:val="00871326"/>
    <w:rsid w:val="0087157B"/>
    <w:rsid w:val="00871C4C"/>
    <w:rsid w:val="00871E03"/>
    <w:rsid w:val="008725E5"/>
    <w:rsid w:val="00873845"/>
    <w:rsid w:val="008748D1"/>
    <w:rsid w:val="00874E52"/>
    <w:rsid w:val="00875652"/>
    <w:rsid w:val="00876400"/>
    <w:rsid w:val="00876522"/>
    <w:rsid w:val="00876AE3"/>
    <w:rsid w:val="00876E87"/>
    <w:rsid w:val="0087726E"/>
    <w:rsid w:val="008775DB"/>
    <w:rsid w:val="008777A8"/>
    <w:rsid w:val="008778A9"/>
    <w:rsid w:val="00877B07"/>
    <w:rsid w:val="00877B7A"/>
    <w:rsid w:val="0088031D"/>
    <w:rsid w:val="008805AE"/>
    <w:rsid w:val="0088093C"/>
    <w:rsid w:val="00880C59"/>
    <w:rsid w:val="00880EFA"/>
    <w:rsid w:val="008815A9"/>
    <w:rsid w:val="00881BC8"/>
    <w:rsid w:val="00881E65"/>
    <w:rsid w:val="00881EBC"/>
    <w:rsid w:val="0088248D"/>
    <w:rsid w:val="008828DF"/>
    <w:rsid w:val="00882C23"/>
    <w:rsid w:val="00882E43"/>
    <w:rsid w:val="00882E91"/>
    <w:rsid w:val="00882EA8"/>
    <w:rsid w:val="00883EE1"/>
    <w:rsid w:val="0088421A"/>
    <w:rsid w:val="00884764"/>
    <w:rsid w:val="00884ED2"/>
    <w:rsid w:val="00885317"/>
    <w:rsid w:val="0088567D"/>
    <w:rsid w:val="008857CE"/>
    <w:rsid w:val="00885969"/>
    <w:rsid w:val="00885D0E"/>
    <w:rsid w:val="00885E1B"/>
    <w:rsid w:val="00885EBA"/>
    <w:rsid w:val="008863EC"/>
    <w:rsid w:val="008865CF"/>
    <w:rsid w:val="00886995"/>
    <w:rsid w:val="00886BEE"/>
    <w:rsid w:val="00886CFA"/>
    <w:rsid w:val="00887227"/>
    <w:rsid w:val="008872A5"/>
    <w:rsid w:val="00887457"/>
    <w:rsid w:val="00887672"/>
    <w:rsid w:val="008900AA"/>
    <w:rsid w:val="00890211"/>
    <w:rsid w:val="00890427"/>
    <w:rsid w:val="008905B4"/>
    <w:rsid w:val="0089096B"/>
    <w:rsid w:val="00890A1F"/>
    <w:rsid w:val="00891014"/>
    <w:rsid w:val="008914D6"/>
    <w:rsid w:val="008919D4"/>
    <w:rsid w:val="00892157"/>
    <w:rsid w:val="0089225A"/>
    <w:rsid w:val="00892AC0"/>
    <w:rsid w:val="008934FE"/>
    <w:rsid w:val="00893B5D"/>
    <w:rsid w:val="00893E2F"/>
    <w:rsid w:val="008944DB"/>
    <w:rsid w:val="00894AB9"/>
    <w:rsid w:val="00895260"/>
    <w:rsid w:val="00895570"/>
    <w:rsid w:val="0089594E"/>
    <w:rsid w:val="00895EAD"/>
    <w:rsid w:val="008968C4"/>
    <w:rsid w:val="00896951"/>
    <w:rsid w:val="00896E93"/>
    <w:rsid w:val="00897463"/>
    <w:rsid w:val="0089753B"/>
    <w:rsid w:val="00897911"/>
    <w:rsid w:val="00897B11"/>
    <w:rsid w:val="00897FAC"/>
    <w:rsid w:val="008A03BE"/>
    <w:rsid w:val="008A0D76"/>
    <w:rsid w:val="008A0E5A"/>
    <w:rsid w:val="008A0FD5"/>
    <w:rsid w:val="008A100E"/>
    <w:rsid w:val="008A10EF"/>
    <w:rsid w:val="008A1715"/>
    <w:rsid w:val="008A17AC"/>
    <w:rsid w:val="008A1C8E"/>
    <w:rsid w:val="008A2377"/>
    <w:rsid w:val="008A272F"/>
    <w:rsid w:val="008A273F"/>
    <w:rsid w:val="008A29E5"/>
    <w:rsid w:val="008A2A21"/>
    <w:rsid w:val="008A2AA5"/>
    <w:rsid w:val="008A2E17"/>
    <w:rsid w:val="008A344E"/>
    <w:rsid w:val="008A3721"/>
    <w:rsid w:val="008A382F"/>
    <w:rsid w:val="008A39A0"/>
    <w:rsid w:val="008A39AD"/>
    <w:rsid w:val="008A3A06"/>
    <w:rsid w:val="008A3A1E"/>
    <w:rsid w:val="008A3DB6"/>
    <w:rsid w:val="008A4715"/>
    <w:rsid w:val="008A5264"/>
    <w:rsid w:val="008A56ED"/>
    <w:rsid w:val="008A5BE4"/>
    <w:rsid w:val="008A5CA8"/>
    <w:rsid w:val="008A5F0F"/>
    <w:rsid w:val="008A6E7F"/>
    <w:rsid w:val="008A719B"/>
    <w:rsid w:val="008A7E3B"/>
    <w:rsid w:val="008B0364"/>
    <w:rsid w:val="008B0379"/>
    <w:rsid w:val="008B0D70"/>
    <w:rsid w:val="008B0EA7"/>
    <w:rsid w:val="008B0FC7"/>
    <w:rsid w:val="008B18C5"/>
    <w:rsid w:val="008B1C9A"/>
    <w:rsid w:val="008B256F"/>
    <w:rsid w:val="008B258A"/>
    <w:rsid w:val="008B2977"/>
    <w:rsid w:val="008B29B7"/>
    <w:rsid w:val="008B3220"/>
    <w:rsid w:val="008B480A"/>
    <w:rsid w:val="008B4F76"/>
    <w:rsid w:val="008B58D9"/>
    <w:rsid w:val="008B5C98"/>
    <w:rsid w:val="008B5F66"/>
    <w:rsid w:val="008B64DC"/>
    <w:rsid w:val="008B6935"/>
    <w:rsid w:val="008B6AFD"/>
    <w:rsid w:val="008B6B42"/>
    <w:rsid w:val="008B70D9"/>
    <w:rsid w:val="008B7209"/>
    <w:rsid w:val="008B7236"/>
    <w:rsid w:val="008B72F5"/>
    <w:rsid w:val="008B7B54"/>
    <w:rsid w:val="008C0396"/>
    <w:rsid w:val="008C07A9"/>
    <w:rsid w:val="008C0944"/>
    <w:rsid w:val="008C0A39"/>
    <w:rsid w:val="008C15D6"/>
    <w:rsid w:val="008C17C0"/>
    <w:rsid w:val="008C1814"/>
    <w:rsid w:val="008C18D1"/>
    <w:rsid w:val="008C1D3E"/>
    <w:rsid w:val="008C3B84"/>
    <w:rsid w:val="008C3CCC"/>
    <w:rsid w:val="008C4084"/>
    <w:rsid w:val="008C4116"/>
    <w:rsid w:val="008C4162"/>
    <w:rsid w:val="008C43A5"/>
    <w:rsid w:val="008C4C1B"/>
    <w:rsid w:val="008C57DA"/>
    <w:rsid w:val="008C5C81"/>
    <w:rsid w:val="008C5CDF"/>
    <w:rsid w:val="008C6469"/>
    <w:rsid w:val="008C6580"/>
    <w:rsid w:val="008C66A9"/>
    <w:rsid w:val="008C66B7"/>
    <w:rsid w:val="008C703F"/>
    <w:rsid w:val="008C714B"/>
    <w:rsid w:val="008C7162"/>
    <w:rsid w:val="008C7375"/>
    <w:rsid w:val="008C79F3"/>
    <w:rsid w:val="008D021C"/>
    <w:rsid w:val="008D0267"/>
    <w:rsid w:val="008D04D0"/>
    <w:rsid w:val="008D1097"/>
    <w:rsid w:val="008D11A8"/>
    <w:rsid w:val="008D1417"/>
    <w:rsid w:val="008D16BE"/>
    <w:rsid w:val="008D1DF5"/>
    <w:rsid w:val="008D1F27"/>
    <w:rsid w:val="008D2EFD"/>
    <w:rsid w:val="008D2F95"/>
    <w:rsid w:val="008D33E7"/>
    <w:rsid w:val="008D384C"/>
    <w:rsid w:val="008D3EF5"/>
    <w:rsid w:val="008D43B3"/>
    <w:rsid w:val="008D46BF"/>
    <w:rsid w:val="008D483E"/>
    <w:rsid w:val="008D4B98"/>
    <w:rsid w:val="008D4BD7"/>
    <w:rsid w:val="008D5469"/>
    <w:rsid w:val="008D56F1"/>
    <w:rsid w:val="008D57A8"/>
    <w:rsid w:val="008D62B4"/>
    <w:rsid w:val="008D6331"/>
    <w:rsid w:val="008D6375"/>
    <w:rsid w:val="008D65B8"/>
    <w:rsid w:val="008D7523"/>
    <w:rsid w:val="008D7D36"/>
    <w:rsid w:val="008E02E0"/>
    <w:rsid w:val="008E0670"/>
    <w:rsid w:val="008E0B71"/>
    <w:rsid w:val="008E114F"/>
    <w:rsid w:val="008E1153"/>
    <w:rsid w:val="008E1D76"/>
    <w:rsid w:val="008E2425"/>
    <w:rsid w:val="008E2594"/>
    <w:rsid w:val="008E2DD0"/>
    <w:rsid w:val="008E3455"/>
    <w:rsid w:val="008E3BFB"/>
    <w:rsid w:val="008E4349"/>
    <w:rsid w:val="008E4E94"/>
    <w:rsid w:val="008E50B3"/>
    <w:rsid w:val="008E50BD"/>
    <w:rsid w:val="008E52DB"/>
    <w:rsid w:val="008E5693"/>
    <w:rsid w:val="008E5755"/>
    <w:rsid w:val="008E5A64"/>
    <w:rsid w:val="008E5FCE"/>
    <w:rsid w:val="008E6356"/>
    <w:rsid w:val="008E6529"/>
    <w:rsid w:val="008E664D"/>
    <w:rsid w:val="008E66B3"/>
    <w:rsid w:val="008E6910"/>
    <w:rsid w:val="008E6C31"/>
    <w:rsid w:val="008E6C51"/>
    <w:rsid w:val="008E6F7A"/>
    <w:rsid w:val="008E6FA3"/>
    <w:rsid w:val="008E7734"/>
    <w:rsid w:val="008E7B49"/>
    <w:rsid w:val="008F04B2"/>
    <w:rsid w:val="008F0541"/>
    <w:rsid w:val="008F07ED"/>
    <w:rsid w:val="008F0AE8"/>
    <w:rsid w:val="008F142D"/>
    <w:rsid w:val="008F1674"/>
    <w:rsid w:val="008F192D"/>
    <w:rsid w:val="008F19D3"/>
    <w:rsid w:val="008F234D"/>
    <w:rsid w:val="008F2535"/>
    <w:rsid w:val="008F2699"/>
    <w:rsid w:val="008F282A"/>
    <w:rsid w:val="008F329F"/>
    <w:rsid w:val="008F345A"/>
    <w:rsid w:val="008F3C10"/>
    <w:rsid w:val="008F3E07"/>
    <w:rsid w:val="008F3FE5"/>
    <w:rsid w:val="008F42D7"/>
    <w:rsid w:val="008F4382"/>
    <w:rsid w:val="008F4CE7"/>
    <w:rsid w:val="008F4D2E"/>
    <w:rsid w:val="008F4E16"/>
    <w:rsid w:val="008F5536"/>
    <w:rsid w:val="008F62BC"/>
    <w:rsid w:val="008F6537"/>
    <w:rsid w:val="008F6671"/>
    <w:rsid w:val="008F66B5"/>
    <w:rsid w:val="00900416"/>
    <w:rsid w:val="00900590"/>
    <w:rsid w:val="00901459"/>
    <w:rsid w:val="00901C47"/>
    <w:rsid w:val="00902190"/>
    <w:rsid w:val="00902C9D"/>
    <w:rsid w:val="0090328B"/>
    <w:rsid w:val="009032E9"/>
    <w:rsid w:val="009034C6"/>
    <w:rsid w:val="00903D57"/>
    <w:rsid w:val="00903EFE"/>
    <w:rsid w:val="009040EB"/>
    <w:rsid w:val="0090437C"/>
    <w:rsid w:val="009043E3"/>
    <w:rsid w:val="0090472D"/>
    <w:rsid w:val="0090518E"/>
    <w:rsid w:val="0090563D"/>
    <w:rsid w:val="00905EA5"/>
    <w:rsid w:val="00906758"/>
    <w:rsid w:val="009067E1"/>
    <w:rsid w:val="00906EF4"/>
    <w:rsid w:val="00907057"/>
    <w:rsid w:val="00907779"/>
    <w:rsid w:val="00910287"/>
    <w:rsid w:val="00910C5F"/>
    <w:rsid w:val="00910D9D"/>
    <w:rsid w:val="00910F33"/>
    <w:rsid w:val="009110BA"/>
    <w:rsid w:val="009111A4"/>
    <w:rsid w:val="00911691"/>
    <w:rsid w:val="00911869"/>
    <w:rsid w:val="009118B0"/>
    <w:rsid w:val="009119AC"/>
    <w:rsid w:val="00912000"/>
    <w:rsid w:val="009120D7"/>
    <w:rsid w:val="009124E6"/>
    <w:rsid w:val="00913944"/>
    <w:rsid w:val="00913EF4"/>
    <w:rsid w:val="009144CF"/>
    <w:rsid w:val="00914CD6"/>
    <w:rsid w:val="00915AC6"/>
    <w:rsid w:val="00915B92"/>
    <w:rsid w:val="00915CCB"/>
    <w:rsid w:val="00915F1E"/>
    <w:rsid w:val="00916440"/>
    <w:rsid w:val="009166E5"/>
    <w:rsid w:val="00916748"/>
    <w:rsid w:val="00917332"/>
    <w:rsid w:val="009173BA"/>
    <w:rsid w:val="0091742D"/>
    <w:rsid w:val="009177FA"/>
    <w:rsid w:val="009202C5"/>
    <w:rsid w:val="009205FD"/>
    <w:rsid w:val="00920773"/>
    <w:rsid w:val="009209C5"/>
    <w:rsid w:val="009212AC"/>
    <w:rsid w:val="0092160C"/>
    <w:rsid w:val="00921817"/>
    <w:rsid w:val="00922327"/>
    <w:rsid w:val="0092265F"/>
    <w:rsid w:val="00922C3B"/>
    <w:rsid w:val="00922F1A"/>
    <w:rsid w:val="0092359E"/>
    <w:rsid w:val="0092372F"/>
    <w:rsid w:val="009238DB"/>
    <w:rsid w:val="00923EA0"/>
    <w:rsid w:val="00924224"/>
    <w:rsid w:val="0092474D"/>
    <w:rsid w:val="00924C0E"/>
    <w:rsid w:val="00925637"/>
    <w:rsid w:val="0092565E"/>
    <w:rsid w:val="0092593A"/>
    <w:rsid w:val="0092598F"/>
    <w:rsid w:val="00925FF9"/>
    <w:rsid w:val="009265E4"/>
    <w:rsid w:val="00927787"/>
    <w:rsid w:val="009277FA"/>
    <w:rsid w:val="00927BAA"/>
    <w:rsid w:val="00927E94"/>
    <w:rsid w:val="009305AF"/>
    <w:rsid w:val="009306DB"/>
    <w:rsid w:val="00930743"/>
    <w:rsid w:val="00930B6B"/>
    <w:rsid w:val="00930F7C"/>
    <w:rsid w:val="00931282"/>
    <w:rsid w:val="00931457"/>
    <w:rsid w:val="009315B3"/>
    <w:rsid w:val="0093167B"/>
    <w:rsid w:val="0093175E"/>
    <w:rsid w:val="00931B23"/>
    <w:rsid w:val="00932026"/>
    <w:rsid w:val="009322CA"/>
    <w:rsid w:val="00932333"/>
    <w:rsid w:val="00932567"/>
    <w:rsid w:val="009326C6"/>
    <w:rsid w:val="009327D1"/>
    <w:rsid w:val="00932CA2"/>
    <w:rsid w:val="00933665"/>
    <w:rsid w:val="00933695"/>
    <w:rsid w:val="009336DB"/>
    <w:rsid w:val="00933A7E"/>
    <w:rsid w:val="00933B5C"/>
    <w:rsid w:val="00933C2B"/>
    <w:rsid w:val="00933CF4"/>
    <w:rsid w:val="00933F52"/>
    <w:rsid w:val="00933FB6"/>
    <w:rsid w:val="009344EF"/>
    <w:rsid w:val="00934513"/>
    <w:rsid w:val="0093469B"/>
    <w:rsid w:val="00934BAB"/>
    <w:rsid w:val="00935A11"/>
    <w:rsid w:val="009361C0"/>
    <w:rsid w:val="0093661E"/>
    <w:rsid w:val="00936789"/>
    <w:rsid w:val="009369A1"/>
    <w:rsid w:val="00936E0F"/>
    <w:rsid w:val="00936EF5"/>
    <w:rsid w:val="009372E1"/>
    <w:rsid w:val="00937755"/>
    <w:rsid w:val="00937ACA"/>
    <w:rsid w:val="00937FBA"/>
    <w:rsid w:val="00940FF1"/>
    <w:rsid w:val="009417AC"/>
    <w:rsid w:val="00942550"/>
    <w:rsid w:val="0094325C"/>
    <w:rsid w:val="009440A5"/>
    <w:rsid w:val="009440B0"/>
    <w:rsid w:val="0094420F"/>
    <w:rsid w:val="0094565D"/>
    <w:rsid w:val="00945766"/>
    <w:rsid w:val="009457AC"/>
    <w:rsid w:val="0094587A"/>
    <w:rsid w:val="009458F3"/>
    <w:rsid w:val="00945B1E"/>
    <w:rsid w:val="0094609D"/>
    <w:rsid w:val="0094617D"/>
    <w:rsid w:val="00946309"/>
    <w:rsid w:val="00946484"/>
    <w:rsid w:val="00946970"/>
    <w:rsid w:val="009469D5"/>
    <w:rsid w:val="00946B28"/>
    <w:rsid w:val="00947447"/>
    <w:rsid w:val="00947B1C"/>
    <w:rsid w:val="0095008E"/>
    <w:rsid w:val="00950331"/>
    <w:rsid w:val="00950B82"/>
    <w:rsid w:val="009510F9"/>
    <w:rsid w:val="009516DD"/>
    <w:rsid w:val="00951D77"/>
    <w:rsid w:val="00951F1A"/>
    <w:rsid w:val="00952283"/>
    <w:rsid w:val="0095255B"/>
    <w:rsid w:val="009529F9"/>
    <w:rsid w:val="00952F06"/>
    <w:rsid w:val="00953586"/>
    <w:rsid w:val="0095377C"/>
    <w:rsid w:val="00953A0D"/>
    <w:rsid w:val="009543B3"/>
    <w:rsid w:val="00954532"/>
    <w:rsid w:val="00954C5C"/>
    <w:rsid w:val="00954D4A"/>
    <w:rsid w:val="009552E3"/>
    <w:rsid w:val="009558BE"/>
    <w:rsid w:val="00955ADE"/>
    <w:rsid w:val="00955E1B"/>
    <w:rsid w:val="00955F37"/>
    <w:rsid w:val="0095668C"/>
    <w:rsid w:val="009569F0"/>
    <w:rsid w:val="00956DBA"/>
    <w:rsid w:val="0095706B"/>
    <w:rsid w:val="009570F9"/>
    <w:rsid w:val="009573EB"/>
    <w:rsid w:val="009575BF"/>
    <w:rsid w:val="00957F66"/>
    <w:rsid w:val="00960092"/>
    <w:rsid w:val="00960276"/>
    <w:rsid w:val="00960671"/>
    <w:rsid w:val="0096083A"/>
    <w:rsid w:val="009609E5"/>
    <w:rsid w:val="00960AF9"/>
    <w:rsid w:val="009610B1"/>
    <w:rsid w:val="009618CD"/>
    <w:rsid w:val="00961953"/>
    <w:rsid w:val="00961C4C"/>
    <w:rsid w:val="00961C83"/>
    <w:rsid w:val="00961F2F"/>
    <w:rsid w:val="009621E4"/>
    <w:rsid w:val="00962429"/>
    <w:rsid w:val="00963644"/>
    <w:rsid w:val="0096451A"/>
    <w:rsid w:val="00964583"/>
    <w:rsid w:val="00964775"/>
    <w:rsid w:val="00964ACE"/>
    <w:rsid w:val="00964B2B"/>
    <w:rsid w:val="009659F8"/>
    <w:rsid w:val="009660FF"/>
    <w:rsid w:val="0096616D"/>
    <w:rsid w:val="009664CB"/>
    <w:rsid w:val="00966CC0"/>
    <w:rsid w:val="009671A1"/>
    <w:rsid w:val="009714A3"/>
    <w:rsid w:val="00971675"/>
    <w:rsid w:val="0097179C"/>
    <w:rsid w:val="0097191C"/>
    <w:rsid w:val="0097198A"/>
    <w:rsid w:val="00971B84"/>
    <w:rsid w:val="00971FC8"/>
    <w:rsid w:val="009734BF"/>
    <w:rsid w:val="009735EC"/>
    <w:rsid w:val="00973612"/>
    <w:rsid w:val="009737F3"/>
    <w:rsid w:val="00973917"/>
    <w:rsid w:val="00973C3E"/>
    <w:rsid w:val="0097420B"/>
    <w:rsid w:val="00974ACC"/>
    <w:rsid w:val="00974C49"/>
    <w:rsid w:val="00974EE4"/>
    <w:rsid w:val="009754CE"/>
    <w:rsid w:val="009756B6"/>
    <w:rsid w:val="00975BF2"/>
    <w:rsid w:val="00975EF7"/>
    <w:rsid w:val="00976A74"/>
    <w:rsid w:val="009774BE"/>
    <w:rsid w:val="009774FC"/>
    <w:rsid w:val="00977A70"/>
    <w:rsid w:val="00980140"/>
    <w:rsid w:val="009801D6"/>
    <w:rsid w:val="0098027F"/>
    <w:rsid w:val="009802D1"/>
    <w:rsid w:val="0098050A"/>
    <w:rsid w:val="00980592"/>
    <w:rsid w:val="009806B0"/>
    <w:rsid w:val="009807B8"/>
    <w:rsid w:val="00981876"/>
    <w:rsid w:val="00981E56"/>
    <w:rsid w:val="00981EE2"/>
    <w:rsid w:val="00982064"/>
    <w:rsid w:val="00982142"/>
    <w:rsid w:val="00982267"/>
    <w:rsid w:val="00982639"/>
    <w:rsid w:val="00982BCF"/>
    <w:rsid w:val="00982C1F"/>
    <w:rsid w:val="00982EEA"/>
    <w:rsid w:val="00982F82"/>
    <w:rsid w:val="009831E2"/>
    <w:rsid w:val="00983255"/>
    <w:rsid w:val="0098331C"/>
    <w:rsid w:val="00983427"/>
    <w:rsid w:val="00983D12"/>
    <w:rsid w:val="00983E5F"/>
    <w:rsid w:val="00984B42"/>
    <w:rsid w:val="00984B7C"/>
    <w:rsid w:val="00985051"/>
    <w:rsid w:val="00985723"/>
    <w:rsid w:val="00985C80"/>
    <w:rsid w:val="00985DA2"/>
    <w:rsid w:val="0098660C"/>
    <w:rsid w:val="00986765"/>
    <w:rsid w:val="009867E7"/>
    <w:rsid w:val="00987028"/>
    <w:rsid w:val="009870A3"/>
    <w:rsid w:val="00987CFA"/>
    <w:rsid w:val="00987DBC"/>
    <w:rsid w:val="00987DF4"/>
    <w:rsid w:val="00987FDA"/>
    <w:rsid w:val="00990175"/>
    <w:rsid w:val="0099071B"/>
    <w:rsid w:val="009909FC"/>
    <w:rsid w:val="00990CAE"/>
    <w:rsid w:val="00990D38"/>
    <w:rsid w:val="00990FEA"/>
    <w:rsid w:val="00991031"/>
    <w:rsid w:val="009919E9"/>
    <w:rsid w:val="00991ED6"/>
    <w:rsid w:val="00991FED"/>
    <w:rsid w:val="009920A0"/>
    <w:rsid w:val="009928F7"/>
    <w:rsid w:val="00992E8A"/>
    <w:rsid w:val="00992E8D"/>
    <w:rsid w:val="009932CD"/>
    <w:rsid w:val="009937FD"/>
    <w:rsid w:val="00994F29"/>
    <w:rsid w:val="00994F4D"/>
    <w:rsid w:val="0099561B"/>
    <w:rsid w:val="0099563A"/>
    <w:rsid w:val="0099582B"/>
    <w:rsid w:val="00995CC9"/>
    <w:rsid w:val="00995DAF"/>
    <w:rsid w:val="00995E94"/>
    <w:rsid w:val="00995FC3"/>
    <w:rsid w:val="00996A01"/>
    <w:rsid w:val="00996AA6"/>
    <w:rsid w:val="009970AD"/>
    <w:rsid w:val="00997230"/>
    <w:rsid w:val="0099737B"/>
    <w:rsid w:val="009973C7"/>
    <w:rsid w:val="009A0274"/>
    <w:rsid w:val="009A035E"/>
    <w:rsid w:val="009A0B9D"/>
    <w:rsid w:val="009A0C64"/>
    <w:rsid w:val="009A0C84"/>
    <w:rsid w:val="009A0CD8"/>
    <w:rsid w:val="009A0E15"/>
    <w:rsid w:val="009A142F"/>
    <w:rsid w:val="009A18AB"/>
    <w:rsid w:val="009A1C75"/>
    <w:rsid w:val="009A2387"/>
    <w:rsid w:val="009A2533"/>
    <w:rsid w:val="009A2D7C"/>
    <w:rsid w:val="009A2F67"/>
    <w:rsid w:val="009A30CD"/>
    <w:rsid w:val="009A30FE"/>
    <w:rsid w:val="009A3FE3"/>
    <w:rsid w:val="009A4644"/>
    <w:rsid w:val="009A468E"/>
    <w:rsid w:val="009A48A4"/>
    <w:rsid w:val="009A4908"/>
    <w:rsid w:val="009A4A3E"/>
    <w:rsid w:val="009A4F87"/>
    <w:rsid w:val="009A5023"/>
    <w:rsid w:val="009A50FD"/>
    <w:rsid w:val="009A5306"/>
    <w:rsid w:val="009A53F8"/>
    <w:rsid w:val="009A5A31"/>
    <w:rsid w:val="009A5D03"/>
    <w:rsid w:val="009A6258"/>
    <w:rsid w:val="009A6B3A"/>
    <w:rsid w:val="009A6F01"/>
    <w:rsid w:val="009A7442"/>
    <w:rsid w:val="009A75FB"/>
    <w:rsid w:val="009A76F7"/>
    <w:rsid w:val="009B01CF"/>
    <w:rsid w:val="009B02DB"/>
    <w:rsid w:val="009B04BE"/>
    <w:rsid w:val="009B0A50"/>
    <w:rsid w:val="009B12FB"/>
    <w:rsid w:val="009B15C6"/>
    <w:rsid w:val="009B1DA0"/>
    <w:rsid w:val="009B1F5D"/>
    <w:rsid w:val="009B2407"/>
    <w:rsid w:val="009B2D5B"/>
    <w:rsid w:val="009B34FC"/>
    <w:rsid w:val="009B3BC3"/>
    <w:rsid w:val="009B3BEA"/>
    <w:rsid w:val="009B41BA"/>
    <w:rsid w:val="009B44F0"/>
    <w:rsid w:val="009B545D"/>
    <w:rsid w:val="009B5786"/>
    <w:rsid w:val="009B5957"/>
    <w:rsid w:val="009B59B1"/>
    <w:rsid w:val="009B5C0B"/>
    <w:rsid w:val="009B5C8C"/>
    <w:rsid w:val="009B6013"/>
    <w:rsid w:val="009B6D5D"/>
    <w:rsid w:val="009B7273"/>
    <w:rsid w:val="009B72B7"/>
    <w:rsid w:val="009B7356"/>
    <w:rsid w:val="009B76DB"/>
    <w:rsid w:val="009B7FAC"/>
    <w:rsid w:val="009C0126"/>
    <w:rsid w:val="009C03C5"/>
    <w:rsid w:val="009C0C99"/>
    <w:rsid w:val="009C0FF4"/>
    <w:rsid w:val="009C1122"/>
    <w:rsid w:val="009C14F1"/>
    <w:rsid w:val="009C1840"/>
    <w:rsid w:val="009C1B99"/>
    <w:rsid w:val="009C1DC2"/>
    <w:rsid w:val="009C213F"/>
    <w:rsid w:val="009C223F"/>
    <w:rsid w:val="009C315D"/>
    <w:rsid w:val="009C323A"/>
    <w:rsid w:val="009C35E3"/>
    <w:rsid w:val="009C3A70"/>
    <w:rsid w:val="009C3AE8"/>
    <w:rsid w:val="009C4087"/>
    <w:rsid w:val="009C4959"/>
    <w:rsid w:val="009C49E0"/>
    <w:rsid w:val="009C4CFF"/>
    <w:rsid w:val="009C5961"/>
    <w:rsid w:val="009C6203"/>
    <w:rsid w:val="009C674C"/>
    <w:rsid w:val="009C6BE9"/>
    <w:rsid w:val="009C6DB6"/>
    <w:rsid w:val="009C76A3"/>
    <w:rsid w:val="009C78B2"/>
    <w:rsid w:val="009C79E5"/>
    <w:rsid w:val="009C7ACB"/>
    <w:rsid w:val="009C7C85"/>
    <w:rsid w:val="009D03F6"/>
    <w:rsid w:val="009D0701"/>
    <w:rsid w:val="009D1227"/>
    <w:rsid w:val="009D138A"/>
    <w:rsid w:val="009D141B"/>
    <w:rsid w:val="009D1578"/>
    <w:rsid w:val="009D1CA0"/>
    <w:rsid w:val="009D1E86"/>
    <w:rsid w:val="009D1FC3"/>
    <w:rsid w:val="009D2372"/>
    <w:rsid w:val="009D292C"/>
    <w:rsid w:val="009D317D"/>
    <w:rsid w:val="009D366D"/>
    <w:rsid w:val="009D3833"/>
    <w:rsid w:val="009D439A"/>
    <w:rsid w:val="009D485D"/>
    <w:rsid w:val="009D517E"/>
    <w:rsid w:val="009D5416"/>
    <w:rsid w:val="009D6353"/>
    <w:rsid w:val="009D65D1"/>
    <w:rsid w:val="009D6627"/>
    <w:rsid w:val="009D6B28"/>
    <w:rsid w:val="009D6CF0"/>
    <w:rsid w:val="009D6E21"/>
    <w:rsid w:val="009D6E22"/>
    <w:rsid w:val="009D71D1"/>
    <w:rsid w:val="009D7591"/>
    <w:rsid w:val="009D75A9"/>
    <w:rsid w:val="009D7906"/>
    <w:rsid w:val="009D7B53"/>
    <w:rsid w:val="009E0A40"/>
    <w:rsid w:val="009E12F6"/>
    <w:rsid w:val="009E137C"/>
    <w:rsid w:val="009E153F"/>
    <w:rsid w:val="009E19AE"/>
    <w:rsid w:val="009E1E60"/>
    <w:rsid w:val="009E1F86"/>
    <w:rsid w:val="009E2AAB"/>
    <w:rsid w:val="009E30B5"/>
    <w:rsid w:val="009E3112"/>
    <w:rsid w:val="009E34B7"/>
    <w:rsid w:val="009E399D"/>
    <w:rsid w:val="009E3BA8"/>
    <w:rsid w:val="009E3EC5"/>
    <w:rsid w:val="009E434B"/>
    <w:rsid w:val="009E4653"/>
    <w:rsid w:val="009E480B"/>
    <w:rsid w:val="009E4986"/>
    <w:rsid w:val="009E4C2E"/>
    <w:rsid w:val="009E5205"/>
    <w:rsid w:val="009E5772"/>
    <w:rsid w:val="009E5BAE"/>
    <w:rsid w:val="009E5BF5"/>
    <w:rsid w:val="009E5D18"/>
    <w:rsid w:val="009E5EC1"/>
    <w:rsid w:val="009E5F8E"/>
    <w:rsid w:val="009E6485"/>
    <w:rsid w:val="009E648E"/>
    <w:rsid w:val="009E65CA"/>
    <w:rsid w:val="009E699D"/>
    <w:rsid w:val="009E6C00"/>
    <w:rsid w:val="009E7A68"/>
    <w:rsid w:val="009F057A"/>
    <w:rsid w:val="009F0C2F"/>
    <w:rsid w:val="009F112D"/>
    <w:rsid w:val="009F18D5"/>
    <w:rsid w:val="009F1904"/>
    <w:rsid w:val="009F1B8A"/>
    <w:rsid w:val="009F209E"/>
    <w:rsid w:val="009F21A0"/>
    <w:rsid w:val="009F2446"/>
    <w:rsid w:val="009F2450"/>
    <w:rsid w:val="009F2455"/>
    <w:rsid w:val="009F2516"/>
    <w:rsid w:val="009F259C"/>
    <w:rsid w:val="009F29FF"/>
    <w:rsid w:val="009F2BF4"/>
    <w:rsid w:val="009F2C12"/>
    <w:rsid w:val="009F2CB2"/>
    <w:rsid w:val="009F2F47"/>
    <w:rsid w:val="009F385D"/>
    <w:rsid w:val="009F3AB9"/>
    <w:rsid w:val="009F48AF"/>
    <w:rsid w:val="009F4B7F"/>
    <w:rsid w:val="009F555E"/>
    <w:rsid w:val="009F5A8C"/>
    <w:rsid w:val="009F5C78"/>
    <w:rsid w:val="009F5E9D"/>
    <w:rsid w:val="009F5F56"/>
    <w:rsid w:val="009F65C9"/>
    <w:rsid w:val="009F697A"/>
    <w:rsid w:val="009F6AE8"/>
    <w:rsid w:val="009F6C47"/>
    <w:rsid w:val="009F6DAC"/>
    <w:rsid w:val="009F6E4C"/>
    <w:rsid w:val="009F7274"/>
    <w:rsid w:val="009F7309"/>
    <w:rsid w:val="009F763F"/>
    <w:rsid w:val="009F7748"/>
    <w:rsid w:val="009F7802"/>
    <w:rsid w:val="009F78B7"/>
    <w:rsid w:val="009F791B"/>
    <w:rsid w:val="009F79D5"/>
    <w:rsid w:val="009F7D96"/>
    <w:rsid w:val="00A0058F"/>
    <w:rsid w:val="00A007E7"/>
    <w:rsid w:val="00A00F2E"/>
    <w:rsid w:val="00A0109E"/>
    <w:rsid w:val="00A0110C"/>
    <w:rsid w:val="00A0126A"/>
    <w:rsid w:val="00A016A7"/>
    <w:rsid w:val="00A01E64"/>
    <w:rsid w:val="00A0211D"/>
    <w:rsid w:val="00A02992"/>
    <w:rsid w:val="00A03470"/>
    <w:rsid w:val="00A035DE"/>
    <w:rsid w:val="00A035EA"/>
    <w:rsid w:val="00A03E2D"/>
    <w:rsid w:val="00A04331"/>
    <w:rsid w:val="00A047B7"/>
    <w:rsid w:val="00A04DC5"/>
    <w:rsid w:val="00A04F59"/>
    <w:rsid w:val="00A0551F"/>
    <w:rsid w:val="00A05597"/>
    <w:rsid w:val="00A05997"/>
    <w:rsid w:val="00A05B20"/>
    <w:rsid w:val="00A05CC6"/>
    <w:rsid w:val="00A06B95"/>
    <w:rsid w:val="00A06BCD"/>
    <w:rsid w:val="00A06DAE"/>
    <w:rsid w:val="00A070DE"/>
    <w:rsid w:val="00A0718D"/>
    <w:rsid w:val="00A07468"/>
    <w:rsid w:val="00A0797A"/>
    <w:rsid w:val="00A07FED"/>
    <w:rsid w:val="00A100A1"/>
    <w:rsid w:val="00A105EC"/>
    <w:rsid w:val="00A10896"/>
    <w:rsid w:val="00A10C0A"/>
    <w:rsid w:val="00A10D95"/>
    <w:rsid w:val="00A10F86"/>
    <w:rsid w:val="00A11019"/>
    <w:rsid w:val="00A114E5"/>
    <w:rsid w:val="00A115CB"/>
    <w:rsid w:val="00A116B1"/>
    <w:rsid w:val="00A11742"/>
    <w:rsid w:val="00A117F7"/>
    <w:rsid w:val="00A11A73"/>
    <w:rsid w:val="00A11A7E"/>
    <w:rsid w:val="00A11C67"/>
    <w:rsid w:val="00A11F1D"/>
    <w:rsid w:val="00A121D9"/>
    <w:rsid w:val="00A122A4"/>
    <w:rsid w:val="00A1253F"/>
    <w:rsid w:val="00A12ACB"/>
    <w:rsid w:val="00A12B3D"/>
    <w:rsid w:val="00A13C4A"/>
    <w:rsid w:val="00A13C50"/>
    <w:rsid w:val="00A142CF"/>
    <w:rsid w:val="00A14331"/>
    <w:rsid w:val="00A14551"/>
    <w:rsid w:val="00A145EB"/>
    <w:rsid w:val="00A14987"/>
    <w:rsid w:val="00A14AB2"/>
    <w:rsid w:val="00A14AC9"/>
    <w:rsid w:val="00A15928"/>
    <w:rsid w:val="00A159CA"/>
    <w:rsid w:val="00A15E4C"/>
    <w:rsid w:val="00A169D1"/>
    <w:rsid w:val="00A175A7"/>
    <w:rsid w:val="00A17608"/>
    <w:rsid w:val="00A177D9"/>
    <w:rsid w:val="00A1787D"/>
    <w:rsid w:val="00A17C76"/>
    <w:rsid w:val="00A17D5B"/>
    <w:rsid w:val="00A20573"/>
    <w:rsid w:val="00A206E0"/>
    <w:rsid w:val="00A207FA"/>
    <w:rsid w:val="00A20C94"/>
    <w:rsid w:val="00A21374"/>
    <w:rsid w:val="00A21C4C"/>
    <w:rsid w:val="00A220B7"/>
    <w:rsid w:val="00A22171"/>
    <w:rsid w:val="00A227D6"/>
    <w:rsid w:val="00A227E7"/>
    <w:rsid w:val="00A22A71"/>
    <w:rsid w:val="00A22D55"/>
    <w:rsid w:val="00A22F6E"/>
    <w:rsid w:val="00A23736"/>
    <w:rsid w:val="00A239DB"/>
    <w:rsid w:val="00A23F28"/>
    <w:rsid w:val="00A24008"/>
    <w:rsid w:val="00A24070"/>
    <w:rsid w:val="00A24078"/>
    <w:rsid w:val="00A2475E"/>
    <w:rsid w:val="00A24A31"/>
    <w:rsid w:val="00A251F2"/>
    <w:rsid w:val="00A258E0"/>
    <w:rsid w:val="00A25FCF"/>
    <w:rsid w:val="00A26928"/>
    <w:rsid w:val="00A269B5"/>
    <w:rsid w:val="00A26A3F"/>
    <w:rsid w:val="00A2726D"/>
    <w:rsid w:val="00A27ADC"/>
    <w:rsid w:val="00A30627"/>
    <w:rsid w:val="00A3079F"/>
    <w:rsid w:val="00A30AB2"/>
    <w:rsid w:val="00A30B6C"/>
    <w:rsid w:val="00A31498"/>
    <w:rsid w:val="00A31D99"/>
    <w:rsid w:val="00A31F37"/>
    <w:rsid w:val="00A3244C"/>
    <w:rsid w:val="00A32555"/>
    <w:rsid w:val="00A32C96"/>
    <w:rsid w:val="00A32E59"/>
    <w:rsid w:val="00A33017"/>
    <w:rsid w:val="00A330CD"/>
    <w:rsid w:val="00A333C1"/>
    <w:rsid w:val="00A33D5D"/>
    <w:rsid w:val="00A33E4D"/>
    <w:rsid w:val="00A346A1"/>
    <w:rsid w:val="00A346EE"/>
    <w:rsid w:val="00A34995"/>
    <w:rsid w:val="00A34B14"/>
    <w:rsid w:val="00A34C32"/>
    <w:rsid w:val="00A34DDE"/>
    <w:rsid w:val="00A34EAB"/>
    <w:rsid w:val="00A350EA"/>
    <w:rsid w:val="00A35948"/>
    <w:rsid w:val="00A3594F"/>
    <w:rsid w:val="00A35BF0"/>
    <w:rsid w:val="00A35D94"/>
    <w:rsid w:val="00A362F7"/>
    <w:rsid w:val="00A36940"/>
    <w:rsid w:val="00A36990"/>
    <w:rsid w:val="00A36EBD"/>
    <w:rsid w:val="00A37269"/>
    <w:rsid w:val="00A37C51"/>
    <w:rsid w:val="00A40F98"/>
    <w:rsid w:val="00A4174E"/>
    <w:rsid w:val="00A42519"/>
    <w:rsid w:val="00A42AD8"/>
    <w:rsid w:val="00A4350C"/>
    <w:rsid w:val="00A4353E"/>
    <w:rsid w:val="00A43813"/>
    <w:rsid w:val="00A439B7"/>
    <w:rsid w:val="00A43D47"/>
    <w:rsid w:val="00A44090"/>
    <w:rsid w:val="00A440A6"/>
    <w:rsid w:val="00A44A4B"/>
    <w:rsid w:val="00A44C30"/>
    <w:rsid w:val="00A45121"/>
    <w:rsid w:val="00A45B00"/>
    <w:rsid w:val="00A4618D"/>
    <w:rsid w:val="00A464E1"/>
    <w:rsid w:val="00A46C4E"/>
    <w:rsid w:val="00A46D95"/>
    <w:rsid w:val="00A46F53"/>
    <w:rsid w:val="00A47081"/>
    <w:rsid w:val="00A47480"/>
    <w:rsid w:val="00A47AE0"/>
    <w:rsid w:val="00A47E8C"/>
    <w:rsid w:val="00A50F9A"/>
    <w:rsid w:val="00A51299"/>
    <w:rsid w:val="00A51BC0"/>
    <w:rsid w:val="00A526FF"/>
    <w:rsid w:val="00A5298C"/>
    <w:rsid w:val="00A52AD0"/>
    <w:rsid w:val="00A52CE8"/>
    <w:rsid w:val="00A53497"/>
    <w:rsid w:val="00A535A7"/>
    <w:rsid w:val="00A536CB"/>
    <w:rsid w:val="00A542F8"/>
    <w:rsid w:val="00A54524"/>
    <w:rsid w:val="00A54A95"/>
    <w:rsid w:val="00A54EFB"/>
    <w:rsid w:val="00A55A47"/>
    <w:rsid w:val="00A55AE0"/>
    <w:rsid w:val="00A566CF"/>
    <w:rsid w:val="00A56DF0"/>
    <w:rsid w:val="00A56E78"/>
    <w:rsid w:val="00A574BF"/>
    <w:rsid w:val="00A5790F"/>
    <w:rsid w:val="00A579F8"/>
    <w:rsid w:val="00A57EB9"/>
    <w:rsid w:val="00A57F7B"/>
    <w:rsid w:val="00A605E1"/>
    <w:rsid w:val="00A60C15"/>
    <w:rsid w:val="00A60F08"/>
    <w:rsid w:val="00A6101C"/>
    <w:rsid w:val="00A61C56"/>
    <w:rsid w:val="00A61FFB"/>
    <w:rsid w:val="00A6204A"/>
    <w:rsid w:val="00A62093"/>
    <w:rsid w:val="00A62439"/>
    <w:rsid w:val="00A624F8"/>
    <w:rsid w:val="00A6310C"/>
    <w:rsid w:val="00A6316B"/>
    <w:rsid w:val="00A631ED"/>
    <w:rsid w:val="00A633C2"/>
    <w:rsid w:val="00A63460"/>
    <w:rsid w:val="00A63679"/>
    <w:rsid w:val="00A639BE"/>
    <w:rsid w:val="00A63A8F"/>
    <w:rsid w:val="00A63D6F"/>
    <w:rsid w:val="00A64389"/>
    <w:rsid w:val="00A64797"/>
    <w:rsid w:val="00A64817"/>
    <w:rsid w:val="00A64CD0"/>
    <w:rsid w:val="00A658C2"/>
    <w:rsid w:val="00A65EC3"/>
    <w:rsid w:val="00A6691A"/>
    <w:rsid w:val="00A66BE3"/>
    <w:rsid w:val="00A67102"/>
    <w:rsid w:val="00A67F2A"/>
    <w:rsid w:val="00A70347"/>
    <w:rsid w:val="00A718A6"/>
    <w:rsid w:val="00A71CDE"/>
    <w:rsid w:val="00A72100"/>
    <w:rsid w:val="00A72306"/>
    <w:rsid w:val="00A7252E"/>
    <w:rsid w:val="00A725D0"/>
    <w:rsid w:val="00A72BBC"/>
    <w:rsid w:val="00A72E18"/>
    <w:rsid w:val="00A730F3"/>
    <w:rsid w:val="00A73C89"/>
    <w:rsid w:val="00A73FED"/>
    <w:rsid w:val="00A74143"/>
    <w:rsid w:val="00A743DC"/>
    <w:rsid w:val="00A746A3"/>
    <w:rsid w:val="00A7486D"/>
    <w:rsid w:val="00A74BE6"/>
    <w:rsid w:val="00A7541E"/>
    <w:rsid w:val="00A754C4"/>
    <w:rsid w:val="00A7557C"/>
    <w:rsid w:val="00A758A4"/>
    <w:rsid w:val="00A75A61"/>
    <w:rsid w:val="00A75BA0"/>
    <w:rsid w:val="00A75FDF"/>
    <w:rsid w:val="00A768A2"/>
    <w:rsid w:val="00A769F0"/>
    <w:rsid w:val="00A76A55"/>
    <w:rsid w:val="00A770EF"/>
    <w:rsid w:val="00A77164"/>
    <w:rsid w:val="00A773B4"/>
    <w:rsid w:val="00A77464"/>
    <w:rsid w:val="00A77575"/>
    <w:rsid w:val="00A77868"/>
    <w:rsid w:val="00A803FA"/>
    <w:rsid w:val="00A80733"/>
    <w:rsid w:val="00A80917"/>
    <w:rsid w:val="00A80948"/>
    <w:rsid w:val="00A81723"/>
    <w:rsid w:val="00A81811"/>
    <w:rsid w:val="00A8234E"/>
    <w:rsid w:val="00A82518"/>
    <w:rsid w:val="00A82548"/>
    <w:rsid w:val="00A82CC3"/>
    <w:rsid w:val="00A833A3"/>
    <w:rsid w:val="00A835E5"/>
    <w:rsid w:val="00A83768"/>
    <w:rsid w:val="00A84373"/>
    <w:rsid w:val="00A8456A"/>
    <w:rsid w:val="00A845ED"/>
    <w:rsid w:val="00A84CB3"/>
    <w:rsid w:val="00A85435"/>
    <w:rsid w:val="00A85579"/>
    <w:rsid w:val="00A859F5"/>
    <w:rsid w:val="00A85B73"/>
    <w:rsid w:val="00A867C8"/>
    <w:rsid w:val="00A867CD"/>
    <w:rsid w:val="00A86F87"/>
    <w:rsid w:val="00A8702E"/>
    <w:rsid w:val="00A87161"/>
    <w:rsid w:val="00A874D6"/>
    <w:rsid w:val="00A878E9"/>
    <w:rsid w:val="00A87C01"/>
    <w:rsid w:val="00A902A7"/>
    <w:rsid w:val="00A90327"/>
    <w:rsid w:val="00A904AB"/>
    <w:rsid w:val="00A907C1"/>
    <w:rsid w:val="00A90DEF"/>
    <w:rsid w:val="00A90E27"/>
    <w:rsid w:val="00A913D1"/>
    <w:rsid w:val="00A91FE5"/>
    <w:rsid w:val="00A92ABA"/>
    <w:rsid w:val="00A92F34"/>
    <w:rsid w:val="00A92F66"/>
    <w:rsid w:val="00A93101"/>
    <w:rsid w:val="00A93154"/>
    <w:rsid w:val="00A93214"/>
    <w:rsid w:val="00A93ABB"/>
    <w:rsid w:val="00A93C27"/>
    <w:rsid w:val="00A93C2B"/>
    <w:rsid w:val="00A94408"/>
    <w:rsid w:val="00A9462F"/>
    <w:rsid w:val="00A94865"/>
    <w:rsid w:val="00A94D8C"/>
    <w:rsid w:val="00A9542F"/>
    <w:rsid w:val="00A9568E"/>
    <w:rsid w:val="00A9598F"/>
    <w:rsid w:val="00A95A81"/>
    <w:rsid w:val="00A95B4F"/>
    <w:rsid w:val="00A964F1"/>
    <w:rsid w:val="00A967F4"/>
    <w:rsid w:val="00A96A4E"/>
    <w:rsid w:val="00A96FC0"/>
    <w:rsid w:val="00A97BFA"/>
    <w:rsid w:val="00AA007C"/>
    <w:rsid w:val="00AA0953"/>
    <w:rsid w:val="00AA0B30"/>
    <w:rsid w:val="00AA1168"/>
    <w:rsid w:val="00AA1EB2"/>
    <w:rsid w:val="00AA20ED"/>
    <w:rsid w:val="00AA24F3"/>
    <w:rsid w:val="00AA25C9"/>
    <w:rsid w:val="00AA3676"/>
    <w:rsid w:val="00AA3726"/>
    <w:rsid w:val="00AA40AA"/>
    <w:rsid w:val="00AA4F09"/>
    <w:rsid w:val="00AA513C"/>
    <w:rsid w:val="00AA62A1"/>
    <w:rsid w:val="00AA64E9"/>
    <w:rsid w:val="00AA67F0"/>
    <w:rsid w:val="00AA7897"/>
    <w:rsid w:val="00AA78AF"/>
    <w:rsid w:val="00AA7A72"/>
    <w:rsid w:val="00AA7DCE"/>
    <w:rsid w:val="00AA7F8C"/>
    <w:rsid w:val="00AA7FA5"/>
    <w:rsid w:val="00AB0058"/>
    <w:rsid w:val="00AB0725"/>
    <w:rsid w:val="00AB0807"/>
    <w:rsid w:val="00AB096B"/>
    <w:rsid w:val="00AB0C5B"/>
    <w:rsid w:val="00AB0FB2"/>
    <w:rsid w:val="00AB0FFB"/>
    <w:rsid w:val="00AB10E3"/>
    <w:rsid w:val="00AB120F"/>
    <w:rsid w:val="00AB18AB"/>
    <w:rsid w:val="00AB1CBF"/>
    <w:rsid w:val="00AB1FAD"/>
    <w:rsid w:val="00AB23F9"/>
    <w:rsid w:val="00AB26FB"/>
    <w:rsid w:val="00AB2AF8"/>
    <w:rsid w:val="00AB32A1"/>
    <w:rsid w:val="00AB3387"/>
    <w:rsid w:val="00AB37FD"/>
    <w:rsid w:val="00AB41AF"/>
    <w:rsid w:val="00AB42BB"/>
    <w:rsid w:val="00AB4316"/>
    <w:rsid w:val="00AB4B6A"/>
    <w:rsid w:val="00AB502F"/>
    <w:rsid w:val="00AB50C3"/>
    <w:rsid w:val="00AB520F"/>
    <w:rsid w:val="00AB562B"/>
    <w:rsid w:val="00AB572D"/>
    <w:rsid w:val="00AB57D9"/>
    <w:rsid w:val="00AB5F8B"/>
    <w:rsid w:val="00AB6AB1"/>
    <w:rsid w:val="00AB6F61"/>
    <w:rsid w:val="00AB7408"/>
    <w:rsid w:val="00AB7601"/>
    <w:rsid w:val="00AB7957"/>
    <w:rsid w:val="00AB7A15"/>
    <w:rsid w:val="00AC0BD8"/>
    <w:rsid w:val="00AC1E53"/>
    <w:rsid w:val="00AC1E69"/>
    <w:rsid w:val="00AC2F56"/>
    <w:rsid w:val="00AC3669"/>
    <w:rsid w:val="00AC37F0"/>
    <w:rsid w:val="00AC40D8"/>
    <w:rsid w:val="00AC42FA"/>
    <w:rsid w:val="00AC455C"/>
    <w:rsid w:val="00AC45CA"/>
    <w:rsid w:val="00AC4B72"/>
    <w:rsid w:val="00AC4D66"/>
    <w:rsid w:val="00AC58DE"/>
    <w:rsid w:val="00AC5C0E"/>
    <w:rsid w:val="00AC5D6D"/>
    <w:rsid w:val="00AC5FCE"/>
    <w:rsid w:val="00AC615E"/>
    <w:rsid w:val="00AC62B7"/>
    <w:rsid w:val="00AC692A"/>
    <w:rsid w:val="00AC6BDA"/>
    <w:rsid w:val="00AC6E20"/>
    <w:rsid w:val="00AC749B"/>
    <w:rsid w:val="00AC7A38"/>
    <w:rsid w:val="00AC7D16"/>
    <w:rsid w:val="00AD0404"/>
    <w:rsid w:val="00AD07F1"/>
    <w:rsid w:val="00AD1F02"/>
    <w:rsid w:val="00AD20E0"/>
    <w:rsid w:val="00AD250D"/>
    <w:rsid w:val="00AD280C"/>
    <w:rsid w:val="00AD2BE1"/>
    <w:rsid w:val="00AD3477"/>
    <w:rsid w:val="00AD3491"/>
    <w:rsid w:val="00AD38D9"/>
    <w:rsid w:val="00AD3C49"/>
    <w:rsid w:val="00AD3D21"/>
    <w:rsid w:val="00AD50C8"/>
    <w:rsid w:val="00AD5B51"/>
    <w:rsid w:val="00AD68F8"/>
    <w:rsid w:val="00AD692B"/>
    <w:rsid w:val="00AD741A"/>
    <w:rsid w:val="00AD74BD"/>
    <w:rsid w:val="00AD7E1C"/>
    <w:rsid w:val="00AE08FD"/>
    <w:rsid w:val="00AE0B68"/>
    <w:rsid w:val="00AE0CA2"/>
    <w:rsid w:val="00AE10CD"/>
    <w:rsid w:val="00AE13BB"/>
    <w:rsid w:val="00AE1457"/>
    <w:rsid w:val="00AE1499"/>
    <w:rsid w:val="00AE2A87"/>
    <w:rsid w:val="00AE2D0A"/>
    <w:rsid w:val="00AE31AF"/>
    <w:rsid w:val="00AE3725"/>
    <w:rsid w:val="00AE3E89"/>
    <w:rsid w:val="00AE4169"/>
    <w:rsid w:val="00AE42B3"/>
    <w:rsid w:val="00AE448F"/>
    <w:rsid w:val="00AE4A88"/>
    <w:rsid w:val="00AE4E58"/>
    <w:rsid w:val="00AE4F14"/>
    <w:rsid w:val="00AE5139"/>
    <w:rsid w:val="00AE54FA"/>
    <w:rsid w:val="00AE5AE9"/>
    <w:rsid w:val="00AE5C8B"/>
    <w:rsid w:val="00AE5EFC"/>
    <w:rsid w:val="00AE64DD"/>
    <w:rsid w:val="00AE65CA"/>
    <w:rsid w:val="00AE6800"/>
    <w:rsid w:val="00AE6CDA"/>
    <w:rsid w:val="00AE72FC"/>
    <w:rsid w:val="00AE7389"/>
    <w:rsid w:val="00AE751E"/>
    <w:rsid w:val="00AE7A67"/>
    <w:rsid w:val="00AE7E09"/>
    <w:rsid w:val="00AF000E"/>
    <w:rsid w:val="00AF0775"/>
    <w:rsid w:val="00AF135D"/>
    <w:rsid w:val="00AF159F"/>
    <w:rsid w:val="00AF16A0"/>
    <w:rsid w:val="00AF17A5"/>
    <w:rsid w:val="00AF1E36"/>
    <w:rsid w:val="00AF239F"/>
    <w:rsid w:val="00AF23AA"/>
    <w:rsid w:val="00AF23C2"/>
    <w:rsid w:val="00AF2C34"/>
    <w:rsid w:val="00AF2D35"/>
    <w:rsid w:val="00AF3040"/>
    <w:rsid w:val="00AF31DB"/>
    <w:rsid w:val="00AF31E8"/>
    <w:rsid w:val="00AF39BC"/>
    <w:rsid w:val="00AF3AAA"/>
    <w:rsid w:val="00AF44E0"/>
    <w:rsid w:val="00AF4979"/>
    <w:rsid w:val="00AF4D7A"/>
    <w:rsid w:val="00AF51E5"/>
    <w:rsid w:val="00AF52E7"/>
    <w:rsid w:val="00AF575D"/>
    <w:rsid w:val="00AF5B14"/>
    <w:rsid w:val="00AF5C8B"/>
    <w:rsid w:val="00AF5D55"/>
    <w:rsid w:val="00AF605B"/>
    <w:rsid w:val="00AF62CE"/>
    <w:rsid w:val="00AF6749"/>
    <w:rsid w:val="00AF6E7F"/>
    <w:rsid w:val="00AF7011"/>
    <w:rsid w:val="00AF71AA"/>
    <w:rsid w:val="00AF741B"/>
    <w:rsid w:val="00AF7453"/>
    <w:rsid w:val="00AF79E4"/>
    <w:rsid w:val="00AF7C3D"/>
    <w:rsid w:val="00AF7E72"/>
    <w:rsid w:val="00AF7F12"/>
    <w:rsid w:val="00B00223"/>
    <w:rsid w:val="00B00C97"/>
    <w:rsid w:val="00B00E2D"/>
    <w:rsid w:val="00B00EE8"/>
    <w:rsid w:val="00B0115C"/>
    <w:rsid w:val="00B012B5"/>
    <w:rsid w:val="00B01F83"/>
    <w:rsid w:val="00B01FA9"/>
    <w:rsid w:val="00B0219D"/>
    <w:rsid w:val="00B0239F"/>
    <w:rsid w:val="00B026A2"/>
    <w:rsid w:val="00B02BD8"/>
    <w:rsid w:val="00B02E29"/>
    <w:rsid w:val="00B0328C"/>
    <w:rsid w:val="00B0338C"/>
    <w:rsid w:val="00B036CF"/>
    <w:rsid w:val="00B0396C"/>
    <w:rsid w:val="00B03F9B"/>
    <w:rsid w:val="00B0432F"/>
    <w:rsid w:val="00B043ED"/>
    <w:rsid w:val="00B04523"/>
    <w:rsid w:val="00B0521C"/>
    <w:rsid w:val="00B054FF"/>
    <w:rsid w:val="00B05CB6"/>
    <w:rsid w:val="00B06078"/>
    <w:rsid w:val="00B0619C"/>
    <w:rsid w:val="00B0633F"/>
    <w:rsid w:val="00B06DE5"/>
    <w:rsid w:val="00B070A0"/>
    <w:rsid w:val="00B075B2"/>
    <w:rsid w:val="00B07600"/>
    <w:rsid w:val="00B07CC0"/>
    <w:rsid w:val="00B07FC9"/>
    <w:rsid w:val="00B102F5"/>
    <w:rsid w:val="00B103E9"/>
    <w:rsid w:val="00B1060C"/>
    <w:rsid w:val="00B10BEF"/>
    <w:rsid w:val="00B10C2E"/>
    <w:rsid w:val="00B11539"/>
    <w:rsid w:val="00B11586"/>
    <w:rsid w:val="00B11E6D"/>
    <w:rsid w:val="00B11FA4"/>
    <w:rsid w:val="00B1220A"/>
    <w:rsid w:val="00B12242"/>
    <w:rsid w:val="00B12B99"/>
    <w:rsid w:val="00B13427"/>
    <w:rsid w:val="00B138DA"/>
    <w:rsid w:val="00B1393B"/>
    <w:rsid w:val="00B13AD9"/>
    <w:rsid w:val="00B140D2"/>
    <w:rsid w:val="00B1462C"/>
    <w:rsid w:val="00B14CD1"/>
    <w:rsid w:val="00B15491"/>
    <w:rsid w:val="00B15580"/>
    <w:rsid w:val="00B1562F"/>
    <w:rsid w:val="00B15740"/>
    <w:rsid w:val="00B15777"/>
    <w:rsid w:val="00B16C77"/>
    <w:rsid w:val="00B16D0D"/>
    <w:rsid w:val="00B16D63"/>
    <w:rsid w:val="00B172E7"/>
    <w:rsid w:val="00B174AB"/>
    <w:rsid w:val="00B17629"/>
    <w:rsid w:val="00B2135F"/>
    <w:rsid w:val="00B214E4"/>
    <w:rsid w:val="00B21799"/>
    <w:rsid w:val="00B21A4D"/>
    <w:rsid w:val="00B21D6E"/>
    <w:rsid w:val="00B222B5"/>
    <w:rsid w:val="00B22C39"/>
    <w:rsid w:val="00B22D8C"/>
    <w:rsid w:val="00B22DE0"/>
    <w:rsid w:val="00B230F8"/>
    <w:rsid w:val="00B2352F"/>
    <w:rsid w:val="00B23D2D"/>
    <w:rsid w:val="00B24380"/>
    <w:rsid w:val="00B24FEA"/>
    <w:rsid w:val="00B25328"/>
    <w:rsid w:val="00B2540B"/>
    <w:rsid w:val="00B25426"/>
    <w:rsid w:val="00B258B5"/>
    <w:rsid w:val="00B25B94"/>
    <w:rsid w:val="00B25DAF"/>
    <w:rsid w:val="00B25FE6"/>
    <w:rsid w:val="00B2603E"/>
    <w:rsid w:val="00B26397"/>
    <w:rsid w:val="00B26407"/>
    <w:rsid w:val="00B26CD6"/>
    <w:rsid w:val="00B27166"/>
    <w:rsid w:val="00B27255"/>
    <w:rsid w:val="00B2749B"/>
    <w:rsid w:val="00B2763A"/>
    <w:rsid w:val="00B27783"/>
    <w:rsid w:val="00B277B6"/>
    <w:rsid w:val="00B27A0A"/>
    <w:rsid w:val="00B27BEE"/>
    <w:rsid w:val="00B30160"/>
    <w:rsid w:val="00B301E2"/>
    <w:rsid w:val="00B302B8"/>
    <w:rsid w:val="00B304C0"/>
    <w:rsid w:val="00B3068C"/>
    <w:rsid w:val="00B3071F"/>
    <w:rsid w:val="00B30DD2"/>
    <w:rsid w:val="00B314D4"/>
    <w:rsid w:val="00B317DC"/>
    <w:rsid w:val="00B31A2F"/>
    <w:rsid w:val="00B31E48"/>
    <w:rsid w:val="00B321D4"/>
    <w:rsid w:val="00B324A8"/>
    <w:rsid w:val="00B327F4"/>
    <w:rsid w:val="00B32D08"/>
    <w:rsid w:val="00B32F4E"/>
    <w:rsid w:val="00B32F61"/>
    <w:rsid w:val="00B3322F"/>
    <w:rsid w:val="00B334B1"/>
    <w:rsid w:val="00B339CE"/>
    <w:rsid w:val="00B33E53"/>
    <w:rsid w:val="00B34131"/>
    <w:rsid w:val="00B3426C"/>
    <w:rsid w:val="00B34524"/>
    <w:rsid w:val="00B346E2"/>
    <w:rsid w:val="00B35631"/>
    <w:rsid w:val="00B3586B"/>
    <w:rsid w:val="00B3587C"/>
    <w:rsid w:val="00B358CF"/>
    <w:rsid w:val="00B35902"/>
    <w:rsid w:val="00B35B04"/>
    <w:rsid w:val="00B36259"/>
    <w:rsid w:val="00B36C52"/>
    <w:rsid w:val="00B36DA6"/>
    <w:rsid w:val="00B36E10"/>
    <w:rsid w:val="00B36E89"/>
    <w:rsid w:val="00B37246"/>
    <w:rsid w:val="00B3733C"/>
    <w:rsid w:val="00B37409"/>
    <w:rsid w:val="00B37423"/>
    <w:rsid w:val="00B37654"/>
    <w:rsid w:val="00B3775E"/>
    <w:rsid w:val="00B37810"/>
    <w:rsid w:val="00B37B94"/>
    <w:rsid w:val="00B37E95"/>
    <w:rsid w:val="00B37FC0"/>
    <w:rsid w:val="00B4097F"/>
    <w:rsid w:val="00B410B3"/>
    <w:rsid w:val="00B417BB"/>
    <w:rsid w:val="00B4190C"/>
    <w:rsid w:val="00B41956"/>
    <w:rsid w:val="00B427F5"/>
    <w:rsid w:val="00B42A22"/>
    <w:rsid w:val="00B43539"/>
    <w:rsid w:val="00B43B71"/>
    <w:rsid w:val="00B43F67"/>
    <w:rsid w:val="00B44257"/>
    <w:rsid w:val="00B45359"/>
    <w:rsid w:val="00B45535"/>
    <w:rsid w:val="00B4553C"/>
    <w:rsid w:val="00B4572C"/>
    <w:rsid w:val="00B4592A"/>
    <w:rsid w:val="00B459C8"/>
    <w:rsid w:val="00B45B2A"/>
    <w:rsid w:val="00B45BAB"/>
    <w:rsid w:val="00B45F55"/>
    <w:rsid w:val="00B461A4"/>
    <w:rsid w:val="00B461B0"/>
    <w:rsid w:val="00B462B3"/>
    <w:rsid w:val="00B46739"/>
    <w:rsid w:val="00B46811"/>
    <w:rsid w:val="00B46975"/>
    <w:rsid w:val="00B46AA2"/>
    <w:rsid w:val="00B46EE7"/>
    <w:rsid w:val="00B472EC"/>
    <w:rsid w:val="00B4777F"/>
    <w:rsid w:val="00B47A25"/>
    <w:rsid w:val="00B50BAA"/>
    <w:rsid w:val="00B51611"/>
    <w:rsid w:val="00B518C6"/>
    <w:rsid w:val="00B52046"/>
    <w:rsid w:val="00B5259A"/>
    <w:rsid w:val="00B52C06"/>
    <w:rsid w:val="00B52CB1"/>
    <w:rsid w:val="00B5315C"/>
    <w:rsid w:val="00B53A25"/>
    <w:rsid w:val="00B53A95"/>
    <w:rsid w:val="00B53B6D"/>
    <w:rsid w:val="00B53C9A"/>
    <w:rsid w:val="00B53D31"/>
    <w:rsid w:val="00B54F0D"/>
    <w:rsid w:val="00B553DF"/>
    <w:rsid w:val="00B5563C"/>
    <w:rsid w:val="00B55939"/>
    <w:rsid w:val="00B55C63"/>
    <w:rsid w:val="00B56301"/>
    <w:rsid w:val="00B56F23"/>
    <w:rsid w:val="00B57469"/>
    <w:rsid w:val="00B575D4"/>
    <w:rsid w:val="00B57CDA"/>
    <w:rsid w:val="00B57D54"/>
    <w:rsid w:val="00B60099"/>
    <w:rsid w:val="00B6051C"/>
    <w:rsid w:val="00B60946"/>
    <w:rsid w:val="00B609C3"/>
    <w:rsid w:val="00B609D4"/>
    <w:rsid w:val="00B60A2D"/>
    <w:rsid w:val="00B60C95"/>
    <w:rsid w:val="00B60FB5"/>
    <w:rsid w:val="00B62014"/>
    <w:rsid w:val="00B629C9"/>
    <w:rsid w:val="00B63426"/>
    <w:rsid w:val="00B63656"/>
    <w:rsid w:val="00B63F21"/>
    <w:rsid w:val="00B63FB6"/>
    <w:rsid w:val="00B6401C"/>
    <w:rsid w:val="00B64086"/>
    <w:rsid w:val="00B644C8"/>
    <w:rsid w:val="00B64519"/>
    <w:rsid w:val="00B64541"/>
    <w:rsid w:val="00B6456D"/>
    <w:rsid w:val="00B64BD0"/>
    <w:rsid w:val="00B64DCA"/>
    <w:rsid w:val="00B64FCD"/>
    <w:rsid w:val="00B65C38"/>
    <w:rsid w:val="00B65C86"/>
    <w:rsid w:val="00B65CBD"/>
    <w:rsid w:val="00B660D9"/>
    <w:rsid w:val="00B667B1"/>
    <w:rsid w:val="00B66802"/>
    <w:rsid w:val="00B6727D"/>
    <w:rsid w:val="00B67453"/>
    <w:rsid w:val="00B675F7"/>
    <w:rsid w:val="00B677EA"/>
    <w:rsid w:val="00B67A78"/>
    <w:rsid w:val="00B7013C"/>
    <w:rsid w:val="00B707BA"/>
    <w:rsid w:val="00B7086A"/>
    <w:rsid w:val="00B70A5F"/>
    <w:rsid w:val="00B70C27"/>
    <w:rsid w:val="00B70E97"/>
    <w:rsid w:val="00B712EE"/>
    <w:rsid w:val="00B715DC"/>
    <w:rsid w:val="00B71ACD"/>
    <w:rsid w:val="00B722FE"/>
    <w:rsid w:val="00B72597"/>
    <w:rsid w:val="00B729F1"/>
    <w:rsid w:val="00B7300C"/>
    <w:rsid w:val="00B73222"/>
    <w:rsid w:val="00B73EA6"/>
    <w:rsid w:val="00B74648"/>
    <w:rsid w:val="00B74D56"/>
    <w:rsid w:val="00B753EA"/>
    <w:rsid w:val="00B75CCA"/>
    <w:rsid w:val="00B7657E"/>
    <w:rsid w:val="00B768A5"/>
    <w:rsid w:val="00B768A7"/>
    <w:rsid w:val="00B76970"/>
    <w:rsid w:val="00B769B5"/>
    <w:rsid w:val="00B76F65"/>
    <w:rsid w:val="00B76FAA"/>
    <w:rsid w:val="00B7738B"/>
    <w:rsid w:val="00B775CD"/>
    <w:rsid w:val="00B77E12"/>
    <w:rsid w:val="00B77E9E"/>
    <w:rsid w:val="00B80406"/>
    <w:rsid w:val="00B80645"/>
    <w:rsid w:val="00B80A5E"/>
    <w:rsid w:val="00B80F1F"/>
    <w:rsid w:val="00B813C8"/>
    <w:rsid w:val="00B8146F"/>
    <w:rsid w:val="00B8167D"/>
    <w:rsid w:val="00B82095"/>
    <w:rsid w:val="00B821C6"/>
    <w:rsid w:val="00B823DE"/>
    <w:rsid w:val="00B824A1"/>
    <w:rsid w:val="00B82C49"/>
    <w:rsid w:val="00B82D90"/>
    <w:rsid w:val="00B82FB4"/>
    <w:rsid w:val="00B83432"/>
    <w:rsid w:val="00B83B69"/>
    <w:rsid w:val="00B83DFC"/>
    <w:rsid w:val="00B83F10"/>
    <w:rsid w:val="00B8406A"/>
    <w:rsid w:val="00B84439"/>
    <w:rsid w:val="00B84B85"/>
    <w:rsid w:val="00B86207"/>
    <w:rsid w:val="00B8654A"/>
    <w:rsid w:val="00B86589"/>
    <w:rsid w:val="00B865EE"/>
    <w:rsid w:val="00B86A86"/>
    <w:rsid w:val="00B86B7E"/>
    <w:rsid w:val="00B87173"/>
    <w:rsid w:val="00B87449"/>
    <w:rsid w:val="00B8769D"/>
    <w:rsid w:val="00B87BE1"/>
    <w:rsid w:val="00B87DD5"/>
    <w:rsid w:val="00B90282"/>
    <w:rsid w:val="00B90B1B"/>
    <w:rsid w:val="00B90F96"/>
    <w:rsid w:val="00B9219F"/>
    <w:rsid w:val="00B926CB"/>
    <w:rsid w:val="00B92BB9"/>
    <w:rsid w:val="00B92FBB"/>
    <w:rsid w:val="00B933B2"/>
    <w:rsid w:val="00B936CB"/>
    <w:rsid w:val="00B93BDF"/>
    <w:rsid w:val="00B93CAF"/>
    <w:rsid w:val="00B941B6"/>
    <w:rsid w:val="00B94A06"/>
    <w:rsid w:val="00B94DCA"/>
    <w:rsid w:val="00B952E7"/>
    <w:rsid w:val="00B95B2F"/>
    <w:rsid w:val="00B95B37"/>
    <w:rsid w:val="00B95E21"/>
    <w:rsid w:val="00B95E9C"/>
    <w:rsid w:val="00B96ECF"/>
    <w:rsid w:val="00B97356"/>
    <w:rsid w:val="00B97A6D"/>
    <w:rsid w:val="00BA0391"/>
    <w:rsid w:val="00BA060B"/>
    <w:rsid w:val="00BA0710"/>
    <w:rsid w:val="00BA0D90"/>
    <w:rsid w:val="00BA0DCD"/>
    <w:rsid w:val="00BA22BB"/>
    <w:rsid w:val="00BA2423"/>
    <w:rsid w:val="00BA249D"/>
    <w:rsid w:val="00BA34B1"/>
    <w:rsid w:val="00BA382E"/>
    <w:rsid w:val="00BA3830"/>
    <w:rsid w:val="00BA41DF"/>
    <w:rsid w:val="00BA41E7"/>
    <w:rsid w:val="00BA42E0"/>
    <w:rsid w:val="00BA4630"/>
    <w:rsid w:val="00BA48C1"/>
    <w:rsid w:val="00BA4987"/>
    <w:rsid w:val="00BA5792"/>
    <w:rsid w:val="00BA6028"/>
    <w:rsid w:val="00BA6F67"/>
    <w:rsid w:val="00BA738A"/>
    <w:rsid w:val="00BA7618"/>
    <w:rsid w:val="00BA7701"/>
    <w:rsid w:val="00BA7A25"/>
    <w:rsid w:val="00BA7AF1"/>
    <w:rsid w:val="00BA7BAB"/>
    <w:rsid w:val="00BA7C02"/>
    <w:rsid w:val="00BA7C73"/>
    <w:rsid w:val="00BB00C3"/>
    <w:rsid w:val="00BB01F3"/>
    <w:rsid w:val="00BB043A"/>
    <w:rsid w:val="00BB073E"/>
    <w:rsid w:val="00BB0741"/>
    <w:rsid w:val="00BB07C5"/>
    <w:rsid w:val="00BB09ED"/>
    <w:rsid w:val="00BB10E2"/>
    <w:rsid w:val="00BB17AD"/>
    <w:rsid w:val="00BB1D2F"/>
    <w:rsid w:val="00BB2428"/>
    <w:rsid w:val="00BB292D"/>
    <w:rsid w:val="00BB2EAB"/>
    <w:rsid w:val="00BB300F"/>
    <w:rsid w:val="00BB309F"/>
    <w:rsid w:val="00BB3198"/>
    <w:rsid w:val="00BB369B"/>
    <w:rsid w:val="00BB3919"/>
    <w:rsid w:val="00BB3A56"/>
    <w:rsid w:val="00BB3ABF"/>
    <w:rsid w:val="00BB3C9D"/>
    <w:rsid w:val="00BB3E2E"/>
    <w:rsid w:val="00BB42AC"/>
    <w:rsid w:val="00BB49CB"/>
    <w:rsid w:val="00BB4CAE"/>
    <w:rsid w:val="00BB4E7B"/>
    <w:rsid w:val="00BB57B7"/>
    <w:rsid w:val="00BB57C7"/>
    <w:rsid w:val="00BB6087"/>
    <w:rsid w:val="00BB67F1"/>
    <w:rsid w:val="00BB6A14"/>
    <w:rsid w:val="00BB79C2"/>
    <w:rsid w:val="00BB7E42"/>
    <w:rsid w:val="00BB7F0F"/>
    <w:rsid w:val="00BC0B1A"/>
    <w:rsid w:val="00BC0EC7"/>
    <w:rsid w:val="00BC117C"/>
    <w:rsid w:val="00BC11C6"/>
    <w:rsid w:val="00BC1722"/>
    <w:rsid w:val="00BC17DF"/>
    <w:rsid w:val="00BC194A"/>
    <w:rsid w:val="00BC1B69"/>
    <w:rsid w:val="00BC2214"/>
    <w:rsid w:val="00BC247C"/>
    <w:rsid w:val="00BC2825"/>
    <w:rsid w:val="00BC2E96"/>
    <w:rsid w:val="00BC2F35"/>
    <w:rsid w:val="00BC2F8E"/>
    <w:rsid w:val="00BC3393"/>
    <w:rsid w:val="00BC365F"/>
    <w:rsid w:val="00BC3A31"/>
    <w:rsid w:val="00BC3E51"/>
    <w:rsid w:val="00BC406F"/>
    <w:rsid w:val="00BC4164"/>
    <w:rsid w:val="00BC426A"/>
    <w:rsid w:val="00BC4428"/>
    <w:rsid w:val="00BC4C86"/>
    <w:rsid w:val="00BC4C88"/>
    <w:rsid w:val="00BC4DFB"/>
    <w:rsid w:val="00BC544F"/>
    <w:rsid w:val="00BC59CA"/>
    <w:rsid w:val="00BC5D67"/>
    <w:rsid w:val="00BC63F0"/>
    <w:rsid w:val="00BC6940"/>
    <w:rsid w:val="00BC6970"/>
    <w:rsid w:val="00BC6BA8"/>
    <w:rsid w:val="00BC6D81"/>
    <w:rsid w:val="00BC6F87"/>
    <w:rsid w:val="00BC733D"/>
    <w:rsid w:val="00BC734E"/>
    <w:rsid w:val="00BC7713"/>
    <w:rsid w:val="00BC7C93"/>
    <w:rsid w:val="00BD0286"/>
    <w:rsid w:val="00BD02D2"/>
    <w:rsid w:val="00BD0308"/>
    <w:rsid w:val="00BD08F6"/>
    <w:rsid w:val="00BD0A29"/>
    <w:rsid w:val="00BD18E4"/>
    <w:rsid w:val="00BD1B3F"/>
    <w:rsid w:val="00BD2120"/>
    <w:rsid w:val="00BD240E"/>
    <w:rsid w:val="00BD28CF"/>
    <w:rsid w:val="00BD2AC0"/>
    <w:rsid w:val="00BD31E5"/>
    <w:rsid w:val="00BD33A9"/>
    <w:rsid w:val="00BD33BE"/>
    <w:rsid w:val="00BD3623"/>
    <w:rsid w:val="00BD3792"/>
    <w:rsid w:val="00BD3C72"/>
    <w:rsid w:val="00BD4397"/>
    <w:rsid w:val="00BD4412"/>
    <w:rsid w:val="00BD4548"/>
    <w:rsid w:val="00BD4E12"/>
    <w:rsid w:val="00BD4F07"/>
    <w:rsid w:val="00BD56F8"/>
    <w:rsid w:val="00BD5C57"/>
    <w:rsid w:val="00BD5D4E"/>
    <w:rsid w:val="00BD5F37"/>
    <w:rsid w:val="00BD5F7E"/>
    <w:rsid w:val="00BD6811"/>
    <w:rsid w:val="00BD7991"/>
    <w:rsid w:val="00BD7C45"/>
    <w:rsid w:val="00BD7E30"/>
    <w:rsid w:val="00BE0BB5"/>
    <w:rsid w:val="00BE0BDD"/>
    <w:rsid w:val="00BE118B"/>
    <w:rsid w:val="00BE1359"/>
    <w:rsid w:val="00BE1789"/>
    <w:rsid w:val="00BE1C4F"/>
    <w:rsid w:val="00BE1D77"/>
    <w:rsid w:val="00BE21E3"/>
    <w:rsid w:val="00BE305B"/>
    <w:rsid w:val="00BE4D13"/>
    <w:rsid w:val="00BE5C0F"/>
    <w:rsid w:val="00BE5C9E"/>
    <w:rsid w:val="00BE5F4E"/>
    <w:rsid w:val="00BE618A"/>
    <w:rsid w:val="00BE62B2"/>
    <w:rsid w:val="00BE6350"/>
    <w:rsid w:val="00BE67F1"/>
    <w:rsid w:val="00BE7287"/>
    <w:rsid w:val="00BE7964"/>
    <w:rsid w:val="00BE7C93"/>
    <w:rsid w:val="00BF0362"/>
    <w:rsid w:val="00BF0479"/>
    <w:rsid w:val="00BF0CDC"/>
    <w:rsid w:val="00BF0D73"/>
    <w:rsid w:val="00BF1069"/>
    <w:rsid w:val="00BF17E1"/>
    <w:rsid w:val="00BF1A87"/>
    <w:rsid w:val="00BF1D23"/>
    <w:rsid w:val="00BF1F82"/>
    <w:rsid w:val="00BF2520"/>
    <w:rsid w:val="00BF25B1"/>
    <w:rsid w:val="00BF2B78"/>
    <w:rsid w:val="00BF2FC3"/>
    <w:rsid w:val="00BF3470"/>
    <w:rsid w:val="00BF34B7"/>
    <w:rsid w:val="00BF3885"/>
    <w:rsid w:val="00BF393B"/>
    <w:rsid w:val="00BF3B94"/>
    <w:rsid w:val="00BF3FF8"/>
    <w:rsid w:val="00BF43F7"/>
    <w:rsid w:val="00BF4C53"/>
    <w:rsid w:val="00BF50AF"/>
    <w:rsid w:val="00BF54DC"/>
    <w:rsid w:val="00BF5748"/>
    <w:rsid w:val="00BF5B81"/>
    <w:rsid w:val="00BF606F"/>
    <w:rsid w:val="00BF6270"/>
    <w:rsid w:val="00BF67B7"/>
    <w:rsid w:val="00BF69FD"/>
    <w:rsid w:val="00BF6A3C"/>
    <w:rsid w:val="00BF703E"/>
    <w:rsid w:val="00BF7450"/>
    <w:rsid w:val="00BF770B"/>
    <w:rsid w:val="00BF7802"/>
    <w:rsid w:val="00C005F7"/>
    <w:rsid w:val="00C007A6"/>
    <w:rsid w:val="00C00FA3"/>
    <w:rsid w:val="00C0116D"/>
    <w:rsid w:val="00C01510"/>
    <w:rsid w:val="00C01CEB"/>
    <w:rsid w:val="00C01F6E"/>
    <w:rsid w:val="00C021D2"/>
    <w:rsid w:val="00C023A3"/>
    <w:rsid w:val="00C02B42"/>
    <w:rsid w:val="00C02BED"/>
    <w:rsid w:val="00C02D3C"/>
    <w:rsid w:val="00C03249"/>
    <w:rsid w:val="00C036F7"/>
    <w:rsid w:val="00C03978"/>
    <w:rsid w:val="00C04BA2"/>
    <w:rsid w:val="00C04BAE"/>
    <w:rsid w:val="00C04E0F"/>
    <w:rsid w:val="00C05362"/>
    <w:rsid w:val="00C05537"/>
    <w:rsid w:val="00C0576B"/>
    <w:rsid w:val="00C05896"/>
    <w:rsid w:val="00C0599A"/>
    <w:rsid w:val="00C05D89"/>
    <w:rsid w:val="00C06A3F"/>
    <w:rsid w:val="00C06A43"/>
    <w:rsid w:val="00C06C42"/>
    <w:rsid w:val="00C06D80"/>
    <w:rsid w:val="00C06EB2"/>
    <w:rsid w:val="00C073DA"/>
    <w:rsid w:val="00C078C1"/>
    <w:rsid w:val="00C079DB"/>
    <w:rsid w:val="00C07A40"/>
    <w:rsid w:val="00C07C15"/>
    <w:rsid w:val="00C1092B"/>
    <w:rsid w:val="00C10A65"/>
    <w:rsid w:val="00C10B9B"/>
    <w:rsid w:val="00C10C30"/>
    <w:rsid w:val="00C1104C"/>
    <w:rsid w:val="00C11577"/>
    <w:rsid w:val="00C11990"/>
    <w:rsid w:val="00C119DA"/>
    <w:rsid w:val="00C11BFF"/>
    <w:rsid w:val="00C11DC5"/>
    <w:rsid w:val="00C11F13"/>
    <w:rsid w:val="00C11F39"/>
    <w:rsid w:val="00C11F55"/>
    <w:rsid w:val="00C12249"/>
    <w:rsid w:val="00C1250E"/>
    <w:rsid w:val="00C1262D"/>
    <w:rsid w:val="00C138E7"/>
    <w:rsid w:val="00C139A1"/>
    <w:rsid w:val="00C13B36"/>
    <w:rsid w:val="00C13D15"/>
    <w:rsid w:val="00C1448C"/>
    <w:rsid w:val="00C145BD"/>
    <w:rsid w:val="00C145FD"/>
    <w:rsid w:val="00C149A6"/>
    <w:rsid w:val="00C14D7A"/>
    <w:rsid w:val="00C14D92"/>
    <w:rsid w:val="00C15028"/>
    <w:rsid w:val="00C153BC"/>
    <w:rsid w:val="00C15BE4"/>
    <w:rsid w:val="00C15FAD"/>
    <w:rsid w:val="00C16490"/>
    <w:rsid w:val="00C168E7"/>
    <w:rsid w:val="00C16CCB"/>
    <w:rsid w:val="00C17059"/>
    <w:rsid w:val="00C17174"/>
    <w:rsid w:val="00C171C5"/>
    <w:rsid w:val="00C178C4"/>
    <w:rsid w:val="00C17B44"/>
    <w:rsid w:val="00C17ED6"/>
    <w:rsid w:val="00C17F63"/>
    <w:rsid w:val="00C20025"/>
    <w:rsid w:val="00C2041C"/>
    <w:rsid w:val="00C20869"/>
    <w:rsid w:val="00C20DC6"/>
    <w:rsid w:val="00C2113D"/>
    <w:rsid w:val="00C21363"/>
    <w:rsid w:val="00C215D1"/>
    <w:rsid w:val="00C21AE1"/>
    <w:rsid w:val="00C22141"/>
    <w:rsid w:val="00C223D1"/>
    <w:rsid w:val="00C227C6"/>
    <w:rsid w:val="00C22816"/>
    <w:rsid w:val="00C22B32"/>
    <w:rsid w:val="00C230F6"/>
    <w:rsid w:val="00C23686"/>
    <w:rsid w:val="00C23F8A"/>
    <w:rsid w:val="00C244B3"/>
    <w:rsid w:val="00C247E6"/>
    <w:rsid w:val="00C24B05"/>
    <w:rsid w:val="00C24B26"/>
    <w:rsid w:val="00C24D07"/>
    <w:rsid w:val="00C24D29"/>
    <w:rsid w:val="00C24EA5"/>
    <w:rsid w:val="00C25052"/>
    <w:rsid w:val="00C2580C"/>
    <w:rsid w:val="00C25846"/>
    <w:rsid w:val="00C25D31"/>
    <w:rsid w:val="00C262C1"/>
    <w:rsid w:val="00C265D0"/>
    <w:rsid w:val="00C26FE5"/>
    <w:rsid w:val="00C27077"/>
    <w:rsid w:val="00C27F07"/>
    <w:rsid w:val="00C3022B"/>
    <w:rsid w:val="00C30723"/>
    <w:rsid w:val="00C30778"/>
    <w:rsid w:val="00C30AE9"/>
    <w:rsid w:val="00C3137D"/>
    <w:rsid w:val="00C31756"/>
    <w:rsid w:val="00C31F7F"/>
    <w:rsid w:val="00C32186"/>
    <w:rsid w:val="00C323EC"/>
    <w:rsid w:val="00C32893"/>
    <w:rsid w:val="00C32934"/>
    <w:rsid w:val="00C3336D"/>
    <w:rsid w:val="00C334A3"/>
    <w:rsid w:val="00C335AE"/>
    <w:rsid w:val="00C33AB3"/>
    <w:rsid w:val="00C34197"/>
    <w:rsid w:val="00C3427B"/>
    <w:rsid w:val="00C34645"/>
    <w:rsid w:val="00C34E1F"/>
    <w:rsid w:val="00C34F09"/>
    <w:rsid w:val="00C3515D"/>
    <w:rsid w:val="00C356DD"/>
    <w:rsid w:val="00C357CE"/>
    <w:rsid w:val="00C35C70"/>
    <w:rsid w:val="00C35E26"/>
    <w:rsid w:val="00C361F0"/>
    <w:rsid w:val="00C3626A"/>
    <w:rsid w:val="00C36684"/>
    <w:rsid w:val="00C36DCC"/>
    <w:rsid w:val="00C36F0A"/>
    <w:rsid w:val="00C36F4F"/>
    <w:rsid w:val="00C372CB"/>
    <w:rsid w:val="00C37B23"/>
    <w:rsid w:val="00C37EC3"/>
    <w:rsid w:val="00C400F0"/>
    <w:rsid w:val="00C4067A"/>
    <w:rsid w:val="00C40F21"/>
    <w:rsid w:val="00C411BF"/>
    <w:rsid w:val="00C412AE"/>
    <w:rsid w:val="00C41480"/>
    <w:rsid w:val="00C417F1"/>
    <w:rsid w:val="00C41B33"/>
    <w:rsid w:val="00C41F94"/>
    <w:rsid w:val="00C439E0"/>
    <w:rsid w:val="00C44052"/>
    <w:rsid w:val="00C44368"/>
    <w:rsid w:val="00C44D1E"/>
    <w:rsid w:val="00C44D4E"/>
    <w:rsid w:val="00C4531F"/>
    <w:rsid w:val="00C46111"/>
    <w:rsid w:val="00C46816"/>
    <w:rsid w:val="00C46822"/>
    <w:rsid w:val="00C468CE"/>
    <w:rsid w:val="00C46C3E"/>
    <w:rsid w:val="00C46CE5"/>
    <w:rsid w:val="00C4706F"/>
    <w:rsid w:val="00C4754A"/>
    <w:rsid w:val="00C47CFC"/>
    <w:rsid w:val="00C50206"/>
    <w:rsid w:val="00C50260"/>
    <w:rsid w:val="00C5065D"/>
    <w:rsid w:val="00C50A99"/>
    <w:rsid w:val="00C512B5"/>
    <w:rsid w:val="00C51395"/>
    <w:rsid w:val="00C51553"/>
    <w:rsid w:val="00C518A5"/>
    <w:rsid w:val="00C51A60"/>
    <w:rsid w:val="00C51FC3"/>
    <w:rsid w:val="00C520E4"/>
    <w:rsid w:val="00C52334"/>
    <w:rsid w:val="00C5261F"/>
    <w:rsid w:val="00C5279F"/>
    <w:rsid w:val="00C52C65"/>
    <w:rsid w:val="00C53110"/>
    <w:rsid w:val="00C53B12"/>
    <w:rsid w:val="00C53B6C"/>
    <w:rsid w:val="00C5406E"/>
    <w:rsid w:val="00C541AB"/>
    <w:rsid w:val="00C541B2"/>
    <w:rsid w:val="00C542C4"/>
    <w:rsid w:val="00C5477D"/>
    <w:rsid w:val="00C54928"/>
    <w:rsid w:val="00C54A44"/>
    <w:rsid w:val="00C54E2A"/>
    <w:rsid w:val="00C54E49"/>
    <w:rsid w:val="00C54FAF"/>
    <w:rsid w:val="00C550C8"/>
    <w:rsid w:val="00C55222"/>
    <w:rsid w:val="00C553E2"/>
    <w:rsid w:val="00C558CE"/>
    <w:rsid w:val="00C56403"/>
    <w:rsid w:val="00C5661F"/>
    <w:rsid w:val="00C56FD2"/>
    <w:rsid w:val="00C57085"/>
    <w:rsid w:val="00C575AF"/>
    <w:rsid w:val="00C576FC"/>
    <w:rsid w:val="00C579F3"/>
    <w:rsid w:val="00C57EE1"/>
    <w:rsid w:val="00C60361"/>
    <w:rsid w:val="00C60738"/>
    <w:rsid w:val="00C608D7"/>
    <w:rsid w:val="00C60D9F"/>
    <w:rsid w:val="00C61943"/>
    <w:rsid w:val="00C620BA"/>
    <w:rsid w:val="00C62238"/>
    <w:rsid w:val="00C627C5"/>
    <w:rsid w:val="00C62FAB"/>
    <w:rsid w:val="00C635B8"/>
    <w:rsid w:val="00C6395F"/>
    <w:rsid w:val="00C63C3D"/>
    <w:rsid w:val="00C644BF"/>
    <w:rsid w:val="00C64A43"/>
    <w:rsid w:val="00C65163"/>
    <w:rsid w:val="00C65728"/>
    <w:rsid w:val="00C658F4"/>
    <w:rsid w:val="00C65B6B"/>
    <w:rsid w:val="00C65F2D"/>
    <w:rsid w:val="00C66492"/>
    <w:rsid w:val="00C664AB"/>
    <w:rsid w:val="00C66584"/>
    <w:rsid w:val="00C665A9"/>
    <w:rsid w:val="00C66705"/>
    <w:rsid w:val="00C6747B"/>
    <w:rsid w:val="00C67754"/>
    <w:rsid w:val="00C67895"/>
    <w:rsid w:val="00C67D16"/>
    <w:rsid w:val="00C70254"/>
    <w:rsid w:val="00C703C0"/>
    <w:rsid w:val="00C706D1"/>
    <w:rsid w:val="00C70A4F"/>
    <w:rsid w:val="00C70FAE"/>
    <w:rsid w:val="00C7113D"/>
    <w:rsid w:val="00C71284"/>
    <w:rsid w:val="00C719C3"/>
    <w:rsid w:val="00C724F5"/>
    <w:rsid w:val="00C726F6"/>
    <w:rsid w:val="00C72987"/>
    <w:rsid w:val="00C729E1"/>
    <w:rsid w:val="00C72BA3"/>
    <w:rsid w:val="00C72DD5"/>
    <w:rsid w:val="00C733A6"/>
    <w:rsid w:val="00C737B0"/>
    <w:rsid w:val="00C73D39"/>
    <w:rsid w:val="00C73E5E"/>
    <w:rsid w:val="00C744A3"/>
    <w:rsid w:val="00C744D7"/>
    <w:rsid w:val="00C75E95"/>
    <w:rsid w:val="00C760ED"/>
    <w:rsid w:val="00C76282"/>
    <w:rsid w:val="00C76750"/>
    <w:rsid w:val="00C7675A"/>
    <w:rsid w:val="00C76BB2"/>
    <w:rsid w:val="00C76D5D"/>
    <w:rsid w:val="00C76E9D"/>
    <w:rsid w:val="00C77906"/>
    <w:rsid w:val="00C800A2"/>
    <w:rsid w:val="00C80E18"/>
    <w:rsid w:val="00C816DF"/>
    <w:rsid w:val="00C820EE"/>
    <w:rsid w:val="00C82C1E"/>
    <w:rsid w:val="00C82CD4"/>
    <w:rsid w:val="00C835B6"/>
    <w:rsid w:val="00C84475"/>
    <w:rsid w:val="00C84713"/>
    <w:rsid w:val="00C84758"/>
    <w:rsid w:val="00C853AB"/>
    <w:rsid w:val="00C856EF"/>
    <w:rsid w:val="00C85CAC"/>
    <w:rsid w:val="00C85D45"/>
    <w:rsid w:val="00C85F72"/>
    <w:rsid w:val="00C85FB3"/>
    <w:rsid w:val="00C862C3"/>
    <w:rsid w:val="00C86896"/>
    <w:rsid w:val="00C8732D"/>
    <w:rsid w:val="00C8736D"/>
    <w:rsid w:val="00C875CF"/>
    <w:rsid w:val="00C876E1"/>
    <w:rsid w:val="00C90162"/>
    <w:rsid w:val="00C905DB"/>
    <w:rsid w:val="00C908A9"/>
    <w:rsid w:val="00C908BE"/>
    <w:rsid w:val="00C91507"/>
    <w:rsid w:val="00C9203A"/>
    <w:rsid w:val="00C9230B"/>
    <w:rsid w:val="00C929E1"/>
    <w:rsid w:val="00C92B88"/>
    <w:rsid w:val="00C92F67"/>
    <w:rsid w:val="00C93C36"/>
    <w:rsid w:val="00C93D97"/>
    <w:rsid w:val="00C940C2"/>
    <w:rsid w:val="00C9433A"/>
    <w:rsid w:val="00C944D1"/>
    <w:rsid w:val="00C948D6"/>
    <w:rsid w:val="00C952E2"/>
    <w:rsid w:val="00C952E9"/>
    <w:rsid w:val="00C95AC8"/>
    <w:rsid w:val="00C95AF0"/>
    <w:rsid w:val="00C95E95"/>
    <w:rsid w:val="00C962BE"/>
    <w:rsid w:val="00C9639C"/>
    <w:rsid w:val="00C96514"/>
    <w:rsid w:val="00C96D4F"/>
    <w:rsid w:val="00C9721E"/>
    <w:rsid w:val="00C972A5"/>
    <w:rsid w:val="00C9760B"/>
    <w:rsid w:val="00C976E0"/>
    <w:rsid w:val="00C9796B"/>
    <w:rsid w:val="00C97C19"/>
    <w:rsid w:val="00CA0174"/>
    <w:rsid w:val="00CA018B"/>
    <w:rsid w:val="00CA05EE"/>
    <w:rsid w:val="00CA0C53"/>
    <w:rsid w:val="00CA0FB8"/>
    <w:rsid w:val="00CA105A"/>
    <w:rsid w:val="00CA1AE4"/>
    <w:rsid w:val="00CA1BC5"/>
    <w:rsid w:val="00CA1E0C"/>
    <w:rsid w:val="00CA1FA7"/>
    <w:rsid w:val="00CA20E3"/>
    <w:rsid w:val="00CA2143"/>
    <w:rsid w:val="00CA245C"/>
    <w:rsid w:val="00CA24C5"/>
    <w:rsid w:val="00CA26EC"/>
    <w:rsid w:val="00CA3591"/>
    <w:rsid w:val="00CA3AC7"/>
    <w:rsid w:val="00CA405C"/>
    <w:rsid w:val="00CA423D"/>
    <w:rsid w:val="00CA4AAC"/>
    <w:rsid w:val="00CA4DB5"/>
    <w:rsid w:val="00CA4F70"/>
    <w:rsid w:val="00CA5989"/>
    <w:rsid w:val="00CA5AF9"/>
    <w:rsid w:val="00CA5D0C"/>
    <w:rsid w:val="00CA5E13"/>
    <w:rsid w:val="00CA6101"/>
    <w:rsid w:val="00CA625D"/>
    <w:rsid w:val="00CA642E"/>
    <w:rsid w:val="00CA69FF"/>
    <w:rsid w:val="00CA6F73"/>
    <w:rsid w:val="00CA7A1F"/>
    <w:rsid w:val="00CA7DAF"/>
    <w:rsid w:val="00CB017E"/>
    <w:rsid w:val="00CB0226"/>
    <w:rsid w:val="00CB02C7"/>
    <w:rsid w:val="00CB0717"/>
    <w:rsid w:val="00CB0A65"/>
    <w:rsid w:val="00CB0B17"/>
    <w:rsid w:val="00CB0DC8"/>
    <w:rsid w:val="00CB0FDE"/>
    <w:rsid w:val="00CB1177"/>
    <w:rsid w:val="00CB1618"/>
    <w:rsid w:val="00CB1A88"/>
    <w:rsid w:val="00CB1F92"/>
    <w:rsid w:val="00CB277F"/>
    <w:rsid w:val="00CB2809"/>
    <w:rsid w:val="00CB328B"/>
    <w:rsid w:val="00CB3318"/>
    <w:rsid w:val="00CB357D"/>
    <w:rsid w:val="00CB3628"/>
    <w:rsid w:val="00CB3BC7"/>
    <w:rsid w:val="00CB407C"/>
    <w:rsid w:val="00CB4204"/>
    <w:rsid w:val="00CB46B4"/>
    <w:rsid w:val="00CB4940"/>
    <w:rsid w:val="00CB4A70"/>
    <w:rsid w:val="00CB5D5B"/>
    <w:rsid w:val="00CB68D2"/>
    <w:rsid w:val="00CB6A52"/>
    <w:rsid w:val="00CB6DC0"/>
    <w:rsid w:val="00CB6E94"/>
    <w:rsid w:val="00CB7060"/>
    <w:rsid w:val="00CB763C"/>
    <w:rsid w:val="00CB77F2"/>
    <w:rsid w:val="00CB7B98"/>
    <w:rsid w:val="00CB7D1A"/>
    <w:rsid w:val="00CB7DD6"/>
    <w:rsid w:val="00CC0438"/>
    <w:rsid w:val="00CC0563"/>
    <w:rsid w:val="00CC0C66"/>
    <w:rsid w:val="00CC119E"/>
    <w:rsid w:val="00CC13ED"/>
    <w:rsid w:val="00CC140D"/>
    <w:rsid w:val="00CC1E56"/>
    <w:rsid w:val="00CC1EB1"/>
    <w:rsid w:val="00CC2001"/>
    <w:rsid w:val="00CC223A"/>
    <w:rsid w:val="00CC2270"/>
    <w:rsid w:val="00CC2EC5"/>
    <w:rsid w:val="00CC3277"/>
    <w:rsid w:val="00CC385B"/>
    <w:rsid w:val="00CC3EBF"/>
    <w:rsid w:val="00CC4207"/>
    <w:rsid w:val="00CC51BD"/>
    <w:rsid w:val="00CC5222"/>
    <w:rsid w:val="00CC55CB"/>
    <w:rsid w:val="00CC5775"/>
    <w:rsid w:val="00CC5E22"/>
    <w:rsid w:val="00CC62CD"/>
    <w:rsid w:val="00CC6C6A"/>
    <w:rsid w:val="00CC6E9D"/>
    <w:rsid w:val="00CC6F07"/>
    <w:rsid w:val="00CC702B"/>
    <w:rsid w:val="00CC7881"/>
    <w:rsid w:val="00CC78E6"/>
    <w:rsid w:val="00CC7971"/>
    <w:rsid w:val="00CC7ADD"/>
    <w:rsid w:val="00CC7FEA"/>
    <w:rsid w:val="00CD0422"/>
    <w:rsid w:val="00CD083E"/>
    <w:rsid w:val="00CD0982"/>
    <w:rsid w:val="00CD0FFA"/>
    <w:rsid w:val="00CD104F"/>
    <w:rsid w:val="00CD124B"/>
    <w:rsid w:val="00CD134C"/>
    <w:rsid w:val="00CD164D"/>
    <w:rsid w:val="00CD19CF"/>
    <w:rsid w:val="00CD265B"/>
    <w:rsid w:val="00CD26D0"/>
    <w:rsid w:val="00CD2987"/>
    <w:rsid w:val="00CD2A22"/>
    <w:rsid w:val="00CD2A3D"/>
    <w:rsid w:val="00CD2EE0"/>
    <w:rsid w:val="00CD3B99"/>
    <w:rsid w:val="00CD3DD5"/>
    <w:rsid w:val="00CD3E12"/>
    <w:rsid w:val="00CD400D"/>
    <w:rsid w:val="00CD40C7"/>
    <w:rsid w:val="00CD41DB"/>
    <w:rsid w:val="00CD4F38"/>
    <w:rsid w:val="00CD5885"/>
    <w:rsid w:val="00CD5BBC"/>
    <w:rsid w:val="00CD5D11"/>
    <w:rsid w:val="00CD5D93"/>
    <w:rsid w:val="00CD6321"/>
    <w:rsid w:val="00CD63D3"/>
    <w:rsid w:val="00CD6924"/>
    <w:rsid w:val="00CD6FAD"/>
    <w:rsid w:val="00CD7055"/>
    <w:rsid w:val="00CD72E4"/>
    <w:rsid w:val="00CD7340"/>
    <w:rsid w:val="00CD73E8"/>
    <w:rsid w:val="00CD751E"/>
    <w:rsid w:val="00CD77A8"/>
    <w:rsid w:val="00CD7839"/>
    <w:rsid w:val="00CD78B1"/>
    <w:rsid w:val="00CE047A"/>
    <w:rsid w:val="00CE052C"/>
    <w:rsid w:val="00CE06B1"/>
    <w:rsid w:val="00CE0944"/>
    <w:rsid w:val="00CE0A76"/>
    <w:rsid w:val="00CE13D2"/>
    <w:rsid w:val="00CE166B"/>
    <w:rsid w:val="00CE1B36"/>
    <w:rsid w:val="00CE2362"/>
    <w:rsid w:val="00CE29F4"/>
    <w:rsid w:val="00CE3120"/>
    <w:rsid w:val="00CE32D8"/>
    <w:rsid w:val="00CE37A8"/>
    <w:rsid w:val="00CE3C60"/>
    <w:rsid w:val="00CE42DB"/>
    <w:rsid w:val="00CE4C6F"/>
    <w:rsid w:val="00CE52CC"/>
    <w:rsid w:val="00CE53F4"/>
    <w:rsid w:val="00CE5510"/>
    <w:rsid w:val="00CE5897"/>
    <w:rsid w:val="00CE5B5C"/>
    <w:rsid w:val="00CE5B69"/>
    <w:rsid w:val="00CE5CA9"/>
    <w:rsid w:val="00CE6071"/>
    <w:rsid w:val="00CE66E3"/>
    <w:rsid w:val="00CE6719"/>
    <w:rsid w:val="00CE6C67"/>
    <w:rsid w:val="00CE734B"/>
    <w:rsid w:val="00CE793F"/>
    <w:rsid w:val="00CE7CCC"/>
    <w:rsid w:val="00CE7E6F"/>
    <w:rsid w:val="00CF0055"/>
    <w:rsid w:val="00CF0499"/>
    <w:rsid w:val="00CF054E"/>
    <w:rsid w:val="00CF15DD"/>
    <w:rsid w:val="00CF1A82"/>
    <w:rsid w:val="00CF2112"/>
    <w:rsid w:val="00CF223D"/>
    <w:rsid w:val="00CF2703"/>
    <w:rsid w:val="00CF2824"/>
    <w:rsid w:val="00CF3526"/>
    <w:rsid w:val="00CF3A33"/>
    <w:rsid w:val="00CF3B3E"/>
    <w:rsid w:val="00CF3C7D"/>
    <w:rsid w:val="00CF3EFD"/>
    <w:rsid w:val="00CF4388"/>
    <w:rsid w:val="00CF45BF"/>
    <w:rsid w:val="00CF51C1"/>
    <w:rsid w:val="00CF548B"/>
    <w:rsid w:val="00CF5B47"/>
    <w:rsid w:val="00CF5B54"/>
    <w:rsid w:val="00CF5EE3"/>
    <w:rsid w:val="00CF6821"/>
    <w:rsid w:val="00CF6C01"/>
    <w:rsid w:val="00CF6EB7"/>
    <w:rsid w:val="00CF6FDD"/>
    <w:rsid w:val="00CF7105"/>
    <w:rsid w:val="00CF7271"/>
    <w:rsid w:val="00CF72A2"/>
    <w:rsid w:val="00CF7305"/>
    <w:rsid w:val="00D003E5"/>
    <w:rsid w:val="00D005E0"/>
    <w:rsid w:val="00D00AD1"/>
    <w:rsid w:val="00D00C4A"/>
    <w:rsid w:val="00D00FF7"/>
    <w:rsid w:val="00D012FF"/>
    <w:rsid w:val="00D0157B"/>
    <w:rsid w:val="00D015D7"/>
    <w:rsid w:val="00D01CC4"/>
    <w:rsid w:val="00D01E6B"/>
    <w:rsid w:val="00D03045"/>
    <w:rsid w:val="00D0354D"/>
    <w:rsid w:val="00D0439B"/>
    <w:rsid w:val="00D0497C"/>
    <w:rsid w:val="00D04E4D"/>
    <w:rsid w:val="00D04F45"/>
    <w:rsid w:val="00D04FAA"/>
    <w:rsid w:val="00D050C0"/>
    <w:rsid w:val="00D0534B"/>
    <w:rsid w:val="00D0548B"/>
    <w:rsid w:val="00D05AEE"/>
    <w:rsid w:val="00D05D6E"/>
    <w:rsid w:val="00D0648D"/>
    <w:rsid w:val="00D06DEE"/>
    <w:rsid w:val="00D06EB9"/>
    <w:rsid w:val="00D079ED"/>
    <w:rsid w:val="00D07EE6"/>
    <w:rsid w:val="00D106F8"/>
    <w:rsid w:val="00D10853"/>
    <w:rsid w:val="00D1099B"/>
    <w:rsid w:val="00D11417"/>
    <w:rsid w:val="00D1153F"/>
    <w:rsid w:val="00D11995"/>
    <w:rsid w:val="00D11CFD"/>
    <w:rsid w:val="00D12432"/>
    <w:rsid w:val="00D126CF"/>
    <w:rsid w:val="00D12AD9"/>
    <w:rsid w:val="00D1368B"/>
    <w:rsid w:val="00D13808"/>
    <w:rsid w:val="00D13E91"/>
    <w:rsid w:val="00D14317"/>
    <w:rsid w:val="00D146FE"/>
    <w:rsid w:val="00D151E1"/>
    <w:rsid w:val="00D1581E"/>
    <w:rsid w:val="00D15B75"/>
    <w:rsid w:val="00D15D19"/>
    <w:rsid w:val="00D15D93"/>
    <w:rsid w:val="00D15DA1"/>
    <w:rsid w:val="00D15EEC"/>
    <w:rsid w:val="00D162CB"/>
    <w:rsid w:val="00D1635E"/>
    <w:rsid w:val="00D16380"/>
    <w:rsid w:val="00D163FF"/>
    <w:rsid w:val="00D1643C"/>
    <w:rsid w:val="00D166B5"/>
    <w:rsid w:val="00D167D0"/>
    <w:rsid w:val="00D16E87"/>
    <w:rsid w:val="00D17211"/>
    <w:rsid w:val="00D17335"/>
    <w:rsid w:val="00D174ED"/>
    <w:rsid w:val="00D1797A"/>
    <w:rsid w:val="00D17BA1"/>
    <w:rsid w:val="00D17BF1"/>
    <w:rsid w:val="00D2079E"/>
    <w:rsid w:val="00D20EB2"/>
    <w:rsid w:val="00D21356"/>
    <w:rsid w:val="00D216EE"/>
    <w:rsid w:val="00D220B5"/>
    <w:rsid w:val="00D223EF"/>
    <w:rsid w:val="00D224CF"/>
    <w:rsid w:val="00D230C1"/>
    <w:rsid w:val="00D230FC"/>
    <w:rsid w:val="00D232D8"/>
    <w:rsid w:val="00D232DC"/>
    <w:rsid w:val="00D233CD"/>
    <w:rsid w:val="00D23500"/>
    <w:rsid w:val="00D23AD3"/>
    <w:rsid w:val="00D23FC0"/>
    <w:rsid w:val="00D23FCE"/>
    <w:rsid w:val="00D2401D"/>
    <w:rsid w:val="00D24364"/>
    <w:rsid w:val="00D24478"/>
    <w:rsid w:val="00D2469E"/>
    <w:rsid w:val="00D2649E"/>
    <w:rsid w:val="00D264D3"/>
    <w:rsid w:val="00D26E62"/>
    <w:rsid w:val="00D27201"/>
    <w:rsid w:val="00D27300"/>
    <w:rsid w:val="00D27875"/>
    <w:rsid w:val="00D307FD"/>
    <w:rsid w:val="00D30A3B"/>
    <w:rsid w:val="00D30DAC"/>
    <w:rsid w:val="00D313FB"/>
    <w:rsid w:val="00D3141B"/>
    <w:rsid w:val="00D319AB"/>
    <w:rsid w:val="00D31A8D"/>
    <w:rsid w:val="00D31E2D"/>
    <w:rsid w:val="00D321E8"/>
    <w:rsid w:val="00D325D0"/>
    <w:rsid w:val="00D328E1"/>
    <w:rsid w:val="00D329D8"/>
    <w:rsid w:val="00D32E01"/>
    <w:rsid w:val="00D33079"/>
    <w:rsid w:val="00D33975"/>
    <w:rsid w:val="00D33A8C"/>
    <w:rsid w:val="00D34057"/>
    <w:rsid w:val="00D34630"/>
    <w:rsid w:val="00D3523D"/>
    <w:rsid w:val="00D35597"/>
    <w:rsid w:val="00D35689"/>
    <w:rsid w:val="00D35D55"/>
    <w:rsid w:val="00D35E06"/>
    <w:rsid w:val="00D365FA"/>
    <w:rsid w:val="00D369BC"/>
    <w:rsid w:val="00D37093"/>
    <w:rsid w:val="00D377E8"/>
    <w:rsid w:val="00D37AAC"/>
    <w:rsid w:val="00D40425"/>
    <w:rsid w:val="00D40BC3"/>
    <w:rsid w:val="00D40D6B"/>
    <w:rsid w:val="00D4129E"/>
    <w:rsid w:val="00D418A3"/>
    <w:rsid w:val="00D41AB6"/>
    <w:rsid w:val="00D42946"/>
    <w:rsid w:val="00D42DEC"/>
    <w:rsid w:val="00D435AE"/>
    <w:rsid w:val="00D43984"/>
    <w:rsid w:val="00D44105"/>
    <w:rsid w:val="00D4459D"/>
    <w:rsid w:val="00D446B5"/>
    <w:rsid w:val="00D44AEB"/>
    <w:rsid w:val="00D4541B"/>
    <w:rsid w:val="00D45A14"/>
    <w:rsid w:val="00D45A36"/>
    <w:rsid w:val="00D4614C"/>
    <w:rsid w:val="00D46189"/>
    <w:rsid w:val="00D4648C"/>
    <w:rsid w:val="00D46BE9"/>
    <w:rsid w:val="00D46FA2"/>
    <w:rsid w:val="00D47391"/>
    <w:rsid w:val="00D47451"/>
    <w:rsid w:val="00D47947"/>
    <w:rsid w:val="00D479ED"/>
    <w:rsid w:val="00D5001E"/>
    <w:rsid w:val="00D50053"/>
    <w:rsid w:val="00D50089"/>
    <w:rsid w:val="00D504FA"/>
    <w:rsid w:val="00D50974"/>
    <w:rsid w:val="00D50F10"/>
    <w:rsid w:val="00D50F83"/>
    <w:rsid w:val="00D510F8"/>
    <w:rsid w:val="00D511A0"/>
    <w:rsid w:val="00D512D8"/>
    <w:rsid w:val="00D51610"/>
    <w:rsid w:val="00D516DF"/>
    <w:rsid w:val="00D51C73"/>
    <w:rsid w:val="00D51E13"/>
    <w:rsid w:val="00D51F07"/>
    <w:rsid w:val="00D51F15"/>
    <w:rsid w:val="00D52146"/>
    <w:rsid w:val="00D52388"/>
    <w:rsid w:val="00D524AF"/>
    <w:rsid w:val="00D52A8A"/>
    <w:rsid w:val="00D52A96"/>
    <w:rsid w:val="00D52C43"/>
    <w:rsid w:val="00D5329D"/>
    <w:rsid w:val="00D533FE"/>
    <w:rsid w:val="00D534C8"/>
    <w:rsid w:val="00D53627"/>
    <w:rsid w:val="00D5372A"/>
    <w:rsid w:val="00D53B22"/>
    <w:rsid w:val="00D54B1D"/>
    <w:rsid w:val="00D54E0F"/>
    <w:rsid w:val="00D5509F"/>
    <w:rsid w:val="00D55425"/>
    <w:rsid w:val="00D55751"/>
    <w:rsid w:val="00D5578A"/>
    <w:rsid w:val="00D55BDD"/>
    <w:rsid w:val="00D5616C"/>
    <w:rsid w:val="00D56AE7"/>
    <w:rsid w:val="00D56C00"/>
    <w:rsid w:val="00D57082"/>
    <w:rsid w:val="00D576CD"/>
    <w:rsid w:val="00D577BB"/>
    <w:rsid w:val="00D57B91"/>
    <w:rsid w:val="00D57E0C"/>
    <w:rsid w:val="00D60CA8"/>
    <w:rsid w:val="00D60E67"/>
    <w:rsid w:val="00D614F6"/>
    <w:rsid w:val="00D62320"/>
    <w:rsid w:val="00D6248B"/>
    <w:rsid w:val="00D62B5D"/>
    <w:rsid w:val="00D62B75"/>
    <w:rsid w:val="00D62CFC"/>
    <w:rsid w:val="00D62DC6"/>
    <w:rsid w:val="00D62E1F"/>
    <w:rsid w:val="00D6317D"/>
    <w:rsid w:val="00D6318B"/>
    <w:rsid w:val="00D63379"/>
    <w:rsid w:val="00D635B1"/>
    <w:rsid w:val="00D639C5"/>
    <w:rsid w:val="00D63B5A"/>
    <w:rsid w:val="00D63DB5"/>
    <w:rsid w:val="00D63E14"/>
    <w:rsid w:val="00D63E3D"/>
    <w:rsid w:val="00D63F98"/>
    <w:rsid w:val="00D64155"/>
    <w:rsid w:val="00D646AF"/>
    <w:rsid w:val="00D649A1"/>
    <w:rsid w:val="00D64BEA"/>
    <w:rsid w:val="00D653B9"/>
    <w:rsid w:val="00D659DC"/>
    <w:rsid w:val="00D65C02"/>
    <w:rsid w:val="00D65CC7"/>
    <w:rsid w:val="00D65D66"/>
    <w:rsid w:val="00D65E52"/>
    <w:rsid w:val="00D6603B"/>
    <w:rsid w:val="00D661D2"/>
    <w:rsid w:val="00D66410"/>
    <w:rsid w:val="00D66550"/>
    <w:rsid w:val="00D66648"/>
    <w:rsid w:val="00D66E53"/>
    <w:rsid w:val="00D66EFB"/>
    <w:rsid w:val="00D66FDA"/>
    <w:rsid w:val="00D67292"/>
    <w:rsid w:val="00D672CB"/>
    <w:rsid w:val="00D6738A"/>
    <w:rsid w:val="00D67956"/>
    <w:rsid w:val="00D7012E"/>
    <w:rsid w:val="00D70341"/>
    <w:rsid w:val="00D70412"/>
    <w:rsid w:val="00D708C4"/>
    <w:rsid w:val="00D70C38"/>
    <w:rsid w:val="00D710E5"/>
    <w:rsid w:val="00D71197"/>
    <w:rsid w:val="00D7178C"/>
    <w:rsid w:val="00D71E69"/>
    <w:rsid w:val="00D72008"/>
    <w:rsid w:val="00D72192"/>
    <w:rsid w:val="00D72D32"/>
    <w:rsid w:val="00D731D1"/>
    <w:rsid w:val="00D73645"/>
    <w:rsid w:val="00D73AC1"/>
    <w:rsid w:val="00D73BD2"/>
    <w:rsid w:val="00D73BE7"/>
    <w:rsid w:val="00D73DF6"/>
    <w:rsid w:val="00D73EFA"/>
    <w:rsid w:val="00D73FC4"/>
    <w:rsid w:val="00D73FE8"/>
    <w:rsid w:val="00D7410D"/>
    <w:rsid w:val="00D74538"/>
    <w:rsid w:val="00D749A0"/>
    <w:rsid w:val="00D749CB"/>
    <w:rsid w:val="00D74A2A"/>
    <w:rsid w:val="00D74C9E"/>
    <w:rsid w:val="00D754B7"/>
    <w:rsid w:val="00D75611"/>
    <w:rsid w:val="00D75F19"/>
    <w:rsid w:val="00D767AE"/>
    <w:rsid w:val="00D77AD8"/>
    <w:rsid w:val="00D77EEB"/>
    <w:rsid w:val="00D80184"/>
    <w:rsid w:val="00D80605"/>
    <w:rsid w:val="00D80973"/>
    <w:rsid w:val="00D80B5A"/>
    <w:rsid w:val="00D80BD8"/>
    <w:rsid w:val="00D81069"/>
    <w:rsid w:val="00D810EF"/>
    <w:rsid w:val="00D82216"/>
    <w:rsid w:val="00D8261C"/>
    <w:rsid w:val="00D82A2B"/>
    <w:rsid w:val="00D8301D"/>
    <w:rsid w:val="00D84411"/>
    <w:rsid w:val="00D8473E"/>
    <w:rsid w:val="00D84CE4"/>
    <w:rsid w:val="00D85797"/>
    <w:rsid w:val="00D86255"/>
    <w:rsid w:val="00D863D1"/>
    <w:rsid w:val="00D86464"/>
    <w:rsid w:val="00D872B7"/>
    <w:rsid w:val="00D87DCF"/>
    <w:rsid w:val="00D87F5B"/>
    <w:rsid w:val="00D90125"/>
    <w:rsid w:val="00D90299"/>
    <w:rsid w:val="00D9057B"/>
    <w:rsid w:val="00D9096B"/>
    <w:rsid w:val="00D90ED1"/>
    <w:rsid w:val="00D90FFB"/>
    <w:rsid w:val="00D91A76"/>
    <w:rsid w:val="00D91C34"/>
    <w:rsid w:val="00D91F21"/>
    <w:rsid w:val="00D925C5"/>
    <w:rsid w:val="00D9279F"/>
    <w:rsid w:val="00D92BB0"/>
    <w:rsid w:val="00D92D23"/>
    <w:rsid w:val="00D92E49"/>
    <w:rsid w:val="00D9317C"/>
    <w:rsid w:val="00D935AB"/>
    <w:rsid w:val="00D936B4"/>
    <w:rsid w:val="00D947C5"/>
    <w:rsid w:val="00D94900"/>
    <w:rsid w:val="00D94E4C"/>
    <w:rsid w:val="00D953F7"/>
    <w:rsid w:val="00D95709"/>
    <w:rsid w:val="00D958D7"/>
    <w:rsid w:val="00D95DC2"/>
    <w:rsid w:val="00D95F5C"/>
    <w:rsid w:val="00D96083"/>
    <w:rsid w:val="00D96248"/>
    <w:rsid w:val="00D96AFA"/>
    <w:rsid w:val="00D96B2B"/>
    <w:rsid w:val="00D96D46"/>
    <w:rsid w:val="00D97548"/>
    <w:rsid w:val="00D97B72"/>
    <w:rsid w:val="00D97CF6"/>
    <w:rsid w:val="00DA02F5"/>
    <w:rsid w:val="00DA0B7F"/>
    <w:rsid w:val="00DA0BBE"/>
    <w:rsid w:val="00DA11AE"/>
    <w:rsid w:val="00DA16E5"/>
    <w:rsid w:val="00DA17FF"/>
    <w:rsid w:val="00DA1A59"/>
    <w:rsid w:val="00DA1BE6"/>
    <w:rsid w:val="00DA1BE9"/>
    <w:rsid w:val="00DA1DAA"/>
    <w:rsid w:val="00DA283D"/>
    <w:rsid w:val="00DA2CA6"/>
    <w:rsid w:val="00DA3E12"/>
    <w:rsid w:val="00DA3E52"/>
    <w:rsid w:val="00DA3E70"/>
    <w:rsid w:val="00DA4141"/>
    <w:rsid w:val="00DA417B"/>
    <w:rsid w:val="00DA45BD"/>
    <w:rsid w:val="00DA4B2A"/>
    <w:rsid w:val="00DA5000"/>
    <w:rsid w:val="00DA52EB"/>
    <w:rsid w:val="00DA5CD6"/>
    <w:rsid w:val="00DA6868"/>
    <w:rsid w:val="00DA6DC2"/>
    <w:rsid w:val="00DA7044"/>
    <w:rsid w:val="00DA71A0"/>
    <w:rsid w:val="00DA774A"/>
    <w:rsid w:val="00DA7866"/>
    <w:rsid w:val="00DA7A57"/>
    <w:rsid w:val="00DA7D93"/>
    <w:rsid w:val="00DB0312"/>
    <w:rsid w:val="00DB06ED"/>
    <w:rsid w:val="00DB0ED0"/>
    <w:rsid w:val="00DB10F3"/>
    <w:rsid w:val="00DB115A"/>
    <w:rsid w:val="00DB198A"/>
    <w:rsid w:val="00DB1DCE"/>
    <w:rsid w:val="00DB1EE4"/>
    <w:rsid w:val="00DB261C"/>
    <w:rsid w:val="00DB2810"/>
    <w:rsid w:val="00DB31DB"/>
    <w:rsid w:val="00DB3213"/>
    <w:rsid w:val="00DB377E"/>
    <w:rsid w:val="00DB387C"/>
    <w:rsid w:val="00DB41A7"/>
    <w:rsid w:val="00DB42F5"/>
    <w:rsid w:val="00DB4353"/>
    <w:rsid w:val="00DB43F8"/>
    <w:rsid w:val="00DB4688"/>
    <w:rsid w:val="00DB46DA"/>
    <w:rsid w:val="00DB50AE"/>
    <w:rsid w:val="00DB5186"/>
    <w:rsid w:val="00DB5A23"/>
    <w:rsid w:val="00DB5A7F"/>
    <w:rsid w:val="00DB617A"/>
    <w:rsid w:val="00DB640B"/>
    <w:rsid w:val="00DB656B"/>
    <w:rsid w:val="00DB67AB"/>
    <w:rsid w:val="00DB6A23"/>
    <w:rsid w:val="00DB75BE"/>
    <w:rsid w:val="00DB75C4"/>
    <w:rsid w:val="00DB7945"/>
    <w:rsid w:val="00DB7CD6"/>
    <w:rsid w:val="00DB7D6B"/>
    <w:rsid w:val="00DC00C2"/>
    <w:rsid w:val="00DC01DD"/>
    <w:rsid w:val="00DC02A7"/>
    <w:rsid w:val="00DC13DF"/>
    <w:rsid w:val="00DC1755"/>
    <w:rsid w:val="00DC18F5"/>
    <w:rsid w:val="00DC198F"/>
    <w:rsid w:val="00DC29D6"/>
    <w:rsid w:val="00DC2DA2"/>
    <w:rsid w:val="00DC2E62"/>
    <w:rsid w:val="00DC2F60"/>
    <w:rsid w:val="00DC2FFF"/>
    <w:rsid w:val="00DC3149"/>
    <w:rsid w:val="00DC317B"/>
    <w:rsid w:val="00DC320D"/>
    <w:rsid w:val="00DC3328"/>
    <w:rsid w:val="00DC3FB4"/>
    <w:rsid w:val="00DC3FCB"/>
    <w:rsid w:val="00DC430F"/>
    <w:rsid w:val="00DC43B0"/>
    <w:rsid w:val="00DC478C"/>
    <w:rsid w:val="00DC47BF"/>
    <w:rsid w:val="00DC4CEC"/>
    <w:rsid w:val="00DC5F0A"/>
    <w:rsid w:val="00DC6348"/>
    <w:rsid w:val="00DC6447"/>
    <w:rsid w:val="00DC6D0D"/>
    <w:rsid w:val="00DC6F43"/>
    <w:rsid w:val="00DC7686"/>
    <w:rsid w:val="00DD06D7"/>
    <w:rsid w:val="00DD086B"/>
    <w:rsid w:val="00DD0C80"/>
    <w:rsid w:val="00DD1091"/>
    <w:rsid w:val="00DD145B"/>
    <w:rsid w:val="00DD1ACD"/>
    <w:rsid w:val="00DD2409"/>
    <w:rsid w:val="00DD2798"/>
    <w:rsid w:val="00DD2A6B"/>
    <w:rsid w:val="00DD2DB6"/>
    <w:rsid w:val="00DD2FB3"/>
    <w:rsid w:val="00DD3217"/>
    <w:rsid w:val="00DD3A79"/>
    <w:rsid w:val="00DD3CF3"/>
    <w:rsid w:val="00DD3E4D"/>
    <w:rsid w:val="00DD4174"/>
    <w:rsid w:val="00DD418A"/>
    <w:rsid w:val="00DD452E"/>
    <w:rsid w:val="00DD45CC"/>
    <w:rsid w:val="00DD46EE"/>
    <w:rsid w:val="00DD4929"/>
    <w:rsid w:val="00DD4EA1"/>
    <w:rsid w:val="00DD592B"/>
    <w:rsid w:val="00DD5A5B"/>
    <w:rsid w:val="00DD6998"/>
    <w:rsid w:val="00DD6F84"/>
    <w:rsid w:val="00DD720F"/>
    <w:rsid w:val="00DD7217"/>
    <w:rsid w:val="00DD7C32"/>
    <w:rsid w:val="00DD7D9D"/>
    <w:rsid w:val="00DE00A7"/>
    <w:rsid w:val="00DE0A7D"/>
    <w:rsid w:val="00DE0DC9"/>
    <w:rsid w:val="00DE1044"/>
    <w:rsid w:val="00DE12EF"/>
    <w:rsid w:val="00DE19AA"/>
    <w:rsid w:val="00DE1BFE"/>
    <w:rsid w:val="00DE2156"/>
    <w:rsid w:val="00DE3220"/>
    <w:rsid w:val="00DE367F"/>
    <w:rsid w:val="00DE3E2A"/>
    <w:rsid w:val="00DE4014"/>
    <w:rsid w:val="00DE4973"/>
    <w:rsid w:val="00DE4E12"/>
    <w:rsid w:val="00DE4F7F"/>
    <w:rsid w:val="00DE53D0"/>
    <w:rsid w:val="00DE5469"/>
    <w:rsid w:val="00DE54CA"/>
    <w:rsid w:val="00DE5D83"/>
    <w:rsid w:val="00DE5E44"/>
    <w:rsid w:val="00DE6EC6"/>
    <w:rsid w:val="00DE704F"/>
    <w:rsid w:val="00DE7605"/>
    <w:rsid w:val="00DE7DBA"/>
    <w:rsid w:val="00DE7FB5"/>
    <w:rsid w:val="00DF02A0"/>
    <w:rsid w:val="00DF04DF"/>
    <w:rsid w:val="00DF0953"/>
    <w:rsid w:val="00DF1273"/>
    <w:rsid w:val="00DF1471"/>
    <w:rsid w:val="00DF322D"/>
    <w:rsid w:val="00DF354D"/>
    <w:rsid w:val="00DF3645"/>
    <w:rsid w:val="00DF3B05"/>
    <w:rsid w:val="00DF44BC"/>
    <w:rsid w:val="00DF46D2"/>
    <w:rsid w:val="00DF46F0"/>
    <w:rsid w:val="00DF47D6"/>
    <w:rsid w:val="00DF4C68"/>
    <w:rsid w:val="00DF4D9D"/>
    <w:rsid w:val="00DF4F63"/>
    <w:rsid w:val="00DF5115"/>
    <w:rsid w:val="00DF5209"/>
    <w:rsid w:val="00DF5300"/>
    <w:rsid w:val="00DF571D"/>
    <w:rsid w:val="00DF5724"/>
    <w:rsid w:val="00DF6443"/>
    <w:rsid w:val="00DF649D"/>
    <w:rsid w:val="00DF64D4"/>
    <w:rsid w:val="00DF6D56"/>
    <w:rsid w:val="00DF7103"/>
    <w:rsid w:val="00DF7FFB"/>
    <w:rsid w:val="00E0034E"/>
    <w:rsid w:val="00E00733"/>
    <w:rsid w:val="00E00948"/>
    <w:rsid w:val="00E00C13"/>
    <w:rsid w:val="00E00C41"/>
    <w:rsid w:val="00E00C46"/>
    <w:rsid w:val="00E00F33"/>
    <w:rsid w:val="00E01D40"/>
    <w:rsid w:val="00E024F6"/>
    <w:rsid w:val="00E0287E"/>
    <w:rsid w:val="00E02D84"/>
    <w:rsid w:val="00E037FD"/>
    <w:rsid w:val="00E040AB"/>
    <w:rsid w:val="00E04271"/>
    <w:rsid w:val="00E04F0C"/>
    <w:rsid w:val="00E04F96"/>
    <w:rsid w:val="00E053BA"/>
    <w:rsid w:val="00E05420"/>
    <w:rsid w:val="00E0562D"/>
    <w:rsid w:val="00E05C05"/>
    <w:rsid w:val="00E0606D"/>
    <w:rsid w:val="00E06510"/>
    <w:rsid w:val="00E0676D"/>
    <w:rsid w:val="00E06BD4"/>
    <w:rsid w:val="00E06FE5"/>
    <w:rsid w:val="00E072B0"/>
    <w:rsid w:val="00E07619"/>
    <w:rsid w:val="00E07C90"/>
    <w:rsid w:val="00E105B2"/>
    <w:rsid w:val="00E107D7"/>
    <w:rsid w:val="00E111E7"/>
    <w:rsid w:val="00E111F8"/>
    <w:rsid w:val="00E11DB5"/>
    <w:rsid w:val="00E12041"/>
    <w:rsid w:val="00E12618"/>
    <w:rsid w:val="00E1288F"/>
    <w:rsid w:val="00E128D7"/>
    <w:rsid w:val="00E129DF"/>
    <w:rsid w:val="00E12B5D"/>
    <w:rsid w:val="00E12C2E"/>
    <w:rsid w:val="00E13435"/>
    <w:rsid w:val="00E13A9C"/>
    <w:rsid w:val="00E13F23"/>
    <w:rsid w:val="00E143D4"/>
    <w:rsid w:val="00E14773"/>
    <w:rsid w:val="00E14E75"/>
    <w:rsid w:val="00E14EC6"/>
    <w:rsid w:val="00E14F2C"/>
    <w:rsid w:val="00E1521D"/>
    <w:rsid w:val="00E154D2"/>
    <w:rsid w:val="00E155E5"/>
    <w:rsid w:val="00E16633"/>
    <w:rsid w:val="00E16C08"/>
    <w:rsid w:val="00E16E19"/>
    <w:rsid w:val="00E1752F"/>
    <w:rsid w:val="00E1769F"/>
    <w:rsid w:val="00E17723"/>
    <w:rsid w:val="00E17930"/>
    <w:rsid w:val="00E20164"/>
    <w:rsid w:val="00E21173"/>
    <w:rsid w:val="00E2136F"/>
    <w:rsid w:val="00E21AA6"/>
    <w:rsid w:val="00E223DC"/>
    <w:rsid w:val="00E229FC"/>
    <w:rsid w:val="00E2304B"/>
    <w:rsid w:val="00E2320D"/>
    <w:rsid w:val="00E23447"/>
    <w:rsid w:val="00E234E0"/>
    <w:rsid w:val="00E23983"/>
    <w:rsid w:val="00E23F6C"/>
    <w:rsid w:val="00E23FBF"/>
    <w:rsid w:val="00E24712"/>
    <w:rsid w:val="00E24A35"/>
    <w:rsid w:val="00E24B3E"/>
    <w:rsid w:val="00E24B61"/>
    <w:rsid w:val="00E24E2E"/>
    <w:rsid w:val="00E2501A"/>
    <w:rsid w:val="00E2523E"/>
    <w:rsid w:val="00E25549"/>
    <w:rsid w:val="00E2575D"/>
    <w:rsid w:val="00E25CC3"/>
    <w:rsid w:val="00E25ECA"/>
    <w:rsid w:val="00E264B9"/>
    <w:rsid w:val="00E267F0"/>
    <w:rsid w:val="00E26859"/>
    <w:rsid w:val="00E26DB9"/>
    <w:rsid w:val="00E26E41"/>
    <w:rsid w:val="00E26EF2"/>
    <w:rsid w:val="00E273D5"/>
    <w:rsid w:val="00E27441"/>
    <w:rsid w:val="00E274C1"/>
    <w:rsid w:val="00E277E0"/>
    <w:rsid w:val="00E27BC8"/>
    <w:rsid w:val="00E30920"/>
    <w:rsid w:val="00E309C7"/>
    <w:rsid w:val="00E30A90"/>
    <w:rsid w:val="00E30C8A"/>
    <w:rsid w:val="00E30D47"/>
    <w:rsid w:val="00E30F4F"/>
    <w:rsid w:val="00E31008"/>
    <w:rsid w:val="00E31068"/>
    <w:rsid w:val="00E3123A"/>
    <w:rsid w:val="00E312E5"/>
    <w:rsid w:val="00E31699"/>
    <w:rsid w:val="00E31B79"/>
    <w:rsid w:val="00E31CB7"/>
    <w:rsid w:val="00E320A8"/>
    <w:rsid w:val="00E32715"/>
    <w:rsid w:val="00E32844"/>
    <w:rsid w:val="00E32C72"/>
    <w:rsid w:val="00E32D36"/>
    <w:rsid w:val="00E32D82"/>
    <w:rsid w:val="00E32E13"/>
    <w:rsid w:val="00E32E22"/>
    <w:rsid w:val="00E3314E"/>
    <w:rsid w:val="00E33184"/>
    <w:rsid w:val="00E334B8"/>
    <w:rsid w:val="00E335BC"/>
    <w:rsid w:val="00E33C3F"/>
    <w:rsid w:val="00E33C76"/>
    <w:rsid w:val="00E34523"/>
    <w:rsid w:val="00E34B17"/>
    <w:rsid w:val="00E35105"/>
    <w:rsid w:val="00E3511E"/>
    <w:rsid w:val="00E35FC8"/>
    <w:rsid w:val="00E363BA"/>
    <w:rsid w:val="00E36754"/>
    <w:rsid w:val="00E36B5F"/>
    <w:rsid w:val="00E36DCD"/>
    <w:rsid w:val="00E36F8A"/>
    <w:rsid w:val="00E37035"/>
    <w:rsid w:val="00E37394"/>
    <w:rsid w:val="00E37482"/>
    <w:rsid w:val="00E374E7"/>
    <w:rsid w:val="00E37A6A"/>
    <w:rsid w:val="00E37CC3"/>
    <w:rsid w:val="00E40479"/>
    <w:rsid w:val="00E405ED"/>
    <w:rsid w:val="00E408F2"/>
    <w:rsid w:val="00E40A1D"/>
    <w:rsid w:val="00E40B38"/>
    <w:rsid w:val="00E40FB5"/>
    <w:rsid w:val="00E41233"/>
    <w:rsid w:val="00E41685"/>
    <w:rsid w:val="00E41884"/>
    <w:rsid w:val="00E4192C"/>
    <w:rsid w:val="00E41DF6"/>
    <w:rsid w:val="00E420CB"/>
    <w:rsid w:val="00E4250F"/>
    <w:rsid w:val="00E4281D"/>
    <w:rsid w:val="00E42BB9"/>
    <w:rsid w:val="00E42FB9"/>
    <w:rsid w:val="00E44142"/>
    <w:rsid w:val="00E44577"/>
    <w:rsid w:val="00E446FD"/>
    <w:rsid w:val="00E451B6"/>
    <w:rsid w:val="00E454AD"/>
    <w:rsid w:val="00E455C8"/>
    <w:rsid w:val="00E458B2"/>
    <w:rsid w:val="00E45E3E"/>
    <w:rsid w:val="00E46089"/>
    <w:rsid w:val="00E4671A"/>
    <w:rsid w:val="00E46CC2"/>
    <w:rsid w:val="00E46EF6"/>
    <w:rsid w:val="00E47016"/>
    <w:rsid w:val="00E471F9"/>
    <w:rsid w:val="00E474DE"/>
    <w:rsid w:val="00E477C2"/>
    <w:rsid w:val="00E47828"/>
    <w:rsid w:val="00E47920"/>
    <w:rsid w:val="00E5019C"/>
    <w:rsid w:val="00E51087"/>
    <w:rsid w:val="00E51311"/>
    <w:rsid w:val="00E51848"/>
    <w:rsid w:val="00E51D11"/>
    <w:rsid w:val="00E52056"/>
    <w:rsid w:val="00E52222"/>
    <w:rsid w:val="00E522E3"/>
    <w:rsid w:val="00E52725"/>
    <w:rsid w:val="00E52841"/>
    <w:rsid w:val="00E52FF6"/>
    <w:rsid w:val="00E530E1"/>
    <w:rsid w:val="00E532BD"/>
    <w:rsid w:val="00E53412"/>
    <w:rsid w:val="00E53D9D"/>
    <w:rsid w:val="00E53F98"/>
    <w:rsid w:val="00E540FF"/>
    <w:rsid w:val="00E54446"/>
    <w:rsid w:val="00E54704"/>
    <w:rsid w:val="00E55623"/>
    <w:rsid w:val="00E55753"/>
    <w:rsid w:val="00E55CB7"/>
    <w:rsid w:val="00E55DC8"/>
    <w:rsid w:val="00E55DFE"/>
    <w:rsid w:val="00E56479"/>
    <w:rsid w:val="00E567C7"/>
    <w:rsid w:val="00E56821"/>
    <w:rsid w:val="00E569DE"/>
    <w:rsid w:val="00E56DF6"/>
    <w:rsid w:val="00E56F73"/>
    <w:rsid w:val="00E57111"/>
    <w:rsid w:val="00E574A7"/>
    <w:rsid w:val="00E577CB"/>
    <w:rsid w:val="00E57BEF"/>
    <w:rsid w:val="00E6019E"/>
    <w:rsid w:val="00E603AF"/>
    <w:rsid w:val="00E604FA"/>
    <w:rsid w:val="00E606F4"/>
    <w:rsid w:val="00E60FAB"/>
    <w:rsid w:val="00E6133F"/>
    <w:rsid w:val="00E615BD"/>
    <w:rsid w:val="00E61F48"/>
    <w:rsid w:val="00E620F8"/>
    <w:rsid w:val="00E62433"/>
    <w:rsid w:val="00E625AF"/>
    <w:rsid w:val="00E62A1B"/>
    <w:rsid w:val="00E62A47"/>
    <w:rsid w:val="00E62B98"/>
    <w:rsid w:val="00E62C01"/>
    <w:rsid w:val="00E62CAF"/>
    <w:rsid w:val="00E62F16"/>
    <w:rsid w:val="00E62F66"/>
    <w:rsid w:val="00E631E5"/>
    <w:rsid w:val="00E6329E"/>
    <w:rsid w:val="00E6390E"/>
    <w:rsid w:val="00E63980"/>
    <w:rsid w:val="00E63D56"/>
    <w:rsid w:val="00E63DD4"/>
    <w:rsid w:val="00E64FA9"/>
    <w:rsid w:val="00E65018"/>
    <w:rsid w:val="00E653D9"/>
    <w:rsid w:val="00E65948"/>
    <w:rsid w:val="00E659F9"/>
    <w:rsid w:val="00E66387"/>
    <w:rsid w:val="00E664A4"/>
    <w:rsid w:val="00E66668"/>
    <w:rsid w:val="00E66BBD"/>
    <w:rsid w:val="00E66CF4"/>
    <w:rsid w:val="00E66EAB"/>
    <w:rsid w:val="00E670E6"/>
    <w:rsid w:val="00E67339"/>
    <w:rsid w:val="00E6734C"/>
    <w:rsid w:val="00E67560"/>
    <w:rsid w:val="00E67B4D"/>
    <w:rsid w:val="00E67B50"/>
    <w:rsid w:val="00E67EF0"/>
    <w:rsid w:val="00E705EE"/>
    <w:rsid w:val="00E70B72"/>
    <w:rsid w:val="00E70C4F"/>
    <w:rsid w:val="00E70E52"/>
    <w:rsid w:val="00E70FDA"/>
    <w:rsid w:val="00E7132D"/>
    <w:rsid w:val="00E713BF"/>
    <w:rsid w:val="00E71AA4"/>
    <w:rsid w:val="00E71BDD"/>
    <w:rsid w:val="00E71F04"/>
    <w:rsid w:val="00E721F6"/>
    <w:rsid w:val="00E722A2"/>
    <w:rsid w:val="00E72681"/>
    <w:rsid w:val="00E729B9"/>
    <w:rsid w:val="00E72A0F"/>
    <w:rsid w:val="00E730FA"/>
    <w:rsid w:val="00E730FF"/>
    <w:rsid w:val="00E742E4"/>
    <w:rsid w:val="00E7464A"/>
    <w:rsid w:val="00E746A4"/>
    <w:rsid w:val="00E74A37"/>
    <w:rsid w:val="00E74F8A"/>
    <w:rsid w:val="00E752A9"/>
    <w:rsid w:val="00E75529"/>
    <w:rsid w:val="00E75D96"/>
    <w:rsid w:val="00E75DC3"/>
    <w:rsid w:val="00E76B6E"/>
    <w:rsid w:val="00E76D6E"/>
    <w:rsid w:val="00E76DCC"/>
    <w:rsid w:val="00E7757E"/>
    <w:rsid w:val="00E7789E"/>
    <w:rsid w:val="00E77A75"/>
    <w:rsid w:val="00E77B23"/>
    <w:rsid w:val="00E77B96"/>
    <w:rsid w:val="00E77C14"/>
    <w:rsid w:val="00E77D56"/>
    <w:rsid w:val="00E80364"/>
    <w:rsid w:val="00E80511"/>
    <w:rsid w:val="00E80C27"/>
    <w:rsid w:val="00E8108F"/>
    <w:rsid w:val="00E81C1A"/>
    <w:rsid w:val="00E81C1F"/>
    <w:rsid w:val="00E822F5"/>
    <w:rsid w:val="00E82AA4"/>
    <w:rsid w:val="00E82F03"/>
    <w:rsid w:val="00E832CF"/>
    <w:rsid w:val="00E83C04"/>
    <w:rsid w:val="00E83F2F"/>
    <w:rsid w:val="00E843F7"/>
    <w:rsid w:val="00E846F7"/>
    <w:rsid w:val="00E84FD5"/>
    <w:rsid w:val="00E850D4"/>
    <w:rsid w:val="00E8513F"/>
    <w:rsid w:val="00E8551B"/>
    <w:rsid w:val="00E85DE8"/>
    <w:rsid w:val="00E86E7A"/>
    <w:rsid w:val="00E87114"/>
    <w:rsid w:val="00E87263"/>
    <w:rsid w:val="00E8727C"/>
    <w:rsid w:val="00E878A3"/>
    <w:rsid w:val="00E900A4"/>
    <w:rsid w:val="00E902E8"/>
    <w:rsid w:val="00E9033D"/>
    <w:rsid w:val="00E9041B"/>
    <w:rsid w:val="00E9076C"/>
    <w:rsid w:val="00E90F41"/>
    <w:rsid w:val="00E91398"/>
    <w:rsid w:val="00E9159F"/>
    <w:rsid w:val="00E91768"/>
    <w:rsid w:val="00E91897"/>
    <w:rsid w:val="00E91BF4"/>
    <w:rsid w:val="00E91E02"/>
    <w:rsid w:val="00E92398"/>
    <w:rsid w:val="00E924C1"/>
    <w:rsid w:val="00E92777"/>
    <w:rsid w:val="00E92A74"/>
    <w:rsid w:val="00E92CBF"/>
    <w:rsid w:val="00E92E0A"/>
    <w:rsid w:val="00E935F5"/>
    <w:rsid w:val="00E9381C"/>
    <w:rsid w:val="00E93CFD"/>
    <w:rsid w:val="00E93DA6"/>
    <w:rsid w:val="00E943B7"/>
    <w:rsid w:val="00E94584"/>
    <w:rsid w:val="00E94D45"/>
    <w:rsid w:val="00E94EC8"/>
    <w:rsid w:val="00E95C26"/>
    <w:rsid w:val="00E95CEA"/>
    <w:rsid w:val="00E95D53"/>
    <w:rsid w:val="00E962EC"/>
    <w:rsid w:val="00E963CD"/>
    <w:rsid w:val="00E966B1"/>
    <w:rsid w:val="00E967F1"/>
    <w:rsid w:val="00E96F37"/>
    <w:rsid w:val="00E976D8"/>
    <w:rsid w:val="00E97FE2"/>
    <w:rsid w:val="00EA08E8"/>
    <w:rsid w:val="00EA0F7E"/>
    <w:rsid w:val="00EA13BF"/>
    <w:rsid w:val="00EA1457"/>
    <w:rsid w:val="00EA1903"/>
    <w:rsid w:val="00EA19A5"/>
    <w:rsid w:val="00EA1A5A"/>
    <w:rsid w:val="00EA1B3C"/>
    <w:rsid w:val="00EA24AE"/>
    <w:rsid w:val="00EA258D"/>
    <w:rsid w:val="00EA28DA"/>
    <w:rsid w:val="00EA2A87"/>
    <w:rsid w:val="00EA2FC0"/>
    <w:rsid w:val="00EA3085"/>
    <w:rsid w:val="00EA3446"/>
    <w:rsid w:val="00EA3CD8"/>
    <w:rsid w:val="00EA3F5C"/>
    <w:rsid w:val="00EA4397"/>
    <w:rsid w:val="00EA4816"/>
    <w:rsid w:val="00EA48E1"/>
    <w:rsid w:val="00EA499D"/>
    <w:rsid w:val="00EA4E8E"/>
    <w:rsid w:val="00EA4F02"/>
    <w:rsid w:val="00EA4FFF"/>
    <w:rsid w:val="00EA5245"/>
    <w:rsid w:val="00EA537D"/>
    <w:rsid w:val="00EA53F7"/>
    <w:rsid w:val="00EA54AD"/>
    <w:rsid w:val="00EA58A0"/>
    <w:rsid w:val="00EA5AE3"/>
    <w:rsid w:val="00EA5C8C"/>
    <w:rsid w:val="00EA5ECB"/>
    <w:rsid w:val="00EA5F70"/>
    <w:rsid w:val="00EA62F8"/>
    <w:rsid w:val="00EA6AA1"/>
    <w:rsid w:val="00EA6B56"/>
    <w:rsid w:val="00EA6D49"/>
    <w:rsid w:val="00EA73DC"/>
    <w:rsid w:val="00EA7D0C"/>
    <w:rsid w:val="00EA7F0B"/>
    <w:rsid w:val="00EB0CCF"/>
    <w:rsid w:val="00EB0DA5"/>
    <w:rsid w:val="00EB0DAE"/>
    <w:rsid w:val="00EB114C"/>
    <w:rsid w:val="00EB1720"/>
    <w:rsid w:val="00EB18C0"/>
    <w:rsid w:val="00EB1A28"/>
    <w:rsid w:val="00EB1B2E"/>
    <w:rsid w:val="00EB20F4"/>
    <w:rsid w:val="00EB2329"/>
    <w:rsid w:val="00EB2447"/>
    <w:rsid w:val="00EB2490"/>
    <w:rsid w:val="00EB2737"/>
    <w:rsid w:val="00EB2952"/>
    <w:rsid w:val="00EB3F05"/>
    <w:rsid w:val="00EB4000"/>
    <w:rsid w:val="00EB4207"/>
    <w:rsid w:val="00EB49C5"/>
    <w:rsid w:val="00EB4FDF"/>
    <w:rsid w:val="00EB506D"/>
    <w:rsid w:val="00EB53CC"/>
    <w:rsid w:val="00EB56C4"/>
    <w:rsid w:val="00EB5955"/>
    <w:rsid w:val="00EB626F"/>
    <w:rsid w:val="00EB6662"/>
    <w:rsid w:val="00EB66B4"/>
    <w:rsid w:val="00EB6903"/>
    <w:rsid w:val="00EB6B3E"/>
    <w:rsid w:val="00EB6E71"/>
    <w:rsid w:val="00EB6F12"/>
    <w:rsid w:val="00EB6FF7"/>
    <w:rsid w:val="00EB7749"/>
    <w:rsid w:val="00EC05E1"/>
    <w:rsid w:val="00EC07BA"/>
    <w:rsid w:val="00EC08E4"/>
    <w:rsid w:val="00EC1003"/>
    <w:rsid w:val="00EC1186"/>
    <w:rsid w:val="00EC184E"/>
    <w:rsid w:val="00EC1D37"/>
    <w:rsid w:val="00EC20F4"/>
    <w:rsid w:val="00EC23D8"/>
    <w:rsid w:val="00EC25BB"/>
    <w:rsid w:val="00EC2FAC"/>
    <w:rsid w:val="00EC3785"/>
    <w:rsid w:val="00EC3B28"/>
    <w:rsid w:val="00EC3B2D"/>
    <w:rsid w:val="00EC3E5A"/>
    <w:rsid w:val="00EC40EB"/>
    <w:rsid w:val="00EC453E"/>
    <w:rsid w:val="00EC458A"/>
    <w:rsid w:val="00EC485C"/>
    <w:rsid w:val="00EC4DE4"/>
    <w:rsid w:val="00EC51A1"/>
    <w:rsid w:val="00EC531B"/>
    <w:rsid w:val="00EC5B57"/>
    <w:rsid w:val="00EC6178"/>
    <w:rsid w:val="00EC6288"/>
    <w:rsid w:val="00EC6320"/>
    <w:rsid w:val="00EC65DD"/>
    <w:rsid w:val="00EC6A56"/>
    <w:rsid w:val="00EC7166"/>
    <w:rsid w:val="00EC75D3"/>
    <w:rsid w:val="00EC7E78"/>
    <w:rsid w:val="00ED06AD"/>
    <w:rsid w:val="00ED0BED"/>
    <w:rsid w:val="00ED1232"/>
    <w:rsid w:val="00ED1794"/>
    <w:rsid w:val="00ED1A7F"/>
    <w:rsid w:val="00ED1C5D"/>
    <w:rsid w:val="00ED20BB"/>
    <w:rsid w:val="00ED22C5"/>
    <w:rsid w:val="00ED291F"/>
    <w:rsid w:val="00ED2CB0"/>
    <w:rsid w:val="00ED307B"/>
    <w:rsid w:val="00ED3503"/>
    <w:rsid w:val="00ED40E1"/>
    <w:rsid w:val="00ED4A2E"/>
    <w:rsid w:val="00ED4B4F"/>
    <w:rsid w:val="00ED4DFC"/>
    <w:rsid w:val="00ED4E42"/>
    <w:rsid w:val="00ED54D7"/>
    <w:rsid w:val="00ED5E54"/>
    <w:rsid w:val="00ED69D8"/>
    <w:rsid w:val="00ED6CFE"/>
    <w:rsid w:val="00ED7786"/>
    <w:rsid w:val="00ED7EA9"/>
    <w:rsid w:val="00EE00E5"/>
    <w:rsid w:val="00EE014A"/>
    <w:rsid w:val="00EE0B31"/>
    <w:rsid w:val="00EE109E"/>
    <w:rsid w:val="00EE1E9C"/>
    <w:rsid w:val="00EE200B"/>
    <w:rsid w:val="00EE2083"/>
    <w:rsid w:val="00EE20A8"/>
    <w:rsid w:val="00EE226D"/>
    <w:rsid w:val="00EE23BC"/>
    <w:rsid w:val="00EE24E1"/>
    <w:rsid w:val="00EE25D9"/>
    <w:rsid w:val="00EE2876"/>
    <w:rsid w:val="00EE3458"/>
    <w:rsid w:val="00EE36D8"/>
    <w:rsid w:val="00EE37BA"/>
    <w:rsid w:val="00EE3E87"/>
    <w:rsid w:val="00EE433B"/>
    <w:rsid w:val="00EE434D"/>
    <w:rsid w:val="00EE46D0"/>
    <w:rsid w:val="00EE476D"/>
    <w:rsid w:val="00EE49A6"/>
    <w:rsid w:val="00EE4C73"/>
    <w:rsid w:val="00EE4F2E"/>
    <w:rsid w:val="00EE54C6"/>
    <w:rsid w:val="00EE5562"/>
    <w:rsid w:val="00EE59FC"/>
    <w:rsid w:val="00EE5ACC"/>
    <w:rsid w:val="00EE5C23"/>
    <w:rsid w:val="00EE6462"/>
    <w:rsid w:val="00EE67FE"/>
    <w:rsid w:val="00EE6BDD"/>
    <w:rsid w:val="00EE703E"/>
    <w:rsid w:val="00EE7105"/>
    <w:rsid w:val="00EE76F0"/>
    <w:rsid w:val="00EE795F"/>
    <w:rsid w:val="00EE7B1C"/>
    <w:rsid w:val="00EF02BD"/>
    <w:rsid w:val="00EF070A"/>
    <w:rsid w:val="00EF0965"/>
    <w:rsid w:val="00EF0986"/>
    <w:rsid w:val="00EF123E"/>
    <w:rsid w:val="00EF1350"/>
    <w:rsid w:val="00EF13A5"/>
    <w:rsid w:val="00EF17B9"/>
    <w:rsid w:val="00EF18DA"/>
    <w:rsid w:val="00EF1EB9"/>
    <w:rsid w:val="00EF2028"/>
    <w:rsid w:val="00EF274D"/>
    <w:rsid w:val="00EF2A0D"/>
    <w:rsid w:val="00EF3436"/>
    <w:rsid w:val="00EF34F6"/>
    <w:rsid w:val="00EF355D"/>
    <w:rsid w:val="00EF3725"/>
    <w:rsid w:val="00EF37B5"/>
    <w:rsid w:val="00EF388A"/>
    <w:rsid w:val="00EF3B9C"/>
    <w:rsid w:val="00EF3CFD"/>
    <w:rsid w:val="00EF3D14"/>
    <w:rsid w:val="00EF3EEE"/>
    <w:rsid w:val="00EF3F88"/>
    <w:rsid w:val="00EF499A"/>
    <w:rsid w:val="00EF4E97"/>
    <w:rsid w:val="00EF58E5"/>
    <w:rsid w:val="00EF61FC"/>
    <w:rsid w:val="00EF7388"/>
    <w:rsid w:val="00EF75A6"/>
    <w:rsid w:val="00EF76F8"/>
    <w:rsid w:val="00EF795C"/>
    <w:rsid w:val="00EF7C48"/>
    <w:rsid w:val="00F00315"/>
    <w:rsid w:val="00F0045E"/>
    <w:rsid w:val="00F006D2"/>
    <w:rsid w:val="00F00724"/>
    <w:rsid w:val="00F0075D"/>
    <w:rsid w:val="00F00774"/>
    <w:rsid w:val="00F0081B"/>
    <w:rsid w:val="00F00A70"/>
    <w:rsid w:val="00F00B7A"/>
    <w:rsid w:val="00F01298"/>
    <w:rsid w:val="00F012A0"/>
    <w:rsid w:val="00F01968"/>
    <w:rsid w:val="00F01B3E"/>
    <w:rsid w:val="00F01F95"/>
    <w:rsid w:val="00F0256E"/>
    <w:rsid w:val="00F030DD"/>
    <w:rsid w:val="00F03408"/>
    <w:rsid w:val="00F03681"/>
    <w:rsid w:val="00F03E2F"/>
    <w:rsid w:val="00F04555"/>
    <w:rsid w:val="00F04731"/>
    <w:rsid w:val="00F0481B"/>
    <w:rsid w:val="00F04D9B"/>
    <w:rsid w:val="00F05533"/>
    <w:rsid w:val="00F0588E"/>
    <w:rsid w:val="00F05AB2"/>
    <w:rsid w:val="00F05AB5"/>
    <w:rsid w:val="00F05BC9"/>
    <w:rsid w:val="00F0608B"/>
    <w:rsid w:val="00F0659C"/>
    <w:rsid w:val="00F065FA"/>
    <w:rsid w:val="00F06776"/>
    <w:rsid w:val="00F06CDD"/>
    <w:rsid w:val="00F06D5D"/>
    <w:rsid w:val="00F103ED"/>
    <w:rsid w:val="00F10A31"/>
    <w:rsid w:val="00F1139F"/>
    <w:rsid w:val="00F113DC"/>
    <w:rsid w:val="00F1155D"/>
    <w:rsid w:val="00F11629"/>
    <w:rsid w:val="00F116E1"/>
    <w:rsid w:val="00F11AA5"/>
    <w:rsid w:val="00F11E55"/>
    <w:rsid w:val="00F11F89"/>
    <w:rsid w:val="00F1210C"/>
    <w:rsid w:val="00F128DE"/>
    <w:rsid w:val="00F129A2"/>
    <w:rsid w:val="00F12AF2"/>
    <w:rsid w:val="00F12B5D"/>
    <w:rsid w:val="00F12DF4"/>
    <w:rsid w:val="00F13400"/>
    <w:rsid w:val="00F13708"/>
    <w:rsid w:val="00F1411B"/>
    <w:rsid w:val="00F148AE"/>
    <w:rsid w:val="00F149A9"/>
    <w:rsid w:val="00F14C07"/>
    <w:rsid w:val="00F14C0C"/>
    <w:rsid w:val="00F14CD6"/>
    <w:rsid w:val="00F14CF7"/>
    <w:rsid w:val="00F14EB1"/>
    <w:rsid w:val="00F154D7"/>
    <w:rsid w:val="00F1585C"/>
    <w:rsid w:val="00F15CEA"/>
    <w:rsid w:val="00F15FFE"/>
    <w:rsid w:val="00F16901"/>
    <w:rsid w:val="00F16B69"/>
    <w:rsid w:val="00F16FA4"/>
    <w:rsid w:val="00F17085"/>
    <w:rsid w:val="00F170D8"/>
    <w:rsid w:val="00F17267"/>
    <w:rsid w:val="00F20697"/>
    <w:rsid w:val="00F20B66"/>
    <w:rsid w:val="00F20C05"/>
    <w:rsid w:val="00F20DA4"/>
    <w:rsid w:val="00F211C9"/>
    <w:rsid w:val="00F21448"/>
    <w:rsid w:val="00F215D1"/>
    <w:rsid w:val="00F21C0B"/>
    <w:rsid w:val="00F21DC0"/>
    <w:rsid w:val="00F2210C"/>
    <w:rsid w:val="00F22C32"/>
    <w:rsid w:val="00F22F2A"/>
    <w:rsid w:val="00F23087"/>
    <w:rsid w:val="00F231FB"/>
    <w:rsid w:val="00F237C5"/>
    <w:rsid w:val="00F2407D"/>
    <w:rsid w:val="00F243C4"/>
    <w:rsid w:val="00F243FF"/>
    <w:rsid w:val="00F24FF2"/>
    <w:rsid w:val="00F2515E"/>
    <w:rsid w:val="00F25199"/>
    <w:rsid w:val="00F251C3"/>
    <w:rsid w:val="00F254D8"/>
    <w:rsid w:val="00F25953"/>
    <w:rsid w:val="00F2595D"/>
    <w:rsid w:val="00F25CD3"/>
    <w:rsid w:val="00F268BF"/>
    <w:rsid w:val="00F26A46"/>
    <w:rsid w:val="00F26F86"/>
    <w:rsid w:val="00F2780A"/>
    <w:rsid w:val="00F30186"/>
    <w:rsid w:val="00F304A4"/>
    <w:rsid w:val="00F30B28"/>
    <w:rsid w:val="00F314EF"/>
    <w:rsid w:val="00F3167E"/>
    <w:rsid w:val="00F320E3"/>
    <w:rsid w:val="00F3265E"/>
    <w:rsid w:val="00F332B2"/>
    <w:rsid w:val="00F33C57"/>
    <w:rsid w:val="00F33DD2"/>
    <w:rsid w:val="00F33E94"/>
    <w:rsid w:val="00F33F0D"/>
    <w:rsid w:val="00F33F1A"/>
    <w:rsid w:val="00F34D2E"/>
    <w:rsid w:val="00F350BF"/>
    <w:rsid w:val="00F352BD"/>
    <w:rsid w:val="00F357B7"/>
    <w:rsid w:val="00F357CE"/>
    <w:rsid w:val="00F3589E"/>
    <w:rsid w:val="00F35DAE"/>
    <w:rsid w:val="00F35E2B"/>
    <w:rsid w:val="00F368F2"/>
    <w:rsid w:val="00F36C7D"/>
    <w:rsid w:val="00F36FB5"/>
    <w:rsid w:val="00F3715D"/>
    <w:rsid w:val="00F374F7"/>
    <w:rsid w:val="00F3784C"/>
    <w:rsid w:val="00F37A09"/>
    <w:rsid w:val="00F37D7C"/>
    <w:rsid w:val="00F404BF"/>
    <w:rsid w:val="00F404D3"/>
    <w:rsid w:val="00F405B4"/>
    <w:rsid w:val="00F40EB5"/>
    <w:rsid w:val="00F40F31"/>
    <w:rsid w:val="00F4102F"/>
    <w:rsid w:val="00F41380"/>
    <w:rsid w:val="00F41421"/>
    <w:rsid w:val="00F4174A"/>
    <w:rsid w:val="00F41886"/>
    <w:rsid w:val="00F419C3"/>
    <w:rsid w:val="00F41A80"/>
    <w:rsid w:val="00F41C4B"/>
    <w:rsid w:val="00F42207"/>
    <w:rsid w:val="00F422BC"/>
    <w:rsid w:val="00F4244B"/>
    <w:rsid w:val="00F42798"/>
    <w:rsid w:val="00F4311B"/>
    <w:rsid w:val="00F43206"/>
    <w:rsid w:val="00F4322A"/>
    <w:rsid w:val="00F4343F"/>
    <w:rsid w:val="00F435B6"/>
    <w:rsid w:val="00F43849"/>
    <w:rsid w:val="00F4392C"/>
    <w:rsid w:val="00F4452C"/>
    <w:rsid w:val="00F448F9"/>
    <w:rsid w:val="00F44EC7"/>
    <w:rsid w:val="00F44F4A"/>
    <w:rsid w:val="00F452E7"/>
    <w:rsid w:val="00F4596E"/>
    <w:rsid w:val="00F45E3F"/>
    <w:rsid w:val="00F46502"/>
    <w:rsid w:val="00F4670C"/>
    <w:rsid w:val="00F467C0"/>
    <w:rsid w:val="00F475B9"/>
    <w:rsid w:val="00F47C6B"/>
    <w:rsid w:val="00F5002C"/>
    <w:rsid w:val="00F503D2"/>
    <w:rsid w:val="00F505AC"/>
    <w:rsid w:val="00F505CD"/>
    <w:rsid w:val="00F50603"/>
    <w:rsid w:val="00F507D6"/>
    <w:rsid w:val="00F50C03"/>
    <w:rsid w:val="00F50C0F"/>
    <w:rsid w:val="00F50E6A"/>
    <w:rsid w:val="00F50F47"/>
    <w:rsid w:val="00F5154E"/>
    <w:rsid w:val="00F51899"/>
    <w:rsid w:val="00F5193E"/>
    <w:rsid w:val="00F51B58"/>
    <w:rsid w:val="00F51E43"/>
    <w:rsid w:val="00F51F74"/>
    <w:rsid w:val="00F52068"/>
    <w:rsid w:val="00F523D3"/>
    <w:rsid w:val="00F5253A"/>
    <w:rsid w:val="00F5325B"/>
    <w:rsid w:val="00F53585"/>
    <w:rsid w:val="00F53AF0"/>
    <w:rsid w:val="00F53C00"/>
    <w:rsid w:val="00F54084"/>
    <w:rsid w:val="00F544DD"/>
    <w:rsid w:val="00F54F4F"/>
    <w:rsid w:val="00F552F9"/>
    <w:rsid w:val="00F55337"/>
    <w:rsid w:val="00F55BB0"/>
    <w:rsid w:val="00F55F0A"/>
    <w:rsid w:val="00F560C8"/>
    <w:rsid w:val="00F562DF"/>
    <w:rsid w:val="00F5636E"/>
    <w:rsid w:val="00F5652C"/>
    <w:rsid w:val="00F568F6"/>
    <w:rsid w:val="00F56BEF"/>
    <w:rsid w:val="00F574B4"/>
    <w:rsid w:val="00F57843"/>
    <w:rsid w:val="00F578D7"/>
    <w:rsid w:val="00F57C49"/>
    <w:rsid w:val="00F57D6B"/>
    <w:rsid w:val="00F60352"/>
    <w:rsid w:val="00F608A9"/>
    <w:rsid w:val="00F609BF"/>
    <w:rsid w:val="00F60A98"/>
    <w:rsid w:val="00F60FD9"/>
    <w:rsid w:val="00F614E1"/>
    <w:rsid w:val="00F618C5"/>
    <w:rsid w:val="00F619E0"/>
    <w:rsid w:val="00F61A38"/>
    <w:rsid w:val="00F61B4D"/>
    <w:rsid w:val="00F61B54"/>
    <w:rsid w:val="00F622E5"/>
    <w:rsid w:val="00F626FF"/>
    <w:rsid w:val="00F62A13"/>
    <w:rsid w:val="00F62E30"/>
    <w:rsid w:val="00F63036"/>
    <w:rsid w:val="00F63153"/>
    <w:rsid w:val="00F6380C"/>
    <w:rsid w:val="00F63E23"/>
    <w:rsid w:val="00F64675"/>
    <w:rsid w:val="00F647C8"/>
    <w:rsid w:val="00F64D24"/>
    <w:rsid w:val="00F64E0F"/>
    <w:rsid w:val="00F65102"/>
    <w:rsid w:val="00F652AD"/>
    <w:rsid w:val="00F652B8"/>
    <w:rsid w:val="00F653D1"/>
    <w:rsid w:val="00F65D31"/>
    <w:rsid w:val="00F666A7"/>
    <w:rsid w:val="00F66A2E"/>
    <w:rsid w:val="00F66D0C"/>
    <w:rsid w:val="00F66D58"/>
    <w:rsid w:val="00F67F09"/>
    <w:rsid w:val="00F706A0"/>
    <w:rsid w:val="00F7077D"/>
    <w:rsid w:val="00F709F5"/>
    <w:rsid w:val="00F717BF"/>
    <w:rsid w:val="00F717CC"/>
    <w:rsid w:val="00F719D1"/>
    <w:rsid w:val="00F720A0"/>
    <w:rsid w:val="00F720B7"/>
    <w:rsid w:val="00F72139"/>
    <w:rsid w:val="00F72319"/>
    <w:rsid w:val="00F724F5"/>
    <w:rsid w:val="00F726D4"/>
    <w:rsid w:val="00F7291E"/>
    <w:rsid w:val="00F72F11"/>
    <w:rsid w:val="00F72F51"/>
    <w:rsid w:val="00F733A2"/>
    <w:rsid w:val="00F73999"/>
    <w:rsid w:val="00F73AB3"/>
    <w:rsid w:val="00F73AB7"/>
    <w:rsid w:val="00F7566A"/>
    <w:rsid w:val="00F76268"/>
    <w:rsid w:val="00F76CF3"/>
    <w:rsid w:val="00F76CF4"/>
    <w:rsid w:val="00F76DA3"/>
    <w:rsid w:val="00F7718B"/>
    <w:rsid w:val="00F77BCA"/>
    <w:rsid w:val="00F77E7B"/>
    <w:rsid w:val="00F80034"/>
    <w:rsid w:val="00F80519"/>
    <w:rsid w:val="00F805CA"/>
    <w:rsid w:val="00F807A4"/>
    <w:rsid w:val="00F8099E"/>
    <w:rsid w:val="00F809ED"/>
    <w:rsid w:val="00F80DD8"/>
    <w:rsid w:val="00F81288"/>
    <w:rsid w:val="00F81914"/>
    <w:rsid w:val="00F81B7D"/>
    <w:rsid w:val="00F8215F"/>
    <w:rsid w:val="00F821F1"/>
    <w:rsid w:val="00F82211"/>
    <w:rsid w:val="00F824D5"/>
    <w:rsid w:val="00F82625"/>
    <w:rsid w:val="00F82628"/>
    <w:rsid w:val="00F82BC6"/>
    <w:rsid w:val="00F82D8E"/>
    <w:rsid w:val="00F82DE5"/>
    <w:rsid w:val="00F8321D"/>
    <w:rsid w:val="00F83461"/>
    <w:rsid w:val="00F83825"/>
    <w:rsid w:val="00F83883"/>
    <w:rsid w:val="00F83F7C"/>
    <w:rsid w:val="00F84162"/>
    <w:rsid w:val="00F8457A"/>
    <w:rsid w:val="00F84F77"/>
    <w:rsid w:val="00F85156"/>
    <w:rsid w:val="00F85165"/>
    <w:rsid w:val="00F8517B"/>
    <w:rsid w:val="00F853BE"/>
    <w:rsid w:val="00F8675D"/>
    <w:rsid w:val="00F86E2D"/>
    <w:rsid w:val="00F870B7"/>
    <w:rsid w:val="00F875EE"/>
    <w:rsid w:val="00F87B71"/>
    <w:rsid w:val="00F87E36"/>
    <w:rsid w:val="00F87EB0"/>
    <w:rsid w:val="00F90408"/>
    <w:rsid w:val="00F9052C"/>
    <w:rsid w:val="00F90EBF"/>
    <w:rsid w:val="00F9135D"/>
    <w:rsid w:val="00F915BE"/>
    <w:rsid w:val="00F9176D"/>
    <w:rsid w:val="00F91AD8"/>
    <w:rsid w:val="00F91B71"/>
    <w:rsid w:val="00F91BA8"/>
    <w:rsid w:val="00F9207A"/>
    <w:rsid w:val="00F920DB"/>
    <w:rsid w:val="00F922F2"/>
    <w:rsid w:val="00F924E5"/>
    <w:rsid w:val="00F9260F"/>
    <w:rsid w:val="00F9308E"/>
    <w:rsid w:val="00F932BC"/>
    <w:rsid w:val="00F93740"/>
    <w:rsid w:val="00F938D1"/>
    <w:rsid w:val="00F9404B"/>
    <w:rsid w:val="00F9493C"/>
    <w:rsid w:val="00F94BE8"/>
    <w:rsid w:val="00F95091"/>
    <w:rsid w:val="00F954F8"/>
    <w:rsid w:val="00F95B4E"/>
    <w:rsid w:val="00F95D20"/>
    <w:rsid w:val="00F95DF7"/>
    <w:rsid w:val="00F95E64"/>
    <w:rsid w:val="00F960B8"/>
    <w:rsid w:val="00F9649D"/>
    <w:rsid w:val="00F967C4"/>
    <w:rsid w:val="00F96A46"/>
    <w:rsid w:val="00F96BB8"/>
    <w:rsid w:val="00F973C6"/>
    <w:rsid w:val="00F97647"/>
    <w:rsid w:val="00F97724"/>
    <w:rsid w:val="00F97A19"/>
    <w:rsid w:val="00F97FB2"/>
    <w:rsid w:val="00FA0602"/>
    <w:rsid w:val="00FA068B"/>
    <w:rsid w:val="00FA112C"/>
    <w:rsid w:val="00FA1973"/>
    <w:rsid w:val="00FA1B1B"/>
    <w:rsid w:val="00FA20F0"/>
    <w:rsid w:val="00FA2534"/>
    <w:rsid w:val="00FA25D7"/>
    <w:rsid w:val="00FA2BC2"/>
    <w:rsid w:val="00FA2D57"/>
    <w:rsid w:val="00FA313D"/>
    <w:rsid w:val="00FA37EA"/>
    <w:rsid w:val="00FA381E"/>
    <w:rsid w:val="00FA3DE3"/>
    <w:rsid w:val="00FA3F50"/>
    <w:rsid w:val="00FA46AF"/>
    <w:rsid w:val="00FA4826"/>
    <w:rsid w:val="00FA48B2"/>
    <w:rsid w:val="00FA4A25"/>
    <w:rsid w:val="00FA4C5D"/>
    <w:rsid w:val="00FA52C8"/>
    <w:rsid w:val="00FA54B2"/>
    <w:rsid w:val="00FA5642"/>
    <w:rsid w:val="00FA5812"/>
    <w:rsid w:val="00FA59CD"/>
    <w:rsid w:val="00FA73E4"/>
    <w:rsid w:val="00FA7990"/>
    <w:rsid w:val="00FA79FD"/>
    <w:rsid w:val="00FA7A7E"/>
    <w:rsid w:val="00FA7CB7"/>
    <w:rsid w:val="00FA7E50"/>
    <w:rsid w:val="00FB01A1"/>
    <w:rsid w:val="00FB07FC"/>
    <w:rsid w:val="00FB1180"/>
    <w:rsid w:val="00FB15B5"/>
    <w:rsid w:val="00FB174F"/>
    <w:rsid w:val="00FB1FEB"/>
    <w:rsid w:val="00FB22AB"/>
    <w:rsid w:val="00FB22D6"/>
    <w:rsid w:val="00FB2BD9"/>
    <w:rsid w:val="00FB2C51"/>
    <w:rsid w:val="00FB3935"/>
    <w:rsid w:val="00FB4250"/>
    <w:rsid w:val="00FB440D"/>
    <w:rsid w:val="00FB47E8"/>
    <w:rsid w:val="00FB4E05"/>
    <w:rsid w:val="00FB50F4"/>
    <w:rsid w:val="00FB531B"/>
    <w:rsid w:val="00FB5638"/>
    <w:rsid w:val="00FB59AB"/>
    <w:rsid w:val="00FB5A8D"/>
    <w:rsid w:val="00FB5B8C"/>
    <w:rsid w:val="00FB603D"/>
    <w:rsid w:val="00FB64F3"/>
    <w:rsid w:val="00FB6627"/>
    <w:rsid w:val="00FB6721"/>
    <w:rsid w:val="00FB69FF"/>
    <w:rsid w:val="00FB6D70"/>
    <w:rsid w:val="00FB7318"/>
    <w:rsid w:val="00FB77DE"/>
    <w:rsid w:val="00FC0251"/>
    <w:rsid w:val="00FC0440"/>
    <w:rsid w:val="00FC05D8"/>
    <w:rsid w:val="00FC1102"/>
    <w:rsid w:val="00FC16AD"/>
    <w:rsid w:val="00FC1F94"/>
    <w:rsid w:val="00FC2E23"/>
    <w:rsid w:val="00FC3241"/>
    <w:rsid w:val="00FC374E"/>
    <w:rsid w:val="00FC3BB3"/>
    <w:rsid w:val="00FC3ED9"/>
    <w:rsid w:val="00FC4018"/>
    <w:rsid w:val="00FC48E6"/>
    <w:rsid w:val="00FC501B"/>
    <w:rsid w:val="00FC5443"/>
    <w:rsid w:val="00FC54D5"/>
    <w:rsid w:val="00FC5910"/>
    <w:rsid w:val="00FC6550"/>
    <w:rsid w:val="00FC6576"/>
    <w:rsid w:val="00FC664D"/>
    <w:rsid w:val="00FC737A"/>
    <w:rsid w:val="00FC7844"/>
    <w:rsid w:val="00FC7882"/>
    <w:rsid w:val="00FC78E5"/>
    <w:rsid w:val="00FC7EA9"/>
    <w:rsid w:val="00FD0189"/>
    <w:rsid w:val="00FD05FF"/>
    <w:rsid w:val="00FD0A8B"/>
    <w:rsid w:val="00FD0CE5"/>
    <w:rsid w:val="00FD126A"/>
    <w:rsid w:val="00FD14E5"/>
    <w:rsid w:val="00FD14F6"/>
    <w:rsid w:val="00FD1512"/>
    <w:rsid w:val="00FD1AB4"/>
    <w:rsid w:val="00FD1DDF"/>
    <w:rsid w:val="00FD20B7"/>
    <w:rsid w:val="00FD2217"/>
    <w:rsid w:val="00FD28E8"/>
    <w:rsid w:val="00FD30D5"/>
    <w:rsid w:val="00FD3330"/>
    <w:rsid w:val="00FD3355"/>
    <w:rsid w:val="00FD3CF7"/>
    <w:rsid w:val="00FD472A"/>
    <w:rsid w:val="00FD4FCC"/>
    <w:rsid w:val="00FD522F"/>
    <w:rsid w:val="00FD55AE"/>
    <w:rsid w:val="00FD5690"/>
    <w:rsid w:val="00FD5736"/>
    <w:rsid w:val="00FD5A00"/>
    <w:rsid w:val="00FD5F89"/>
    <w:rsid w:val="00FD603F"/>
    <w:rsid w:val="00FD620A"/>
    <w:rsid w:val="00FD6307"/>
    <w:rsid w:val="00FD6570"/>
    <w:rsid w:val="00FD66E5"/>
    <w:rsid w:val="00FD6EA4"/>
    <w:rsid w:val="00FD6FCC"/>
    <w:rsid w:val="00FD70CB"/>
    <w:rsid w:val="00FD728E"/>
    <w:rsid w:val="00FD79A7"/>
    <w:rsid w:val="00FD7DB9"/>
    <w:rsid w:val="00FD7E42"/>
    <w:rsid w:val="00FE0841"/>
    <w:rsid w:val="00FE08DE"/>
    <w:rsid w:val="00FE08FD"/>
    <w:rsid w:val="00FE09AB"/>
    <w:rsid w:val="00FE12A5"/>
    <w:rsid w:val="00FE1352"/>
    <w:rsid w:val="00FE1B58"/>
    <w:rsid w:val="00FE1DFA"/>
    <w:rsid w:val="00FE1EDA"/>
    <w:rsid w:val="00FE1F3B"/>
    <w:rsid w:val="00FE22CB"/>
    <w:rsid w:val="00FE25F1"/>
    <w:rsid w:val="00FE2859"/>
    <w:rsid w:val="00FE2A81"/>
    <w:rsid w:val="00FE2F6A"/>
    <w:rsid w:val="00FE303A"/>
    <w:rsid w:val="00FE324D"/>
    <w:rsid w:val="00FE345D"/>
    <w:rsid w:val="00FE35CD"/>
    <w:rsid w:val="00FE486C"/>
    <w:rsid w:val="00FE4890"/>
    <w:rsid w:val="00FE4DE4"/>
    <w:rsid w:val="00FE4E00"/>
    <w:rsid w:val="00FE516A"/>
    <w:rsid w:val="00FE5194"/>
    <w:rsid w:val="00FE53F2"/>
    <w:rsid w:val="00FE544E"/>
    <w:rsid w:val="00FE5A35"/>
    <w:rsid w:val="00FE5D77"/>
    <w:rsid w:val="00FE64A9"/>
    <w:rsid w:val="00FE66CC"/>
    <w:rsid w:val="00FE6BD7"/>
    <w:rsid w:val="00FE6C8F"/>
    <w:rsid w:val="00FE6E86"/>
    <w:rsid w:val="00FE6F0F"/>
    <w:rsid w:val="00FF0644"/>
    <w:rsid w:val="00FF0776"/>
    <w:rsid w:val="00FF094E"/>
    <w:rsid w:val="00FF0A66"/>
    <w:rsid w:val="00FF1FCE"/>
    <w:rsid w:val="00FF2234"/>
    <w:rsid w:val="00FF290B"/>
    <w:rsid w:val="00FF2B9E"/>
    <w:rsid w:val="00FF320D"/>
    <w:rsid w:val="00FF33BD"/>
    <w:rsid w:val="00FF39CB"/>
    <w:rsid w:val="00FF3B8C"/>
    <w:rsid w:val="00FF3C13"/>
    <w:rsid w:val="00FF3C9B"/>
    <w:rsid w:val="00FF3CEA"/>
    <w:rsid w:val="00FF3F18"/>
    <w:rsid w:val="00FF3F6C"/>
    <w:rsid w:val="00FF4169"/>
    <w:rsid w:val="00FF42CC"/>
    <w:rsid w:val="00FF4B56"/>
    <w:rsid w:val="00FF4D79"/>
    <w:rsid w:val="00FF4FD5"/>
    <w:rsid w:val="00FF57C0"/>
    <w:rsid w:val="00FF582B"/>
    <w:rsid w:val="00FF6702"/>
    <w:rsid w:val="00FF6822"/>
    <w:rsid w:val="00FF7188"/>
    <w:rsid w:val="00FF729A"/>
    <w:rsid w:val="00FF72DC"/>
    <w:rsid w:val="00FF750F"/>
    <w:rsid w:val="00FF76DE"/>
    <w:rsid w:val="00FF7785"/>
    <w:rsid w:val="00FF79FE"/>
    <w:rsid w:val="014B5628"/>
    <w:rsid w:val="01F16DA1"/>
    <w:rsid w:val="0333E670"/>
    <w:rsid w:val="041D209C"/>
    <w:rsid w:val="043128A1"/>
    <w:rsid w:val="043C57EC"/>
    <w:rsid w:val="04BB11A1"/>
    <w:rsid w:val="058FA7A4"/>
    <w:rsid w:val="06005FEE"/>
    <w:rsid w:val="078BE711"/>
    <w:rsid w:val="07F78205"/>
    <w:rsid w:val="0854CC19"/>
    <w:rsid w:val="09543A32"/>
    <w:rsid w:val="0A4C4ABD"/>
    <w:rsid w:val="0A4FC3FF"/>
    <w:rsid w:val="0B3925A0"/>
    <w:rsid w:val="0B73118C"/>
    <w:rsid w:val="0CA28577"/>
    <w:rsid w:val="0D8DE997"/>
    <w:rsid w:val="0D8F4292"/>
    <w:rsid w:val="0DEB1C25"/>
    <w:rsid w:val="0E36405D"/>
    <w:rsid w:val="0F54049D"/>
    <w:rsid w:val="0F60CC91"/>
    <w:rsid w:val="0FEBE1A2"/>
    <w:rsid w:val="100FD4F8"/>
    <w:rsid w:val="102748D8"/>
    <w:rsid w:val="1043C596"/>
    <w:rsid w:val="1126EF65"/>
    <w:rsid w:val="118A7D25"/>
    <w:rsid w:val="11953AA7"/>
    <w:rsid w:val="11AA3635"/>
    <w:rsid w:val="11E22C4A"/>
    <w:rsid w:val="11F337C5"/>
    <w:rsid w:val="12747E9C"/>
    <w:rsid w:val="128117E3"/>
    <w:rsid w:val="12BE8D48"/>
    <w:rsid w:val="12CBA767"/>
    <w:rsid w:val="12DEDF25"/>
    <w:rsid w:val="12F1B601"/>
    <w:rsid w:val="132442E3"/>
    <w:rsid w:val="1371CC57"/>
    <w:rsid w:val="137294F2"/>
    <w:rsid w:val="13DB5ACD"/>
    <w:rsid w:val="145ED399"/>
    <w:rsid w:val="149E8BF7"/>
    <w:rsid w:val="149EA8B7"/>
    <w:rsid w:val="14D2DB3D"/>
    <w:rsid w:val="14DB3CE6"/>
    <w:rsid w:val="1511856E"/>
    <w:rsid w:val="15181428"/>
    <w:rsid w:val="15AB04A8"/>
    <w:rsid w:val="15DA2B62"/>
    <w:rsid w:val="15F26844"/>
    <w:rsid w:val="15FD60EE"/>
    <w:rsid w:val="162DD8EC"/>
    <w:rsid w:val="1720DF57"/>
    <w:rsid w:val="17E8631C"/>
    <w:rsid w:val="186859BF"/>
    <w:rsid w:val="18743E28"/>
    <w:rsid w:val="187CB7B4"/>
    <w:rsid w:val="190FEA78"/>
    <w:rsid w:val="194B8983"/>
    <w:rsid w:val="194C367B"/>
    <w:rsid w:val="1A5914A4"/>
    <w:rsid w:val="1A83843F"/>
    <w:rsid w:val="1AAC271D"/>
    <w:rsid w:val="1AB06A44"/>
    <w:rsid w:val="1B32D066"/>
    <w:rsid w:val="1B5A43D5"/>
    <w:rsid w:val="1B6359C2"/>
    <w:rsid w:val="1BA1AD39"/>
    <w:rsid w:val="1C068079"/>
    <w:rsid w:val="1C4C4731"/>
    <w:rsid w:val="1CB5B124"/>
    <w:rsid w:val="1CF22A58"/>
    <w:rsid w:val="1CFA6938"/>
    <w:rsid w:val="1D99E2DB"/>
    <w:rsid w:val="1DDE3FA1"/>
    <w:rsid w:val="1DED22E3"/>
    <w:rsid w:val="1F3DEE6A"/>
    <w:rsid w:val="1FED51E6"/>
    <w:rsid w:val="1FFB7100"/>
    <w:rsid w:val="20381F86"/>
    <w:rsid w:val="2060D9EE"/>
    <w:rsid w:val="211FB854"/>
    <w:rsid w:val="2238F720"/>
    <w:rsid w:val="22E8F60B"/>
    <w:rsid w:val="24F34C19"/>
    <w:rsid w:val="251C9BC1"/>
    <w:rsid w:val="253E6860"/>
    <w:rsid w:val="259608BA"/>
    <w:rsid w:val="259F9060"/>
    <w:rsid w:val="25C6C36D"/>
    <w:rsid w:val="25DC6844"/>
    <w:rsid w:val="264A2EC2"/>
    <w:rsid w:val="270E0195"/>
    <w:rsid w:val="271192AC"/>
    <w:rsid w:val="276293CE"/>
    <w:rsid w:val="28B91B91"/>
    <w:rsid w:val="2A606745"/>
    <w:rsid w:val="2AFC99F6"/>
    <w:rsid w:val="2B6CF0CE"/>
    <w:rsid w:val="2B8D988F"/>
    <w:rsid w:val="2BCA8575"/>
    <w:rsid w:val="2BCBBC29"/>
    <w:rsid w:val="2C1EC6F0"/>
    <w:rsid w:val="2C2F3ED9"/>
    <w:rsid w:val="2C9CF068"/>
    <w:rsid w:val="2CAA50C7"/>
    <w:rsid w:val="2CABE52F"/>
    <w:rsid w:val="2D655325"/>
    <w:rsid w:val="2D6B8B6E"/>
    <w:rsid w:val="2DFA494D"/>
    <w:rsid w:val="2E199EFD"/>
    <w:rsid w:val="2EA350B3"/>
    <w:rsid w:val="2EF0BA70"/>
    <w:rsid w:val="2F7B3708"/>
    <w:rsid w:val="308A5FD7"/>
    <w:rsid w:val="310175D0"/>
    <w:rsid w:val="31AE206B"/>
    <w:rsid w:val="31D37B44"/>
    <w:rsid w:val="328C3F19"/>
    <w:rsid w:val="32A1397B"/>
    <w:rsid w:val="32CAA2FF"/>
    <w:rsid w:val="33011EE1"/>
    <w:rsid w:val="33D02BD7"/>
    <w:rsid w:val="340ACC72"/>
    <w:rsid w:val="343A7F00"/>
    <w:rsid w:val="343D9B3A"/>
    <w:rsid w:val="344F9BD2"/>
    <w:rsid w:val="34A95211"/>
    <w:rsid w:val="361FEA63"/>
    <w:rsid w:val="3636F0CC"/>
    <w:rsid w:val="36977FDB"/>
    <w:rsid w:val="369F1C3E"/>
    <w:rsid w:val="372C27B2"/>
    <w:rsid w:val="375EF10E"/>
    <w:rsid w:val="38298770"/>
    <w:rsid w:val="386A6ABE"/>
    <w:rsid w:val="38EEFBB7"/>
    <w:rsid w:val="3A07EE03"/>
    <w:rsid w:val="3A6AC0FB"/>
    <w:rsid w:val="3B23B98C"/>
    <w:rsid w:val="3B89C63E"/>
    <w:rsid w:val="3BB13E8F"/>
    <w:rsid w:val="3BD54CE3"/>
    <w:rsid w:val="3BE12563"/>
    <w:rsid w:val="3C193C93"/>
    <w:rsid w:val="3CF62062"/>
    <w:rsid w:val="3E948AA2"/>
    <w:rsid w:val="3EEB968E"/>
    <w:rsid w:val="3F4965FF"/>
    <w:rsid w:val="3F4CDCA8"/>
    <w:rsid w:val="3F6F9D44"/>
    <w:rsid w:val="3F8E8B61"/>
    <w:rsid w:val="40642A80"/>
    <w:rsid w:val="40D30662"/>
    <w:rsid w:val="417E8D10"/>
    <w:rsid w:val="4286CE05"/>
    <w:rsid w:val="429E3092"/>
    <w:rsid w:val="42AA2F68"/>
    <w:rsid w:val="42F67F0F"/>
    <w:rsid w:val="4314B946"/>
    <w:rsid w:val="435EC6A6"/>
    <w:rsid w:val="43BF5569"/>
    <w:rsid w:val="44AE419C"/>
    <w:rsid w:val="44D24BC4"/>
    <w:rsid w:val="45A20E61"/>
    <w:rsid w:val="45DD257C"/>
    <w:rsid w:val="4603E187"/>
    <w:rsid w:val="46239B8F"/>
    <w:rsid w:val="4628920D"/>
    <w:rsid w:val="46B52D7A"/>
    <w:rsid w:val="46E9F669"/>
    <w:rsid w:val="471D71A3"/>
    <w:rsid w:val="476912DF"/>
    <w:rsid w:val="47BFF314"/>
    <w:rsid w:val="4802635B"/>
    <w:rsid w:val="48CC0DEA"/>
    <w:rsid w:val="49F0DD78"/>
    <w:rsid w:val="4A9E199E"/>
    <w:rsid w:val="4A9F1032"/>
    <w:rsid w:val="4AA38B5B"/>
    <w:rsid w:val="4AB66DCB"/>
    <w:rsid w:val="4BD863BF"/>
    <w:rsid w:val="4C7F750E"/>
    <w:rsid w:val="4D38DFA3"/>
    <w:rsid w:val="4D6CD31E"/>
    <w:rsid w:val="4D980A94"/>
    <w:rsid w:val="4DF01BA3"/>
    <w:rsid w:val="4FDC6D1C"/>
    <w:rsid w:val="5091482E"/>
    <w:rsid w:val="5194121D"/>
    <w:rsid w:val="525BADD2"/>
    <w:rsid w:val="52B6A45C"/>
    <w:rsid w:val="54261B88"/>
    <w:rsid w:val="5489C485"/>
    <w:rsid w:val="54CE23F9"/>
    <w:rsid w:val="54FFF34C"/>
    <w:rsid w:val="5522D7EC"/>
    <w:rsid w:val="5528AEB3"/>
    <w:rsid w:val="552EBAE8"/>
    <w:rsid w:val="55367A82"/>
    <w:rsid w:val="5557A13B"/>
    <w:rsid w:val="5581966D"/>
    <w:rsid w:val="56B992B3"/>
    <w:rsid w:val="56D4E2DE"/>
    <w:rsid w:val="570814CE"/>
    <w:rsid w:val="5720733B"/>
    <w:rsid w:val="576A3131"/>
    <w:rsid w:val="57988337"/>
    <w:rsid w:val="57BE458E"/>
    <w:rsid w:val="580E4A0F"/>
    <w:rsid w:val="588FA029"/>
    <w:rsid w:val="58BC439C"/>
    <w:rsid w:val="58E56FDD"/>
    <w:rsid w:val="598AF337"/>
    <w:rsid w:val="5A8D3DD8"/>
    <w:rsid w:val="5BAC3085"/>
    <w:rsid w:val="5BEA6AB7"/>
    <w:rsid w:val="5BEF4AD4"/>
    <w:rsid w:val="5C23CA36"/>
    <w:rsid w:val="5C4E152B"/>
    <w:rsid w:val="5CDFBB37"/>
    <w:rsid w:val="5DF968B5"/>
    <w:rsid w:val="5E9774F5"/>
    <w:rsid w:val="5EAB35D7"/>
    <w:rsid w:val="5F073073"/>
    <w:rsid w:val="5F21F596"/>
    <w:rsid w:val="5F82A812"/>
    <w:rsid w:val="60673B36"/>
    <w:rsid w:val="607BA8A2"/>
    <w:rsid w:val="60A075E6"/>
    <w:rsid w:val="60B0D04D"/>
    <w:rsid w:val="61C73CB1"/>
    <w:rsid w:val="61E3F242"/>
    <w:rsid w:val="6205B612"/>
    <w:rsid w:val="62154131"/>
    <w:rsid w:val="6281EA96"/>
    <w:rsid w:val="62E3A98D"/>
    <w:rsid w:val="635D0810"/>
    <w:rsid w:val="6451865E"/>
    <w:rsid w:val="649329CF"/>
    <w:rsid w:val="64CCBD43"/>
    <w:rsid w:val="64EC2FDB"/>
    <w:rsid w:val="653AA482"/>
    <w:rsid w:val="65D0483C"/>
    <w:rsid w:val="65E46482"/>
    <w:rsid w:val="664E0730"/>
    <w:rsid w:val="666D0AF0"/>
    <w:rsid w:val="66E35CE6"/>
    <w:rsid w:val="6706DB5C"/>
    <w:rsid w:val="67114A1F"/>
    <w:rsid w:val="677D78A3"/>
    <w:rsid w:val="67CA1772"/>
    <w:rsid w:val="680C6DEA"/>
    <w:rsid w:val="68262080"/>
    <w:rsid w:val="68FFBEF7"/>
    <w:rsid w:val="6A1CF0C0"/>
    <w:rsid w:val="6AFE24E1"/>
    <w:rsid w:val="6B0564DD"/>
    <w:rsid w:val="6B2C8731"/>
    <w:rsid w:val="6BB325B0"/>
    <w:rsid w:val="6C4337E0"/>
    <w:rsid w:val="6CADB218"/>
    <w:rsid w:val="6D2DB8B7"/>
    <w:rsid w:val="6D4D5CA3"/>
    <w:rsid w:val="6D5B450C"/>
    <w:rsid w:val="6DCBD055"/>
    <w:rsid w:val="6E649AEF"/>
    <w:rsid w:val="6F1BAC1F"/>
    <w:rsid w:val="6F394EDD"/>
    <w:rsid w:val="6F70DD60"/>
    <w:rsid w:val="7025477E"/>
    <w:rsid w:val="7080CA85"/>
    <w:rsid w:val="7129DF85"/>
    <w:rsid w:val="715189D9"/>
    <w:rsid w:val="71C85260"/>
    <w:rsid w:val="71EB8FAF"/>
    <w:rsid w:val="7465E67C"/>
    <w:rsid w:val="75B0C150"/>
    <w:rsid w:val="75CE02CB"/>
    <w:rsid w:val="762D8BC6"/>
    <w:rsid w:val="76C327C6"/>
    <w:rsid w:val="76D9581C"/>
    <w:rsid w:val="7755DE95"/>
    <w:rsid w:val="777ABB63"/>
    <w:rsid w:val="7791A3BA"/>
    <w:rsid w:val="790B7E0C"/>
    <w:rsid w:val="79524724"/>
    <w:rsid w:val="7971D3A5"/>
    <w:rsid w:val="7975BE3C"/>
    <w:rsid w:val="7A2694D6"/>
    <w:rsid w:val="7AE6442B"/>
    <w:rsid w:val="7B667373"/>
    <w:rsid w:val="7B74C485"/>
    <w:rsid w:val="7B75FA7E"/>
    <w:rsid w:val="7BCAB92A"/>
    <w:rsid w:val="7C75D6B7"/>
    <w:rsid w:val="7CA6067A"/>
    <w:rsid w:val="7CEAA494"/>
    <w:rsid w:val="7D6B94DB"/>
    <w:rsid w:val="7DABE52D"/>
    <w:rsid w:val="7E0CF8FB"/>
    <w:rsid w:val="7F2D2D07"/>
    <w:rsid w:val="7F4506B7"/>
    <w:rsid w:val="7FEB23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21F7"/>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2">
    <w:name w:val="heading 2"/>
    <w:basedOn w:val="Normal"/>
    <w:next w:val="Normal"/>
    <w:link w:val="Heading2Char"/>
    <w:semiHidden/>
    <w:unhideWhenUsed/>
    <w:qFormat/>
    <w:rsid w:val="00A0551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uiPriority w:val="20"/>
    <w:qFormat/>
    <w:rPr>
      <w:b/>
      <w:bCs/>
      <w:i w:val="0"/>
      <w:iCs w:val="0"/>
    </w:rPr>
  </w:style>
  <w:style w:type="paragraph" w:customStyle="1" w:styleId="Char0">
    <w:name w:val="Char0"/>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rsid w:val="005C311F"/>
    <w:pPr>
      <w:spacing w:line="256" w:lineRule="auto"/>
      <w:jc w:val="both"/>
    </w:pPr>
    <w:rPr>
      <w:rFonts w:ascii="Arial" w:hAnsi="Arial"/>
      <w:u w:val="single"/>
    </w:rPr>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ody Text Bullet Points,Bullet Point,Bullet point,BulletPoints,Bulletr List Paragraph,ES Paragraph,Footnote,L,List Paragraph1,List Paragraph11,Numbered para,PBAC ES Paragraph,PBAC normal points,Recommendation,Section heading,Styl moj"/>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ody Text Bullet Points Char,Bullet Point Char,Bullet point Char,BulletPoints Char,Bulletr List Paragraph Char,ES Paragraph Char,Footnote Char,L Char,List Paragraph1 Char,List Paragraph11 Char,Numbered para Char,Recommendation Char"/>
    <w:link w:val="ListParagraph"/>
    <w:uiPriority w:val="34"/>
    <w:qFormat/>
    <w:rsid w:val="001E35D6"/>
    <w:rPr>
      <w:rFonts w:eastAsia="SimSun"/>
      <w:sz w:val="24"/>
      <w:szCs w:val="24"/>
    </w:rPr>
  </w:style>
  <w:style w:type="character" w:customStyle="1" w:styleId="CommentTextChar">
    <w:name w:val="Comment Text Char"/>
    <w:basedOn w:val="DefaultParagraphFont"/>
    <w:link w:val="CommentText"/>
    <w:uiPriority w:val="99"/>
    <w:rsid w:val="00377360"/>
  </w:style>
  <w:style w:type="paragraph" w:styleId="Revision">
    <w:name w:val="Revision"/>
    <w:hidden/>
    <w:uiPriority w:val="99"/>
    <w:semiHidden/>
    <w:rsid w:val="00DA7044"/>
  </w:style>
  <w:style w:type="character" w:customStyle="1" w:styleId="FooterChar">
    <w:name w:val="Footer Char"/>
    <w:link w:val="Footer"/>
    <w:rsid w:val="00035622"/>
  </w:style>
  <w:style w:type="paragraph" w:customStyle="1" w:styleId="3Bodytext">
    <w:name w:val="3. Body text"/>
    <w:basedOn w:val="ListParagraph"/>
    <w:link w:val="3BodytextChar"/>
    <w:qFormat/>
    <w:rsid w:val="00155809"/>
    <w:pPr>
      <w:spacing w:after="120"/>
      <w:ind w:hanging="720"/>
      <w:contextualSpacing w:val="0"/>
      <w:jc w:val="both"/>
    </w:pPr>
    <w:rPr>
      <w:rFonts w:asciiTheme="minorHAnsi" w:eastAsiaTheme="minorHAnsi" w:hAnsiTheme="minorHAnsi" w:cstheme="minorBidi"/>
      <w:szCs w:val="22"/>
      <w:lang w:eastAsia="en-US"/>
    </w:rPr>
  </w:style>
  <w:style w:type="character" w:customStyle="1" w:styleId="3BodytextChar">
    <w:name w:val="3. Body text Char"/>
    <w:basedOn w:val="DefaultParagraphFont"/>
    <w:link w:val="3Bodytext"/>
    <w:rsid w:val="00155809"/>
    <w:rPr>
      <w:rFonts w:asciiTheme="minorHAnsi" w:eastAsiaTheme="minorHAnsi" w:hAnsiTheme="minorHAnsi" w:cstheme="minorBidi"/>
      <w:sz w:val="24"/>
      <w:szCs w:val="22"/>
      <w:lang w:eastAsia="en-US"/>
    </w:rPr>
  </w:style>
  <w:style w:type="paragraph" w:customStyle="1" w:styleId="2-SectionHeading">
    <w:name w:val="2-Section Heading"/>
    <w:qFormat/>
    <w:rsid w:val="00A35BF0"/>
    <w:pPr>
      <w:keepNext/>
      <w:numPr>
        <w:numId w:val="9"/>
      </w:numPr>
      <w:snapToGrid w:val="0"/>
      <w:spacing w:before="240" w:after="120"/>
      <w:outlineLvl w:val="0"/>
    </w:pPr>
    <w:rPr>
      <w:rFonts w:asciiTheme="minorHAnsi" w:hAnsiTheme="minorHAnsi" w:cs="Arial"/>
      <w:b/>
      <w:sz w:val="32"/>
      <w:szCs w:val="32"/>
    </w:rPr>
  </w:style>
  <w:style w:type="character" w:customStyle="1" w:styleId="ExecSumBodyTextChar">
    <w:name w:val="Exec Sum Body Text Char"/>
    <w:basedOn w:val="DefaultParagraphFont"/>
    <w:link w:val="ExecSumBodyText"/>
    <w:uiPriority w:val="99"/>
    <w:locked/>
    <w:rsid w:val="00A35BF0"/>
    <w:rPr>
      <w:rFonts w:asciiTheme="minorHAnsi" w:hAnsiTheme="minorHAnsi" w:cs="Arial"/>
    </w:rPr>
  </w:style>
  <w:style w:type="paragraph" w:customStyle="1" w:styleId="ExecSumBodyText">
    <w:name w:val="Exec Sum Body Text"/>
    <w:basedOn w:val="Normal"/>
    <w:link w:val="ExecSumBodyTextChar"/>
    <w:uiPriority w:val="99"/>
    <w:qFormat/>
    <w:rsid w:val="00A35BF0"/>
    <w:pPr>
      <w:numPr>
        <w:ilvl w:val="1"/>
        <w:numId w:val="9"/>
      </w:numPr>
      <w:snapToGrid w:val="0"/>
      <w:spacing w:after="120"/>
      <w:jc w:val="both"/>
    </w:pPr>
    <w:rPr>
      <w:rFonts w:asciiTheme="minorHAnsi" w:hAnsiTheme="minorHAnsi" w:cs="Arial"/>
    </w:rPr>
  </w:style>
  <w:style w:type="character" w:styleId="FollowedHyperlink">
    <w:name w:val="FollowedHyperlink"/>
    <w:basedOn w:val="DefaultParagraphFont"/>
    <w:semiHidden/>
    <w:unhideWhenUsed/>
    <w:rsid w:val="00642B51"/>
    <w:rPr>
      <w:color w:val="800080" w:themeColor="followedHyperlink"/>
      <w:u w:val="single"/>
    </w:rPr>
  </w:style>
  <w:style w:type="paragraph" w:styleId="Quote">
    <w:name w:val="Quote"/>
    <w:basedOn w:val="Normal"/>
    <w:next w:val="Normal"/>
    <w:link w:val="QuoteChar"/>
    <w:uiPriority w:val="29"/>
    <w:qFormat/>
    <w:rsid w:val="001D30A0"/>
    <w:pPr>
      <w:spacing w:before="240" w:after="60"/>
      <w:ind w:left="142" w:right="-663" w:hanging="142"/>
    </w:pPr>
    <w:rPr>
      <w:i/>
      <w:iCs/>
      <w:color w:val="000000" w:themeColor="text1"/>
      <w:sz w:val="24"/>
      <w:szCs w:val="24"/>
      <w:lang w:eastAsia="en-US"/>
    </w:rPr>
  </w:style>
  <w:style w:type="character" w:customStyle="1" w:styleId="QuoteChar">
    <w:name w:val="Quote Char"/>
    <w:basedOn w:val="DefaultParagraphFont"/>
    <w:link w:val="Quote"/>
    <w:uiPriority w:val="29"/>
    <w:rsid w:val="001D30A0"/>
    <w:rPr>
      <w:i/>
      <w:iCs/>
      <w:color w:val="000000" w:themeColor="text1"/>
      <w:sz w:val="24"/>
      <w:szCs w:val="24"/>
      <w:lang w:eastAsia="en-US"/>
    </w:rPr>
  </w:style>
  <w:style w:type="paragraph" w:styleId="NoSpacing">
    <w:name w:val="No Spacing"/>
    <w:basedOn w:val="Normal"/>
    <w:link w:val="NoSpacingChar"/>
    <w:uiPriority w:val="1"/>
    <w:qFormat/>
    <w:rsid w:val="008D62B4"/>
    <w:pPr>
      <w:jc w:val="both"/>
    </w:pPr>
    <w:rPr>
      <w:rFonts w:asciiTheme="minorHAnsi" w:hAnsiTheme="minorHAnsi" w:cstheme="minorHAnsi"/>
      <w:sz w:val="24"/>
      <w:szCs w:val="24"/>
      <w:lang w:eastAsia="en-US"/>
    </w:rPr>
  </w:style>
  <w:style w:type="character" w:customStyle="1" w:styleId="NoSpacingChar">
    <w:name w:val="No Spacing Char"/>
    <w:basedOn w:val="DefaultParagraphFont"/>
    <w:link w:val="NoSpacing"/>
    <w:uiPriority w:val="1"/>
    <w:rsid w:val="008D62B4"/>
    <w:rPr>
      <w:rFonts w:asciiTheme="minorHAnsi" w:hAnsiTheme="minorHAnsi" w:cstheme="minorHAnsi"/>
      <w:sz w:val="24"/>
      <w:szCs w:val="24"/>
      <w:lang w:eastAsia="en-US"/>
    </w:rPr>
  </w:style>
  <w:style w:type="paragraph" w:customStyle="1" w:styleId="2Sections">
    <w:name w:val="2. Sections"/>
    <w:qFormat/>
    <w:rsid w:val="0061444C"/>
    <w:pPr>
      <w:spacing w:before="240" w:after="120"/>
      <w:ind w:left="720" w:hanging="720"/>
      <w:outlineLvl w:val="0"/>
    </w:pPr>
    <w:rPr>
      <w:rFonts w:asciiTheme="minorHAnsi" w:hAnsiTheme="minorHAnsi" w:cs="Arial"/>
      <w:b/>
      <w:snapToGrid w:val="0"/>
      <w:sz w:val="32"/>
      <w:szCs w:val="32"/>
      <w:lang w:eastAsia="en-US"/>
    </w:rPr>
  </w:style>
  <w:style w:type="paragraph" w:customStyle="1" w:styleId="4Bodytextnumbered">
    <w:name w:val="4. Body text numbered"/>
    <w:basedOn w:val="ListParagraph"/>
    <w:qFormat/>
    <w:rsid w:val="0061444C"/>
    <w:pPr>
      <w:spacing w:after="120"/>
      <w:ind w:hanging="720"/>
      <w:contextualSpacing w:val="0"/>
      <w:jc w:val="both"/>
    </w:pPr>
    <w:rPr>
      <w:rFonts w:asciiTheme="minorHAnsi" w:eastAsiaTheme="minorHAnsi" w:hAnsiTheme="minorHAnsi" w:cstheme="minorBidi"/>
      <w:szCs w:val="22"/>
      <w:lang w:eastAsia="en-US"/>
    </w:rPr>
  </w:style>
  <w:style w:type="paragraph" w:customStyle="1" w:styleId="Tablewriting">
    <w:name w:val="Table writing"/>
    <w:basedOn w:val="Normal"/>
    <w:qFormat/>
    <w:rsid w:val="003A37BF"/>
    <w:pPr>
      <w:autoSpaceDE w:val="0"/>
      <w:autoSpaceDN w:val="0"/>
      <w:adjustRightInd w:val="0"/>
      <w:spacing w:before="60" w:after="60"/>
    </w:pPr>
    <w:rPr>
      <w:rFonts w:asciiTheme="minorHAnsi" w:eastAsiaTheme="minorEastAsia" w:hAnsiTheme="minorHAnsi" w:cs="Calibri"/>
      <w:color w:val="000000"/>
    </w:rPr>
  </w:style>
  <w:style w:type="character" w:styleId="UnresolvedMention">
    <w:name w:val="Unresolved Mention"/>
    <w:basedOn w:val="DefaultParagraphFont"/>
    <w:uiPriority w:val="99"/>
    <w:semiHidden/>
    <w:unhideWhenUsed/>
    <w:rsid w:val="00427E91"/>
    <w:rPr>
      <w:color w:val="605E5C"/>
      <w:shd w:val="clear" w:color="auto" w:fill="E1DFDD"/>
    </w:rPr>
  </w:style>
  <w:style w:type="paragraph" w:customStyle="1" w:styleId="3-BodyText">
    <w:name w:val="3-Body Text"/>
    <w:basedOn w:val="ListParagraph"/>
    <w:link w:val="3-BodyTextChar"/>
    <w:qFormat/>
    <w:rsid w:val="00120070"/>
    <w:pPr>
      <w:spacing w:after="120"/>
      <w:ind w:hanging="720"/>
      <w:contextualSpacing w:val="0"/>
      <w:jc w:val="both"/>
    </w:pPr>
    <w:rPr>
      <w:rFonts w:asciiTheme="minorHAnsi" w:eastAsia="Times New Roman" w:hAnsiTheme="minorHAnsi" w:cs="Arial"/>
      <w:snapToGrid w:val="0"/>
    </w:rPr>
  </w:style>
  <w:style w:type="character" w:customStyle="1" w:styleId="3-BodyTextChar">
    <w:name w:val="3-Body Text Char"/>
    <w:basedOn w:val="DefaultParagraphFont"/>
    <w:link w:val="3-BodyText"/>
    <w:rsid w:val="00120070"/>
    <w:rPr>
      <w:rFonts w:asciiTheme="minorHAnsi" w:hAnsiTheme="minorHAnsi" w:cs="Arial"/>
      <w:snapToGrid w:val="0"/>
      <w:sz w:val="24"/>
      <w:szCs w:val="24"/>
    </w:rPr>
  </w:style>
  <w:style w:type="character" w:styleId="FootnoteReference">
    <w:name w:val="footnote reference"/>
    <w:basedOn w:val="DefaultParagraphFont"/>
    <w:uiPriority w:val="99"/>
    <w:semiHidden/>
    <w:unhideWhenUsed/>
    <w:rsid w:val="00273042"/>
    <w:rPr>
      <w:vertAlign w:val="superscript"/>
    </w:rPr>
  </w:style>
  <w:style w:type="character" w:customStyle="1" w:styleId="normaltextrun">
    <w:name w:val="normaltextrun"/>
    <w:basedOn w:val="DefaultParagraphFont"/>
    <w:rsid w:val="003D4AED"/>
  </w:style>
  <w:style w:type="paragraph" w:customStyle="1" w:styleId="commentcontentpara">
    <w:name w:val="commentcontentpara"/>
    <w:basedOn w:val="Normal"/>
    <w:rsid w:val="001C41DA"/>
    <w:pPr>
      <w:spacing w:before="100" w:beforeAutospacing="1" w:after="100" w:afterAutospacing="1"/>
    </w:pPr>
    <w:rPr>
      <w:sz w:val="24"/>
      <w:szCs w:val="24"/>
    </w:rPr>
  </w:style>
  <w:style w:type="character" w:customStyle="1" w:styleId="cf01">
    <w:name w:val="cf01"/>
    <w:basedOn w:val="DefaultParagraphFont"/>
    <w:rsid w:val="009B3BC3"/>
    <w:rPr>
      <w:rFonts w:ascii="Segoe UI" w:hAnsi="Segoe UI" w:cs="Segoe UI" w:hint="default"/>
      <w:color w:val="FF0000"/>
      <w:sz w:val="18"/>
      <w:szCs w:val="18"/>
    </w:rPr>
  </w:style>
  <w:style w:type="character" w:customStyle="1" w:styleId="Heading2Char">
    <w:name w:val="Heading 2 Char"/>
    <w:basedOn w:val="DefaultParagraphFont"/>
    <w:link w:val="Heading2"/>
    <w:semiHidden/>
    <w:rsid w:val="00A0551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4904">
      <w:bodyDiv w:val="1"/>
      <w:marLeft w:val="0"/>
      <w:marRight w:val="0"/>
      <w:marTop w:val="0"/>
      <w:marBottom w:val="0"/>
      <w:divBdr>
        <w:top w:val="none" w:sz="0" w:space="0" w:color="auto"/>
        <w:left w:val="none" w:sz="0" w:space="0" w:color="auto"/>
        <w:bottom w:val="none" w:sz="0" w:space="0" w:color="auto"/>
        <w:right w:val="none" w:sz="0" w:space="0" w:color="auto"/>
      </w:divBdr>
    </w:div>
    <w:div w:id="12726310">
      <w:bodyDiv w:val="1"/>
      <w:marLeft w:val="0"/>
      <w:marRight w:val="0"/>
      <w:marTop w:val="0"/>
      <w:marBottom w:val="0"/>
      <w:divBdr>
        <w:top w:val="none" w:sz="0" w:space="0" w:color="auto"/>
        <w:left w:val="none" w:sz="0" w:space="0" w:color="auto"/>
        <w:bottom w:val="none" w:sz="0" w:space="0" w:color="auto"/>
        <w:right w:val="none" w:sz="0" w:space="0" w:color="auto"/>
      </w:divBdr>
    </w:div>
    <w:div w:id="17506909">
      <w:bodyDiv w:val="1"/>
      <w:marLeft w:val="0"/>
      <w:marRight w:val="0"/>
      <w:marTop w:val="0"/>
      <w:marBottom w:val="0"/>
      <w:divBdr>
        <w:top w:val="none" w:sz="0" w:space="0" w:color="auto"/>
        <w:left w:val="none" w:sz="0" w:space="0" w:color="auto"/>
        <w:bottom w:val="none" w:sz="0" w:space="0" w:color="auto"/>
        <w:right w:val="none" w:sz="0" w:space="0" w:color="auto"/>
      </w:divBdr>
    </w:div>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2370317">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30419117">
      <w:bodyDiv w:val="1"/>
      <w:marLeft w:val="0"/>
      <w:marRight w:val="0"/>
      <w:marTop w:val="0"/>
      <w:marBottom w:val="0"/>
      <w:divBdr>
        <w:top w:val="none" w:sz="0" w:space="0" w:color="auto"/>
        <w:left w:val="none" w:sz="0" w:space="0" w:color="auto"/>
        <w:bottom w:val="none" w:sz="0" w:space="0" w:color="auto"/>
        <w:right w:val="none" w:sz="0" w:space="0" w:color="auto"/>
      </w:divBdr>
    </w:div>
    <w:div w:id="30618514">
      <w:bodyDiv w:val="1"/>
      <w:marLeft w:val="0"/>
      <w:marRight w:val="0"/>
      <w:marTop w:val="0"/>
      <w:marBottom w:val="0"/>
      <w:divBdr>
        <w:top w:val="none" w:sz="0" w:space="0" w:color="auto"/>
        <w:left w:val="none" w:sz="0" w:space="0" w:color="auto"/>
        <w:bottom w:val="none" w:sz="0" w:space="0" w:color="auto"/>
        <w:right w:val="none" w:sz="0" w:space="0" w:color="auto"/>
      </w:divBdr>
    </w:div>
    <w:div w:id="38482908">
      <w:bodyDiv w:val="1"/>
      <w:marLeft w:val="0"/>
      <w:marRight w:val="0"/>
      <w:marTop w:val="0"/>
      <w:marBottom w:val="0"/>
      <w:divBdr>
        <w:top w:val="none" w:sz="0" w:space="0" w:color="auto"/>
        <w:left w:val="none" w:sz="0" w:space="0" w:color="auto"/>
        <w:bottom w:val="none" w:sz="0" w:space="0" w:color="auto"/>
        <w:right w:val="none" w:sz="0" w:space="0" w:color="auto"/>
      </w:divBdr>
    </w:div>
    <w:div w:id="39327168">
      <w:bodyDiv w:val="1"/>
      <w:marLeft w:val="0"/>
      <w:marRight w:val="0"/>
      <w:marTop w:val="0"/>
      <w:marBottom w:val="0"/>
      <w:divBdr>
        <w:top w:val="none" w:sz="0" w:space="0" w:color="auto"/>
        <w:left w:val="none" w:sz="0" w:space="0" w:color="auto"/>
        <w:bottom w:val="none" w:sz="0" w:space="0" w:color="auto"/>
        <w:right w:val="none" w:sz="0" w:space="0" w:color="auto"/>
      </w:divBdr>
    </w:div>
    <w:div w:id="42606998">
      <w:bodyDiv w:val="1"/>
      <w:marLeft w:val="0"/>
      <w:marRight w:val="0"/>
      <w:marTop w:val="0"/>
      <w:marBottom w:val="0"/>
      <w:divBdr>
        <w:top w:val="none" w:sz="0" w:space="0" w:color="auto"/>
        <w:left w:val="none" w:sz="0" w:space="0" w:color="auto"/>
        <w:bottom w:val="none" w:sz="0" w:space="0" w:color="auto"/>
        <w:right w:val="none" w:sz="0" w:space="0" w:color="auto"/>
      </w:divBdr>
    </w:div>
    <w:div w:id="44527400">
      <w:bodyDiv w:val="1"/>
      <w:marLeft w:val="0"/>
      <w:marRight w:val="0"/>
      <w:marTop w:val="0"/>
      <w:marBottom w:val="0"/>
      <w:divBdr>
        <w:top w:val="none" w:sz="0" w:space="0" w:color="auto"/>
        <w:left w:val="none" w:sz="0" w:space="0" w:color="auto"/>
        <w:bottom w:val="none" w:sz="0" w:space="0" w:color="auto"/>
        <w:right w:val="none" w:sz="0" w:space="0" w:color="auto"/>
      </w:divBdr>
    </w:div>
    <w:div w:id="47262100">
      <w:bodyDiv w:val="1"/>
      <w:marLeft w:val="0"/>
      <w:marRight w:val="0"/>
      <w:marTop w:val="0"/>
      <w:marBottom w:val="0"/>
      <w:divBdr>
        <w:top w:val="none" w:sz="0" w:space="0" w:color="auto"/>
        <w:left w:val="none" w:sz="0" w:space="0" w:color="auto"/>
        <w:bottom w:val="none" w:sz="0" w:space="0" w:color="auto"/>
        <w:right w:val="none" w:sz="0" w:space="0" w:color="auto"/>
      </w:divBdr>
    </w:div>
    <w:div w:id="49698225">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5671918">
      <w:bodyDiv w:val="1"/>
      <w:marLeft w:val="0"/>
      <w:marRight w:val="0"/>
      <w:marTop w:val="0"/>
      <w:marBottom w:val="0"/>
      <w:divBdr>
        <w:top w:val="none" w:sz="0" w:space="0" w:color="auto"/>
        <w:left w:val="none" w:sz="0" w:space="0" w:color="auto"/>
        <w:bottom w:val="none" w:sz="0" w:space="0" w:color="auto"/>
        <w:right w:val="none" w:sz="0" w:space="0" w:color="auto"/>
      </w:divBdr>
    </w:div>
    <w:div w:id="61490532">
      <w:bodyDiv w:val="1"/>
      <w:marLeft w:val="0"/>
      <w:marRight w:val="0"/>
      <w:marTop w:val="0"/>
      <w:marBottom w:val="0"/>
      <w:divBdr>
        <w:top w:val="none" w:sz="0" w:space="0" w:color="auto"/>
        <w:left w:val="none" w:sz="0" w:space="0" w:color="auto"/>
        <w:bottom w:val="none" w:sz="0" w:space="0" w:color="auto"/>
        <w:right w:val="none" w:sz="0" w:space="0" w:color="auto"/>
      </w:divBdr>
    </w:div>
    <w:div w:id="65959251">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8260771">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6199920">
      <w:bodyDiv w:val="1"/>
      <w:marLeft w:val="0"/>
      <w:marRight w:val="0"/>
      <w:marTop w:val="0"/>
      <w:marBottom w:val="0"/>
      <w:divBdr>
        <w:top w:val="none" w:sz="0" w:space="0" w:color="auto"/>
        <w:left w:val="none" w:sz="0" w:space="0" w:color="auto"/>
        <w:bottom w:val="none" w:sz="0" w:space="0" w:color="auto"/>
        <w:right w:val="none" w:sz="0" w:space="0" w:color="auto"/>
      </w:divBdr>
    </w:div>
    <w:div w:id="90321237">
      <w:bodyDiv w:val="1"/>
      <w:marLeft w:val="0"/>
      <w:marRight w:val="0"/>
      <w:marTop w:val="0"/>
      <w:marBottom w:val="0"/>
      <w:divBdr>
        <w:top w:val="none" w:sz="0" w:space="0" w:color="auto"/>
        <w:left w:val="none" w:sz="0" w:space="0" w:color="auto"/>
        <w:bottom w:val="none" w:sz="0" w:space="0" w:color="auto"/>
        <w:right w:val="none" w:sz="0" w:space="0" w:color="auto"/>
      </w:divBdr>
    </w:div>
    <w:div w:id="93676734">
      <w:bodyDiv w:val="1"/>
      <w:marLeft w:val="0"/>
      <w:marRight w:val="0"/>
      <w:marTop w:val="0"/>
      <w:marBottom w:val="0"/>
      <w:divBdr>
        <w:top w:val="none" w:sz="0" w:space="0" w:color="auto"/>
        <w:left w:val="none" w:sz="0" w:space="0" w:color="auto"/>
        <w:bottom w:val="none" w:sz="0" w:space="0" w:color="auto"/>
        <w:right w:val="none" w:sz="0" w:space="0" w:color="auto"/>
      </w:divBdr>
    </w:div>
    <w:div w:id="100035097">
      <w:bodyDiv w:val="1"/>
      <w:marLeft w:val="0"/>
      <w:marRight w:val="0"/>
      <w:marTop w:val="0"/>
      <w:marBottom w:val="0"/>
      <w:divBdr>
        <w:top w:val="none" w:sz="0" w:space="0" w:color="auto"/>
        <w:left w:val="none" w:sz="0" w:space="0" w:color="auto"/>
        <w:bottom w:val="none" w:sz="0" w:space="0" w:color="auto"/>
        <w:right w:val="none" w:sz="0" w:space="0" w:color="auto"/>
      </w:divBdr>
    </w:div>
    <w:div w:id="102237776">
      <w:bodyDiv w:val="1"/>
      <w:marLeft w:val="0"/>
      <w:marRight w:val="0"/>
      <w:marTop w:val="0"/>
      <w:marBottom w:val="0"/>
      <w:divBdr>
        <w:top w:val="none" w:sz="0" w:space="0" w:color="auto"/>
        <w:left w:val="none" w:sz="0" w:space="0" w:color="auto"/>
        <w:bottom w:val="none" w:sz="0" w:space="0" w:color="auto"/>
        <w:right w:val="none" w:sz="0" w:space="0" w:color="auto"/>
      </w:divBdr>
    </w:div>
    <w:div w:id="109008514">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27360831">
      <w:bodyDiv w:val="1"/>
      <w:marLeft w:val="0"/>
      <w:marRight w:val="0"/>
      <w:marTop w:val="0"/>
      <w:marBottom w:val="0"/>
      <w:divBdr>
        <w:top w:val="none" w:sz="0" w:space="0" w:color="auto"/>
        <w:left w:val="none" w:sz="0" w:space="0" w:color="auto"/>
        <w:bottom w:val="none" w:sz="0" w:space="0" w:color="auto"/>
        <w:right w:val="none" w:sz="0" w:space="0" w:color="auto"/>
      </w:divBdr>
    </w:div>
    <w:div w:id="128784830">
      <w:bodyDiv w:val="1"/>
      <w:marLeft w:val="0"/>
      <w:marRight w:val="0"/>
      <w:marTop w:val="0"/>
      <w:marBottom w:val="0"/>
      <w:divBdr>
        <w:top w:val="none" w:sz="0" w:space="0" w:color="auto"/>
        <w:left w:val="none" w:sz="0" w:space="0" w:color="auto"/>
        <w:bottom w:val="none" w:sz="0" w:space="0" w:color="auto"/>
        <w:right w:val="none" w:sz="0" w:space="0" w:color="auto"/>
      </w:divBdr>
      <w:divsChild>
        <w:div w:id="283460112">
          <w:marLeft w:val="0"/>
          <w:marRight w:val="0"/>
          <w:marTop w:val="0"/>
          <w:marBottom w:val="0"/>
          <w:divBdr>
            <w:top w:val="none" w:sz="0" w:space="0" w:color="auto"/>
            <w:left w:val="none" w:sz="0" w:space="0" w:color="auto"/>
            <w:bottom w:val="none" w:sz="0" w:space="0" w:color="auto"/>
            <w:right w:val="none" w:sz="0" w:space="0" w:color="auto"/>
          </w:divBdr>
        </w:div>
      </w:divsChild>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815">
      <w:bodyDiv w:val="1"/>
      <w:marLeft w:val="0"/>
      <w:marRight w:val="0"/>
      <w:marTop w:val="0"/>
      <w:marBottom w:val="0"/>
      <w:divBdr>
        <w:top w:val="none" w:sz="0" w:space="0" w:color="auto"/>
        <w:left w:val="none" w:sz="0" w:space="0" w:color="auto"/>
        <w:bottom w:val="none" w:sz="0" w:space="0" w:color="auto"/>
        <w:right w:val="none" w:sz="0" w:space="0" w:color="auto"/>
      </w:divBdr>
    </w:div>
    <w:div w:id="147481653">
      <w:bodyDiv w:val="1"/>
      <w:marLeft w:val="0"/>
      <w:marRight w:val="0"/>
      <w:marTop w:val="0"/>
      <w:marBottom w:val="0"/>
      <w:divBdr>
        <w:top w:val="none" w:sz="0" w:space="0" w:color="auto"/>
        <w:left w:val="none" w:sz="0" w:space="0" w:color="auto"/>
        <w:bottom w:val="none" w:sz="0" w:space="0" w:color="auto"/>
        <w:right w:val="none" w:sz="0" w:space="0" w:color="auto"/>
      </w:divBdr>
    </w:div>
    <w:div w:id="149106779">
      <w:bodyDiv w:val="1"/>
      <w:marLeft w:val="0"/>
      <w:marRight w:val="0"/>
      <w:marTop w:val="0"/>
      <w:marBottom w:val="0"/>
      <w:divBdr>
        <w:top w:val="none" w:sz="0" w:space="0" w:color="auto"/>
        <w:left w:val="none" w:sz="0" w:space="0" w:color="auto"/>
        <w:bottom w:val="none" w:sz="0" w:space="0" w:color="auto"/>
        <w:right w:val="none" w:sz="0" w:space="0" w:color="auto"/>
      </w:divBdr>
    </w:div>
    <w:div w:id="151679611">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58737358">
      <w:bodyDiv w:val="1"/>
      <w:marLeft w:val="0"/>
      <w:marRight w:val="0"/>
      <w:marTop w:val="0"/>
      <w:marBottom w:val="0"/>
      <w:divBdr>
        <w:top w:val="none" w:sz="0" w:space="0" w:color="auto"/>
        <w:left w:val="none" w:sz="0" w:space="0" w:color="auto"/>
        <w:bottom w:val="none" w:sz="0" w:space="0" w:color="auto"/>
        <w:right w:val="none" w:sz="0" w:space="0" w:color="auto"/>
      </w:divBdr>
    </w:div>
    <w:div w:id="159390996">
      <w:bodyDiv w:val="1"/>
      <w:marLeft w:val="0"/>
      <w:marRight w:val="0"/>
      <w:marTop w:val="0"/>
      <w:marBottom w:val="0"/>
      <w:divBdr>
        <w:top w:val="none" w:sz="0" w:space="0" w:color="auto"/>
        <w:left w:val="none" w:sz="0" w:space="0" w:color="auto"/>
        <w:bottom w:val="none" w:sz="0" w:space="0" w:color="auto"/>
        <w:right w:val="none" w:sz="0" w:space="0" w:color="auto"/>
      </w:divBdr>
    </w:div>
    <w:div w:id="162205467">
      <w:bodyDiv w:val="1"/>
      <w:marLeft w:val="0"/>
      <w:marRight w:val="0"/>
      <w:marTop w:val="0"/>
      <w:marBottom w:val="0"/>
      <w:divBdr>
        <w:top w:val="none" w:sz="0" w:space="0" w:color="auto"/>
        <w:left w:val="none" w:sz="0" w:space="0" w:color="auto"/>
        <w:bottom w:val="none" w:sz="0" w:space="0" w:color="auto"/>
        <w:right w:val="none" w:sz="0" w:space="0" w:color="auto"/>
      </w:divBdr>
    </w:div>
    <w:div w:id="170413016">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77548251">
      <w:bodyDiv w:val="1"/>
      <w:marLeft w:val="0"/>
      <w:marRight w:val="0"/>
      <w:marTop w:val="0"/>
      <w:marBottom w:val="0"/>
      <w:divBdr>
        <w:top w:val="none" w:sz="0" w:space="0" w:color="auto"/>
        <w:left w:val="none" w:sz="0" w:space="0" w:color="auto"/>
        <w:bottom w:val="none" w:sz="0" w:space="0" w:color="auto"/>
        <w:right w:val="none" w:sz="0" w:space="0" w:color="auto"/>
      </w:divBdr>
    </w:div>
    <w:div w:id="178197588">
      <w:bodyDiv w:val="1"/>
      <w:marLeft w:val="0"/>
      <w:marRight w:val="0"/>
      <w:marTop w:val="0"/>
      <w:marBottom w:val="0"/>
      <w:divBdr>
        <w:top w:val="none" w:sz="0" w:space="0" w:color="auto"/>
        <w:left w:val="none" w:sz="0" w:space="0" w:color="auto"/>
        <w:bottom w:val="none" w:sz="0" w:space="0" w:color="auto"/>
        <w:right w:val="none" w:sz="0" w:space="0" w:color="auto"/>
      </w:divBdr>
    </w:div>
    <w:div w:id="185142543">
      <w:bodyDiv w:val="1"/>
      <w:marLeft w:val="0"/>
      <w:marRight w:val="0"/>
      <w:marTop w:val="0"/>
      <w:marBottom w:val="0"/>
      <w:divBdr>
        <w:top w:val="none" w:sz="0" w:space="0" w:color="auto"/>
        <w:left w:val="none" w:sz="0" w:space="0" w:color="auto"/>
        <w:bottom w:val="none" w:sz="0" w:space="0" w:color="auto"/>
        <w:right w:val="none" w:sz="0" w:space="0" w:color="auto"/>
      </w:divBdr>
    </w:div>
    <w:div w:id="188179665">
      <w:bodyDiv w:val="1"/>
      <w:marLeft w:val="0"/>
      <w:marRight w:val="0"/>
      <w:marTop w:val="0"/>
      <w:marBottom w:val="0"/>
      <w:divBdr>
        <w:top w:val="none" w:sz="0" w:space="0" w:color="auto"/>
        <w:left w:val="none" w:sz="0" w:space="0" w:color="auto"/>
        <w:bottom w:val="none" w:sz="0" w:space="0" w:color="auto"/>
        <w:right w:val="none" w:sz="0" w:space="0" w:color="auto"/>
      </w:divBdr>
      <w:divsChild>
        <w:div w:id="653336248">
          <w:marLeft w:val="0"/>
          <w:marRight w:val="0"/>
          <w:marTop w:val="0"/>
          <w:marBottom w:val="0"/>
          <w:divBdr>
            <w:top w:val="none" w:sz="0" w:space="0" w:color="auto"/>
            <w:left w:val="none" w:sz="0" w:space="0" w:color="auto"/>
            <w:bottom w:val="none" w:sz="0" w:space="0" w:color="auto"/>
            <w:right w:val="none" w:sz="0" w:space="0" w:color="auto"/>
          </w:divBdr>
        </w:div>
      </w:divsChild>
    </w:div>
    <w:div w:id="192882382">
      <w:bodyDiv w:val="1"/>
      <w:marLeft w:val="0"/>
      <w:marRight w:val="0"/>
      <w:marTop w:val="0"/>
      <w:marBottom w:val="0"/>
      <w:divBdr>
        <w:top w:val="none" w:sz="0" w:space="0" w:color="auto"/>
        <w:left w:val="none" w:sz="0" w:space="0" w:color="auto"/>
        <w:bottom w:val="none" w:sz="0" w:space="0" w:color="auto"/>
        <w:right w:val="none" w:sz="0" w:space="0" w:color="auto"/>
      </w:divBdr>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198864661">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1452626">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45308846">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1110226">
      <w:bodyDiv w:val="1"/>
      <w:marLeft w:val="0"/>
      <w:marRight w:val="0"/>
      <w:marTop w:val="0"/>
      <w:marBottom w:val="0"/>
      <w:divBdr>
        <w:top w:val="none" w:sz="0" w:space="0" w:color="auto"/>
        <w:left w:val="none" w:sz="0" w:space="0" w:color="auto"/>
        <w:bottom w:val="none" w:sz="0" w:space="0" w:color="auto"/>
        <w:right w:val="none" w:sz="0" w:space="0" w:color="auto"/>
      </w:divBdr>
    </w:div>
    <w:div w:id="262148266">
      <w:bodyDiv w:val="1"/>
      <w:marLeft w:val="0"/>
      <w:marRight w:val="0"/>
      <w:marTop w:val="0"/>
      <w:marBottom w:val="0"/>
      <w:divBdr>
        <w:top w:val="none" w:sz="0" w:space="0" w:color="auto"/>
        <w:left w:val="none" w:sz="0" w:space="0" w:color="auto"/>
        <w:bottom w:val="none" w:sz="0" w:space="0" w:color="auto"/>
        <w:right w:val="none" w:sz="0" w:space="0" w:color="auto"/>
      </w:divBdr>
    </w:div>
    <w:div w:id="266550285">
      <w:bodyDiv w:val="1"/>
      <w:marLeft w:val="0"/>
      <w:marRight w:val="0"/>
      <w:marTop w:val="0"/>
      <w:marBottom w:val="0"/>
      <w:divBdr>
        <w:top w:val="none" w:sz="0" w:space="0" w:color="auto"/>
        <w:left w:val="none" w:sz="0" w:space="0" w:color="auto"/>
        <w:bottom w:val="none" w:sz="0" w:space="0" w:color="auto"/>
        <w:right w:val="none" w:sz="0" w:space="0" w:color="auto"/>
      </w:divBdr>
    </w:div>
    <w:div w:id="267275745">
      <w:bodyDiv w:val="1"/>
      <w:marLeft w:val="0"/>
      <w:marRight w:val="0"/>
      <w:marTop w:val="0"/>
      <w:marBottom w:val="0"/>
      <w:divBdr>
        <w:top w:val="none" w:sz="0" w:space="0" w:color="auto"/>
        <w:left w:val="none" w:sz="0" w:space="0" w:color="auto"/>
        <w:bottom w:val="none" w:sz="0" w:space="0" w:color="auto"/>
        <w:right w:val="none" w:sz="0" w:space="0" w:color="auto"/>
      </w:divBdr>
    </w:div>
    <w:div w:id="269170932">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77833250">
      <w:bodyDiv w:val="1"/>
      <w:marLeft w:val="0"/>
      <w:marRight w:val="0"/>
      <w:marTop w:val="0"/>
      <w:marBottom w:val="0"/>
      <w:divBdr>
        <w:top w:val="none" w:sz="0" w:space="0" w:color="auto"/>
        <w:left w:val="none" w:sz="0" w:space="0" w:color="auto"/>
        <w:bottom w:val="none" w:sz="0" w:space="0" w:color="auto"/>
        <w:right w:val="none" w:sz="0" w:space="0" w:color="auto"/>
      </w:divBdr>
    </w:div>
    <w:div w:id="278028945">
      <w:bodyDiv w:val="1"/>
      <w:marLeft w:val="0"/>
      <w:marRight w:val="0"/>
      <w:marTop w:val="0"/>
      <w:marBottom w:val="0"/>
      <w:divBdr>
        <w:top w:val="none" w:sz="0" w:space="0" w:color="auto"/>
        <w:left w:val="none" w:sz="0" w:space="0" w:color="auto"/>
        <w:bottom w:val="none" w:sz="0" w:space="0" w:color="auto"/>
        <w:right w:val="none" w:sz="0" w:space="0" w:color="auto"/>
      </w:divBdr>
    </w:div>
    <w:div w:id="283926532">
      <w:bodyDiv w:val="1"/>
      <w:marLeft w:val="0"/>
      <w:marRight w:val="0"/>
      <w:marTop w:val="0"/>
      <w:marBottom w:val="0"/>
      <w:divBdr>
        <w:top w:val="none" w:sz="0" w:space="0" w:color="auto"/>
        <w:left w:val="none" w:sz="0" w:space="0" w:color="auto"/>
        <w:bottom w:val="none" w:sz="0" w:space="0" w:color="auto"/>
        <w:right w:val="none" w:sz="0" w:space="0" w:color="auto"/>
      </w:divBdr>
    </w:div>
    <w:div w:id="284431974">
      <w:bodyDiv w:val="1"/>
      <w:marLeft w:val="0"/>
      <w:marRight w:val="0"/>
      <w:marTop w:val="0"/>
      <w:marBottom w:val="0"/>
      <w:divBdr>
        <w:top w:val="none" w:sz="0" w:space="0" w:color="auto"/>
        <w:left w:val="none" w:sz="0" w:space="0" w:color="auto"/>
        <w:bottom w:val="none" w:sz="0" w:space="0" w:color="auto"/>
        <w:right w:val="none" w:sz="0" w:space="0" w:color="auto"/>
      </w:divBdr>
    </w:div>
    <w:div w:id="284581089">
      <w:bodyDiv w:val="1"/>
      <w:marLeft w:val="0"/>
      <w:marRight w:val="0"/>
      <w:marTop w:val="0"/>
      <w:marBottom w:val="0"/>
      <w:divBdr>
        <w:top w:val="none" w:sz="0" w:space="0" w:color="auto"/>
        <w:left w:val="none" w:sz="0" w:space="0" w:color="auto"/>
        <w:bottom w:val="none" w:sz="0" w:space="0" w:color="auto"/>
        <w:right w:val="none" w:sz="0" w:space="0" w:color="auto"/>
      </w:divBdr>
    </w:div>
    <w:div w:id="287012127">
      <w:bodyDiv w:val="1"/>
      <w:marLeft w:val="0"/>
      <w:marRight w:val="0"/>
      <w:marTop w:val="0"/>
      <w:marBottom w:val="0"/>
      <w:divBdr>
        <w:top w:val="none" w:sz="0" w:space="0" w:color="auto"/>
        <w:left w:val="none" w:sz="0" w:space="0" w:color="auto"/>
        <w:bottom w:val="none" w:sz="0" w:space="0" w:color="auto"/>
        <w:right w:val="none" w:sz="0" w:space="0" w:color="auto"/>
      </w:divBdr>
    </w:div>
    <w:div w:id="287126852">
      <w:bodyDiv w:val="1"/>
      <w:marLeft w:val="0"/>
      <w:marRight w:val="0"/>
      <w:marTop w:val="0"/>
      <w:marBottom w:val="0"/>
      <w:divBdr>
        <w:top w:val="none" w:sz="0" w:space="0" w:color="auto"/>
        <w:left w:val="none" w:sz="0" w:space="0" w:color="auto"/>
        <w:bottom w:val="none" w:sz="0" w:space="0" w:color="auto"/>
        <w:right w:val="none" w:sz="0" w:space="0" w:color="auto"/>
      </w:divBdr>
    </w:div>
    <w:div w:id="290595589">
      <w:bodyDiv w:val="1"/>
      <w:marLeft w:val="0"/>
      <w:marRight w:val="0"/>
      <w:marTop w:val="0"/>
      <w:marBottom w:val="0"/>
      <w:divBdr>
        <w:top w:val="none" w:sz="0" w:space="0" w:color="auto"/>
        <w:left w:val="none" w:sz="0" w:space="0" w:color="auto"/>
        <w:bottom w:val="none" w:sz="0" w:space="0" w:color="auto"/>
        <w:right w:val="none" w:sz="0" w:space="0" w:color="auto"/>
      </w:divBdr>
    </w:div>
    <w:div w:id="305866709">
      <w:bodyDiv w:val="1"/>
      <w:marLeft w:val="0"/>
      <w:marRight w:val="0"/>
      <w:marTop w:val="0"/>
      <w:marBottom w:val="0"/>
      <w:divBdr>
        <w:top w:val="none" w:sz="0" w:space="0" w:color="auto"/>
        <w:left w:val="none" w:sz="0" w:space="0" w:color="auto"/>
        <w:bottom w:val="none" w:sz="0" w:space="0" w:color="auto"/>
        <w:right w:val="none" w:sz="0" w:space="0" w:color="auto"/>
      </w:divBdr>
    </w:div>
    <w:div w:id="307396148">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12804607">
      <w:bodyDiv w:val="1"/>
      <w:marLeft w:val="0"/>
      <w:marRight w:val="0"/>
      <w:marTop w:val="0"/>
      <w:marBottom w:val="0"/>
      <w:divBdr>
        <w:top w:val="none" w:sz="0" w:space="0" w:color="auto"/>
        <w:left w:val="none" w:sz="0" w:space="0" w:color="auto"/>
        <w:bottom w:val="none" w:sz="0" w:space="0" w:color="auto"/>
        <w:right w:val="none" w:sz="0" w:space="0" w:color="auto"/>
      </w:divBdr>
    </w:div>
    <w:div w:id="331102701">
      <w:bodyDiv w:val="1"/>
      <w:marLeft w:val="0"/>
      <w:marRight w:val="0"/>
      <w:marTop w:val="0"/>
      <w:marBottom w:val="0"/>
      <w:divBdr>
        <w:top w:val="none" w:sz="0" w:space="0" w:color="auto"/>
        <w:left w:val="none" w:sz="0" w:space="0" w:color="auto"/>
        <w:bottom w:val="none" w:sz="0" w:space="0" w:color="auto"/>
        <w:right w:val="none" w:sz="0" w:space="0" w:color="auto"/>
      </w:divBdr>
    </w:div>
    <w:div w:id="336275597">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44793966">
      <w:bodyDiv w:val="1"/>
      <w:marLeft w:val="0"/>
      <w:marRight w:val="0"/>
      <w:marTop w:val="0"/>
      <w:marBottom w:val="0"/>
      <w:divBdr>
        <w:top w:val="none" w:sz="0" w:space="0" w:color="auto"/>
        <w:left w:val="none" w:sz="0" w:space="0" w:color="auto"/>
        <w:bottom w:val="none" w:sz="0" w:space="0" w:color="auto"/>
        <w:right w:val="none" w:sz="0" w:space="0" w:color="auto"/>
      </w:divBdr>
    </w:div>
    <w:div w:id="350028983">
      <w:bodyDiv w:val="1"/>
      <w:marLeft w:val="0"/>
      <w:marRight w:val="0"/>
      <w:marTop w:val="0"/>
      <w:marBottom w:val="0"/>
      <w:divBdr>
        <w:top w:val="none" w:sz="0" w:space="0" w:color="auto"/>
        <w:left w:val="none" w:sz="0" w:space="0" w:color="auto"/>
        <w:bottom w:val="none" w:sz="0" w:space="0" w:color="auto"/>
        <w:right w:val="none" w:sz="0" w:space="0" w:color="auto"/>
      </w:divBdr>
    </w:div>
    <w:div w:id="36205195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0813506">
      <w:bodyDiv w:val="1"/>
      <w:marLeft w:val="0"/>
      <w:marRight w:val="0"/>
      <w:marTop w:val="0"/>
      <w:marBottom w:val="0"/>
      <w:divBdr>
        <w:top w:val="none" w:sz="0" w:space="0" w:color="auto"/>
        <w:left w:val="none" w:sz="0" w:space="0" w:color="auto"/>
        <w:bottom w:val="none" w:sz="0" w:space="0" w:color="auto"/>
        <w:right w:val="none" w:sz="0" w:space="0" w:color="auto"/>
      </w:divBdr>
    </w:div>
    <w:div w:id="373621871">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6244455">
      <w:bodyDiv w:val="1"/>
      <w:marLeft w:val="0"/>
      <w:marRight w:val="0"/>
      <w:marTop w:val="0"/>
      <w:marBottom w:val="0"/>
      <w:divBdr>
        <w:top w:val="none" w:sz="0" w:space="0" w:color="auto"/>
        <w:left w:val="none" w:sz="0" w:space="0" w:color="auto"/>
        <w:bottom w:val="none" w:sz="0" w:space="0" w:color="auto"/>
        <w:right w:val="none" w:sz="0" w:space="0" w:color="auto"/>
      </w:divBdr>
    </w:div>
    <w:div w:id="381639027">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09607">
      <w:bodyDiv w:val="1"/>
      <w:marLeft w:val="0"/>
      <w:marRight w:val="0"/>
      <w:marTop w:val="0"/>
      <w:marBottom w:val="0"/>
      <w:divBdr>
        <w:top w:val="none" w:sz="0" w:space="0" w:color="auto"/>
        <w:left w:val="none" w:sz="0" w:space="0" w:color="auto"/>
        <w:bottom w:val="none" w:sz="0" w:space="0" w:color="auto"/>
        <w:right w:val="none" w:sz="0" w:space="0" w:color="auto"/>
      </w:divBdr>
    </w:div>
    <w:div w:id="428045846">
      <w:bodyDiv w:val="1"/>
      <w:marLeft w:val="0"/>
      <w:marRight w:val="0"/>
      <w:marTop w:val="0"/>
      <w:marBottom w:val="0"/>
      <w:divBdr>
        <w:top w:val="none" w:sz="0" w:space="0" w:color="auto"/>
        <w:left w:val="none" w:sz="0" w:space="0" w:color="auto"/>
        <w:bottom w:val="none" w:sz="0" w:space="0" w:color="auto"/>
        <w:right w:val="none" w:sz="0" w:space="0" w:color="auto"/>
      </w:divBdr>
    </w:div>
    <w:div w:id="429351912">
      <w:bodyDiv w:val="1"/>
      <w:marLeft w:val="0"/>
      <w:marRight w:val="0"/>
      <w:marTop w:val="0"/>
      <w:marBottom w:val="0"/>
      <w:divBdr>
        <w:top w:val="none" w:sz="0" w:space="0" w:color="auto"/>
        <w:left w:val="none" w:sz="0" w:space="0" w:color="auto"/>
        <w:bottom w:val="none" w:sz="0" w:space="0" w:color="auto"/>
        <w:right w:val="none" w:sz="0" w:space="0" w:color="auto"/>
      </w:divBdr>
    </w:div>
    <w:div w:id="437867935">
      <w:bodyDiv w:val="1"/>
      <w:marLeft w:val="0"/>
      <w:marRight w:val="0"/>
      <w:marTop w:val="0"/>
      <w:marBottom w:val="0"/>
      <w:divBdr>
        <w:top w:val="none" w:sz="0" w:space="0" w:color="auto"/>
        <w:left w:val="none" w:sz="0" w:space="0" w:color="auto"/>
        <w:bottom w:val="none" w:sz="0" w:space="0" w:color="auto"/>
        <w:right w:val="none" w:sz="0" w:space="0" w:color="auto"/>
      </w:divBdr>
    </w:div>
    <w:div w:id="437986911">
      <w:bodyDiv w:val="1"/>
      <w:marLeft w:val="0"/>
      <w:marRight w:val="0"/>
      <w:marTop w:val="0"/>
      <w:marBottom w:val="0"/>
      <w:divBdr>
        <w:top w:val="none" w:sz="0" w:space="0" w:color="auto"/>
        <w:left w:val="none" w:sz="0" w:space="0" w:color="auto"/>
        <w:bottom w:val="none" w:sz="0" w:space="0" w:color="auto"/>
        <w:right w:val="none" w:sz="0" w:space="0" w:color="auto"/>
      </w:divBdr>
    </w:div>
    <w:div w:id="44952081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3934589">
      <w:bodyDiv w:val="1"/>
      <w:marLeft w:val="0"/>
      <w:marRight w:val="0"/>
      <w:marTop w:val="0"/>
      <w:marBottom w:val="0"/>
      <w:divBdr>
        <w:top w:val="none" w:sz="0" w:space="0" w:color="auto"/>
        <w:left w:val="none" w:sz="0" w:space="0" w:color="auto"/>
        <w:bottom w:val="none" w:sz="0" w:space="0" w:color="auto"/>
        <w:right w:val="none" w:sz="0" w:space="0" w:color="auto"/>
      </w:divBdr>
      <w:divsChild>
        <w:div w:id="1413895645">
          <w:marLeft w:val="0"/>
          <w:marRight w:val="0"/>
          <w:marTop w:val="0"/>
          <w:marBottom w:val="0"/>
          <w:divBdr>
            <w:top w:val="none" w:sz="0" w:space="0" w:color="auto"/>
            <w:left w:val="none" w:sz="0" w:space="0" w:color="auto"/>
            <w:bottom w:val="none" w:sz="0" w:space="0" w:color="auto"/>
            <w:right w:val="none" w:sz="0" w:space="0" w:color="auto"/>
          </w:divBdr>
        </w:div>
      </w:divsChild>
    </w:div>
    <w:div w:id="466630068">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5339772">
      <w:bodyDiv w:val="1"/>
      <w:marLeft w:val="0"/>
      <w:marRight w:val="0"/>
      <w:marTop w:val="0"/>
      <w:marBottom w:val="0"/>
      <w:divBdr>
        <w:top w:val="none" w:sz="0" w:space="0" w:color="auto"/>
        <w:left w:val="none" w:sz="0" w:space="0" w:color="auto"/>
        <w:bottom w:val="none" w:sz="0" w:space="0" w:color="auto"/>
        <w:right w:val="none" w:sz="0" w:space="0" w:color="auto"/>
      </w:divBdr>
    </w:div>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5901268">
      <w:bodyDiv w:val="1"/>
      <w:marLeft w:val="0"/>
      <w:marRight w:val="0"/>
      <w:marTop w:val="0"/>
      <w:marBottom w:val="0"/>
      <w:divBdr>
        <w:top w:val="none" w:sz="0" w:space="0" w:color="auto"/>
        <w:left w:val="none" w:sz="0" w:space="0" w:color="auto"/>
        <w:bottom w:val="none" w:sz="0" w:space="0" w:color="auto"/>
        <w:right w:val="none" w:sz="0" w:space="0" w:color="auto"/>
      </w:divBdr>
      <w:divsChild>
        <w:div w:id="1740708259">
          <w:marLeft w:val="0"/>
          <w:marRight w:val="0"/>
          <w:marTop w:val="0"/>
          <w:marBottom w:val="0"/>
          <w:divBdr>
            <w:top w:val="none" w:sz="0" w:space="0" w:color="auto"/>
            <w:left w:val="none" w:sz="0" w:space="0" w:color="auto"/>
            <w:bottom w:val="none" w:sz="0" w:space="0" w:color="auto"/>
            <w:right w:val="none" w:sz="0" w:space="0" w:color="auto"/>
          </w:divBdr>
        </w:div>
      </w:divsChild>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494423005">
      <w:bodyDiv w:val="1"/>
      <w:marLeft w:val="0"/>
      <w:marRight w:val="0"/>
      <w:marTop w:val="0"/>
      <w:marBottom w:val="0"/>
      <w:divBdr>
        <w:top w:val="none" w:sz="0" w:space="0" w:color="auto"/>
        <w:left w:val="none" w:sz="0" w:space="0" w:color="auto"/>
        <w:bottom w:val="none" w:sz="0" w:space="0" w:color="auto"/>
        <w:right w:val="none" w:sz="0" w:space="0" w:color="auto"/>
      </w:divBdr>
    </w:div>
    <w:div w:id="496389213">
      <w:bodyDiv w:val="1"/>
      <w:marLeft w:val="0"/>
      <w:marRight w:val="0"/>
      <w:marTop w:val="0"/>
      <w:marBottom w:val="0"/>
      <w:divBdr>
        <w:top w:val="none" w:sz="0" w:space="0" w:color="auto"/>
        <w:left w:val="none" w:sz="0" w:space="0" w:color="auto"/>
        <w:bottom w:val="none" w:sz="0" w:space="0" w:color="auto"/>
        <w:right w:val="none" w:sz="0" w:space="0" w:color="auto"/>
      </w:divBdr>
    </w:div>
    <w:div w:id="497691024">
      <w:bodyDiv w:val="1"/>
      <w:marLeft w:val="0"/>
      <w:marRight w:val="0"/>
      <w:marTop w:val="0"/>
      <w:marBottom w:val="0"/>
      <w:divBdr>
        <w:top w:val="none" w:sz="0" w:space="0" w:color="auto"/>
        <w:left w:val="none" w:sz="0" w:space="0" w:color="auto"/>
        <w:bottom w:val="none" w:sz="0" w:space="0" w:color="auto"/>
        <w:right w:val="none" w:sz="0" w:space="0" w:color="auto"/>
      </w:divBdr>
    </w:div>
    <w:div w:id="499538310">
      <w:bodyDiv w:val="1"/>
      <w:marLeft w:val="0"/>
      <w:marRight w:val="0"/>
      <w:marTop w:val="0"/>
      <w:marBottom w:val="0"/>
      <w:divBdr>
        <w:top w:val="none" w:sz="0" w:space="0" w:color="auto"/>
        <w:left w:val="none" w:sz="0" w:space="0" w:color="auto"/>
        <w:bottom w:val="none" w:sz="0" w:space="0" w:color="auto"/>
        <w:right w:val="none" w:sz="0" w:space="0" w:color="auto"/>
      </w:divBdr>
    </w:div>
    <w:div w:id="499543481">
      <w:bodyDiv w:val="1"/>
      <w:marLeft w:val="0"/>
      <w:marRight w:val="0"/>
      <w:marTop w:val="0"/>
      <w:marBottom w:val="0"/>
      <w:divBdr>
        <w:top w:val="none" w:sz="0" w:space="0" w:color="auto"/>
        <w:left w:val="none" w:sz="0" w:space="0" w:color="auto"/>
        <w:bottom w:val="none" w:sz="0" w:space="0" w:color="auto"/>
        <w:right w:val="none" w:sz="0" w:space="0" w:color="auto"/>
      </w:divBdr>
    </w:div>
    <w:div w:id="502014915">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09370300">
      <w:bodyDiv w:val="1"/>
      <w:marLeft w:val="0"/>
      <w:marRight w:val="0"/>
      <w:marTop w:val="0"/>
      <w:marBottom w:val="0"/>
      <w:divBdr>
        <w:top w:val="none" w:sz="0" w:space="0" w:color="auto"/>
        <w:left w:val="none" w:sz="0" w:space="0" w:color="auto"/>
        <w:bottom w:val="none" w:sz="0" w:space="0" w:color="auto"/>
        <w:right w:val="none" w:sz="0" w:space="0" w:color="auto"/>
      </w:divBdr>
    </w:div>
    <w:div w:id="515776212">
      <w:bodyDiv w:val="1"/>
      <w:marLeft w:val="0"/>
      <w:marRight w:val="0"/>
      <w:marTop w:val="0"/>
      <w:marBottom w:val="0"/>
      <w:divBdr>
        <w:top w:val="none" w:sz="0" w:space="0" w:color="auto"/>
        <w:left w:val="none" w:sz="0" w:space="0" w:color="auto"/>
        <w:bottom w:val="none" w:sz="0" w:space="0" w:color="auto"/>
        <w:right w:val="none" w:sz="0" w:space="0" w:color="auto"/>
      </w:divBdr>
    </w:div>
    <w:div w:id="517888676">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0385049">
      <w:bodyDiv w:val="1"/>
      <w:marLeft w:val="0"/>
      <w:marRight w:val="0"/>
      <w:marTop w:val="0"/>
      <w:marBottom w:val="0"/>
      <w:divBdr>
        <w:top w:val="none" w:sz="0" w:space="0" w:color="auto"/>
        <w:left w:val="none" w:sz="0" w:space="0" w:color="auto"/>
        <w:bottom w:val="none" w:sz="0" w:space="0" w:color="auto"/>
        <w:right w:val="none" w:sz="0" w:space="0" w:color="auto"/>
      </w:divBdr>
    </w:div>
    <w:div w:id="532499012">
      <w:bodyDiv w:val="1"/>
      <w:marLeft w:val="0"/>
      <w:marRight w:val="0"/>
      <w:marTop w:val="0"/>
      <w:marBottom w:val="0"/>
      <w:divBdr>
        <w:top w:val="none" w:sz="0" w:space="0" w:color="auto"/>
        <w:left w:val="none" w:sz="0" w:space="0" w:color="auto"/>
        <w:bottom w:val="none" w:sz="0" w:space="0" w:color="auto"/>
        <w:right w:val="none" w:sz="0" w:space="0" w:color="auto"/>
      </w:divBdr>
    </w:div>
    <w:div w:id="53651021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39971603">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6184318">
      <w:bodyDiv w:val="1"/>
      <w:marLeft w:val="0"/>
      <w:marRight w:val="0"/>
      <w:marTop w:val="0"/>
      <w:marBottom w:val="0"/>
      <w:divBdr>
        <w:top w:val="none" w:sz="0" w:space="0" w:color="auto"/>
        <w:left w:val="none" w:sz="0" w:space="0" w:color="auto"/>
        <w:bottom w:val="none" w:sz="0" w:space="0" w:color="auto"/>
        <w:right w:val="none" w:sz="0" w:space="0" w:color="auto"/>
      </w:divBdr>
    </w:div>
    <w:div w:id="546334289">
      <w:bodyDiv w:val="1"/>
      <w:marLeft w:val="0"/>
      <w:marRight w:val="0"/>
      <w:marTop w:val="0"/>
      <w:marBottom w:val="0"/>
      <w:divBdr>
        <w:top w:val="none" w:sz="0" w:space="0" w:color="auto"/>
        <w:left w:val="none" w:sz="0" w:space="0" w:color="auto"/>
        <w:bottom w:val="none" w:sz="0" w:space="0" w:color="auto"/>
        <w:right w:val="none" w:sz="0" w:space="0" w:color="auto"/>
      </w:divBdr>
    </w:div>
    <w:div w:id="547374723">
      <w:bodyDiv w:val="1"/>
      <w:marLeft w:val="0"/>
      <w:marRight w:val="0"/>
      <w:marTop w:val="0"/>
      <w:marBottom w:val="0"/>
      <w:divBdr>
        <w:top w:val="none" w:sz="0" w:space="0" w:color="auto"/>
        <w:left w:val="none" w:sz="0" w:space="0" w:color="auto"/>
        <w:bottom w:val="none" w:sz="0" w:space="0" w:color="auto"/>
        <w:right w:val="none" w:sz="0" w:space="0" w:color="auto"/>
      </w:divBdr>
    </w:div>
    <w:div w:id="549875918">
      <w:bodyDiv w:val="1"/>
      <w:marLeft w:val="0"/>
      <w:marRight w:val="0"/>
      <w:marTop w:val="0"/>
      <w:marBottom w:val="0"/>
      <w:divBdr>
        <w:top w:val="none" w:sz="0" w:space="0" w:color="auto"/>
        <w:left w:val="none" w:sz="0" w:space="0" w:color="auto"/>
        <w:bottom w:val="none" w:sz="0" w:space="0" w:color="auto"/>
        <w:right w:val="none" w:sz="0" w:space="0" w:color="auto"/>
      </w:divBdr>
    </w:div>
    <w:div w:id="553007000">
      <w:bodyDiv w:val="1"/>
      <w:marLeft w:val="0"/>
      <w:marRight w:val="0"/>
      <w:marTop w:val="0"/>
      <w:marBottom w:val="0"/>
      <w:divBdr>
        <w:top w:val="none" w:sz="0" w:space="0" w:color="auto"/>
        <w:left w:val="none" w:sz="0" w:space="0" w:color="auto"/>
        <w:bottom w:val="none" w:sz="0" w:space="0" w:color="auto"/>
        <w:right w:val="none" w:sz="0" w:space="0" w:color="auto"/>
      </w:divBdr>
    </w:div>
    <w:div w:id="561140185">
      <w:bodyDiv w:val="1"/>
      <w:marLeft w:val="0"/>
      <w:marRight w:val="0"/>
      <w:marTop w:val="0"/>
      <w:marBottom w:val="0"/>
      <w:divBdr>
        <w:top w:val="none" w:sz="0" w:space="0" w:color="auto"/>
        <w:left w:val="none" w:sz="0" w:space="0" w:color="auto"/>
        <w:bottom w:val="none" w:sz="0" w:space="0" w:color="auto"/>
        <w:right w:val="none" w:sz="0" w:space="0" w:color="auto"/>
      </w:divBdr>
    </w:div>
    <w:div w:id="564026402">
      <w:bodyDiv w:val="1"/>
      <w:marLeft w:val="0"/>
      <w:marRight w:val="0"/>
      <w:marTop w:val="0"/>
      <w:marBottom w:val="0"/>
      <w:divBdr>
        <w:top w:val="none" w:sz="0" w:space="0" w:color="auto"/>
        <w:left w:val="none" w:sz="0" w:space="0" w:color="auto"/>
        <w:bottom w:val="none" w:sz="0" w:space="0" w:color="auto"/>
        <w:right w:val="none" w:sz="0" w:space="0" w:color="auto"/>
      </w:divBdr>
    </w:div>
    <w:div w:id="564995703">
      <w:bodyDiv w:val="1"/>
      <w:marLeft w:val="0"/>
      <w:marRight w:val="0"/>
      <w:marTop w:val="0"/>
      <w:marBottom w:val="0"/>
      <w:divBdr>
        <w:top w:val="none" w:sz="0" w:space="0" w:color="auto"/>
        <w:left w:val="none" w:sz="0" w:space="0" w:color="auto"/>
        <w:bottom w:val="none" w:sz="0" w:space="0" w:color="auto"/>
        <w:right w:val="none" w:sz="0" w:space="0" w:color="auto"/>
      </w:divBdr>
      <w:divsChild>
        <w:div w:id="1814787995">
          <w:marLeft w:val="0"/>
          <w:marRight w:val="0"/>
          <w:marTop w:val="0"/>
          <w:marBottom w:val="0"/>
          <w:divBdr>
            <w:top w:val="none" w:sz="0" w:space="0" w:color="auto"/>
            <w:left w:val="none" w:sz="0" w:space="0" w:color="auto"/>
            <w:bottom w:val="none" w:sz="0" w:space="0" w:color="auto"/>
            <w:right w:val="none" w:sz="0" w:space="0" w:color="auto"/>
          </w:divBdr>
        </w:div>
      </w:divsChild>
    </w:div>
    <w:div w:id="566259580">
      <w:bodyDiv w:val="1"/>
      <w:marLeft w:val="0"/>
      <w:marRight w:val="0"/>
      <w:marTop w:val="0"/>
      <w:marBottom w:val="0"/>
      <w:divBdr>
        <w:top w:val="none" w:sz="0" w:space="0" w:color="auto"/>
        <w:left w:val="none" w:sz="0" w:space="0" w:color="auto"/>
        <w:bottom w:val="none" w:sz="0" w:space="0" w:color="auto"/>
        <w:right w:val="none" w:sz="0" w:space="0" w:color="auto"/>
      </w:divBdr>
    </w:div>
    <w:div w:id="569852536">
      <w:bodyDiv w:val="1"/>
      <w:marLeft w:val="0"/>
      <w:marRight w:val="0"/>
      <w:marTop w:val="0"/>
      <w:marBottom w:val="0"/>
      <w:divBdr>
        <w:top w:val="none" w:sz="0" w:space="0" w:color="auto"/>
        <w:left w:val="none" w:sz="0" w:space="0" w:color="auto"/>
        <w:bottom w:val="none" w:sz="0" w:space="0" w:color="auto"/>
        <w:right w:val="none" w:sz="0" w:space="0" w:color="auto"/>
      </w:divBdr>
    </w:div>
    <w:div w:id="572588604">
      <w:bodyDiv w:val="1"/>
      <w:marLeft w:val="0"/>
      <w:marRight w:val="0"/>
      <w:marTop w:val="0"/>
      <w:marBottom w:val="0"/>
      <w:divBdr>
        <w:top w:val="none" w:sz="0" w:space="0" w:color="auto"/>
        <w:left w:val="none" w:sz="0" w:space="0" w:color="auto"/>
        <w:bottom w:val="none" w:sz="0" w:space="0" w:color="auto"/>
        <w:right w:val="none" w:sz="0" w:space="0" w:color="auto"/>
      </w:divBdr>
    </w:div>
    <w:div w:id="580217483">
      <w:bodyDiv w:val="1"/>
      <w:marLeft w:val="0"/>
      <w:marRight w:val="0"/>
      <w:marTop w:val="0"/>
      <w:marBottom w:val="0"/>
      <w:divBdr>
        <w:top w:val="none" w:sz="0" w:space="0" w:color="auto"/>
        <w:left w:val="none" w:sz="0" w:space="0" w:color="auto"/>
        <w:bottom w:val="none" w:sz="0" w:space="0" w:color="auto"/>
        <w:right w:val="none" w:sz="0" w:space="0" w:color="auto"/>
      </w:divBdr>
    </w:div>
    <w:div w:id="59771622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0404414">
      <w:bodyDiv w:val="1"/>
      <w:marLeft w:val="0"/>
      <w:marRight w:val="0"/>
      <w:marTop w:val="0"/>
      <w:marBottom w:val="0"/>
      <w:divBdr>
        <w:top w:val="none" w:sz="0" w:space="0" w:color="auto"/>
        <w:left w:val="none" w:sz="0" w:space="0" w:color="auto"/>
        <w:bottom w:val="none" w:sz="0" w:space="0" w:color="auto"/>
        <w:right w:val="none" w:sz="0" w:space="0" w:color="auto"/>
      </w:divBdr>
      <w:divsChild>
        <w:div w:id="1329358222">
          <w:marLeft w:val="0"/>
          <w:marRight w:val="0"/>
          <w:marTop w:val="0"/>
          <w:marBottom w:val="0"/>
          <w:divBdr>
            <w:top w:val="none" w:sz="0" w:space="0" w:color="auto"/>
            <w:left w:val="none" w:sz="0" w:space="0" w:color="auto"/>
            <w:bottom w:val="none" w:sz="0" w:space="0" w:color="auto"/>
            <w:right w:val="none" w:sz="0" w:space="0" w:color="auto"/>
          </w:divBdr>
        </w:div>
      </w:divsChild>
    </w:div>
    <w:div w:id="622736795">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2523594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9169519">
      <w:bodyDiv w:val="1"/>
      <w:marLeft w:val="0"/>
      <w:marRight w:val="0"/>
      <w:marTop w:val="0"/>
      <w:marBottom w:val="0"/>
      <w:divBdr>
        <w:top w:val="none" w:sz="0" w:space="0" w:color="auto"/>
        <w:left w:val="none" w:sz="0" w:space="0" w:color="auto"/>
        <w:bottom w:val="none" w:sz="0" w:space="0" w:color="auto"/>
        <w:right w:val="none" w:sz="0" w:space="0" w:color="auto"/>
      </w:divBdr>
    </w:div>
    <w:div w:id="641345040">
      <w:bodyDiv w:val="1"/>
      <w:marLeft w:val="0"/>
      <w:marRight w:val="0"/>
      <w:marTop w:val="0"/>
      <w:marBottom w:val="0"/>
      <w:divBdr>
        <w:top w:val="none" w:sz="0" w:space="0" w:color="auto"/>
        <w:left w:val="none" w:sz="0" w:space="0" w:color="auto"/>
        <w:bottom w:val="none" w:sz="0" w:space="0" w:color="auto"/>
        <w:right w:val="none" w:sz="0" w:space="0" w:color="auto"/>
      </w:divBdr>
    </w:div>
    <w:div w:id="653946561">
      <w:bodyDiv w:val="1"/>
      <w:marLeft w:val="0"/>
      <w:marRight w:val="0"/>
      <w:marTop w:val="0"/>
      <w:marBottom w:val="0"/>
      <w:divBdr>
        <w:top w:val="none" w:sz="0" w:space="0" w:color="auto"/>
        <w:left w:val="none" w:sz="0" w:space="0" w:color="auto"/>
        <w:bottom w:val="none" w:sz="0" w:space="0" w:color="auto"/>
        <w:right w:val="none" w:sz="0" w:space="0" w:color="auto"/>
      </w:divBdr>
    </w:div>
    <w:div w:id="654918750">
      <w:bodyDiv w:val="1"/>
      <w:marLeft w:val="0"/>
      <w:marRight w:val="0"/>
      <w:marTop w:val="0"/>
      <w:marBottom w:val="0"/>
      <w:divBdr>
        <w:top w:val="none" w:sz="0" w:space="0" w:color="auto"/>
        <w:left w:val="none" w:sz="0" w:space="0" w:color="auto"/>
        <w:bottom w:val="none" w:sz="0" w:space="0" w:color="auto"/>
        <w:right w:val="none" w:sz="0" w:space="0" w:color="auto"/>
      </w:divBdr>
    </w:div>
    <w:div w:id="659891731">
      <w:bodyDiv w:val="1"/>
      <w:marLeft w:val="0"/>
      <w:marRight w:val="0"/>
      <w:marTop w:val="0"/>
      <w:marBottom w:val="0"/>
      <w:divBdr>
        <w:top w:val="none" w:sz="0" w:space="0" w:color="auto"/>
        <w:left w:val="none" w:sz="0" w:space="0" w:color="auto"/>
        <w:bottom w:val="none" w:sz="0" w:space="0" w:color="auto"/>
        <w:right w:val="none" w:sz="0" w:space="0" w:color="auto"/>
      </w:divBdr>
    </w:div>
    <w:div w:id="667750685">
      <w:bodyDiv w:val="1"/>
      <w:marLeft w:val="0"/>
      <w:marRight w:val="0"/>
      <w:marTop w:val="0"/>
      <w:marBottom w:val="0"/>
      <w:divBdr>
        <w:top w:val="none" w:sz="0" w:space="0" w:color="auto"/>
        <w:left w:val="none" w:sz="0" w:space="0" w:color="auto"/>
        <w:bottom w:val="none" w:sz="0" w:space="0" w:color="auto"/>
        <w:right w:val="none" w:sz="0" w:space="0" w:color="auto"/>
      </w:divBdr>
    </w:div>
    <w:div w:id="689454014">
      <w:bodyDiv w:val="1"/>
      <w:marLeft w:val="0"/>
      <w:marRight w:val="0"/>
      <w:marTop w:val="0"/>
      <w:marBottom w:val="0"/>
      <w:divBdr>
        <w:top w:val="none" w:sz="0" w:space="0" w:color="auto"/>
        <w:left w:val="none" w:sz="0" w:space="0" w:color="auto"/>
        <w:bottom w:val="none" w:sz="0" w:space="0" w:color="auto"/>
        <w:right w:val="none" w:sz="0" w:space="0" w:color="auto"/>
      </w:divBdr>
    </w:div>
    <w:div w:id="689768108">
      <w:bodyDiv w:val="1"/>
      <w:marLeft w:val="0"/>
      <w:marRight w:val="0"/>
      <w:marTop w:val="0"/>
      <w:marBottom w:val="0"/>
      <w:divBdr>
        <w:top w:val="none" w:sz="0" w:space="0" w:color="auto"/>
        <w:left w:val="none" w:sz="0" w:space="0" w:color="auto"/>
        <w:bottom w:val="none" w:sz="0" w:space="0" w:color="auto"/>
        <w:right w:val="none" w:sz="0" w:space="0" w:color="auto"/>
      </w:divBdr>
    </w:div>
    <w:div w:id="695156804">
      <w:bodyDiv w:val="1"/>
      <w:marLeft w:val="0"/>
      <w:marRight w:val="0"/>
      <w:marTop w:val="0"/>
      <w:marBottom w:val="0"/>
      <w:divBdr>
        <w:top w:val="none" w:sz="0" w:space="0" w:color="auto"/>
        <w:left w:val="none" w:sz="0" w:space="0" w:color="auto"/>
        <w:bottom w:val="none" w:sz="0" w:space="0" w:color="auto"/>
        <w:right w:val="none" w:sz="0" w:space="0" w:color="auto"/>
      </w:divBdr>
    </w:div>
    <w:div w:id="710883354">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9232485">
      <w:bodyDiv w:val="1"/>
      <w:marLeft w:val="0"/>
      <w:marRight w:val="0"/>
      <w:marTop w:val="0"/>
      <w:marBottom w:val="0"/>
      <w:divBdr>
        <w:top w:val="none" w:sz="0" w:space="0" w:color="auto"/>
        <w:left w:val="none" w:sz="0" w:space="0" w:color="auto"/>
        <w:bottom w:val="none" w:sz="0" w:space="0" w:color="auto"/>
        <w:right w:val="none" w:sz="0" w:space="0" w:color="auto"/>
      </w:divBdr>
    </w:div>
    <w:div w:id="754671093">
      <w:bodyDiv w:val="1"/>
      <w:marLeft w:val="0"/>
      <w:marRight w:val="0"/>
      <w:marTop w:val="0"/>
      <w:marBottom w:val="0"/>
      <w:divBdr>
        <w:top w:val="none" w:sz="0" w:space="0" w:color="auto"/>
        <w:left w:val="none" w:sz="0" w:space="0" w:color="auto"/>
        <w:bottom w:val="none" w:sz="0" w:space="0" w:color="auto"/>
        <w:right w:val="none" w:sz="0" w:space="0" w:color="auto"/>
      </w:divBdr>
      <w:divsChild>
        <w:div w:id="377634354">
          <w:marLeft w:val="0"/>
          <w:marRight w:val="0"/>
          <w:marTop w:val="0"/>
          <w:marBottom w:val="0"/>
          <w:divBdr>
            <w:top w:val="none" w:sz="0" w:space="0" w:color="auto"/>
            <w:left w:val="none" w:sz="0" w:space="0" w:color="auto"/>
            <w:bottom w:val="none" w:sz="0" w:space="0" w:color="auto"/>
            <w:right w:val="none" w:sz="0" w:space="0" w:color="auto"/>
          </w:divBdr>
        </w:div>
      </w:divsChild>
    </w:div>
    <w:div w:id="755983056">
      <w:bodyDiv w:val="1"/>
      <w:marLeft w:val="0"/>
      <w:marRight w:val="0"/>
      <w:marTop w:val="0"/>
      <w:marBottom w:val="0"/>
      <w:divBdr>
        <w:top w:val="none" w:sz="0" w:space="0" w:color="auto"/>
        <w:left w:val="none" w:sz="0" w:space="0" w:color="auto"/>
        <w:bottom w:val="none" w:sz="0" w:space="0" w:color="auto"/>
        <w:right w:val="none" w:sz="0" w:space="0" w:color="auto"/>
      </w:divBdr>
    </w:div>
    <w:div w:id="765345643">
      <w:bodyDiv w:val="1"/>
      <w:marLeft w:val="0"/>
      <w:marRight w:val="0"/>
      <w:marTop w:val="0"/>
      <w:marBottom w:val="0"/>
      <w:divBdr>
        <w:top w:val="none" w:sz="0" w:space="0" w:color="auto"/>
        <w:left w:val="none" w:sz="0" w:space="0" w:color="auto"/>
        <w:bottom w:val="none" w:sz="0" w:space="0" w:color="auto"/>
        <w:right w:val="none" w:sz="0" w:space="0" w:color="auto"/>
      </w:divBdr>
    </w:div>
    <w:div w:id="769590192">
      <w:bodyDiv w:val="1"/>
      <w:marLeft w:val="0"/>
      <w:marRight w:val="0"/>
      <w:marTop w:val="0"/>
      <w:marBottom w:val="0"/>
      <w:divBdr>
        <w:top w:val="none" w:sz="0" w:space="0" w:color="auto"/>
        <w:left w:val="none" w:sz="0" w:space="0" w:color="auto"/>
        <w:bottom w:val="none" w:sz="0" w:space="0" w:color="auto"/>
        <w:right w:val="none" w:sz="0" w:space="0" w:color="auto"/>
      </w:divBdr>
      <w:divsChild>
        <w:div w:id="1436365972">
          <w:marLeft w:val="0"/>
          <w:marRight w:val="0"/>
          <w:marTop w:val="0"/>
          <w:marBottom w:val="0"/>
          <w:divBdr>
            <w:top w:val="none" w:sz="0" w:space="0" w:color="auto"/>
            <w:left w:val="none" w:sz="0" w:space="0" w:color="auto"/>
            <w:bottom w:val="none" w:sz="0" w:space="0" w:color="auto"/>
            <w:right w:val="none" w:sz="0" w:space="0" w:color="auto"/>
          </w:divBdr>
        </w:div>
      </w:divsChild>
    </w:div>
    <w:div w:id="77486078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8257922">
      <w:bodyDiv w:val="1"/>
      <w:marLeft w:val="0"/>
      <w:marRight w:val="0"/>
      <w:marTop w:val="0"/>
      <w:marBottom w:val="0"/>
      <w:divBdr>
        <w:top w:val="none" w:sz="0" w:space="0" w:color="auto"/>
        <w:left w:val="none" w:sz="0" w:space="0" w:color="auto"/>
        <w:bottom w:val="none" w:sz="0" w:space="0" w:color="auto"/>
        <w:right w:val="none" w:sz="0" w:space="0" w:color="auto"/>
      </w:divBdr>
    </w:div>
    <w:div w:id="781610647">
      <w:bodyDiv w:val="1"/>
      <w:marLeft w:val="0"/>
      <w:marRight w:val="0"/>
      <w:marTop w:val="0"/>
      <w:marBottom w:val="0"/>
      <w:divBdr>
        <w:top w:val="none" w:sz="0" w:space="0" w:color="auto"/>
        <w:left w:val="none" w:sz="0" w:space="0" w:color="auto"/>
        <w:bottom w:val="none" w:sz="0" w:space="0" w:color="auto"/>
        <w:right w:val="none" w:sz="0" w:space="0" w:color="auto"/>
      </w:divBdr>
    </w:div>
    <w:div w:id="791091114">
      <w:bodyDiv w:val="1"/>
      <w:marLeft w:val="0"/>
      <w:marRight w:val="0"/>
      <w:marTop w:val="0"/>
      <w:marBottom w:val="0"/>
      <w:divBdr>
        <w:top w:val="none" w:sz="0" w:space="0" w:color="auto"/>
        <w:left w:val="none" w:sz="0" w:space="0" w:color="auto"/>
        <w:bottom w:val="none" w:sz="0" w:space="0" w:color="auto"/>
        <w:right w:val="none" w:sz="0" w:space="0" w:color="auto"/>
      </w:divBdr>
    </w:div>
    <w:div w:id="801120009">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9930725">
      <w:bodyDiv w:val="1"/>
      <w:marLeft w:val="0"/>
      <w:marRight w:val="0"/>
      <w:marTop w:val="0"/>
      <w:marBottom w:val="0"/>
      <w:divBdr>
        <w:top w:val="none" w:sz="0" w:space="0" w:color="auto"/>
        <w:left w:val="none" w:sz="0" w:space="0" w:color="auto"/>
        <w:bottom w:val="none" w:sz="0" w:space="0" w:color="auto"/>
        <w:right w:val="none" w:sz="0" w:space="0" w:color="auto"/>
      </w:divBdr>
      <w:divsChild>
        <w:div w:id="236092809">
          <w:marLeft w:val="0"/>
          <w:marRight w:val="0"/>
          <w:marTop w:val="0"/>
          <w:marBottom w:val="0"/>
          <w:divBdr>
            <w:top w:val="none" w:sz="0" w:space="0" w:color="auto"/>
            <w:left w:val="none" w:sz="0" w:space="0" w:color="auto"/>
            <w:bottom w:val="none" w:sz="0" w:space="0" w:color="auto"/>
            <w:right w:val="none" w:sz="0" w:space="0" w:color="auto"/>
          </w:divBdr>
        </w:div>
      </w:divsChild>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3858419">
      <w:bodyDiv w:val="1"/>
      <w:marLeft w:val="0"/>
      <w:marRight w:val="0"/>
      <w:marTop w:val="0"/>
      <w:marBottom w:val="0"/>
      <w:divBdr>
        <w:top w:val="none" w:sz="0" w:space="0" w:color="auto"/>
        <w:left w:val="none" w:sz="0" w:space="0" w:color="auto"/>
        <w:bottom w:val="none" w:sz="0" w:space="0" w:color="auto"/>
        <w:right w:val="none" w:sz="0" w:space="0" w:color="auto"/>
      </w:divBdr>
    </w:div>
    <w:div w:id="831214157">
      <w:bodyDiv w:val="1"/>
      <w:marLeft w:val="0"/>
      <w:marRight w:val="0"/>
      <w:marTop w:val="0"/>
      <w:marBottom w:val="0"/>
      <w:divBdr>
        <w:top w:val="none" w:sz="0" w:space="0" w:color="auto"/>
        <w:left w:val="none" w:sz="0" w:space="0" w:color="auto"/>
        <w:bottom w:val="none" w:sz="0" w:space="0" w:color="auto"/>
        <w:right w:val="none" w:sz="0" w:space="0" w:color="auto"/>
      </w:divBdr>
    </w:div>
    <w:div w:id="833647241">
      <w:bodyDiv w:val="1"/>
      <w:marLeft w:val="0"/>
      <w:marRight w:val="0"/>
      <w:marTop w:val="0"/>
      <w:marBottom w:val="0"/>
      <w:divBdr>
        <w:top w:val="none" w:sz="0" w:space="0" w:color="auto"/>
        <w:left w:val="none" w:sz="0" w:space="0" w:color="auto"/>
        <w:bottom w:val="none" w:sz="0" w:space="0" w:color="auto"/>
        <w:right w:val="none" w:sz="0" w:space="0" w:color="auto"/>
      </w:divBdr>
    </w:div>
    <w:div w:id="836384040">
      <w:bodyDiv w:val="1"/>
      <w:marLeft w:val="0"/>
      <w:marRight w:val="0"/>
      <w:marTop w:val="0"/>
      <w:marBottom w:val="0"/>
      <w:divBdr>
        <w:top w:val="none" w:sz="0" w:space="0" w:color="auto"/>
        <w:left w:val="none" w:sz="0" w:space="0" w:color="auto"/>
        <w:bottom w:val="none" w:sz="0" w:space="0" w:color="auto"/>
        <w:right w:val="none" w:sz="0" w:space="0" w:color="auto"/>
      </w:divBdr>
    </w:div>
    <w:div w:id="836699564">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5824613">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5195507">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296281">
      <w:bodyDiv w:val="1"/>
      <w:marLeft w:val="0"/>
      <w:marRight w:val="0"/>
      <w:marTop w:val="0"/>
      <w:marBottom w:val="0"/>
      <w:divBdr>
        <w:top w:val="none" w:sz="0" w:space="0" w:color="auto"/>
        <w:left w:val="none" w:sz="0" w:space="0" w:color="auto"/>
        <w:bottom w:val="none" w:sz="0" w:space="0" w:color="auto"/>
        <w:right w:val="none" w:sz="0" w:space="0" w:color="auto"/>
      </w:divBdr>
    </w:div>
    <w:div w:id="877160054">
      <w:bodyDiv w:val="1"/>
      <w:marLeft w:val="0"/>
      <w:marRight w:val="0"/>
      <w:marTop w:val="0"/>
      <w:marBottom w:val="0"/>
      <w:divBdr>
        <w:top w:val="none" w:sz="0" w:space="0" w:color="auto"/>
        <w:left w:val="none" w:sz="0" w:space="0" w:color="auto"/>
        <w:bottom w:val="none" w:sz="0" w:space="0" w:color="auto"/>
        <w:right w:val="none" w:sz="0" w:space="0" w:color="auto"/>
      </w:divBdr>
      <w:divsChild>
        <w:div w:id="1391997316">
          <w:marLeft w:val="0"/>
          <w:marRight w:val="0"/>
          <w:marTop w:val="0"/>
          <w:marBottom w:val="0"/>
          <w:divBdr>
            <w:top w:val="none" w:sz="0" w:space="0" w:color="auto"/>
            <w:left w:val="none" w:sz="0" w:space="0" w:color="auto"/>
            <w:bottom w:val="none" w:sz="0" w:space="0" w:color="auto"/>
            <w:right w:val="none" w:sz="0" w:space="0" w:color="auto"/>
          </w:divBdr>
        </w:div>
      </w:divsChild>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7187936">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892739765">
      <w:bodyDiv w:val="1"/>
      <w:marLeft w:val="0"/>
      <w:marRight w:val="0"/>
      <w:marTop w:val="0"/>
      <w:marBottom w:val="0"/>
      <w:divBdr>
        <w:top w:val="none" w:sz="0" w:space="0" w:color="auto"/>
        <w:left w:val="none" w:sz="0" w:space="0" w:color="auto"/>
        <w:bottom w:val="none" w:sz="0" w:space="0" w:color="auto"/>
        <w:right w:val="none" w:sz="0" w:space="0" w:color="auto"/>
      </w:divBdr>
    </w:div>
    <w:div w:id="895311044">
      <w:bodyDiv w:val="1"/>
      <w:marLeft w:val="0"/>
      <w:marRight w:val="0"/>
      <w:marTop w:val="0"/>
      <w:marBottom w:val="0"/>
      <w:divBdr>
        <w:top w:val="none" w:sz="0" w:space="0" w:color="auto"/>
        <w:left w:val="none" w:sz="0" w:space="0" w:color="auto"/>
        <w:bottom w:val="none" w:sz="0" w:space="0" w:color="auto"/>
        <w:right w:val="none" w:sz="0" w:space="0" w:color="auto"/>
      </w:divBdr>
    </w:div>
    <w:div w:id="900477946">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290">
      <w:bodyDiv w:val="1"/>
      <w:marLeft w:val="0"/>
      <w:marRight w:val="0"/>
      <w:marTop w:val="0"/>
      <w:marBottom w:val="0"/>
      <w:divBdr>
        <w:top w:val="none" w:sz="0" w:space="0" w:color="auto"/>
        <w:left w:val="none" w:sz="0" w:space="0" w:color="auto"/>
        <w:bottom w:val="none" w:sz="0" w:space="0" w:color="auto"/>
        <w:right w:val="none" w:sz="0" w:space="0" w:color="auto"/>
      </w:divBdr>
    </w:div>
    <w:div w:id="922035327">
      <w:bodyDiv w:val="1"/>
      <w:marLeft w:val="0"/>
      <w:marRight w:val="0"/>
      <w:marTop w:val="0"/>
      <w:marBottom w:val="0"/>
      <w:divBdr>
        <w:top w:val="none" w:sz="0" w:space="0" w:color="auto"/>
        <w:left w:val="none" w:sz="0" w:space="0" w:color="auto"/>
        <w:bottom w:val="none" w:sz="0" w:space="0" w:color="auto"/>
        <w:right w:val="none" w:sz="0" w:space="0" w:color="auto"/>
      </w:divBdr>
    </w:div>
    <w:div w:id="926185447">
      <w:bodyDiv w:val="1"/>
      <w:marLeft w:val="0"/>
      <w:marRight w:val="0"/>
      <w:marTop w:val="0"/>
      <w:marBottom w:val="0"/>
      <w:divBdr>
        <w:top w:val="none" w:sz="0" w:space="0" w:color="auto"/>
        <w:left w:val="none" w:sz="0" w:space="0" w:color="auto"/>
        <w:bottom w:val="none" w:sz="0" w:space="0" w:color="auto"/>
        <w:right w:val="none" w:sz="0" w:space="0" w:color="auto"/>
      </w:divBdr>
    </w:div>
    <w:div w:id="928776361">
      <w:bodyDiv w:val="1"/>
      <w:marLeft w:val="0"/>
      <w:marRight w:val="0"/>
      <w:marTop w:val="0"/>
      <w:marBottom w:val="0"/>
      <w:divBdr>
        <w:top w:val="none" w:sz="0" w:space="0" w:color="auto"/>
        <w:left w:val="none" w:sz="0" w:space="0" w:color="auto"/>
        <w:bottom w:val="none" w:sz="0" w:space="0" w:color="auto"/>
        <w:right w:val="none" w:sz="0" w:space="0" w:color="auto"/>
      </w:divBdr>
    </w:div>
    <w:div w:id="937786799">
      <w:bodyDiv w:val="1"/>
      <w:marLeft w:val="0"/>
      <w:marRight w:val="0"/>
      <w:marTop w:val="0"/>
      <w:marBottom w:val="0"/>
      <w:divBdr>
        <w:top w:val="none" w:sz="0" w:space="0" w:color="auto"/>
        <w:left w:val="none" w:sz="0" w:space="0" w:color="auto"/>
        <w:bottom w:val="none" w:sz="0" w:space="0" w:color="auto"/>
        <w:right w:val="none" w:sz="0" w:space="0" w:color="auto"/>
      </w:divBdr>
    </w:div>
    <w:div w:id="938878083">
      <w:bodyDiv w:val="1"/>
      <w:marLeft w:val="0"/>
      <w:marRight w:val="0"/>
      <w:marTop w:val="0"/>
      <w:marBottom w:val="0"/>
      <w:divBdr>
        <w:top w:val="none" w:sz="0" w:space="0" w:color="auto"/>
        <w:left w:val="none" w:sz="0" w:space="0" w:color="auto"/>
        <w:bottom w:val="none" w:sz="0" w:space="0" w:color="auto"/>
        <w:right w:val="none" w:sz="0" w:space="0" w:color="auto"/>
      </w:divBdr>
    </w:div>
    <w:div w:id="941687883">
      <w:bodyDiv w:val="1"/>
      <w:marLeft w:val="0"/>
      <w:marRight w:val="0"/>
      <w:marTop w:val="0"/>
      <w:marBottom w:val="0"/>
      <w:divBdr>
        <w:top w:val="none" w:sz="0" w:space="0" w:color="auto"/>
        <w:left w:val="none" w:sz="0" w:space="0" w:color="auto"/>
        <w:bottom w:val="none" w:sz="0" w:space="0" w:color="auto"/>
        <w:right w:val="none" w:sz="0" w:space="0" w:color="auto"/>
      </w:divBdr>
    </w:div>
    <w:div w:id="94341450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0430577">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4556088">
      <w:bodyDiv w:val="1"/>
      <w:marLeft w:val="0"/>
      <w:marRight w:val="0"/>
      <w:marTop w:val="0"/>
      <w:marBottom w:val="0"/>
      <w:divBdr>
        <w:top w:val="none" w:sz="0" w:space="0" w:color="auto"/>
        <w:left w:val="none" w:sz="0" w:space="0" w:color="auto"/>
        <w:bottom w:val="none" w:sz="0" w:space="0" w:color="auto"/>
        <w:right w:val="none" w:sz="0" w:space="0" w:color="auto"/>
      </w:divBdr>
    </w:div>
    <w:div w:id="955256250">
      <w:bodyDiv w:val="1"/>
      <w:marLeft w:val="0"/>
      <w:marRight w:val="0"/>
      <w:marTop w:val="0"/>
      <w:marBottom w:val="0"/>
      <w:divBdr>
        <w:top w:val="none" w:sz="0" w:space="0" w:color="auto"/>
        <w:left w:val="none" w:sz="0" w:space="0" w:color="auto"/>
        <w:bottom w:val="none" w:sz="0" w:space="0" w:color="auto"/>
        <w:right w:val="none" w:sz="0" w:space="0" w:color="auto"/>
      </w:divBdr>
    </w:div>
    <w:div w:id="957567863">
      <w:bodyDiv w:val="1"/>
      <w:marLeft w:val="0"/>
      <w:marRight w:val="0"/>
      <w:marTop w:val="0"/>
      <w:marBottom w:val="0"/>
      <w:divBdr>
        <w:top w:val="none" w:sz="0" w:space="0" w:color="auto"/>
        <w:left w:val="none" w:sz="0" w:space="0" w:color="auto"/>
        <w:bottom w:val="none" w:sz="0" w:space="0" w:color="auto"/>
        <w:right w:val="none" w:sz="0" w:space="0" w:color="auto"/>
      </w:divBdr>
    </w:div>
    <w:div w:id="961502154">
      <w:bodyDiv w:val="1"/>
      <w:marLeft w:val="0"/>
      <w:marRight w:val="0"/>
      <w:marTop w:val="0"/>
      <w:marBottom w:val="0"/>
      <w:divBdr>
        <w:top w:val="none" w:sz="0" w:space="0" w:color="auto"/>
        <w:left w:val="none" w:sz="0" w:space="0" w:color="auto"/>
        <w:bottom w:val="none" w:sz="0" w:space="0" w:color="auto"/>
        <w:right w:val="none" w:sz="0" w:space="0" w:color="auto"/>
      </w:divBdr>
      <w:divsChild>
        <w:div w:id="693265229">
          <w:marLeft w:val="0"/>
          <w:marRight w:val="0"/>
          <w:marTop w:val="0"/>
          <w:marBottom w:val="0"/>
          <w:divBdr>
            <w:top w:val="none" w:sz="0" w:space="0" w:color="auto"/>
            <w:left w:val="none" w:sz="0" w:space="0" w:color="auto"/>
            <w:bottom w:val="none" w:sz="0" w:space="0" w:color="auto"/>
            <w:right w:val="none" w:sz="0" w:space="0" w:color="auto"/>
          </w:divBdr>
        </w:div>
      </w:divsChild>
    </w:div>
    <w:div w:id="965085253">
      <w:bodyDiv w:val="1"/>
      <w:marLeft w:val="0"/>
      <w:marRight w:val="0"/>
      <w:marTop w:val="0"/>
      <w:marBottom w:val="0"/>
      <w:divBdr>
        <w:top w:val="none" w:sz="0" w:space="0" w:color="auto"/>
        <w:left w:val="none" w:sz="0" w:space="0" w:color="auto"/>
        <w:bottom w:val="none" w:sz="0" w:space="0" w:color="auto"/>
        <w:right w:val="none" w:sz="0" w:space="0" w:color="auto"/>
      </w:divBdr>
    </w:div>
    <w:div w:id="967248649">
      <w:bodyDiv w:val="1"/>
      <w:marLeft w:val="0"/>
      <w:marRight w:val="0"/>
      <w:marTop w:val="0"/>
      <w:marBottom w:val="0"/>
      <w:divBdr>
        <w:top w:val="none" w:sz="0" w:space="0" w:color="auto"/>
        <w:left w:val="none" w:sz="0" w:space="0" w:color="auto"/>
        <w:bottom w:val="none" w:sz="0" w:space="0" w:color="auto"/>
        <w:right w:val="none" w:sz="0" w:space="0" w:color="auto"/>
      </w:divBdr>
    </w:div>
    <w:div w:id="97001918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79773119">
      <w:bodyDiv w:val="1"/>
      <w:marLeft w:val="0"/>
      <w:marRight w:val="0"/>
      <w:marTop w:val="0"/>
      <w:marBottom w:val="0"/>
      <w:divBdr>
        <w:top w:val="none" w:sz="0" w:space="0" w:color="auto"/>
        <w:left w:val="none" w:sz="0" w:space="0" w:color="auto"/>
        <w:bottom w:val="none" w:sz="0" w:space="0" w:color="auto"/>
        <w:right w:val="none" w:sz="0" w:space="0" w:color="auto"/>
      </w:divBdr>
    </w:div>
    <w:div w:id="980497923">
      <w:bodyDiv w:val="1"/>
      <w:marLeft w:val="0"/>
      <w:marRight w:val="0"/>
      <w:marTop w:val="0"/>
      <w:marBottom w:val="0"/>
      <w:divBdr>
        <w:top w:val="none" w:sz="0" w:space="0" w:color="auto"/>
        <w:left w:val="none" w:sz="0" w:space="0" w:color="auto"/>
        <w:bottom w:val="none" w:sz="0" w:space="0" w:color="auto"/>
        <w:right w:val="none" w:sz="0" w:space="0" w:color="auto"/>
      </w:divBdr>
    </w:div>
    <w:div w:id="985013797">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5182791">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999770621">
      <w:bodyDiv w:val="1"/>
      <w:marLeft w:val="0"/>
      <w:marRight w:val="0"/>
      <w:marTop w:val="0"/>
      <w:marBottom w:val="0"/>
      <w:divBdr>
        <w:top w:val="none" w:sz="0" w:space="0" w:color="auto"/>
        <w:left w:val="none" w:sz="0" w:space="0" w:color="auto"/>
        <w:bottom w:val="none" w:sz="0" w:space="0" w:color="auto"/>
        <w:right w:val="none" w:sz="0" w:space="0" w:color="auto"/>
      </w:divBdr>
    </w:div>
    <w:div w:id="1002244106">
      <w:bodyDiv w:val="1"/>
      <w:marLeft w:val="0"/>
      <w:marRight w:val="0"/>
      <w:marTop w:val="0"/>
      <w:marBottom w:val="0"/>
      <w:divBdr>
        <w:top w:val="none" w:sz="0" w:space="0" w:color="auto"/>
        <w:left w:val="none" w:sz="0" w:space="0" w:color="auto"/>
        <w:bottom w:val="none" w:sz="0" w:space="0" w:color="auto"/>
        <w:right w:val="none" w:sz="0" w:space="0" w:color="auto"/>
      </w:divBdr>
    </w:div>
    <w:div w:id="1002969706">
      <w:bodyDiv w:val="1"/>
      <w:marLeft w:val="0"/>
      <w:marRight w:val="0"/>
      <w:marTop w:val="0"/>
      <w:marBottom w:val="0"/>
      <w:divBdr>
        <w:top w:val="none" w:sz="0" w:space="0" w:color="auto"/>
        <w:left w:val="none" w:sz="0" w:space="0" w:color="auto"/>
        <w:bottom w:val="none" w:sz="0" w:space="0" w:color="auto"/>
        <w:right w:val="none" w:sz="0" w:space="0" w:color="auto"/>
      </w:divBdr>
    </w:div>
    <w:div w:id="1008945452">
      <w:bodyDiv w:val="1"/>
      <w:marLeft w:val="0"/>
      <w:marRight w:val="0"/>
      <w:marTop w:val="0"/>
      <w:marBottom w:val="0"/>
      <w:divBdr>
        <w:top w:val="none" w:sz="0" w:space="0" w:color="auto"/>
        <w:left w:val="none" w:sz="0" w:space="0" w:color="auto"/>
        <w:bottom w:val="none" w:sz="0" w:space="0" w:color="auto"/>
        <w:right w:val="none" w:sz="0" w:space="0" w:color="auto"/>
      </w:divBdr>
      <w:divsChild>
        <w:div w:id="1783377881">
          <w:marLeft w:val="0"/>
          <w:marRight w:val="0"/>
          <w:marTop w:val="0"/>
          <w:marBottom w:val="0"/>
          <w:divBdr>
            <w:top w:val="none" w:sz="0" w:space="0" w:color="auto"/>
            <w:left w:val="none" w:sz="0" w:space="0" w:color="auto"/>
            <w:bottom w:val="none" w:sz="0" w:space="0" w:color="auto"/>
            <w:right w:val="none" w:sz="0" w:space="0" w:color="auto"/>
          </w:divBdr>
        </w:div>
      </w:divsChild>
    </w:div>
    <w:div w:id="1010523143">
      <w:bodyDiv w:val="1"/>
      <w:marLeft w:val="0"/>
      <w:marRight w:val="0"/>
      <w:marTop w:val="0"/>
      <w:marBottom w:val="0"/>
      <w:divBdr>
        <w:top w:val="none" w:sz="0" w:space="0" w:color="auto"/>
        <w:left w:val="none" w:sz="0" w:space="0" w:color="auto"/>
        <w:bottom w:val="none" w:sz="0" w:space="0" w:color="auto"/>
        <w:right w:val="none" w:sz="0" w:space="0" w:color="auto"/>
      </w:divBdr>
    </w:div>
    <w:div w:id="1017805340">
      <w:bodyDiv w:val="1"/>
      <w:marLeft w:val="0"/>
      <w:marRight w:val="0"/>
      <w:marTop w:val="0"/>
      <w:marBottom w:val="0"/>
      <w:divBdr>
        <w:top w:val="none" w:sz="0" w:space="0" w:color="auto"/>
        <w:left w:val="none" w:sz="0" w:space="0" w:color="auto"/>
        <w:bottom w:val="none" w:sz="0" w:space="0" w:color="auto"/>
        <w:right w:val="none" w:sz="0" w:space="0" w:color="auto"/>
      </w:divBdr>
    </w:div>
    <w:div w:id="1022049353">
      <w:bodyDiv w:val="1"/>
      <w:marLeft w:val="0"/>
      <w:marRight w:val="0"/>
      <w:marTop w:val="0"/>
      <w:marBottom w:val="0"/>
      <w:divBdr>
        <w:top w:val="none" w:sz="0" w:space="0" w:color="auto"/>
        <w:left w:val="none" w:sz="0" w:space="0" w:color="auto"/>
        <w:bottom w:val="none" w:sz="0" w:space="0" w:color="auto"/>
        <w:right w:val="none" w:sz="0" w:space="0" w:color="auto"/>
      </w:divBdr>
    </w:div>
    <w:div w:id="1026716762">
      <w:bodyDiv w:val="1"/>
      <w:marLeft w:val="0"/>
      <w:marRight w:val="0"/>
      <w:marTop w:val="0"/>
      <w:marBottom w:val="0"/>
      <w:divBdr>
        <w:top w:val="none" w:sz="0" w:space="0" w:color="auto"/>
        <w:left w:val="none" w:sz="0" w:space="0" w:color="auto"/>
        <w:bottom w:val="none" w:sz="0" w:space="0" w:color="auto"/>
        <w:right w:val="none" w:sz="0" w:space="0" w:color="auto"/>
      </w:divBdr>
    </w:div>
    <w:div w:id="1029843593">
      <w:bodyDiv w:val="1"/>
      <w:marLeft w:val="0"/>
      <w:marRight w:val="0"/>
      <w:marTop w:val="0"/>
      <w:marBottom w:val="0"/>
      <w:divBdr>
        <w:top w:val="none" w:sz="0" w:space="0" w:color="auto"/>
        <w:left w:val="none" w:sz="0" w:space="0" w:color="auto"/>
        <w:bottom w:val="none" w:sz="0" w:space="0" w:color="auto"/>
        <w:right w:val="none" w:sz="0" w:space="0" w:color="auto"/>
      </w:divBdr>
    </w:div>
    <w:div w:id="1036270014">
      <w:bodyDiv w:val="1"/>
      <w:marLeft w:val="0"/>
      <w:marRight w:val="0"/>
      <w:marTop w:val="0"/>
      <w:marBottom w:val="0"/>
      <w:divBdr>
        <w:top w:val="none" w:sz="0" w:space="0" w:color="auto"/>
        <w:left w:val="none" w:sz="0" w:space="0" w:color="auto"/>
        <w:bottom w:val="none" w:sz="0" w:space="0" w:color="auto"/>
        <w:right w:val="none" w:sz="0" w:space="0" w:color="auto"/>
      </w:divBdr>
    </w:div>
    <w:div w:id="1037777010">
      <w:bodyDiv w:val="1"/>
      <w:marLeft w:val="0"/>
      <w:marRight w:val="0"/>
      <w:marTop w:val="0"/>
      <w:marBottom w:val="0"/>
      <w:divBdr>
        <w:top w:val="none" w:sz="0" w:space="0" w:color="auto"/>
        <w:left w:val="none" w:sz="0" w:space="0" w:color="auto"/>
        <w:bottom w:val="none" w:sz="0" w:space="0" w:color="auto"/>
        <w:right w:val="none" w:sz="0" w:space="0" w:color="auto"/>
      </w:divBdr>
      <w:divsChild>
        <w:div w:id="1994139896">
          <w:marLeft w:val="0"/>
          <w:marRight w:val="0"/>
          <w:marTop w:val="0"/>
          <w:marBottom w:val="0"/>
          <w:divBdr>
            <w:top w:val="none" w:sz="0" w:space="0" w:color="auto"/>
            <w:left w:val="none" w:sz="0" w:space="0" w:color="auto"/>
            <w:bottom w:val="none" w:sz="0" w:space="0" w:color="auto"/>
            <w:right w:val="none" w:sz="0" w:space="0" w:color="auto"/>
          </w:divBdr>
        </w:div>
      </w:divsChild>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40711693">
      <w:bodyDiv w:val="1"/>
      <w:marLeft w:val="0"/>
      <w:marRight w:val="0"/>
      <w:marTop w:val="0"/>
      <w:marBottom w:val="0"/>
      <w:divBdr>
        <w:top w:val="none" w:sz="0" w:space="0" w:color="auto"/>
        <w:left w:val="none" w:sz="0" w:space="0" w:color="auto"/>
        <w:bottom w:val="none" w:sz="0" w:space="0" w:color="auto"/>
        <w:right w:val="none" w:sz="0" w:space="0" w:color="auto"/>
      </w:divBdr>
      <w:divsChild>
        <w:div w:id="1361013642">
          <w:marLeft w:val="0"/>
          <w:marRight w:val="0"/>
          <w:marTop w:val="0"/>
          <w:marBottom w:val="0"/>
          <w:divBdr>
            <w:top w:val="none" w:sz="0" w:space="0" w:color="auto"/>
            <w:left w:val="none" w:sz="0" w:space="0" w:color="auto"/>
            <w:bottom w:val="none" w:sz="0" w:space="0" w:color="auto"/>
            <w:right w:val="none" w:sz="0" w:space="0" w:color="auto"/>
          </w:divBdr>
        </w:div>
      </w:divsChild>
    </w:div>
    <w:div w:id="1052509078">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5400181">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743956">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095442808">
      <w:bodyDiv w:val="1"/>
      <w:marLeft w:val="0"/>
      <w:marRight w:val="0"/>
      <w:marTop w:val="0"/>
      <w:marBottom w:val="0"/>
      <w:divBdr>
        <w:top w:val="none" w:sz="0" w:space="0" w:color="auto"/>
        <w:left w:val="none" w:sz="0" w:space="0" w:color="auto"/>
        <w:bottom w:val="none" w:sz="0" w:space="0" w:color="auto"/>
        <w:right w:val="none" w:sz="0" w:space="0" w:color="auto"/>
      </w:divBdr>
    </w:div>
    <w:div w:id="1099563873">
      <w:bodyDiv w:val="1"/>
      <w:marLeft w:val="0"/>
      <w:marRight w:val="0"/>
      <w:marTop w:val="0"/>
      <w:marBottom w:val="0"/>
      <w:divBdr>
        <w:top w:val="none" w:sz="0" w:space="0" w:color="auto"/>
        <w:left w:val="none" w:sz="0" w:space="0" w:color="auto"/>
        <w:bottom w:val="none" w:sz="0" w:space="0" w:color="auto"/>
        <w:right w:val="none" w:sz="0" w:space="0" w:color="auto"/>
      </w:divBdr>
    </w:div>
    <w:div w:id="1111360562">
      <w:bodyDiv w:val="1"/>
      <w:marLeft w:val="0"/>
      <w:marRight w:val="0"/>
      <w:marTop w:val="0"/>
      <w:marBottom w:val="0"/>
      <w:divBdr>
        <w:top w:val="none" w:sz="0" w:space="0" w:color="auto"/>
        <w:left w:val="none" w:sz="0" w:space="0" w:color="auto"/>
        <w:bottom w:val="none" w:sz="0" w:space="0" w:color="auto"/>
        <w:right w:val="none" w:sz="0" w:space="0" w:color="auto"/>
      </w:divBdr>
    </w:div>
    <w:div w:id="111321038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19571050">
      <w:bodyDiv w:val="1"/>
      <w:marLeft w:val="0"/>
      <w:marRight w:val="0"/>
      <w:marTop w:val="0"/>
      <w:marBottom w:val="0"/>
      <w:divBdr>
        <w:top w:val="none" w:sz="0" w:space="0" w:color="auto"/>
        <w:left w:val="none" w:sz="0" w:space="0" w:color="auto"/>
        <w:bottom w:val="none" w:sz="0" w:space="0" w:color="auto"/>
        <w:right w:val="none" w:sz="0" w:space="0" w:color="auto"/>
      </w:divBdr>
    </w:div>
    <w:div w:id="11248834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7986642">
      <w:bodyDiv w:val="1"/>
      <w:marLeft w:val="0"/>
      <w:marRight w:val="0"/>
      <w:marTop w:val="0"/>
      <w:marBottom w:val="0"/>
      <w:divBdr>
        <w:top w:val="none" w:sz="0" w:space="0" w:color="auto"/>
        <w:left w:val="none" w:sz="0" w:space="0" w:color="auto"/>
        <w:bottom w:val="none" w:sz="0" w:space="0" w:color="auto"/>
        <w:right w:val="none" w:sz="0" w:space="0" w:color="auto"/>
      </w:divBdr>
    </w:div>
    <w:div w:id="1143734990">
      <w:bodyDiv w:val="1"/>
      <w:marLeft w:val="0"/>
      <w:marRight w:val="0"/>
      <w:marTop w:val="0"/>
      <w:marBottom w:val="0"/>
      <w:divBdr>
        <w:top w:val="none" w:sz="0" w:space="0" w:color="auto"/>
        <w:left w:val="none" w:sz="0" w:space="0" w:color="auto"/>
        <w:bottom w:val="none" w:sz="0" w:space="0" w:color="auto"/>
        <w:right w:val="none" w:sz="0" w:space="0" w:color="auto"/>
      </w:divBdr>
    </w:div>
    <w:div w:id="1143893632">
      <w:bodyDiv w:val="1"/>
      <w:marLeft w:val="0"/>
      <w:marRight w:val="0"/>
      <w:marTop w:val="0"/>
      <w:marBottom w:val="0"/>
      <w:divBdr>
        <w:top w:val="none" w:sz="0" w:space="0" w:color="auto"/>
        <w:left w:val="none" w:sz="0" w:space="0" w:color="auto"/>
        <w:bottom w:val="none" w:sz="0" w:space="0" w:color="auto"/>
        <w:right w:val="none" w:sz="0" w:space="0" w:color="auto"/>
      </w:divBdr>
      <w:divsChild>
        <w:div w:id="146438971">
          <w:marLeft w:val="0"/>
          <w:marRight w:val="0"/>
          <w:marTop w:val="0"/>
          <w:marBottom w:val="0"/>
          <w:divBdr>
            <w:top w:val="none" w:sz="0" w:space="0" w:color="auto"/>
            <w:left w:val="none" w:sz="0" w:space="0" w:color="auto"/>
            <w:bottom w:val="none" w:sz="0" w:space="0" w:color="auto"/>
            <w:right w:val="none" w:sz="0" w:space="0" w:color="auto"/>
          </w:divBdr>
        </w:div>
      </w:divsChild>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869307">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101674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13422993">
      <w:bodyDiv w:val="1"/>
      <w:marLeft w:val="0"/>
      <w:marRight w:val="0"/>
      <w:marTop w:val="0"/>
      <w:marBottom w:val="0"/>
      <w:divBdr>
        <w:top w:val="none" w:sz="0" w:space="0" w:color="auto"/>
        <w:left w:val="none" w:sz="0" w:space="0" w:color="auto"/>
        <w:bottom w:val="none" w:sz="0" w:space="0" w:color="auto"/>
        <w:right w:val="none" w:sz="0" w:space="0" w:color="auto"/>
      </w:divBdr>
    </w:div>
    <w:div w:id="1217857677">
      <w:bodyDiv w:val="1"/>
      <w:marLeft w:val="0"/>
      <w:marRight w:val="0"/>
      <w:marTop w:val="0"/>
      <w:marBottom w:val="0"/>
      <w:divBdr>
        <w:top w:val="none" w:sz="0" w:space="0" w:color="auto"/>
        <w:left w:val="none" w:sz="0" w:space="0" w:color="auto"/>
        <w:bottom w:val="none" w:sz="0" w:space="0" w:color="auto"/>
        <w:right w:val="none" w:sz="0" w:space="0" w:color="auto"/>
      </w:divBdr>
    </w:div>
    <w:div w:id="1219977032">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1818598">
      <w:bodyDiv w:val="1"/>
      <w:marLeft w:val="0"/>
      <w:marRight w:val="0"/>
      <w:marTop w:val="0"/>
      <w:marBottom w:val="0"/>
      <w:divBdr>
        <w:top w:val="none" w:sz="0" w:space="0" w:color="auto"/>
        <w:left w:val="none" w:sz="0" w:space="0" w:color="auto"/>
        <w:bottom w:val="none" w:sz="0" w:space="0" w:color="auto"/>
        <w:right w:val="none" w:sz="0" w:space="0" w:color="auto"/>
      </w:divBdr>
    </w:div>
    <w:div w:id="1227451257">
      <w:bodyDiv w:val="1"/>
      <w:marLeft w:val="0"/>
      <w:marRight w:val="0"/>
      <w:marTop w:val="0"/>
      <w:marBottom w:val="0"/>
      <w:divBdr>
        <w:top w:val="none" w:sz="0" w:space="0" w:color="auto"/>
        <w:left w:val="none" w:sz="0" w:space="0" w:color="auto"/>
        <w:bottom w:val="none" w:sz="0" w:space="0" w:color="auto"/>
        <w:right w:val="none" w:sz="0" w:space="0" w:color="auto"/>
      </w:divBdr>
      <w:divsChild>
        <w:div w:id="389235728">
          <w:marLeft w:val="0"/>
          <w:marRight w:val="0"/>
          <w:marTop w:val="0"/>
          <w:marBottom w:val="0"/>
          <w:divBdr>
            <w:top w:val="none" w:sz="0" w:space="0" w:color="auto"/>
            <w:left w:val="none" w:sz="0" w:space="0" w:color="auto"/>
            <w:bottom w:val="none" w:sz="0" w:space="0" w:color="auto"/>
            <w:right w:val="none" w:sz="0" w:space="0" w:color="auto"/>
          </w:divBdr>
        </w:div>
      </w:divsChild>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28108308">
      <w:bodyDiv w:val="1"/>
      <w:marLeft w:val="0"/>
      <w:marRight w:val="0"/>
      <w:marTop w:val="0"/>
      <w:marBottom w:val="0"/>
      <w:divBdr>
        <w:top w:val="none" w:sz="0" w:space="0" w:color="auto"/>
        <w:left w:val="none" w:sz="0" w:space="0" w:color="auto"/>
        <w:bottom w:val="none" w:sz="0" w:space="0" w:color="auto"/>
        <w:right w:val="none" w:sz="0" w:space="0" w:color="auto"/>
      </w:divBdr>
    </w:div>
    <w:div w:id="1241450925">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1524323">
      <w:bodyDiv w:val="1"/>
      <w:marLeft w:val="0"/>
      <w:marRight w:val="0"/>
      <w:marTop w:val="0"/>
      <w:marBottom w:val="0"/>
      <w:divBdr>
        <w:top w:val="none" w:sz="0" w:space="0" w:color="auto"/>
        <w:left w:val="none" w:sz="0" w:space="0" w:color="auto"/>
        <w:bottom w:val="none" w:sz="0" w:space="0" w:color="auto"/>
        <w:right w:val="none" w:sz="0" w:space="0" w:color="auto"/>
      </w:divBdr>
    </w:div>
    <w:div w:id="1261572122">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1083430">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716168">
      <w:bodyDiv w:val="1"/>
      <w:marLeft w:val="0"/>
      <w:marRight w:val="0"/>
      <w:marTop w:val="0"/>
      <w:marBottom w:val="0"/>
      <w:divBdr>
        <w:top w:val="none" w:sz="0" w:space="0" w:color="auto"/>
        <w:left w:val="none" w:sz="0" w:space="0" w:color="auto"/>
        <w:bottom w:val="none" w:sz="0" w:space="0" w:color="auto"/>
        <w:right w:val="none" w:sz="0" w:space="0" w:color="auto"/>
      </w:divBdr>
    </w:div>
    <w:div w:id="1278681942">
      <w:bodyDiv w:val="1"/>
      <w:marLeft w:val="0"/>
      <w:marRight w:val="0"/>
      <w:marTop w:val="0"/>
      <w:marBottom w:val="0"/>
      <w:divBdr>
        <w:top w:val="none" w:sz="0" w:space="0" w:color="auto"/>
        <w:left w:val="none" w:sz="0" w:space="0" w:color="auto"/>
        <w:bottom w:val="none" w:sz="0" w:space="0" w:color="auto"/>
        <w:right w:val="none" w:sz="0" w:space="0" w:color="auto"/>
      </w:divBdr>
    </w:div>
    <w:div w:id="1281381875">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2176392">
      <w:bodyDiv w:val="1"/>
      <w:marLeft w:val="0"/>
      <w:marRight w:val="0"/>
      <w:marTop w:val="0"/>
      <w:marBottom w:val="0"/>
      <w:divBdr>
        <w:top w:val="none" w:sz="0" w:space="0" w:color="auto"/>
        <w:left w:val="none" w:sz="0" w:space="0" w:color="auto"/>
        <w:bottom w:val="none" w:sz="0" w:space="0" w:color="auto"/>
        <w:right w:val="none" w:sz="0" w:space="0" w:color="auto"/>
      </w:divBdr>
    </w:div>
    <w:div w:id="1297250469">
      <w:bodyDiv w:val="1"/>
      <w:marLeft w:val="0"/>
      <w:marRight w:val="0"/>
      <w:marTop w:val="0"/>
      <w:marBottom w:val="0"/>
      <w:divBdr>
        <w:top w:val="none" w:sz="0" w:space="0" w:color="auto"/>
        <w:left w:val="none" w:sz="0" w:space="0" w:color="auto"/>
        <w:bottom w:val="none" w:sz="0" w:space="0" w:color="auto"/>
        <w:right w:val="none" w:sz="0" w:space="0" w:color="auto"/>
      </w:divBdr>
    </w:div>
    <w:div w:id="1304433169">
      <w:bodyDiv w:val="1"/>
      <w:marLeft w:val="0"/>
      <w:marRight w:val="0"/>
      <w:marTop w:val="0"/>
      <w:marBottom w:val="0"/>
      <w:divBdr>
        <w:top w:val="none" w:sz="0" w:space="0" w:color="auto"/>
        <w:left w:val="none" w:sz="0" w:space="0" w:color="auto"/>
        <w:bottom w:val="none" w:sz="0" w:space="0" w:color="auto"/>
        <w:right w:val="none" w:sz="0" w:space="0" w:color="auto"/>
      </w:divBdr>
    </w:div>
    <w:div w:id="1305158382">
      <w:bodyDiv w:val="1"/>
      <w:marLeft w:val="0"/>
      <w:marRight w:val="0"/>
      <w:marTop w:val="0"/>
      <w:marBottom w:val="0"/>
      <w:divBdr>
        <w:top w:val="none" w:sz="0" w:space="0" w:color="auto"/>
        <w:left w:val="none" w:sz="0" w:space="0" w:color="auto"/>
        <w:bottom w:val="none" w:sz="0" w:space="0" w:color="auto"/>
        <w:right w:val="none" w:sz="0" w:space="0" w:color="auto"/>
      </w:divBdr>
    </w:div>
    <w:div w:id="1308054223">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6277390">
      <w:bodyDiv w:val="1"/>
      <w:marLeft w:val="0"/>
      <w:marRight w:val="0"/>
      <w:marTop w:val="0"/>
      <w:marBottom w:val="0"/>
      <w:divBdr>
        <w:top w:val="none" w:sz="0" w:space="0" w:color="auto"/>
        <w:left w:val="none" w:sz="0" w:space="0" w:color="auto"/>
        <w:bottom w:val="none" w:sz="0" w:space="0" w:color="auto"/>
        <w:right w:val="none" w:sz="0" w:space="0" w:color="auto"/>
      </w:divBdr>
    </w:div>
    <w:div w:id="1327786564">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1172823">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40429973">
      <w:bodyDiv w:val="1"/>
      <w:marLeft w:val="0"/>
      <w:marRight w:val="0"/>
      <w:marTop w:val="0"/>
      <w:marBottom w:val="0"/>
      <w:divBdr>
        <w:top w:val="none" w:sz="0" w:space="0" w:color="auto"/>
        <w:left w:val="none" w:sz="0" w:space="0" w:color="auto"/>
        <w:bottom w:val="none" w:sz="0" w:space="0" w:color="auto"/>
        <w:right w:val="none" w:sz="0" w:space="0" w:color="auto"/>
      </w:divBdr>
    </w:div>
    <w:div w:id="1345791376">
      <w:bodyDiv w:val="1"/>
      <w:marLeft w:val="0"/>
      <w:marRight w:val="0"/>
      <w:marTop w:val="0"/>
      <w:marBottom w:val="0"/>
      <w:divBdr>
        <w:top w:val="none" w:sz="0" w:space="0" w:color="auto"/>
        <w:left w:val="none" w:sz="0" w:space="0" w:color="auto"/>
        <w:bottom w:val="none" w:sz="0" w:space="0" w:color="auto"/>
        <w:right w:val="none" w:sz="0" w:space="0" w:color="auto"/>
      </w:divBdr>
    </w:div>
    <w:div w:id="1360006339">
      <w:bodyDiv w:val="1"/>
      <w:marLeft w:val="0"/>
      <w:marRight w:val="0"/>
      <w:marTop w:val="0"/>
      <w:marBottom w:val="0"/>
      <w:divBdr>
        <w:top w:val="none" w:sz="0" w:space="0" w:color="auto"/>
        <w:left w:val="none" w:sz="0" w:space="0" w:color="auto"/>
        <w:bottom w:val="none" w:sz="0" w:space="0" w:color="auto"/>
        <w:right w:val="none" w:sz="0" w:space="0" w:color="auto"/>
      </w:divBdr>
    </w:div>
    <w:div w:id="1362779541">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6638386">
      <w:bodyDiv w:val="1"/>
      <w:marLeft w:val="0"/>
      <w:marRight w:val="0"/>
      <w:marTop w:val="0"/>
      <w:marBottom w:val="0"/>
      <w:divBdr>
        <w:top w:val="none" w:sz="0" w:space="0" w:color="auto"/>
        <w:left w:val="none" w:sz="0" w:space="0" w:color="auto"/>
        <w:bottom w:val="none" w:sz="0" w:space="0" w:color="auto"/>
        <w:right w:val="none" w:sz="0" w:space="0" w:color="auto"/>
      </w:divBdr>
    </w:div>
    <w:div w:id="1371686932">
      <w:bodyDiv w:val="1"/>
      <w:marLeft w:val="0"/>
      <w:marRight w:val="0"/>
      <w:marTop w:val="0"/>
      <w:marBottom w:val="0"/>
      <w:divBdr>
        <w:top w:val="none" w:sz="0" w:space="0" w:color="auto"/>
        <w:left w:val="none" w:sz="0" w:space="0" w:color="auto"/>
        <w:bottom w:val="none" w:sz="0" w:space="0" w:color="auto"/>
        <w:right w:val="none" w:sz="0" w:space="0" w:color="auto"/>
      </w:divBdr>
    </w:div>
    <w:div w:id="137226431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5618002">
      <w:bodyDiv w:val="1"/>
      <w:marLeft w:val="0"/>
      <w:marRight w:val="0"/>
      <w:marTop w:val="0"/>
      <w:marBottom w:val="0"/>
      <w:divBdr>
        <w:top w:val="none" w:sz="0" w:space="0" w:color="auto"/>
        <w:left w:val="none" w:sz="0" w:space="0" w:color="auto"/>
        <w:bottom w:val="none" w:sz="0" w:space="0" w:color="auto"/>
        <w:right w:val="none" w:sz="0" w:space="0" w:color="auto"/>
      </w:divBdr>
    </w:div>
    <w:div w:id="1377582857">
      <w:bodyDiv w:val="1"/>
      <w:marLeft w:val="0"/>
      <w:marRight w:val="0"/>
      <w:marTop w:val="0"/>
      <w:marBottom w:val="0"/>
      <w:divBdr>
        <w:top w:val="none" w:sz="0" w:space="0" w:color="auto"/>
        <w:left w:val="none" w:sz="0" w:space="0" w:color="auto"/>
        <w:bottom w:val="none" w:sz="0" w:space="0" w:color="auto"/>
        <w:right w:val="none" w:sz="0" w:space="0" w:color="auto"/>
      </w:divBdr>
    </w:div>
    <w:div w:id="1380205011">
      <w:bodyDiv w:val="1"/>
      <w:marLeft w:val="0"/>
      <w:marRight w:val="0"/>
      <w:marTop w:val="0"/>
      <w:marBottom w:val="0"/>
      <w:divBdr>
        <w:top w:val="none" w:sz="0" w:space="0" w:color="auto"/>
        <w:left w:val="none" w:sz="0" w:space="0" w:color="auto"/>
        <w:bottom w:val="none" w:sz="0" w:space="0" w:color="auto"/>
        <w:right w:val="none" w:sz="0" w:space="0" w:color="auto"/>
      </w:divBdr>
    </w:div>
    <w:div w:id="1380520609">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5951965">
      <w:bodyDiv w:val="1"/>
      <w:marLeft w:val="0"/>
      <w:marRight w:val="0"/>
      <w:marTop w:val="0"/>
      <w:marBottom w:val="0"/>
      <w:divBdr>
        <w:top w:val="none" w:sz="0" w:space="0" w:color="auto"/>
        <w:left w:val="none" w:sz="0" w:space="0" w:color="auto"/>
        <w:bottom w:val="none" w:sz="0" w:space="0" w:color="auto"/>
        <w:right w:val="none" w:sz="0" w:space="0" w:color="auto"/>
      </w:divBdr>
    </w:div>
    <w:div w:id="140779839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25028425">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065789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2333606">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7576084">
      <w:bodyDiv w:val="1"/>
      <w:marLeft w:val="0"/>
      <w:marRight w:val="0"/>
      <w:marTop w:val="0"/>
      <w:marBottom w:val="0"/>
      <w:divBdr>
        <w:top w:val="none" w:sz="0" w:space="0" w:color="auto"/>
        <w:left w:val="none" w:sz="0" w:space="0" w:color="auto"/>
        <w:bottom w:val="none" w:sz="0" w:space="0" w:color="auto"/>
        <w:right w:val="none" w:sz="0" w:space="0" w:color="auto"/>
      </w:divBdr>
    </w:div>
    <w:div w:id="1452282243">
      <w:bodyDiv w:val="1"/>
      <w:marLeft w:val="0"/>
      <w:marRight w:val="0"/>
      <w:marTop w:val="0"/>
      <w:marBottom w:val="0"/>
      <w:divBdr>
        <w:top w:val="none" w:sz="0" w:space="0" w:color="auto"/>
        <w:left w:val="none" w:sz="0" w:space="0" w:color="auto"/>
        <w:bottom w:val="none" w:sz="0" w:space="0" w:color="auto"/>
        <w:right w:val="none" w:sz="0" w:space="0" w:color="auto"/>
      </w:divBdr>
    </w:div>
    <w:div w:id="1455637831">
      <w:bodyDiv w:val="1"/>
      <w:marLeft w:val="0"/>
      <w:marRight w:val="0"/>
      <w:marTop w:val="0"/>
      <w:marBottom w:val="0"/>
      <w:divBdr>
        <w:top w:val="none" w:sz="0" w:space="0" w:color="auto"/>
        <w:left w:val="none" w:sz="0" w:space="0" w:color="auto"/>
        <w:bottom w:val="none" w:sz="0" w:space="0" w:color="auto"/>
        <w:right w:val="none" w:sz="0" w:space="0" w:color="auto"/>
      </w:divBdr>
      <w:divsChild>
        <w:div w:id="776564052">
          <w:marLeft w:val="0"/>
          <w:marRight w:val="0"/>
          <w:marTop w:val="0"/>
          <w:marBottom w:val="0"/>
          <w:divBdr>
            <w:top w:val="none" w:sz="0" w:space="0" w:color="auto"/>
            <w:left w:val="none" w:sz="0" w:space="0" w:color="auto"/>
            <w:bottom w:val="none" w:sz="0" w:space="0" w:color="auto"/>
            <w:right w:val="none" w:sz="0" w:space="0" w:color="auto"/>
          </w:divBdr>
        </w:div>
      </w:divsChild>
    </w:div>
    <w:div w:id="1457720304">
      <w:bodyDiv w:val="1"/>
      <w:marLeft w:val="0"/>
      <w:marRight w:val="0"/>
      <w:marTop w:val="0"/>
      <w:marBottom w:val="0"/>
      <w:divBdr>
        <w:top w:val="none" w:sz="0" w:space="0" w:color="auto"/>
        <w:left w:val="none" w:sz="0" w:space="0" w:color="auto"/>
        <w:bottom w:val="none" w:sz="0" w:space="0" w:color="auto"/>
        <w:right w:val="none" w:sz="0" w:space="0" w:color="auto"/>
      </w:divBdr>
    </w:div>
    <w:div w:id="146573563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5536029">
      <w:bodyDiv w:val="1"/>
      <w:marLeft w:val="0"/>
      <w:marRight w:val="0"/>
      <w:marTop w:val="0"/>
      <w:marBottom w:val="0"/>
      <w:divBdr>
        <w:top w:val="none" w:sz="0" w:space="0" w:color="auto"/>
        <w:left w:val="none" w:sz="0" w:space="0" w:color="auto"/>
        <w:bottom w:val="none" w:sz="0" w:space="0" w:color="auto"/>
        <w:right w:val="none" w:sz="0" w:space="0" w:color="auto"/>
      </w:divBdr>
    </w:div>
    <w:div w:id="1538666204">
      <w:bodyDiv w:val="1"/>
      <w:marLeft w:val="0"/>
      <w:marRight w:val="0"/>
      <w:marTop w:val="0"/>
      <w:marBottom w:val="0"/>
      <w:divBdr>
        <w:top w:val="none" w:sz="0" w:space="0" w:color="auto"/>
        <w:left w:val="none" w:sz="0" w:space="0" w:color="auto"/>
        <w:bottom w:val="none" w:sz="0" w:space="0" w:color="auto"/>
        <w:right w:val="none" w:sz="0" w:space="0" w:color="auto"/>
      </w:divBdr>
    </w:div>
    <w:div w:id="1539783615">
      <w:bodyDiv w:val="1"/>
      <w:marLeft w:val="0"/>
      <w:marRight w:val="0"/>
      <w:marTop w:val="0"/>
      <w:marBottom w:val="0"/>
      <w:divBdr>
        <w:top w:val="none" w:sz="0" w:space="0" w:color="auto"/>
        <w:left w:val="none" w:sz="0" w:space="0" w:color="auto"/>
        <w:bottom w:val="none" w:sz="0" w:space="0" w:color="auto"/>
        <w:right w:val="none" w:sz="0" w:space="0" w:color="auto"/>
      </w:divBdr>
    </w:div>
    <w:div w:id="1542400679">
      <w:bodyDiv w:val="1"/>
      <w:marLeft w:val="0"/>
      <w:marRight w:val="0"/>
      <w:marTop w:val="0"/>
      <w:marBottom w:val="0"/>
      <w:divBdr>
        <w:top w:val="none" w:sz="0" w:space="0" w:color="auto"/>
        <w:left w:val="none" w:sz="0" w:space="0" w:color="auto"/>
        <w:bottom w:val="none" w:sz="0" w:space="0" w:color="auto"/>
        <w:right w:val="none" w:sz="0" w:space="0" w:color="auto"/>
      </w:divBdr>
      <w:divsChild>
        <w:div w:id="821657204">
          <w:marLeft w:val="0"/>
          <w:marRight w:val="0"/>
          <w:marTop w:val="0"/>
          <w:marBottom w:val="0"/>
          <w:divBdr>
            <w:top w:val="none" w:sz="0" w:space="0" w:color="auto"/>
            <w:left w:val="none" w:sz="0" w:space="0" w:color="auto"/>
            <w:bottom w:val="none" w:sz="0" w:space="0" w:color="auto"/>
            <w:right w:val="none" w:sz="0" w:space="0" w:color="auto"/>
          </w:divBdr>
        </w:div>
      </w:divsChild>
    </w:div>
    <w:div w:id="1550414460">
      <w:bodyDiv w:val="1"/>
      <w:marLeft w:val="0"/>
      <w:marRight w:val="0"/>
      <w:marTop w:val="0"/>
      <w:marBottom w:val="0"/>
      <w:divBdr>
        <w:top w:val="none" w:sz="0" w:space="0" w:color="auto"/>
        <w:left w:val="none" w:sz="0" w:space="0" w:color="auto"/>
        <w:bottom w:val="none" w:sz="0" w:space="0" w:color="auto"/>
        <w:right w:val="none" w:sz="0" w:space="0" w:color="auto"/>
      </w:divBdr>
    </w:div>
    <w:div w:id="1552961696">
      <w:bodyDiv w:val="1"/>
      <w:marLeft w:val="0"/>
      <w:marRight w:val="0"/>
      <w:marTop w:val="0"/>
      <w:marBottom w:val="0"/>
      <w:divBdr>
        <w:top w:val="none" w:sz="0" w:space="0" w:color="auto"/>
        <w:left w:val="none" w:sz="0" w:space="0" w:color="auto"/>
        <w:bottom w:val="none" w:sz="0" w:space="0" w:color="auto"/>
        <w:right w:val="none" w:sz="0" w:space="0" w:color="auto"/>
      </w:divBdr>
    </w:div>
    <w:div w:id="1553077231">
      <w:bodyDiv w:val="1"/>
      <w:marLeft w:val="0"/>
      <w:marRight w:val="0"/>
      <w:marTop w:val="0"/>
      <w:marBottom w:val="0"/>
      <w:divBdr>
        <w:top w:val="none" w:sz="0" w:space="0" w:color="auto"/>
        <w:left w:val="none" w:sz="0" w:space="0" w:color="auto"/>
        <w:bottom w:val="none" w:sz="0" w:space="0" w:color="auto"/>
        <w:right w:val="none" w:sz="0" w:space="0" w:color="auto"/>
      </w:divBdr>
    </w:div>
    <w:div w:id="1555967347">
      <w:bodyDiv w:val="1"/>
      <w:marLeft w:val="0"/>
      <w:marRight w:val="0"/>
      <w:marTop w:val="0"/>
      <w:marBottom w:val="0"/>
      <w:divBdr>
        <w:top w:val="none" w:sz="0" w:space="0" w:color="auto"/>
        <w:left w:val="none" w:sz="0" w:space="0" w:color="auto"/>
        <w:bottom w:val="none" w:sz="0" w:space="0" w:color="auto"/>
        <w:right w:val="none" w:sz="0" w:space="0" w:color="auto"/>
      </w:divBdr>
    </w:div>
    <w:div w:id="1561939067">
      <w:bodyDiv w:val="1"/>
      <w:marLeft w:val="0"/>
      <w:marRight w:val="0"/>
      <w:marTop w:val="0"/>
      <w:marBottom w:val="0"/>
      <w:divBdr>
        <w:top w:val="none" w:sz="0" w:space="0" w:color="auto"/>
        <w:left w:val="none" w:sz="0" w:space="0" w:color="auto"/>
        <w:bottom w:val="none" w:sz="0" w:space="0" w:color="auto"/>
        <w:right w:val="none" w:sz="0" w:space="0" w:color="auto"/>
      </w:divBdr>
    </w:div>
    <w:div w:id="157319954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4075503">
      <w:bodyDiv w:val="1"/>
      <w:marLeft w:val="0"/>
      <w:marRight w:val="0"/>
      <w:marTop w:val="0"/>
      <w:marBottom w:val="0"/>
      <w:divBdr>
        <w:top w:val="none" w:sz="0" w:space="0" w:color="auto"/>
        <w:left w:val="none" w:sz="0" w:space="0" w:color="auto"/>
        <w:bottom w:val="none" w:sz="0" w:space="0" w:color="auto"/>
        <w:right w:val="none" w:sz="0" w:space="0" w:color="auto"/>
      </w:divBdr>
    </w:div>
    <w:div w:id="1605184751">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28848946">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0258799">
      <w:bodyDiv w:val="1"/>
      <w:marLeft w:val="0"/>
      <w:marRight w:val="0"/>
      <w:marTop w:val="0"/>
      <w:marBottom w:val="0"/>
      <w:divBdr>
        <w:top w:val="none" w:sz="0" w:space="0" w:color="auto"/>
        <w:left w:val="none" w:sz="0" w:space="0" w:color="auto"/>
        <w:bottom w:val="none" w:sz="0" w:space="0" w:color="auto"/>
        <w:right w:val="none" w:sz="0" w:space="0" w:color="auto"/>
      </w:divBdr>
    </w:div>
    <w:div w:id="1646229504">
      <w:bodyDiv w:val="1"/>
      <w:marLeft w:val="0"/>
      <w:marRight w:val="0"/>
      <w:marTop w:val="0"/>
      <w:marBottom w:val="0"/>
      <w:divBdr>
        <w:top w:val="none" w:sz="0" w:space="0" w:color="auto"/>
        <w:left w:val="none" w:sz="0" w:space="0" w:color="auto"/>
        <w:bottom w:val="none" w:sz="0" w:space="0" w:color="auto"/>
        <w:right w:val="none" w:sz="0" w:space="0" w:color="auto"/>
      </w:divBdr>
    </w:div>
    <w:div w:id="1646743289">
      <w:bodyDiv w:val="1"/>
      <w:marLeft w:val="0"/>
      <w:marRight w:val="0"/>
      <w:marTop w:val="0"/>
      <w:marBottom w:val="0"/>
      <w:divBdr>
        <w:top w:val="none" w:sz="0" w:space="0" w:color="auto"/>
        <w:left w:val="none" w:sz="0" w:space="0" w:color="auto"/>
        <w:bottom w:val="none" w:sz="0" w:space="0" w:color="auto"/>
        <w:right w:val="none" w:sz="0" w:space="0" w:color="auto"/>
      </w:divBdr>
      <w:divsChild>
        <w:div w:id="1110513381">
          <w:marLeft w:val="0"/>
          <w:marRight w:val="0"/>
          <w:marTop w:val="0"/>
          <w:marBottom w:val="0"/>
          <w:divBdr>
            <w:top w:val="none" w:sz="0" w:space="0" w:color="auto"/>
            <w:left w:val="none" w:sz="0" w:space="0" w:color="auto"/>
            <w:bottom w:val="none" w:sz="0" w:space="0" w:color="auto"/>
            <w:right w:val="none" w:sz="0" w:space="0" w:color="auto"/>
          </w:divBdr>
        </w:div>
      </w:divsChild>
    </w:div>
    <w:div w:id="1648314831">
      <w:bodyDiv w:val="1"/>
      <w:marLeft w:val="0"/>
      <w:marRight w:val="0"/>
      <w:marTop w:val="0"/>
      <w:marBottom w:val="0"/>
      <w:divBdr>
        <w:top w:val="none" w:sz="0" w:space="0" w:color="auto"/>
        <w:left w:val="none" w:sz="0" w:space="0" w:color="auto"/>
        <w:bottom w:val="none" w:sz="0" w:space="0" w:color="auto"/>
        <w:right w:val="none" w:sz="0" w:space="0" w:color="auto"/>
      </w:divBdr>
    </w:div>
    <w:div w:id="1649823297">
      <w:bodyDiv w:val="1"/>
      <w:marLeft w:val="0"/>
      <w:marRight w:val="0"/>
      <w:marTop w:val="0"/>
      <w:marBottom w:val="0"/>
      <w:divBdr>
        <w:top w:val="none" w:sz="0" w:space="0" w:color="auto"/>
        <w:left w:val="none" w:sz="0" w:space="0" w:color="auto"/>
        <w:bottom w:val="none" w:sz="0" w:space="0" w:color="auto"/>
        <w:right w:val="none" w:sz="0" w:space="0" w:color="auto"/>
      </w:divBdr>
    </w:div>
    <w:div w:id="1650983473">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54217766">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3662560">
      <w:bodyDiv w:val="1"/>
      <w:marLeft w:val="0"/>
      <w:marRight w:val="0"/>
      <w:marTop w:val="0"/>
      <w:marBottom w:val="0"/>
      <w:divBdr>
        <w:top w:val="none" w:sz="0" w:space="0" w:color="auto"/>
        <w:left w:val="none" w:sz="0" w:space="0" w:color="auto"/>
        <w:bottom w:val="none" w:sz="0" w:space="0" w:color="auto"/>
        <w:right w:val="none" w:sz="0" w:space="0" w:color="auto"/>
      </w:divBdr>
      <w:divsChild>
        <w:div w:id="1211962906">
          <w:marLeft w:val="0"/>
          <w:marRight w:val="0"/>
          <w:marTop w:val="0"/>
          <w:marBottom w:val="0"/>
          <w:divBdr>
            <w:top w:val="none" w:sz="0" w:space="0" w:color="auto"/>
            <w:left w:val="none" w:sz="0" w:space="0" w:color="auto"/>
            <w:bottom w:val="none" w:sz="0" w:space="0" w:color="auto"/>
            <w:right w:val="none" w:sz="0" w:space="0" w:color="auto"/>
          </w:divBdr>
        </w:div>
      </w:divsChild>
    </w:div>
    <w:div w:id="166736783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85790773">
      <w:bodyDiv w:val="1"/>
      <w:marLeft w:val="0"/>
      <w:marRight w:val="0"/>
      <w:marTop w:val="0"/>
      <w:marBottom w:val="0"/>
      <w:divBdr>
        <w:top w:val="none" w:sz="0" w:space="0" w:color="auto"/>
        <w:left w:val="none" w:sz="0" w:space="0" w:color="auto"/>
        <w:bottom w:val="none" w:sz="0" w:space="0" w:color="auto"/>
        <w:right w:val="none" w:sz="0" w:space="0" w:color="auto"/>
      </w:divBdr>
    </w:div>
    <w:div w:id="1686442675">
      <w:bodyDiv w:val="1"/>
      <w:marLeft w:val="0"/>
      <w:marRight w:val="0"/>
      <w:marTop w:val="0"/>
      <w:marBottom w:val="0"/>
      <w:divBdr>
        <w:top w:val="none" w:sz="0" w:space="0" w:color="auto"/>
        <w:left w:val="none" w:sz="0" w:space="0" w:color="auto"/>
        <w:bottom w:val="none" w:sz="0" w:space="0" w:color="auto"/>
        <w:right w:val="none" w:sz="0" w:space="0" w:color="auto"/>
      </w:divBdr>
    </w:div>
    <w:div w:id="169649475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7607399">
      <w:bodyDiv w:val="1"/>
      <w:marLeft w:val="0"/>
      <w:marRight w:val="0"/>
      <w:marTop w:val="0"/>
      <w:marBottom w:val="0"/>
      <w:divBdr>
        <w:top w:val="none" w:sz="0" w:space="0" w:color="auto"/>
        <w:left w:val="none" w:sz="0" w:space="0" w:color="auto"/>
        <w:bottom w:val="none" w:sz="0" w:space="0" w:color="auto"/>
        <w:right w:val="none" w:sz="0" w:space="0" w:color="auto"/>
      </w:divBdr>
    </w:div>
    <w:div w:id="1723863432">
      <w:bodyDiv w:val="1"/>
      <w:marLeft w:val="0"/>
      <w:marRight w:val="0"/>
      <w:marTop w:val="0"/>
      <w:marBottom w:val="0"/>
      <w:divBdr>
        <w:top w:val="none" w:sz="0" w:space="0" w:color="auto"/>
        <w:left w:val="none" w:sz="0" w:space="0" w:color="auto"/>
        <w:bottom w:val="none" w:sz="0" w:space="0" w:color="auto"/>
        <w:right w:val="none" w:sz="0" w:space="0" w:color="auto"/>
      </w:divBdr>
    </w:div>
    <w:div w:id="1725786491">
      <w:bodyDiv w:val="1"/>
      <w:marLeft w:val="0"/>
      <w:marRight w:val="0"/>
      <w:marTop w:val="0"/>
      <w:marBottom w:val="0"/>
      <w:divBdr>
        <w:top w:val="none" w:sz="0" w:space="0" w:color="auto"/>
        <w:left w:val="none" w:sz="0" w:space="0" w:color="auto"/>
        <w:bottom w:val="none" w:sz="0" w:space="0" w:color="auto"/>
        <w:right w:val="none" w:sz="0" w:space="0" w:color="auto"/>
      </w:divBdr>
    </w:div>
    <w:div w:id="1735858038">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43063244">
      <w:bodyDiv w:val="1"/>
      <w:marLeft w:val="0"/>
      <w:marRight w:val="0"/>
      <w:marTop w:val="0"/>
      <w:marBottom w:val="0"/>
      <w:divBdr>
        <w:top w:val="none" w:sz="0" w:space="0" w:color="auto"/>
        <w:left w:val="none" w:sz="0" w:space="0" w:color="auto"/>
        <w:bottom w:val="none" w:sz="0" w:space="0" w:color="auto"/>
        <w:right w:val="none" w:sz="0" w:space="0" w:color="auto"/>
      </w:divBdr>
    </w:div>
    <w:div w:id="1747456718">
      <w:bodyDiv w:val="1"/>
      <w:marLeft w:val="0"/>
      <w:marRight w:val="0"/>
      <w:marTop w:val="0"/>
      <w:marBottom w:val="0"/>
      <w:divBdr>
        <w:top w:val="none" w:sz="0" w:space="0" w:color="auto"/>
        <w:left w:val="none" w:sz="0" w:space="0" w:color="auto"/>
        <w:bottom w:val="none" w:sz="0" w:space="0" w:color="auto"/>
        <w:right w:val="none" w:sz="0" w:space="0" w:color="auto"/>
      </w:divBdr>
    </w:div>
    <w:div w:id="1748960952">
      <w:bodyDiv w:val="1"/>
      <w:marLeft w:val="0"/>
      <w:marRight w:val="0"/>
      <w:marTop w:val="0"/>
      <w:marBottom w:val="0"/>
      <w:divBdr>
        <w:top w:val="none" w:sz="0" w:space="0" w:color="auto"/>
        <w:left w:val="none" w:sz="0" w:space="0" w:color="auto"/>
        <w:bottom w:val="none" w:sz="0" w:space="0" w:color="auto"/>
        <w:right w:val="none" w:sz="0" w:space="0" w:color="auto"/>
      </w:divBdr>
    </w:div>
    <w:div w:id="1749694516">
      <w:bodyDiv w:val="1"/>
      <w:marLeft w:val="0"/>
      <w:marRight w:val="0"/>
      <w:marTop w:val="0"/>
      <w:marBottom w:val="0"/>
      <w:divBdr>
        <w:top w:val="none" w:sz="0" w:space="0" w:color="auto"/>
        <w:left w:val="none" w:sz="0" w:space="0" w:color="auto"/>
        <w:bottom w:val="none" w:sz="0" w:space="0" w:color="auto"/>
        <w:right w:val="none" w:sz="0" w:space="0" w:color="auto"/>
      </w:divBdr>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774982457">
      <w:bodyDiv w:val="1"/>
      <w:marLeft w:val="0"/>
      <w:marRight w:val="0"/>
      <w:marTop w:val="0"/>
      <w:marBottom w:val="0"/>
      <w:divBdr>
        <w:top w:val="none" w:sz="0" w:space="0" w:color="auto"/>
        <w:left w:val="none" w:sz="0" w:space="0" w:color="auto"/>
        <w:bottom w:val="none" w:sz="0" w:space="0" w:color="auto"/>
        <w:right w:val="none" w:sz="0" w:space="0" w:color="auto"/>
      </w:divBdr>
      <w:divsChild>
        <w:div w:id="1404913118">
          <w:marLeft w:val="0"/>
          <w:marRight w:val="0"/>
          <w:marTop w:val="0"/>
          <w:marBottom w:val="0"/>
          <w:divBdr>
            <w:top w:val="none" w:sz="0" w:space="0" w:color="auto"/>
            <w:left w:val="none" w:sz="0" w:space="0" w:color="auto"/>
            <w:bottom w:val="none" w:sz="0" w:space="0" w:color="auto"/>
            <w:right w:val="none" w:sz="0" w:space="0" w:color="auto"/>
          </w:divBdr>
        </w:div>
      </w:divsChild>
    </w:div>
    <w:div w:id="1780026217">
      <w:bodyDiv w:val="1"/>
      <w:marLeft w:val="0"/>
      <w:marRight w:val="0"/>
      <w:marTop w:val="0"/>
      <w:marBottom w:val="0"/>
      <w:divBdr>
        <w:top w:val="none" w:sz="0" w:space="0" w:color="auto"/>
        <w:left w:val="none" w:sz="0" w:space="0" w:color="auto"/>
        <w:bottom w:val="none" w:sz="0" w:space="0" w:color="auto"/>
        <w:right w:val="none" w:sz="0" w:space="0" w:color="auto"/>
      </w:divBdr>
      <w:divsChild>
        <w:div w:id="1045375192">
          <w:marLeft w:val="0"/>
          <w:marRight w:val="0"/>
          <w:marTop w:val="0"/>
          <w:marBottom w:val="0"/>
          <w:divBdr>
            <w:top w:val="none" w:sz="0" w:space="0" w:color="auto"/>
            <w:left w:val="none" w:sz="0" w:space="0" w:color="auto"/>
            <w:bottom w:val="none" w:sz="0" w:space="0" w:color="auto"/>
            <w:right w:val="none" w:sz="0" w:space="0" w:color="auto"/>
          </w:divBdr>
        </w:div>
      </w:divsChild>
    </w:div>
    <w:div w:id="1793862692">
      <w:bodyDiv w:val="1"/>
      <w:marLeft w:val="0"/>
      <w:marRight w:val="0"/>
      <w:marTop w:val="0"/>
      <w:marBottom w:val="0"/>
      <w:divBdr>
        <w:top w:val="none" w:sz="0" w:space="0" w:color="auto"/>
        <w:left w:val="none" w:sz="0" w:space="0" w:color="auto"/>
        <w:bottom w:val="none" w:sz="0" w:space="0" w:color="auto"/>
        <w:right w:val="none" w:sz="0" w:space="0" w:color="auto"/>
      </w:divBdr>
    </w:div>
    <w:div w:id="1795638705">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0897913">
      <w:bodyDiv w:val="1"/>
      <w:marLeft w:val="0"/>
      <w:marRight w:val="0"/>
      <w:marTop w:val="0"/>
      <w:marBottom w:val="0"/>
      <w:divBdr>
        <w:top w:val="none" w:sz="0" w:space="0" w:color="auto"/>
        <w:left w:val="none" w:sz="0" w:space="0" w:color="auto"/>
        <w:bottom w:val="none" w:sz="0" w:space="0" w:color="auto"/>
        <w:right w:val="none" w:sz="0" w:space="0" w:color="auto"/>
      </w:divBdr>
      <w:divsChild>
        <w:div w:id="719205686">
          <w:marLeft w:val="0"/>
          <w:marRight w:val="0"/>
          <w:marTop w:val="0"/>
          <w:marBottom w:val="0"/>
          <w:divBdr>
            <w:top w:val="none" w:sz="0" w:space="0" w:color="auto"/>
            <w:left w:val="none" w:sz="0" w:space="0" w:color="auto"/>
            <w:bottom w:val="none" w:sz="0" w:space="0" w:color="auto"/>
            <w:right w:val="none" w:sz="0" w:space="0" w:color="auto"/>
          </w:divBdr>
        </w:div>
      </w:divsChild>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5196039">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3066006">
      <w:bodyDiv w:val="1"/>
      <w:marLeft w:val="0"/>
      <w:marRight w:val="0"/>
      <w:marTop w:val="0"/>
      <w:marBottom w:val="0"/>
      <w:divBdr>
        <w:top w:val="none" w:sz="0" w:space="0" w:color="auto"/>
        <w:left w:val="none" w:sz="0" w:space="0" w:color="auto"/>
        <w:bottom w:val="none" w:sz="0" w:space="0" w:color="auto"/>
        <w:right w:val="none" w:sz="0" w:space="0" w:color="auto"/>
      </w:divBdr>
    </w:div>
    <w:div w:id="1834837318">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616538">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48472425">
      <w:bodyDiv w:val="1"/>
      <w:marLeft w:val="0"/>
      <w:marRight w:val="0"/>
      <w:marTop w:val="0"/>
      <w:marBottom w:val="0"/>
      <w:divBdr>
        <w:top w:val="none" w:sz="0" w:space="0" w:color="auto"/>
        <w:left w:val="none" w:sz="0" w:space="0" w:color="auto"/>
        <w:bottom w:val="none" w:sz="0" w:space="0" w:color="auto"/>
        <w:right w:val="none" w:sz="0" w:space="0" w:color="auto"/>
      </w:divBdr>
    </w:div>
    <w:div w:id="1848863711">
      <w:bodyDiv w:val="1"/>
      <w:marLeft w:val="0"/>
      <w:marRight w:val="0"/>
      <w:marTop w:val="0"/>
      <w:marBottom w:val="0"/>
      <w:divBdr>
        <w:top w:val="none" w:sz="0" w:space="0" w:color="auto"/>
        <w:left w:val="none" w:sz="0" w:space="0" w:color="auto"/>
        <w:bottom w:val="none" w:sz="0" w:space="0" w:color="auto"/>
        <w:right w:val="none" w:sz="0" w:space="0" w:color="auto"/>
      </w:divBdr>
    </w:div>
    <w:div w:id="1853911105">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9366782">
      <w:bodyDiv w:val="1"/>
      <w:marLeft w:val="0"/>
      <w:marRight w:val="0"/>
      <w:marTop w:val="0"/>
      <w:marBottom w:val="0"/>
      <w:divBdr>
        <w:top w:val="none" w:sz="0" w:space="0" w:color="auto"/>
        <w:left w:val="none" w:sz="0" w:space="0" w:color="auto"/>
        <w:bottom w:val="none" w:sz="0" w:space="0" w:color="auto"/>
        <w:right w:val="none" w:sz="0" w:space="0" w:color="auto"/>
      </w:divBdr>
    </w:div>
    <w:div w:id="1876380239">
      <w:bodyDiv w:val="1"/>
      <w:marLeft w:val="0"/>
      <w:marRight w:val="0"/>
      <w:marTop w:val="0"/>
      <w:marBottom w:val="0"/>
      <w:divBdr>
        <w:top w:val="none" w:sz="0" w:space="0" w:color="auto"/>
        <w:left w:val="none" w:sz="0" w:space="0" w:color="auto"/>
        <w:bottom w:val="none" w:sz="0" w:space="0" w:color="auto"/>
        <w:right w:val="none" w:sz="0" w:space="0" w:color="auto"/>
      </w:divBdr>
    </w:div>
    <w:div w:id="1876843568">
      <w:bodyDiv w:val="1"/>
      <w:marLeft w:val="0"/>
      <w:marRight w:val="0"/>
      <w:marTop w:val="0"/>
      <w:marBottom w:val="0"/>
      <w:divBdr>
        <w:top w:val="none" w:sz="0" w:space="0" w:color="auto"/>
        <w:left w:val="none" w:sz="0" w:space="0" w:color="auto"/>
        <w:bottom w:val="none" w:sz="0" w:space="0" w:color="auto"/>
        <w:right w:val="none" w:sz="0" w:space="0" w:color="auto"/>
      </w:divBdr>
      <w:divsChild>
        <w:div w:id="1402286760">
          <w:marLeft w:val="0"/>
          <w:marRight w:val="0"/>
          <w:marTop w:val="0"/>
          <w:marBottom w:val="0"/>
          <w:divBdr>
            <w:top w:val="none" w:sz="0" w:space="0" w:color="auto"/>
            <w:left w:val="none" w:sz="0" w:space="0" w:color="auto"/>
            <w:bottom w:val="none" w:sz="0" w:space="0" w:color="auto"/>
            <w:right w:val="none" w:sz="0" w:space="0" w:color="auto"/>
          </w:divBdr>
        </w:div>
      </w:divsChild>
    </w:div>
    <w:div w:id="1876891272">
      <w:bodyDiv w:val="1"/>
      <w:marLeft w:val="0"/>
      <w:marRight w:val="0"/>
      <w:marTop w:val="0"/>
      <w:marBottom w:val="0"/>
      <w:divBdr>
        <w:top w:val="none" w:sz="0" w:space="0" w:color="auto"/>
        <w:left w:val="none" w:sz="0" w:space="0" w:color="auto"/>
        <w:bottom w:val="none" w:sz="0" w:space="0" w:color="auto"/>
        <w:right w:val="none" w:sz="0" w:space="0" w:color="auto"/>
      </w:divBdr>
      <w:divsChild>
        <w:div w:id="299917231">
          <w:marLeft w:val="0"/>
          <w:marRight w:val="0"/>
          <w:marTop w:val="0"/>
          <w:marBottom w:val="0"/>
          <w:divBdr>
            <w:top w:val="none" w:sz="0" w:space="0" w:color="auto"/>
            <w:left w:val="none" w:sz="0" w:space="0" w:color="auto"/>
            <w:bottom w:val="none" w:sz="0" w:space="0" w:color="auto"/>
            <w:right w:val="none" w:sz="0" w:space="0" w:color="auto"/>
          </w:divBdr>
        </w:div>
      </w:divsChild>
    </w:div>
    <w:div w:id="1877305247">
      <w:bodyDiv w:val="1"/>
      <w:marLeft w:val="0"/>
      <w:marRight w:val="0"/>
      <w:marTop w:val="0"/>
      <w:marBottom w:val="0"/>
      <w:divBdr>
        <w:top w:val="none" w:sz="0" w:space="0" w:color="auto"/>
        <w:left w:val="none" w:sz="0" w:space="0" w:color="auto"/>
        <w:bottom w:val="none" w:sz="0" w:space="0" w:color="auto"/>
        <w:right w:val="none" w:sz="0" w:space="0" w:color="auto"/>
      </w:divBdr>
    </w:div>
    <w:div w:id="1886793692">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895967562">
      <w:bodyDiv w:val="1"/>
      <w:marLeft w:val="0"/>
      <w:marRight w:val="0"/>
      <w:marTop w:val="0"/>
      <w:marBottom w:val="0"/>
      <w:divBdr>
        <w:top w:val="none" w:sz="0" w:space="0" w:color="auto"/>
        <w:left w:val="none" w:sz="0" w:space="0" w:color="auto"/>
        <w:bottom w:val="none" w:sz="0" w:space="0" w:color="auto"/>
        <w:right w:val="none" w:sz="0" w:space="0" w:color="auto"/>
      </w:divBdr>
    </w:div>
    <w:div w:id="1897741001">
      <w:bodyDiv w:val="1"/>
      <w:marLeft w:val="0"/>
      <w:marRight w:val="0"/>
      <w:marTop w:val="0"/>
      <w:marBottom w:val="0"/>
      <w:divBdr>
        <w:top w:val="none" w:sz="0" w:space="0" w:color="auto"/>
        <w:left w:val="none" w:sz="0" w:space="0" w:color="auto"/>
        <w:bottom w:val="none" w:sz="0" w:space="0" w:color="auto"/>
        <w:right w:val="none" w:sz="0" w:space="0" w:color="auto"/>
      </w:divBdr>
    </w:div>
    <w:div w:id="1900633936">
      <w:bodyDiv w:val="1"/>
      <w:marLeft w:val="0"/>
      <w:marRight w:val="0"/>
      <w:marTop w:val="0"/>
      <w:marBottom w:val="0"/>
      <w:divBdr>
        <w:top w:val="none" w:sz="0" w:space="0" w:color="auto"/>
        <w:left w:val="none" w:sz="0" w:space="0" w:color="auto"/>
        <w:bottom w:val="none" w:sz="0" w:space="0" w:color="auto"/>
        <w:right w:val="none" w:sz="0" w:space="0" w:color="auto"/>
      </w:divBdr>
    </w:div>
    <w:div w:id="1904295893">
      <w:bodyDiv w:val="1"/>
      <w:marLeft w:val="0"/>
      <w:marRight w:val="0"/>
      <w:marTop w:val="0"/>
      <w:marBottom w:val="0"/>
      <w:divBdr>
        <w:top w:val="none" w:sz="0" w:space="0" w:color="auto"/>
        <w:left w:val="none" w:sz="0" w:space="0" w:color="auto"/>
        <w:bottom w:val="none" w:sz="0" w:space="0" w:color="auto"/>
        <w:right w:val="none" w:sz="0" w:space="0" w:color="auto"/>
      </w:divBdr>
    </w:div>
    <w:div w:id="1925066737">
      <w:bodyDiv w:val="1"/>
      <w:marLeft w:val="0"/>
      <w:marRight w:val="0"/>
      <w:marTop w:val="0"/>
      <w:marBottom w:val="0"/>
      <w:divBdr>
        <w:top w:val="none" w:sz="0" w:space="0" w:color="auto"/>
        <w:left w:val="none" w:sz="0" w:space="0" w:color="auto"/>
        <w:bottom w:val="none" w:sz="0" w:space="0" w:color="auto"/>
        <w:right w:val="none" w:sz="0" w:space="0" w:color="auto"/>
      </w:divBdr>
    </w:div>
    <w:div w:id="1929268773">
      <w:bodyDiv w:val="1"/>
      <w:marLeft w:val="0"/>
      <w:marRight w:val="0"/>
      <w:marTop w:val="0"/>
      <w:marBottom w:val="0"/>
      <w:divBdr>
        <w:top w:val="none" w:sz="0" w:space="0" w:color="auto"/>
        <w:left w:val="none" w:sz="0" w:space="0" w:color="auto"/>
        <w:bottom w:val="none" w:sz="0" w:space="0" w:color="auto"/>
        <w:right w:val="none" w:sz="0" w:space="0" w:color="auto"/>
      </w:divBdr>
    </w:div>
    <w:div w:id="1932004456">
      <w:bodyDiv w:val="1"/>
      <w:marLeft w:val="0"/>
      <w:marRight w:val="0"/>
      <w:marTop w:val="0"/>
      <w:marBottom w:val="0"/>
      <w:divBdr>
        <w:top w:val="none" w:sz="0" w:space="0" w:color="auto"/>
        <w:left w:val="none" w:sz="0" w:space="0" w:color="auto"/>
        <w:bottom w:val="none" w:sz="0" w:space="0" w:color="auto"/>
        <w:right w:val="none" w:sz="0" w:space="0" w:color="auto"/>
      </w:divBdr>
    </w:div>
    <w:div w:id="1937203323">
      <w:bodyDiv w:val="1"/>
      <w:marLeft w:val="0"/>
      <w:marRight w:val="0"/>
      <w:marTop w:val="0"/>
      <w:marBottom w:val="0"/>
      <w:divBdr>
        <w:top w:val="none" w:sz="0" w:space="0" w:color="auto"/>
        <w:left w:val="none" w:sz="0" w:space="0" w:color="auto"/>
        <w:bottom w:val="none" w:sz="0" w:space="0" w:color="auto"/>
        <w:right w:val="none" w:sz="0" w:space="0" w:color="auto"/>
      </w:divBdr>
    </w:div>
    <w:div w:id="1937978242">
      <w:bodyDiv w:val="1"/>
      <w:marLeft w:val="0"/>
      <w:marRight w:val="0"/>
      <w:marTop w:val="0"/>
      <w:marBottom w:val="0"/>
      <w:divBdr>
        <w:top w:val="none" w:sz="0" w:space="0" w:color="auto"/>
        <w:left w:val="none" w:sz="0" w:space="0" w:color="auto"/>
        <w:bottom w:val="none" w:sz="0" w:space="0" w:color="auto"/>
        <w:right w:val="none" w:sz="0" w:space="0" w:color="auto"/>
      </w:divBdr>
    </w:div>
    <w:div w:id="1940986434">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0971545">
      <w:bodyDiv w:val="1"/>
      <w:marLeft w:val="0"/>
      <w:marRight w:val="0"/>
      <w:marTop w:val="0"/>
      <w:marBottom w:val="0"/>
      <w:divBdr>
        <w:top w:val="none" w:sz="0" w:space="0" w:color="auto"/>
        <w:left w:val="none" w:sz="0" w:space="0" w:color="auto"/>
        <w:bottom w:val="none" w:sz="0" w:space="0" w:color="auto"/>
        <w:right w:val="none" w:sz="0" w:space="0" w:color="auto"/>
      </w:divBdr>
    </w:div>
    <w:div w:id="1955554067">
      <w:bodyDiv w:val="1"/>
      <w:marLeft w:val="0"/>
      <w:marRight w:val="0"/>
      <w:marTop w:val="0"/>
      <w:marBottom w:val="0"/>
      <w:divBdr>
        <w:top w:val="none" w:sz="0" w:space="0" w:color="auto"/>
        <w:left w:val="none" w:sz="0" w:space="0" w:color="auto"/>
        <w:bottom w:val="none" w:sz="0" w:space="0" w:color="auto"/>
        <w:right w:val="none" w:sz="0" w:space="0" w:color="auto"/>
      </w:divBdr>
      <w:divsChild>
        <w:div w:id="1045914187">
          <w:marLeft w:val="0"/>
          <w:marRight w:val="0"/>
          <w:marTop w:val="0"/>
          <w:marBottom w:val="0"/>
          <w:divBdr>
            <w:top w:val="none" w:sz="0" w:space="0" w:color="auto"/>
            <w:left w:val="none" w:sz="0" w:space="0" w:color="auto"/>
            <w:bottom w:val="none" w:sz="0" w:space="0" w:color="auto"/>
            <w:right w:val="none" w:sz="0" w:space="0" w:color="auto"/>
          </w:divBdr>
        </w:div>
      </w:divsChild>
    </w:div>
    <w:div w:id="1981694127">
      <w:bodyDiv w:val="1"/>
      <w:marLeft w:val="0"/>
      <w:marRight w:val="0"/>
      <w:marTop w:val="0"/>
      <w:marBottom w:val="0"/>
      <w:divBdr>
        <w:top w:val="none" w:sz="0" w:space="0" w:color="auto"/>
        <w:left w:val="none" w:sz="0" w:space="0" w:color="auto"/>
        <w:bottom w:val="none" w:sz="0" w:space="0" w:color="auto"/>
        <w:right w:val="none" w:sz="0" w:space="0" w:color="auto"/>
      </w:divBdr>
    </w:div>
    <w:div w:id="1986929905">
      <w:bodyDiv w:val="1"/>
      <w:marLeft w:val="0"/>
      <w:marRight w:val="0"/>
      <w:marTop w:val="0"/>
      <w:marBottom w:val="0"/>
      <w:divBdr>
        <w:top w:val="none" w:sz="0" w:space="0" w:color="auto"/>
        <w:left w:val="none" w:sz="0" w:space="0" w:color="auto"/>
        <w:bottom w:val="none" w:sz="0" w:space="0" w:color="auto"/>
        <w:right w:val="none" w:sz="0" w:space="0" w:color="auto"/>
      </w:divBdr>
    </w:div>
    <w:div w:id="1988510933">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5937613">
      <w:bodyDiv w:val="1"/>
      <w:marLeft w:val="0"/>
      <w:marRight w:val="0"/>
      <w:marTop w:val="0"/>
      <w:marBottom w:val="0"/>
      <w:divBdr>
        <w:top w:val="none" w:sz="0" w:space="0" w:color="auto"/>
        <w:left w:val="none" w:sz="0" w:space="0" w:color="auto"/>
        <w:bottom w:val="none" w:sz="0" w:space="0" w:color="auto"/>
        <w:right w:val="none" w:sz="0" w:space="0" w:color="auto"/>
      </w:divBdr>
    </w:div>
    <w:div w:id="2029599754">
      <w:bodyDiv w:val="1"/>
      <w:marLeft w:val="0"/>
      <w:marRight w:val="0"/>
      <w:marTop w:val="0"/>
      <w:marBottom w:val="0"/>
      <w:divBdr>
        <w:top w:val="none" w:sz="0" w:space="0" w:color="auto"/>
        <w:left w:val="none" w:sz="0" w:space="0" w:color="auto"/>
        <w:bottom w:val="none" w:sz="0" w:space="0" w:color="auto"/>
        <w:right w:val="none" w:sz="0" w:space="0" w:color="auto"/>
      </w:divBdr>
    </w:div>
    <w:div w:id="2037121866">
      <w:bodyDiv w:val="1"/>
      <w:marLeft w:val="0"/>
      <w:marRight w:val="0"/>
      <w:marTop w:val="0"/>
      <w:marBottom w:val="0"/>
      <w:divBdr>
        <w:top w:val="none" w:sz="0" w:space="0" w:color="auto"/>
        <w:left w:val="none" w:sz="0" w:space="0" w:color="auto"/>
        <w:bottom w:val="none" w:sz="0" w:space="0" w:color="auto"/>
        <w:right w:val="none" w:sz="0" w:space="0" w:color="auto"/>
      </w:divBdr>
    </w:div>
    <w:div w:id="2048291655">
      <w:bodyDiv w:val="1"/>
      <w:marLeft w:val="0"/>
      <w:marRight w:val="0"/>
      <w:marTop w:val="0"/>
      <w:marBottom w:val="0"/>
      <w:divBdr>
        <w:top w:val="none" w:sz="0" w:space="0" w:color="auto"/>
        <w:left w:val="none" w:sz="0" w:space="0" w:color="auto"/>
        <w:bottom w:val="none" w:sz="0" w:space="0" w:color="auto"/>
        <w:right w:val="none" w:sz="0" w:space="0" w:color="auto"/>
      </w:divBdr>
    </w:div>
    <w:div w:id="2052266418">
      <w:bodyDiv w:val="1"/>
      <w:marLeft w:val="0"/>
      <w:marRight w:val="0"/>
      <w:marTop w:val="0"/>
      <w:marBottom w:val="0"/>
      <w:divBdr>
        <w:top w:val="none" w:sz="0" w:space="0" w:color="auto"/>
        <w:left w:val="none" w:sz="0" w:space="0" w:color="auto"/>
        <w:bottom w:val="none" w:sz="0" w:space="0" w:color="auto"/>
        <w:right w:val="none" w:sz="0" w:space="0" w:color="auto"/>
      </w:divBdr>
      <w:divsChild>
        <w:div w:id="1944531965">
          <w:marLeft w:val="0"/>
          <w:marRight w:val="0"/>
          <w:marTop w:val="0"/>
          <w:marBottom w:val="0"/>
          <w:divBdr>
            <w:top w:val="none" w:sz="0" w:space="0" w:color="auto"/>
            <w:left w:val="none" w:sz="0" w:space="0" w:color="auto"/>
            <w:bottom w:val="none" w:sz="0" w:space="0" w:color="auto"/>
            <w:right w:val="none" w:sz="0" w:space="0" w:color="auto"/>
          </w:divBdr>
        </w:div>
      </w:divsChild>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64987747">
      <w:bodyDiv w:val="1"/>
      <w:marLeft w:val="0"/>
      <w:marRight w:val="0"/>
      <w:marTop w:val="0"/>
      <w:marBottom w:val="0"/>
      <w:divBdr>
        <w:top w:val="none" w:sz="0" w:space="0" w:color="auto"/>
        <w:left w:val="none" w:sz="0" w:space="0" w:color="auto"/>
        <w:bottom w:val="none" w:sz="0" w:space="0" w:color="auto"/>
        <w:right w:val="none" w:sz="0" w:space="0" w:color="auto"/>
      </w:divBdr>
    </w:div>
    <w:div w:id="2065446484">
      <w:bodyDiv w:val="1"/>
      <w:marLeft w:val="0"/>
      <w:marRight w:val="0"/>
      <w:marTop w:val="0"/>
      <w:marBottom w:val="0"/>
      <w:divBdr>
        <w:top w:val="none" w:sz="0" w:space="0" w:color="auto"/>
        <w:left w:val="none" w:sz="0" w:space="0" w:color="auto"/>
        <w:bottom w:val="none" w:sz="0" w:space="0" w:color="auto"/>
        <w:right w:val="none" w:sz="0" w:space="0" w:color="auto"/>
      </w:divBdr>
    </w:div>
    <w:div w:id="2068064230">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5467349">
      <w:bodyDiv w:val="1"/>
      <w:marLeft w:val="0"/>
      <w:marRight w:val="0"/>
      <w:marTop w:val="0"/>
      <w:marBottom w:val="0"/>
      <w:divBdr>
        <w:top w:val="none" w:sz="0" w:space="0" w:color="auto"/>
        <w:left w:val="none" w:sz="0" w:space="0" w:color="auto"/>
        <w:bottom w:val="none" w:sz="0" w:space="0" w:color="auto"/>
        <w:right w:val="none" w:sz="0" w:space="0" w:color="auto"/>
      </w:divBdr>
    </w:div>
    <w:div w:id="2086874022">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090342078">
      <w:bodyDiv w:val="1"/>
      <w:marLeft w:val="0"/>
      <w:marRight w:val="0"/>
      <w:marTop w:val="0"/>
      <w:marBottom w:val="0"/>
      <w:divBdr>
        <w:top w:val="none" w:sz="0" w:space="0" w:color="auto"/>
        <w:left w:val="none" w:sz="0" w:space="0" w:color="auto"/>
        <w:bottom w:val="none" w:sz="0" w:space="0" w:color="auto"/>
        <w:right w:val="none" w:sz="0" w:space="0" w:color="auto"/>
      </w:divBdr>
    </w:div>
    <w:div w:id="2096702478">
      <w:bodyDiv w:val="1"/>
      <w:marLeft w:val="0"/>
      <w:marRight w:val="0"/>
      <w:marTop w:val="0"/>
      <w:marBottom w:val="0"/>
      <w:divBdr>
        <w:top w:val="none" w:sz="0" w:space="0" w:color="auto"/>
        <w:left w:val="none" w:sz="0" w:space="0" w:color="auto"/>
        <w:bottom w:val="none" w:sz="0" w:space="0" w:color="auto"/>
        <w:right w:val="none" w:sz="0" w:space="0" w:color="auto"/>
      </w:divBdr>
    </w:div>
    <w:div w:id="2101442702">
      <w:bodyDiv w:val="1"/>
      <w:marLeft w:val="0"/>
      <w:marRight w:val="0"/>
      <w:marTop w:val="0"/>
      <w:marBottom w:val="0"/>
      <w:divBdr>
        <w:top w:val="none" w:sz="0" w:space="0" w:color="auto"/>
        <w:left w:val="none" w:sz="0" w:space="0" w:color="auto"/>
        <w:bottom w:val="none" w:sz="0" w:space="0" w:color="auto"/>
        <w:right w:val="none" w:sz="0" w:space="0" w:color="auto"/>
      </w:divBdr>
    </w:div>
    <w:div w:id="2106534356">
      <w:bodyDiv w:val="1"/>
      <w:marLeft w:val="0"/>
      <w:marRight w:val="0"/>
      <w:marTop w:val="0"/>
      <w:marBottom w:val="0"/>
      <w:divBdr>
        <w:top w:val="none" w:sz="0" w:space="0" w:color="auto"/>
        <w:left w:val="none" w:sz="0" w:space="0" w:color="auto"/>
        <w:bottom w:val="none" w:sz="0" w:space="0" w:color="auto"/>
        <w:right w:val="none" w:sz="0" w:space="0" w:color="auto"/>
      </w:divBdr>
    </w:div>
    <w:div w:id="2110613540">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76769">
      <w:bodyDiv w:val="1"/>
      <w:marLeft w:val="0"/>
      <w:marRight w:val="0"/>
      <w:marTop w:val="0"/>
      <w:marBottom w:val="0"/>
      <w:divBdr>
        <w:top w:val="none" w:sz="0" w:space="0" w:color="auto"/>
        <w:left w:val="none" w:sz="0" w:space="0" w:color="auto"/>
        <w:bottom w:val="none" w:sz="0" w:space="0" w:color="auto"/>
        <w:right w:val="none" w:sz="0" w:space="0" w:color="auto"/>
      </w:divBdr>
    </w:div>
    <w:div w:id="2132236234">
      <w:bodyDiv w:val="1"/>
      <w:marLeft w:val="0"/>
      <w:marRight w:val="0"/>
      <w:marTop w:val="0"/>
      <w:marBottom w:val="0"/>
      <w:divBdr>
        <w:top w:val="none" w:sz="0" w:space="0" w:color="auto"/>
        <w:left w:val="none" w:sz="0" w:space="0" w:color="auto"/>
        <w:bottom w:val="none" w:sz="0" w:space="0" w:color="auto"/>
        <w:right w:val="none" w:sz="0" w:space="0" w:color="auto"/>
      </w:divBdr>
    </w:div>
    <w:div w:id="2134908128">
      <w:bodyDiv w:val="1"/>
      <w:marLeft w:val="0"/>
      <w:marRight w:val="0"/>
      <w:marTop w:val="0"/>
      <w:marBottom w:val="0"/>
      <w:divBdr>
        <w:top w:val="none" w:sz="0" w:space="0" w:color="auto"/>
        <w:left w:val="none" w:sz="0" w:space="0" w:color="auto"/>
        <w:bottom w:val="none" w:sz="0" w:space="0" w:color="auto"/>
        <w:right w:val="none" w:sz="0" w:space="0" w:color="auto"/>
      </w:divBdr>
    </w:div>
    <w:div w:id="213852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4" ma:contentTypeDescription="Create a new document." ma:contentTypeScope="" ma:versionID="0ca6119bb704a039e30cded50d496155">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d4a3fedec6abdf427e3bd28fcb8874fa"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66C467-907A-4F8E-A6C2-57DB6BACB87F}">
  <ds:schemaRefs>
    <ds:schemaRef ds:uri="http://schemas.openxmlformats.org/officeDocument/2006/bibliography"/>
  </ds:schemaRefs>
</ds:datastoreItem>
</file>

<file path=customXml/itemProps2.xml><?xml version="1.0" encoding="utf-8"?>
<ds:datastoreItem xmlns:ds="http://schemas.openxmlformats.org/officeDocument/2006/customXml" ds:itemID="{C892BBAB-F184-419C-914A-5FA5D5C3CA96}">
  <ds:schemaRefs>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7f856f8d-13b3-495a-9a4b-41f8182eda4c"/>
    <ds:schemaRef ds:uri="72f95629-adac-4ec1-8738-e1cec852b92b"/>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C065EF32-5BEB-495A-9B57-E6018DDA1FEB}">
  <ds:schemaRefs>
    <ds:schemaRef ds:uri="http://schemas.microsoft.com/sharepoint/v3/contenttype/forms"/>
  </ds:schemaRefs>
</ds:datastoreItem>
</file>

<file path=customXml/itemProps4.xml><?xml version="1.0" encoding="utf-8"?>
<ds:datastoreItem xmlns:ds="http://schemas.openxmlformats.org/officeDocument/2006/customXml" ds:itemID="{06B4B7C2-5067-4CF2-9789-66FAE7F71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3074</Words>
  <Characters>17553</Characters>
  <Application>Microsoft Office Word</Application>
  <DocSecurity>0</DocSecurity>
  <Lines>474</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2025-11-23T22:56:00Z</dcterms:created>
  <dcterms:modified xsi:type="dcterms:W3CDTF">2025-11-24T00:26:00Z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SiteId">
    <vt:lpwstr>34a3929c-73cf-4954-abfe-147dc3517892</vt:lpwstr>
  </property>
  <property fmtid="{D5CDD505-2E9C-101B-9397-08002B2CF9AE}" pid="3" name="MSIP_Label_7cd3e8b9-ffed-43a8-b7f4-cc2fa0382d36_Removed">
    <vt:lpwstr>False</vt:lpwstr>
  </property>
  <property fmtid="{D5CDD505-2E9C-101B-9397-08002B2CF9AE}" pid="4" name="MSIP_Label_7cd3e8b9-ffed-43a8-b7f4-cc2fa0382d36_ActionId">
    <vt:lpwstr>e00e73dd-e4c5-44fb-b4c4-82c54ac84a68</vt:lpwstr>
  </property>
  <property fmtid="{D5CDD505-2E9C-101B-9397-08002B2CF9AE}" pid="5" name="MediaServiceImageTags">
    <vt:lpwstr/>
  </property>
  <property fmtid="{D5CDD505-2E9C-101B-9397-08002B2CF9AE}" pid="6" name="ContentTypeId">
    <vt:lpwstr>0x0101007FED174C5281F747A8037A05221D6DBD</vt:lpwstr>
  </property>
  <property fmtid="{D5CDD505-2E9C-101B-9397-08002B2CF9AE}" pid="7" name="docLang">
    <vt:lpwstr>en</vt:lpwstr>
  </property>
  <property fmtid="{D5CDD505-2E9C-101B-9397-08002B2CF9AE}" pid="8" name="MSIP_Label_7cd3e8b9-ffed-43a8-b7f4-cc2fa0382d36_Name">
    <vt:lpwstr>OFFICIAL</vt:lpwstr>
  </property>
  <property fmtid="{D5CDD505-2E9C-101B-9397-08002B2CF9AE}" pid="9" name="MSIP_Label_7cd3e8b9-ffed-43a8-b7f4-cc2fa0382d36_Extended_MSFT_Method">
    <vt:lpwstr>Standard</vt:lpwstr>
  </property>
  <property fmtid="{D5CDD505-2E9C-101B-9397-08002B2CF9AE}" pid="10" name="MSIP_Label_7cd3e8b9-ffed-43a8-b7f4-cc2fa0382d36_Enabled">
    <vt:lpwstr>True</vt:lpwstr>
  </property>
  <property fmtid="{D5CDD505-2E9C-101B-9397-08002B2CF9AE}" pid="11" name="Sensitivity">
    <vt:lpwstr>OFFICIAL</vt:lpwstr>
  </property>
  <property fmtid="{D5CDD505-2E9C-101B-9397-08002B2CF9AE}" pid="12" name="MSIP_Label_7cd3e8b9-ffed-43a8-b7f4-cc2fa0382d36_SetDate">
    <vt:lpwstr>2025-09-05T04:37:45Z</vt:lpwstr>
  </property>
</Properties>
</file>