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B0EE" w14:textId="7CDB471C" w:rsidR="00D7136A" w:rsidRDefault="00464DA0" w:rsidP="00052897">
      <w:pPr>
        <w:contextualSpacing/>
        <w:jc w:val="both"/>
        <w:rPr>
          <w:rFonts w:ascii="Arial" w:hAnsi="Arial" w:cs="Arial"/>
          <w:b/>
          <w:szCs w:val="20"/>
          <w:lang w:eastAsia="en-AU"/>
        </w:rPr>
      </w:pPr>
      <w:r>
        <w:rPr>
          <w:rFonts w:ascii="Arial" w:hAnsi="Arial" w:cs="Arial"/>
          <w:b/>
          <w:sz w:val="28"/>
          <w:lang w:eastAsia="en-AU"/>
        </w:rPr>
        <w:t xml:space="preserve">PBAC CONSIDERATION OF THE </w:t>
      </w:r>
      <w:r w:rsidR="00D7136A">
        <w:rPr>
          <w:rFonts w:ascii="Arial" w:hAnsi="Arial" w:cs="Arial"/>
          <w:b/>
          <w:sz w:val="28"/>
          <w:lang w:eastAsia="en-AU"/>
        </w:rPr>
        <w:t>REPORT</w:t>
      </w:r>
      <w:r w:rsidR="00267A9D">
        <w:rPr>
          <w:rFonts w:ascii="Arial" w:hAnsi="Arial" w:cs="Arial"/>
          <w:b/>
          <w:sz w:val="28"/>
          <w:lang w:eastAsia="en-AU"/>
        </w:rPr>
        <w:t xml:space="preserve"> OF THE DRUG </w:t>
      </w:r>
      <w:r w:rsidR="00D7136A" w:rsidRPr="00B94022">
        <w:rPr>
          <w:rFonts w:ascii="Arial" w:hAnsi="Arial" w:cs="Arial"/>
          <w:b/>
          <w:sz w:val="28"/>
          <w:lang w:eastAsia="en-AU"/>
        </w:rPr>
        <w:t>UTILISATION SUB-COMMITTEE</w:t>
      </w:r>
    </w:p>
    <w:p w14:paraId="7F124E9C" w14:textId="77777777" w:rsidR="00D7136A" w:rsidRPr="006951BF" w:rsidRDefault="00D7136A" w:rsidP="00052897">
      <w:pPr>
        <w:jc w:val="both"/>
        <w:rPr>
          <w:rFonts w:ascii="Arial" w:hAnsi="Arial" w:cs="Arial"/>
          <w:b/>
          <w:sz w:val="28"/>
          <w:szCs w:val="20"/>
          <w:lang w:eastAsia="en-AU"/>
        </w:rPr>
      </w:pPr>
    </w:p>
    <w:p w14:paraId="2BEF9007" w14:textId="6F20AC47" w:rsidR="005616CC" w:rsidRDefault="00D7136A" w:rsidP="00052897">
      <w:pPr>
        <w:contextualSpacing/>
        <w:jc w:val="both"/>
        <w:rPr>
          <w:rFonts w:ascii="Arial" w:hAnsi="Arial" w:cs="Arial"/>
          <w:sz w:val="22"/>
          <w:lang w:eastAsia="en-AU"/>
        </w:rPr>
      </w:pPr>
      <w:r w:rsidRPr="006951BF">
        <w:rPr>
          <w:rFonts w:ascii="Arial" w:hAnsi="Arial" w:cs="Arial"/>
          <w:sz w:val="22"/>
          <w:lang w:eastAsia="en-AU"/>
        </w:rPr>
        <w:t xml:space="preserve">The PBAC noted reports with associated stakeholder responses from the </w:t>
      </w:r>
      <w:r w:rsidR="00A83403">
        <w:rPr>
          <w:rFonts w:ascii="Arial" w:hAnsi="Arial" w:cs="Arial"/>
          <w:sz w:val="22"/>
          <w:lang w:eastAsia="en-AU"/>
        </w:rPr>
        <w:t xml:space="preserve">April 2025 </w:t>
      </w:r>
      <w:r w:rsidR="00A31269" w:rsidRPr="006951BF">
        <w:rPr>
          <w:rFonts w:ascii="Arial" w:hAnsi="Arial" w:cs="Arial"/>
          <w:sz w:val="22"/>
          <w:lang w:eastAsia="en-AU"/>
        </w:rPr>
        <w:t xml:space="preserve">Drug Utilisation Sub-Committee (DUSC) </w:t>
      </w:r>
      <w:r w:rsidRPr="006951BF">
        <w:rPr>
          <w:rFonts w:ascii="Arial" w:hAnsi="Arial" w:cs="Arial"/>
          <w:sz w:val="22"/>
          <w:lang w:eastAsia="en-AU"/>
        </w:rPr>
        <w:t xml:space="preserve">meeting, which were provided in </w:t>
      </w:r>
      <w:r w:rsidR="00EC6408">
        <w:rPr>
          <w:rFonts w:ascii="Arial" w:hAnsi="Arial" w:cs="Arial"/>
          <w:sz w:val="22"/>
          <w:lang w:eastAsia="en-AU"/>
        </w:rPr>
        <w:t>i</w:t>
      </w:r>
      <w:r w:rsidRPr="006951BF">
        <w:rPr>
          <w:rFonts w:ascii="Arial" w:hAnsi="Arial" w:cs="Arial"/>
          <w:sz w:val="22"/>
          <w:lang w:eastAsia="en-AU"/>
        </w:rPr>
        <w:t>tem</w:t>
      </w:r>
      <w:r w:rsidR="00A31269" w:rsidRPr="006951BF">
        <w:rPr>
          <w:rFonts w:ascii="Arial" w:hAnsi="Arial" w:cs="Arial"/>
          <w:sz w:val="22"/>
          <w:lang w:eastAsia="en-AU"/>
        </w:rPr>
        <w:t>s</w:t>
      </w:r>
      <w:r w:rsidR="00D6624D">
        <w:rPr>
          <w:rFonts w:ascii="Arial" w:hAnsi="Arial" w:cs="Arial"/>
          <w:sz w:val="22"/>
          <w:lang w:eastAsia="en-AU"/>
        </w:rPr>
        <w:t xml:space="preserve"> </w:t>
      </w:r>
      <w:r w:rsidR="006354AB">
        <w:rPr>
          <w:rFonts w:ascii="Arial" w:hAnsi="Arial" w:cs="Arial"/>
          <w:sz w:val="22"/>
          <w:lang w:eastAsia="en-AU"/>
        </w:rPr>
        <w:t>10.</w:t>
      </w:r>
      <w:r w:rsidR="00E91740">
        <w:rPr>
          <w:rFonts w:ascii="Arial" w:hAnsi="Arial" w:cs="Arial"/>
          <w:sz w:val="22"/>
          <w:lang w:eastAsia="en-AU"/>
        </w:rPr>
        <w:t>0</w:t>
      </w:r>
      <w:r w:rsidR="00A83403">
        <w:rPr>
          <w:rFonts w:ascii="Arial" w:hAnsi="Arial" w:cs="Arial"/>
          <w:sz w:val="22"/>
          <w:lang w:eastAsia="en-AU"/>
        </w:rPr>
        <w:t>3</w:t>
      </w:r>
      <w:r w:rsidR="00C9267A">
        <w:rPr>
          <w:rFonts w:ascii="Arial" w:hAnsi="Arial" w:cs="Arial"/>
          <w:sz w:val="22"/>
          <w:lang w:eastAsia="en-AU"/>
        </w:rPr>
        <w:t xml:space="preserve">, </w:t>
      </w:r>
      <w:r w:rsidR="00594361">
        <w:rPr>
          <w:rFonts w:ascii="Arial" w:hAnsi="Arial" w:cs="Arial"/>
          <w:sz w:val="22"/>
          <w:lang w:eastAsia="en-AU"/>
        </w:rPr>
        <w:t>10.</w:t>
      </w:r>
      <w:r w:rsidR="00E91740">
        <w:rPr>
          <w:rFonts w:ascii="Arial" w:hAnsi="Arial" w:cs="Arial"/>
          <w:sz w:val="22"/>
          <w:lang w:eastAsia="en-AU"/>
        </w:rPr>
        <w:t>0</w:t>
      </w:r>
      <w:r w:rsidR="00A83403">
        <w:rPr>
          <w:rFonts w:ascii="Arial" w:hAnsi="Arial" w:cs="Arial"/>
          <w:sz w:val="22"/>
          <w:lang w:eastAsia="en-AU"/>
        </w:rPr>
        <w:t>4</w:t>
      </w:r>
      <w:r w:rsidR="00594361">
        <w:rPr>
          <w:rFonts w:ascii="Arial" w:hAnsi="Arial" w:cs="Arial"/>
          <w:sz w:val="22"/>
          <w:lang w:eastAsia="en-AU"/>
        </w:rPr>
        <w:t xml:space="preserve"> </w:t>
      </w:r>
      <w:r w:rsidR="007F2CE8">
        <w:rPr>
          <w:rFonts w:ascii="Arial" w:hAnsi="Arial" w:cs="Arial"/>
          <w:sz w:val="22"/>
          <w:lang w:eastAsia="en-AU"/>
        </w:rPr>
        <w:t xml:space="preserve">and </w:t>
      </w:r>
      <w:r w:rsidR="00C9267A">
        <w:rPr>
          <w:rFonts w:ascii="Arial" w:hAnsi="Arial" w:cs="Arial"/>
          <w:sz w:val="22"/>
          <w:lang w:eastAsia="en-AU"/>
        </w:rPr>
        <w:t>10</w:t>
      </w:r>
      <w:r w:rsidR="00053A39">
        <w:rPr>
          <w:rFonts w:ascii="Arial" w:hAnsi="Arial" w:cs="Arial"/>
          <w:sz w:val="22"/>
          <w:lang w:eastAsia="en-AU"/>
        </w:rPr>
        <w:t>.</w:t>
      </w:r>
      <w:r w:rsidR="00E91740">
        <w:rPr>
          <w:rFonts w:ascii="Arial" w:hAnsi="Arial" w:cs="Arial"/>
          <w:sz w:val="22"/>
          <w:lang w:eastAsia="en-AU"/>
        </w:rPr>
        <w:t>0</w:t>
      </w:r>
      <w:r w:rsidR="00A83403">
        <w:rPr>
          <w:rFonts w:ascii="Arial" w:hAnsi="Arial" w:cs="Arial"/>
          <w:sz w:val="22"/>
          <w:lang w:eastAsia="en-AU"/>
        </w:rPr>
        <w:t>5</w:t>
      </w:r>
      <w:r w:rsidR="00C229C3">
        <w:rPr>
          <w:rFonts w:ascii="Arial" w:hAnsi="Arial" w:cs="Arial"/>
          <w:sz w:val="22"/>
          <w:lang w:eastAsia="en-AU"/>
        </w:rPr>
        <w:t xml:space="preserve"> </w:t>
      </w:r>
      <w:r w:rsidRPr="006951BF">
        <w:rPr>
          <w:rFonts w:ascii="Arial" w:hAnsi="Arial" w:cs="Arial"/>
          <w:sz w:val="22"/>
          <w:lang w:eastAsia="en-AU"/>
        </w:rPr>
        <w:t xml:space="preserve">of the PBAC Agenda. </w:t>
      </w:r>
      <w:r w:rsidR="00A31269" w:rsidRPr="006951BF">
        <w:rPr>
          <w:rFonts w:ascii="Arial" w:hAnsi="Arial" w:cs="Arial"/>
          <w:sz w:val="22"/>
          <w:lang w:eastAsia="en-AU"/>
        </w:rPr>
        <w:t>DUSC minutes relating to these items were provided to the PBAC</w:t>
      </w:r>
      <w:r w:rsidR="00F8213A">
        <w:rPr>
          <w:rFonts w:ascii="Arial" w:hAnsi="Arial" w:cs="Arial"/>
          <w:sz w:val="22"/>
          <w:lang w:eastAsia="en-AU"/>
        </w:rPr>
        <w:t xml:space="preserve">. </w:t>
      </w:r>
      <w:r w:rsidR="006F6BA6" w:rsidRPr="006F6BA6">
        <w:rPr>
          <w:rFonts w:ascii="Arial" w:hAnsi="Arial" w:cs="Arial"/>
          <w:sz w:val="22"/>
          <w:lang w:eastAsia="en-AU"/>
        </w:rPr>
        <w:t xml:space="preserve">The outcomes of the DUSC consideration of these items are available in the </w:t>
      </w:r>
      <w:hyperlink r:id="rId8" w:history="1">
        <w:r w:rsidR="006F6BA6" w:rsidRPr="006F6BA6">
          <w:rPr>
            <w:rStyle w:val="Hyperlink"/>
            <w:rFonts w:ascii="Arial" w:hAnsi="Arial" w:cs="Arial"/>
            <w:sz w:val="22"/>
            <w:lang w:eastAsia="en-AU"/>
          </w:rPr>
          <w:t>April 2025 DUSC outcome statement</w:t>
        </w:r>
      </w:hyperlink>
      <w:r w:rsidR="006F6BA6" w:rsidRPr="006F6BA6">
        <w:rPr>
          <w:rFonts w:ascii="Arial" w:hAnsi="Arial" w:cs="Arial"/>
          <w:sz w:val="22"/>
          <w:lang w:eastAsia="en-AU"/>
        </w:rPr>
        <w:t>.</w:t>
      </w:r>
    </w:p>
    <w:p w14:paraId="72F6215A" w14:textId="77777777" w:rsidR="00E42CE1" w:rsidRDefault="00E42CE1" w:rsidP="00052897">
      <w:pPr>
        <w:contextualSpacing/>
        <w:jc w:val="both"/>
        <w:rPr>
          <w:rFonts w:ascii="Arial" w:hAnsi="Arial" w:cs="Arial"/>
          <w:sz w:val="22"/>
          <w:lang w:eastAsia="en-AU"/>
        </w:rPr>
      </w:pPr>
    </w:p>
    <w:p w14:paraId="7B6E7751" w14:textId="56B53956" w:rsidR="00E42CE1" w:rsidRDefault="00E42CE1" w:rsidP="00052897">
      <w:pPr>
        <w:contextualSpacing/>
        <w:jc w:val="both"/>
        <w:rPr>
          <w:rFonts w:ascii="Arial" w:eastAsia="Calibri" w:hAnsi="Arial" w:cs="Arial"/>
          <w:b/>
          <w:caps/>
          <w:sz w:val="22"/>
          <w:szCs w:val="22"/>
        </w:rPr>
      </w:pPr>
      <w:r w:rsidRPr="00E42CE1">
        <w:rPr>
          <w:rFonts w:ascii="Arial" w:eastAsia="Calibri" w:hAnsi="Arial" w:cs="Arial"/>
          <w:b/>
          <w:caps/>
          <w:sz w:val="22"/>
          <w:szCs w:val="22"/>
        </w:rPr>
        <w:t xml:space="preserve">FLUTICASONE FUROATE WITH UMECLIDINIUM AND VILANTEROL FOR </w:t>
      </w:r>
      <w:r>
        <w:rPr>
          <w:rFonts w:ascii="Arial" w:eastAsia="Calibri" w:hAnsi="Arial" w:cs="Arial"/>
          <w:b/>
          <w:caps/>
          <w:sz w:val="22"/>
          <w:szCs w:val="22"/>
        </w:rPr>
        <w:t xml:space="preserve">the treatment of </w:t>
      </w:r>
      <w:r w:rsidRPr="00E42CE1">
        <w:rPr>
          <w:rFonts w:ascii="Arial" w:eastAsia="Calibri" w:hAnsi="Arial" w:cs="Arial"/>
          <w:b/>
          <w:caps/>
          <w:sz w:val="22"/>
          <w:szCs w:val="22"/>
        </w:rPr>
        <w:t>SEVERE ASTHMA</w:t>
      </w:r>
    </w:p>
    <w:p w14:paraId="2CB97716" w14:textId="77777777" w:rsidR="00E42CE1" w:rsidRDefault="00E42CE1" w:rsidP="00052897">
      <w:pPr>
        <w:contextualSpacing/>
        <w:jc w:val="both"/>
        <w:rPr>
          <w:rFonts w:ascii="Arial" w:eastAsia="Calibri" w:hAnsi="Arial" w:cs="Arial"/>
          <w:b/>
          <w:caps/>
          <w:sz w:val="22"/>
          <w:szCs w:val="22"/>
        </w:rPr>
      </w:pPr>
    </w:p>
    <w:p w14:paraId="2921D492" w14:textId="77777777" w:rsidR="00E42CE1" w:rsidRDefault="00E42CE1" w:rsidP="00E42CE1">
      <w:pPr>
        <w:contextualSpacing/>
        <w:jc w:val="both"/>
        <w:rPr>
          <w:rFonts w:ascii="Arial" w:hAnsi="Arial" w:cs="Arial"/>
          <w:i/>
          <w:iCs/>
          <w:sz w:val="22"/>
          <w:szCs w:val="22"/>
          <w:lang w:eastAsia="en-AU"/>
        </w:rPr>
      </w:pPr>
      <w:r w:rsidRPr="00250D4C">
        <w:rPr>
          <w:rFonts w:ascii="Arial" w:hAnsi="Arial" w:cs="Arial"/>
          <w:i/>
          <w:iCs/>
          <w:sz w:val="22"/>
          <w:szCs w:val="22"/>
          <w:lang w:eastAsia="en-AU"/>
        </w:rPr>
        <w:t>Outcome</w:t>
      </w:r>
    </w:p>
    <w:p w14:paraId="2624A988" w14:textId="3A70041E" w:rsidR="00E42CE1" w:rsidRPr="00E42CE1" w:rsidRDefault="00E42CE1" w:rsidP="00052897">
      <w:pPr>
        <w:contextualSpacing/>
        <w:jc w:val="both"/>
        <w:rPr>
          <w:rFonts w:ascii="Arial" w:hAnsi="Arial" w:cs="Arial"/>
          <w:sz w:val="22"/>
          <w:lang w:eastAsia="en-AU"/>
        </w:rPr>
      </w:pPr>
      <w:r w:rsidRPr="00E42CE1">
        <w:rPr>
          <w:rFonts w:ascii="Arial" w:hAnsi="Arial" w:cs="Arial"/>
          <w:sz w:val="22"/>
          <w:lang w:eastAsia="en-AU"/>
        </w:rPr>
        <w:t xml:space="preserve">The PBAC noted the rapid increase in the utilisation of the fixed dose combinations for severe asthma. The use of the triple agent regimens in children and adolescents was small relative to the overall market and the use of these products in patients of a younger age was not considered to be a concern. The PBAC considered that the </w:t>
      </w:r>
      <w:r>
        <w:rPr>
          <w:rFonts w:ascii="Arial" w:hAnsi="Arial" w:cs="Arial"/>
          <w:sz w:val="22"/>
          <w:lang w:eastAsia="en-AU"/>
        </w:rPr>
        <w:t>utilisation</w:t>
      </w:r>
      <w:r w:rsidRPr="00E42CE1">
        <w:rPr>
          <w:rFonts w:ascii="Arial" w:hAnsi="Arial" w:cs="Arial"/>
          <w:sz w:val="22"/>
          <w:lang w:eastAsia="en-AU"/>
        </w:rPr>
        <w:t xml:space="preserve"> review indicated that there was a potential quality use of medicines issue of patients first initiating on a triple drug regimen</w:t>
      </w:r>
      <w:r w:rsidR="009618D4">
        <w:rPr>
          <w:rFonts w:ascii="Arial" w:hAnsi="Arial" w:cs="Arial"/>
          <w:sz w:val="22"/>
          <w:lang w:eastAsia="en-AU"/>
        </w:rPr>
        <w:t xml:space="preserve">. The </w:t>
      </w:r>
      <w:r w:rsidR="009618D4" w:rsidRPr="009618D4">
        <w:rPr>
          <w:rFonts w:ascii="Arial" w:hAnsi="Arial" w:cs="Arial"/>
          <w:sz w:val="22"/>
          <w:lang w:eastAsia="en-AU"/>
        </w:rPr>
        <w:t xml:space="preserve">PBAC noted that there was an overlapping population of patients with severe asthma and </w:t>
      </w:r>
      <w:r w:rsidR="009618D4">
        <w:rPr>
          <w:rFonts w:ascii="Arial" w:hAnsi="Arial" w:cs="Arial"/>
          <w:sz w:val="22"/>
          <w:lang w:eastAsia="en-AU"/>
        </w:rPr>
        <w:t>chronic obstructive pulmonary disease (</w:t>
      </w:r>
      <w:r w:rsidR="009618D4" w:rsidRPr="009618D4">
        <w:rPr>
          <w:rFonts w:ascii="Arial" w:hAnsi="Arial" w:cs="Arial"/>
          <w:sz w:val="22"/>
          <w:lang w:eastAsia="en-AU"/>
        </w:rPr>
        <w:t>COPD</w:t>
      </w:r>
      <w:r w:rsidR="009618D4">
        <w:rPr>
          <w:rFonts w:ascii="Arial" w:hAnsi="Arial" w:cs="Arial"/>
          <w:sz w:val="22"/>
          <w:lang w:eastAsia="en-AU"/>
        </w:rPr>
        <w:t>)</w:t>
      </w:r>
      <w:r w:rsidR="009618D4" w:rsidRPr="009618D4">
        <w:rPr>
          <w:rFonts w:ascii="Arial" w:hAnsi="Arial" w:cs="Arial"/>
          <w:sz w:val="22"/>
          <w:lang w:eastAsia="en-AU"/>
        </w:rPr>
        <w:t>. The PBAC requested that its DUSC undertake a further analysis to examine if it was possible to quantify the size of the overlapping population.</w:t>
      </w:r>
    </w:p>
    <w:p w14:paraId="27D1033C" w14:textId="77777777" w:rsidR="00C811BA" w:rsidRDefault="00C811BA" w:rsidP="00052897">
      <w:pPr>
        <w:contextualSpacing/>
        <w:jc w:val="both"/>
        <w:rPr>
          <w:rFonts w:ascii="Arial" w:hAnsi="Arial" w:cs="Arial"/>
          <w:sz w:val="22"/>
          <w:lang w:eastAsia="en-AU"/>
        </w:rPr>
      </w:pPr>
    </w:p>
    <w:p w14:paraId="7BCFDD3C" w14:textId="27620C72" w:rsidR="00C811BA" w:rsidRPr="00C811BA" w:rsidRDefault="00C811BA" w:rsidP="00267819">
      <w:pPr>
        <w:contextualSpacing/>
        <w:rPr>
          <w:rFonts w:ascii="Arial" w:eastAsia="Calibri" w:hAnsi="Arial" w:cs="Arial"/>
          <w:b/>
          <w:caps/>
          <w:sz w:val="22"/>
          <w:szCs w:val="22"/>
        </w:rPr>
      </w:pPr>
      <w:r w:rsidRPr="00C811BA">
        <w:rPr>
          <w:rFonts w:ascii="Arial" w:eastAsia="Calibri" w:hAnsi="Arial" w:cs="Arial"/>
          <w:b/>
          <w:caps/>
          <w:sz w:val="22"/>
          <w:szCs w:val="22"/>
        </w:rPr>
        <w:t>MEDICINES FOR THE TREATMENT OF GASTROINTESTINAL STROMAL TUMOURS</w:t>
      </w:r>
    </w:p>
    <w:p w14:paraId="0BE40B6A" w14:textId="77777777" w:rsidR="000E2791" w:rsidRDefault="000E2791" w:rsidP="00B139EF">
      <w:pPr>
        <w:rPr>
          <w:rFonts w:ascii="Arial" w:eastAsia="Calibri" w:hAnsi="Arial" w:cs="Arial"/>
          <w:b/>
          <w:caps/>
          <w:sz w:val="22"/>
          <w:szCs w:val="22"/>
        </w:rPr>
      </w:pPr>
    </w:p>
    <w:p w14:paraId="6E53B5E6" w14:textId="4DDBD5ED" w:rsidR="00C811BA" w:rsidRDefault="00FE3BDD" w:rsidP="00250D4C">
      <w:pPr>
        <w:contextualSpacing/>
        <w:jc w:val="both"/>
        <w:rPr>
          <w:rFonts w:ascii="Arial" w:hAnsi="Arial" w:cs="Arial"/>
          <w:i/>
          <w:iCs/>
          <w:sz w:val="22"/>
          <w:szCs w:val="22"/>
          <w:lang w:eastAsia="en-AU"/>
        </w:rPr>
      </w:pPr>
      <w:r w:rsidRPr="00250D4C">
        <w:rPr>
          <w:rFonts w:ascii="Arial" w:hAnsi="Arial" w:cs="Arial"/>
          <w:i/>
          <w:iCs/>
          <w:sz w:val="22"/>
          <w:szCs w:val="22"/>
          <w:lang w:eastAsia="en-AU"/>
        </w:rPr>
        <w:t>Outcome</w:t>
      </w:r>
    </w:p>
    <w:p w14:paraId="64872477" w14:textId="50899DC4" w:rsidR="00D24B42" w:rsidRPr="00D24B42" w:rsidRDefault="00D24B42" w:rsidP="00C811BA">
      <w:pPr>
        <w:contextualSpacing/>
        <w:jc w:val="both"/>
        <w:rPr>
          <w:rFonts w:ascii="Arial" w:hAnsi="Arial" w:cs="Arial"/>
          <w:sz w:val="22"/>
          <w:szCs w:val="22"/>
          <w:lang w:eastAsia="en-AU"/>
        </w:rPr>
      </w:pPr>
      <w:r>
        <w:rPr>
          <w:rFonts w:ascii="Arial" w:hAnsi="Arial" w:cs="Arial"/>
          <w:sz w:val="22"/>
          <w:szCs w:val="22"/>
          <w:lang w:eastAsia="en-AU"/>
        </w:rPr>
        <w:t xml:space="preserve">The PBAC noted that the </w:t>
      </w:r>
      <w:r w:rsidRPr="00D24B42">
        <w:rPr>
          <w:rFonts w:ascii="Arial" w:hAnsi="Arial" w:cs="Arial"/>
          <w:sz w:val="22"/>
          <w:szCs w:val="22"/>
          <w:lang w:eastAsia="en-AU"/>
        </w:rPr>
        <w:t xml:space="preserve">utilisation of the adjuvant and metastatic </w:t>
      </w:r>
      <w:r>
        <w:rPr>
          <w:rFonts w:ascii="Arial" w:hAnsi="Arial" w:cs="Arial"/>
          <w:sz w:val="22"/>
          <w:szCs w:val="22"/>
          <w:lang w:eastAsia="en-AU"/>
        </w:rPr>
        <w:t>gastrointestinal stromal tumours (</w:t>
      </w:r>
      <w:r w:rsidRPr="00D24B42">
        <w:rPr>
          <w:rFonts w:ascii="Arial" w:hAnsi="Arial" w:cs="Arial"/>
          <w:sz w:val="22"/>
          <w:szCs w:val="22"/>
          <w:lang w:eastAsia="en-AU"/>
        </w:rPr>
        <w:t>GIST</w:t>
      </w:r>
      <w:r>
        <w:rPr>
          <w:rFonts w:ascii="Arial" w:hAnsi="Arial" w:cs="Arial"/>
          <w:sz w:val="22"/>
          <w:szCs w:val="22"/>
          <w:lang w:eastAsia="en-AU"/>
        </w:rPr>
        <w:t>)</w:t>
      </w:r>
      <w:r w:rsidRPr="00D24B42">
        <w:rPr>
          <w:rFonts w:ascii="Arial" w:hAnsi="Arial" w:cs="Arial"/>
          <w:sz w:val="22"/>
          <w:szCs w:val="22"/>
          <w:lang w:eastAsia="en-AU"/>
        </w:rPr>
        <w:t xml:space="preserve"> PBS listings had been stabilising since the second quarter of 2022.</w:t>
      </w:r>
    </w:p>
    <w:p w14:paraId="1F5055AE" w14:textId="77777777" w:rsidR="00D24B42" w:rsidRDefault="00D24B42" w:rsidP="00C811BA">
      <w:pPr>
        <w:contextualSpacing/>
        <w:jc w:val="both"/>
        <w:rPr>
          <w:rFonts w:ascii="Arial" w:hAnsi="Arial" w:cs="Arial"/>
          <w:sz w:val="22"/>
          <w:szCs w:val="22"/>
          <w:lang w:eastAsia="en-AU"/>
        </w:rPr>
      </w:pPr>
    </w:p>
    <w:p w14:paraId="4DF49974" w14:textId="0E9A1BF7" w:rsidR="00C811BA" w:rsidRPr="00C811BA" w:rsidRDefault="00C811BA" w:rsidP="00C811BA">
      <w:pPr>
        <w:contextualSpacing/>
        <w:jc w:val="both"/>
        <w:rPr>
          <w:rFonts w:ascii="Arial" w:hAnsi="Arial" w:cs="Arial"/>
          <w:sz w:val="22"/>
          <w:szCs w:val="22"/>
          <w:lang w:eastAsia="en-AU"/>
        </w:rPr>
      </w:pPr>
      <w:r w:rsidRPr="00C811BA">
        <w:rPr>
          <w:rFonts w:ascii="Arial" w:hAnsi="Arial" w:cs="Arial"/>
          <w:sz w:val="22"/>
          <w:szCs w:val="22"/>
          <w:lang w:eastAsia="en-AU"/>
        </w:rPr>
        <w:t>The PBAC recommended amending the circumstances under which imatinib is listed under the General Schedule for GIST, including:</w:t>
      </w:r>
    </w:p>
    <w:p w14:paraId="3BAFE8BC" w14:textId="77777777" w:rsidR="00C811BA" w:rsidRPr="00C811BA" w:rsidRDefault="00C811BA" w:rsidP="00C811BA">
      <w:pPr>
        <w:pStyle w:val="ListParagraph"/>
        <w:numPr>
          <w:ilvl w:val="0"/>
          <w:numId w:val="14"/>
        </w:numPr>
        <w:ind w:left="426" w:hanging="284"/>
        <w:jc w:val="both"/>
        <w:rPr>
          <w:rFonts w:cs="Arial"/>
          <w:szCs w:val="22"/>
        </w:rPr>
      </w:pPr>
      <w:r w:rsidRPr="00C811BA">
        <w:rPr>
          <w:rFonts w:cs="Arial"/>
          <w:szCs w:val="22"/>
        </w:rPr>
        <w:t>consolidating the listings for GIST into a single Authority Required (Streamlined) listing for ‘gastrointestinal stromal tumour</w:t>
      </w:r>
      <w:proofErr w:type="gramStart"/>
      <w:r w:rsidRPr="00C811BA">
        <w:rPr>
          <w:rFonts w:cs="Arial"/>
          <w:szCs w:val="22"/>
        </w:rPr>
        <w:t>’;</w:t>
      </w:r>
      <w:proofErr w:type="gramEnd"/>
    </w:p>
    <w:p w14:paraId="668035DB" w14:textId="77777777" w:rsidR="00C811BA" w:rsidRPr="00C811BA" w:rsidRDefault="00C811BA" w:rsidP="00C811BA">
      <w:pPr>
        <w:pStyle w:val="ListParagraph"/>
        <w:numPr>
          <w:ilvl w:val="0"/>
          <w:numId w:val="14"/>
        </w:numPr>
        <w:spacing w:before="120" w:after="120"/>
        <w:ind w:left="426" w:hanging="284"/>
        <w:jc w:val="both"/>
        <w:rPr>
          <w:rFonts w:cs="Arial"/>
          <w:szCs w:val="22"/>
        </w:rPr>
      </w:pPr>
      <w:r w:rsidRPr="00C811BA">
        <w:rPr>
          <w:rFonts w:cs="Arial"/>
          <w:szCs w:val="22"/>
        </w:rPr>
        <w:t>the removal of additional clinical criteria; and</w:t>
      </w:r>
    </w:p>
    <w:p w14:paraId="5F9F1049" w14:textId="77777777" w:rsidR="00C811BA" w:rsidRPr="00C811BA" w:rsidRDefault="00C811BA" w:rsidP="00C811BA">
      <w:pPr>
        <w:pStyle w:val="ListParagraph"/>
        <w:numPr>
          <w:ilvl w:val="0"/>
          <w:numId w:val="14"/>
        </w:numPr>
        <w:spacing w:before="120" w:after="120"/>
        <w:ind w:left="426" w:hanging="284"/>
        <w:jc w:val="both"/>
        <w:rPr>
          <w:rFonts w:cs="Arial"/>
          <w:szCs w:val="22"/>
        </w:rPr>
      </w:pPr>
      <w:r w:rsidRPr="00C811BA">
        <w:rPr>
          <w:rFonts w:cs="Arial"/>
          <w:szCs w:val="22"/>
        </w:rPr>
        <w:t>the removal of the note ‘No increase in the maximum number of repeats may be authorised’.</w:t>
      </w:r>
    </w:p>
    <w:p w14:paraId="7C40BD3B" w14:textId="77777777" w:rsidR="00C811BA" w:rsidRDefault="00C811BA" w:rsidP="00250D4C">
      <w:pPr>
        <w:contextualSpacing/>
        <w:jc w:val="both"/>
        <w:rPr>
          <w:rFonts w:ascii="Arial" w:hAnsi="Arial" w:cs="Arial"/>
          <w:i/>
          <w:iCs/>
          <w:sz w:val="22"/>
          <w:szCs w:val="22"/>
          <w:lang w:eastAsia="en-AU"/>
        </w:rPr>
      </w:pPr>
    </w:p>
    <w:p w14:paraId="104C4357" w14:textId="03EA1DE3" w:rsidR="00B139EF" w:rsidRPr="00C96A3F" w:rsidRDefault="00C96A3F" w:rsidP="00AC78CB">
      <w:pPr>
        <w:contextualSpacing/>
        <w:rPr>
          <w:rFonts w:ascii="Arial" w:eastAsia="Calibri" w:hAnsi="Arial" w:cs="Arial"/>
          <w:b/>
          <w:caps/>
          <w:sz w:val="22"/>
          <w:szCs w:val="22"/>
        </w:rPr>
      </w:pPr>
      <w:r w:rsidRPr="00C96A3F">
        <w:rPr>
          <w:rFonts w:ascii="Arial" w:eastAsia="Calibri" w:hAnsi="Arial" w:cs="Arial"/>
          <w:b/>
          <w:caps/>
          <w:sz w:val="22"/>
          <w:szCs w:val="22"/>
        </w:rPr>
        <w:t xml:space="preserve">ZANUBRUTINIB FOR </w:t>
      </w:r>
      <w:r w:rsidR="00923A78">
        <w:rPr>
          <w:rFonts w:ascii="Arial" w:eastAsia="Calibri" w:hAnsi="Arial" w:cs="Arial"/>
          <w:b/>
          <w:caps/>
          <w:sz w:val="22"/>
          <w:szCs w:val="22"/>
        </w:rPr>
        <w:t xml:space="preserve">the treatment of </w:t>
      </w:r>
      <w:r w:rsidRPr="00C96A3F">
        <w:rPr>
          <w:rFonts w:ascii="Arial" w:eastAsia="Calibri" w:hAnsi="Arial" w:cs="Arial"/>
          <w:b/>
          <w:caps/>
          <w:sz w:val="22"/>
          <w:szCs w:val="22"/>
        </w:rPr>
        <w:t>WALDENSTROM MACROGLOBULINAEMIA</w:t>
      </w:r>
    </w:p>
    <w:p w14:paraId="717FC600" w14:textId="77777777" w:rsidR="00C62ED6" w:rsidRPr="008F5977" w:rsidRDefault="00C62ED6" w:rsidP="00052897">
      <w:pPr>
        <w:contextualSpacing/>
        <w:jc w:val="both"/>
        <w:rPr>
          <w:rFonts w:ascii="Arial" w:hAnsi="Arial" w:cs="Arial"/>
          <w:sz w:val="22"/>
          <w:szCs w:val="22"/>
          <w:lang w:eastAsia="en-AU"/>
        </w:rPr>
      </w:pPr>
    </w:p>
    <w:p w14:paraId="3B7D3EF3" w14:textId="77777777" w:rsidR="00C96A3F" w:rsidRDefault="00C96A3F" w:rsidP="00C96A3F">
      <w:pPr>
        <w:contextualSpacing/>
        <w:jc w:val="both"/>
        <w:rPr>
          <w:rFonts w:ascii="Arial" w:hAnsi="Arial" w:cs="Arial"/>
          <w:i/>
          <w:iCs/>
          <w:sz w:val="22"/>
          <w:szCs w:val="22"/>
          <w:lang w:eastAsia="en-AU"/>
        </w:rPr>
      </w:pPr>
      <w:r w:rsidRPr="00250D4C">
        <w:rPr>
          <w:rFonts w:ascii="Arial" w:hAnsi="Arial" w:cs="Arial"/>
          <w:i/>
          <w:iCs/>
          <w:sz w:val="22"/>
          <w:szCs w:val="22"/>
          <w:lang w:eastAsia="en-AU"/>
        </w:rPr>
        <w:t>Outcome</w:t>
      </w:r>
    </w:p>
    <w:p w14:paraId="0F259A81" w14:textId="3CF6CC03" w:rsidR="00996049" w:rsidRPr="00996049" w:rsidRDefault="00923A78" w:rsidP="00996049">
      <w:pPr>
        <w:spacing w:before="120" w:after="120"/>
        <w:jc w:val="both"/>
        <w:rPr>
          <w:rFonts w:ascii="Arial" w:hAnsi="Arial" w:cs="Arial"/>
          <w:sz w:val="22"/>
          <w:szCs w:val="22"/>
          <w:lang w:eastAsia="en-AU"/>
        </w:rPr>
      </w:pPr>
      <w:r w:rsidRPr="00216E50">
        <w:rPr>
          <w:rFonts w:ascii="Arial" w:hAnsi="Arial" w:cs="Arial"/>
          <w:sz w:val="22"/>
          <w:szCs w:val="22"/>
          <w:lang w:eastAsia="en-AU"/>
        </w:rPr>
        <w:t>The PBAC noted that the size of the PBS population supplied zanubrutinib was relatively small (723 patients in 2023-24).</w:t>
      </w:r>
      <w:r w:rsidR="00820EAA" w:rsidRPr="00216E50">
        <w:rPr>
          <w:rFonts w:ascii="Arial" w:hAnsi="Arial" w:cs="Arial"/>
          <w:sz w:val="22"/>
          <w:szCs w:val="22"/>
          <w:lang w:eastAsia="en-AU"/>
        </w:rPr>
        <w:t xml:space="preserve"> </w:t>
      </w:r>
      <w:r w:rsidR="00996049">
        <w:rPr>
          <w:rFonts w:ascii="Arial" w:hAnsi="Arial" w:cs="Arial"/>
          <w:sz w:val="22"/>
          <w:szCs w:val="22"/>
          <w:lang w:eastAsia="en-AU"/>
        </w:rPr>
        <w:t xml:space="preserve">The </w:t>
      </w:r>
      <w:r w:rsidR="00996049" w:rsidRPr="00996049">
        <w:rPr>
          <w:rFonts w:ascii="Arial" w:hAnsi="Arial" w:cs="Arial"/>
          <w:sz w:val="22"/>
          <w:szCs w:val="22"/>
          <w:lang w:eastAsia="en-AU"/>
        </w:rPr>
        <w:t xml:space="preserve">PBAC noted that </w:t>
      </w:r>
      <w:proofErr w:type="gramStart"/>
      <w:r w:rsidR="00996049" w:rsidRPr="00996049">
        <w:rPr>
          <w:rFonts w:ascii="Arial" w:hAnsi="Arial" w:cs="Arial"/>
          <w:sz w:val="22"/>
          <w:szCs w:val="22"/>
          <w:lang w:eastAsia="en-AU"/>
        </w:rPr>
        <w:t>the majority of</w:t>
      </w:r>
      <w:proofErr w:type="gramEnd"/>
      <w:r w:rsidR="00996049" w:rsidRPr="00996049">
        <w:rPr>
          <w:rFonts w:ascii="Arial" w:hAnsi="Arial" w:cs="Arial"/>
          <w:sz w:val="22"/>
          <w:szCs w:val="22"/>
          <w:lang w:eastAsia="en-AU"/>
        </w:rPr>
        <w:t xml:space="preserve"> patients were supplied the highest strength (320 mg) which may indicate that few patients have a down titration of their dose due to toxicity.</w:t>
      </w:r>
      <w:r w:rsidR="0043596C">
        <w:rPr>
          <w:rFonts w:ascii="Arial" w:hAnsi="Arial" w:cs="Arial"/>
          <w:sz w:val="22"/>
          <w:szCs w:val="22"/>
          <w:lang w:eastAsia="en-AU"/>
        </w:rPr>
        <w:t xml:space="preserve"> </w:t>
      </w:r>
      <w:r w:rsidR="007844F2" w:rsidRPr="007844F2">
        <w:rPr>
          <w:rFonts w:ascii="Arial" w:hAnsi="Arial" w:cs="Arial"/>
          <w:sz w:val="22"/>
          <w:szCs w:val="22"/>
          <w:lang w:eastAsia="en-AU"/>
        </w:rPr>
        <w:t xml:space="preserve">The PBAC requested for the removal of clinical criteria ‘The condition must have relapsed or be refractory to at least one prior </w:t>
      </w:r>
      <w:r w:rsidR="007844F2" w:rsidRPr="007844F2">
        <w:rPr>
          <w:rFonts w:ascii="Arial" w:hAnsi="Arial" w:cs="Arial"/>
          <w:sz w:val="22"/>
          <w:szCs w:val="22"/>
          <w:lang w:eastAsia="en-AU"/>
        </w:rPr>
        <w:lastRenderedPageBreak/>
        <w:t>chemo-immunotherapy’ and the introduction of separate PBS item codes for first- and subsequent- lines of therapy to be considered at a future PBAC meeting</w:t>
      </w:r>
      <w:r w:rsidR="007844F2">
        <w:rPr>
          <w:rFonts w:ascii="Arial" w:hAnsi="Arial" w:cs="Arial"/>
          <w:sz w:val="22"/>
          <w:szCs w:val="22"/>
          <w:lang w:eastAsia="en-AU"/>
        </w:rPr>
        <w:t>.</w:t>
      </w:r>
    </w:p>
    <w:p w14:paraId="452F2031" w14:textId="30A4F253" w:rsidR="002879B4" w:rsidRPr="008F5977" w:rsidRDefault="002879B4" w:rsidP="002879B4">
      <w:pPr>
        <w:contextualSpacing/>
        <w:jc w:val="both"/>
        <w:rPr>
          <w:rFonts w:ascii="Arial" w:hAnsi="Arial" w:cs="Arial"/>
          <w:sz w:val="22"/>
          <w:szCs w:val="22"/>
          <w:lang w:eastAsia="en-AU"/>
        </w:rPr>
      </w:pPr>
    </w:p>
    <w:p w14:paraId="291DF105" w14:textId="78ACE6E6" w:rsidR="00921543" w:rsidRPr="008F5977" w:rsidRDefault="00921543" w:rsidP="00973009">
      <w:pPr>
        <w:contextualSpacing/>
        <w:jc w:val="both"/>
        <w:rPr>
          <w:rFonts w:ascii="Arial" w:hAnsi="Arial" w:cs="Arial"/>
          <w:bCs/>
          <w:sz w:val="22"/>
          <w:lang w:eastAsia="en-AU"/>
        </w:rPr>
      </w:pPr>
    </w:p>
    <w:sectPr w:rsidR="00921543" w:rsidRPr="008F5977" w:rsidSect="007A2421">
      <w:headerReference w:type="default" r:id="rId9"/>
      <w:footerReference w:type="default" r:id="rId10"/>
      <w:pgSz w:w="11906" w:h="16838"/>
      <w:pgMar w:top="1440" w:right="1800" w:bottom="1440" w:left="180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11AE3" w14:textId="77777777" w:rsidR="00692238" w:rsidRDefault="00692238">
      <w:r>
        <w:separator/>
      </w:r>
    </w:p>
  </w:endnote>
  <w:endnote w:type="continuationSeparator" w:id="0">
    <w:p w14:paraId="35656153" w14:textId="77777777" w:rsidR="00692238" w:rsidRDefault="0069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F5BA" w14:textId="77777777" w:rsidR="001F312C" w:rsidRPr="004630FE" w:rsidRDefault="001F312C">
    <w:pPr>
      <w:pStyle w:val="Footer"/>
      <w:jc w:val="center"/>
      <w:rPr>
        <w:rFonts w:ascii="Arial" w:hAnsi="Arial" w:cs="Arial"/>
        <w:sz w:val="22"/>
      </w:rPr>
    </w:pPr>
  </w:p>
  <w:p w14:paraId="0A6D77EE" w14:textId="1328933C" w:rsidR="001F312C" w:rsidRPr="00EC37B4" w:rsidRDefault="001F312C" w:rsidP="00EC37B4">
    <w:pPr>
      <w:pStyle w:val="Footer"/>
      <w:jc w:val="center"/>
      <w:rPr>
        <w:rFonts w:ascii="Arial" w:hAnsi="Arial" w:cs="Arial"/>
        <w:sz w:val="22"/>
      </w:rPr>
    </w:pPr>
    <w:r w:rsidRPr="004630FE">
      <w:rPr>
        <w:rFonts w:ascii="Arial" w:hAnsi="Arial" w:cs="Arial"/>
        <w:sz w:val="22"/>
      </w:rPr>
      <w:fldChar w:fldCharType="begin"/>
    </w:r>
    <w:r w:rsidRPr="004630FE">
      <w:rPr>
        <w:rFonts w:ascii="Arial" w:hAnsi="Arial" w:cs="Arial"/>
        <w:sz w:val="22"/>
      </w:rPr>
      <w:instrText xml:space="preserve"> PAGE   \* MERGEFORMAT </w:instrText>
    </w:r>
    <w:r w:rsidRPr="004630FE">
      <w:rPr>
        <w:rFonts w:ascii="Arial" w:hAnsi="Arial" w:cs="Arial"/>
        <w:sz w:val="22"/>
      </w:rPr>
      <w:fldChar w:fldCharType="separate"/>
    </w:r>
    <w:r w:rsidR="00B84143">
      <w:rPr>
        <w:rFonts w:ascii="Arial" w:hAnsi="Arial" w:cs="Arial"/>
        <w:noProof/>
        <w:sz w:val="22"/>
      </w:rPr>
      <w:t>3</w:t>
    </w:r>
    <w:r w:rsidRPr="004630FE">
      <w:rPr>
        <w:rFonts w:ascii="Arial" w:hAnsi="Arial" w:cs="Arial"/>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D4DFA" w14:textId="77777777" w:rsidR="00692238" w:rsidRDefault="00692238">
      <w:r>
        <w:separator/>
      </w:r>
    </w:p>
  </w:footnote>
  <w:footnote w:type="continuationSeparator" w:id="0">
    <w:p w14:paraId="1588D297" w14:textId="77777777" w:rsidR="00692238" w:rsidRDefault="00692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87D6" w14:textId="21F5E360" w:rsidR="001F312C" w:rsidRPr="00520B6E" w:rsidRDefault="00A83403" w:rsidP="004630FE">
    <w:pPr>
      <w:tabs>
        <w:tab w:val="center" w:pos="4153"/>
        <w:tab w:val="right" w:pos="8306"/>
      </w:tabs>
      <w:jc w:val="center"/>
      <w:rPr>
        <w:rFonts w:ascii="Arial" w:hAnsi="Arial" w:cs="Arial"/>
        <w:b/>
        <w:sz w:val="20"/>
      </w:rPr>
    </w:pPr>
    <w:r>
      <w:rPr>
        <w:rFonts w:ascii="Arial" w:hAnsi="Arial" w:cs="Arial"/>
        <w:b/>
        <w:caps/>
        <w:sz w:val="20"/>
      </w:rPr>
      <w:t>MAY 2025</w:t>
    </w:r>
    <w:r w:rsidR="001F312C" w:rsidRPr="00341E66">
      <w:rPr>
        <w:rFonts w:ascii="Arial" w:hAnsi="Arial" w:cs="Arial"/>
        <w:b/>
        <w:sz w:val="20"/>
      </w:rPr>
      <w:t xml:space="preserve"> </w:t>
    </w:r>
    <w:r w:rsidR="001F312C" w:rsidRPr="00520B6E">
      <w:rPr>
        <w:rFonts w:ascii="Arial" w:hAnsi="Arial" w:cs="Arial"/>
        <w:b/>
        <w:sz w:val="20"/>
      </w:rPr>
      <w:t>PBAC M</w:t>
    </w:r>
    <w:r w:rsidR="001F312C">
      <w:rPr>
        <w:rFonts w:ascii="Arial" w:hAnsi="Arial" w:cs="Arial"/>
        <w:b/>
        <w:sz w:val="20"/>
      </w:rPr>
      <w:t>EETING – CONSIDERATION OF THE</w:t>
    </w:r>
    <w:r w:rsidR="001F312C" w:rsidRPr="00520B6E">
      <w:rPr>
        <w:rFonts w:ascii="Arial" w:hAnsi="Arial" w:cs="Arial"/>
        <w:b/>
        <w:sz w:val="20"/>
      </w:rPr>
      <w:t xml:space="preserve"> </w:t>
    </w:r>
    <w:r w:rsidR="001F312C">
      <w:rPr>
        <w:rFonts w:ascii="Arial" w:hAnsi="Arial" w:cs="Arial"/>
        <w:b/>
        <w:sz w:val="20"/>
      </w:rPr>
      <w:t>REPORT OF THE DRUG UTILISATION SUB</w:t>
    </w:r>
    <w:r w:rsidR="001F312C">
      <w:rPr>
        <w:rFonts w:ascii="Arial" w:hAnsi="Arial" w:cs="Arial"/>
        <w:b/>
        <w:sz w:val="20"/>
      </w:rPr>
      <w:noBreakHyphen/>
      <w:t>COMMITTEE</w:t>
    </w:r>
  </w:p>
  <w:p w14:paraId="6758E2CC" w14:textId="77777777" w:rsidR="001F312C" w:rsidRDefault="001F3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68F"/>
    <w:multiLevelType w:val="hybridMultilevel"/>
    <w:tmpl w:val="8FEA9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C60536"/>
    <w:multiLevelType w:val="multilevel"/>
    <w:tmpl w:val="2A8A66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E9208E"/>
    <w:multiLevelType w:val="hybridMultilevel"/>
    <w:tmpl w:val="28E061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4BB16DE"/>
    <w:multiLevelType w:val="multilevel"/>
    <w:tmpl w:val="51AA4F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AB031B9"/>
    <w:multiLevelType w:val="multilevel"/>
    <w:tmpl w:val="6A0E1B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4C1A3A"/>
    <w:multiLevelType w:val="hybridMultilevel"/>
    <w:tmpl w:val="C1B245C0"/>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6" w15:restartNumberingAfterBreak="0">
    <w:nsid w:val="48DD109F"/>
    <w:multiLevelType w:val="multilevel"/>
    <w:tmpl w:val="95D6B714"/>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48DD1D32"/>
    <w:multiLevelType w:val="hybridMultilevel"/>
    <w:tmpl w:val="97CE3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050041"/>
    <w:multiLevelType w:val="multilevel"/>
    <w:tmpl w:val="5CB87B68"/>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0FC76BD"/>
    <w:multiLevelType w:val="hybridMultilevel"/>
    <w:tmpl w:val="F474C00E"/>
    <w:lvl w:ilvl="0" w:tplc="BF768F3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5E65A0"/>
    <w:multiLevelType w:val="hybridMultilevel"/>
    <w:tmpl w:val="D0169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BD522C5"/>
    <w:multiLevelType w:val="multilevel"/>
    <w:tmpl w:val="4E1A9C78"/>
    <w:lvl w:ilvl="0">
      <w:start w:val="1"/>
      <w:numFmt w:val="decimal"/>
      <w:lvlText w:val="%1"/>
      <w:lvlJc w:val="left"/>
      <w:pPr>
        <w:ind w:left="1440" w:hanging="720"/>
      </w:pPr>
      <w:rPr>
        <w:rFonts w:hint="default"/>
      </w:rPr>
    </w:lvl>
    <w:lvl w:ilvl="1">
      <w:start w:val="1"/>
      <w:numFmt w:val="bullet"/>
      <w:lvlText w:val=""/>
      <w:lvlJc w:val="left"/>
      <w:pPr>
        <w:ind w:left="1440" w:hanging="720"/>
      </w:pPr>
      <w:rPr>
        <w:rFonts w:ascii="Symbol" w:hAnsi="Symbol" w:hint="default"/>
        <w:i w:val="0"/>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784D757A"/>
    <w:multiLevelType w:val="hybridMultilevel"/>
    <w:tmpl w:val="ABC2A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874411"/>
    <w:multiLevelType w:val="multilevel"/>
    <w:tmpl w:val="29F890DE"/>
    <w:lvl w:ilvl="0">
      <w:start w:val="1"/>
      <w:numFmt w:val="bullet"/>
      <w:lvlText w:val=""/>
      <w:lvlJc w:val="left"/>
      <w:pPr>
        <w:ind w:left="720" w:hanging="72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678199203">
    <w:abstractNumId w:val="13"/>
  </w:num>
  <w:num w:numId="2" w16cid:durableId="1589389630">
    <w:abstractNumId w:val="8"/>
  </w:num>
  <w:num w:numId="3" w16cid:durableId="1547256440">
    <w:abstractNumId w:val="4"/>
  </w:num>
  <w:num w:numId="4" w16cid:durableId="405959758">
    <w:abstractNumId w:val="9"/>
  </w:num>
  <w:num w:numId="5" w16cid:durableId="95175730">
    <w:abstractNumId w:val="6"/>
  </w:num>
  <w:num w:numId="6" w16cid:durableId="1082995549">
    <w:abstractNumId w:val="11"/>
  </w:num>
  <w:num w:numId="7" w16cid:durableId="1388995512">
    <w:abstractNumId w:val="3"/>
  </w:num>
  <w:num w:numId="8" w16cid:durableId="2034452257">
    <w:abstractNumId w:val="5"/>
  </w:num>
  <w:num w:numId="9" w16cid:durableId="2011633779">
    <w:abstractNumId w:val="12"/>
  </w:num>
  <w:num w:numId="10" w16cid:durableId="1838376336">
    <w:abstractNumId w:val="10"/>
  </w:num>
  <w:num w:numId="11" w16cid:durableId="301230094">
    <w:abstractNumId w:val="0"/>
  </w:num>
  <w:num w:numId="12" w16cid:durableId="763184617">
    <w:abstractNumId w:val="7"/>
  </w:num>
  <w:num w:numId="13" w16cid:durableId="1905749045">
    <w:abstractNumId w:val="1"/>
  </w:num>
  <w:num w:numId="14" w16cid:durableId="1953782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36A"/>
    <w:rsid w:val="0000028F"/>
    <w:rsid w:val="00015D78"/>
    <w:rsid w:val="00016CBD"/>
    <w:rsid w:val="0002143A"/>
    <w:rsid w:val="00022BF9"/>
    <w:rsid w:val="00027CEB"/>
    <w:rsid w:val="00034F16"/>
    <w:rsid w:val="0003556F"/>
    <w:rsid w:val="000413ED"/>
    <w:rsid w:val="000437B9"/>
    <w:rsid w:val="00046F5C"/>
    <w:rsid w:val="00047A4B"/>
    <w:rsid w:val="00050E03"/>
    <w:rsid w:val="000510DE"/>
    <w:rsid w:val="00052897"/>
    <w:rsid w:val="00053A39"/>
    <w:rsid w:val="00053F80"/>
    <w:rsid w:val="0006056A"/>
    <w:rsid w:val="000606D4"/>
    <w:rsid w:val="00060A45"/>
    <w:rsid w:val="0007306F"/>
    <w:rsid w:val="00080336"/>
    <w:rsid w:val="00084B66"/>
    <w:rsid w:val="0008741B"/>
    <w:rsid w:val="00092D31"/>
    <w:rsid w:val="00095F78"/>
    <w:rsid w:val="000A160F"/>
    <w:rsid w:val="000A2CDC"/>
    <w:rsid w:val="000A37FB"/>
    <w:rsid w:val="000B2DD0"/>
    <w:rsid w:val="000B3012"/>
    <w:rsid w:val="000C5770"/>
    <w:rsid w:val="000C6902"/>
    <w:rsid w:val="000E2791"/>
    <w:rsid w:val="000E4B3A"/>
    <w:rsid w:val="000F1997"/>
    <w:rsid w:val="000F1D2B"/>
    <w:rsid w:val="0010257C"/>
    <w:rsid w:val="0012151C"/>
    <w:rsid w:val="00132A6A"/>
    <w:rsid w:val="0014056F"/>
    <w:rsid w:val="001416A4"/>
    <w:rsid w:val="00150970"/>
    <w:rsid w:val="00156D69"/>
    <w:rsid w:val="00164CD2"/>
    <w:rsid w:val="00171A7A"/>
    <w:rsid w:val="00176F11"/>
    <w:rsid w:val="0018016B"/>
    <w:rsid w:val="00180E7D"/>
    <w:rsid w:val="001B2984"/>
    <w:rsid w:val="001B5725"/>
    <w:rsid w:val="001B5726"/>
    <w:rsid w:val="001B648D"/>
    <w:rsid w:val="001C658A"/>
    <w:rsid w:val="001D0ACE"/>
    <w:rsid w:val="001D0B69"/>
    <w:rsid w:val="001D1F90"/>
    <w:rsid w:val="001D38C7"/>
    <w:rsid w:val="001D42A8"/>
    <w:rsid w:val="001D45AF"/>
    <w:rsid w:val="001E1951"/>
    <w:rsid w:val="001E7E86"/>
    <w:rsid w:val="001F0355"/>
    <w:rsid w:val="001F312C"/>
    <w:rsid w:val="001F4B84"/>
    <w:rsid w:val="00215203"/>
    <w:rsid w:val="00215DE5"/>
    <w:rsid w:val="00216E50"/>
    <w:rsid w:val="0022150A"/>
    <w:rsid w:val="00222E8B"/>
    <w:rsid w:val="002374AC"/>
    <w:rsid w:val="00244B20"/>
    <w:rsid w:val="00250A1C"/>
    <w:rsid w:val="00250D4C"/>
    <w:rsid w:val="00251848"/>
    <w:rsid w:val="00265781"/>
    <w:rsid w:val="00267819"/>
    <w:rsid w:val="00267A9D"/>
    <w:rsid w:val="002754CF"/>
    <w:rsid w:val="002756E4"/>
    <w:rsid w:val="0028590B"/>
    <w:rsid w:val="002879B4"/>
    <w:rsid w:val="002A0EF1"/>
    <w:rsid w:val="002D4006"/>
    <w:rsid w:val="002D7178"/>
    <w:rsid w:val="002E5D73"/>
    <w:rsid w:val="002E7273"/>
    <w:rsid w:val="002F3398"/>
    <w:rsid w:val="002F7591"/>
    <w:rsid w:val="002F775E"/>
    <w:rsid w:val="00301E55"/>
    <w:rsid w:val="00310423"/>
    <w:rsid w:val="0031133D"/>
    <w:rsid w:val="003172AB"/>
    <w:rsid w:val="003211BA"/>
    <w:rsid w:val="003232E1"/>
    <w:rsid w:val="00326328"/>
    <w:rsid w:val="00332BA2"/>
    <w:rsid w:val="0034025C"/>
    <w:rsid w:val="00341334"/>
    <w:rsid w:val="00341E66"/>
    <w:rsid w:val="00347C95"/>
    <w:rsid w:val="00350620"/>
    <w:rsid w:val="003603AD"/>
    <w:rsid w:val="00362AC3"/>
    <w:rsid w:val="003637C8"/>
    <w:rsid w:val="0037227B"/>
    <w:rsid w:val="00383568"/>
    <w:rsid w:val="00385940"/>
    <w:rsid w:val="00397836"/>
    <w:rsid w:val="003A0382"/>
    <w:rsid w:val="003A5212"/>
    <w:rsid w:val="003B0BEA"/>
    <w:rsid w:val="003B695E"/>
    <w:rsid w:val="003B79EE"/>
    <w:rsid w:val="003C2B83"/>
    <w:rsid w:val="003D43E0"/>
    <w:rsid w:val="003D52DC"/>
    <w:rsid w:val="003E4F94"/>
    <w:rsid w:val="003E55CB"/>
    <w:rsid w:val="003F07CB"/>
    <w:rsid w:val="00400159"/>
    <w:rsid w:val="0040140B"/>
    <w:rsid w:val="004048D8"/>
    <w:rsid w:val="00407FAA"/>
    <w:rsid w:val="00417600"/>
    <w:rsid w:val="00425CC6"/>
    <w:rsid w:val="00433DFA"/>
    <w:rsid w:val="0043596C"/>
    <w:rsid w:val="00446CF7"/>
    <w:rsid w:val="004566CA"/>
    <w:rsid w:val="004630FE"/>
    <w:rsid w:val="00464B70"/>
    <w:rsid w:val="00464DA0"/>
    <w:rsid w:val="004669DB"/>
    <w:rsid w:val="004709EF"/>
    <w:rsid w:val="00486875"/>
    <w:rsid w:val="004A1627"/>
    <w:rsid w:val="004B1F3C"/>
    <w:rsid w:val="004B2A39"/>
    <w:rsid w:val="004C295B"/>
    <w:rsid w:val="004C435C"/>
    <w:rsid w:val="004C4C12"/>
    <w:rsid w:val="004D49EF"/>
    <w:rsid w:val="004D4DEE"/>
    <w:rsid w:val="004E1867"/>
    <w:rsid w:val="004E3D28"/>
    <w:rsid w:val="004E76AE"/>
    <w:rsid w:val="004F2C21"/>
    <w:rsid w:val="005018C1"/>
    <w:rsid w:val="00504298"/>
    <w:rsid w:val="00507F23"/>
    <w:rsid w:val="00514593"/>
    <w:rsid w:val="005166A6"/>
    <w:rsid w:val="00520024"/>
    <w:rsid w:val="00533BC7"/>
    <w:rsid w:val="0054217F"/>
    <w:rsid w:val="005433E2"/>
    <w:rsid w:val="00550F01"/>
    <w:rsid w:val="0055106A"/>
    <w:rsid w:val="00553E58"/>
    <w:rsid w:val="0055669D"/>
    <w:rsid w:val="005616CC"/>
    <w:rsid w:val="005639BA"/>
    <w:rsid w:val="005642B3"/>
    <w:rsid w:val="00565336"/>
    <w:rsid w:val="005732A3"/>
    <w:rsid w:val="00575B2C"/>
    <w:rsid w:val="00582F85"/>
    <w:rsid w:val="00593867"/>
    <w:rsid w:val="00594361"/>
    <w:rsid w:val="00597564"/>
    <w:rsid w:val="005A209F"/>
    <w:rsid w:val="005A71CE"/>
    <w:rsid w:val="005B0BA9"/>
    <w:rsid w:val="005C202C"/>
    <w:rsid w:val="005D081A"/>
    <w:rsid w:val="005D1506"/>
    <w:rsid w:val="005D774C"/>
    <w:rsid w:val="005E2846"/>
    <w:rsid w:val="005F2273"/>
    <w:rsid w:val="005F5574"/>
    <w:rsid w:val="006102C6"/>
    <w:rsid w:val="00614F10"/>
    <w:rsid w:val="00625C2B"/>
    <w:rsid w:val="006354AB"/>
    <w:rsid w:val="00641F0C"/>
    <w:rsid w:val="00647788"/>
    <w:rsid w:val="00652D57"/>
    <w:rsid w:val="00664A75"/>
    <w:rsid w:val="00666368"/>
    <w:rsid w:val="00666863"/>
    <w:rsid w:val="00666881"/>
    <w:rsid w:val="0067208B"/>
    <w:rsid w:val="00677683"/>
    <w:rsid w:val="00677983"/>
    <w:rsid w:val="00683251"/>
    <w:rsid w:val="006847AC"/>
    <w:rsid w:val="00692238"/>
    <w:rsid w:val="006951BF"/>
    <w:rsid w:val="006A0F20"/>
    <w:rsid w:val="006A2EB2"/>
    <w:rsid w:val="006A5F26"/>
    <w:rsid w:val="006C41DA"/>
    <w:rsid w:val="006D0A58"/>
    <w:rsid w:val="006D316F"/>
    <w:rsid w:val="006D36DC"/>
    <w:rsid w:val="006D4C23"/>
    <w:rsid w:val="006D4F54"/>
    <w:rsid w:val="006D50A0"/>
    <w:rsid w:val="006D593A"/>
    <w:rsid w:val="006D7E0B"/>
    <w:rsid w:val="006E57A3"/>
    <w:rsid w:val="006F6BA6"/>
    <w:rsid w:val="006F6F34"/>
    <w:rsid w:val="0070348A"/>
    <w:rsid w:val="00707145"/>
    <w:rsid w:val="007178BA"/>
    <w:rsid w:val="0073297F"/>
    <w:rsid w:val="0074603E"/>
    <w:rsid w:val="0075366B"/>
    <w:rsid w:val="007844F2"/>
    <w:rsid w:val="00793AF0"/>
    <w:rsid w:val="007A2421"/>
    <w:rsid w:val="007A4968"/>
    <w:rsid w:val="007B7F4C"/>
    <w:rsid w:val="007C1098"/>
    <w:rsid w:val="007C758A"/>
    <w:rsid w:val="007C75EE"/>
    <w:rsid w:val="007D7263"/>
    <w:rsid w:val="007E275C"/>
    <w:rsid w:val="007E7A1B"/>
    <w:rsid w:val="007F2CE8"/>
    <w:rsid w:val="007F4E20"/>
    <w:rsid w:val="00801B19"/>
    <w:rsid w:val="00813997"/>
    <w:rsid w:val="00816A6C"/>
    <w:rsid w:val="008177B6"/>
    <w:rsid w:val="00820EAA"/>
    <w:rsid w:val="0082199A"/>
    <w:rsid w:val="00821B15"/>
    <w:rsid w:val="0082288D"/>
    <w:rsid w:val="0083082B"/>
    <w:rsid w:val="0083210F"/>
    <w:rsid w:val="008361CD"/>
    <w:rsid w:val="00843EFF"/>
    <w:rsid w:val="008479A0"/>
    <w:rsid w:val="008545D1"/>
    <w:rsid w:val="00854810"/>
    <w:rsid w:val="008571DE"/>
    <w:rsid w:val="00857B3B"/>
    <w:rsid w:val="008613B3"/>
    <w:rsid w:val="008621E7"/>
    <w:rsid w:val="00866D71"/>
    <w:rsid w:val="00871936"/>
    <w:rsid w:val="008842CE"/>
    <w:rsid w:val="008866E8"/>
    <w:rsid w:val="00890D53"/>
    <w:rsid w:val="0089331D"/>
    <w:rsid w:val="008934F5"/>
    <w:rsid w:val="008A4311"/>
    <w:rsid w:val="008A4B6F"/>
    <w:rsid w:val="008A651A"/>
    <w:rsid w:val="008A71D8"/>
    <w:rsid w:val="008B279B"/>
    <w:rsid w:val="008B4388"/>
    <w:rsid w:val="008B6009"/>
    <w:rsid w:val="008B69CF"/>
    <w:rsid w:val="008C2EAD"/>
    <w:rsid w:val="008D020C"/>
    <w:rsid w:val="008E354F"/>
    <w:rsid w:val="008F5691"/>
    <w:rsid w:val="008F5977"/>
    <w:rsid w:val="009203A6"/>
    <w:rsid w:val="00921543"/>
    <w:rsid w:val="00922279"/>
    <w:rsid w:val="00922E47"/>
    <w:rsid w:val="00923A78"/>
    <w:rsid w:val="00925E21"/>
    <w:rsid w:val="00933952"/>
    <w:rsid w:val="00940D5C"/>
    <w:rsid w:val="009445C2"/>
    <w:rsid w:val="00955964"/>
    <w:rsid w:val="009611CD"/>
    <w:rsid w:val="009618D4"/>
    <w:rsid w:val="00964E5C"/>
    <w:rsid w:val="00971160"/>
    <w:rsid w:val="00973009"/>
    <w:rsid w:val="00984270"/>
    <w:rsid w:val="00996049"/>
    <w:rsid w:val="00997EA7"/>
    <w:rsid w:val="009A1ACC"/>
    <w:rsid w:val="009B339D"/>
    <w:rsid w:val="009E121B"/>
    <w:rsid w:val="009E143F"/>
    <w:rsid w:val="009E20A4"/>
    <w:rsid w:val="009E60AF"/>
    <w:rsid w:val="009E6EA9"/>
    <w:rsid w:val="009E7E00"/>
    <w:rsid w:val="009F55CE"/>
    <w:rsid w:val="009F5908"/>
    <w:rsid w:val="009F5FE2"/>
    <w:rsid w:val="00A03E25"/>
    <w:rsid w:val="00A0539F"/>
    <w:rsid w:val="00A101AB"/>
    <w:rsid w:val="00A152EE"/>
    <w:rsid w:val="00A1560D"/>
    <w:rsid w:val="00A25973"/>
    <w:rsid w:val="00A31269"/>
    <w:rsid w:val="00A32269"/>
    <w:rsid w:val="00A3346B"/>
    <w:rsid w:val="00A4098E"/>
    <w:rsid w:val="00A425E5"/>
    <w:rsid w:val="00A45D82"/>
    <w:rsid w:val="00A45FA1"/>
    <w:rsid w:val="00A47E2F"/>
    <w:rsid w:val="00A50253"/>
    <w:rsid w:val="00A56266"/>
    <w:rsid w:val="00A570BF"/>
    <w:rsid w:val="00A70179"/>
    <w:rsid w:val="00A71C64"/>
    <w:rsid w:val="00A74CCD"/>
    <w:rsid w:val="00A76D1B"/>
    <w:rsid w:val="00A83403"/>
    <w:rsid w:val="00A925D7"/>
    <w:rsid w:val="00A9331B"/>
    <w:rsid w:val="00A93361"/>
    <w:rsid w:val="00AA5E4E"/>
    <w:rsid w:val="00AB23B4"/>
    <w:rsid w:val="00AB5403"/>
    <w:rsid w:val="00AC0FC5"/>
    <w:rsid w:val="00AC0FFB"/>
    <w:rsid w:val="00AC2CB7"/>
    <w:rsid w:val="00AC3B55"/>
    <w:rsid w:val="00AC4352"/>
    <w:rsid w:val="00AC78CB"/>
    <w:rsid w:val="00AD2551"/>
    <w:rsid w:val="00AD3542"/>
    <w:rsid w:val="00AD37E5"/>
    <w:rsid w:val="00AD4267"/>
    <w:rsid w:val="00AE5FF1"/>
    <w:rsid w:val="00AE77DB"/>
    <w:rsid w:val="00AF144F"/>
    <w:rsid w:val="00AF2F79"/>
    <w:rsid w:val="00AF3B3E"/>
    <w:rsid w:val="00AF669A"/>
    <w:rsid w:val="00AF6DA0"/>
    <w:rsid w:val="00B03643"/>
    <w:rsid w:val="00B06BB8"/>
    <w:rsid w:val="00B139EF"/>
    <w:rsid w:val="00B13AD3"/>
    <w:rsid w:val="00B1491D"/>
    <w:rsid w:val="00B1693A"/>
    <w:rsid w:val="00B170F6"/>
    <w:rsid w:val="00B20C0D"/>
    <w:rsid w:val="00B26B58"/>
    <w:rsid w:val="00B27383"/>
    <w:rsid w:val="00B31433"/>
    <w:rsid w:val="00B35E96"/>
    <w:rsid w:val="00B36F4A"/>
    <w:rsid w:val="00B41635"/>
    <w:rsid w:val="00B445D9"/>
    <w:rsid w:val="00B50A69"/>
    <w:rsid w:val="00B532C3"/>
    <w:rsid w:val="00B60CCA"/>
    <w:rsid w:val="00B62228"/>
    <w:rsid w:val="00B725E4"/>
    <w:rsid w:val="00B736E4"/>
    <w:rsid w:val="00B74C7C"/>
    <w:rsid w:val="00B754AD"/>
    <w:rsid w:val="00B8335A"/>
    <w:rsid w:val="00B84143"/>
    <w:rsid w:val="00B860B5"/>
    <w:rsid w:val="00B94AFC"/>
    <w:rsid w:val="00B95F3B"/>
    <w:rsid w:val="00B96629"/>
    <w:rsid w:val="00BA0860"/>
    <w:rsid w:val="00BA0ED1"/>
    <w:rsid w:val="00BA4D95"/>
    <w:rsid w:val="00BA5A6C"/>
    <w:rsid w:val="00BB24D0"/>
    <w:rsid w:val="00BB5497"/>
    <w:rsid w:val="00BC3BE5"/>
    <w:rsid w:val="00BD0BA3"/>
    <w:rsid w:val="00BD4745"/>
    <w:rsid w:val="00BD6B3E"/>
    <w:rsid w:val="00BE182E"/>
    <w:rsid w:val="00BE4405"/>
    <w:rsid w:val="00BF5B32"/>
    <w:rsid w:val="00C06010"/>
    <w:rsid w:val="00C20FE7"/>
    <w:rsid w:val="00C22340"/>
    <w:rsid w:val="00C229C3"/>
    <w:rsid w:val="00C22AB9"/>
    <w:rsid w:val="00C375F9"/>
    <w:rsid w:val="00C37771"/>
    <w:rsid w:val="00C405E9"/>
    <w:rsid w:val="00C411AA"/>
    <w:rsid w:val="00C47D24"/>
    <w:rsid w:val="00C62ED6"/>
    <w:rsid w:val="00C636C2"/>
    <w:rsid w:val="00C6535C"/>
    <w:rsid w:val="00C71A4B"/>
    <w:rsid w:val="00C811BA"/>
    <w:rsid w:val="00C87A6B"/>
    <w:rsid w:val="00C9267A"/>
    <w:rsid w:val="00C96A3F"/>
    <w:rsid w:val="00CB56CD"/>
    <w:rsid w:val="00CB6BC5"/>
    <w:rsid w:val="00CC0C6D"/>
    <w:rsid w:val="00CD04DF"/>
    <w:rsid w:val="00CD2ADF"/>
    <w:rsid w:val="00CD3BA9"/>
    <w:rsid w:val="00CD4158"/>
    <w:rsid w:val="00CE2298"/>
    <w:rsid w:val="00D01D56"/>
    <w:rsid w:val="00D03290"/>
    <w:rsid w:val="00D04F41"/>
    <w:rsid w:val="00D068D4"/>
    <w:rsid w:val="00D108DB"/>
    <w:rsid w:val="00D14FAD"/>
    <w:rsid w:val="00D24B42"/>
    <w:rsid w:val="00D43DA6"/>
    <w:rsid w:val="00D47451"/>
    <w:rsid w:val="00D51F57"/>
    <w:rsid w:val="00D60E82"/>
    <w:rsid w:val="00D61A27"/>
    <w:rsid w:val="00D6624D"/>
    <w:rsid w:val="00D7136A"/>
    <w:rsid w:val="00D72D36"/>
    <w:rsid w:val="00D82194"/>
    <w:rsid w:val="00D82D67"/>
    <w:rsid w:val="00D943D6"/>
    <w:rsid w:val="00DA25F6"/>
    <w:rsid w:val="00DA2A81"/>
    <w:rsid w:val="00DA2C46"/>
    <w:rsid w:val="00DB4B4C"/>
    <w:rsid w:val="00DB58B1"/>
    <w:rsid w:val="00DC0E0A"/>
    <w:rsid w:val="00DC7A41"/>
    <w:rsid w:val="00DD315C"/>
    <w:rsid w:val="00DD4060"/>
    <w:rsid w:val="00DE22A0"/>
    <w:rsid w:val="00DE6CA5"/>
    <w:rsid w:val="00DE7389"/>
    <w:rsid w:val="00E11B1E"/>
    <w:rsid w:val="00E14009"/>
    <w:rsid w:val="00E149F0"/>
    <w:rsid w:val="00E16015"/>
    <w:rsid w:val="00E24412"/>
    <w:rsid w:val="00E25A33"/>
    <w:rsid w:val="00E37984"/>
    <w:rsid w:val="00E37FD3"/>
    <w:rsid w:val="00E42CE1"/>
    <w:rsid w:val="00E474DF"/>
    <w:rsid w:val="00E51B48"/>
    <w:rsid w:val="00E64B09"/>
    <w:rsid w:val="00E659DB"/>
    <w:rsid w:val="00E65BFD"/>
    <w:rsid w:val="00E74222"/>
    <w:rsid w:val="00E75D86"/>
    <w:rsid w:val="00E86AE7"/>
    <w:rsid w:val="00E91740"/>
    <w:rsid w:val="00E91EAD"/>
    <w:rsid w:val="00E92B64"/>
    <w:rsid w:val="00E96DB2"/>
    <w:rsid w:val="00EA1C83"/>
    <w:rsid w:val="00EA43F8"/>
    <w:rsid w:val="00EA6A0A"/>
    <w:rsid w:val="00EB38E2"/>
    <w:rsid w:val="00EC18FC"/>
    <w:rsid w:val="00EC37B4"/>
    <w:rsid w:val="00EC6408"/>
    <w:rsid w:val="00ED0E5B"/>
    <w:rsid w:val="00ED1C3D"/>
    <w:rsid w:val="00ED66F3"/>
    <w:rsid w:val="00ED7A68"/>
    <w:rsid w:val="00EE12C0"/>
    <w:rsid w:val="00EE523C"/>
    <w:rsid w:val="00EE6509"/>
    <w:rsid w:val="00EE68E4"/>
    <w:rsid w:val="00EF3FE6"/>
    <w:rsid w:val="00EF7DF2"/>
    <w:rsid w:val="00F046B8"/>
    <w:rsid w:val="00F04ECB"/>
    <w:rsid w:val="00F159FC"/>
    <w:rsid w:val="00F2009D"/>
    <w:rsid w:val="00F32FEB"/>
    <w:rsid w:val="00F514E4"/>
    <w:rsid w:val="00F53FA7"/>
    <w:rsid w:val="00F55E20"/>
    <w:rsid w:val="00F628C7"/>
    <w:rsid w:val="00F66E50"/>
    <w:rsid w:val="00F67C46"/>
    <w:rsid w:val="00F71F01"/>
    <w:rsid w:val="00F73897"/>
    <w:rsid w:val="00F77445"/>
    <w:rsid w:val="00F8213A"/>
    <w:rsid w:val="00F85F30"/>
    <w:rsid w:val="00F87883"/>
    <w:rsid w:val="00FA12CB"/>
    <w:rsid w:val="00FA20C0"/>
    <w:rsid w:val="00FA4D8A"/>
    <w:rsid w:val="00FB1FCA"/>
    <w:rsid w:val="00FB34DE"/>
    <w:rsid w:val="00FB5E27"/>
    <w:rsid w:val="00FC15A2"/>
    <w:rsid w:val="00FC2585"/>
    <w:rsid w:val="00FD0680"/>
    <w:rsid w:val="00FD0DE4"/>
    <w:rsid w:val="00FD3A6D"/>
    <w:rsid w:val="00FD4A60"/>
    <w:rsid w:val="00FE3BDD"/>
    <w:rsid w:val="00FF52C8"/>
    <w:rsid w:val="00FF7990"/>
    <w:rsid w:val="00FF79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B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36A"/>
    <w:rPr>
      <w:rFonts w:eastAsia="Times New Roman"/>
      <w:sz w:val="24"/>
      <w:szCs w:val="24"/>
      <w:lang w:eastAsia="en-US"/>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semiHidden/>
    <w:unhideWhenUsed/>
    <w:rsid w:val="00D7136A"/>
    <w:rPr>
      <w:rFonts w:ascii="Tahoma" w:hAnsi="Tahoma" w:cs="Tahoma"/>
      <w:sz w:val="16"/>
      <w:szCs w:val="16"/>
    </w:rPr>
  </w:style>
  <w:style w:type="character" w:customStyle="1" w:styleId="BalloonTextChar">
    <w:name w:val="Balloon Text Char"/>
    <w:link w:val="BalloonText"/>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styleId="ListParagraph">
    <w:name w:val="List Paragraph"/>
    <w:aliases w:val="BulletPoints,Bullet point,List Paragraph1,List Paragraph11,Recommendation,Numbered para,#List Paragraph,L,Bullet Level 1,Bullet Point,Bulletr List Paragraph,Content descriptions,FooterText,List Bullet 1,List Paragraph2,List Paragraph21,列"/>
    <w:basedOn w:val="Normal"/>
    <w:link w:val="ListParagraphChar"/>
    <w:uiPriority w:val="72"/>
    <w:qFormat/>
    <w:rsid w:val="00A31269"/>
    <w:pPr>
      <w:ind w:left="720" w:hanging="720"/>
      <w:contextualSpacing/>
    </w:pPr>
    <w:rPr>
      <w:rFonts w:ascii="Arial" w:hAnsi="Arial"/>
      <w:sz w:val="22"/>
      <w:lang w:eastAsia="en-AU"/>
    </w:rPr>
  </w:style>
  <w:style w:type="paragraph" w:styleId="CommentSubject">
    <w:name w:val="annotation subject"/>
    <w:basedOn w:val="CommentText"/>
    <w:next w:val="CommentText"/>
    <w:link w:val="CommentSubjectChar"/>
    <w:uiPriority w:val="99"/>
    <w:semiHidden/>
    <w:unhideWhenUsed/>
    <w:rsid w:val="003172AB"/>
    <w:rPr>
      <w:b/>
      <w:bCs/>
    </w:rPr>
  </w:style>
  <w:style w:type="character" w:customStyle="1" w:styleId="CommentSubjectChar">
    <w:name w:val="Comment Subject Char"/>
    <w:basedOn w:val="CommentTextChar"/>
    <w:link w:val="CommentSubject"/>
    <w:uiPriority w:val="99"/>
    <w:semiHidden/>
    <w:rsid w:val="003172AB"/>
    <w:rPr>
      <w:rFonts w:eastAsia="Times New Roman" w:cs="Times New Roman"/>
      <w:b/>
      <w:bCs/>
      <w:sz w:val="20"/>
      <w:szCs w:val="20"/>
      <w:lang w:val="en-US" w:eastAsia="en-US"/>
    </w:rPr>
  </w:style>
  <w:style w:type="character" w:customStyle="1" w:styleId="ListParagraphChar">
    <w:name w:val="List Paragraph Char"/>
    <w:aliases w:val="BulletPoints Char,Bullet point Char,List Paragraph1 Char,List Paragraph11 Char,Recommendation Char,Numbered para Char,#List Paragraph Char,L Char,Bullet Level 1 Char,Bullet Point Char,Bulletr List Paragraph Char,FooterText Char"/>
    <w:link w:val="ListParagraph"/>
    <w:uiPriority w:val="72"/>
    <w:qFormat/>
    <w:locked/>
    <w:rsid w:val="00A70179"/>
    <w:rPr>
      <w:rFonts w:ascii="Arial" w:eastAsia="Times New Roman" w:hAnsi="Arial"/>
      <w:sz w:val="22"/>
      <w:szCs w:val="24"/>
    </w:rPr>
  </w:style>
  <w:style w:type="character" w:styleId="FollowedHyperlink">
    <w:name w:val="FollowedHyperlink"/>
    <w:basedOn w:val="DefaultParagraphFont"/>
    <w:uiPriority w:val="99"/>
    <w:semiHidden/>
    <w:unhideWhenUsed/>
    <w:rsid w:val="009E121B"/>
    <w:rPr>
      <w:color w:val="800080" w:themeColor="followedHyperlink"/>
      <w:u w:val="single"/>
    </w:rPr>
  </w:style>
  <w:style w:type="paragraph" w:styleId="Revision">
    <w:name w:val="Revision"/>
    <w:hidden/>
    <w:uiPriority w:val="99"/>
    <w:semiHidden/>
    <w:rsid w:val="00084B66"/>
    <w:rPr>
      <w:rFonts w:eastAsia="Times New Roman"/>
      <w:sz w:val="24"/>
      <w:szCs w:val="24"/>
      <w:lang w:val="en-US" w:eastAsia="en-US"/>
    </w:rPr>
  </w:style>
  <w:style w:type="paragraph" w:styleId="NormalWeb">
    <w:name w:val="Normal (Web)"/>
    <w:basedOn w:val="Normal"/>
    <w:uiPriority w:val="99"/>
    <w:unhideWhenUsed/>
    <w:rsid w:val="007E275C"/>
    <w:pPr>
      <w:spacing w:before="100" w:beforeAutospacing="1" w:after="100" w:afterAutospacing="1"/>
    </w:pPr>
    <w:rPr>
      <w:lang w:eastAsia="en-AU"/>
    </w:rPr>
  </w:style>
  <w:style w:type="paragraph" w:styleId="FootnoteText">
    <w:name w:val="footnote text"/>
    <w:basedOn w:val="Normal"/>
    <w:link w:val="FootnoteTextChar"/>
    <w:uiPriority w:val="99"/>
    <w:unhideWhenUsed/>
    <w:rsid w:val="00ED1C3D"/>
    <w:rPr>
      <w:rFonts w:ascii="Calibri" w:eastAsiaTheme="minorHAnsi" w:hAnsi="Calibri" w:cs="Calibri"/>
      <w:sz w:val="20"/>
      <w:szCs w:val="20"/>
    </w:rPr>
  </w:style>
  <w:style w:type="character" w:customStyle="1" w:styleId="FootnoteTextChar">
    <w:name w:val="Footnote Text Char"/>
    <w:basedOn w:val="DefaultParagraphFont"/>
    <w:link w:val="FootnoteText"/>
    <w:uiPriority w:val="99"/>
    <w:rsid w:val="00ED1C3D"/>
    <w:rPr>
      <w:rFonts w:ascii="Calibri" w:eastAsiaTheme="minorHAnsi" w:hAnsi="Calibri" w:cs="Calibri"/>
      <w:lang w:eastAsia="en-US"/>
    </w:rPr>
  </w:style>
  <w:style w:type="character" w:styleId="FootnoteReference">
    <w:name w:val="footnote reference"/>
    <w:basedOn w:val="DefaultParagraphFont"/>
    <w:uiPriority w:val="99"/>
    <w:unhideWhenUsed/>
    <w:rsid w:val="00ED1C3D"/>
    <w:rPr>
      <w:vertAlign w:val="superscript"/>
    </w:rPr>
  </w:style>
  <w:style w:type="character" w:styleId="UnresolvedMention">
    <w:name w:val="Unresolved Mention"/>
    <w:basedOn w:val="DefaultParagraphFont"/>
    <w:uiPriority w:val="99"/>
    <w:semiHidden/>
    <w:unhideWhenUsed/>
    <w:rsid w:val="006F6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827934">
      <w:bodyDiv w:val="1"/>
      <w:marLeft w:val="0"/>
      <w:marRight w:val="0"/>
      <w:marTop w:val="0"/>
      <w:marBottom w:val="0"/>
      <w:divBdr>
        <w:top w:val="none" w:sz="0" w:space="0" w:color="auto"/>
        <w:left w:val="none" w:sz="0" w:space="0" w:color="auto"/>
        <w:bottom w:val="none" w:sz="0" w:space="0" w:color="auto"/>
        <w:right w:val="none" w:sz="0" w:space="0" w:color="auto"/>
      </w:divBdr>
    </w:div>
    <w:div w:id="1120999041">
      <w:bodyDiv w:val="1"/>
      <w:marLeft w:val="0"/>
      <w:marRight w:val="0"/>
      <w:marTop w:val="0"/>
      <w:marBottom w:val="0"/>
      <w:divBdr>
        <w:top w:val="none" w:sz="0" w:space="0" w:color="auto"/>
        <w:left w:val="none" w:sz="0" w:space="0" w:color="auto"/>
        <w:bottom w:val="none" w:sz="0" w:space="0" w:color="auto"/>
        <w:right w:val="none" w:sz="0" w:space="0" w:color="auto"/>
      </w:divBdr>
    </w:div>
    <w:div w:id="1321426486">
      <w:bodyDiv w:val="1"/>
      <w:marLeft w:val="0"/>
      <w:marRight w:val="0"/>
      <w:marTop w:val="0"/>
      <w:marBottom w:val="0"/>
      <w:divBdr>
        <w:top w:val="none" w:sz="0" w:space="0" w:color="auto"/>
        <w:left w:val="none" w:sz="0" w:space="0" w:color="auto"/>
        <w:bottom w:val="none" w:sz="0" w:space="0" w:color="auto"/>
        <w:right w:val="none" w:sz="0" w:space="0" w:color="auto"/>
      </w:divBdr>
    </w:div>
    <w:div w:id="1481116492">
      <w:bodyDiv w:val="1"/>
      <w:marLeft w:val="0"/>
      <w:marRight w:val="0"/>
      <w:marTop w:val="0"/>
      <w:marBottom w:val="0"/>
      <w:divBdr>
        <w:top w:val="none" w:sz="0" w:space="0" w:color="auto"/>
        <w:left w:val="none" w:sz="0" w:space="0" w:color="auto"/>
        <w:bottom w:val="none" w:sz="0" w:space="0" w:color="auto"/>
        <w:right w:val="none" w:sz="0" w:space="0" w:color="auto"/>
      </w:divBdr>
    </w:div>
    <w:div w:id="1748070792">
      <w:bodyDiv w:val="1"/>
      <w:marLeft w:val="0"/>
      <w:marRight w:val="0"/>
      <w:marTop w:val="0"/>
      <w:marBottom w:val="0"/>
      <w:divBdr>
        <w:top w:val="none" w:sz="0" w:space="0" w:color="auto"/>
        <w:left w:val="none" w:sz="0" w:space="0" w:color="auto"/>
        <w:bottom w:val="none" w:sz="0" w:space="0" w:color="auto"/>
        <w:right w:val="none" w:sz="0" w:space="0" w:color="auto"/>
      </w:divBdr>
    </w:div>
    <w:div w:id="1786655798">
      <w:bodyDiv w:val="1"/>
      <w:marLeft w:val="0"/>
      <w:marRight w:val="0"/>
      <w:marTop w:val="0"/>
      <w:marBottom w:val="0"/>
      <w:divBdr>
        <w:top w:val="none" w:sz="0" w:space="0" w:color="auto"/>
        <w:left w:val="none" w:sz="0" w:space="0" w:color="auto"/>
        <w:bottom w:val="none" w:sz="0" w:space="0" w:color="auto"/>
        <w:right w:val="none" w:sz="0" w:space="0" w:color="auto"/>
      </w:divBdr>
    </w:div>
    <w:div w:id="1837182259">
      <w:bodyDiv w:val="1"/>
      <w:marLeft w:val="0"/>
      <w:marRight w:val="0"/>
      <w:marTop w:val="0"/>
      <w:marBottom w:val="0"/>
      <w:divBdr>
        <w:top w:val="none" w:sz="0" w:space="0" w:color="auto"/>
        <w:left w:val="none" w:sz="0" w:space="0" w:color="auto"/>
        <w:bottom w:val="none" w:sz="0" w:space="0" w:color="auto"/>
        <w:right w:val="none" w:sz="0" w:space="0" w:color="auto"/>
      </w:divBdr>
    </w:div>
    <w:div w:id="209716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elements/dusc-meetings/dos"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7450BE58-614A-4570-82B5-5A52B7B89B18}">
  <ds:schemaRefs>
    <ds:schemaRef ds:uri="http://schemas.openxmlformats.org/officeDocument/2006/bibliography"/>
  </ds:schemaRefs>
</ds:datastoreItem>
</file>

<file path=customXml/itemProps2.xml><?xml version="1.0" encoding="utf-8"?>
<ds:datastoreItem xmlns:ds="http://schemas.openxmlformats.org/officeDocument/2006/customXml" ds:itemID="{E9AD6137-B37B-4389-BE72-AEE676316837}"/>
</file>

<file path=customXml/itemProps3.xml><?xml version="1.0" encoding="utf-8"?>
<ds:datastoreItem xmlns:ds="http://schemas.openxmlformats.org/officeDocument/2006/customXml" ds:itemID="{C5B4634A-E943-415F-8BBE-206107522A85}"/>
</file>

<file path=customXml/itemProps4.xml><?xml version="1.0" encoding="utf-8"?>
<ds:datastoreItem xmlns:ds="http://schemas.openxmlformats.org/officeDocument/2006/customXml" ds:itemID="{1D0FAAC8-0DB2-4163-B2FC-675F279A8690}"/>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2025-06-17T22:30:00Z</dcterms:created>
  <dcterms:modified xsi:type="dcterms:W3CDTF">2025-06-17T22:30:00Z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ies>
</file>