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951C4" w14:textId="1770CADA" w:rsidR="007567D2" w:rsidRPr="00E33C76" w:rsidRDefault="007567D2" w:rsidP="00A94408">
      <w:pPr>
        <w:pStyle w:val="Default"/>
        <w:ind w:right="656"/>
        <w:jc w:val="both"/>
        <w:rPr>
          <w:rFonts w:ascii="Arial" w:hAnsi="Arial" w:cs="Arial"/>
          <w:sz w:val="20"/>
          <w:szCs w:val="20"/>
        </w:rPr>
      </w:pPr>
      <w:r w:rsidRPr="00292120">
        <w:rPr>
          <w:rFonts w:ascii="Arial" w:hAnsi="Arial" w:cs="Arial"/>
          <w:sz w:val="20"/>
          <w:szCs w:val="20"/>
        </w:rPr>
        <w:t xml:space="preserve">The </w:t>
      </w:r>
      <w:r w:rsidR="009E648E" w:rsidRPr="00292120">
        <w:rPr>
          <w:rFonts w:ascii="Arial" w:hAnsi="Arial" w:cs="Arial"/>
          <w:sz w:val="20"/>
          <w:szCs w:val="20"/>
        </w:rPr>
        <w:t>PBAC outcomes and recommendations are presented</w:t>
      </w:r>
      <w:r w:rsidRPr="00292120">
        <w:rPr>
          <w:rFonts w:ascii="Arial" w:hAnsi="Arial" w:cs="Arial"/>
          <w:sz w:val="20"/>
          <w:szCs w:val="20"/>
        </w:rPr>
        <w:t xml:space="preserve"> in alphabetical order by drug name</w:t>
      </w:r>
      <w:r w:rsidR="00D97548">
        <w:rPr>
          <w:rFonts w:ascii="Arial" w:hAnsi="Arial" w:cs="Arial"/>
          <w:sz w:val="20"/>
          <w:szCs w:val="20"/>
        </w:rPr>
        <w:t>.</w:t>
      </w:r>
    </w:p>
    <w:tbl>
      <w:tblPr>
        <w:tblW w:w="15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016"/>
        <w:gridCol w:w="2767"/>
        <w:gridCol w:w="2976"/>
        <w:gridCol w:w="1584"/>
        <w:gridCol w:w="4836"/>
      </w:tblGrid>
      <w:tr w:rsidR="00F374F7" w:rsidRPr="008059F4" w14:paraId="2F780D8A" w14:textId="77777777" w:rsidTr="75B0C150">
        <w:trPr>
          <w:cantSplit/>
          <w:trHeight w:val="300"/>
          <w:tblHeader/>
          <w:jc w:val="center"/>
        </w:trPr>
        <w:tc>
          <w:tcPr>
            <w:tcW w:w="3016" w:type="dxa"/>
            <w:shd w:val="clear" w:color="auto" w:fill="auto"/>
            <w:tcMar>
              <w:top w:w="28" w:type="dxa"/>
              <w:bottom w:w="28" w:type="dxa"/>
            </w:tcMar>
            <w:vAlign w:val="center"/>
          </w:tcPr>
          <w:p w14:paraId="58BB41E5" w14:textId="46F847AB" w:rsidR="00F374F7" w:rsidRPr="008059F4" w:rsidRDefault="00F374F7" w:rsidP="00A94408">
            <w:pPr>
              <w:keepLines/>
              <w:widowControl w:val="0"/>
              <w:ind w:right="-106"/>
              <w:jc w:val="center"/>
              <w:rPr>
                <w:rFonts w:asciiTheme="minorHAnsi" w:hAnsiTheme="minorHAnsi" w:cstheme="minorHAnsi"/>
                <w:b/>
                <w:sz w:val="18"/>
                <w:szCs w:val="18"/>
              </w:rPr>
            </w:pPr>
            <w:bookmarkStart w:id="0" w:name="_Hlk143070631"/>
            <w:bookmarkStart w:id="1" w:name="_Hlk164175861"/>
            <w:r w:rsidRPr="008059F4">
              <w:rPr>
                <w:rFonts w:asciiTheme="minorHAnsi" w:hAnsiTheme="minorHAnsi" w:cstheme="minorHAnsi"/>
                <w:b/>
                <w:sz w:val="18"/>
                <w:szCs w:val="18"/>
              </w:rPr>
              <w:t>DRUG NAME, FORM(S), STRENGTH(S), SPONSOR, TYPE OF SUBMISSION</w:t>
            </w:r>
          </w:p>
        </w:tc>
        <w:tc>
          <w:tcPr>
            <w:tcW w:w="2767" w:type="dxa"/>
            <w:shd w:val="clear" w:color="auto" w:fill="auto"/>
            <w:tcMar>
              <w:top w:w="28" w:type="dxa"/>
              <w:bottom w:w="28" w:type="dxa"/>
            </w:tcMar>
            <w:vAlign w:val="center"/>
          </w:tcPr>
          <w:p w14:paraId="64FD3362" w14:textId="3DF64AED" w:rsidR="00F374F7" w:rsidRPr="008059F4" w:rsidRDefault="00F374F7" w:rsidP="00A94408">
            <w:pPr>
              <w:keepLines/>
              <w:widowControl w:val="0"/>
              <w:jc w:val="center"/>
              <w:rPr>
                <w:rFonts w:asciiTheme="minorHAnsi" w:hAnsiTheme="minorHAnsi" w:cstheme="minorHAnsi"/>
                <w:b/>
                <w:snapToGrid w:val="0"/>
                <w:sz w:val="18"/>
                <w:szCs w:val="18"/>
                <w:lang w:eastAsia="en-US"/>
              </w:rPr>
            </w:pPr>
            <w:r w:rsidRPr="008059F4">
              <w:rPr>
                <w:rFonts w:asciiTheme="minorHAnsi" w:hAnsiTheme="minorHAnsi" w:cstheme="minorHAnsi"/>
                <w:b/>
                <w:snapToGrid w:val="0"/>
                <w:sz w:val="18"/>
                <w:szCs w:val="18"/>
                <w:lang w:eastAsia="en-US"/>
              </w:rPr>
              <w:t>DRUG TYPE AND USE</w:t>
            </w:r>
          </w:p>
        </w:tc>
        <w:tc>
          <w:tcPr>
            <w:tcW w:w="2976" w:type="dxa"/>
            <w:shd w:val="clear" w:color="auto" w:fill="auto"/>
            <w:tcMar>
              <w:top w:w="28" w:type="dxa"/>
              <w:bottom w:w="28" w:type="dxa"/>
            </w:tcMar>
            <w:vAlign w:val="center"/>
          </w:tcPr>
          <w:p w14:paraId="60A9336E" w14:textId="77777777" w:rsidR="00F374F7" w:rsidRPr="008059F4" w:rsidRDefault="00F374F7" w:rsidP="00A94408">
            <w:pPr>
              <w:keepLines/>
              <w:widowControl w:val="0"/>
              <w:jc w:val="center"/>
              <w:rPr>
                <w:rFonts w:asciiTheme="minorHAnsi" w:hAnsiTheme="minorHAnsi" w:cstheme="minorHAnsi"/>
                <w:b/>
                <w:snapToGrid w:val="0"/>
                <w:sz w:val="18"/>
                <w:szCs w:val="18"/>
                <w:lang w:eastAsia="en-US"/>
              </w:rPr>
            </w:pPr>
            <w:r w:rsidRPr="008059F4">
              <w:rPr>
                <w:rFonts w:asciiTheme="minorHAnsi" w:hAnsiTheme="minorHAnsi" w:cstheme="minorHAnsi"/>
                <w:b/>
                <w:snapToGrid w:val="0"/>
                <w:sz w:val="18"/>
                <w:szCs w:val="18"/>
                <w:lang w:eastAsia="en-US"/>
              </w:rPr>
              <w:t>LISTING REQUESTED BY SPONSOR / PURPOSE OF SUBMISSION</w:t>
            </w:r>
          </w:p>
        </w:tc>
        <w:tc>
          <w:tcPr>
            <w:tcW w:w="6420" w:type="dxa"/>
            <w:gridSpan w:val="2"/>
            <w:shd w:val="clear" w:color="auto" w:fill="auto"/>
            <w:vAlign w:val="center"/>
          </w:tcPr>
          <w:p w14:paraId="5626F454" w14:textId="255B5DC5" w:rsidR="00F374F7" w:rsidRPr="001033CF" w:rsidRDefault="00F374F7" w:rsidP="00A94408">
            <w:pPr>
              <w:pStyle w:val="Header"/>
              <w:keepLines/>
              <w:jc w:val="center"/>
              <w:rPr>
                <w:rFonts w:asciiTheme="minorHAnsi" w:hAnsiTheme="minorHAnsi" w:cstheme="minorBidi"/>
                <w:b/>
                <w:bCs/>
                <w:snapToGrid w:val="0"/>
                <w:sz w:val="18"/>
                <w:szCs w:val="18"/>
                <w:lang w:eastAsia="en-US"/>
              </w:rPr>
            </w:pPr>
            <w:r w:rsidRPr="20381F86">
              <w:rPr>
                <w:rFonts w:asciiTheme="minorHAnsi" w:hAnsiTheme="minorHAnsi" w:cstheme="minorBidi"/>
                <w:b/>
                <w:bCs/>
                <w:snapToGrid w:val="0"/>
                <w:sz w:val="18"/>
                <w:szCs w:val="18"/>
                <w:lang w:eastAsia="en-US"/>
              </w:rPr>
              <w:t>PBAC OUTCOME</w:t>
            </w:r>
            <w:bookmarkEnd w:id="0"/>
          </w:p>
        </w:tc>
      </w:tr>
      <w:tr w:rsidR="005C07DF" w:rsidRPr="008059F4" w:rsidDel="008F66B5" w14:paraId="59456C9B" w14:textId="11C3513F" w:rsidTr="5522D7EC">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954E656" w14:textId="77777777" w:rsidR="00EB7749"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t>ADALIMUMAB</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Injection 20 mg in 0.2 mL pre-filled syringe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Injection 40 mg in 0.4 mL pre-filled syringe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Injection 40 mg in 0.4 mL pre-filled pen</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Injection 80 mg 0.8 mL pre-filled syringe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Injection 80 mg in 0.8 mL pre-filled pen</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Hyrimoz</w:t>
            </w:r>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SANDOZ PTY LTD</w:t>
            </w:r>
            <w:r w:rsidRPr="00F03408">
              <w:rPr>
                <w:rFonts w:asciiTheme="minorHAnsi" w:hAnsiTheme="minorHAnsi" w:cstheme="minorHAnsi"/>
                <w:sz w:val="18"/>
                <w:szCs w:val="18"/>
              </w:rPr>
              <w:br/>
            </w:r>
          </w:p>
          <w:p w14:paraId="74814FF5" w14:textId="760B653A" w:rsidR="3BB13E8F" w:rsidRPr="00F03408" w:rsidRDefault="004A326C" w:rsidP="00A94408">
            <w:pPr>
              <w:jc w:val="center"/>
              <w:rPr>
                <w:rFonts w:asciiTheme="minorHAnsi" w:hAnsiTheme="minorHAnsi" w:cstheme="minorHAnsi"/>
                <w:sz w:val="18"/>
                <w:szCs w:val="18"/>
              </w:rPr>
            </w:pPr>
            <w:r>
              <w:rPr>
                <w:rFonts w:asciiTheme="minorHAnsi" w:hAnsiTheme="minorHAnsi" w:cstheme="minorHAnsi"/>
                <w:sz w:val="18"/>
                <w:szCs w:val="18"/>
              </w:rPr>
              <w:t>Category 4</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456051AC" w14:textId="03F78094" w:rsidR="3BB13E8F" w:rsidRPr="00F03408" w:rsidRDefault="3BB13E8F" w:rsidP="00A94408">
            <w:pPr>
              <w:jc w:val="center"/>
              <w:rPr>
                <w:rFonts w:asciiTheme="minorHAnsi" w:eastAsia="Arial" w:hAnsiTheme="minorHAnsi" w:cstheme="minorBidi"/>
                <w:color w:val="000000" w:themeColor="text1"/>
                <w:sz w:val="18"/>
                <w:szCs w:val="18"/>
              </w:rPr>
            </w:pPr>
            <w:r w:rsidRPr="57BE458E">
              <w:rPr>
                <w:rFonts w:asciiTheme="minorHAnsi" w:eastAsia="Arial" w:hAnsiTheme="minorHAnsi" w:cstheme="minorBidi"/>
                <w:color w:val="000000" w:themeColor="text1"/>
                <w:sz w:val="18"/>
                <w:szCs w:val="18"/>
              </w:rPr>
              <w:t>Severe Crohn disease</w:t>
            </w:r>
            <w:r>
              <w:br/>
            </w:r>
            <w:r w:rsidRPr="57BE458E">
              <w:rPr>
                <w:rFonts w:asciiTheme="minorHAnsi" w:eastAsia="Arial" w:hAnsiTheme="minorHAnsi" w:cstheme="minorBidi"/>
                <w:color w:val="000000" w:themeColor="text1"/>
                <w:sz w:val="18"/>
                <w:szCs w:val="18"/>
              </w:rPr>
              <w:t xml:space="preserve"> Moderate to severe ulcerative colitis</w:t>
            </w:r>
            <w:r>
              <w:br/>
            </w:r>
            <w:r w:rsidRPr="57BE458E">
              <w:rPr>
                <w:rFonts w:asciiTheme="minorHAnsi" w:eastAsia="Arial" w:hAnsiTheme="minorHAnsi" w:cstheme="minorBidi"/>
                <w:color w:val="000000" w:themeColor="text1"/>
                <w:sz w:val="18"/>
                <w:szCs w:val="18"/>
              </w:rPr>
              <w:t xml:space="preserve"> Severe active juvenile idiopathic arthritis</w:t>
            </w:r>
            <w:r>
              <w:br/>
            </w:r>
            <w:r w:rsidRPr="57BE458E">
              <w:rPr>
                <w:rFonts w:asciiTheme="minorHAnsi" w:eastAsia="Arial" w:hAnsiTheme="minorHAnsi" w:cstheme="minorBidi"/>
                <w:color w:val="000000" w:themeColor="text1"/>
                <w:sz w:val="18"/>
                <w:szCs w:val="18"/>
              </w:rPr>
              <w:t xml:space="preserve"> Complex refractory fistulising Crohn disease</w:t>
            </w:r>
            <w:r>
              <w:br/>
            </w:r>
            <w:r w:rsidRPr="57BE458E">
              <w:rPr>
                <w:rFonts w:asciiTheme="minorHAnsi" w:eastAsia="Arial" w:hAnsiTheme="minorHAnsi" w:cstheme="minorBidi"/>
                <w:color w:val="000000" w:themeColor="text1"/>
                <w:sz w:val="18"/>
                <w:szCs w:val="18"/>
              </w:rPr>
              <w:t xml:space="preserve"> Severe active rheumatoid arthritis </w:t>
            </w:r>
            <w:r>
              <w:br/>
            </w:r>
            <w:r w:rsidRPr="57BE458E">
              <w:rPr>
                <w:rFonts w:asciiTheme="minorHAnsi" w:eastAsia="Arial" w:hAnsiTheme="minorHAnsi" w:cstheme="minorBidi"/>
                <w:color w:val="000000" w:themeColor="text1"/>
                <w:sz w:val="18"/>
                <w:szCs w:val="18"/>
              </w:rPr>
              <w:t xml:space="preserve"> Severe psoriatic arthritis</w:t>
            </w:r>
            <w:r>
              <w:br/>
            </w:r>
            <w:r w:rsidRPr="57BE458E">
              <w:rPr>
                <w:rFonts w:asciiTheme="minorHAnsi" w:eastAsia="Arial" w:hAnsiTheme="minorHAnsi" w:cstheme="minorBidi"/>
                <w:color w:val="000000" w:themeColor="text1"/>
                <w:sz w:val="18"/>
                <w:szCs w:val="18"/>
              </w:rPr>
              <w:t xml:space="preserve"> Ankylosing spondylitis</w:t>
            </w:r>
            <w:r>
              <w:br/>
            </w:r>
            <w:r w:rsidRPr="57BE458E">
              <w:rPr>
                <w:rFonts w:asciiTheme="minorHAnsi" w:eastAsia="Arial" w:hAnsiTheme="minorHAnsi" w:cstheme="minorBidi"/>
                <w:color w:val="000000" w:themeColor="text1"/>
                <w:sz w:val="18"/>
                <w:szCs w:val="18"/>
              </w:rPr>
              <w:t xml:space="preserve"> Severe chronic plaque psoriasis</w:t>
            </w:r>
            <w:r>
              <w:br/>
            </w:r>
            <w:r w:rsidRPr="57BE458E">
              <w:rPr>
                <w:rFonts w:asciiTheme="minorHAnsi" w:eastAsia="Arial" w:hAnsiTheme="minorHAnsi" w:cstheme="minorBidi"/>
                <w:color w:val="000000" w:themeColor="text1"/>
                <w:sz w:val="18"/>
                <w:szCs w:val="18"/>
              </w:rPr>
              <w:t xml:space="preserve"> Moderate to severe hidradenitis suppurativa</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5AD9C28" w14:textId="3668E940"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To request General Schedule and Section 100 (Highly Specialised Drugs Program) Authority Required (Written) listings for initial treatment and Authority Required (STREAMLINED) listings for subsequent continuing treatment of new forms of an existing biosimilar under the same conditions as the currently listed forms and strengths as its reference biologic.</w:t>
            </w:r>
          </w:p>
        </w:tc>
        <w:tc>
          <w:tcPr>
            <w:tcW w:w="1584" w:type="dxa"/>
            <w:shd w:val="clear" w:color="auto" w:fill="auto"/>
            <w:vAlign w:val="center"/>
          </w:tcPr>
          <w:p w14:paraId="2316FD21" w14:textId="41815F5D" w:rsidR="00587746" w:rsidRPr="00F03408" w:rsidDel="008F66B5" w:rsidRDefault="001C5F74"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shd w:val="clear" w:color="auto" w:fill="auto"/>
            <w:vAlign w:val="center"/>
          </w:tcPr>
          <w:p w14:paraId="343B698E" w14:textId="2FE76C97" w:rsidR="001D3B1F" w:rsidRPr="001D3B1F" w:rsidRDefault="001D3B1F" w:rsidP="00413B36">
            <w:pPr>
              <w:jc w:val="both"/>
              <w:rPr>
                <w:rFonts w:asciiTheme="minorHAnsi" w:eastAsiaTheme="minorHAnsi" w:hAnsiTheme="minorHAnsi" w:cstheme="minorBidi"/>
                <w:sz w:val="18"/>
                <w:szCs w:val="18"/>
              </w:rPr>
            </w:pPr>
            <w:r w:rsidRPr="001D3B1F">
              <w:rPr>
                <w:rFonts w:asciiTheme="minorHAnsi" w:eastAsiaTheme="minorHAnsi" w:hAnsiTheme="minorHAnsi" w:cstheme="minorBidi"/>
                <w:sz w:val="18"/>
                <w:szCs w:val="18"/>
              </w:rPr>
              <w:t>The PBAC recommended the listing of adalimumab (</w:t>
            </w:r>
            <w:bookmarkStart w:id="2" w:name="_Hlk171434465"/>
            <w:r w:rsidRPr="001D3B1F">
              <w:rPr>
                <w:rFonts w:asciiTheme="minorHAnsi" w:eastAsiaTheme="minorHAnsi" w:hAnsiTheme="minorHAnsi" w:cstheme="minorBidi"/>
                <w:sz w:val="18"/>
                <w:szCs w:val="18"/>
              </w:rPr>
              <w:t>Hyrimoz</w:t>
            </w:r>
            <w:bookmarkEnd w:id="2"/>
            <w:r w:rsidRPr="001D3B1F">
              <w:rPr>
                <w:rFonts w:asciiTheme="minorHAnsi" w:eastAsiaTheme="minorHAnsi" w:hAnsiTheme="minorHAnsi" w:cstheme="minorBidi"/>
                <w:sz w:val="18"/>
                <w:szCs w:val="18"/>
              </w:rPr>
              <w:t>) in the forms and strengths of 40 mg in 0.4 mL; 80 mg in 0.8 mL pre-filled pen (PFP); and 20 mg in 0.2 mL; 40 mg in 0.4 mL; 80</w:t>
            </w:r>
            <w:r w:rsidR="00EE4F2E">
              <w:rPr>
                <w:rFonts w:asciiTheme="minorHAnsi" w:eastAsiaTheme="minorHAnsi" w:hAnsiTheme="minorHAnsi" w:cstheme="minorBidi"/>
                <w:sz w:val="18"/>
                <w:szCs w:val="18"/>
              </w:rPr>
              <w:t> </w:t>
            </w:r>
            <w:r w:rsidRPr="001D3B1F">
              <w:rPr>
                <w:rFonts w:asciiTheme="minorHAnsi" w:eastAsiaTheme="minorHAnsi" w:hAnsiTheme="minorHAnsi" w:cstheme="minorBidi"/>
                <w:sz w:val="18"/>
                <w:szCs w:val="18"/>
              </w:rPr>
              <w:t>mg in 0.8 mL pre-filled syringe (PFS) under the same circumstances as the currently PBS-listed reference biologic, Humira® and other brands of adalimumab. The PBAC’s recommendation for listing was based on, among other matters, its assessment that the cost</w:t>
            </w:r>
            <w:r w:rsidRPr="001D3B1F">
              <w:rPr>
                <w:rFonts w:asciiTheme="minorHAnsi" w:eastAsiaTheme="minorHAnsi" w:hAnsiTheme="minorHAnsi" w:cstheme="minorBidi"/>
                <w:sz w:val="18"/>
                <w:szCs w:val="18"/>
              </w:rPr>
              <w:noBreakHyphen/>
              <w:t>effectiveness of Hyrimoz PFP and PFS would be acceptable if it were cost</w:t>
            </w:r>
            <w:r w:rsidRPr="001D3B1F">
              <w:rPr>
                <w:rFonts w:asciiTheme="minorHAnsi" w:eastAsiaTheme="minorHAnsi" w:hAnsiTheme="minorHAnsi" w:cstheme="minorBidi"/>
                <w:sz w:val="18"/>
                <w:szCs w:val="18"/>
              </w:rPr>
              <w:noBreakHyphen/>
              <w:t>minimised to Humira PFP and PFS and all other biosimilar brands and formulations of adalimumab. The PBAC advised the equi</w:t>
            </w:r>
            <w:r w:rsidRPr="001D3B1F">
              <w:rPr>
                <w:rFonts w:asciiTheme="minorHAnsi" w:eastAsiaTheme="minorHAnsi" w:hAnsiTheme="minorHAnsi" w:cstheme="minorBidi"/>
                <w:sz w:val="18"/>
                <w:szCs w:val="18"/>
              </w:rPr>
              <w:noBreakHyphen/>
              <w:t>effective doses to be 1 mg of Hyrimoz = 1 mg of Humira and</w:t>
            </w:r>
            <w:r w:rsidRPr="001D3B1F">
              <w:rPr>
                <w:rFonts w:ascii="Calibri" w:eastAsiaTheme="minorEastAsia" w:hAnsi="Calibri"/>
                <w:sz w:val="18"/>
                <w:szCs w:val="18"/>
              </w:rPr>
              <w:t xml:space="preserve"> </w:t>
            </w:r>
            <w:r w:rsidRPr="001D3B1F">
              <w:rPr>
                <w:rFonts w:asciiTheme="minorHAnsi" w:eastAsiaTheme="minorHAnsi" w:hAnsiTheme="minorHAnsi" w:cstheme="minorBidi"/>
                <w:sz w:val="18"/>
                <w:szCs w:val="18"/>
              </w:rPr>
              <w:t>all other biosimilar brands and formulations of</w:t>
            </w:r>
            <w:r w:rsidR="00EE4F2E">
              <w:rPr>
                <w:rFonts w:asciiTheme="minorHAnsi" w:eastAsiaTheme="minorHAnsi" w:hAnsiTheme="minorHAnsi" w:cstheme="minorBidi"/>
                <w:sz w:val="18"/>
                <w:szCs w:val="18"/>
              </w:rPr>
              <w:t xml:space="preserve"> </w:t>
            </w:r>
            <w:r w:rsidRPr="001D3B1F">
              <w:rPr>
                <w:rFonts w:asciiTheme="minorHAnsi" w:eastAsiaTheme="minorHAnsi" w:hAnsiTheme="minorHAnsi" w:cstheme="minorBidi"/>
                <w:sz w:val="18"/>
                <w:szCs w:val="18"/>
              </w:rPr>
              <w:t>adalimumab.</w:t>
            </w:r>
          </w:p>
          <w:p w14:paraId="664D4D04" w14:textId="77777777" w:rsidR="001D3B1F" w:rsidRPr="001D3B1F" w:rsidRDefault="001D3B1F" w:rsidP="00413B36">
            <w:pPr>
              <w:jc w:val="both"/>
              <w:rPr>
                <w:rFonts w:asciiTheme="minorHAnsi" w:eastAsiaTheme="minorHAnsi" w:hAnsiTheme="minorHAnsi" w:cstheme="minorBidi"/>
                <w:sz w:val="18"/>
                <w:szCs w:val="18"/>
              </w:rPr>
            </w:pPr>
          </w:p>
          <w:p w14:paraId="3E9089E4" w14:textId="77777777" w:rsidR="001D3B1F" w:rsidRPr="001D3B1F" w:rsidRDefault="001D3B1F" w:rsidP="001D3B1F">
            <w:pPr>
              <w:jc w:val="both"/>
              <w:rPr>
                <w:rFonts w:asciiTheme="minorHAnsi" w:eastAsiaTheme="minorHAnsi" w:hAnsiTheme="minorHAnsi" w:cstheme="minorBidi"/>
                <w:sz w:val="18"/>
                <w:szCs w:val="18"/>
              </w:rPr>
            </w:pPr>
            <w:r w:rsidRPr="001D3B1F">
              <w:rPr>
                <w:rFonts w:asciiTheme="minorHAnsi" w:eastAsiaTheme="minorHAnsi" w:hAnsiTheme="minorHAnsi" w:cstheme="minorBidi"/>
                <w:sz w:val="18"/>
                <w:szCs w:val="18"/>
              </w:rPr>
              <w:t xml:space="preserve">The PBAC advised that for the purposes of substitution: </w:t>
            </w:r>
          </w:p>
          <w:p w14:paraId="4A06B7D5" w14:textId="77777777" w:rsidR="001D3B1F" w:rsidRPr="00B0219D" w:rsidRDefault="001D3B1F" w:rsidP="00B0219D">
            <w:pPr>
              <w:pStyle w:val="ListParagraph"/>
              <w:numPr>
                <w:ilvl w:val="0"/>
                <w:numId w:val="58"/>
              </w:numPr>
              <w:ind w:left="295" w:hanging="284"/>
              <w:jc w:val="both"/>
              <w:rPr>
                <w:rFonts w:asciiTheme="minorHAnsi" w:hAnsiTheme="minorHAnsi" w:cstheme="minorHAnsi"/>
                <w:sz w:val="18"/>
                <w:szCs w:val="18"/>
              </w:rPr>
            </w:pPr>
            <w:r w:rsidRPr="00B0219D">
              <w:rPr>
                <w:rFonts w:asciiTheme="minorHAnsi" w:hAnsiTheme="minorHAnsi" w:cstheme="minorHAnsi"/>
                <w:sz w:val="18"/>
                <w:szCs w:val="18"/>
              </w:rPr>
              <w:t xml:space="preserve">PFS of Hyrimoz HCF should be treated as equivalent to the different brands of adalimumab of the same strength for specific indications (i.e. ‘a’ flagged in the schedule); with the exception that the 40 mg in 0.4 mL PFS of the different brands of adalimumab should also be treated as equivalent to the 40 mg in 0.8 mL PFS of the different brands of adalimumab. </w:t>
            </w:r>
          </w:p>
          <w:p w14:paraId="3C887980" w14:textId="77777777" w:rsidR="00BB10E2" w:rsidRPr="00BB10E2" w:rsidRDefault="001D3B1F" w:rsidP="00A9542F">
            <w:pPr>
              <w:pStyle w:val="ListParagraph"/>
              <w:numPr>
                <w:ilvl w:val="0"/>
                <w:numId w:val="58"/>
              </w:numPr>
              <w:ind w:left="295" w:hanging="284"/>
              <w:jc w:val="both"/>
              <w:rPr>
                <w:rFonts w:asciiTheme="minorHAnsi" w:eastAsiaTheme="minorHAnsi" w:hAnsiTheme="minorHAnsi" w:cstheme="minorBidi"/>
                <w:sz w:val="18"/>
                <w:szCs w:val="18"/>
              </w:rPr>
            </w:pPr>
            <w:r w:rsidRPr="57BE458E">
              <w:rPr>
                <w:rFonts w:asciiTheme="minorHAnsi" w:hAnsiTheme="minorHAnsi" w:cstheme="minorBidi"/>
                <w:sz w:val="18"/>
                <w:szCs w:val="18"/>
              </w:rPr>
              <w:t>PFP of Hyrimoz HCF should be treated as equivalent to the different brands of adalimumab of the same strength for specific indications (i.e. ‘a’ flagged in the schedule), with the exception that the 40 mg in 0.4 mL PFP of the different brands of adalimumab should also be treated as equivalent to the 40 mg in 0.8 mL PFP of the different brands of adalimumab.</w:t>
            </w:r>
          </w:p>
          <w:p w14:paraId="43F997E8" w14:textId="3C87B06F" w:rsidR="00587746" w:rsidRPr="00E040AB" w:rsidDel="008F66B5" w:rsidRDefault="001D3B1F" w:rsidP="00A9542F">
            <w:pPr>
              <w:pStyle w:val="ListParagraph"/>
              <w:numPr>
                <w:ilvl w:val="0"/>
                <w:numId w:val="58"/>
              </w:numPr>
              <w:ind w:left="295" w:hanging="284"/>
              <w:jc w:val="both"/>
              <w:rPr>
                <w:rFonts w:asciiTheme="minorHAnsi" w:eastAsiaTheme="minorHAnsi" w:hAnsiTheme="minorHAnsi" w:cstheme="minorBidi"/>
                <w:sz w:val="18"/>
                <w:szCs w:val="18"/>
              </w:rPr>
            </w:pPr>
            <w:r w:rsidRPr="00A9542F">
              <w:rPr>
                <w:rFonts w:asciiTheme="minorHAnsi" w:hAnsiTheme="minorHAnsi" w:cstheme="minorHAnsi"/>
                <w:sz w:val="18"/>
                <w:szCs w:val="18"/>
              </w:rPr>
              <w:t>The PBAC reaffirmed its advice from November 2023 that adalimumab PFP formulation should not be considered equivalent for the purposes of substitution with any adalimumab PFS formulation.</w:t>
            </w:r>
          </w:p>
        </w:tc>
      </w:tr>
      <w:bookmarkEnd w:id="1"/>
      <w:tr w:rsidR="00587746" w:rsidRPr="008059F4" w:rsidDel="008F66B5" w14:paraId="41369496" w14:textId="7EF7CEE9" w:rsidTr="75B0C150">
        <w:trPr>
          <w:trHeight w:val="2315"/>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65471A3" w14:textId="77B4305F" w:rsidR="004A326C"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lastRenderedPageBreak/>
              <w:t>ADRENALINE (EPINEPHRINE)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I.M. injection 150 micrograms in 0.15</w:t>
            </w:r>
            <w:r w:rsidR="004A326C">
              <w:rPr>
                <w:rFonts w:asciiTheme="minorHAnsi" w:eastAsia="Arial" w:hAnsiTheme="minorHAnsi" w:cstheme="minorHAnsi"/>
                <w:color w:val="000000" w:themeColor="text1"/>
                <w:sz w:val="18"/>
                <w:szCs w:val="18"/>
              </w:rPr>
              <w:t> </w:t>
            </w:r>
            <w:r w:rsidRPr="00F03408">
              <w:rPr>
                <w:rFonts w:asciiTheme="minorHAnsi" w:eastAsia="Arial" w:hAnsiTheme="minorHAnsi" w:cstheme="minorHAnsi"/>
                <w:color w:val="000000" w:themeColor="text1"/>
                <w:sz w:val="18"/>
                <w:szCs w:val="18"/>
              </w:rPr>
              <w:t>mL (as acid tartrate) single dose syringe auto injector</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I.M. injection 300 micrograms in 0.3</w:t>
            </w:r>
            <w:r w:rsidR="004A326C">
              <w:rPr>
                <w:rFonts w:asciiTheme="minorHAnsi" w:eastAsia="Arial" w:hAnsiTheme="minorHAnsi" w:cstheme="minorHAnsi"/>
                <w:color w:val="000000" w:themeColor="text1"/>
                <w:sz w:val="18"/>
                <w:szCs w:val="18"/>
              </w:rPr>
              <w:t> </w:t>
            </w:r>
            <w:r w:rsidRPr="00F03408">
              <w:rPr>
                <w:rFonts w:asciiTheme="minorHAnsi" w:eastAsia="Arial" w:hAnsiTheme="minorHAnsi" w:cstheme="minorHAnsi"/>
                <w:color w:val="000000" w:themeColor="text1"/>
                <w:sz w:val="18"/>
                <w:szCs w:val="18"/>
              </w:rPr>
              <w:t>mL (as acid tartrate) single dose syringe auto injector</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proofErr w:type="spellStart"/>
            <w:r w:rsidRPr="00F03408">
              <w:rPr>
                <w:rFonts w:asciiTheme="minorHAnsi" w:eastAsia="Arial" w:hAnsiTheme="minorHAnsi" w:cstheme="minorHAnsi"/>
                <w:color w:val="000000" w:themeColor="text1"/>
                <w:sz w:val="18"/>
                <w:szCs w:val="18"/>
              </w:rPr>
              <w:t>Jext</w:t>
            </w:r>
            <w:proofErr w:type="spellEnd"/>
            <w:r w:rsidRPr="00EB2952">
              <w:rPr>
                <w:rFonts w:asciiTheme="minorHAnsi" w:eastAsia="Arial" w:hAnsiTheme="minorHAnsi" w:cstheme="minorHAnsi"/>
                <w:color w:val="000000" w:themeColor="text1"/>
                <w:sz w:val="18"/>
                <w:szCs w:val="18"/>
              </w:rPr>
              <w:t>®</w:t>
            </w:r>
            <w:r w:rsidRPr="00F03408">
              <w:rPr>
                <w:rFonts w:asciiTheme="minorHAnsi" w:eastAsia="Arial" w:hAnsiTheme="minorHAnsi" w:cstheme="minorHAnsi"/>
                <w:color w:val="000000" w:themeColor="text1"/>
                <w:sz w:val="18"/>
                <w:szCs w:val="18"/>
              </w:rPr>
              <w:t xml:space="preserve"> Jnr</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proofErr w:type="spellStart"/>
            <w:r w:rsidRPr="00F03408">
              <w:rPr>
                <w:rFonts w:asciiTheme="minorHAnsi" w:eastAsia="Arial" w:hAnsiTheme="minorHAnsi" w:cstheme="minorHAnsi"/>
                <w:color w:val="000000" w:themeColor="text1"/>
                <w:sz w:val="18"/>
                <w:szCs w:val="18"/>
              </w:rPr>
              <w:t>Jext</w:t>
            </w:r>
            <w:proofErr w:type="spellEnd"/>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HEALTH TECHNOLOGY ANALYSTS PTY LIMITED</w:t>
            </w:r>
            <w:r w:rsidRPr="00F03408">
              <w:rPr>
                <w:rFonts w:asciiTheme="minorHAnsi" w:hAnsiTheme="minorHAnsi" w:cstheme="minorHAnsi"/>
                <w:sz w:val="18"/>
                <w:szCs w:val="18"/>
              </w:rPr>
              <w:br/>
            </w:r>
          </w:p>
          <w:p w14:paraId="01C26252" w14:textId="68C19A97" w:rsidR="3BB13E8F" w:rsidRPr="00F03408" w:rsidRDefault="004A326C" w:rsidP="00A94408">
            <w:pPr>
              <w:jc w:val="center"/>
              <w:rPr>
                <w:rFonts w:asciiTheme="minorHAnsi" w:hAnsiTheme="minorHAnsi" w:cstheme="minorHAnsi"/>
                <w:sz w:val="18"/>
                <w:szCs w:val="18"/>
              </w:rPr>
            </w:pPr>
            <w:r>
              <w:rPr>
                <w:rFonts w:asciiTheme="minorHAnsi" w:hAnsiTheme="minorHAnsi" w:cstheme="minorHAnsi"/>
                <w:sz w:val="18"/>
                <w:szCs w:val="18"/>
              </w:rPr>
              <w:t>Category 4</w:t>
            </w:r>
            <w:r w:rsidR="3BB13E8F" w:rsidRPr="00F03408">
              <w:rPr>
                <w:rFonts w:asciiTheme="minorHAnsi" w:eastAsia="Arial" w:hAnsiTheme="minorHAnsi" w:cstheme="minorHAnsi"/>
                <w:color w:val="000000" w:themeColor="text1"/>
                <w:sz w:val="18"/>
                <w:szCs w:val="18"/>
              </w:rPr>
              <w:t xml:space="preserve"> </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500A95A7" w14:textId="24E3AF4B"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Acute allergic reaction with anaphylaxis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32C3EE4" w14:textId="599F44B1"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To request a General Schedule Authority Required (Telephone/Online) listing of a new form for the treatment of acute allergic reaction with anaphylaxis.</w:t>
            </w:r>
          </w:p>
        </w:tc>
        <w:tc>
          <w:tcPr>
            <w:tcW w:w="1584" w:type="dxa"/>
            <w:shd w:val="clear" w:color="auto" w:fill="auto"/>
            <w:vAlign w:val="center"/>
          </w:tcPr>
          <w:p w14:paraId="6FB45133" w14:textId="08BAF7A2" w:rsidR="00587746" w:rsidRPr="00F03408" w:rsidDel="008F66B5" w:rsidRDefault="001C5F74"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shd w:val="clear" w:color="auto" w:fill="auto"/>
            <w:vAlign w:val="center"/>
          </w:tcPr>
          <w:p w14:paraId="33116F54" w14:textId="2686953C" w:rsidR="000D7E0C" w:rsidRPr="000D7E0C" w:rsidRDefault="000D7E0C" w:rsidP="000D7E0C">
            <w:pPr>
              <w:jc w:val="both"/>
              <w:rPr>
                <w:rFonts w:asciiTheme="minorHAnsi" w:hAnsiTheme="minorHAnsi" w:cstheme="minorBidi"/>
                <w:color w:val="000000" w:themeColor="text1"/>
                <w:sz w:val="18"/>
                <w:szCs w:val="18"/>
              </w:rPr>
            </w:pPr>
            <w:r w:rsidRPr="6C4337E0">
              <w:rPr>
                <w:rFonts w:asciiTheme="minorHAnsi" w:hAnsiTheme="minorHAnsi" w:cstheme="minorBidi"/>
                <w:color w:val="000000" w:themeColor="text1"/>
                <w:sz w:val="18"/>
                <w:szCs w:val="18"/>
              </w:rPr>
              <w:t>The PBAC recommended the General Schedule Authority Required (Telephone/Online) listing of a new form of adrenaline (epinephrine) acid tartrate 150 micrograms/0.15 mL auto-injector (AI) (</w:t>
            </w:r>
            <w:proofErr w:type="spellStart"/>
            <w:r w:rsidRPr="6C4337E0">
              <w:rPr>
                <w:rFonts w:asciiTheme="minorHAnsi" w:hAnsiTheme="minorHAnsi" w:cstheme="minorBidi"/>
                <w:color w:val="000000" w:themeColor="text1"/>
                <w:sz w:val="18"/>
                <w:szCs w:val="18"/>
              </w:rPr>
              <w:t>Jext</w:t>
            </w:r>
            <w:proofErr w:type="spellEnd"/>
            <w:r w:rsidRPr="6C4337E0">
              <w:rPr>
                <w:rFonts w:asciiTheme="minorHAnsi" w:hAnsiTheme="minorHAnsi" w:cstheme="minorBidi"/>
                <w:color w:val="000000" w:themeColor="text1"/>
                <w:sz w:val="18"/>
                <w:szCs w:val="18"/>
              </w:rPr>
              <w:t xml:space="preserve"> Jr) and 300 micrograms/0.3 mL AI (</w:t>
            </w:r>
            <w:proofErr w:type="spellStart"/>
            <w:r w:rsidRPr="6C4337E0">
              <w:rPr>
                <w:rFonts w:asciiTheme="minorHAnsi" w:hAnsiTheme="minorHAnsi" w:cstheme="minorBidi"/>
                <w:color w:val="000000" w:themeColor="text1"/>
                <w:sz w:val="18"/>
                <w:szCs w:val="18"/>
              </w:rPr>
              <w:t>Jext</w:t>
            </w:r>
            <w:proofErr w:type="spellEnd"/>
            <w:r w:rsidRPr="6C4337E0">
              <w:rPr>
                <w:rFonts w:asciiTheme="minorHAnsi" w:hAnsiTheme="minorHAnsi" w:cstheme="minorBidi"/>
                <w:color w:val="000000" w:themeColor="text1"/>
                <w:sz w:val="18"/>
                <w:szCs w:val="18"/>
              </w:rPr>
              <w:t>) under the same circumstances as the currently listed adrenaline (epinephrine) 150 microgram/0.3 mL AI (</w:t>
            </w:r>
            <w:proofErr w:type="spellStart"/>
            <w:r w:rsidRPr="6C4337E0">
              <w:rPr>
                <w:rFonts w:asciiTheme="minorHAnsi" w:hAnsiTheme="minorHAnsi" w:cstheme="minorBidi"/>
                <w:color w:val="000000" w:themeColor="text1"/>
                <w:sz w:val="18"/>
                <w:szCs w:val="18"/>
              </w:rPr>
              <w:t>EpiPen®Jr</w:t>
            </w:r>
            <w:proofErr w:type="spellEnd"/>
            <w:r w:rsidRPr="6C4337E0">
              <w:rPr>
                <w:rFonts w:asciiTheme="minorHAnsi" w:hAnsiTheme="minorHAnsi" w:cstheme="minorBidi"/>
                <w:color w:val="000000" w:themeColor="text1"/>
                <w:sz w:val="18"/>
                <w:szCs w:val="18"/>
              </w:rPr>
              <w:t xml:space="preserve">, </w:t>
            </w:r>
            <w:proofErr w:type="spellStart"/>
            <w:r w:rsidRPr="6C4337E0">
              <w:rPr>
                <w:rFonts w:asciiTheme="minorHAnsi" w:hAnsiTheme="minorHAnsi" w:cstheme="minorBidi"/>
                <w:color w:val="000000" w:themeColor="text1"/>
                <w:sz w:val="18"/>
                <w:szCs w:val="18"/>
              </w:rPr>
              <w:t>Anapen®Jr</w:t>
            </w:r>
            <w:proofErr w:type="spellEnd"/>
            <w:r w:rsidRPr="6C4337E0">
              <w:rPr>
                <w:rFonts w:asciiTheme="minorHAnsi" w:hAnsiTheme="minorHAnsi" w:cstheme="minorBidi"/>
                <w:color w:val="000000" w:themeColor="text1"/>
                <w:sz w:val="18"/>
                <w:szCs w:val="18"/>
              </w:rPr>
              <w:t xml:space="preserve"> 150 and Adrenaline Jr </w:t>
            </w:r>
            <w:proofErr w:type="spellStart"/>
            <w:r w:rsidRPr="6C4337E0">
              <w:rPr>
                <w:rFonts w:asciiTheme="minorHAnsi" w:hAnsiTheme="minorHAnsi" w:cstheme="minorBidi"/>
                <w:color w:val="000000" w:themeColor="text1"/>
                <w:sz w:val="18"/>
                <w:szCs w:val="18"/>
              </w:rPr>
              <w:t>Viatris</w:t>
            </w:r>
            <w:proofErr w:type="spellEnd"/>
            <w:r w:rsidRPr="6C4337E0">
              <w:rPr>
                <w:rFonts w:asciiTheme="minorHAnsi" w:hAnsiTheme="minorHAnsi" w:cstheme="minorBidi"/>
                <w:color w:val="000000" w:themeColor="text1"/>
                <w:sz w:val="18"/>
                <w:szCs w:val="18"/>
              </w:rPr>
              <w:t xml:space="preserve">®) and 300 micrograms/0.3 mL AI (EpiPen®, Anapen®300 and Adrenaline </w:t>
            </w:r>
            <w:proofErr w:type="spellStart"/>
            <w:r w:rsidRPr="6C4337E0">
              <w:rPr>
                <w:rFonts w:asciiTheme="minorHAnsi" w:hAnsiTheme="minorHAnsi" w:cstheme="minorBidi"/>
                <w:color w:val="000000" w:themeColor="text1"/>
                <w:sz w:val="18"/>
                <w:szCs w:val="18"/>
              </w:rPr>
              <w:t>Viatris</w:t>
            </w:r>
            <w:proofErr w:type="spellEnd"/>
            <w:r w:rsidRPr="6C4337E0">
              <w:rPr>
                <w:rFonts w:asciiTheme="minorHAnsi" w:hAnsiTheme="minorHAnsi" w:cstheme="minorBidi"/>
                <w:color w:val="000000" w:themeColor="text1"/>
                <w:sz w:val="18"/>
                <w:szCs w:val="18"/>
              </w:rPr>
              <w:t xml:space="preserve">®) for the treatment of acute allergic reaction with anaphylaxis. </w:t>
            </w:r>
          </w:p>
          <w:p w14:paraId="3EE8BE8F" w14:textId="77777777" w:rsidR="000D7E0C" w:rsidRPr="000D7E0C" w:rsidRDefault="000D7E0C" w:rsidP="000D7E0C">
            <w:pPr>
              <w:jc w:val="both"/>
              <w:rPr>
                <w:rFonts w:asciiTheme="minorHAnsi" w:hAnsiTheme="minorHAnsi" w:cstheme="minorHAnsi"/>
                <w:color w:val="000000" w:themeColor="text1"/>
                <w:sz w:val="18"/>
                <w:szCs w:val="18"/>
              </w:rPr>
            </w:pPr>
          </w:p>
          <w:p w14:paraId="01E35403" w14:textId="22D2DDFB" w:rsidR="000D7E0C" w:rsidRPr="000D7E0C" w:rsidRDefault="000D7E0C" w:rsidP="000D7E0C">
            <w:pPr>
              <w:jc w:val="both"/>
              <w:rPr>
                <w:rFonts w:asciiTheme="minorHAnsi" w:hAnsiTheme="minorHAnsi" w:cstheme="minorBidi"/>
                <w:color w:val="000000" w:themeColor="text1"/>
                <w:sz w:val="18"/>
                <w:szCs w:val="18"/>
              </w:rPr>
            </w:pPr>
            <w:r w:rsidRPr="6C4337E0">
              <w:rPr>
                <w:rFonts w:asciiTheme="minorHAnsi" w:hAnsiTheme="minorHAnsi" w:cstheme="minorBidi"/>
                <w:color w:val="000000" w:themeColor="text1"/>
                <w:sz w:val="18"/>
                <w:szCs w:val="18"/>
              </w:rPr>
              <w:t xml:space="preserve">The PBAC considered that the claim of non-inferior comparative effectiveness and safety were acceptable based on the TGA </w:t>
            </w:r>
            <w:r w:rsidR="008F3C10" w:rsidRPr="6C4337E0">
              <w:rPr>
                <w:rFonts w:asciiTheme="minorHAnsi" w:hAnsiTheme="minorHAnsi" w:cstheme="minorBidi"/>
                <w:color w:val="000000" w:themeColor="text1"/>
                <w:sz w:val="18"/>
                <w:szCs w:val="18"/>
              </w:rPr>
              <w:t>advice</w:t>
            </w:r>
            <w:r w:rsidRPr="6C4337E0">
              <w:rPr>
                <w:rFonts w:asciiTheme="minorHAnsi" w:hAnsiTheme="minorHAnsi" w:cstheme="minorBidi"/>
                <w:color w:val="000000" w:themeColor="text1"/>
                <w:sz w:val="18"/>
                <w:szCs w:val="18"/>
              </w:rPr>
              <w:t xml:space="preserve">. The PBAC has advised, consistent with previous advice, that under Section 101(4AACD) of the </w:t>
            </w:r>
            <w:r w:rsidRPr="6C4337E0">
              <w:rPr>
                <w:rFonts w:asciiTheme="minorHAnsi" w:hAnsiTheme="minorHAnsi" w:cstheme="minorBidi"/>
                <w:i/>
                <w:color w:val="000000" w:themeColor="text1"/>
                <w:sz w:val="18"/>
                <w:szCs w:val="18"/>
              </w:rPr>
              <w:t>National Health Act 1953</w:t>
            </w:r>
            <w:r w:rsidRPr="6C4337E0">
              <w:rPr>
                <w:rFonts w:asciiTheme="minorHAnsi" w:hAnsiTheme="minorHAnsi" w:cstheme="minorBidi"/>
                <w:color w:val="000000" w:themeColor="text1"/>
                <w:sz w:val="18"/>
                <w:szCs w:val="18"/>
              </w:rPr>
              <w:t xml:space="preserve">, in the Schedule of Pharmaceutical Benefits, </w:t>
            </w:r>
            <w:proofErr w:type="spellStart"/>
            <w:r w:rsidRPr="6C4337E0">
              <w:rPr>
                <w:rFonts w:asciiTheme="minorHAnsi" w:hAnsiTheme="minorHAnsi" w:cstheme="minorBidi"/>
                <w:color w:val="000000" w:themeColor="text1"/>
                <w:sz w:val="18"/>
                <w:szCs w:val="18"/>
              </w:rPr>
              <w:t>Jext</w:t>
            </w:r>
            <w:proofErr w:type="spellEnd"/>
            <w:r w:rsidRPr="6C4337E0">
              <w:rPr>
                <w:rFonts w:asciiTheme="minorHAnsi" w:hAnsiTheme="minorHAnsi" w:cstheme="minorBidi"/>
                <w:color w:val="000000" w:themeColor="text1"/>
                <w:sz w:val="18"/>
                <w:szCs w:val="18"/>
              </w:rPr>
              <w:t xml:space="preserve"> Jr should be treated as equivalent at the pharmacy level (i.e. ‘a’ flagged in the Schedule) for the purpose of substitution with EpiPen Jr,  </w:t>
            </w:r>
            <w:proofErr w:type="spellStart"/>
            <w:r w:rsidRPr="6C4337E0">
              <w:rPr>
                <w:rFonts w:asciiTheme="minorHAnsi" w:hAnsiTheme="minorHAnsi" w:cstheme="minorBidi"/>
                <w:color w:val="000000" w:themeColor="text1"/>
                <w:sz w:val="18"/>
                <w:szCs w:val="18"/>
              </w:rPr>
              <w:t>Anapen</w:t>
            </w:r>
            <w:proofErr w:type="spellEnd"/>
            <w:r w:rsidRPr="6C4337E0">
              <w:rPr>
                <w:rFonts w:asciiTheme="minorHAnsi" w:hAnsiTheme="minorHAnsi" w:cstheme="minorBidi"/>
                <w:color w:val="000000" w:themeColor="text1"/>
                <w:sz w:val="18"/>
                <w:szCs w:val="18"/>
              </w:rPr>
              <w:t xml:space="preserve"> Jr 150 and Adrenaline </w:t>
            </w:r>
            <w:proofErr w:type="spellStart"/>
            <w:r w:rsidRPr="6C4337E0">
              <w:rPr>
                <w:rFonts w:asciiTheme="minorHAnsi" w:hAnsiTheme="minorHAnsi" w:cstheme="minorBidi"/>
                <w:color w:val="000000" w:themeColor="text1"/>
                <w:sz w:val="18"/>
                <w:szCs w:val="18"/>
              </w:rPr>
              <w:t>Viatris</w:t>
            </w:r>
            <w:proofErr w:type="spellEnd"/>
            <w:r w:rsidRPr="6C4337E0">
              <w:rPr>
                <w:rFonts w:asciiTheme="minorHAnsi" w:hAnsiTheme="minorHAnsi" w:cstheme="minorBidi"/>
                <w:color w:val="000000" w:themeColor="text1"/>
                <w:sz w:val="18"/>
                <w:szCs w:val="18"/>
              </w:rPr>
              <w:t xml:space="preserve"> Jr; and </w:t>
            </w:r>
            <w:proofErr w:type="spellStart"/>
            <w:r w:rsidRPr="6C4337E0">
              <w:rPr>
                <w:rFonts w:asciiTheme="minorHAnsi" w:hAnsiTheme="minorHAnsi" w:cstheme="minorBidi"/>
                <w:color w:val="000000" w:themeColor="text1"/>
                <w:sz w:val="18"/>
                <w:szCs w:val="18"/>
              </w:rPr>
              <w:t>Jext</w:t>
            </w:r>
            <w:proofErr w:type="spellEnd"/>
            <w:r w:rsidRPr="6C4337E0">
              <w:rPr>
                <w:rFonts w:asciiTheme="minorHAnsi" w:hAnsiTheme="minorHAnsi" w:cstheme="minorBidi"/>
                <w:color w:val="000000" w:themeColor="text1"/>
                <w:sz w:val="18"/>
                <w:szCs w:val="18"/>
              </w:rPr>
              <w:t xml:space="preserve"> should be treated as equivalent at the pharmacy level (i.e. ‘a’ flagged in the Schedule) for the purpose of substitution with EpiPen, </w:t>
            </w:r>
            <w:proofErr w:type="spellStart"/>
            <w:r w:rsidRPr="6C4337E0">
              <w:rPr>
                <w:rFonts w:asciiTheme="minorHAnsi" w:hAnsiTheme="minorHAnsi" w:cstheme="minorBidi"/>
                <w:color w:val="000000" w:themeColor="text1"/>
                <w:sz w:val="18"/>
                <w:szCs w:val="18"/>
              </w:rPr>
              <w:t>Anapen</w:t>
            </w:r>
            <w:proofErr w:type="spellEnd"/>
            <w:r w:rsidRPr="6C4337E0">
              <w:rPr>
                <w:rFonts w:asciiTheme="minorHAnsi" w:hAnsiTheme="minorHAnsi" w:cstheme="minorBidi"/>
                <w:color w:val="000000" w:themeColor="text1"/>
                <w:sz w:val="18"/>
                <w:szCs w:val="18"/>
              </w:rPr>
              <w:t xml:space="preserve"> 300 and Adrenaline </w:t>
            </w:r>
            <w:proofErr w:type="spellStart"/>
            <w:r w:rsidRPr="6C4337E0">
              <w:rPr>
                <w:rFonts w:asciiTheme="minorHAnsi" w:hAnsiTheme="minorHAnsi" w:cstheme="minorBidi"/>
                <w:color w:val="000000" w:themeColor="text1"/>
                <w:sz w:val="18"/>
                <w:szCs w:val="18"/>
              </w:rPr>
              <w:t>Viatris</w:t>
            </w:r>
            <w:proofErr w:type="spellEnd"/>
            <w:r w:rsidRPr="6C4337E0">
              <w:rPr>
                <w:rFonts w:asciiTheme="minorHAnsi" w:hAnsiTheme="minorHAnsi" w:cstheme="minorBidi"/>
                <w:color w:val="000000" w:themeColor="text1"/>
                <w:sz w:val="18"/>
                <w:szCs w:val="18"/>
              </w:rPr>
              <w:t xml:space="preserve">. </w:t>
            </w:r>
          </w:p>
          <w:p w14:paraId="586653B8" w14:textId="7CD4E9A3" w:rsidR="57BE458E" w:rsidRDefault="57BE458E" w:rsidP="57BE458E">
            <w:pPr>
              <w:jc w:val="both"/>
              <w:rPr>
                <w:rFonts w:asciiTheme="minorHAnsi" w:hAnsiTheme="minorHAnsi" w:cstheme="minorBidi"/>
                <w:color w:val="000000" w:themeColor="text1"/>
                <w:sz w:val="18"/>
                <w:szCs w:val="18"/>
              </w:rPr>
            </w:pPr>
          </w:p>
          <w:p w14:paraId="091AA553" w14:textId="77777777" w:rsidR="000D7E0C" w:rsidRPr="000D7E0C" w:rsidRDefault="000D7E0C" w:rsidP="000D7E0C">
            <w:pPr>
              <w:jc w:val="both"/>
              <w:rPr>
                <w:rFonts w:asciiTheme="minorHAnsi" w:hAnsiTheme="minorHAnsi" w:cstheme="minorHAnsi"/>
                <w:color w:val="000000" w:themeColor="text1"/>
                <w:sz w:val="18"/>
                <w:szCs w:val="18"/>
              </w:rPr>
            </w:pPr>
            <w:r w:rsidRPr="000D7E0C">
              <w:rPr>
                <w:rFonts w:asciiTheme="minorHAnsi" w:hAnsiTheme="minorHAnsi" w:cstheme="minorHAnsi"/>
                <w:color w:val="000000" w:themeColor="text1"/>
                <w:sz w:val="18"/>
                <w:szCs w:val="18"/>
              </w:rPr>
              <w:t xml:space="preserve">The PBAC advised that the equi-effective doses for </w:t>
            </w:r>
            <w:proofErr w:type="spellStart"/>
            <w:r w:rsidRPr="000D7E0C">
              <w:rPr>
                <w:rFonts w:asciiTheme="minorHAnsi" w:hAnsiTheme="minorHAnsi" w:cstheme="minorHAnsi"/>
                <w:color w:val="000000" w:themeColor="text1"/>
                <w:sz w:val="18"/>
                <w:szCs w:val="18"/>
              </w:rPr>
              <w:t>Jext</w:t>
            </w:r>
            <w:proofErr w:type="spellEnd"/>
            <w:r w:rsidRPr="000D7E0C">
              <w:rPr>
                <w:rFonts w:asciiTheme="minorHAnsi" w:hAnsiTheme="minorHAnsi" w:cstheme="minorHAnsi"/>
                <w:color w:val="000000" w:themeColor="text1"/>
                <w:sz w:val="18"/>
                <w:szCs w:val="18"/>
              </w:rPr>
              <w:t xml:space="preserve"> Jr and </w:t>
            </w:r>
            <w:proofErr w:type="spellStart"/>
            <w:r w:rsidRPr="000D7E0C">
              <w:rPr>
                <w:rFonts w:asciiTheme="minorHAnsi" w:hAnsiTheme="minorHAnsi" w:cstheme="minorHAnsi"/>
                <w:color w:val="000000" w:themeColor="text1"/>
                <w:sz w:val="18"/>
                <w:szCs w:val="18"/>
              </w:rPr>
              <w:t>Jext</w:t>
            </w:r>
            <w:proofErr w:type="spellEnd"/>
            <w:r w:rsidRPr="000D7E0C">
              <w:rPr>
                <w:rFonts w:asciiTheme="minorHAnsi" w:hAnsiTheme="minorHAnsi" w:cstheme="minorHAnsi"/>
                <w:color w:val="000000" w:themeColor="text1"/>
                <w:sz w:val="18"/>
                <w:szCs w:val="18"/>
              </w:rPr>
              <w:t xml:space="preserve"> to be the following:</w:t>
            </w:r>
          </w:p>
          <w:p w14:paraId="5E451767" w14:textId="40C3B180" w:rsidR="000D7E0C" w:rsidRPr="00A9542F" w:rsidRDefault="000D7E0C" w:rsidP="00A9542F">
            <w:pPr>
              <w:pStyle w:val="ListParagraph"/>
              <w:numPr>
                <w:ilvl w:val="0"/>
                <w:numId w:val="58"/>
              </w:numPr>
              <w:ind w:left="295" w:hanging="284"/>
              <w:jc w:val="both"/>
              <w:rPr>
                <w:rFonts w:asciiTheme="minorHAnsi" w:hAnsiTheme="minorHAnsi" w:cstheme="minorBidi"/>
                <w:sz w:val="18"/>
                <w:szCs w:val="18"/>
              </w:rPr>
            </w:pPr>
            <w:r w:rsidRPr="57BE458E">
              <w:rPr>
                <w:rFonts w:asciiTheme="minorHAnsi" w:hAnsiTheme="minorHAnsi" w:cstheme="minorBidi"/>
                <w:sz w:val="18"/>
                <w:szCs w:val="18"/>
              </w:rPr>
              <w:t>1 x 150 micrograms/0.15 mL AI (</w:t>
            </w:r>
            <w:proofErr w:type="spellStart"/>
            <w:r w:rsidRPr="57BE458E">
              <w:rPr>
                <w:rFonts w:asciiTheme="minorHAnsi" w:hAnsiTheme="minorHAnsi" w:cstheme="minorBidi"/>
                <w:sz w:val="18"/>
                <w:szCs w:val="18"/>
              </w:rPr>
              <w:t>Jext</w:t>
            </w:r>
            <w:proofErr w:type="spellEnd"/>
            <w:r w:rsidRPr="57BE458E">
              <w:rPr>
                <w:rFonts w:asciiTheme="minorHAnsi" w:hAnsiTheme="minorHAnsi" w:cstheme="minorBidi"/>
                <w:sz w:val="18"/>
                <w:szCs w:val="18"/>
              </w:rPr>
              <w:t xml:space="preserve"> Jr) = 1 x 150</w:t>
            </w:r>
            <w:r w:rsidR="00A9542F" w:rsidRPr="57BE458E">
              <w:rPr>
                <w:rFonts w:asciiTheme="minorHAnsi" w:hAnsiTheme="minorHAnsi" w:cstheme="minorBidi"/>
                <w:sz w:val="18"/>
                <w:szCs w:val="18"/>
              </w:rPr>
              <w:t> </w:t>
            </w:r>
            <w:r w:rsidRPr="57BE458E">
              <w:rPr>
                <w:rFonts w:asciiTheme="minorHAnsi" w:hAnsiTheme="minorHAnsi" w:cstheme="minorBidi"/>
                <w:sz w:val="18"/>
                <w:szCs w:val="18"/>
              </w:rPr>
              <w:t>microgram/0.3 mL AI (</w:t>
            </w:r>
            <w:proofErr w:type="spellStart"/>
            <w:r w:rsidRPr="57BE458E">
              <w:rPr>
                <w:rFonts w:asciiTheme="minorHAnsi" w:hAnsiTheme="minorHAnsi" w:cstheme="minorBidi"/>
                <w:sz w:val="18"/>
                <w:szCs w:val="18"/>
              </w:rPr>
              <w:t>Anapen</w:t>
            </w:r>
            <w:proofErr w:type="spellEnd"/>
            <w:r w:rsidRPr="57BE458E">
              <w:rPr>
                <w:rFonts w:asciiTheme="minorHAnsi" w:hAnsiTheme="minorHAnsi" w:cstheme="minorBidi"/>
                <w:sz w:val="18"/>
                <w:szCs w:val="18"/>
              </w:rPr>
              <w:t xml:space="preserve"> Jr 150 or EpiPen Jr or Adrenaline Jr </w:t>
            </w:r>
            <w:proofErr w:type="spellStart"/>
            <w:r w:rsidRPr="57BE458E">
              <w:rPr>
                <w:rFonts w:asciiTheme="minorHAnsi" w:hAnsiTheme="minorHAnsi" w:cstheme="minorBidi"/>
                <w:sz w:val="18"/>
                <w:szCs w:val="18"/>
              </w:rPr>
              <w:t>Viatris</w:t>
            </w:r>
            <w:proofErr w:type="spellEnd"/>
            <w:r w:rsidRPr="57BE458E">
              <w:rPr>
                <w:rFonts w:asciiTheme="minorHAnsi" w:hAnsiTheme="minorHAnsi" w:cstheme="minorBidi"/>
                <w:sz w:val="18"/>
                <w:szCs w:val="18"/>
              </w:rPr>
              <w:t>)</w:t>
            </w:r>
          </w:p>
          <w:p w14:paraId="739BF5EE" w14:textId="172C1DFE" w:rsidR="004342CE" w:rsidRPr="00F03408" w:rsidDel="008F66B5" w:rsidRDefault="000D7E0C" w:rsidP="00A9542F">
            <w:pPr>
              <w:pStyle w:val="ListParagraph"/>
              <w:numPr>
                <w:ilvl w:val="0"/>
                <w:numId w:val="58"/>
              </w:numPr>
              <w:ind w:left="295" w:hanging="284"/>
              <w:jc w:val="both"/>
              <w:rPr>
                <w:rFonts w:asciiTheme="minorHAnsi" w:hAnsiTheme="minorHAnsi" w:cstheme="minorHAnsi"/>
                <w:color w:val="000000" w:themeColor="text1"/>
                <w:sz w:val="18"/>
                <w:szCs w:val="18"/>
              </w:rPr>
            </w:pPr>
            <w:r w:rsidRPr="00A9542F">
              <w:rPr>
                <w:rFonts w:asciiTheme="minorHAnsi" w:hAnsiTheme="minorHAnsi" w:cstheme="minorHAnsi"/>
                <w:sz w:val="18"/>
                <w:szCs w:val="18"/>
              </w:rPr>
              <w:t>1 x 300 micrograms/0.3 mL AI (</w:t>
            </w:r>
            <w:proofErr w:type="spellStart"/>
            <w:r w:rsidRPr="00A9542F">
              <w:rPr>
                <w:rFonts w:asciiTheme="minorHAnsi" w:hAnsiTheme="minorHAnsi" w:cstheme="minorHAnsi"/>
                <w:sz w:val="18"/>
                <w:szCs w:val="18"/>
              </w:rPr>
              <w:t>Jext</w:t>
            </w:r>
            <w:proofErr w:type="spellEnd"/>
            <w:r w:rsidRPr="00A9542F">
              <w:rPr>
                <w:rFonts w:asciiTheme="minorHAnsi" w:hAnsiTheme="minorHAnsi" w:cstheme="minorHAnsi"/>
                <w:sz w:val="18"/>
                <w:szCs w:val="18"/>
              </w:rPr>
              <w:t>) = 1 x 300</w:t>
            </w:r>
            <w:r w:rsidR="00A9542F">
              <w:rPr>
                <w:rFonts w:asciiTheme="minorHAnsi" w:hAnsiTheme="minorHAnsi" w:cstheme="minorHAnsi"/>
                <w:sz w:val="18"/>
                <w:szCs w:val="18"/>
              </w:rPr>
              <w:t> </w:t>
            </w:r>
            <w:r w:rsidRPr="00A9542F">
              <w:rPr>
                <w:rFonts w:asciiTheme="minorHAnsi" w:hAnsiTheme="minorHAnsi" w:cstheme="minorHAnsi"/>
                <w:sz w:val="18"/>
                <w:szCs w:val="18"/>
              </w:rPr>
              <w:t>micrograms/0.3 mL AI (</w:t>
            </w:r>
            <w:proofErr w:type="spellStart"/>
            <w:r w:rsidRPr="00A9542F">
              <w:rPr>
                <w:rFonts w:asciiTheme="minorHAnsi" w:hAnsiTheme="minorHAnsi" w:cstheme="minorHAnsi"/>
                <w:sz w:val="18"/>
                <w:szCs w:val="18"/>
              </w:rPr>
              <w:t>Anapen</w:t>
            </w:r>
            <w:proofErr w:type="spellEnd"/>
            <w:r w:rsidRPr="00A9542F">
              <w:rPr>
                <w:rFonts w:asciiTheme="minorHAnsi" w:hAnsiTheme="minorHAnsi" w:cstheme="minorHAnsi"/>
                <w:sz w:val="18"/>
                <w:szCs w:val="18"/>
              </w:rPr>
              <w:t xml:space="preserve"> 300 or EpiPen or Adrenaline </w:t>
            </w:r>
            <w:proofErr w:type="spellStart"/>
            <w:r w:rsidRPr="00A9542F">
              <w:rPr>
                <w:rFonts w:asciiTheme="minorHAnsi" w:hAnsiTheme="minorHAnsi" w:cstheme="minorHAnsi"/>
                <w:sz w:val="18"/>
                <w:szCs w:val="18"/>
              </w:rPr>
              <w:t>Viatris</w:t>
            </w:r>
            <w:proofErr w:type="spellEnd"/>
            <w:r w:rsidRPr="00A9542F">
              <w:rPr>
                <w:rFonts w:asciiTheme="minorHAnsi" w:hAnsiTheme="minorHAnsi" w:cstheme="minorHAnsi"/>
                <w:sz w:val="18"/>
                <w:szCs w:val="18"/>
              </w:rPr>
              <w:t>)</w:t>
            </w:r>
          </w:p>
        </w:tc>
      </w:tr>
      <w:tr w:rsidR="00587746" w:rsidRPr="008059F4" w:rsidDel="008F66B5" w14:paraId="15392436" w14:textId="08784C3B" w:rsidTr="75B0C150">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A9C268E" w14:textId="77777777" w:rsidR="00EA1B3C"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lastRenderedPageBreak/>
              <w:t>APALUTAMIDE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Tablet 240 mg</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proofErr w:type="spellStart"/>
            <w:r w:rsidRPr="00F03408">
              <w:rPr>
                <w:rFonts w:asciiTheme="minorHAnsi" w:eastAsia="Arial" w:hAnsiTheme="minorHAnsi" w:cstheme="minorHAnsi"/>
                <w:color w:val="000000" w:themeColor="text1"/>
                <w:sz w:val="18"/>
                <w:szCs w:val="18"/>
              </w:rPr>
              <w:t>Erlyand</w:t>
            </w:r>
            <w:proofErr w:type="spellEnd"/>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JANSSEN-CILAG PTY LTD</w:t>
            </w:r>
            <w:r w:rsidRPr="00F03408">
              <w:rPr>
                <w:rFonts w:asciiTheme="minorHAnsi" w:hAnsiTheme="minorHAnsi" w:cstheme="minorHAnsi"/>
                <w:sz w:val="18"/>
                <w:szCs w:val="18"/>
              </w:rPr>
              <w:br/>
            </w:r>
          </w:p>
          <w:p w14:paraId="04431AA7" w14:textId="6380047A" w:rsidR="3BB13E8F" w:rsidRPr="00F03408" w:rsidRDefault="00EA1B3C" w:rsidP="00A94408">
            <w:pPr>
              <w:jc w:val="center"/>
              <w:rPr>
                <w:rFonts w:asciiTheme="minorHAnsi" w:hAnsiTheme="minorHAnsi" w:cstheme="minorHAnsi"/>
                <w:sz w:val="18"/>
                <w:szCs w:val="18"/>
              </w:rPr>
            </w:pPr>
            <w:r>
              <w:rPr>
                <w:rFonts w:asciiTheme="minorHAnsi" w:hAnsiTheme="minorHAnsi" w:cstheme="minorHAnsi"/>
                <w:sz w:val="18"/>
                <w:szCs w:val="18"/>
              </w:rPr>
              <w:t>Category 4</w:t>
            </w:r>
            <w:r w:rsidR="3BB13E8F" w:rsidRPr="00F03408">
              <w:rPr>
                <w:rFonts w:asciiTheme="minorHAnsi" w:eastAsia="Arial" w:hAnsiTheme="minorHAnsi" w:cstheme="minorHAnsi"/>
                <w:color w:val="000000" w:themeColor="text1"/>
                <w:sz w:val="18"/>
                <w:szCs w:val="18"/>
              </w:rPr>
              <w:t xml:space="preserve"> </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3DD7194D" w14:textId="2FE2B5F6" w:rsidR="3BB13E8F" w:rsidRPr="00F03408" w:rsidRDefault="3BB13E8F" w:rsidP="00A94408">
            <w:pPr>
              <w:jc w:val="center"/>
              <w:rPr>
                <w:rFonts w:asciiTheme="minorHAnsi" w:hAnsiTheme="minorHAnsi" w:cstheme="minorBidi"/>
                <w:sz w:val="18"/>
                <w:szCs w:val="18"/>
              </w:rPr>
            </w:pPr>
            <w:r w:rsidRPr="57BE458E">
              <w:rPr>
                <w:rFonts w:asciiTheme="minorHAnsi" w:eastAsia="Arial" w:hAnsiTheme="minorHAnsi" w:cstheme="minorBidi"/>
                <w:color w:val="000000" w:themeColor="text1"/>
                <w:sz w:val="18"/>
                <w:szCs w:val="18"/>
              </w:rPr>
              <w:t>Non-metastatic castration-resistant carcinoma of the prostate</w:t>
            </w:r>
            <w:r w:rsidR="002B7BFD" w:rsidRPr="57BE458E">
              <w:rPr>
                <w:rFonts w:asciiTheme="minorHAnsi" w:eastAsia="Arial" w:hAnsiTheme="minorHAnsi" w:cstheme="minorBidi"/>
                <w:color w:val="000000" w:themeColor="text1"/>
                <w:sz w:val="18"/>
                <w:szCs w:val="18"/>
              </w:rPr>
              <w:t xml:space="preserve"> </w:t>
            </w:r>
            <w:r w:rsidR="002B7BFD" w:rsidRPr="57BE458E">
              <w:rPr>
                <w:rFonts w:asciiTheme="minorHAnsi" w:hAnsiTheme="minorHAnsi" w:cstheme="minorBidi"/>
                <w:color w:val="000000" w:themeColor="text1"/>
                <w:sz w:val="18"/>
                <w:szCs w:val="18"/>
                <w:lang w:val="en-GB"/>
              </w:rPr>
              <w:t>(m0CRPC)</w:t>
            </w:r>
            <w:r>
              <w:br/>
            </w:r>
            <w:r w:rsidRPr="57BE458E">
              <w:rPr>
                <w:rFonts w:asciiTheme="minorHAnsi" w:eastAsia="Arial" w:hAnsiTheme="minorHAnsi" w:cstheme="minorBidi"/>
                <w:color w:val="000000" w:themeColor="text1"/>
                <w:sz w:val="18"/>
                <w:szCs w:val="18"/>
              </w:rPr>
              <w:t xml:space="preserve"> Metastatic castration-sensitive carcinoma of the prostate</w:t>
            </w:r>
            <w:r w:rsidR="002B7BFD" w:rsidRPr="57BE458E">
              <w:rPr>
                <w:rFonts w:asciiTheme="minorHAnsi" w:eastAsia="Arial" w:hAnsiTheme="minorHAnsi" w:cstheme="minorBidi"/>
                <w:color w:val="000000" w:themeColor="text1"/>
                <w:sz w:val="18"/>
                <w:szCs w:val="18"/>
              </w:rPr>
              <w:t xml:space="preserve"> </w:t>
            </w:r>
            <w:r w:rsidR="002B7BFD" w:rsidRPr="57BE458E">
              <w:rPr>
                <w:rFonts w:asciiTheme="minorHAnsi" w:hAnsiTheme="minorHAnsi" w:cstheme="minorBidi"/>
                <w:color w:val="000000" w:themeColor="text1"/>
                <w:sz w:val="18"/>
                <w:szCs w:val="18"/>
                <w:lang w:val="en-GB"/>
              </w:rPr>
              <w:t>(mHSPC)</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15803C4" w14:textId="1997C1A5" w:rsidR="3BB13E8F" w:rsidRPr="00F03408" w:rsidRDefault="3BB13E8F" w:rsidP="00A94408">
            <w:pPr>
              <w:jc w:val="center"/>
              <w:rPr>
                <w:rFonts w:asciiTheme="minorHAnsi" w:hAnsiTheme="minorHAnsi" w:cstheme="minorBidi"/>
                <w:sz w:val="18"/>
                <w:szCs w:val="18"/>
              </w:rPr>
            </w:pPr>
            <w:r w:rsidRPr="57BE458E">
              <w:rPr>
                <w:rFonts w:asciiTheme="minorHAnsi" w:eastAsia="Arial" w:hAnsiTheme="minorHAnsi" w:cstheme="minorBidi"/>
                <w:color w:val="000000" w:themeColor="text1"/>
                <w:sz w:val="18"/>
                <w:szCs w:val="18"/>
              </w:rPr>
              <w:t xml:space="preserve">To request a General Schedule Authority Required (Telephone/Online) listing of a new strength for the treatment of </w:t>
            </w:r>
            <w:r w:rsidR="002B7BFD" w:rsidRPr="57BE458E">
              <w:rPr>
                <w:rFonts w:asciiTheme="minorHAnsi" w:hAnsiTheme="minorHAnsi" w:cstheme="minorBidi"/>
                <w:color w:val="000000" w:themeColor="text1"/>
                <w:sz w:val="18"/>
                <w:szCs w:val="18"/>
                <w:lang w:val="en-GB"/>
              </w:rPr>
              <w:t>m0CRPC</w:t>
            </w:r>
            <w:r w:rsidR="002B7BFD" w:rsidRPr="57BE458E" w:rsidDel="002B7BFD">
              <w:rPr>
                <w:rFonts w:asciiTheme="minorHAnsi" w:eastAsia="Arial" w:hAnsiTheme="minorHAnsi" w:cstheme="minorBidi"/>
                <w:color w:val="000000" w:themeColor="text1"/>
                <w:sz w:val="18"/>
                <w:szCs w:val="18"/>
              </w:rPr>
              <w:t xml:space="preserve"> </w:t>
            </w:r>
            <w:r w:rsidRPr="57BE458E">
              <w:rPr>
                <w:rFonts w:asciiTheme="minorHAnsi" w:eastAsia="Arial" w:hAnsiTheme="minorHAnsi" w:cstheme="minorBidi"/>
                <w:color w:val="000000" w:themeColor="text1"/>
                <w:sz w:val="18"/>
                <w:szCs w:val="18"/>
              </w:rPr>
              <w:t xml:space="preserve">and </w:t>
            </w:r>
            <w:r w:rsidR="002B7BFD" w:rsidRPr="57BE458E">
              <w:rPr>
                <w:rFonts w:asciiTheme="minorHAnsi" w:hAnsiTheme="minorHAnsi" w:cstheme="minorBidi"/>
                <w:color w:val="000000" w:themeColor="text1"/>
                <w:sz w:val="18"/>
                <w:szCs w:val="18"/>
                <w:lang w:val="en-GB"/>
              </w:rPr>
              <w:t>mHSPC</w:t>
            </w:r>
            <w:r w:rsidRPr="57BE458E">
              <w:rPr>
                <w:rFonts w:asciiTheme="minorHAnsi" w:eastAsia="Arial" w:hAnsiTheme="minorHAnsi" w:cstheme="minorBidi"/>
                <w:color w:val="000000" w:themeColor="text1"/>
                <w:sz w:val="18"/>
                <w:szCs w:val="18"/>
              </w:rPr>
              <w:t>.</w:t>
            </w:r>
          </w:p>
        </w:tc>
        <w:tc>
          <w:tcPr>
            <w:tcW w:w="1584" w:type="dxa"/>
            <w:shd w:val="clear" w:color="auto" w:fill="auto"/>
            <w:vAlign w:val="center"/>
          </w:tcPr>
          <w:p w14:paraId="6975FA0E" w14:textId="07BAB388" w:rsidR="00587746" w:rsidRPr="00F03408" w:rsidDel="008F66B5" w:rsidRDefault="001C5F74"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shd w:val="clear" w:color="auto" w:fill="auto"/>
            <w:vAlign w:val="center"/>
          </w:tcPr>
          <w:p w14:paraId="6E06C825" w14:textId="055FC26F" w:rsidR="00587746" w:rsidRPr="00E040AB" w:rsidDel="008F66B5" w:rsidRDefault="002B7F35" w:rsidP="00A94408">
            <w:pPr>
              <w:jc w:val="both"/>
              <w:rPr>
                <w:rFonts w:asciiTheme="minorHAnsi" w:hAnsiTheme="minorHAnsi" w:cstheme="minorBidi"/>
                <w:color w:val="000000"/>
                <w:sz w:val="18"/>
                <w:szCs w:val="18"/>
                <w:lang w:val="en-GB"/>
              </w:rPr>
            </w:pPr>
            <w:r w:rsidRPr="57BE458E">
              <w:rPr>
                <w:rFonts w:asciiTheme="minorHAnsi" w:hAnsiTheme="minorHAnsi" w:cstheme="minorBidi"/>
                <w:color w:val="000000" w:themeColor="text1"/>
                <w:sz w:val="18"/>
                <w:szCs w:val="18"/>
                <w:lang w:val="en-GB"/>
              </w:rPr>
              <w:t xml:space="preserve">The </w:t>
            </w:r>
            <w:r w:rsidR="00844AA3" w:rsidRPr="57BE458E">
              <w:rPr>
                <w:rFonts w:asciiTheme="minorHAnsi" w:hAnsiTheme="minorHAnsi" w:cstheme="minorBidi"/>
                <w:color w:val="000000" w:themeColor="text1"/>
                <w:sz w:val="18"/>
                <w:szCs w:val="18"/>
                <w:lang w:val="en-GB"/>
              </w:rPr>
              <w:t>PBAC recommended a General Schedule Authority Required (Telephone/Online) PBS listing of a new strength of apalutamide (tablet 240 mg) (</w:t>
            </w:r>
            <w:proofErr w:type="spellStart"/>
            <w:r w:rsidR="00844AA3" w:rsidRPr="57BE458E">
              <w:rPr>
                <w:rFonts w:asciiTheme="minorHAnsi" w:hAnsiTheme="minorHAnsi" w:cstheme="minorBidi"/>
                <w:color w:val="000000" w:themeColor="text1"/>
                <w:sz w:val="18"/>
                <w:szCs w:val="18"/>
                <w:lang w:val="en-GB"/>
              </w:rPr>
              <w:t>Erlyand</w:t>
            </w:r>
            <w:proofErr w:type="spellEnd"/>
            <w:r w:rsidR="00844AA3" w:rsidRPr="57BE458E">
              <w:rPr>
                <w:rFonts w:asciiTheme="minorHAnsi" w:hAnsiTheme="minorHAnsi" w:cstheme="minorBidi"/>
                <w:color w:val="000000" w:themeColor="text1"/>
                <w:sz w:val="18"/>
                <w:szCs w:val="18"/>
                <w:lang w:val="en-GB"/>
              </w:rPr>
              <w:t xml:space="preserve">®) under the same conditions as the currently listed strength of apalutamide (tablet 60 mg) for the treatment of m0CRPC and mHSPC for patients undergoing concurrent androgen deprivation therapy. The PBAC’s recommendation for listing was based on, among other matters, its assessment that apalutamide 240 mg would be cost-effective if it were cost-minimised to the lowest cost comparator </w:t>
            </w:r>
            <w:r w:rsidR="00844AA3" w:rsidRPr="57BE458E">
              <w:rPr>
                <w:rFonts w:asciiTheme="minorHAnsi" w:hAnsiTheme="minorHAnsi" w:cstheme="minorBidi"/>
                <w:color w:val="000000" w:themeColor="text1"/>
                <w:sz w:val="18"/>
                <w:szCs w:val="18"/>
              </w:rPr>
              <w:t xml:space="preserve">of apalutamide (60 mg), enzalutamide or darolutamide, </w:t>
            </w:r>
            <w:r w:rsidR="00844AA3" w:rsidRPr="57BE458E">
              <w:rPr>
                <w:rFonts w:asciiTheme="minorHAnsi" w:hAnsiTheme="minorHAnsi" w:cstheme="minorBidi"/>
                <w:color w:val="000000" w:themeColor="text1"/>
                <w:sz w:val="18"/>
                <w:szCs w:val="18"/>
                <w:lang w:val="en-GB"/>
              </w:rPr>
              <w:t>for the treatment of m0CRPC and mHSPC.</w:t>
            </w:r>
          </w:p>
        </w:tc>
      </w:tr>
      <w:tr w:rsidR="0066228C" w:rsidRPr="008059F4" w:rsidDel="008F66B5" w14:paraId="4FFCA2D9" w14:textId="6E3CFFEB" w:rsidTr="75B0C150">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tcPr>
          <w:p w14:paraId="37A83DBC" w14:textId="77777777" w:rsidR="00EA1B3C" w:rsidRDefault="0066228C" w:rsidP="0066228C">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t>ARIPIPRAZOLE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I.M. injection (modified release) 720 mg in 2.4 mL pre-filled syringe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I.M. injection (modified release) 960 mg in 3.2 mL pre-filled syringe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Abilify </w:t>
            </w:r>
            <w:proofErr w:type="spellStart"/>
            <w:r w:rsidRPr="00F03408">
              <w:rPr>
                <w:rFonts w:asciiTheme="minorHAnsi" w:eastAsia="Arial" w:hAnsiTheme="minorHAnsi" w:cstheme="minorHAnsi"/>
                <w:color w:val="000000" w:themeColor="text1"/>
                <w:sz w:val="18"/>
                <w:szCs w:val="18"/>
              </w:rPr>
              <w:t>Asimtufii</w:t>
            </w:r>
            <w:proofErr w:type="spellEnd"/>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LUNDBECK AUSTRALIA PTY LTD</w:t>
            </w:r>
            <w:r w:rsidRPr="00F03408">
              <w:rPr>
                <w:rFonts w:asciiTheme="minorHAnsi" w:hAnsiTheme="minorHAnsi" w:cstheme="minorHAnsi"/>
                <w:sz w:val="18"/>
                <w:szCs w:val="18"/>
              </w:rPr>
              <w:br/>
            </w:r>
          </w:p>
          <w:p w14:paraId="582A49A2" w14:textId="4FF619A0" w:rsidR="0066228C" w:rsidRPr="00F03408" w:rsidRDefault="00EA1B3C" w:rsidP="0066228C">
            <w:pPr>
              <w:jc w:val="center"/>
              <w:rPr>
                <w:rFonts w:asciiTheme="minorHAnsi" w:hAnsiTheme="minorHAnsi" w:cstheme="minorHAnsi"/>
                <w:sz w:val="18"/>
                <w:szCs w:val="18"/>
              </w:rPr>
            </w:pPr>
            <w:r>
              <w:rPr>
                <w:rFonts w:asciiTheme="minorHAnsi" w:hAnsiTheme="minorHAnsi" w:cstheme="minorHAnsi"/>
                <w:sz w:val="18"/>
                <w:szCs w:val="18"/>
              </w:rPr>
              <w:t>Category 2</w:t>
            </w:r>
            <w:r w:rsidR="0066228C" w:rsidRPr="00F03408">
              <w:rPr>
                <w:rFonts w:asciiTheme="minorHAnsi" w:eastAsia="Arial" w:hAnsiTheme="minorHAnsi" w:cstheme="minorHAnsi"/>
                <w:color w:val="000000" w:themeColor="text1"/>
                <w:sz w:val="18"/>
                <w:szCs w:val="18"/>
              </w:rPr>
              <w:t xml:space="preserve"> </w:t>
            </w:r>
            <w:r w:rsidR="0066228C" w:rsidRPr="00F03408">
              <w:rPr>
                <w:rFonts w:asciiTheme="minorHAnsi" w:hAnsiTheme="minorHAnsi" w:cstheme="minorHAnsi"/>
                <w:sz w:val="18"/>
                <w:szCs w:val="18"/>
              </w:rPr>
              <w:br/>
            </w:r>
            <w:r w:rsidR="0066228C"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8166A4" w14:textId="62503564" w:rsidR="0066228C" w:rsidRPr="00F03408" w:rsidRDefault="0066228C" w:rsidP="0066228C">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Schizophrenia</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tcPr>
          <w:p w14:paraId="55F05350" w14:textId="1A5E956F" w:rsidR="0066228C" w:rsidRPr="00F03408" w:rsidRDefault="0066228C" w:rsidP="0066228C">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To request a General Schedule Authority Required (STREAMLINED) listing of new forms for the maintenance treatment of schizophrenia.</w:t>
            </w:r>
          </w:p>
        </w:tc>
        <w:tc>
          <w:tcPr>
            <w:tcW w:w="1584" w:type="dxa"/>
            <w:shd w:val="clear" w:color="auto" w:fill="BFBFBF" w:themeFill="background1" w:themeFillShade="BF"/>
            <w:vAlign w:val="center"/>
          </w:tcPr>
          <w:p w14:paraId="700BE01A" w14:textId="19A3C091" w:rsidR="0066228C" w:rsidRPr="00F03408" w:rsidDel="008F66B5" w:rsidRDefault="0066228C" w:rsidP="0066228C">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Not Applicable</w:t>
            </w:r>
          </w:p>
        </w:tc>
        <w:tc>
          <w:tcPr>
            <w:tcW w:w="4836" w:type="dxa"/>
            <w:shd w:val="clear" w:color="auto" w:fill="BFBFBF" w:themeFill="background1" w:themeFillShade="BF"/>
            <w:vAlign w:val="center"/>
          </w:tcPr>
          <w:p w14:paraId="12A145BA" w14:textId="51B08ED5" w:rsidR="0066228C" w:rsidRPr="00F03408" w:rsidDel="008F66B5" w:rsidRDefault="0066228C" w:rsidP="0066228C">
            <w:pPr>
              <w:jc w:val="both"/>
              <w:rPr>
                <w:rFonts w:asciiTheme="minorHAnsi" w:hAnsiTheme="minorHAnsi" w:cstheme="minorBidi"/>
                <w:color w:val="000000"/>
                <w:sz w:val="18"/>
                <w:szCs w:val="18"/>
              </w:rPr>
            </w:pPr>
            <w:r w:rsidRPr="57BE458E">
              <w:rPr>
                <w:rFonts w:asciiTheme="minorHAnsi" w:hAnsiTheme="minorHAnsi" w:cstheme="minorBidi"/>
                <w:color w:val="000000" w:themeColor="text1"/>
                <w:sz w:val="18"/>
                <w:szCs w:val="18"/>
              </w:rPr>
              <w:t>To be considered at a future PBAC meeting</w:t>
            </w:r>
          </w:p>
        </w:tc>
      </w:tr>
      <w:tr w:rsidR="005077BC" w:rsidRPr="008059F4" w:rsidDel="008F66B5" w14:paraId="160A6F61" w14:textId="452A0DD4" w:rsidTr="75B0C150">
        <w:trPr>
          <w:cantSplit/>
          <w:trHeight w:val="2948"/>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E09239D" w14:textId="77777777" w:rsidR="00EA1B3C"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lastRenderedPageBreak/>
              <w:t>BELZUTIFAN</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Tablet 40 mg</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proofErr w:type="spellStart"/>
            <w:r w:rsidRPr="00F03408">
              <w:rPr>
                <w:rFonts w:asciiTheme="minorHAnsi" w:eastAsia="Arial" w:hAnsiTheme="minorHAnsi" w:cstheme="minorHAnsi"/>
                <w:color w:val="000000" w:themeColor="text1"/>
                <w:sz w:val="18"/>
                <w:szCs w:val="18"/>
              </w:rPr>
              <w:t>Welireg</w:t>
            </w:r>
            <w:proofErr w:type="spellEnd"/>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MERCK SHARP &amp; DOHME (AUSTRALIA) PTY LIMITED</w:t>
            </w:r>
            <w:r w:rsidRPr="00F03408">
              <w:rPr>
                <w:rFonts w:asciiTheme="minorHAnsi" w:hAnsiTheme="minorHAnsi" w:cstheme="minorHAnsi"/>
                <w:sz w:val="18"/>
                <w:szCs w:val="18"/>
              </w:rPr>
              <w:br/>
            </w:r>
          </w:p>
          <w:p w14:paraId="21908999" w14:textId="3E167FA4" w:rsidR="3BB13E8F" w:rsidRPr="00F03408" w:rsidRDefault="00EA1B3C" w:rsidP="00A94408">
            <w:pPr>
              <w:jc w:val="center"/>
              <w:rPr>
                <w:rFonts w:asciiTheme="minorHAnsi" w:hAnsiTheme="minorHAnsi" w:cstheme="minorHAnsi"/>
                <w:sz w:val="18"/>
                <w:szCs w:val="18"/>
              </w:rPr>
            </w:pPr>
            <w:r>
              <w:rPr>
                <w:rFonts w:asciiTheme="minorHAnsi" w:hAnsiTheme="minorHAnsi" w:cstheme="minorHAnsi"/>
                <w:sz w:val="18"/>
                <w:szCs w:val="18"/>
              </w:rPr>
              <w:t>Category 1</w:t>
            </w:r>
            <w:r w:rsidR="3BB13E8F" w:rsidRPr="00F03408">
              <w:rPr>
                <w:rFonts w:asciiTheme="minorHAnsi" w:eastAsia="Arial" w:hAnsiTheme="minorHAnsi" w:cstheme="minorHAnsi"/>
                <w:color w:val="000000" w:themeColor="text1"/>
                <w:sz w:val="18"/>
                <w:szCs w:val="18"/>
              </w:rPr>
              <w:t xml:space="preserve"> </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2BF07BA0" w14:textId="785019B9"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 xml:space="preserve">Von Hippel-Lindau (VHL) disease </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015281" w14:textId="1554E088" w:rsidR="3BB13E8F" w:rsidRPr="00F03408" w:rsidRDefault="3BB13E8F" w:rsidP="00A94408">
            <w:pPr>
              <w:jc w:val="center"/>
              <w:rPr>
                <w:rFonts w:asciiTheme="minorHAnsi" w:hAnsiTheme="minorHAnsi" w:cstheme="minorBidi"/>
                <w:sz w:val="18"/>
                <w:szCs w:val="18"/>
              </w:rPr>
            </w:pPr>
            <w:r w:rsidRPr="12F1B601">
              <w:rPr>
                <w:rFonts w:asciiTheme="minorHAnsi" w:eastAsia="Arial" w:hAnsiTheme="minorHAnsi" w:cstheme="minorBidi"/>
                <w:color w:val="000000" w:themeColor="text1"/>
                <w:sz w:val="18"/>
                <w:szCs w:val="18"/>
              </w:rPr>
              <w:t>To request a General Schedule Authority Required (Telephone/Online) listing for the treatment of patients with VHL disease who require therapy for associated renal cell carcinoma</w:t>
            </w:r>
            <w:r w:rsidR="00AA24F3" w:rsidRPr="12F1B601">
              <w:rPr>
                <w:rFonts w:asciiTheme="minorHAnsi" w:eastAsia="Arial" w:hAnsiTheme="minorHAnsi" w:cstheme="minorBidi"/>
                <w:color w:val="000000" w:themeColor="text1"/>
                <w:sz w:val="18"/>
                <w:szCs w:val="18"/>
              </w:rPr>
              <w:t xml:space="preserve"> (RCC)</w:t>
            </w:r>
            <w:r w:rsidRPr="12F1B601">
              <w:rPr>
                <w:rFonts w:asciiTheme="minorHAnsi" w:eastAsia="Arial" w:hAnsiTheme="minorHAnsi" w:cstheme="minorBidi"/>
                <w:color w:val="000000" w:themeColor="text1"/>
                <w:sz w:val="18"/>
                <w:szCs w:val="18"/>
              </w:rPr>
              <w:t xml:space="preserve">, central nervous system </w:t>
            </w:r>
            <w:proofErr w:type="spellStart"/>
            <w:r w:rsidRPr="12F1B601">
              <w:rPr>
                <w:rFonts w:asciiTheme="minorHAnsi" w:eastAsia="Arial" w:hAnsiTheme="minorHAnsi" w:cstheme="minorBidi"/>
                <w:color w:val="000000" w:themeColor="text1"/>
                <w:sz w:val="18"/>
                <w:szCs w:val="18"/>
              </w:rPr>
              <w:t>haemangioblastomas</w:t>
            </w:r>
            <w:proofErr w:type="spellEnd"/>
            <w:r w:rsidR="00AA24F3" w:rsidRPr="12F1B601">
              <w:rPr>
                <w:rFonts w:asciiTheme="minorHAnsi" w:eastAsia="Arial" w:hAnsiTheme="minorHAnsi" w:cstheme="minorBidi"/>
                <w:color w:val="000000" w:themeColor="text1"/>
                <w:sz w:val="18"/>
                <w:szCs w:val="18"/>
              </w:rPr>
              <w:t xml:space="preserve"> </w:t>
            </w:r>
            <w:r w:rsidR="00AA24F3" w:rsidRPr="12F1B601">
              <w:rPr>
                <w:rFonts w:asciiTheme="minorHAnsi" w:hAnsiTheme="minorHAnsi" w:cstheme="minorBidi"/>
                <w:color w:val="000000" w:themeColor="text1"/>
                <w:sz w:val="18"/>
                <w:szCs w:val="18"/>
              </w:rPr>
              <w:t>(CNS Hb)</w:t>
            </w:r>
            <w:r w:rsidRPr="12F1B601">
              <w:rPr>
                <w:rFonts w:asciiTheme="minorHAnsi" w:eastAsia="Arial" w:hAnsiTheme="minorHAnsi" w:cstheme="minorBidi"/>
                <w:color w:val="000000" w:themeColor="text1"/>
                <w:sz w:val="18"/>
                <w:szCs w:val="18"/>
              </w:rPr>
              <w:t>, or pancreatic neuroendocrine tumours</w:t>
            </w:r>
            <w:r w:rsidR="00AA24F3" w:rsidRPr="12F1B601">
              <w:rPr>
                <w:rFonts w:asciiTheme="minorHAnsi" w:eastAsia="Arial" w:hAnsiTheme="minorHAnsi" w:cstheme="minorBidi"/>
                <w:color w:val="000000" w:themeColor="text1"/>
                <w:sz w:val="18"/>
                <w:szCs w:val="18"/>
              </w:rPr>
              <w:t xml:space="preserve"> </w:t>
            </w:r>
            <w:r w:rsidR="00AA24F3" w:rsidRPr="12F1B601">
              <w:rPr>
                <w:rFonts w:asciiTheme="minorHAnsi" w:hAnsiTheme="minorHAnsi" w:cstheme="minorBidi"/>
                <w:color w:val="000000" w:themeColor="text1"/>
                <w:sz w:val="18"/>
                <w:szCs w:val="18"/>
              </w:rPr>
              <w:t>(</w:t>
            </w:r>
            <w:proofErr w:type="spellStart"/>
            <w:r w:rsidR="00AA24F3" w:rsidRPr="12F1B601">
              <w:rPr>
                <w:rFonts w:asciiTheme="minorHAnsi" w:hAnsiTheme="minorHAnsi" w:cstheme="minorBidi"/>
                <w:color w:val="000000" w:themeColor="text1"/>
                <w:sz w:val="18"/>
                <w:szCs w:val="18"/>
              </w:rPr>
              <w:t>pNET</w:t>
            </w:r>
            <w:proofErr w:type="spellEnd"/>
            <w:r w:rsidR="00AA24F3" w:rsidRPr="12F1B601">
              <w:rPr>
                <w:rFonts w:asciiTheme="minorHAnsi" w:hAnsiTheme="minorHAnsi" w:cstheme="minorBidi"/>
                <w:color w:val="000000" w:themeColor="text1"/>
                <w:sz w:val="18"/>
                <w:szCs w:val="18"/>
              </w:rPr>
              <w:t>)</w:t>
            </w:r>
            <w:r w:rsidRPr="12F1B601">
              <w:rPr>
                <w:rFonts w:asciiTheme="minorHAnsi" w:eastAsia="Arial" w:hAnsiTheme="minorHAnsi" w:cstheme="minorBidi"/>
                <w:color w:val="000000" w:themeColor="text1"/>
                <w:sz w:val="18"/>
                <w:szCs w:val="18"/>
              </w:rPr>
              <w:t xml:space="preserve">, not requiring immediate surgery. </w:t>
            </w:r>
          </w:p>
        </w:tc>
        <w:tc>
          <w:tcPr>
            <w:tcW w:w="1584" w:type="dxa"/>
            <w:vAlign w:val="center"/>
          </w:tcPr>
          <w:p w14:paraId="2FEF30D2" w14:textId="20862C4B" w:rsidR="005077BC" w:rsidRPr="00F03408" w:rsidDel="008F66B5" w:rsidRDefault="001C5F74"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vAlign w:val="center"/>
          </w:tcPr>
          <w:p w14:paraId="0630B7DE" w14:textId="31A111F5" w:rsidR="005077BC" w:rsidRPr="00F03408" w:rsidDel="008F66B5" w:rsidRDefault="00906758" w:rsidP="00A94408">
            <w:pPr>
              <w:jc w:val="both"/>
              <w:rPr>
                <w:rFonts w:asciiTheme="minorHAnsi" w:hAnsiTheme="minorHAnsi" w:cstheme="minorBidi"/>
                <w:color w:val="000000"/>
                <w:sz w:val="18"/>
                <w:szCs w:val="18"/>
              </w:rPr>
            </w:pPr>
            <w:bookmarkStart w:id="3" w:name="_Hlk111543254"/>
            <w:r w:rsidRPr="12F1B601">
              <w:rPr>
                <w:rFonts w:asciiTheme="minorHAnsi" w:hAnsiTheme="minorHAnsi" w:cstheme="minorBidi"/>
                <w:color w:val="000000" w:themeColor="text1"/>
                <w:sz w:val="18"/>
                <w:szCs w:val="18"/>
                <w:lang w:val="en-GB"/>
              </w:rPr>
              <w:t xml:space="preserve">The PBAC recommended the listing of </w:t>
            </w:r>
            <w:r w:rsidRPr="12F1B601">
              <w:rPr>
                <w:rFonts w:asciiTheme="minorHAnsi" w:hAnsiTheme="minorHAnsi" w:cstheme="minorBidi"/>
                <w:color w:val="000000" w:themeColor="text1"/>
                <w:sz w:val="18"/>
                <w:szCs w:val="18"/>
              </w:rPr>
              <w:t>belzutifan</w:t>
            </w:r>
            <w:r w:rsidRPr="12F1B601">
              <w:rPr>
                <w:rFonts w:asciiTheme="minorHAnsi" w:hAnsiTheme="minorHAnsi" w:cstheme="minorBidi"/>
                <w:color w:val="000000" w:themeColor="text1"/>
                <w:sz w:val="18"/>
                <w:szCs w:val="18"/>
                <w:lang w:val="en-GB"/>
              </w:rPr>
              <w:t xml:space="preserve">, on the basis that it should be available </w:t>
            </w:r>
            <w:r w:rsidRPr="12F1B601">
              <w:rPr>
                <w:rFonts w:asciiTheme="minorHAnsi" w:hAnsiTheme="minorHAnsi" w:cstheme="minorBidi"/>
                <w:color w:val="000000" w:themeColor="text1"/>
                <w:sz w:val="18"/>
                <w:szCs w:val="18"/>
              </w:rPr>
              <w:t>as a General Schedule Authority Required (</w:t>
            </w:r>
            <w:r w:rsidR="00CE1B36" w:rsidRPr="12F1B601">
              <w:rPr>
                <w:rFonts w:asciiTheme="minorHAnsi" w:hAnsiTheme="minorHAnsi" w:cstheme="minorBidi"/>
                <w:color w:val="000000" w:themeColor="text1"/>
                <w:sz w:val="18"/>
                <w:szCs w:val="18"/>
              </w:rPr>
              <w:t>T</w:t>
            </w:r>
            <w:r w:rsidRPr="12F1B601">
              <w:rPr>
                <w:rFonts w:asciiTheme="minorHAnsi" w:hAnsiTheme="minorHAnsi" w:cstheme="minorBidi"/>
                <w:color w:val="000000" w:themeColor="text1"/>
                <w:sz w:val="18"/>
                <w:szCs w:val="18"/>
              </w:rPr>
              <w:t>elephone/</w:t>
            </w:r>
            <w:r w:rsidR="00CE1B36" w:rsidRPr="12F1B601">
              <w:rPr>
                <w:rFonts w:asciiTheme="minorHAnsi" w:hAnsiTheme="minorHAnsi" w:cstheme="minorBidi"/>
                <w:color w:val="000000" w:themeColor="text1"/>
                <w:sz w:val="18"/>
                <w:szCs w:val="18"/>
              </w:rPr>
              <w:t>O</w:t>
            </w:r>
            <w:r w:rsidRPr="12F1B601">
              <w:rPr>
                <w:rFonts w:asciiTheme="minorHAnsi" w:hAnsiTheme="minorHAnsi" w:cstheme="minorBidi"/>
                <w:color w:val="000000" w:themeColor="text1"/>
                <w:sz w:val="18"/>
                <w:szCs w:val="18"/>
              </w:rPr>
              <w:t xml:space="preserve">nline) listing for the treatment of patients with VHL disease who require therapy for associated RCC, CNS Hb, or </w:t>
            </w:r>
            <w:proofErr w:type="spellStart"/>
            <w:r w:rsidRPr="12F1B601">
              <w:rPr>
                <w:rFonts w:asciiTheme="minorHAnsi" w:hAnsiTheme="minorHAnsi" w:cstheme="minorBidi"/>
                <w:color w:val="000000" w:themeColor="text1"/>
                <w:sz w:val="18"/>
                <w:szCs w:val="18"/>
              </w:rPr>
              <w:t>pNET</w:t>
            </w:r>
            <w:proofErr w:type="spellEnd"/>
            <w:r w:rsidRPr="12F1B601">
              <w:rPr>
                <w:rFonts w:asciiTheme="minorHAnsi" w:hAnsiTheme="minorHAnsi" w:cstheme="minorBidi"/>
                <w:color w:val="000000" w:themeColor="text1"/>
                <w:sz w:val="18"/>
                <w:szCs w:val="18"/>
                <w:lang w:val="en-GB"/>
              </w:rPr>
              <w:t xml:space="preserve">. The PBAC is satisfied that belzutifan provides, for some patients, a significant improvement in efficacy </w:t>
            </w:r>
            <w:proofErr w:type="gramStart"/>
            <w:r w:rsidRPr="12F1B601">
              <w:rPr>
                <w:rFonts w:asciiTheme="minorHAnsi" w:hAnsiTheme="minorHAnsi" w:cstheme="minorBidi"/>
                <w:color w:val="000000" w:themeColor="text1"/>
                <w:sz w:val="18"/>
                <w:szCs w:val="18"/>
                <w:lang w:val="en-GB"/>
              </w:rPr>
              <w:t>over active</w:t>
            </w:r>
            <w:proofErr w:type="gramEnd"/>
            <w:r w:rsidRPr="12F1B601">
              <w:rPr>
                <w:rFonts w:asciiTheme="minorHAnsi" w:hAnsiTheme="minorHAnsi" w:cstheme="minorBidi"/>
                <w:color w:val="000000" w:themeColor="text1"/>
                <w:sz w:val="18"/>
                <w:szCs w:val="18"/>
                <w:lang w:val="en-GB"/>
              </w:rPr>
              <w:t xml:space="preserve"> surveillance. </w:t>
            </w:r>
            <w:r w:rsidRPr="12F1B601">
              <w:rPr>
                <w:rFonts w:asciiTheme="minorHAnsi" w:hAnsiTheme="minorHAnsi" w:cstheme="minorBidi"/>
                <w:color w:val="000000" w:themeColor="text1"/>
                <w:sz w:val="18"/>
                <w:szCs w:val="18"/>
              </w:rPr>
              <w:t>In making this recommendation, the PBAC accepted there is a high unmet clinical need for treatment options for patients with VHL-disease prior to the development of metastatic disease or debilitating tumour progression, and that belzutifan is effective in reducing tumour activity and the frequency of surgeries for these patients. The PBAC considered that the incremental cost-effectiveness was uncertain due to the limited amount of clinical data to inform the model, but that in the context of this rare and life-limiting disease, belzutifan would be considered acceptably cost-effective with a price reduction that resulted in an acceptable cost per patient per year. The PBAC noted that the estimated utilisation of belzutifan required further revisions to better reflect the eligible patient population and time on treatment. The PBAC considered that any remaining uncertainties could be managed by a risk sharing arrangement</w:t>
            </w:r>
            <w:r w:rsidR="00B52C06" w:rsidRPr="12F1B601">
              <w:rPr>
                <w:rFonts w:asciiTheme="minorHAnsi" w:hAnsiTheme="minorHAnsi" w:cstheme="minorBidi"/>
                <w:color w:val="000000" w:themeColor="text1"/>
                <w:sz w:val="18"/>
                <w:szCs w:val="18"/>
              </w:rPr>
              <w:t>.</w:t>
            </w:r>
            <w:bookmarkEnd w:id="3"/>
          </w:p>
        </w:tc>
      </w:tr>
      <w:tr w:rsidR="007807EA" w:rsidRPr="008059F4" w:rsidDel="008F66B5" w14:paraId="7750751C" w14:textId="047CD90A" w:rsidTr="00D003E5">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882A7DB" w14:textId="77777777" w:rsidR="00EA1B3C"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lastRenderedPageBreak/>
              <w:t>BLINATUMOMAB</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i/>
                <w:iCs/>
                <w:sz w:val="18"/>
                <w:szCs w:val="18"/>
              </w:rPr>
              <w:t xml:space="preserve"> </w:t>
            </w:r>
            <w:r w:rsidRPr="00F03408">
              <w:rPr>
                <w:rFonts w:asciiTheme="minorHAnsi" w:eastAsia="Arial" w:hAnsiTheme="minorHAnsi" w:cstheme="minorHAnsi"/>
                <w:color w:val="000000" w:themeColor="text1"/>
                <w:sz w:val="18"/>
                <w:szCs w:val="18"/>
              </w:rPr>
              <w:t>Powder for I.V. infusion 38.5</w:t>
            </w:r>
            <w:r w:rsidR="00EA1B3C">
              <w:rPr>
                <w:rFonts w:asciiTheme="minorHAnsi" w:eastAsia="Arial" w:hAnsiTheme="minorHAnsi" w:cstheme="minorHAnsi"/>
                <w:color w:val="000000" w:themeColor="text1"/>
                <w:sz w:val="18"/>
                <w:szCs w:val="18"/>
              </w:rPr>
              <w:t> </w:t>
            </w:r>
            <w:r w:rsidRPr="00F03408">
              <w:rPr>
                <w:rFonts w:asciiTheme="minorHAnsi" w:eastAsia="Arial" w:hAnsiTheme="minorHAnsi" w:cstheme="minorHAnsi"/>
                <w:color w:val="000000" w:themeColor="text1"/>
                <w:sz w:val="18"/>
                <w:szCs w:val="18"/>
              </w:rPr>
              <w:t>micrograms</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Blincyto</w:t>
            </w:r>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AMGEN AUSTRALIA PTY LIMITED</w:t>
            </w:r>
            <w:r w:rsidRPr="00F03408">
              <w:rPr>
                <w:rFonts w:asciiTheme="minorHAnsi" w:hAnsiTheme="minorHAnsi" w:cstheme="minorHAnsi"/>
                <w:sz w:val="18"/>
                <w:szCs w:val="18"/>
              </w:rPr>
              <w:br/>
            </w:r>
          </w:p>
          <w:p w14:paraId="66738803" w14:textId="0F2B4BC1" w:rsidR="3BB13E8F" w:rsidRPr="00F03408" w:rsidRDefault="00EA1B3C" w:rsidP="00A94408">
            <w:pPr>
              <w:jc w:val="center"/>
              <w:rPr>
                <w:rFonts w:asciiTheme="minorHAnsi" w:hAnsiTheme="minorHAnsi" w:cstheme="minorHAnsi"/>
                <w:sz w:val="18"/>
                <w:szCs w:val="18"/>
              </w:rPr>
            </w:pPr>
            <w:r>
              <w:rPr>
                <w:rFonts w:asciiTheme="minorHAnsi" w:hAnsiTheme="minorHAnsi" w:cstheme="minorHAnsi"/>
                <w:sz w:val="18"/>
                <w:szCs w:val="18"/>
              </w:rPr>
              <w:t>Category 2</w:t>
            </w:r>
            <w:r w:rsidR="3BB13E8F" w:rsidRPr="00F03408">
              <w:rPr>
                <w:rFonts w:asciiTheme="minorHAnsi" w:eastAsia="Arial" w:hAnsiTheme="minorHAnsi" w:cstheme="minorHAnsi"/>
                <w:color w:val="000000" w:themeColor="text1"/>
                <w:sz w:val="18"/>
                <w:szCs w:val="18"/>
              </w:rPr>
              <w:t xml:space="preserve"> </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0D951847" w14:textId="613F667C"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Measurable residual disease (MRD)-negative B-cell precursor acute lymphoblastic leukaemia (B-ALL)</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14732B8" w14:textId="3D0948DF"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To request a Section 100 (Efficient Funding of Chemotherapy) listing for the treatment of newly diagnosed B-ALL in patients who are MRD-negative after initial induction chemotherapy.</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F059B89" w14:textId="446741F4" w:rsidR="00587746" w:rsidRPr="00F03408" w:rsidDel="008F66B5" w:rsidRDefault="004F2E33"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Deferred</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4D4A89E4" w14:textId="77777777" w:rsidR="00587746" w:rsidRDefault="004F2E33" w:rsidP="00A94408">
            <w:pPr>
              <w:jc w:val="both"/>
              <w:rPr>
                <w:rFonts w:asciiTheme="minorHAnsi" w:hAnsiTheme="minorHAnsi" w:cstheme="minorBidi"/>
                <w:color w:val="000000" w:themeColor="text1"/>
                <w:sz w:val="18"/>
                <w:szCs w:val="18"/>
                <w:lang w:val="en-GB"/>
              </w:rPr>
            </w:pPr>
            <w:r w:rsidRPr="004F2E33">
              <w:rPr>
                <w:rFonts w:asciiTheme="minorHAnsi" w:hAnsiTheme="minorHAnsi" w:cstheme="minorBidi"/>
                <w:color w:val="000000" w:themeColor="text1"/>
                <w:sz w:val="18"/>
                <w:szCs w:val="18"/>
                <w:lang w:val="en-GB"/>
              </w:rPr>
              <w:t xml:space="preserve">The PBAC deferred blinatumomab for the treatment of patients with B-ALL who are MRD-negative following induction chemotherapy. The PBAC was of a mind to recommend blinatumomab, pending advice from the TGA Delegate. The PBAC noted that blinatumomab plus standard of care consolidation therapy provided a significant improvement in overall survival and relapse-free survival over standard of care consolidation therapy alone but considered the magnitude of benefit in the proposed PBS population was uncertain. The PBAC considered that the cost-effectiveness of blinatumomab was acceptable based on the revised base case and price in the pre-PBAC response. </w:t>
            </w:r>
            <w:r w:rsidRPr="004F2E33">
              <w:rPr>
                <w:rFonts w:asciiTheme="minorHAnsi" w:hAnsiTheme="minorHAnsi" w:cstheme="minorBidi"/>
                <w:color w:val="000000" w:themeColor="text1"/>
                <w:sz w:val="18"/>
                <w:szCs w:val="18"/>
              </w:rPr>
              <w:t xml:space="preserve">The PBAC considered that a risk sharing arrangement would be appropriate to address the </w:t>
            </w:r>
            <w:r w:rsidRPr="004F2E33">
              <w:rPr>
                <w:rFonts w:asciiTheme="minorHAnsi" w:hAnsiTheme="minorHAnsi" w:cstheme="minorBidi"/>
                <w:color w:val="000000" w:themeColor="text1"/>
                <w:sz w:val="18"/>
                <w:szCs w:val="18"/>
                <w:lang w:val="en-GB"/>
              </w:rPr>
              <w:t xml:space="preserve">uncertainty regarding the magnitude of benefit in the proposed PBS population and around the cost offsets associated with the reduced use of </w:t>
            </w:r>
            <w:r w:rsidRPr="004F2E33">
              <w:rPr>
                <w:rFonts w:asciiTheme="minorHAnsi" w:hAnsiTheme="minorHAnsi" w:cstheme="minorBidi"/>
                <w:color w:val="000000" w:themeColor="text1"/>
                <w:sz w:val="18"/>
                <w:szCs w:val="18"/>
              </w:rPr>
              <w:t>blinatumomab and inotuzumab ozogamicin in the relapsed/refractory setting</w:t>
            </w:r>
            <w:r w:rsidRPr="004F2E33">
              <w:rPr>
                <w:rFonts w:asciiTheme="minorHAnsi" w:hAnsiTheme="minorHAnsi" w:cstheme="minorBidi"/>
                <w:color w:val="000000" w:themeColor="text1"/>
                <w:sz w:val="18"/>
                <w:szCs w:val="18"/>
                <w:lang w:val="en-GB"/>
              </w:rPr>
              <w:t>.</w:t>
            </w:r>
          </w:p>
          <w:p w14:paraId="66C7BF49" w14:textId="77777777" w:rsidR="004F2E33" w:rsidRDefault="004F2E33" w:rsidP="00A94408">
            <w:pPr>
              <w:jc w:val="both"/>
              <w:rPr>
                <w:rFonts w:asciiTheme="minorHAnsi" w:hAnsiTheme="minorHAnsi" w:cstheme="minorHAnsi"/>
                <w:color w:val="000000"/>
                <w:sz w:val="18"/>
                <w:szCs w:val="18"/>
              </w:rPr>
            </w:pPr>
          </w:p>
          <w:p w14:paraId="6F0B4BBB" w14:textId="77777777" w:rsidR="004F2E33" w:rsidRDefault="004F2E33" w:rsidP="00A94408">
            <w:pPr>
              <w:jc w:val="both"/>
              <w:rPr>
                <w:rFonts w:asciiTheme="minorHAnsi" w:hAnsiTheme="minorHAnsi" w:cstheme="minorHAnsi"/>
                <w:color w:val="000000"/>
                <w:sz w:val="18"/>
                <w:szCs w:val="18"/>
                <w:u w:val="single"/>
              </w:rPr>
            </w:pPr>
            <w:r w:rsidRPr="004F2E33">
              <w:rPr>
                <w:rFonts w:asciiTheme="minorHAnsi" w:hAnsiTheme="minorHAnsi" w:cstheme="minorHAnsi"/>
                <w:color w:val="000000"/>
                <w:sz w:val="18"/>
                <w:szCs w:val="18"/>
                <w:u w:val="single"/>
              </w:rPr>
              <w:t>Sponsor’s Comment:</w:t>
            </w:r>
          </w:p>
          <w:p w14:paraId="652C80A7" w14:textId="4302CA74" w:rsidR="004F2E33" w:rsidRPr="004F2E33" w:rsidDel="008F66B5" w:rsidRDefault="004F2E33" w:rsidP="00A94408">
            <w:pPr>
              <w:jc w:val="both"/>
              <w:rPr>
                <w:rFonts w:asciiTheme="minorHAnsi" w:hAnsiTheme="minorHAnsi" w:cstheme="minorHAnsi"/>
                <w:color w:val="000000"/>
                <w:sz w:val="18"/>
                <w:szCs w:val="18"/>
              </w:rPr>
            </w:pPr>
            <w:r w:rsidRPr="004F2E33">
              <w:rPr>
                <w:rFonts w:asciiTheme="minorHAnsi" w:hAnsiTheme="minorHAnsi" w:cstheme="minorHAnsi"/>
                <w:color w:val="000000"/>
                <w:sz w:val="18"/>
                <w:szCs w:val="18"/>
              </w:rPr>
              <w:t>Amgen is committed to working with the PBAC and Department of Health and Aged Care to facilitate timely access to blinatumomab for patients with MRD-negative B-ALL</w:t>
            </w:r>
            <w:r>
              <w:rPr>
                <w:rFonts w:asciiTheme="minorHAnsi" w:hAnsiTheme="minorHAnsi" w:cstheme="minorHAnsi"/>
                <w:color w:val="000000"/>
                <w:sz w:val="18"/>
                <w:szCs w:val="18"/>
              </w:rPr>
              <w:t>.</w:t>
            </w:r>
          </w:p>
        </w:tc>
      </w:tr>
      <w:tr w:rsidR="007807EA" w:rsidRPr="008059F4" w:rsidDel="008F66B5" w14:paraId="7A902290" w14:textId="7B442279" w:rsidTr="00D003E5">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0B47E38" w14:textId="77777777" w:rsidR="00F24FF2" w:rsidRDefault="3BB13E8F" w:rsidP="00A94408">
            <w:pPr>
              <w:jc w:val="center"/>
              <w:rPr>
                <w:rFonts w:asciiTheme="minorHAnsi" w:eastAsia="Arial" w:hAnsiTheme="minorHAnsi" w:cstheme="minorHAnsi"/>
                <w:color w:val="000000" w:themeColor="text1"/>
                <w:sz w:val="18"/>
                <w:szCs w:val="18"/>
              </w:rPr>
            </w:pPr>
            <w:bookmarkStart w:id="4" w:name="_Hlk143070613"/>
            <w:r w:rsidRPr="00F03408">
              <w:rPr>
                <w:rFonts w:asciiTheme="minorHAnsi" w:eastAsia="Arial" w:hAnsiTheme="minorHAnsi" w:cstheme="minorHAnsi"/>
                <w:color w:val="000000" w:themeColor="text1"/>
                <w:sz w:val="18"/>
                <w:szCs w:val="18"/>
              </w:rPr>
              <w:lastRenderedPageBreak/>
              <w:t xml:space="preserve">DIENOGEST </w:t>
            </w:r>
            <w:r w:rsidRPr="00F03408">
              <w:rPr>
                <w:rFonts w:asciiTheme="minorHAnsi" w:hAnsiTheme="minorHAnsi" w:cstheme="minorHAnsi"/>
                <w:sz w:val="18"/>
                <w:szCs w:val="18"/>
              </w:rPr>
              <w:br/>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Tablet 2 mg</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Visanne</w:t>
            </w:r>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BAYER AUSTRALIA LTD</w:t>
            </w:r>
            <w:r w:rsidRPr="00F03408">
              <w:rPr>
                <w:rFonts w:asciiTheme="minorHAnsi" w:hAnsiTheme="minorHAnsi" w:cstheme="minorHAnsi"/>
                <w:sz w:val="18"/>
                <w:szCs w:val="18"/>
              </w:rPr>
              <w:br/>
            </w:r>
          </w:p>
          <w:p w14:paraId="31C16E75" w14:textId="175AF520" w:rsidR="3BB13E8F" w:rsidRPr="00F03408" w:rsidRDefault="00F24FF2" w:rsidP="00A94408">
            <w:pPr>
              <w:jc w:val="center"/>
              <w:rPr>
                <w:rFonts w:asciiTheme="minorHAnsi" w:hAnsiTheme="minorHAnsi" w:cstheme="minorHAnsi"/>
                <w:sz w:val="18"/>
                <w:szCs w:val="18"/>
              </w:rPr>
            </w:pPr>
            <w:r>
              <w:rPr>
                <w:rFonts w:asciiTheme="minorHAnsi" w:hAnsiTheme="minorHAnsi" w:cstheme="minorHAnsi"/>
                <w:sz w:val="18"/>
                <w:szCs w:val="18"/>
              </w:rPr>
              <w:t>Category 2</w:t>
            </w:r>
            <w:r w:rsidRPr="00F03408">
              <w:rPr>
                <w:rFonts w:asciiTheme="minorHAnsi" w:eastAsia="Arial" w:hAnsiTheme="minorHAnsi" w:cstheme="minorHAnsi"/>
                <w:color w:val="000000" w:themeColor="text1"/>
                <w:sz w:val="18"/>
                <w:szCs w:val="18"/>
              </w:rPr>
              <w:t xml:space="preserve"> </w:t>
            </w:r>
            <w:r w:rsidR="3BB13E8F" w:rsidRPr="00F03408">
              <w:rPr>
                <w:rFonts w:asciiTheme="minorHAnsi" w:eastAsia="Arial" w:hAnsiTheme="minorHAnsi" w:cstheme="minorHAnsi"/>
                <w:color w:val="000000" w:themeColor="text1"/>
                <w:sz w:val="18"/>
                <w:szCs w:val="18"/>
              </w:rPr>
              <w:t xml:space="preserve"> </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4FB638D2" w14:textId="2B345B1D"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Endometriosis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734018D" w14:textId="68948EE9"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To request a General Schedule Restricted Benefit listing for the treatment of endometriosis.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985984A" w14:textId="4D2FE2A0" w:rsidR="00587746" w:rsidRPr="00F03408" w:rsidDel="008F66B5" w:rsidRDefault="00B87173"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15305741" w14:textId="2F477D82" w:rsidR="00587746" w:rsidRPr="00F03408" w:rsidDel="008F66B5" w:rsidRDefault="000D7E79" w:rsidP="00A94408">
            <w:pPr>
              <w:jc w:val="both"/>
              <w:rPr>
                <w:rFonts w:asciiTheme="minorHAnsi" w:hAnsiTheme="minorHAnsi" w:cstheme="minorHAnsi"/>
                <w:color w:val="000000"/>
                <w:sz w:val="18"/>
                <w:szCs w:val="18"/>
              </w:rPr>
            </w:pPr>
            <w:r w:rsidRPr="000D7E79">
              <w:rPr>
                <w:rFonts w:asciiTheme="minorHAnsi" w:hAnsiTheme="minorHAnsi" w:cstheme="minorHAnsi"/>
                <w:color w:val="000000"/>
                <w:sz w:val="18"/>
                <w:szCs w:val="18"/>
              </w:rPr>
              <w:t xml:space="preserve">The PBAC </w:t>
            </w:r>
            <w:r w:rsidRPr="000E2097">
              <w:rPr>
                <w:rFonts w:asciiTheme="minorHAnsi" w:hAnsiTheme="minorHAnsi" w:cstheme="minorHAnsi"/>
                <w:color w:val="000000"/>
                <w:sz w:val="18"/>
                <w:szCs w:val="18"/>
              </w:rPr>
              <w:t>recommended</w:t>
            </w:r>
            <w:r w:rsidRPr="000D7E79">
              <w:rPr>
                <w:rFonts w:asciiTheme="minorHAnsi" w:hAnsiTheme="minorHAnsi" w:cstheme="minorHAnsi"/>
                <w:color w:val="000000"/>
                <w:sz w:val="18"/>
                <w:szCs w:val="18"/>
              </w:rPr>
              <w:t xml:space="preserve"> that dienogest 2 mg be listed on the PBS as an Authority Required (STREAMLINED) benefit for the treatment of endometriosis. The PBAC noted that although dienogest is available on the private market, the price can be prohibitive for patients. Additionally, there is public health benefit in having more treatments for endometriosis available on the PBS. The PBAC considered that dienogest had comparable efficacy to oral medroxyprogesterone but offered a benefit for some women with endometriosis. </w:t>
            </w:r>
            <w:r w:rsidRPr="000D7E79">
              <w:rPr>
                <w:rFonts w:asciiTheme="minorHAnsi" w:hAnsiTheme="minorHAnsi" w:cstheme="minorHAnsi"/>
                <w:color w:val="000000"/>
                <w:sz w:val="18"/>
                <w:szCs w:val="18"/>
                <w:lang w:val="en-GB"/>
              </w:rPr>
              <w:t>The PBAC considered that a price premium over medroxyprogesterone was justified. The PBAC considered that dienogest would be acceptably cost-effective at the requested price.</w:t>
            </w:r>
            <w:r w:rsidRPr="000D7E79">
              <w:rPr>
                <w:rFonts w:asciiTheme="minorHAnsi" w:hAnsiTheme="minorHAnsi" w:cstheme="minorHAnsi"/>
                <w:color w:val="000000"/>
                <w:sz w:val="18"/>
                <w:szCs w:val="18"/>
              </w:rPr>
              <w:t xml:space="preserve"> The PBAC considered that the utilisation of dienogest was uncertain, and that the costs were likely underestimated, but modest. The PBAC recommended that the Department undertake a utilisation review of medicines listed on the PBS that may be used for the treatment of endometriosis </w:t>
            </w:r>
            <w:r w:rsidRPr="000D7E79">
              <w:rPr>
                <w:rFonts w:asciiTheme="minorHAnsi" w:hAnsiTheme="minorHAnsi" w:cstheme="minorHAnsi"/>
                <w:color w:val="000000"/>
                <w:sz w:val="18"/>
                <w:szCs w:val="18"/>
                <w:lang w:val="en-GB"/>
              </w:rPr>
              <w:t>when 2 years of data post-listing of dienogest are available</w:t>
            </w:r>
            <w:r w:rsidRPr="000D7E79">
              <w:rPr>
                <w:rFonts w:asciiTheme="minorHAnsi" w:hAnsiTheme="minorHAnsi" w:cstheme="minorHAnsi"/>
                <w:color w:val="000000"/>
                <w:sz w:val="18"/>
                <w:szCs w:val="18"/>
              </w:rPr>
              <w:t>.</w:t>
            </w:r>
          </w:p>
        </w:tc>
      </w:tr>
      <w:bookmarkEnd w:id="4"/>
      <w:tr w:rsidR="007807EA" w:rsidRPr="008059F4" w:rsidDel="008F66B5" w14:paraId="13CCBBCF" w14:textId="431696E9" w:rsidTr="00D003E5">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6BEF42D" w14:textId="43EB8CED"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lastRenderedPageBreak/>
              <w:t xml:space="preserve">DROSPIRENONE WITH ETHINYLESTRADIOL </w:t>
            </w:r>
            <w:r w:rsidRPr="00F03408">
              <w:rPr>
                <w:rFonts w:asciiTheme="minorHAnsi" w:hAnsiTheme="minorHAnsi" w:cstheme="minorHAnsi"/>
                <w:sz w:val="18"/>
                <w:szCs w:val="18"/>
              </w:rPr>
              <w:br/>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Pack containing 24 tablets 3 mg drospirenone with 20 micrograms ethinylestradiol (as betadex clathrate) and 4 inert tablets</w:t>
            </w:r>
          </w:p>
          <w:p w14:paraId="42F35E80" w14:textId="5E3E39DD"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 xml:space="preserve"> </w:t>
            </w:r>
          </w:p>
          <w:p w14:paraId="1CFAB117" w14:textId="2A2F53E7"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Yaz</w:t>
            </w:r>
            <w:r w:rsidRPr="00EB2952">
              <w:rPr>
                <w:rFonts w:asciiTheme="minorHAnsi" w:eastAsia="Arial" w:hAnsiTheme="minorHAnsi" w:cstheme="minorHAnsi"/>
                <w:color w:val="000000" w:themeColor="text1"/>
                <w:sz w:val="18"/>
                <w:szCs w:val="18"/>
              </w:rPr>
              <w:t>®</w:t>
            </w:r>
          </w:p>
          <w:p w14:paraId="0CCB178E" w14:textId="4AA1FFD8" w:rsidR="3BB13E8F" w:rsidRPr="00F03408" w:rsidRDefault="3BB13E8F" w:rsidP="00A94408">
            <w:pPr>
              <w:jc w:val="center"/>
              <w:rPr>
                <w:rFonts w:asciiTheme="minorHAnsi" w:hAnsiTheme="minorHAnsi" w:cstheme="minorHAnsi"/>
                <w:sz w:val="18"/>
                <w:szCs w:val="18"/>
              </w:rPr>
            </w:pPr>
          </w:p>
          <w:p w14:paraId="7207CC94" w14:textId="77777777" w:rsidR="00B87173"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t>Pack containing 21 tablets 3 mg drospirenone with 30 micrograms ethinylestradiol and 7 inert tablets</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Yasmin</w:t>
            </w:r>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BAYER AUSTRALIA LTD</w:t>
            </w:r>
            <w:r w:rsidRPr="00F03408">
              <w:rPr>
                <w:rFonts w:asciiTheme="minorHAnsi" w:hAnsiTheme="minorHAnsi" w:cstheme="minorHAnsi"/>
                <w:sz w:val="18"/>
                <w:szCs w:val="18"/>
              </w:rPr>
              <w:br/>
            </w:r>
          </w:p>
          <w:p w14:paraId="297761B5" w14:textId="30403A02" w:rsidR="3BB13E8F" w:rsidRPr="00F03408" w:rsidRDefault="00B87173" w:rsidP="00A94408">
            <w:pPr>
              <w:jc w:val="center"/>
              <w:rPr>
                <w:rFonts w:asciiTheme="minorHAnsi" w:hAnsiTheme="minorHAnsi" w:cstheme="minorHAnsi"/>
                <w:sz w:val="18"/>
                <w:szCs w:val="18"/>
              </w:rPr>
            </w:pPr>
            <w:r>
              <w:rPr>
                <w:rFonts w:asciiTheme="minorHAnsi" w:hAnsiTheme="minorHAnsi" w:cstheme="minorHAnsi"/>
                <w:sz w:val="18"/>
                <w:szCs w:val="18"/>
              </w:rPr>
              <w:t>Category 2</w:t>
            </w:r>
            <w:r w:rsidRPr="00F03408">
              <w:rPr>
                <w:rFonts w:asciiTheme="minorHAnsi" w:eastAsia="Arial" w:hAnsiTheme="minorHAnsi" w:cstheme="minorHAnsi"/>
                <w:color w:val="000000" w:themeColor="text1"/>
                <w:sz w:val="18"/>
                <w:szCs w:val="18"/>
              </w:rPr>
              <w:t xml:space="preserve"> </w:t>
            </w:r>
            <w:r w:rsidR="3BB13E8F" w:rsidRPr="00F03408">
              <w:rPr>
                <w:rFonts w:asciiTheme="minorHAnsi" w:eastAsia="Arial" w:hAnsiTheme="minorHAnsi" w:cstheme="minorHAnsi"/>
                <w:color w:val="000000" w:themeColor="text1"/>
                <w:sz w:val="18"/>
                <w:szCs w:val="18"/>
              </w:rPr>
              <w:t xml:space="preserve"> </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04E38D47" w14:textId="11A3ADAD"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Oral contraceptive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Moderate acne vulgaris in women who seek oral contraception</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Premenstrual dysphoric disorder in women who have chosen oral contraceptives as their method of birth control</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FB243E2" w14:textId="68D0A631"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To request a General Schedule unrestricted listing.</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E91DC60" w14:textId="6DB0526A" w:rsidR="00587746" w:rsidRPr="00F03408" w:rsidDel="008F66B5" w:rsidRDefault="00B87173"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0D15F289" w14:textId="6A80DAB4" w:rsidR="00F95091" w:rsidRPr="00F95091" w:rsidRDefault="00F95091" w:rsidP="00F95091">
            <w:pPr>
              <w:jc w:val="both"/>
              <w:rPr>
                <w:rFonts w:asciiTheme="minorHAnsi" w:hAnsiTheme="minorHAnsi" w:cstheme="minorBidi"/>
                <w:color w:val="000000"/>
                <w:sz w:val="18"/>
                <w:szCs w:val="18"/>
                <w:lang w:val="en-GB"/>
              </w:rPr>
            </w:pPr>
            <w:r w:rsidRPr="56B992B3">
              <w:rPr>
                <w:rFonts w:asciiTheme="minorHAnsi" w:hAnsiTheme="minorHAnsi" w:cstheme="minorBidi"/>
                <w:color w:val="000000" w:themeColor="text1"/>
                <w:sz w:val="18"/>
                <w:szCs w:val="18"/>
                <w:lang w:val="en-GB"/>
              </w:rPr>
              <w:t xml:space="preserve">The PBAC recommended the listing of drospirenone with ethinylestradiol (Yaz and Yasmin) as Unrestricted benefit listings. The PBAC noted public interest in having multiple combined oral contraceptive (COC) options available on the PBS, and that alternative COCs are available if patients experience adverse effects with another COC. The PBAC also noted that the submission claimed drospirenone offers benefits over other progestogens due to its anti-mineralocorticoid and anti-androgenic effects, and comments from clinicians stating that Yaz and Yasmin provide additional non-contraceptive benefits, such as in the management of premenstrual dysphoric disorder and acne. However, the PBAC considered that there was a lack of evidence provided to support that Yaz and Yasmin offered any clinical advantages compared to other COCs listed on the PBS. The PBAC noted evidence on the risk of venous thromboembolism (VTE) with the use of COCs, and that this risk has been shown to be slightly higher with COCs containing the progestogen drospirenone compared to those with levonorgestrel, however the absolute risk of VTE in patients using COCs is small. </w:t>
            </w:r>
          </w:p>
          <w:p w14:paraId="1E062A31" w14:textId="77777777" w:rsidR="00F95091" w:rsidRPr="00F95091" w:rsidRDefault="00F95091" w:rsidP="00F95091">
            <w:pPr>
              <w:jc w:val="both"/>
              <w:rPr>
                <w:rFonts w:asciiTheme="minorHAnsi" w:hAnsiTheme="minorHAnsi" w:cstheme="minorHAnsi"/>
                <w:color w:val="000000"/>
                <w:sz w:val="18"/>
                <w:szCs w:val="18"/>
                <w:lang w:val="en-GB"/>
              </w:rPr>
            </w:pPr>
          </w:p>
          <w:p w14:paraId="1CC02EB6" w14:textId="7FE2A21C" w:rsidR="00587746" w:rsidRPr="00E040AB" w:rsidDel="008F66B5" w:rsidRDefault="00F95091" w:rsidP="00A94408">
            <w:pPr>
              <w:jc w:val="both"/>
              <w:rPr>
                <w:rFonts w:asciiTheme="minorHAnsi" w:hAnsiTheme="minorHAnsi" w:cstheme="minorHAnsi"/>
                <w:color w:val="000000"/>
                <w:sz w:val="18"/>
                <w:szCs w:val="18"/>
                <w:lang w:val="en-GB"/>
              </w:rPr>
            </w:pPr>
            <w:r w:rsidRPr="00F95091">
              <w:rPr>
                <w:rFonts w:asciiTheme="minorHAnsi" w:hAnsiTheme="minorHAnsi" w:cstheme="minorHAnsi"/>
                <w:color w:val="000000"/>
                <w:sz w:val="18"/>
                <w:szCs w:val="18"/>
                <w:lang w:val="en-GB"/>
              </w:rPr>
              <w:t xml:space="preserve">The PBAC considered that Yaz and Yasmin did not provide significant benefits in terms of greater efficacy or reduction in toxicity compared to other PBS-listed </w:t>
            </w:r>
            <w:proofErr w:type="gramStart"/>
            <w:r w:rsidRPr="00F95091">
              <w:rPr>
                <w:rFonts w:asciiTheme="minorHAnsi" w:hAnsiTheme="minorHAnsi" w:cstheme="minorHAnsi"/>
                <w:color w:val="000000"/>
                <w:sz w:val="18"/>
                <w:szCs w:val="18"/>
                <w:lang w:val="en-GB"/>
              </w:rPr>
              <w:t>COCs, and</w:t>
            </w:r>
            <w:proofErr w:type="gramEnd"/>
            <w:r w:rsidRPr="00F95091">
              <w:rPr>
                <w:rFonts w:asciiTheme="minorHAnsi" w:hAnsiTheme="minorHAnsi" w:cstheme="minorHAnsi"/>
                <w:color w:val="000000"/>
                <w:sz w:val="18"/>
                <w:szCs w:val="18"/>
                <w:lang w:val="en-GB"/>
              </w:rPr>
              <w:t xml:space="preserve"> recalled it had previously recommended the listing of other COCs on a cost-minimisation basis with levonorgestrel 150 micrograms with ethinylestradiol 30 micrograms combination tablets. The PBAC therefore recommended listing Yaz and Yasmin on a cost-minimisation basis to the lowest cost COC currently PBS-</w:t>
            </w:r>
            <w:proofErr w:type="gramStart"/>
            <w:r w:rsidRPr="00F95091">
              <w:rPr>
                <w:rFonts w:asciiTheme="minorHAnsi" w:hAnsiTheme="minorHAnsi" w:cstheme="minorHAnsi"/>
                <w:color w:val="000000"/>
                <w:sz w:val="18"/>
                <w:szCs w:val="18"/>
                <w:lang w:val="en-GB"/>
              </w:rPr>
              <w:t>listed, and</w:t>
            </w:r>
            <w:proofErr w:type="gramEnd"/>
            <w:r w:rsidRPr="00F95091">
              <w:rPr>
                <w:rFonts w:asciiTheme="minorHAnsi" w:hAnsiTheme="minorHAnsi" w:cstheme="minorHAnsi"/>
                <w:color w:val="000000"/>
                <w:sz w:val="18"/>
                <w:szCs w:val="18"/>
                <w:lang w:val="en-GB"/>
              </w:rPr>
              <w:t xml:space="preserve"> advised the equi-effective doses to be one tablet of Yaz/Yasmin to one tablet of levonorgestrel 150 micrograms + ethinylestradiol 30 micrograms.</w:t>
            </w:r>
          </w:p>
        </w:tc>
      </w:tr>
      <w:tr w:rsidR="007807EA" w:rsidRPr="008059F4" w:rsidDel="008F66B5" w14:paraId="0AE2830A" w14:textId="7E5B3719" w:rsidTr="00D003E5">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C268100" w14:textId="77777777" w:rsidR="00B304C0"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lastRenderedPageBreak/>
              <w:t xml:space="preserve">ELRANATAMAB </w:t>
            </w:r>
            <w:r w:rsidRPr="00F03408">
              <w:rPr>
                <w:rFonts w:asciiTheme="minorHAnsi" w:hAnsiTheme="minorHAnsi" w:cstheme="minorHAnsi"/>
                <w:sz w:val="18"/>
                <w:szCs w:val="18"/>
              </w:rPr>
              <w:br/>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Solution for subcutaneous injection 44 mg in 1.1 mL (40 mg per mL)</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Solution for subcutaneous injection 76 mg in 1.9 mL (40 mg per mL)</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proofErr w:type="spellStart"/>
            <w:r w:rsidRPr="00F03408">
              <w:rPr>
                <w:rFonts w:asciiTheme="minorHAnsi" w:eastAsia="Arial" w:hAnsiTheme="minorHAnsi" w:cstheme="minorHAnsi"/>
                <w:color w:val="000000" w:themeColor="text1"/>
                <w:sz w:val="18"/>
                <w:szCs w:val="18"/>
              </w:rPr>
              <w:t>Elrexfio</w:t>
            </w:r>
            <w:proofErr w:type="spellEnd"/>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PFIZER AUSTRALIA PTY LTD</w:t>
            </w:r>
            <w:r w:rsidRPr="00F03408">
              <w:rPr>
                <w:rFonts w:asciiTheme="minorHAnsi" w:hAnsiTheme="minorHAnsi" w:cstheme="minorHAnsi"/>
                <w:sz w:val="18"/>
                <w:szCs w:val="18"/>
              </w:rPr>
              <w:br/>
            </w:r>
          </w:p>
          <w:p w14:paraId="72D55D02" w14:textId="2BB9B1B4" w:rsidR="3BB13E8F" w:rsidRPr="00F03408" w:rsidRDefault="00B304C0" w:rsidP="00A94408">
            <w:pPr>
              <w:jc w:val="center"/>
              <w:rPr>
                <w:rFonts w:asciiTheme="minorHAnsi" w:hAnsiTheme="minorHAnsi" w:cstheme="minorHAnsi"/>
                <w:sz w:val="18"/>
                <w:szCs w:val="18"/>
              </w:rPr>
            </w:pPr>
            <w:r>
              <w:rPr>
                <w:rFonts w:asciiTheme="minorHAnsi" w:hAnsiTheme="minorHAnsi" w:cstheme="minorHAnsi"/>
                <w:sz w:val="18"/>
                <w:szCs w:val="18"/>
              </w:rPr>
              <w:t>Category 1</w:t>
            </w:r>
            <w:r w:rsidR="3BB13E8F" w:rsidRPr="00F03408">
              <w:rPr>
                <w:rFonts w:asciiTheme="minorHAnsi" w:eastAsia="Arial" w:hAnsiTheme="minorHAnsi" w:cstheme="minorHAnsi"/>
                <w:color w:val="000000" w:themeColor="text1"/>
                <w:sz w:val="18"/>
                <w:szCs w:val="18"/>
              </w:rPr>
              <w:t xml:space="preserve"> </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64A6D788" w14:textId="632731B4"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Relapsed or refractory multiple myeloma (RRMM)</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9A204C5" w14:textId="7FE51136"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To request a Section 100 (Efficient Funding of Chemotherapy Program) Authority Required (Telephone/Online) listing for the treatment of RRMM in patients who have received at least three prior therapies.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4BCD8363" w14:textId="6FB15D75" w:rsidR="00587746" w:rsidRPr="00F03408" w:rsidDel="008F66B5" w:rsidRDefault="00564369"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 Recommended</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66448057" w14:textId="364B8BB5" w:rsidR="004F4D86" w:rsidRPr="004F4D86" w:rsidRDefault="004F4D86" w:rsidP="004F4D86">
            <w:pPr>
              <w:jc w:val="both"/>
              <w:rPr>
                <w:rFonts w:asciiTheme="minorHAnsi" w:hAnsiTheme="minorHAnsi" w:cstheme="minorBidi"/>
                <w:color w:val="000000"/>
                <w:sz w:val="18"/>
                <w:szCs w:val="18"/>
                <w:lang w:val="en-GB"/>
              </w:rPr>
            </w:pPr>
            <w:r w:rsidRPr="56B992B3">
              <w:rPr>
                <w:rFonts w:asciiTheme="minorHAnsi" w:hAnsiTheme="minorHAnsi" w:cstheme="minorBidi"/>
                <w:color w:val="000000" w:themeColor="text1"/>
                <w:sz w:val="18"/>
                <w:szCs w:val="18"/>
              </w:rPr>
              <w:t xml:space="preserve">The PBAC did not recommend the PBS listing of elranatamab for the treatment of </w:t>
            </w:r>
            <w:r w:rsidR="00FE25F1" w:rsidRPr="56B992B3">
              <w:rPr>
                <w:rFonts w:asciiTheme="minorHAnsi" w:hAnsiTheme="minorHAnsi" w:cstheme="minorBidi"/>
                <w:color w:val="000000" w:themeColor="text1"/>
                <w:sz w:val="18"/>
                <w:szCs w:val="18"/>
              </w:rPr>
              <w:t>RRMM</w:t>
            </w:r>
            <w:r w:rsidRPr="56B992B3">
              <w:rPr>
                <w:rFonts w:asciiTheme="minorHAnsi" w:hAnsiTheme="minorHAnsi" w:cstheme="minorBidi"/>
                <w:color w:val="000000" w:themeColor="text1"/>
                <w:sz w:val="18"/>
                <w:szCs w:val="18"/>
              </w:rPr>
              <w:t xml:space="preserve">. The PBAC noted the proposed listing was for patients who have received at least 3 prior therapies, including a proteasome inhibitor, an immunomodulatory agent, and an anti-CD38 mAb, and that this likely reflected use as a third or later line treatment. The PBAC noted in the clinical evidence supporting the submission very few patients were treated third line with 75% of patients having received at least 5 prior therapies. The PBAC considered that the data presented likely supported a listing in a later line than that proposed in the submission. The PBAC noted that the submission nominated a basket of therapies, referred to as standard of care as the comparator. The PBAC considered that the nominated therapies, and their extent of use, did not reflect contemporary clinical practice, and that the use of a basket of therapies was inconsistent with the comparators included in recently recommended PBAC submissions for multiple myeloma treatments. The PBAC noted that although elranatamab was likely to be effective, the substantial transitivity and applicability issues with the indirect comparisons presented meant that the magnitude of its benefit was highly uncertain. Due to the uncertainty related to the clinical evidence presented, the PBAC considered that the economic model was highly uncertain. </w:t>
            </w:r>
          </w:p>
          <w:p w14:paraId="4AA16C5F" w14:textId="77777777" w:rsidR="001E389C" w:rsidRPr="001033CF" w:rsidRDefault="001E389C" w:rsidP="001E389C">
            <w:pPr>
              <w:jc w:val="both"/>
              <w:rPr>
                <w:rFonts w:asciiTheme="minorHAnsi" w:hAnsiTheme="minorHAnsi" w:cstheme="minorHAnsi"/>
                <w:color w:val="000000"/>
                <w:sz w:val="18"/>
                <w:szCs w:val="18"/>
              </w:rPr>
            </w:pPr>
          </w:p>
          <w:p w14:paraId="2DC74F94" w14:textId="77777777" w:rsidR="001E389C" w:rsidRPr="001033CF" w:rsidRDefault="001E389C" w:rsidP="001E389C">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u w:val="single"/>
              </w:rPr>
              <w:t>Sponsor’s Comment:</w:t>
            </w:r>
          </w:p>
          <w:p w14:paraId="2636442F" w14:textId="5D1D9D14" w:rsidR="00587746" w:rsidRPr="00F03408" w:rsidDel="008F66B5" w:rsidRDefault="004A398C" w:rsidP="00A94408">
            <w:pPr>
              <w:jc w:val="both"/>
              <w:rPr>
                <w:rFonts w:asciiTheme="minorHAnsi" w:hAnsiTheme="minorHAnsi" w:cstheme="minorHAnsi"/>
                <w:color w:val="000000"/>
                <w:sz w:val="18"/>
                <w:szCs w:val="18"/>
              </w:rPr>
            </w:pPr>
            <w:r w:rsidRPr="004A398C">
              <w:rPr>
                <w:rFonts w:asciiTheme="minorHAnsi" w:hAnsiTheme="minorHAnsi" w:cstheme="minorHAnsi"/>
                <w:color w:val="000000"/>
                <w:sz w:val="18"/>
                <w:szCs w:val="18"/>
              </w:rPr>
              <w:t xml:space="preserve">Pfizer will continue to work collaboratively with the PBAC and Department of Health and Aged Care to provide access to </w:t>
            </w:r>
            <w:proofErr w:type="spellStart"/>
            <w:r w:rsidRPr="004A398C">
              <w:rPr>
                <w:rFonts w:asciiTheme="minorHAnsi" w:hAnsiTheme="minorHAnsi" w:cstheme="minorHAnsi"/>
                <w:color w:val="000000"/>
                <w:sz w:val="18"/>
                <w:szCs w:val="18"/>
              </w:rPr>
              <w:t>Elrexfio</w:t>
            </w:r>
            <w:proofErr w:type="spellEnd"/>
            <w:r w:rsidRPr="004A398C">
              <w:rPr>
                <w:rFonts w:asciiTheme="minorHAnsi" w:hAnsiTheme="minorHAnsi" w:cstheme="minorHAnsi"/>
                <w:color w:val="000000"/>
                <w:sz w:val="18"/>
                <w:szCs w:val="18"/>
              </w:rPr>
              <w:t xml:space="preserve"> for the treatment patients with relapsed or refractory multiple myeloma as soon as possible.</w:t>
            </w:r>
          </w:p>
        </w:tc>
      </w:tr>
      <w:tr w:rsidR="007807EA" w:rsidRPr="008059F4" w:rsidDel="008F66B5" w14:paraId="4A465492" w14:textId="28FC3684" w:rsidTr="00D003E5">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BA63CA2" w14:textId="77777777" w:rsidR="00B304C0"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lastRenderedPageBreak/>
              <w:t xml:space="preserve">ESKETAMINE </w:t>
            </w:r>
            <w:r w:rsidRPr="00F03408">
              <w:rPr>
                <w:rFonts w:asciiTheme="minorHAnsi" w:hAnsiTheme="minorHAnsi" w:cstheme="minorHAnsi"/>
                <w:sz w:val="18"/>
                <w:szCs w:val="18"/>
              </w:rPr>
              <w:br/>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Nasal spray solution 28 mg in 0.2 mL (2 actuations)</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Spravato</w:t>
            </w:r>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JANSSEN-CILAG PTY LTD</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p>
          <w:p w14:paraId="66A16B70" w14:textId="5A558D6C" w:rsidR="3BB13E8F" w:rsidRPr="00F03408" w:rsidRDefault="00FB531B" w:rsidP="00A94408">
            <w:pPr>
              <w:jc w:val="center"/>
              <w:rPr>
                <w:rFonts w:asciiTheme="minorHAnsi" w:hAnsiTheme="minorHAnsi" w:cstheme="minorHAnsi"/>
                <w:sz w:val="18"/>
                <w:szCs w:val="18"/>
              </w:rPr>
            </w:pPr>
            <w:r>
              <w:rPr>
                <w:rFonts w:asciiTheme="minorHAnsi" w:eastAsia="Arial" w:hAnsiTheme="minorHAnsi" w:cstheme="minorHAnsi"/>
                <w:color w:val="000000" w:themeColor="text1"/>
                <w:sz w:val="18"/>
                <w:szCs w:val="18"/>
              </w:rPr>
              <w:t>Standard re-entry</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258BA57C" w14:textId="364F1474" w:rsidR="3BB13E8F" w:rsidRPr="00F03408" w:rsidRDefault="3BB13E8F" w:rsidP="00A94408">
            <w:pPr>
              <w:jc w:val="center"/>
              <w:rPr>
                <w:rFonts w:asciiTheme="minorHAnsi" w:hAnsiTheme="minorHAnsi" w:cstheme="minorBidi"/>
                <w:sz w:val="18"/>
                <w:szCs w:val="18"/>
              </w:rPr>
            </w:pPr>
            <w:r w:rsidRPr="12F1B601">
              <w:rPr>
                <w:rFonts w:asciiTheme="minorHAnsi" w:eastAsia="Arial" w:hAnsiTheme="minorHAnsi" w:cstheme="minorBidi"/>
                <w:color w:val="000000" w:themeColor="text1"/>
                <w:sz w:val="18"/>
                <w:szCs w:val="18"/>
              </w:rPr>
              <w:t>Treatment</w:t>
            </w:r>
            <w:r w:rsidRPr="00F03408">
              <w:rPr>
                <w:rFonts w:ascii="Cambria Math" w:eastAsia="Arial" w:hAnsi="Cambria Math" w:cs="Cambria Math"/>
                <w:color w:val="000000" w:themeColor="text1"/>
                <w:sz w:val="18"/>
                <w:szCs w:val="18"/>
              </w:rPr>
              <w:t>‑</w:t>
            </w:r>
            <w:r w:rsidRPr="12F1B601">
              <w:rPr>
                <w:rFonts w:asciiTheme="minorHAnsi" w:eastAsia="Arial" w:hAnsiTheme="minorHAnsi" w:cstheme="minorBidi"/>
                <w:color w:val="000000" w:themeColor="text1"/>
                <w:sz w:val="18"/>
                <w:szCs w:val="18"/>
              </w:rPr>
              <w:t>resistant depression</w:t>
            </w:r>
            <w:r w:rsidR="00C800A2" w:rsidRPr="12F1B601">
              <w:rPr>
                <w:rFonts w:asciiTheme="minorHAnsi" w:eastAsia="Arial" w:hAnsiTheme="minorHAnsi" w:cstheme="minorBidi"/>
                <w:color w:val="000000" w:themeColor="text1"/>
                <w:sz w:val="18"/>
                <w:szCs w:val="18"/>
              </w:rPr>
              <w:t xml:space="preserve"> (TRD)</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80125B7" w14:textId="186C8E10" w:rsidR="3BB13E8F" w:rsidRPr="00F03408" w:rsidRDefault="3BB13E8F" w:rsidP="00A94408">
            <w:pPr>
              <w:jc w:val="center"/>
              <w:rPr>
                <w:rFonts w:asciiTheme="minorHAnsi" w:hAnsiTheme="minorHAnsi" w:cstheme="minorBidi"/>
                <w:sz w:val="18"/>
                <w:szCs w:val="18"/>
              </w:rPr>
            </w:pPr>
            <w:r w:rsidRPr="12F1B601">
              <w:rPr>
                <w:rFonts w:asciiTheme="minorHAnsi" w:eastAsia="Arial" w:hAnsiTheme="minorHAnsi" w:cstheme="minorBidi"/>
                <w:color w:val="000000" w:themeColor="text1"/>
                <w:sz w:val="18"/>
                <w:szCs w:val="18"/>
              </w:rPr>
              <w:t xml:space="preserve">Resubmission to request a Section 100 (Highly Specialised Drug Program) Authority Required (Telephone/Online) listing for the treatment of </w:t>
            </w:r>
            <w:r w:rsidR="00C800A2" w:rsidRPr="12F1B601">
              <w:rPr>
                <w:rFonts w:asciiTheme="minorHAnsi" w:eastAsia="Arial" w:hAnsiTheme="minorHAnsi" w:cstheme="minorBidi"/>
                <w:color w:val="000000" w:themeColor="text1"/>
                <w:sz w:val="18"/>
                <w:szCs w:val="18"/>
              </w:rPr>
              <w:t>TRD</w:t>
            </w:r>
            <w:r w:rsidRPr="12F1B601">
              <w:rPr>
                <w:rFonts w:asciiTheme="minorHAnsi" w:eastAsia="Arial" w:hAnsiTheme="minorHAnsi" w:cstheme="minorBidi"/>
                <w:color w:val="000000" w:themeColor="text1"/>
                <w:sz w:val="18"/>
                <w:szCs w:val="18"/>
              </w:rPr>
              <w:t>.</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E66B42F" w14:textId="021D3A5A" w:rsidR="00587746" w:rsidRPr="00F03408" w:rsidDel="008F66B5" w:rsidRDefault="00577E60"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Deferred</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6C768761" w14:textId="388A9480" w:rsidR="00B21799" w:rsidRPr="00B21799" w:rsidRDefault="00B21799" w:rsidP="00B21799">
            <w:pPr>
              <w:jc w:val="both"/>
              <w:rPr>
                <w:rFonts w:asciiTheme="minorHAnsi" w:hAnsiTheme="minorHAnsi" w:cstheme="minorBidi"/>
                <w:color w:val="000000"/>
                <w:sz w:val="18"/>
                <w:szCs w:val="18"/>
                <w:lang w:val="en-GB"/>
              </w:rPr>
            </w:pPr>
            <w:r w:rsidRPr="12F1B601">
              <w:rPr>
                <w:rFonts w:asciiTheme="minorHAnsi" w:hAnsiTheme="minorHAnsi" w:cstheme="minorBidi"/>
                <w:color w:val="000000" w:themeColor="text1"/>
                <w:sz w:val="18"/>
                <w:szCs w:val="18"/>
                <w:lang w:val="en-GB"/>
              </w:rPr>
              <w:t xml:space="preserve">The PBAC deferred making a recommendation for the listing of esketamine for the treatment of TRD in patients who have failed two or more prior oral anti-depressant drugs. </w:t>
            </w:r>
            <w:r w:rsidRPr="12F1B601">
              <w:rPr>
                <w:rFonts w:asciiTheme="minorHAnsi" w:hAnsiTheme="minorHAnsi" w:cstheme="minorBidi"/>
                <w:color w:val="000000" w:themeColor="text1"/>
                <w:sz w:val="18"/>
                <w:szCs w:val="18"/>
              </w:rPr>
              <w:t xml:space="preserve">The PBAC reiterated its previous consideration that, based on the available clinical evidence, esketamine was likely to be effective for some patients. The PBAC noted the economic model in the resubmission included provision for treatment beyond 12 months and retreatment (as requested in July 2023), and while it considered there were substantial uncertainties with the effectiveness of esketamine and the extent of use in these settings, esketamine was overall likely to be cost-effective at the price proposed in the resubmission. </w:t>
            </w:r>
            <w:r w:rsidRPr="12F1B601">
              <w:rPr>
                <w:rFonts w:asciiTheme="minorHAnsi" w:hAnsiTheme="minorHAnsi" w:cstheme="minorBidi"/>
                <w:color w:val="000000" w:themeColor="text1"/>
                <w:sz w:val="18"/>
                <w:szCs w:val="18"/>
                <w:lang w:val="en-GB"/>
              </w:rPr>
              <w:t>The PBAC deferred the item to enable the restriction criteria to be refined and the utilisation estimates to be revised.</w:t>
            </w:r>
          </w:p>
          <w:p w14:paraId="13BECA73" w14:textId="77777777" w:rsidR="001E389C" w:rsidRPr="001033CF" w:rsidRDefault="001E389C" w:rsidP="001E389C">
            <w:pPr>
              <w:jc w:val="both"/>
              <w:rPr>
                <w:rFonts w:asciiTheme="minorHAnsi" w:hAnsiTheme="minorHAnsi" w:cstheme="minorHAnsi"/>
                <w:color w:val="000000"/>
                <w:sz w:val="18"/>
                <w:szCs w:val="18"/>
              </w:rPr>
            </w:pPr>
          </w:p>
          <w:p w14:paraId="19696AA8" w14:textId="77777777" w:rsidR="001E389C" w:rsidRPr="001033CF" w:rsidRDefault="001E389C" w:rsidP="001E389C">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u w:val="single"/>
              </w:rPr>
              <w:t>Sponsor’s Comment:</w:t>
            </w:r>
          </w:p>
          <w:p w14:paraId="451B7AE4" w14:textId="1E9F8EB9" w:rsidR="00587746" w:rsidRPr="00F03408" w:rsidDel="008F66B5" w:rsidRDefault="006A32FB" w:rsidP="00A94408">
            <w:pPr>
              <w:jc w:val="both"/>
              <w:rPr>
                <w:rFonts w:asciiTheme="minorHAnsi" w:hAnsiTheme="minorHAnsi" w:cstheme="minorHAnsi"/>
                <w:color w:val="000000"/>
                <w:sz w:val="18"/>
                <w:szCs w:val="18"/>
              </w:rPr>
            </w:pPr>
            <w:r w:rsidRPr="006A32FB">
              <w:rPr>
                <w:rFonts w:asciiTheme="minorHAnsi" w:hAnsiTheme="minorHAnsi" w:cstheme="minorHAnsi"/>
                <w:color w:val="000000"/>
                <w:sz w:val="18"/>
                <w:szCs w:val="18"/>
              </w:rPr>
              <w:t>Janssen will continue to work with the PBAC to resolve remaining concerns around the financial estimates and restrictions so that Australian patients can receive timely access to esketamine through the PBS.</w:t>
            </w:r>
          </w:p>
        </w:tc>
      </w:tr>
      <w:tr w:rsidR="00587746" w:rsidRPr="008059F4" w:rsidDel="008F66B5" w14:paraId="4B53762F" w14:textId="71C5A6EF" w:rsidTr="75B0C150">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958E536" w14:textId="77777777" w:rsidR="00577E60"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t>ESTRADIOL</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Transdermal gel 500 micrograms (as hemihydrate) in 0.5 g sachet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proofErr w:type="spellStart"/>
            <w:r w:rsidRPr="00F03408">
              <w:rPr>
                <w:rFonts w:asciiTheme="minorHAnsi" w:eastAsia="Arial" w:hAnsiTheme="minorHAnsi" w:cstheme="minorHAnsi"/>
                <w:color w:val="000000" w:themeColor="text1"/>
                <w:sz w:val="18"/>
                <w:szCs w:val="18"/>
              </w:rPr>
              <w:t>Sandrena</w:t>
            </w:r>
            <w:proofErr w:type="spellEnd"/>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ORION PHARMA (AUS) PTY LIMITED</w:t>
            </w:r>
            <w:r w:rsidRPr="00F03408">
              <w:rPr>
                <w:rFonts w:asciiTheme="minorHAnsi" w:hAnsiTheme="minorHAnsi" w:cstheme="minorHAnsi"/>
                <w:sz w:val="18"/>
                <w:szCs w:val="18"/>
              </w:rPr>
              <w:br/>
            </w:r>
          </w:p>
          <w:p w14:paraId="7C3C9A50" w14:textId="3F96931D" w:rsidR="3BB13E8F" w:rsidRPr="00F03408" w:rsidRDefault="00577E60" w:rsidP="00A94408">
            <w:pPr>
              <w:jc w:val="center"/>
              <w:rPr>
                <w:rFonts w:asciiTheme="minorHAnsi" w:hAnsiTheme="minorHAnsi" w:cstheme="minorHAnsi"/>
                <w:sz w:val="18"/>
                <w:szCs w:val="18"/>
              </w:rPr>
            </w:pPr>
            <w:r>
              <w:rPr>
                <w:rFonts w:asciiTheme="minorHAnsi" w:hAnsiTheme="minorHAnsi" w:cstheme="minorHAnsi"/>
                <w:sz w:val="18"/>
                <w:szCs w:val="18"/>
              </w:rPr>
              <w:t>Category 4</w:t>
            </w:r>
            <w:r w:rsidR="3BB13E8F" w:rsidRPr="00F03408">
              <w:rPr>
                <w:rFonts w:asciiTheme="minorHAnsi" w:eastAsia="Arial" w:hAnsiTheme="minorHAnsi" w:cstheme="minorHAnsi"/>
                <w:color w:val="000000" w:themeColor="text1"/>
                <w:sz w:val="18"/>
                <w:szCs w:val="18"/>
              </w:rPr>
              <w:t xml:space="preserve"> </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5D7E4BE2" w14:textId="0B48C95C"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Climacteric symptoms after natural or surgical menopause</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AC5724A" w14:textId="7A76D90E"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To request a General Schedule unrestricted listing.</w:t>
            </w:r>
          </w:p>
        </w:tc>
        <w:tc>
          <w:tcPr>
            <w:tcW w:w="1584" w:type="dxa"/>
            <w:shd w:val="clear" w:color="auto" w:fill="auto"/>
            <w:vAlign w:val="center"/>
          </w:tcPr>
          <w:p w14:paraId="167AD0DD" w14:textId="726B4080" w:rsidR="00587746" w:rsidRPr="00F03408" w:rsidDel="008F66B5" w:rsidRDefault="00FA4A25"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shd w:val="clear" w:color="auto" w:fill="auto"/>
            <w:vAlign w:val="center"/>
          </w:tcPr>
          <w:p w14:paraId="00AB6BCE" w14:textId="4CDD8B5C" w:rsidR="00587746" w:rsidRPr="00F03408" w:rsidDel="008F66B5" w:rsidRDefault="00D11417" w:rsidP="00A94408">
            <w:pPr>
              <w:jc w:val="both"/>
              <w:rPr>
                <w:rFonts w:asciiTheme="minorHAnsi" w:hAnsiTheme="minorHAnsi" w:cstheme="minorBidi"/>
                <w:color w:val="000000"/>
                <w:sz w:val="18"/>
                <w:szCs w:val="18"/>
              </w:rPr>
            </w:pPr>
            <w:r w:rsidRPr="12F1B601">
              <w:rPr>
                <w:rFonts w:asciiTheme="minorHAnsi" w:hAnsiTheme="minorHAnsi" w:cstheme="minorBidi"/>
                <w:color w:val="000000" w:themeColor="text1"/>
                <w:sz w:val="18"/>
                <w:szCs w:val="18"/>
                <w:lang w:val="en-GB"/>
              </w:rPr>
              <w:t xml:space="preserve">The PBAC recommended the listing of </w:t>
            </w:r>
            <w:r w:rsidRPr="12F1B601">
              <w:rPr>
                <w:rFonts w:asciiTheme="minorHAnsi" w:hAnsiTheme="minorHAnsi" w:cstheme="minorBidi"/>
                <w:color w:val="000000" w:themeColor="text1"/>
                <w:sz w:val="18"/>
                <w:szCs w:val="18"/>
              </w:rPr>
              <w:t>estradiol 500 microgram in 0.5 g gel sachet (</w:t>
            </w:r>
            <w:proofErr w:type="spellStart"/>
            <w:r w:rsidRPr="12F1B601">
              <w:rPr>
                <w:rFonts w:asciiTheme="minorHAnsi" w:hAnsiTheme="minorHAnsi" w:cstheme="minorBidi"/>
                <w:color w:val="000000" w:themeColor="text1"/>
                <w:sz w:val="18"/>
                <w:szCs w:val="18"/>
              </w:rPr>
              <w:t>Sandrena</w:t>
            </w:r>
            <w:proofErr w:type="spellEnd"/>
            <w:r w:rsidRPr="12F1B601">
              <w:rPr>
                <w:rFonts w:asciiTheme="minorHAnsi" w:hAnsiTheme="minorHAnsi" w:cstheme="minorBidi"/>
                <w:color w:val="000000" w:themeColor="text1"/>
                <w:sz w:val="18"/>
                <w:szCs w:val="18"/>
              </w:rPr>
              <w:t xml:space="preserve">) as a General Schedule (Unrestricted Benefit) listing under the same circumstances as the existing </w:t>
            </w:r>
            <w:proofErr w:type="spellStart"/>
            <w:r w:rsidRPr="12F1B601">
              <w:rPr>
                <w:rFonts w:asciiTheme="minorHAnsi" w:hAnsiTheme="minorHAnsi" w:cstheme="minorBidi"/>
                <w:color w:val="000000" w:themeColor="text1"/>
                <w:sz w:val="18"/>
                <w:szCs w:val="18"/>
              </w:rPr>
              <w:t>Sandrena</w:t>
            </w:r>
            <w:proofErr w:type="spellEnd"/>
            <w:r w:rsidRPr="12F1B601">
              <w:rPr>
                <w:rFonts w:asciiTheme="minorHAnsi" w:hAnsiTheme="minorHAnsi" w:cstheme="minorBidi"/>
                <w:color w:val="000000" w:themeColor="text1"/>
                <w:sz w:val="18"/>
                <w:szCs w:val="18"/>
              </w:rPr>
              <w:t xml:space="preserve"> 1 mg in 1 g sachet PBS listings. The PBAC considered the option to prescribe a lower strength of estradiol gel sachet would allow greater flexibility in dosing; simplify dose titration for patients; and reduce product wastage. The PBAC recommended the following Administrative Advice for </w:t>
            </w:r>
            <w:proofErr w:type="spellStart"/>
            <w:r w:rsidRPr="12F1B601">
              <w:rPr>
                <w:rFonts w:asciiTheme="minorHAnsi" w:hAnsiTheme="minorHAnsi" w:cstheme="minorBidi"/>
                <w:color w:val="000000" w:themeColor="text1"/>
                <w:sz w:val="18"/>
                <w:szCs w:val="18"/>
              </w:rPr>
              <w:t>Sandrena</w:t>
            </w:r>
            <w:proofErr w:type="spellEnd"/>
            <w:r w:rsidRPr="12F1B601">
              <w:rPr>
                <w:rFonts w:asciiTheme="minorHAnsi" w:hAnsiTheme="minorHAnsi" w:cstheme="minorBidi"/>
                <w:color w:val="000000" w:themeColor="text1"/>
                <w:sz w:val="18"/>
                <w:szCs w:val="18"/>
              </w:rPr>
              <w:t xml:space="preserve"> 500 microgram in 0.5 g gel sachets: ‘Estradiol should be used in conjunction with progestogen in women with an intact uterus’, and recommended that this Administrative Advice also be flowed on to the </w:t>
            </w:r>
            <w:proofErr w:type="spellStart"/>
            <w:r w:rsidRPr="12F1B601">
              <w:rPr>
                <w:rFonts w:asciiTheme="minorHAnsi" w:hAnsiTheme="minorHAnsi" w:cstheme="minorBidi"/>
                <w:color w:val="000000" w:themeColor="text1"/>
                <w:sz w:val="18"/>
                <w:szCs w:val="18"/>
              </w:rPr>
              <w:t>Sandrena</w:t>
            </w:r>
            <w:proofErr w:type="spellEnd"/>
            <w:r w:rsidRPr="12F1B601">
              <w:rPr>
                <w:rFonts w:asciiTheme="minorHAnsi" w:hAnsiTheme="minorHAnsi" w:cstheme="minorBidi"/>
                <w:color w:val="000000" w:themeColor="text1"/>
                <w:sz w:val="18"/>
                <w:szCs w:val="18"/>
              </w:rPr>
              <w:t xml:space="preserve"> 1 mg in 1 gram gel sachets and estradiol patches listings to replace the current Administrative Advice about use in conjunction with an oral progestogen. </w:t>
            </w:r>
          </w:p>
        </w:tc>
      </w:tr>
      <w:tr w:rsidR="004D59A5" w:rsidRPr="008059F4" w:rsidDel="008F66B5" w14:paraId="07A41AC1" w14:textId="52951D4A" w:rsidTr="75B0C150">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66390BD" w14:textId="77777777" w:rsidR="00123810"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lastRenderedPageBreak/>
              <w:t xml:space="preserve">FARICIMAB </w:t>
            </w:r>
            <w:r w:rsidRPr="00F03408">
              <w:rPr>
                <w:rFonts w:asciiTheme="minorHAnsi" w:hAnsiTheme="minorHAnsi" w:cstheme="minorHAnsi"/>
                <w:sz w:val="18"/>
                <w:szCs w:val="18"/>
              </w:rPr>
              <w:br/>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Solution for intravitreal injection 28.8 mg in 0.24 mL (120 mg per mL)</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proofErr w:type="spellStart"/>
            <w:r w:rsidRPr="00F03408">
              <w:rPr>
                <w:rFonts w:asciiTheme="minorHAnsi" w:eastAsia="Arial" w:hAnsiTheme="minorHAnsi" w:cstheme="minorHAnsi"/>
                <w:color w:val="000000" w:themeColor="text1"/>
                <w:sz w:val="18"/>
                <w:szCs w:val="18"/>
              </w:rPr>
              <w:t>Vabysmo</w:t>
            </w:r>
            <w:proofErr w:type="spellEnd"/>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ROCHE PRODUCTS PTY LTD</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p>
          <w:p w14:paraId="0716C0B4" w14:textId="64B48FAE" w:rsidR="3BB13E8F" w:rsidRPr="00F03408" w:rsidRDefault="00123810" w:rsidP="00A94408">
            <w:pPr>
              <w:jc w:val="center"/>
              <w:rPr>
                <w:rFonts w:asciiTheme="minorHAnsi" w:hAnsiTheme="minorHAnsi" w:cstheme="minorHAnsi"/>
                <w:sz w:val="18"/>
                <w:szCs w:val="18"/>
              </w:rPr>
            </w:pPr>
            <w:r>
              <w:rPr>
                <w:rFonts w:asciiTheme="minorHAnsi" w:hAnsiTheme="minorHAnsi" w:cstheme="minorHAnsi"/>
                <w:sz w:val="18"/>
                <w:szCs w:val="18"/>
              </w:rPr>
              <w:t>Category 2</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1B6FB75B" w14:textId="6D2F4361"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Retinal vein occlusion (RVO)</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AEDC554" w14:textId="0D3E90B7"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To request a General Schedule Authority Required (Telephone/Online) listing for initial treatment and an Authority Required (STREAMLINED) listing for continuing treatment of RVO.</w:t>
            </w:r>
          </w:p>
        </w:tc>
        <w:tc>
          <w:tcPr>
            <w:tcW w:w="1584" w:type="dxa"/>
            <w:shd w:val="clear" w:color="auto" w:fill="auto"/>
            <w:vAlign w:val="center"/>
          </w:tcPr>
          <w:p w14:paraId="2962443F" w14:textId="654A43AA" w:rsidR="004D59A5" w:rsidRPr="00F03408" w:rsidDel="008F66B5" w:rsidRDefault="007E13CF"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shd w:val="clear" w:color="auto" w:fill="auto"/>
            <w:vAlign w:val="center"/>
          </w:tcPr>
          <w:p w14:paraId="39E0FF04" w14:textId="4539E2B6" w:rsidR="004D59A5" w:rsidRPr="00F03408" w:rsidDel="008F66B5" w:rsidRDefault="002175EB" w:rsidP="00A94408">
            <w:pPr>
              <w:jc w:val="both"/>
              <w:rPr>
                <w:rFonts w:asciiTheme="minorHAnsi" w:hAnsiTheme="minorHAnsi" w:cstheme="minorBidi"/>
                <w:color w:val="000000"/>
                <w:sz w:val="18"/>
                <w:szCs w:val="18"/>
              </w:rPr>
            </w:pPr>
            <w:r w:rsidRPr="12F1B601">
              <w:rPr>
                <w:rFonts w:asciiTheme="minorHAnsi" w:hAnsiTheme="minorHAnsi" w:cstheme="minorBidi"/>
                <w:color w:val="000000" w:themeColor="text1"/>
                <w:sz w:val="18"/>
                <w:szCs w:val="18"/>
              </w:rPr>
              <w:t>The PBAC recommended the listing of faricimab for the treatment of macular oedema secondary to RVO. The PBAC’s recommendation was based on, among other matters, its assessment that the cost-effectiveness of faricimab would be acceptable if it were cost-minimised to the lowest cost alternative medicine currently PBS-listed for RVO. The PBAC noted there were uncertainties regarding the appropriate dose relativity but considered that, on balance, a relativity of 1:1 for faricimab and aflibercept 2</w:t>
            </w:r>
            <w:r w:rsidR="00C27077" w:rsidRPr="12F1B601">
              <w:rPr>
                <w:rFonts w:asciiTheme="minorHAnsi" w:hAnsiTheme="minorHAnsi" w:cstheme="minorBidi"/>
                <w:color w:val="000000" w:themeColor="text1"/>
                <w:sz w:val="18"/>
                <w:szCs w:val="18"/>
              </w:rPr>
              <w:t> </w:t>
            </w:r>
            <w:r w:rsidRPr="12F1B601">
              <w:rPr>
                <w:rFonts w:asciiTheme="minorHAnsi" w:hAnsiTheme="minorHAnsi" w:cstheme="minorBidi"/>
                <w:color w:val="000000" w:themeColor="text1"/>
                <w:sz w:val="18"/>
                <w:szCs w:val="18"/>
              </w:rPr>
              <w:t>mg was likely to be conservative. The PBAC recommended that faricimab should be included under the existing risk sharing arrangement for anti-VEGF medicines used to treat RVO with no increase in expenditure caps.</w:t>
            </w:r>
          </w:p>
        </w:tc>
      </w:tr>
      <w:tr w:rsidR="009D65D1" w:rsidRPr="008059F4" w:rsidDel="008F66B5" w14:paraId="5854B770" w14:textId="687CBB6D" w:rsidTr="75B0C150">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tcPr>
          <w:p w14:paraId="7DA978BC" w14:textId="70B35910" w:rsidR="009D65D1" w:rsidRPr="00F03408" w:rsidRDefault="009D65D1" w:rsidP="009D65D1">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 xml:space="preserve">FRUQUINTINIB </w:t>
            </w:r>
            <w:r w:rsidRPr="00F03408">
              <w:rPr>
                <w:rFonts w:asciiTheme="minorHAnsi" w:hAnsiTheme="minorHAnsi" w:cstheme="minorHAnsi"/>
                <w:sz w:val="18"/>
                <w:szCs w:val="18"/>
              </w:rPr>
              <w:br/>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Capsule 1 mg</w:t>
            </w:r>
          </w:p>
          <w:p w14:paraId="5CFBED8C" w14:textId="77777777" w:rsidR="00BD2AC0" w:rsidRDefault="009D65D1" w:rsidP="009D65D1">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t>Capsule 5 mg</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Fruzaqla</w:t>
            </w:r>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TAKEDA PHARMACEUTICALS AUSTRALIA PTY. LTD.</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p>
          <w:p w14:paraId="3BD6E399" w14:textId="47D4FC02" w:rsidR="009D65D1" w:rsidRPr="00F03408" w:rsidRDefault="00BD2AC0" w:rsidP="009D65D1">
            <w:pPr>
              <w:jc w:val="center"/>
              <w:rPr>
                <w:rFonts w:asciiTheme="minorHAnsi" w:hAnsiTheme="minorHAnsi" w:cstheme="minorHAnsi"/>
                <w:sz w:val="18"/>
                <w:szCs w:val="18"/>
              </w:rPr>
            </w:pPr>
            <w:r>
              <w:rPr>
                <w:rFonts w:asciiTheme="minorHAnsi" w:hAnsiTheme="minorHAnsi" w:cstheme="minorHAnsi"/>
                <w:sz w:val="18"/>
                <w:szCs w:val="18"/>
              </w:rPr>
              <w:t>Category 2</w:t>
            </w:r>
            <w:r w:rsidR="009D65D1" w:rsidRPr="00F03408">
              <w:rPr>
                <w:rFonts w:asciiTheme="minorHAnsi" w:hAnsiTheme="minorHAnsi" w:cstheme="minorHAnsi"/>
                <w:sz w:val="18"/>
                <w:szCs w:val="18"/>
              </w:rPr>
              <w:br/>
            </w:r>
            <w:r w:rsidR="009D65D1"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B3A19B" w14:textId="68118B03" w:rsidR="009D65D1" w:rsidRPr="00F03408" w:rsidRDefault="009D65D1" w:rsidP="009D65D1">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Metastatic colorectal cancer (mCRC)</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tcPr>
          <w:p w14:paraId="48BDB904" w14:textId="65643F78" w:rsidR="009D65D1" w:rsidRPr="00F03408" w:rsidRDefault="009D65D1" w:rsidP="009D65D1">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To request a General Schedule Authority Required (STREAMLINED) listing for the treatment of patients with mCRC who have been previously treated with or who are not considered candidates for available therapies.</w:t>
            </w:r>
          </w:p>
        </w:tc>
        <w:tc>
          <w:tcPr>
            <w:tcW w:w="1584" w:type="dxa"/>
            <w:shd w:val="clear" w:color="auto" w:fill="BFBFBF" w:themeFill="background1" w:themeFillShade="BF"/>
            <w:vAlign w:val="center"/>
          </w:tcPr>
          <w:p w14:paraId="46FDA260" w14:textId="14F1F153" w:rsidR="009D65D1" w:rsidRPr="00F03408" w:rsidDel="008F66B5" w:rsidRDefault="009D65D1" w:rsidP="009D65D1">
            <w:pPr>
              <w:pStyle w:val="ListParagraph"/>
              <w:keepLines/>
              <w:ind w:left="0"/>
              <w:jc w:val="center"/>
              <w:rPr>
                <w:rFonts w:asciiTheme="minorHAnsi" w:hAnsiTheme="minorHAnsi" w:cstheme="minorHAnsi"/>
                <w:color w:val="000000"/>
                <w:sz w:val="18"/>
                <w:szCs w:val="18"/>
              </w:rPr>
            </w:pPr>
            <w:r w:rsidRPr="001033CF">
              <w:rPr>
                <w:rFonts w:asciiTheme="minorHAnsi" w:hAnsiTheme="minorHAnsi" w:cstheme="minorHAnsi"/>
                <w:color w:val="000000"/>
                <w:sz w:val="18"/>
                <w:szCs w:val="18"/>
              </w:rPr>
              <w:t>Not Applicable</w:t>
            </w:r>
          </w:p>
        </w:tc>
        <w:tc>
          <w:tcPr>
            <w:tcW w:w="4836" w:type="dxa"/>
            <w:shd w:val="clear" w:color="auto" w:fill="BFBFBF" w:themeFill="background1" w:themeFillShade="BF"/>
            <w:vAlign w:val="center"/>
          </w:tcPr>
          <w:p w14:paraId="0B4B06E8" w14:textId="20C3AC0F" w:rsidR="009D65D1" w:rsidRPr="00F03408" w:rsidDel="008F66B5" w:rsidRDefault="009D65D1" w:rsidP="009D65D1">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rPr>
              <w:t>To be considered at a future PBAC meeting</w:t>
            </w:r>
          </w:p>
        </w:tc>
      </w:tr>
      <w:tr w:rsidR="004D59A5" w:rsidRPr="008059F4" w:rsidDel="008F66B5" w14:paraId="73275407" w14:textId="1786EBF0" w:rsidTr="004F2E33">
        <w:trPr>
          <w:cantSplit/>
          <w:trHeight w:val="646"/>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8CFEC34" w14:textId="77777777" w:rsidR="00F4452C"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lastRenderedPageBreak/>
              <w:t xml:space="preserve">IPTACOPAN </w:t>
            </w:r>
            <w:r w:rsidRPr="00F03408">
              <w:rPr>
                <w:rFonts w:asciiTheme="minorHAnsi" w:hAnsiTheme="minorHAnsi" w:cstheme="minorHAnsi"/>
                <w:sz w:val="18"/>
                <w:szCs w:val="18"/>
              </w:rPr>
              <w:br/>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Capsule 200 mg</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Fabhalta</w:t>
            </w:r>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NOVARTIS PHARMACEUTICALS AUSTRALIA PTY LIMITED</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p>
          <w:p w14:paraId="045E50CA" w14:textId="4DBA0A34" w:rsidR="3BB13E8F" w:rsidRPr="00F03408" w:rsidRDefault="00F4452C" w:rsidP="00A94408">
            <w:pPr>
              <w:jc w:val="center"/>
              <w:rPr>
                <w:rFonts w:asciiTheme="minorHAnsi" w:hAnsiTheme="minorHAnsi" w:cstheme="minorHAnsi"/>
                <w:sz w:val="18"/>
                <w:szCs w:val="18"/>
              </w:rPr>
            </w:pPr>
            <w:r>
              <w:rPr>
                <w:rFonts w:asciiTheme="minorHAnsi" w:hAnsiTheme="minorHAnsi" w:cstheme="minorHAnsi"/>
                <w:sz w:val="18"/>
                <w:szCs w:val="18"/>
              </w:rPr>
              <w:t>Category 1</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6EC05E95" w14:textId="532380B6"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Paroxysmal nocturnal hemoglobinuria (PNH)</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40BC25D" w14:textId="4CFEC3D2" w:rsidR="3BB13E8F" w:rsidRPr="00F03408" w:rsidRDefault="3BB13E8F" w:rsidP="00A94408">
            <w:pPr>
              <w:jc w:val="center"/>
              <w:rPr>
                <w:rFonts w:asciiTheme="minorHAnsi" w:hAnsiTheme="minorHAnsi" w:cstheme="minorBidi"/>
                <w:sz w:val="18"/>
                <w:szCs w:val="18"/>
              </w:rPr>
            </w:pPr>
            <w:r w:rsidRPr="12F1B601">
              <w:rPr>
                <w:rFonts w:asciiTheme="minorHAnsi" w:eastAsia="Arial" w:hAnsiTheme="minorHAnsi" w:cstheme="minorBidi"/>
                <w:color w:val="000000" w:themeColor="text1"/>
                <w:sz w:val="18"/>
                <w:szCs w:val="18"/>
              </w:rPr>
              <w:t xml:space="preserve">To request a Section 100 (Highly Specialised Drugs Program) Authority Required (Written) listing for the treatment of adults with PNH who have inadequate clinical response to </w:t>
            </w:r>
            <w:r w:rsidR="00C27077" w:rsidRPr="12F1B601">
              <w:rPr>
                <w:rFonts w:asciiTheme="minorHAnsi" w:hAnsiTheme="minorHAnsi" w:cstheme="minorBidi"/>
                <w:sz w:val="18"/>
                <w:szCs w:val="18"/>
              </w:rPr>
              <w:t>Complement 5 (</w:t>
            </w:r>
            <w:r w:rsidRPr="12F1B601">
              <w:rPr>
                <w:rFonts w:asciiTheme="minorHAnsi" w:eastAsia="Arial" w:hAnsiTheme="minorHAnsi" w:cstheme="minorBidi"/>
                <w:color w:val="000000" w:themeColor="text1"/>
                <w:sz w:val="18"/>
                <w:szCs w:val="18"/>
              </w:rPr>
              <w:t>C5</w:t>
            </w:r>
            <w:r w:rsidR="00C27077" w:rsidRPr="12F1B601">
              <w:rPr>
                <w:rFonts w:asciiTheme="minorHAnsi" w:eastAsia="Arial" w:hAnsiTheme="minorHAnsi" w:cstheme="minorBidi"/>
                <w:color w:val="000000" w:themeColor="text1"/>
                <w:sz w:val="18"/>
                <w:szCs w:val="18"/>
              </w:rPr>
              <w:t>)</w:t>
            </w:r>
            <w:r w:rsidRPr="12F1B601">
              <w:rPr>
                <w:rFonts w:asciiTheme="minorHAnsi" w:eastAsia="Arial" w:hAnsiTheme="minorHAnsi" w:cstheme="minorBidi"/>
                <w:color w:val="000000" w:themeColor="text1"/>
                <w:sz w:val="18"/>
                <w:szCs w:val="18"/>
              </w:rPr>
              <w:t xml:space="preserve"> inhibitor treatment. </w:t>
            </w:r>
          </w:p>
        </w:tc>
        <w:tc>
          <w:tcPr>
            <w:tcW w:w="1584" w:type="dxa"/>
            <w:shd w:val="clear" w:color="auto" w:fill="auto"/>
            <w:vAlign w:val="center"/>
          </w:tcPr>
          <w:p w14:paraId="26829FC0" w14:textId="78BCE19A" w:rsidR="004D59A5" w:rsidRPr="00F03408" w:rsidDel="008F66B5" w:rsidRDefault="00F4452C"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shd w:val="clear" w:color="auto" w:fill="auto"/>
            <w:vAlign w:val="center"/>
          </w:tcPr>
          <w:p w14:paraId="37833B99" w14:textId="0628B257" w:rsidR="00DC2E62" w:rsidRPr="00DC2E62" w:rsidRDefault="00DC2E62" w:rsidP="00DC2E62">
            <w:pPr>
              <w:jc w:val="both"/>
              <w:rPr>
                <w:rFonts w:asciiTheme="minorHAnsi" w:hAnsiTheme="minorHAnsi" w:cstheme="minorBidi"/>
                <w:sz w:val="18"/>
                <w:szCs w:val="18"/>
              </w:rPr>
            </w:pPr>
            <w:r w:rsidRPr="12F1B601">
              <w:rPr>
                <w:rFonts w:asciiTheme="minorHAnsi" w:hAnsiTheme="minorHAnsi" w:cstheme="minorBidi"/>
                <w:sz w:val="18"/>
                <w:szCs w:val="18"/>
              </w:rPr>
              <w:t>The PBAC recommended the listing of iptacopan for the treatment of adults with PNH who have inadequate clinical response to C5 inhibitor treatment. The recommendation for listing was based on, among other matters, its assessment that the cost-effectiveness of iptacopan would be acceptable if it were cost-minimised against pegcetacoplan, and included in the current Risk Sharing Arrangement for PNH.</w:t>
            </w:r>
          </w:p>
          <w:p w14:paraId="64492A57" w14:textId="77777777" w:rsidR="007D186C" w:rsidRPr="00DC2E62" w:rsidRDefault="007D186C" w:rsidP="00DC2E62">
            <w:pPr>
              <w:jc w:val="both"/>
              <w:rPr>
                <w:rFonts w:asciiTheme="minorHAnsi" w:hAnsiTheme="minorHAnsi" w:cstheme="minorHAnsi"/>
                <w:bCs/>
                <w:sz w:val="18"/>
                <w:szCs w:val="18"/>
              </w:rPr>
            </w:pPr>
          </w:p>
          <w:p w14:paraId="40923586" w14:textId="77777777" w:rsidR="00DC2E62" w:rsidRPr="00DC2E62" w:rsidRDefault="00DC2E62" w:rsidP="00DC2E62">
            <w:pPr>
              <w:jc w:val="both"/>
              <w:rPr>
                <w:rFonts w:asciiTheme="minorHAnsi" w:hAnsiTheme="minorHAnsi" w:cstheme="minorBidi"/>
                <w:sz w:val="18"/>
                <w:szCs w:val="18"/>
              </w:rPr>
            </w:pPr>
            <w:r w:rsidRPr="12F1B601">
              <w:rPr>
                <w:rFonts w:asciiTheme="minorHAnsi" w:hAnsiTheme="minorHAnsi" w:cstheme="minorBidi"/>
                <w:sz w:val="18"/>
                <w:szCs w:val="18"/>
              </w:rPr>
              <w:t xml:space="preserve">The PBAC considered the following equi-effective doses appropriate: </w:t>
            </w:r>
          </w:p>
          <w:p w14:paraId="441C2075" w14:textId="3F4F0992" w:rsidR="00DC2E62" w:rsidRPr="00DC2E62" w:rsidRDefault="00DC2E62" w:rsidP="00A9542F">
            <w:pPr>
              <w:pStyle w:val="ListParagraph"/>
              <w:numPr>
                <w:ilvl w:val="0"/>
                <w:numId w:val="58"/>
              </w:numPr>
              <w:ind w:left="295" w:hanging="284"/>
              <w:jc w:val="both"/>
              <w:rPr>
                <w:rFonts w:asciiTheme="minorHAnsi" w:hAnsiTheme="minorHAnsi" w:cstheme="minorHAnsi"/>
                <w:bCs/>
                <w:sz w:val="18"/>
                <w:szCs w:val="18"/>
              </w:rPr>
            </w:pPr>
            <w:r w:rsidRPr="00DC2E62">
              <w:rPr>
                <w:rFonts w:asciiTheme="minorHAnsi" w:hAnsiTheme="minorHAnsi" w:cstheme="minorHAnsi"/>
                <w:bCs/>
                <w:sz w:val="18"/>
                <w:szCs w:val="18"/>
              </w:rPr>
              <w:t xml:space="preserve">Iptacopan </w:t>
            </w:r>
            <w:r w:rsidRPr="00DC2E62">
              <w:rPr>
                <w:rFonts w:asciiTheme="minorHAnsi" w:hAnsiTheme="minorHAnsi" w:cstheme="minorHAnsi"/>
                <w:sz w:val="18"/>
                <w:szCs w:val="18"/>
              </w:rPr>
              <w:t>146,048</w:t>
            </w:r>
            <w:r w:rsidR="00A9542F">
              <w:rPr>
                <w:rFonts w:asciiTheme="minorHAnsi" w:hAnsiTheme="minorHAnsi" w:cstheme="minorHAnsi"/>
                <w:sz w:val="18"/>
                <w:szCs w:val="18"/>
              </w:rPr>
              <w:t> </w:t>
            </w:r>
            <w:r w:rsidRPr="00DC2E62">
              <w:rPr>
                <w:rFonts w:asciiTheme="minorHAnsi" w:hAnsiTheme="minorHAnsi" w:cstheme="minorHAnsi"/>
                <w:bCs/>
                <w:sz w:val="18"/>
                <w:szCs w:val="18"/>
              </w:rPr>
              <w:t>mg (200 mg/capsule × 56 capsules/pack × 13.04 packs) is equivalent to pegcetacoplan 116,365</w:t>
            </w:r>
            <w:r w:rsidR="007D186C">
              <w:rPr>
                <w:rFonts w:asciiTheme="minorHAnsi" w:hAnsiTheme="minorHAnsi" w:cstheme="minorHAnsi"/>
                <w:sz w:val="18"/>
                <w:szCs w:val="18"/>
              </w:rPr>
              <w:t> </w:t>
            </w:r>
            <w:r w:rsidRPr="00DC2E62">
              <w:rPr>
                <w:rFonts w:asciiTheme="minorHAnsi" w:hAnsiTheme="minorHAnsi" w:cstheme="minorHAnsi"/>
                <w:bCs/>
                <w:sz w:val="18"/>
                <w:szCs w:val="18"/>
              </w:rPr>
              <w:t>mg (1,080 mg/vial × 107.7 injections).</w:t>
            </w:r>
          </w:p>
          <w:p w14:paraId="6438063D" w14:textId="77777777" w:rsidR="007D186C" w:rsidRPr="007D186C" w:rsidRDefault="007D186C" w:rsidP="007D186C">
            <w:pPr>
              <w:ind w:left="11"/>
              <w:jc w:val="both"/>
              <w:rPr>
                <w:rFonts w:asciiTheme="minorHAnsi" w:hAnsiTheme="minorHAnsi" w:cstheme="minorHAnsi"/>
                <w:sz w:val="18"/>
                <w:szCs w:val="18"/>
              </w:rPr>
            </w:pPr>
          </w:p>
          <w:p w14:paraId="7C375E3D" w14:textId="03B99B78" w:rsidR="004D59A5" w:rsidRPr="00F03408" w:rsidDel="008F66B5" w:rsidRDefault="00DC2E62" w:rsidP="00A94408">
            <w:pPr>
              <w:jc w:val="both"/>
              <w:rPr>
                <w:rFonts w:asciiTheme="minorHAnsi" w:hAnsiTheme="minorHAnsi" w:cstheme="minorBidi"/>
                <w:sz w:val="18"/>
                <w:szCs w:val="18"/>
              </w:rPr>
            </w:pPr>
            <w:r w:rsidRPr="12F1B601">
              <w:rPr>
                <w:rFonts w:asciiTheme="minorHAnsi" w:hAnsiTheme="minorHAnsi" w:cstheme="minorBidi"/>
                <w:sz w:val="18"/>
                <w:szCs w:val="18"/>
              </w:rPr>
              <w:t xml:space="preserve">The PBAC noted that flow on changes to the restriction criteria for eculizumab, ravulizumab and pegcetacoplan would be required. </w:t>
            </w:r>
          </w:p>
        </w:tc>
      </w:tr>
      <w:tr w:rsidR="007807EA" w:rsidRPr="008059F4" w:rsidDel="008F66B5" w14:paraId="52D48790" w14:textId="14461D5B" w:rsidTr="00D003E5">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7079570" w14:textId="77777777" w:rsidR="00F4452C"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lastRenderedPageBreak/>
              <w:t xml:space="preserve">IVOSIDENIB </w:t>
            </w:r>
            <w:r w:rsidRPr="00F03408">
              <w:rPr>
                <w:rFonts w:asciiTheme="minorHAnsi" w:hAnsiTheme="minorHAnsi" w:cstheme="minorHAnsi"/>
                <w:sz w:val="18"/>
                <w:szCs w:val="18"/>
              </w:rPr>
              <w:br/>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Tablet 250 mg</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Tibsovo</w:t>
            </w:r>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SERVIER LABORATORIES (AUST.) PTY. LTD.</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p>
          <w:p w14:paraId="3B1FA4D2" w14:textId="68FCB956" w:rsidR="3BB13E8F" w:rsidRPr="00F03408" w:rsidRDefault="00F4452C" w:rsidP="00A94408">
            <w:pPr>
              <w:jc w:val="center"/>
              <w:rPr>
                <w:rFonts w:asciiTheme="minorHAnsi" w:hAnsiTheme="minorHAnsi" w:cstheme="minorHAnsi"/>
                <w:sz w:val="18"/>
                <w:szCs w:val="18"/>
              </w:rPr>
            </w:pPr>
            <w:r>
              <w:rPr>
                <w:rFonts w:asciiTheme="minorHAnsi" w:hAnsiTheme="minorHAnsi" w:cstheme="minorHAnsi"/>
                <w:sz w:val="18"/>
                <w:szCs w:val="18"/>
              </w:rPr>
              <w:t>Category 1</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7DEF4CA5" w14:textId="3AE21E54"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Bile duct cancer (cholangiocarcinoma)</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324633B" w14:textId="514A9BF7"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 xml:space="preserve">To request a General Schedule Authority Required (STREAMLINED) listing for the treatment of adult patients with locally advanced or metastatic cholangiocarcinoma who have previously progressed on chemotherapy and have a confirmed </w:t>
            </w:r>
            <w:r w:rsidRPr="00F03408">
              <w:rPr>
                <w:rFonts w:asciiTheme="minorHAnsi" w:eastAsia="Arial" w:hAnsiTheme="minorHAnsi" w:cstheme="minorHAnsi"/>
                <w:i/>
                <w:iCs/>
                <w:color w:val="000000" w:themeColor="text1"/>
                <w:sz w:val="18"/>
                <w:szCs w:val="18"/>
              </w:rPr>
              <w:t>IDH1</w:t>
            </w:r>
            <w:r w:rsidRPr="00F03408">
              <w:rPr>
                <w:rFonts w:asciiTheme="minorHAnsi" w:eastAsia="Arial" w:hAnsiTheme="minorHAnsi" w:cstheme="minorHAnsi"/>
                <w:color w:val="000000" w:themeColor="text1"/>
                <w:sz w:val="18"/>
                <w:szCs w:val="18"/>
              </w:rPr>
              <w:t xml:space="preserve"> mutation.</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344BFC3B" w14:textId="4AA4273F" w:rsidR="004D59A5" w:rsidRPr="00F03408" w:rsidDel="008F66B5" w:rsidRDefault="00F4452C"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 Recommended</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1FAC55B5" w14:textId="019C82F9" w:rsidR="0038138B" w:rsidRPr="0038138B" w:rsidRDefault="0038138B" w:rsidP="0038138B">
            <w:pPr>
              <w:jc w:val="both"/>
              <w:rPr>
                <w:rFonts w:asciiTheme="minorHAnsi" w:hAnsiTheme="minorHAnsi" w:cstheme="minorBidi"/>
                <w:color w:val="000000"/>
                <w:sz w:val="18"/>
                <w:szCs w:val="18"/>
              </w:rPr>
            </w:pPr>
            <w:r w:rsidRPr="56B992B3">
              <w:rPr>
                <w:rFonts w:asciiTheme="minorHAnsi" w:hAnsiTheme="minorHAnsi" w:cstheme="minorBidi"/>
                <w:color w:val="000000" w:themeColor="text1"/>
                <w:sz w:val="18"/>
                <w:szCs w:val="18"/>
              </w:rPr>
              <w:t>The PBAC did not recommend ivosidenib for treatment of patients with locally advanced or metastatic cholangiocarcinoma with an isocitrate dehydrogenase 1 (</w:t>
            </w:r>
            <w:r w:rsidRPr="56B992B3">
              <w:rPr>
                <w:rFonts w:asciiTheme="minorHAnsi" w:hAnsiTheme="minorHAnsi" w:cstheme="minorBidi"/>
                <w:i/>
                <w:iCs/>
                <w:color w:val="000000" w:themeColor="text1"/>
                <w:sz w:val="18"/>
                <w:szCs w:val="18"/>
              </w:rPr>
              <w:t>IDH1</w:t>
            </w:r>
            <w:r w:rsidRPr="56B992B3">
              <w:rPr>
                <w:rFonts w:asciiTheme="minorHAnsi" w:hAnsiTheme="minorHAnsi" w:cstheme="minorBidi"/>
                <w:color w:val="000000" w:themeColor="text1"/>
                <w:sz w:val="18"/>
                <w:szCs w:val="18"/>
              </w:rPr>
              <w:t xml:space="preserve">) variant, who have previously progressed on chemotherapy. The PBAC considered that there was a high clinical need for treatments for patients with locally advanced or metastatic cholangiocarcinoma, who have a very poor prognosis. The PBAC considered the clinical evidence indicated that ivosidenib had a small progression free survival and moderate overall survival advantage compared with standard treatment, for the small subset of patients with </w:t>
            </w:r>
            <w:r w:rsidRPr="56B992B3">
              <w:rPr>
                <w:rFonts w:asciiTheme="minorHAnsi" w:hAnsiTheme="minorHAnsi" w:cstheme="minorBidi"/>
                <w:i/>
                <w:iCs/>
                <w:color w:val="000000" w:themeColor="text1"/>
                <w:sz w:val="18"/>
                <w:szCs w:val="18"/>
              </w:rPr>
              <w:t>IDH1</w:t>
            </w:r>
            <w:r w:rsidRPr="56B992B3">
              <w:rPr>
                <w:rFonts w:asciiTheme="minorHAnsi" w:hAnsiTheme="minorHAnsi" w:cstheme="minorBidi"/>
                <w:color w:val="000000" w:themeColor="text1"/>
                <w:sz w:val="18"/>
                <w:szCs w:val="18"/>
              </w:rPr>
              <w:t xml:space="preserve"> mutations. The PBAC considered that the incremental cost-effectiveness ratio was high at the proposed price and likely to be underestimated in the submission base case due to optimistic assumptions in the economic model. The PBAC considered these issues could be addressed in an early re</w:t>
            </w:r>
            <w:r w:rsidR="00884764">
              <w:rPr>
                <w:rFonts w:asciiTheme="minorHAnsi" w:hAnsiTheme="minorHAnsi" w:cstheme="minorBidi"/>
                <w:color w:val="000000" w:themeColor="text1"/>
                <w:sz w:val="18"/>
                <w:szCs w:val="18"/>
              </w:rPr>
              <w:t>-</w:t>
            </w:r>
            <w:r w:rsidRPr="56B992B3">
              <w:rPr>
                <w:rFonts w:asciiTheme="minorHAnsi" w:hAnsiTheme="minorHAnsi" w:cstheme="minorBidi"/>
                <w:color w:val="000000" w:themeColor="text1"/>
                <w:sz w:val="18"/>
                <w:szCs w:val="18"/>
              </w:rPr>
              <w:t>entry submission.</w:t>
            </w:r>
          </w:p>
          <w:p w14:paraId="641A3BD2" w14:textId="77777777" w:rsidR="001E389C" w:rsidRPr="001033CF" w:rsidRDefault="001E389C" w:rsidP="001E389C">
            <w:pPr>
              <w:jc w:val="both"/>
              <w:rPr>
                <w:rFonts w:asciiTheme="minorHAnsi" w:hAnsiTheme="minorHAnsi" w:cstheme="minorHAnsi"/>
                <w:color w:val="000000"/>
                <w:sz w:val="18"/>
                <w:szCs w:val="18"/>
              </w:rPr>
            </w:pPr>
          </w:p>
          <w:p w14:paraId="5D75DC53" w14:textId="77777777" w:rsidR="001E389C" w:rsidRPr="001033CF" w:rsidRDefault="001E389C" w:rsidP="001E389C">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u w:val="single"/>
              </w:rPr>
              <w:t>Sponsor’s Comment:</w:t>
            </w:r>
          </w:p>
          <w:p w14:paraId="621821C6" w14:textId="4536A000" w:rsidR="004D59A5" w:rsidRPr="00F03408" w:rsidDel="008F66B5" w:rsidRDefault="006569AF" w:rsidP="00A94408">
            <w:pPr>
              <w:jc w:val="both"/>
              <w:rPr>
                <w:rFonts w:asciiTheme="minorHAnsi" w:hAnsiTheme="minorHAnsi" w:cstheme="minorHAnsi"/>
                <w:sz w:val="18"/>
                <w:szCs w:val="18"/>
              </w:rPr>
            </w:pPr>
            <w:r w:rsidRPr="006569AF">
              <w:rPr>
                <w:rFonts w:asciiTheme="minorHAnsi" w:hAnsiTheme="minorHAnsi" w:cstheme="minorHAnsi"/>
                <w:sz w:val="18"/>
                <w:szCs w:val="18"/>
              </w:rPr>
              <w:t xml:space="preserve">Servier is disappointed the PBAC did not recommend ivosidenib for PBS listing but welcomes the PBAC’s recognition of the urgent need for treatment options for people diagnosed with locally advanced or metastatic cholangiocarcinoma with an </w:t>
            </w:r>
            <w:r w:rsidRPr="00D003E5">
              <w:rPr>
                <w:rFonts w:asciiTheme="minorHAnsi" w:hAnsiTheme="minorHAnsi" w:cstheme="minorHAnsi"/>
                <w:i/>
                <w:iCs/>
                <w:sz w:val="18"/>
                <w:szCs w:val="18"/>
              </w:rPr>
              <w:t>IDH1</w:t>
            </w:r>
            <w:r w:rsidRPr="006569AF">
              <w:rPr>
                <w:rFonts w:asciiTheme="minorHAnsi" w:hAnsiTheme="minorHAnsi" w:cstheme="minorHAnsi"/>
                <w:sz w:val="18"/>
                <w:szCs w:val="18"/>
              </w:rPr>
              <w:t xml:space="preserve"> mutation. Servier remains committed to working with the PBAC and Department of Health and Aged Care to make ivosidenib available on the PBS in a timely way.</w:t>
            </w:r>
          </w:p>
        </w:tc>
      </w:tr>
      <w:tr w:rsidR="004D59A5" w:rsidRPr="008059F4" w:rsidDel="008F66B5" w14:paraId="211AD65F" w14:textId="353CA9BC" w:rsidTr="75B0C150">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4B3D7BF" w14:textId="77777777" w:rsidR="007D0F10"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lastRenderedPageBreak/>
              <w:t>LANREOTIDE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Injection 60 mg (as acetate) in single dose pre-filled syringe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Injection 90 mg (as acetate) in single dose pre-filled syringe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Injection 120 mg (as acetate) in single dose pre-filled syringe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Somatuline</w:t>
            </w:r>
            <w:r w:rsidRPr="00EB2952">
              <w:rPr>
                <w:rFonts w:asciiTheme="minorHAnsi" w:eastAsia="Arial" w:hAnsiTheme="minorHAnsi" w:cstheme="minorHAnsi"/>
                <w:color w:val="000000" w:themeColor="text1"/>
                <w:sz w:val="18"/>
                <w:szCs w:val="18"/>
              </w:rPr>
              <w:t>®</w:t>
            </w:r>
            <w:r w:rsidRPr="00F03408">
              <w:rPr>
                <w:rFonts w:asciiTheme="minorHAnsi" w:eastAsia="Arial" w:hAnsiTheme="minorHAnsi" w:cstheme="minorHAnsi"/>
                <w:color w:val="000000" w:themeColor="text1"/>
                <w:sz w:val="18"/>
                <w:szCs w:val="18"/>
              </w:rPr>
              <w:t xml:space="preserve"> Autogel</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IPSEN PTY LTD</w:t>
            </w:r>
            <w:r w:rsidRPr="00F03408">
              <w:rPr>
                <w:rFonts w:asciiTheme="minorHAnsi" w:hAnsiTheme="minorHAnsi" w:cstheme="minorHAnsi"/>
                <w:sz w:val="18"/>
                <w:szCs w:val="18"/>
              </w:rPr>
              <w:br/>
            </w:r>
          </w:p>
          <w:p w14:paraId="3243B570" w14:textId="7F8C18D9" w:rsidR="3BB13E8F" w:rsidRPr="00F03408" w:rsidRDefault="007D0F10" w:rsidP="00A94408">
            <w:pPr>
              <w:jc w:val="center"/>
              <w:rPr>
                <w:rFonts w:asciiTheme="minorHAnsi" w:hAnsiTheme="minorHAnsi" w:cstheme="minorHAnsi"/>
                <w:sz w:val="18"/>
                <w:szCs w:val="18"/>
              </w:rPr>
            </w:pPr>
            <w:r>
              <w:rPr>
                <w:rFonts w:asciiTheme="minorHAnsi" w:hAnsiTheme="minorHAnsi" w:cstheme="minorHAnsi"/>
                <w:sz w:val="18"/>
                <w:szCs w:val="18"/>
              </w:rPr>
              <w:t>Category 3</w:t>
            </w:r>
            <w:r w:rsidR="3BB13E8F" w:rsidRPr="00F03408">
              <w:rPr>
                <w:rFonts w:asciiTheme="minorHAnsi" w:eastAsia="Arial" w:hAnsiTheme="minorHAnsi" w:cstheme="minorHAnsi"/>
                <w:color w:val="000000" w:themeColor="text1"/>
                <w:sz w:val="18"/>
                <w:szCs w:val="18"/>
              </w:rPr>
              <w:t xml:space="preserve"> </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6212F18C" w14:textId="5F3FF5F0"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Acromegaly</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Functional Carcinoid Tumour</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Non-functional gastroenteropancreatic neuroendocrine tumour (GEP</w:t>
            </w:r>
            <w:r w:rsidR="00AF5B14">
              <w:rPr>
                <w:rFonts w:asciiTheme="minorHAnsi" w:eastAsia="Arial" w:hAnsiTheme="minorHAnsi" w:cstheme="minorHAnsi"/>
                <w:color w:val="000000" w:themeColor="text1"/>
                <w:sz w:val="18"/>
                <w:szCs w:val="18"/>
              </w:rPr>
              <w:noBreakHyphen/>
            </w:r>
            <w:r w:rsidRPr="00F03408">
              <w:rPr>
                <w:rFonts w:asciiTheme="minorHAnsi" w:eastAsia="Arial" w:hAnsiTheme="minorHAnsi" w:cstheme="minorHAnsi"/>
                <w:color w:val="000000" w:themeColor="text1"/>
                <w:sz w:val="18"/>
                <w:szCs w:val="18"/>
              </w:rPr>
              <w:t>NET)</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073EECE" w14:textId="3A480720"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To request an amendment to the clinical criteria of the Section 100 (Highly Specialised Drug Program) Authority Required (STREAMLINED) listings for the treatment of acromegaly, functional carcinoid tumour, and non-functional GEP-NET.</w:t>
            </w:r>
          </w:p>
        </w:tc>
        <w:tc>
          <w:tcPr>
            <w:tcW w:w="1584" w:type="dxa"/>
            <w:shd w:val="clear" w:color="auto" w:fill="auto"/>
            <w:vAlign w:val="center"/>
          </w:tcPr>
          <w:p w14:paraId="2BD28AB2" w14:textId="6870D968" w:rsidR="004D59A5" w:rsidRPr="00F03408" w:rsidDel="008F66B5" w:rsidRDefault="007D0F10"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shd w:val="clear" w:color="auto" w:fill="auto"/>
            <w:vAlign w:val="center"/>
          </w:tcPr>
          <w:p w14:paraId="471F916D" w14:textId="1A577C57" w:rsidR="004D59A5" w:rsidRPr="00F03408" w:rsidDel="008F66B5" w:rsidRDefault="00EC2FAC" w:rsidP="00A94408">
            <w:pPr>
              <w:jc w:val="both"/>
              <w:rPr>
                <w:rFonts w:asciiTheme="minorHAnsi" w:hAnsiTheme="minorHAnsi" w:cstheme="minorBidi"/>
                <w:sz w:val="18"/>
                <w:szCs w:val="18"/>
              </w:rPr>
            </w:pPr>
            <w:r w:rsidRPr="12F1B601">
              <w:rPr>
                <w:rFonts w:asciiTheme="minorHAnsi" w:hAnsiTheme="minorHAnsi" w:cstheme="minorBidi"/>
                <w:sz w:val="18"/>
                <w:szCs w:val="18"/>
              </w:rPr>
              <w:t>The PBAC recommended changes to the Section 100 (Highly Specialised Drug Program) Community Access (CA), Authority Required (STREAMLINED) listings of lanreotide 60 mg/0.5 mL, 90 mg/0.5 mL and 120 mg/0.5 mL injection forms</w:t>
            </w:r>
            <w:r w:rsidRPr="12F1B601" w:rsidDel="004C7B1C">
              <w:rPr>
                <w:rFonts w:asciiTheme="minorHAnsi" w:hAnsiTheme="minorHAnsi" w:cstheme="minorBidi"/>
                <w:sz w:val="18"/>
                <w:szCs w:val="18"/>
              </w:rPr>
              <w:t xml:space="preserve"> </w:t>
            </w:r>
            <w:r w:rsidRPr="12F1B601">
              <w:rPr>
                <w:rFonts w:asciiTheme="minorHAnsi" w:hAnsiTheme="minorHAnsi" w:cstheme="minorBidi"/>
                <w:sz w:val="18"/>
                <w:szCs w:val="18"/>
              </w:rPr>
              <w:t>to allow the initiation of the treatment of acromegaly and functional carcinoid tumour in the CA setting. The PBAC also recommended changes to the listing of lanreotide 120</w:t>
            </w:r>
            <w:r w:rsidR="004C3DE2" w:rsidRPr="12F1B601">
              <w:rPr>
                <w:rFonts w:asciiTheme="minorHAnsi" w:hAnsiTheme="minorHAnsi" w:cstheme="minorBidi"/>
                <w:sz w:val="18"/>
                <w:szCs w:val="18"/>
              </w:rPr>
              <w:t> </w:t>
            </w:r>
            <w:r w:rsidRPr="12F1B601">
              <w:rPr>
                <w:rFonts w:asciiTheme="minorHAnsi" w:hAnsiTheme="minorHAnsi" w:cstheme="minorBidi"/>
                <w:sz w:val="18"/>
                <w:szCs w:val="18"/>
              </w:rPr>
              <w:t>mg/0.5</w:t>
            </w:r>
            <w:r w:rsidR="004C3DE2" w:rsidRPr="12F1B601">
              <w:rPr>
                <w:rFonts w:asciiTheme="minorHAnsi" w:hAnsiTheme="minorHAnsi" w:cstheme="minorBidi"/>
                <w:sz w:val="18"/>
                <w:szCs w:val="18"/>
              </w:rPr>
              <w:t> </w:t>
            </w:r>
            <w:r w:rsidRPr="12F1B601">
              <w:rPr>
                <w:rFonts w:asciiTheme="minorHAnsi" w:hAnsiTheme="minorHAnsi" w:cstheme="minorBidi"/>
                <w:sz w:val="18"/>
                <w:szCs w:val="18"/>
              </w:rPr>
              <w:t xml:space="preserve">mL injection under the same circumstances to allow the initiation of the treatment of non-functional </w:t>
            </w:r>
            <w:r w:rsidR="004C3DE2" w:rsidRPr="12F1B601">
              <w:rPr>
                <w:rFonts w:asciiTheme="minorHAnsi" w:eastAsia="Arial" w:hAnsiTheme="minorHAnsi" w:cstheme="minorBidi"/>
                <w:color w:val="000000" w:themeColor="text1"/>
                <w:sz w:val="18"/>
                <w:szCs w:val="18"/>
              </w:rPr>
              <w:t>GEP-NET</w:t>
            </w:r>
            <w:r w:rsidR="004C3DE2" w:rsidRPr="12F1B601" w:rsidDel="004C3DE2">
              <w:rPr>
                <w:rFonts w:asciiTheme="minorHAnsi" w:hAnsiTheme="minorHAnsi" w:cstheme="minorBidi"/>
                <w:sz w:val="18"/>
                <w:szCs w:val="18"/>
              </w:rPr>
              <w:t xml:space="preserve"> </w:t>
            </w:r>
            <w:r w:rsidRPr="12F1B601">
              <w:rPr>
                <w:rFonts w:asciiTheme="minorHAnsi" w:hAnsiTheme="minorHAnsi" w:cstheme="minorBidi"/>
                <w:sz w:val="18"/>
                <w:szCs w:val="18"/>
              </w:rPr>
              <w:t>in the CA setting. The PBAC considered that initiating lanreotide in a CA setting should remain restricted to specialists or medical practitioners in consultation with a specialist. The PBAC considered that allowing initiation of lanreotide in a community setting would improve access for patients, particularly those in rural and remote areas.</w:t>
            </w:r>
          </w:p>
        </w:tc>
      </w:tr>
      <w:tr w:rsidR="00A56E78" w:rsidRPr="008059F4" w:rsidDel="008F66B5" w14:paraId="741E255E" w14:textId="45025390" w:rsidTr="75B0C150">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tcPr>
          <w:p w14:paraId="55D93C1D" w14:textId="62B148D1"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 xml:space="preserve">LECANEMAB </w:t>
            </w:r>
            <w:r w:rsidRPr="00F03408">
              <w:rPr>
                <w:rFonts w:asciiTheme="minorHAnsi" w:hAnsiTheme="minorHAnsi" w:cstheme="minorHAnsi"/>
                <w:sz w:val="18"/>
                <w:szCs w:val="18"/>
              </w:rPr>
              <w:br/>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Solution concentrate for I.V. infusion 200 mg in 2 mL (100 mg per mL)</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Solution concentrate for I.V. infusion 500 mg in 5 mL (100 mg per mL)</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proofErr w:type="spellStart"/>
            <w:r w:rsidRPr="00F03408">
              <w:rPr>
                <w:rFonts w:asciiTheme="minorHAnsi" w:eastAsia="Arial" w:hAnsiTheme="minorHAnsi" w:cstheme="minorHAnsi"/>
                <w:color w:val="000000" w:themeColor="text1"/>
                <w:sz w:val="18"/>
                <w:szCs w:val="18"/>
              </w:rPr>
              <w:t>Leqembi</w:t>
            </w:r>
            <w:proofErr w:type="spellEnd"/>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EISAI AUSTRALIA PTY LTD</w:t>
            </w:r>
          </w:p>
          <w:p w14:paraId="2A8DF760" w14:textId="37374BFE" w:rsidR="3BB13E8F" w:rsidRDefault="3BB13E8F" w:rsidP="00A94408">
            <w:pPr>
              <w:jc w:val="center"/>
              <w:rPr>
                <w:rFonts w:asciiTheme="minorHAnsi" w:hAnsiTheme="minorHAnsi" w:cstheme="minorHAnsi"/>
                <w:sz w:val="18"/>
                <w:szCs w:val="18"/>
              </w:rPr>
            </w:pPr>
          </w:p>
          <w:p w14:paraId="5B23A097" w14:textId="00D49527" w:rsidR="002F6D57" w:rsidRPr="00F03408" w:rsidRDefault="002F6D57" w:rsidP="00A94408">
            <w:pPr>
              <w:jc w:val="center"/>
              <w:rPr>
                <w:rFonts w:asciiTheme="minorHAnsi" w:hAnsiTheme="minorHAnsi" w:cstheme="minorHAnsi"/>
                <w:sz w:val="18"/>
                <w:szCs w:val="18"/>
              </w:rPr>
            </w:pPr>
            <w:r>
              <w:rPr>
                <w:rFonts w:asciiTheme="minorHAnsi" w:hAnsiTheme="minorHAnsi" w:cstheme="minorHAnsi"/>
                <w:sz w:val="18"/>
                <w:szCs w:val="18"/>
              </w:rPr>
              <w:t>Category 1</w:t>
            </w:r>
          </w:p>
          <w:p w14:paraId="59E1797F" w14:textId="77777777" w:rsidR="3BB13E8F"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t>(New PBS listing)</w:t>
            </w:r>
          </w:p>
          <w:p w14:paraId="03D72079" w14:textId="77777777" w:rsidR="0041014C" w:rsidRDefault="0041014C" w:rsidP="00A94408">
            <w:pPr>
              <w:jc w:val="center"/>
              <w:rPr>
                <w:rFonts w:asciiTheme="minorHAnsi" w:eastAsia="Arial" w:hAnsiTheme="minorHAnsi" w:cstheme="minorHAnsi"/>
                <w:color w:val="000000" w:themeColor="text1"/>
                <w:sz w:val="18"/>
                <w:szCs w:val="18"/>
              </w:rPr>
            </w:pPr>
          </w:p>
          <w:p w14:paraId="6347F61B" w14:textId="67E4E7D5" w:rsidR="0041014C" w:rsidRPr="00F03408" w:rsidRDefault="0041014C" w:rsidP="00A94408">
            <w:pPr>
              <w:jc w:val="center"/>
              <w:rPr>
                <w:rFonts w:asciiTheme="minorHAnsi" w:eastAsia="Arial" w:hAnsiTheme="minorHAnsi" w:cstheme="minorHAnsi"/>
                <w:color w:val="000000" w:themeColor="text1"/>
                <w:sz w:val="18"/>
                <w:szCs w:val="18"/>
              </w:rPr>
            </w:pPr>
            <w:r>
              <w:rPr>
                <w:rFonts w:asciiTheme="minorHAnsi" w:eastAsia="Arial" w:hAnsiTheme="minorHAnsi" w:cstheme="minorHAnsi"/>
                <w:color w:val="000000" w:themeColor="text1"/>
                <w:sz w:val="18"/>
                <w:szCs w:val="18"/>
              </w:rPr>
              <w:t>WITHDRAWN</w:t>
            </w:r>
          </w:p>
        </w:tc>
        <w:tc>
          <w:tcPr>
            <w:tcW w:w="27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C1C477" w14:textId="4D6AB7FB"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Early Alzheimer disease (EAD)</w:t>
            </w:r>
          </w:p>
        </w:tc>
        <w:tc>
          <w:tcPr>
            <w:tcW w:w="2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28" w:type="dxa"/>
              <w:bottom w:w="28" w:type="dxa"/>
            </w:tcMar>
            <w:vAlign w:val="center"/>
          </w:tcPr>
          <w:p w14:paraId="1DD0D3E7" w14:textId="3EBD0DB2"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To request a General Schedule Authority Required (STREAMLINED) listing for the treatment of EAD, comprising mild cognitive impairment due to Alzheimer disease (AD), prodromal AD, or mild AD dementia.</w:t>
            </w:r>
          </w:p>
        </w:tc>
        <w:tc>
          <w:tcPr>
            <w:tcW w:w="1584" w:type="dxa"/>
            <w:shd w:val="clear" w:color="auto" w:fill="BFBFBF" w:themeFill="background1" w:themeFillShade="BF"/>
            <w:vAlign w:val="center"/>
          </w:tcPr>
          <w:p w14:paraId="0244BE95" w14:textId="6AD4B751" w:rsidR="004D59A5" w:rsidRPr="00F03408" w:rsidDel="008F66B5" w:rsidRDefault="003709D4" w:rsidP="00A94408">
            <w:pPr>
              <w:pStyle w:val="ListParagraph"/>
              <w:keepLines/>
              <w:ind w:left="0"/>
              <w:jc w:val="center"/>
              <w:rPr>
                <w:rFonts w:asciiTheme="minorHAnsi" w:hAnsiTheme="minorHAnsi" w:cstheme="minorHAnsi"/>
                <w:color w:val="000000"/>
                <w:sz w:val="18"/>
                <w:szCs w:val="18"/>
              </w:rPr>
            </w:pPr>
            <w:r w:rsidRPr="00F03408">
              <w:rPr>
                <w:rFonts w:asciiTheme="minorHAnsi" w:hAnsiTheme="minorHAnsi" w:cstheme="minorHAnsi"/>
                <w:color w:val="000000"/>
                <w:sz w:val="18"/>
                <w:szCs w:val="18"/>
              </w:rPr>
              <w:t>Not Applicable</w:t>
            </w:r>
          </w:p>
        </w:tc>
        <w:tc>
          <w:tcPr>
            <w:tcW w:w="4836" w:type="dxa"/>
            <w:shd w:val="clear" w:color="auto" w:fill="BFBFBF" w:themeFill="background1" w:themeFillShade="BF"/>
            <w:vAlign w:val="center"/>
          </w:tcPr>
          <w:p w14:paraId="22500D62" w14:textId="52839436" w:rsidR="004D59A5" w:rsidRPr="00F03408" w:rsidDel="008F66B5" w:rsidRDefault="0041014C" w:rsidP="00A94408">
            <w:pPr>
              <w:jc w:val="both"/>
              <w:rPr>
                <w:rFonts w:asciiTheme="minorHAnsi" w:hAnsiTheme="minorHAnsi" w:cstheme="minorHAnsi"/>
                <w:sz w:val="18"/>
                <w:szCs w:val="18"/>
              </w:rPr>
            </w:pPr>
            <w:r w:rsidRPr="0041014C">
              <w:rPr>
                <w:rFonts w:asciiTheme="minorHAnsi" w:eastAsia="Arial" w:hAnsiTheme="minorHAnsi" w:cstheme="minorHAnsi"/>
                <w:color w:val="000000" w:themeColor="text1"/>
                <w:sz w:val="18"/>
                <w:szCs w:val="18"/>
              </w:rPr>
              <w:t>This item was withdrawn</w:t>
            </w:r>
            <w:r>
              <w:rPr>
                <w:rFonts w:asciiTheme="minorHAnsi" w:eastAsia="Arial" w:hAnsiTheme="minorHAnsi" w:cstheme="minorHAnsi"/>
                <w:color w:val="000000" w:themeColor="text1"/>
                <w:sz w:val="18"/>
                <w:szCs w:val="18"/>
              </w:rPr>
              <w:t>.</w:t>
            </w:r>
          </w:p>
        </w:tc>
      </w:tr>
      <w:tr w:rsidR="007807EA" w:rsidRPr="008059F4" w:rsidDel="008F66B5" w14:paraId="67CC7194" w14:textId="0BCDA0ED" w:rsidTr="00D003E5">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76AD0B8" w14:textId="0E3C3185" w:rsidR="002F6D57" w:rsidRDefault="3BB13E8F" w:rsidP="00A94408">
            <w:pPr>
              <w:jc w:val="center"/>
              <w:rPr>
                <w:rFonts w:asciiTheme="minorHAnsi" w:eastAsia="Arial" w:hAnsiTheme="minorHAnsi" w:cstheme="minorHAnsi"/>
                <w:color w:val="000000" w:themeColor="text1"/>
                <w:sz w:val="18"/>
                <w:szCs w:val="18"/>
              </w:rPr>
            </w:pPr>
            <w:bookmarkStart w:id="5" w:name="_Hlk153369578"/>
            <w:r w:rsidRPr="00F03408">
              <w:rPr>
                <w:rFonts w:asciiTheme="minorHAnsi" w:eastAsia="Arial" w:hAnsiTheme="minorHAnsi" w:cstheme="minorHAnsi"/>
                <w:color w:val="000000" w:themeColor="text1"/>
                <w:sz w:val="18"/>
                <w:szCs w:val="18"/>
              </w:rPr>
              <w:lastRenderedPageBreak/>
              <w:t>LEVODOPA WITH CARBIDOPA AND ENTACAPONE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Intestinal gel containing levodopa 20</w:t>
            </w:r>
            <w:r w:rsidR="002F6D57">
              <w:rPr>
                <w:rFonts w:asciiTheme="minorHAnsi" w:eastAsia="Arial" w:hAnsiTheme="minorHAnsi" w:cstheme="minorHAnsi"/>
                <w:color w:val="000000" w:themeColor="text1"/>
                <w:sz w:val="18"/>
                <w:szCs w:val="18"/>
              </w:rPr>
              <w:t> </w:t>
            </w:r>
            <w:r w:rsidRPr="00F03408">
              <w:rPr>
                <w:rFonts w:asciiTheme="minorHAnsi" w:eastAsia="Arial" w:hAnsiTheme="minorHAnsi" w:cstheme="minorHAnsi"/>
                <w:color w:val="000000" w:themeColor="text1"/>
                <w:sz w:val="18"/>
                <w:szCs w:val="18"/>
              </w:rPr>
              <w:t>mg with carbidopa monohydrate 5</w:t>
            </w:r>
            <w:r w:rsidR="002F6D57">
              <w:rPr>
                <w:rFonts w:asciiTheme="minorHAnsi" w:eastAsia="Arial" w:hAnsiTheme="minorHAnsi" w:cstheme="minorHAnsi"/>
                <w:color w:val="000000" w:themeColor="text1"/>
                <w:sz w:val="18"/>
                <w:szCs w:val="18"/>
              </w:rPr>
              <w:t> </w:t>
            </w:r>
            <w:r w:rsidRPr="00F03408">
              <w:rPr>
                <w:rFonts w:asciiTheme="minorHAnsi" w:eastAsia="Arial" w:hAnsiTheme="minorHAnsi" w:cstheme="minorHAnsi"/>
                <w:color w:val="000000" w:themeColor="text1"/>
                <w:sz w:val="18"/>
                <w:szCs w:val="18"/>
              </w:rPr>
              <w:t>mg and with entacapone 20 mg per mL, 47 mL</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proofErr w:type="spellStart"/>
            <w:r w:rsidRPr="00F03408">
              <w:rPr>
                <w:rFonts w:asciiTheme="minorHAnsi" w:eastAsia="Arial" w:hAnsiTheme="minorHAnsi" w:cstheme="minorHAnsi"/>
                <w:color w:val="000000" w:themeColor="text1"/>
                <w:sz w:val="18"/>
                <w:szCs w:val="18"/>
              </w:rPr>
              <w:t>Lecigon</w:t>
            </w:r>
            <w:proofErr w:type="spellEnd"/>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STADA PHARMACEUTICALS AUSTRALIA PTY LIMITED</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p>
          <w:p w14:paraId="6EDAE4E6" w14:textId="12641204" w:rsidR="3BB13E8F" w:rsidRPr="00F03408" w:rsidRDefault="002B396D" w:rsidP="00A94408">
            <w:pPr>
              <w:jc w:val="center"/>
              <w:rPr>
                <w:rFonts w:asciiTheme="minorHAnsi" w:hAnsiTheme="minorHAnsi" w:cstheme="minorHAnsi"/>
                <w:sz w:val="18"/>
                <w:szCs w:val="18"/>
              </w:rPr>
            </w:pPr>
            <w:r>
              <w:rPr>
                <w:rFonts w:asciiTheme="minorHAnsi" w:hAnsiTheme="minorHAnsi" w:cstheme="minorHAnsi"/>
                <w:sz w:val="18"/>
                <w:szCs w:val="18"/>
              </w:rPr>
              <w:t>Early re-entry</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24D72747" w14:textId="3CB3C8D1"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 xml:space="preserve">Advanced Parkinson disease </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D05A936" w14:textId="5728145C"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Resubmission to request a General Schedule Authority Required (STREAMLINED) listing for the treatment of advanced idiopathic Parkinson disease with severe motor fluctuations despite optimised alternative pharmacological treatment.</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7C907C2" w14:textId="2EC1A2CE" w:rsidR="004D59A5" w:rsidRPr="00F03408" w:rsidDel="008F66B5" w:rsidRDefault="00991FED"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18A6563E" w14:textId="614ABAFE" w:rsidR="00686494" w:rsidRDefault="00686494" w:rsidP="00686494">
            <w:pPr>
              <w:jc w:val="both"/>
              <w:rPr>
                <w:rFonts w:asciiTheme="minorHAnsi" w:hAnsiTheme="minorHAnsi" w:cstheme="minorHAnsi"/>
                <w:color w:val="000000"/>
                <w:sz w:val="18"/>
                <w:szCs w:val="18"/>
              </w:rPr>
            </w:pPr>
            <w:r w:rsidRPr="00686494">
              <w:rPr>
                <w:rFonts w:asciiTheme="minorHAnsi" w:hAnsiTheme="minorHAnsi" w:cstheme="minorHAnsi"/>
                <w:color w:val="000000"/>
                <w:sz w:val="18"/>
                <w:szCs w:val="18"/>
              </w:rPr>
              <w:t>The PBAC recommended the listing of levodopa with entacapone and carbidopa intestinal gel (LECIG) for the treatment of advanced idiopathic Parkinson disease with severe motor fluctuations despite optimised alternative pharmacological treatment. The PBAC’s recommendation for listing was based on, among other matters, its assessment that the cost-effectiveness of LECIG would be acceptable if it were cost-minimised against levodopa, carbidopa monohydrate intestinal gel (LCIG), and if LECIG would be included in the same risk sharing arrangements as LCIG to contain risks associated with the potential use of higher doses of LECIG through the PBS versus trial data or in a broader population given the different device. The PBAC considered that, with the equi-effective dose recommended by the Committee, the resubmission had addressed the substantive outstanding issues identified at the March 2024 PBAC meeting.</w:t>
            </w:r>
          </w:p>
          <w:p w14:paraId="33BC8071" w14:textId="77777777" w:rsidR="00686494" w:rsidRPr="00686494" w:rsidRDefault="00686494" w:rsidP="00686494">
            <w:pPr>
              <w:jc w:val="both"/>
              <w:rPr>
                <w:rFonts w:asciiTheme="minorHAnsi" w:hAnsiTheme="minorHAnsi" w:cstheme="minorHAnsi"/>
                <w:color w:val="000000"/>
                <w:sz w:val="18"/>
                <w:szCs w:val="18"/>
              </w:rPr>
            </w:pPr>
          </w:p>
          <w:p w14:paraId="40475387" w14:textId="11C261B7" w:rsidR="00686494" w:rsidRPr="00686494" w:rsidRDefault="00686494" w:rsidP="00686494">
            <w:pPr>
              <w:jc w:val="both"/>
              <w:rPr>
                <w:rFonts w:asciiTheme="minorHAnsi" w:hAnsiTheme="minorHAnsi" w:cstheme="minorBidi"/>
                <w:color w:val="000000"/>
                <w:sz w:val="18"/>
                <w:szCs w:val="18"/>
              </w:rPr>
            </w:pPr>
            <w:r w:rsidRPr="56B992B3">
              <w:rPr>
                <w:rFonts w:asciiTheme="minorHAnsi" w:hAnsiTheme="minorHAnsi" w:cstheme="minorBidi"/>
                <w:color w:val="000000" w:themeColor="text1"/>
                <w:sz w:val="18"/>
                <w:szCs w:val="18"/>
              </w:rPr>
              <w:t>The PBAC considered the following equi-effective dosing appropriate:</w:t>
            </w:r>
          </w:p>
          <w:p w14:paraId="0B5C3511" w14:textId="77777777" w:rsidR="00686494" w:rsidRPr="007D186C" w:rsidRDefault="00686494" w:rsidP="007D186C">
            <w:pPr>
              <w:pStyle w:val="ListParagraph"/>
              <w:numPr>
                <w:ilvl w:val="0"/>
                <w:numId w:val="58"/>
              </w:numPr>
              <w:ind w:left="295" w:hanging="284"/>
              <w:jc w:val="both"/>
              <w:rPr>
                <w:rFonts w:asciiTheme="minorHAnsi" w:hAnsiTheme="minorHAnsi" w:cstheme="minorHAnsi"/>
                <w:sz w:val="18"/>
                <w:szCs w:val="18"/>
              </w:rPr>
            </w:pPr>
            <w:r w:rsidRPr="00686494">
              <w:rPr>
                <w:rFonts w:asciiTheme="minorHAnsi" w:hAnsiTheme="minorHAnsi" w:cstheme="minorHAnsi"/>
                <w:color w:val="000000"/>
                <w:sz w:val="18"/>
                <w:szCs w:val="18"/>
              </w:rPr>
              <w:t>1</w:t>
            </w:r>
            <w:r w:rsidRPr="007D186C">
              <w:rPr>
                <w:rFonts w:asciiTheme="minorHAnsi" w:hAnsiTheme="minorHAnsi" w:cstheme="minorHAnsi"/>
                <w:sz w:val="18"/>
                <w:szCs w:val="18"/>
              </w:rPr>
              <w:t>.7 cartridge of LECIG (each cartridge contains 47 mL with a total of 940 mg of levodopa) per day</w:t>
            </w:r>
          </w:p>
          <w:p w14:paraId="763B9B94" w14:textId="374ABB9A" w:rsidR="004D59A5" w:rsidRPr="00F03408" w:rsidDel="008F66B5" w:rsidRDefault="00686494" w:rsidP="007D186C">
            <w:pPr>
              <w:pStyle w:val="ListParagraph"/>
              <w:numPr>
                <w:ilvl w:val="0"/>
                <w:numId w:val="58"/>
              </w:numPr>
              <w:ind w:left="295" w:hanging="284"/>
              <w:jc w:val="both"/>
              <w:rPr>
                <w:rFonts w:asciiTheme="minorHAnsi" w:hAnsiTheme="minorHAnsi" w:cstheme="minorHAnsi"/>
                <w:color w:val="000000"/>
                <w:sz w:val="18"/>
                <w:szCs w:val="18"/>
              </w:rPr>
            </w:pPr>
            <w:r w:rsidRPr="007D186C">
              <w:rPr>
                <w:rFonts w:asciiTheme="minorHAnsi" w:hAnsiTheme="minorHAnsi" w:cstheme="minorHAnsi"/>
                <w:sz w:val="18"/>
                <w:szCs w:val="18"/>
              </w:rPr>
              <w:t>1.0 cassette of LCIG (each cassette contains 100 mL with a total of 2,000 mg of levodopa) per day.</w:t>
            </w:r>
            <w:r w:rsidRPr="00686494">
              <w:rPr>
                <w:rFonts w:asciiTheme="minorHAnsi" w:hAnsiTheme="minorHAnsi" w:cstheme="minorHAnsi"/>
                <w:color w:val="000000"/>
                <w:sz w:val="18"/>
                <w:szCs w:val="18"/>
              </w:rPr>
              <w:t xml:space="preserve"> </w:t>
            </w:r>
          </w:p>
        </w:tc>
      </w:tr>
      <w:bookmarkEnd w:id="5"/>
      <w:tr w:rsidR="007807EA" w:rsidRPr="008059F4" w:rsidDel="008F66B5" w14:paraId="1D94DBFA" w14:textId="5EE2D80F" w:rsidTr="00D003E5">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F3D110D" w14:textId="77777777" w:rsidR="00991FED"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lastRenderedPageBreak/>
              <w:t xml:space="preserve">LINZAGOLIX </w:t>
            </w:r>
            <w:r w:rsidRPr="00F03408">
              <w:rPr>
                <w:rFonts w:asciiTheme="minorHAnsi" w:hAnsiTheme="minorHAnsi" w:cstheme="minorHAnsi"/>
                <w:sz w:val="18"/>
                <w:szCs w:val="18"/>
              </w:rPr>
              <w:br/>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Tablet 100 mg (as choline)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Tablet 200 mg (as choline)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Yselty</w:t>
            </w:r>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THERAMEX AUSTRALIA PTY LTD</w:t>
            </w:r>
            <w:r w:rsidRPr="00F03408">
              <w:rPr>
                <w:rFonts w:asciiTheme="minorHAnsi" w:hAnsiTheme="minorHAnsi" w:cstheme="minorHAnsi"/>
                <w:sz w:val="18"/>
                <w:szCs w:val="18"/>
              </w:rPr>
              <w:br/>
            </w:r>
          </w:p>
          <w:p w14:paraId="112CE29A" w14:textId="6D3A0273" w:rsidR="3BB13E8F" w:rsidRPr="00F03408" w:rsidRDefault="00991FED" w:rsidP="00A94408">
            <w:pPr>
              <w:jc w:val="center"/>
              <w:rPr>
                <w:rFonts w:asciiTheme="minorHAnsi" w:hAnsiTheme="minorHAnsi" w:cstheme="minorHAnsi"/>
                <w:sz w:val="18"/>
                <w:szCs w:val="18"/>
              </w:rPr>
            </w:pPr>
            <w:r>
              <w:rPr>
                <w:rFonts w:asciiTheme="minorHAnsi" w:hAnsiTheme="minorHAnsi" w:cstheme="minorHAnsi"/>
                <w:sz w:val="18"/>
                <w:szCs w:val="18"/>
              </w:rPr>
              <w:t>Category 2</w:t>
            </w:r>
            <w:r w:rsidR="3BB13E8F" w:rsidRPr="00F03408">
              <w:rPr>
                <w:rFonts w:asciiTheme="minorHAnsi" w:eastAsia="Arial" w:hAnsiTheme="minorHAnsi" w:cstheme="minorHAnsi"/>
                <w:color w:val="000000" w:themeColor="text1"/>
                <w:sz w:val="18"/>
                <w:szCs w:val="18"/>
              </w:rPr>
              <w:t xml:space="preserve"> </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78BED34E" w14:textId="17C8F7D1"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Moderate to severe symptomatic uterine fibroids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62CF8D8" w14:textId="6446EEA9"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To request General Schedule Authority Required (Telephone/Online) for initiation and Authority Required (STREAMLINED) continuing listings for the treatment of moderate to severe symptomatic uterine fibroids.</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5AE174E" w14:textId="51D93068" w:rsidR="00CE32D8" w:rsidRPr="00F03408" w:rsidDel="008F66B5" w:rsidRDefault="00991FED" w:rsidP="00A94408">
            <w:pPr>
              <w:pStyle w:val="ListParagraph"/>
              <w:keepLines/>
              <w:ind w:left="0"/>
              <w:jc w:val="center"/>
              <w:rPr>
                <w:rFonts w:asciiTheme="minorHAnsi" w:hAnsiTheme="minorHAnsi" w:cstheme="minorHAnsi"/>
                <w:sz w:val="18"/>
                <w:szCs w:val="18"/>
              </w:rPr>
            </w:pPr>
            <w:r>
              <w:rPr>
                <w:rFonts w:asciiTheme="minorHAnsi" w:hAnsiTheme="minorHAnsi" w:cstheme="minorHAnsi"/>
                <w:sz w:val="18"/>
                <w:szCs w:val="18"/>
              </w:rPr>
              <w:t>Not Recommended</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5E5233C9" w14:textId="77777777" w:rsidR="00295B54" w:rsidRPr="00295B54" w:rsidRDefault="00295B54" w:rsidP="00295B54">
            <w:pPr>
              <w:jc w:val="both"/>
              <w:rPr>
                <w:rFonts w:asciiTheme="minorHAnsi" w:hAnsiTheme="minorHAnsi" w:cstheme="minorHAnsi"/>
                <w:color w:val="000000"/>
                <w:sz w:val="18"/>
                <w:szCs w:val="18"/>
                <w:lang w:val="en-GB"/>
              </w:rPr>
            </w:pPr>
            <w:r w:rsidRPr="00295B54">
              <w:rPr>
                <w:rFonts w:asciiTheme="minorHAnsi" w:hAnsiTheme="minorHAnsi" w:cstheme="minorHAnsi"/>
                <w:color w:val="000000"/>
                <w:sz w:val="18"/>
                <w:szCs w:val="18"/>
                <w:lang w:val="en-GB"/>
              </w:rPr>
              <w:t>The PBAC did not recommend the listing of linzagolix for the treatment of symptomatic uterine fibroids. The PBAC noted that the final advice from the Therapeutic Goods Administration Delegate was pending. The PBAC noted that there were safety concerns regarding bone mineral density (BMD) loss, particularly at the higher 200 mg dose without add back hormonal therapy (ABT), and that in the short term, ABT did not fully ameliorate that risk. The PBAC also noted that long-term safety data with ongoing linzagolix treatment is currently limited. The PBAC considered the age of patients likely to be treated, the treatment duration, and the treatment aims were uncertain and considered that the place in therapy for linzagolix required further consideration with respect to reducing the risks associated with BMD loss and to targeting treatment to patients with the highest clinical need. The PBAC also noted there were substantial issues with the cost-effectiveness model and advised the economic model should capture the benefit and risks associated with likely use, particularly among younger patients. The PBAC considered the financial estimates were dependent on the population likely to be treated in Australian clinical practice and were therefore highly uncertain.</w:t>
            </w:r>
          </w:p>
          <w:p w14:paraId="47D069D0" w14:textId="77777777" w:rsidR="001E389C" w:rsidRPr="001033CF" w:rsidRDefault="001E389C" w:rsidP="001E389C">
            <w:pPr>
              <w:jc w:val="both"/>
              <w:rPr>
                <w:rFonts w:asciiTheme="minorHAnsi" w:hAnsiTheme="minorHAnsi" w:cstheme="minorHAnsi"/>
                <w:color w:val="000000"/>
                <w:sz w:val="18"/>
                <w:szCs w:val="18"/>
              </w:rPr>
            </w:pPr>
          </w:p>
          <w:p w14:paraId="217832B9" w14:textId="77777777" w:rsidR="001E389C" w:rsidRPr="001033CF" w:rsidRDefault="001E389C" w:rsidP="001E389C">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u w:val="single"/>
              </w:rPr>
              <w:t>Sponsor’s Comment:</w:t>
            </w:r>
          </w:p>
          <w:p w14:paraId="62C0E818" w14:textId="635C3B6A" w:rsidR="00CE32D8" w:rsidRPr="00F03408" w:rsidDel="008F66B5" w:rsidRDefault="00E405ED" w:rsidP="00A94408">
            <w:pPr>
              <w:jc w:val="both"/>
              <w:rPr>
                <w:rFonts w:asciiTheme="minorHAnsi" w:hAnsiTheme="minorHAnsi" w:cstheme="minorHAnsi"/>
                <w:sz w:val="18"/>
                <w:szCs w:val="18"/>
              </w:rPr>
            </w:pPr>
            <w:r w:rsidRPr="00E405ED">
              <w:rPr>
                <w:rFonts w:asciiTheme="minorHAnsi" w:hAnsiTheme="minorHAnsi" w:cstheme="minorHAnsi"/>
                <w:sz w:val="18"/>
                <w:szCs w:val="18"/>
              </w:rPr>
              <w:t xml:space="preserve">The sponsor, Theramex is disappointed with the outcome but will work with the PBAC to address the concerns raised and aim to have </w:t>
            </w:r>
            <w:r w:rsidR="00270E18">
              <w:rPr>
                <w:rFonts w:asciiTheme="minorHAnsi" w:hAnsiTheme="minorHAnsi" w:cstheme="minorHAnsi"/>
                <w:sz w:val="18"/>
                <w:szCs w:val="18"/>
              </w:rPr>
              <w:t>linzagolix</w:t>
            </w:r>
            <w:r w:rsidRPr="00E405ED">
              <w:rPr>
                <w:rFonts w:asciiTheme="minorHAnsi" w:hAnsiTheme="minorHAnsi" w:cstheme="minorHAnsi"/>
                <w:sz w:val="18"/>
                <w:szCs w:val="18"/>
              </w:rPr>
              <w:t xml:space="preserve"> available for women at the earliest opportunity</w:t>
            </w:r>
            <w:r w:rsidR="00B321D4">
              <w:rPr>
                <w:rFonts w:asciiTheme="minorHAnsi" w:hAnsiTheme="minorHAnsi" w:cstheme="minorHAnsi"/>
                <w:sz w:val="18"/>
                <w:szCs w:val="18"/>
              </w:rPr>
              <w:t>.</w:t>
            </w:r>
          </w:p>
        </w:tc>
      </w:tr>
      <w:tr w:rsidR="004D59A5" w:rsidRPr="008059F4" w:rsidDel="008F66B5" w14:paraId="630CF50E" w14:textId="1FF3004C" w:rsidTr="75B0C150">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E5D3934" w14:textId="77777777" w:rsidR="00680C81"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lastRenderedPageBreak/>
              <w:t>METHOTREXATE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Tablet 2.5 mg (as sodium)</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Tablet 10 mg (as sodium)</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proofErr w:type="spellStart"/>
            <w:r w:rsidRPr="00F03408">
              <w:rPr>
                <w:rFonts w:asciiTheme="minorHAnsi" w:eastAsia="Arial" w:hAnsiTheme="minorHAnsi" w:cstheme="minorHAnsi"/>
                <w:color w:val="000000" w:themeColor="text1"/>
                <w:sz w:val="18"/>
                <w:szCs w:val="18"/>
              </w:rPr>
              <w:t>Methoblastin</w:t>
            </w:r>
            <w:proofErr w:type="spellEnd"/>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PFIZER AUSTRALIA PTY LTD</w:t>
            </w:r>
            <w:r w:rsidRPr="00F03408">
              <w:rPr>
                <w:rFonts w:asciiTheme="minorHAnsi" w:hAnsiTheme="minorHAnsi" w:cstheme="minorHAnsi"/>
                <w:sz w:val="18"/>
                <w:szCs w:val="18"/>
              </w:rPr>
              <w:br/>
            </w:r>
          </w:p>
          <w:p w14:paraId="61B9BE2E" w14:textId="62003D16" w:rsidR="3BB13E8F" w:rsidRPr="00F03408" w:rsidRDefault="00680C81" w:rsidP="00A94408">
            <w:pPr>
              <w:jc w:val="center"/>
              <w:rPr>
                <w:rFonts w:asciiTheme="minorHAnsi" w:hAnsiTheme="minorHAnsi" w:cstheme="minorHAnsi"/>
                <w:sz w:val="18"/>
                <w:szCs w:val="18"/>
              </w:rPr>
            </w:pPr>
            <w:r>
              <w:rPr>
                <w:rFonts w:asciiTheme="minorHAnsi" w:hAnsiTheme="minorHAnsi" w:cstheme="minorHAnsi"/>
                <w:sz w:val="18"/>
                <w:szCs w:val="18"/>
              </w:rPr>
              <w:t>Category 4</w:t>
            </w:r>
            <w:r w:rsidR="3BB13E8F" w:rsidRPr="00F03408">
              <w:rPr>
                <w:rFonts w:asciiTheme="minorHAnsi" w:eastAsia="Arial" w:hAnsiTheme="minorHAnsi" w:cstheme="minorHAnsi"/>
                <w:color w:val="000000" w:themeColor="text1"/>
                <w:sz w:val="18"/>
                <w:szCs w:val="18"/>
              </w:rPr>
              <w:t xml:space="preserve"> </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6FC4B365" w14:textId="1CA19989"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Chemotherapy and inflammatory conditions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592FBBA" w14:textId="4CA2F8A2" w:rsidR="3BB13E8F" w:rsidRPr="00F03408" w:rsidRDefault="00E040AB" w:rsidP="75B0C150">
            <w:pPr>
              <w:jc w:val="center"/>
              <w:rPr>
                <w:rFonts w:asciiTheme="minorHAnsi" w:hAnsiTheme="minorHAnsi" w:cstheme="minorBidi"/>
                <w:sz w:val="18"/>
                <w:szCs w:val="18"/>
              </w:rPr>
            </w:pPr>
            <w:r>
              <w:rPr>
                <w:rFonts w:asciiTheme="minorHAnsi" w:eastAsia="Arial" w:hAnsiTheme="minorHAnsi" w:cstheme="minorBidi"/>
                <w:color w:val="000000" w:themeColor="text1"/>
                <w:sz w:val="18"/>
                <w:szCs w:val="18"/>
              </w:rPr>
              <w:t>T</w:t>
            </w:r>
            <w:r w:rsidR="3BB13E8F" w:rsidRPr="75B0C150">
              <w:rPr>
                <w:rFonts w:asciiTheme="minorHAnsi" w:eastAsia="Arial" w:hAnsiTheme="minorHAnsi" w:cstheme="minorBidi"/>
                <w:color w:val="000000" w:themeColor="text1"/>
                <w:sz w:val="18"/>
                <w:szCs w:val="18"/>
              </w:rPr>
              <w:t>o request a General Schedule unrestricted listing of new forms and to request listing of a new pack size.</w:t>
            </w:r>
          </w:p>
        </w:tc>
        <w:tc>
          <w:tcPr>
            <w:tcW w:w="1584" w:type="dxa"/>
            <w:shd w:val="clear" w:color="auto" w:fill="auto"/>
            <w:vAlign w:val="center"/>
          </w:tcPr>
          <w:p w14:paraId="71509397" w14:textId="29E439DD" w:rsidR="004D59A5" w:rsidRPr="00F03408" w:rsidDel="008F66B5" w:rsidRDefault="007209F2"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shd w:val="clear" w:color="auto" w:fill="auto"/>
            <w:vAlign w:val="center"/>
          </w:tcPr>
          <w:p w14:paraId="3B3B0A75" w14:textId="0C9AE601" w:rsidR="004D59A5" w:rsidRPr="000C1DF3" w:rsidDel="008F66B5" w:rsidRDefault="62E3A98D" w:rsidP="75B0C150">
            <w:pPr>
              <w:jc w:val="both"/>
              <w:rPr>
                <w:sz w:val="18"/>
                <w:szCs w:val="18"/>
              </w:rPr>
            </w:pPr>
            <w:r w:rsidRPr="00A633C2">
              <w:rPr>
                <w:rFonts w:ascii="Calibri" w:eastAsia="Calibri" w:hAnsi="Calibri" w:cs="Calibri"/>
                <w:sz w:val="18"/>
                <w:szCs w:val="18"/>
              </w:rPr>
              <w:t>The PBAC recommended a General Schedule Unrestricted Benefit listing of a new formulation of methotrexate, methotrexate (as sodium) 2.5 mg and 10 mg tablets (</w:t>
            </w:r>
            <w:proofErr w:type="spellStart"/>
            <w:r w:rsidRPr="00A633C2">
              <w:rPr>
                <w:rFonts w:ascii="Calibri" w:eastAsia="Calibri" w:hAnsi="Calibri" w:cs="Calibri"/>
                <w:sz w:val="18"/>
                <w:szCs w:val="18"/>
              </w:rPr>
              <w:t>Methoblastin</w:t>
            </w:r>
            <w:proofErr w:type="spellEnd"/>
            <w:r w:rsidRPr="00A633C2">
              <w:rPr>
                <w:rFonts w:ascii="Calibri" w:eastAsia="Calibri" w:hAnsi="Calibri" w:cs="Calibri"/>
                <w:sz w:val="18"/>
                <w:szCs w:val="18"/>
              </w:rPr>
              <w:t>®) (MTX (as sodium)) under the same circumstances as the PBS-listed methotrexate 2.5 mg and 10 mg tablets (</w:t>
            </w:r>
            <w:proofErr w:type="spellStart"/>
            <w:r w:rsidRPr="00A633C2">
              <w:rPr>
                <w:rFonts w:ascii="Calibri" w:eastAsia="Calibri" w:hAnsi="Calibri" w:cs="Calibri"/>
                <w:sz w:val="18"/>
                <w:szCs w:val="18"/>
              </w:rPr>
              <w:t>Methoblastin</w:t>
            </w:r>
            <w:proofErr w:type="spellEnd"/>
            <w:r w:rsidRPr="00A633C2">
              <w:rPr>
                <w:rFonts w:ascii="Calibri" w:eastAsia="Calibri" w:hAnsi="Calibri" w:cs="Calibri"/>
                <w:sz w:val="18"/>
                <w:szCs w:val="18"/>
              </w:rPr>
              <w:t>®) (MTX). The PBAC also recommended a new maximum quantity of 10 units and 5 repeats for the listing of MTX (as sodium) 10 mg 10-unit pack. The PBAC advised that the same pack size of MTX (as sodium) and other MTX listings should be treated as equivalent for the purposes of substitution (i.e., ‘a’ flagged in the Schedule).</w:t>
            </w:r>
          </w:p>
        </w:tc>
      </w:tr>
      <w:tr w:rsidR="004D59A5" w:rsidRPr="008059F4" w:rsidDel="008F66B5" w14:paraId="13225EF2" w14:textId="399D688C" w:rsidTr="75B0C150">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A05B8EC" w14:textId="77777777" w:rsidR="00680C81"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t>MILK POWDER -SYNTHETIC</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Low calcium oral powder 400 g (</w:t>
            </w:r>
            <w:proofErr w:type="spellStart"/>
            <w:r w:rsidRPr="00F03408">
              <w:rPr>
                <w:rFonts w:asciiTheme="minorHAnsi" w:eastAsia="Arial" w:hAnsiTheme="minorHAnsi" w:cstheme="minorHAnsi"/>
                <w:color w:val="000000" w:themeColor="text1"/>
                <w:sz w:val="18"/>
                <w:szCs w:val="18"/>
              </w:rPr>
              <w:t>Locasol</w:t>
            </w:r>
            <w:proofErr w:type="spellEnd"/>
            <w:r w:rsidRPr="00F03408">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proofErr w:type="spellStart"/>
            <w:r w:rsidRPr="00F03408">
              <w:rPr>
                <w:rFonts w:asciiTheme="minorHAnsi" w:eastAsia="Arial" w:hAnsiTheme="minorHAnsi" w:cstheme="minorHAnsi"/>
                <w:color w:val="000000" w:themeColor="text1"/>
                <w:sz w:val="18"/>
                <w:szCs w:val="18"/>
              </w:rPr>
              <w:t>Locasol</w:t>
            </w:r>
            <w:proofErr w:type="spellEnd"/>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NUTRICIA AUSTRALIA PTY LIMITED</w:t>
            </w:r>
            <w:r w:rsidRPr="00F03408">
              <w:rPr>
                <w:rFonts w:asciiTheme="minorHAnsi" w:hAnsiTheme="minorHAnsi" w:cstheme="minorHAnsi"/>
                <w:sz w:val="18"/>
                <w:szCs w:val="18"/>
              </w:rPr>
              <w:br/>
            </w:r>
          </w:p>
          <w:p w14:paraId="52B2EFEF" w14:textId="180D3FA9" w:rsidR="3BB13E8F" w:rsidRPr="00F03408" w:rsidRDefault="00680C81" w:rsidP="00A94408">
            <w:pPr>
              <w:jc w:val="center"/>
              <w:rPr>
                <w:rFonts w:asciiTheme="minorHAnsi" w:hAnsiTheme="minorHAnsi" w:cstheme="minorHAnsi"/>
                <w:sz w:val="18"/>
                <w:szCs w:val="18"/>
              </w:rPr>
            </w:pPr>
            <w:r>
              <w:rPr>
                <w:rFonts w:asciiTheme="minorHAnsi" w:eastAsia="Arial" w:hAnsiTheme="minorHAnsi" w:cstheme="minorHAnsi"/>
                <w:color w:val="000000" w:themeColor="text1"/>
                <w:sz w:val="18"/>
                <w:szCs w:val="18"/>
              </w:rPr>
              <w:t xml:space="preserve">Committee </w:t>
            </w:r>
            <w:r w:rsidR="0059665C">
              <w:rPr>
                <w:rFonts w:asciiTheme="minorHAnsi" w:eastAsia="Arial" w:hAnsiTheme="minorHAnsi" w:cstheme="minorHAnsi"/>
                <w:color w:val="000000" w:themeColor="text1"/>
                <w:sz w:val="18"/>
                <w:szCs w:val="18"/>
              </w:rPr>
              <w:t>s</w:t>
            </w:r>
            <w:r>
              <w:rPr>
                <w:rFonts w:asciiTheme="minorHAnsi" w:eastAsia="Arial" w:hAnsiTheme="minorHAnsi" w:cstheme="minorHAnsi"/>
                <w:color w:val="000000" w:themeColor="text1"/>
                <w:sz w:val="18"/>
                <w:szCs w:val="18"/>
              </w:rPr>
              <w:t>ecretariat</w:t>
            </w:r>
            <w:r w:rsidR="3BB13E8F" w:rsidRPr="00F03408">
              <w:rPr>
                <w:rFonts w:asciiTheme="minorHAnsi" w:eastAsia="Arial" w:hAnsiTheme="minorHAnsi" w:cstheme="minorHAnsi"/>
                <w:color w:val="000000" w:themeColor="text1"/>
                <w:sz w:val="18"/>
                <w:szCs w:val="18"/>
              </w:rPr>
              <w:t xml:space="preserve"> </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08DE0F92" w14:textId="722F30B5" w:rsidR="3BB13E8F" w:rsidRPr="00F03408" w:rsidRDefault="3BB13E8F" w:rsidP="00A94408">
            <w:pPr>
              <w:jc w:val="center"/>
              <w:rPr>
                <w:rFonts w:asciiTheme="minorHAnsi" w:hAnsiTheme="minorHAnsi" w:cstheme="minorHAnsi"/>
                <w:sz w:val="18"/>
                <w:szCs w:val="18"/>
              </w:rPr>
            </w:pPr>
            <w:proofErr w:type="spellStart"/>
            <w:r w:rsidRPr="00F03408">
              <w:rPr>
                <w:rFonts w:asciiTheme="minorHAnsi" w:eastAsia="Arial" w:hAnsiTheme="minorHAnsi" w:cstheme="minorHAnsi"/>
                <w:color w:val="000000" w:themeColor="text1"/>
                <w:sz w:val="18"/>
                <w:szCs w:val="18"/>
              </w:rPr>
              <w:t>Hypercalaemia</w:t>
            </w:r>
            <w:proofErr w:type="spellEnd"/>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67762D0" w14:textId="7F27B392"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 xml:space="preserve">To request </w:t>
            </w:r>
            <w:proofErr w:type="spellStart"/>
            <w:r w:rsidRPr="00F03408">
              <w:rPr>
                <w:rFonts w:asciiTheme="minorHAnsi" w:eastAsia="Arial" w:hAnsiTheme="minorHAnsi" w:cstheme="minorHAnsi"/>
                <w:color w:val="000000" w:themeColor="text1"/>
                <w:sz w:val="18"/>
                <w:szCs w:val="18"/>
              </w:rPr>
              <w:t>Locasol</w:t>
            </w:r>
            <w:proofErr w:type="spellEnd"/>
            <w:r w:rsidRPr="00F03408">
              <w:rPr>
                <w:rFonts w:asciiTheme="minorHAnsi" w:eastAsia="Arial" w:hAnsiTheme="minorHAnsi" w:cstheme="minorHAnsi"/>
                <w:color w:val="000000" w:themeColor="text1"/>
                <w:sz w:val="18"/>
                <w:szCs w:val="18"/>
              </w:rPr>
              <w:t xml:space="preserve"> with new formulation continue to be listed on the PBS under the existing conditions.</w:t>
            </w:r>
          </w:p>
        </w:tc>
        <w:tc>
          <w:tcPr>
            <w:tcW w:w="1584" w:type="dxa"/>
            <w:shd w:val="clear" w:color="auto" w:fill="auto"/>
            <w:vAlign w:val="center"/>
          </w:tcPr>
          <w:p w14:paraId="0F53DED0" w14:textId="06C2F04F" w:rsidR="004D59A5" w:rsidRPr="00F03408" w:rsidDel="008F66B5" w:rsidRDefault="007209F2"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shd w:val="clear" w:color="auto" w:fill="auto"/>
            <w:vAlign w:val="center"/>
          </w:tcPr>
          <w:p w14:paraId="1F9786FD" w14:textId="55AC1233" w:rsidR="004D59A5" w:rsidRPr="00F03408" w:rsidDel="008F66B5" w:rsidRDefault="0054544C" w:rsidP="00A94408">
            <w:pPr>
              <w:jc w:val="both"/>
              <w:rPr>
                <w:rFonts w:asciiTheme="minorHAnsi" w:hAnsiTheme="minorHAnsi" w:cstheme="minorHAnsi"/>
                <w:color w:val="000000"/>
                <w:sz w:val="18"/>
                <w:szCs w:val="18"/>
              </w:rPr>
            </w:pPr>
            <w:r w:rsidRPr="0054544C">
              <w:rPr>
                <w:rFonts w:asciiTheme="minorHAnsi" w:hAnsiTheme="minorHAnsi" w:cstheme="minorHAnsi"/>
                <w:color w:val="000000"/>
                <w:sz w:val="18"/>
                <w:szCs w:val="18"/>
              </w:rPr>
              <w:t>The PBAC recommended the new formulation of milk powder synthetic low calcium oral powder 400 g (</w:t>
            </w:r>
            <w:proofErr w:type="spellStart"/>
            <w:r w:rsidRPr="0054544C">
              <w:rPr>
                <w:rFonts w:asciiTheme="minorHAnsi" w:hAnsiTheme="minorHAnsi" w:cstheme="minorHAnsi"/>
                <w:color w:val="000000"/>
                <w:sz w:val="18"/>
                <w:szCs w:val="18"/>
              </w:rPr>
              <w:t>Locasol</w:t>
            </w:r>
            <w:proofErr w:type="spellEnd"/>
            <w:r w:rsidRPr="0054544C">
              <w:rPr>
                <w:rFonts w:asciiTheme="minorHAnsi" w:hAnsiTheme="minorHAnsi" w:cstheme="minorHAnsi"/>
                <w:color w:val="000000"/>
                <w:sz w:val="18"/>
                <w:szCs w:val="18"/>
              </w:rPr>
              <w:t xml:space="preserve">®) continue to be listed on the PBS under the existing conditions as the current formulation. The PBAC noted the new formulation is expected to provide non-inferior clinical benefit and safety compared to the current formulation for the dietary management of hypercalcaemia. </w:t>
            </w:r>
          </w:p>
        </w:tc>
      </w:tr>
      <w:tr w:rsidR="004D59A5" w:rsidRPr="008059F4" w:rsidDel="008F66B5" w14:paraId="45A0C826" w14:textId="092D4EE0" w:rsidTr="75B0C150">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9F22C6E" w14:textId="783DABC5"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lastRenderedPageBreak/>
              <w:t>MORPHINE</w:t>
            </w:r>
          </w:p>
          <w:p w14:paraId="3D105C4C" w14:textId="3CFD1552"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 xml:space="preserve"> </w:t>
            </w:r>
          </w:p>
          <w:p w14:paraId="44815E8E" w14:textId="49C7425A"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Tablet containing morphine sulfate pentahydrate 30 mg</w:t>
            </w:r>
          </w:p>
          <w:p w14:paraId="7EA139DC" w14:textId="4CDF5A0C"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 xml:space="preserve"> </w:t>
            </w:r>
          </w:p>
          <w:p w14:paraId="22B440F8" w14:textId="554C3B2F"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Anamorph</w:t>
            </w:r>
            <w:r w:rsidRPr="00EB2952">
              <w:rPr>
                <w:rFonts w:asciiTheme="minorHAnsi" w:eastAsia="Arial" w:hAnsiTheme="minorHAnsi" w:cstheme="minorHAnsi"/>
                <w:color w:val="000000" w:themeColor="text1"/>
                <w:sz w:val="18"/>
                <w:szCs w:val="18"/>
              </w:rPr>
              <w:t>®</w:t>
            </w:r>
          </w:p>
          <w:p w14:paraId="3C16DDA6" w14:textId="1D3162A0"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 xml:space="preserve"> </w:t>
            </w:r>
          </w:p>
          <w:p w14:paraId="5F66661D" w14:textId="2E96110C"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ARROW PHARMA PTY LTD</w:t>
            </w:r>
          </w:p>
          <w:p w14:paraId="37493645" w14:textId="52AAF363" w:rsidR="3BB13E8F" w:rsidRDefault="3BB13E8F" w:rsidP="00A94408">
            <w:pPr>
              <w:jc w:val="center"/>
              <w:rPr>
                <w:rFonts w:asciiTheme="minorHAnsi" w:eastAsia="Arial" w:hAnsiTheme="minorHAnsi" w:cstheme="minorHAnsi"/>
                <w:color w:val="000000" w:themeColor="text1"/>
                <w:sz w:val="18"/>
                <w:szCs w:val="18"/>
              </w:rPr>
            </w:pPr>
          </w:p>
          <w:p w14:paraId="799C3093" w14:textId="2A27C485" w:rsidR="0095008E" w:rsidRPr="0095008E" w:rsidRDefault="0095008E" w:rsidP="00A94408">
            <w:pPr>
              <w:jc w:val="center"/>
              <w:rPr>
                <w:rFonts w:asciiTheme="minorHAnsi" w:hAnsiTheme="minorHAnsi" w:cstheme="minorHAnsi"/>
                <w:b/>
                <w:bCs/>
                <w:sz w:val="18"/>
                <w:szCs w:val="18"/>
              </w:rPr>
            </w:pPr>
            <w:r>
              <w:rPr>
                <w:rFonts w:asciiTheme="minorHAnsi" w:hAnsiTheme="minorHAnsi" w:cstheme="minorHAnsi"/>
                <w:sz w:val="18"/>
                <w:szCs w:val="18"/>
              </w:rPr>
              <w:t>Category 2</w:t>
            </w:r>
          </w:p>
          <w:p w14:paraId="753BDDE9" w14:textId="3A09BBE3"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6BA03794" w14:textId="113922C7"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Severe pain, cancer pain, severe disabling pain</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5B78D57" w14:textId="6B7F6995"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To request a General Schedule Restricted Benefit listing for the treatment of severe pain and cancer pain, and a Palliative Care Schedule Authority Required (Telephone/Online) listing for the treatment of severe disabling pain.</w:t>
            </w:r>
          </w:p>
        </w:tc>
        <w:tc>
          <w:tcPr>
            <w:tcW w:w="1584" w:type="dxa"/>
            <w:shd w:val="clear" w:color="auto" w:fill="auto"/>
            <w:vAlign w:val="center"/>
          </w:tcPr>
          <w:p w14:paraId="20C817C1" w14:textId="501FA0C7" w:rsidR="004D59A5" w:rsidRPr="00F03408" w:rsidDel="008F66B5" w:rsidRDefault="0095008E"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shd w:val="clear" w:color="auto" w:fill="auto"/>
            <w:vAlign w:val="center"/>
          </w:tcPr>
          <w:p w14:paraId="3743F87E" w14:textId="307D76A1" w:rsidR="004D59A5" w:rsidRPr="00F03408" w:rsidDel="008F66B5" w:rsidRDefault="00027845" w:rsidP="00A94408">
            <w:pPr>
              <w:jc w:val="both"/>
              <w:rPr>
                <w:rFonts w:asciiTheme="minorHAnsi" w:hAnsiTheme="minorHAnsi" w:cstheme="minorHAnsi"/>
                <w:color w:val="000000"/>
                <w:sz w:val="18"/>
                <w:szCs w:val="18"/>
              </w:rPr>
            </w:pPr>
            <w:r w:rsidRPr="00027845">
              <w:rPr>
                <w:rFonts w:asciiTheme="minorHAnsi" w:hAnsiTheme="minorHAnsi" w:cstheme="minorHAnsi"/>
                <w:color w:val="000000"/>
                <w:sz w:val="18"/>
                <w:szCs w:val="18"/>
                <w:lang w:val="en-GB"/>
              </w:rPr>
              <w:t xml:space="preserve">The PBAC recommended </w:t>
            </w:r>
            <w:r w:rsidRPr="00027845">
              <w:rPr>
                <w:rFonts w:asciiTheme="minorHAnsi" w:hAnsiTheme="minorHAnsi" w:cstheme="minorHAnsi"/>
                <w:color w:val="000000"/>
                <w:sz w:val="18"/>
                <w:szCs w:val="18"/>
              </w:rPr>
              <w:t xml:space="preserve">the General Schedule Restricted Benefit listing of morphine sulfate pentahydrate tablet 30 mg (Anamorph®) for the treatment of severe pain and cancer pain, and a Palliative Care Authority Required (Telephone/Online) listing for the treatment of severe disabling pain. </w:t>
            </w:r>
            <w:r w:rsidRPr="00027845">
              <w:rPr>
                <w:rFonts w:asciiTheme="minorHAnsi" w:hAnsiTheme="minorHAnsi" w:cstheme="minorHAnsi"/>
                <w:bCs/>
                <w:color w:val="000000"/>
                <w:sz w:val="18"/>
                <w:szCs w:val="18"/>
                <w:lang w:val="en-GB"/>
              </w:rPr>
              <w:t xml:space="preserve">The PBAC noted the unmet clinical need caused by recent discontinuations </w:t>
            </w:r>
            <w:r w:rsidRPr="00027845">
              <w:rPr>
                <w:rFonts w:asciiTheme="minorHAnsi" w:hAnsiTheme="minorHAnsi" w:cstheme="minorHAnsi"/>
                <w:color w:val="000000"/>
                <w:sz w:val="18"/>
                <w:szCs w:val="18"/>
              </w:rPr>
              <w:t xml:space="preserve">and that Anamorph remains the only solid oral immediate release form of morphine registered on the Australia Register of Therapeutic Goods. </w:t>
            </w:r>
          </w:p>
        </w:tc>
      </w:tr>
      <w:tr w:rsidR="007807EA" w:rsidRPr="008059F4" w:rsidDel="008F66B5" w14:paraId="22F54673" w14:textId="68264969" w:rsidTr="00D003E5">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3C3DB27" w14:textId="77777777" w:rsidR="00A77464"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t xml:space="preserve">NIRSEVIMAB </w:t>
            </w:r>
            <w:r w:rsidRPr="00F03408">
              <w:rPr>
                <w:rFonts w:asciiTheme="minorHAnsi" w:hAnsiTheme="minorHAnsi" w:cstheme="minorHAnsi"/>
                <w:sz w:val="18"/>
                <w:szCs w:val="18"/>
              </w:rPr>
              <w:br/>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Solution for injection 50 mg in 0.5 mL pre</w:t>
            </w:r>
            <w:r w:rsidRPr="00F03408">
              <w:rPr>
                <w:rFonts w:ascii="Cambria Math" w:eastAsia="Arial" w:hAnsi="Cambria Math" w:cs="Cambria Math"/>
                <w:color w:val="000000" w:themeColor="text1"/>
                <w:sz w:val="18"/>
                <w:szCs w:val="18"/>
              </w:rPr>
              <w:t>‑</w:t>
            </w:r>
            <w:r w:rsidRPr="00F03408">
              <w:rPr>
                <w:rFonts w:asciiTheme="minorHAnsi" w:eastAsia="Arial" w:hAnsiTheme="minorHAnsi" w:cstheme="minorHAnsi"/>
                <w:color w:val="000000" w:themeColor="text1"/>
                <w:sz w:val="18"/>
                <w:szCs w:val="18"/>
              </w:rPr>
              <w:t>filled syringe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Solution for injection 100 mg in 1 mL pre</w:t>
            </w:r>
            <w:r w:rsidRPr="00F03408">
              <w:rPr>
                <w:rFonts w:ascii="Cambria Math" w:eastAsia="Arial" w:hAnsi="Cambria Math" w:cs="Cambria Math"/>
                <w:color w:val="000000" w:themeColor="text1"/>
                <w:sz w:val="18"/>
                <w:szCs w:val="18"/>
              </w:rPr>
              <w:t>‑</w:t>
            </w:r>
            <w:r w:rsidRPr="00F03408">
              <w:rPr>
                <w:rFonts w:asciiTheme="minorHAnsi" w:eastAsia="Arial" w:hAnsiTheme="minorHAnsi" w:cstheme="minorHAnsi"/>
                <w:color w:val="000000" w:themeColor="text1"/>
                <w:sz w:val="18"/>
                <w:szCs w:val="18"/>
              </w:rPr>
              <w:t>filled syringe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Beyfortus</w:t>
            </w:r>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SANOFI-AVENTIS AUSTRALIA PTY LTD</w:t>
            </w:r>
            <w:r w:rsidRPr="00F03408">
              <w:rPr>
                <w:rFonts w:asciiTheme="minorHAnsi" w:hAnsiTheme="minorHAnsi" w:cstheme="minorHAnsi"/>
                <w:sz w:val="18"/>
                <w:szCs w:val="18"/>
              </w:rPr>
              <w:br/>
            </w:r>
          </w:p>
          <w:p w14:paraId="06EE2365" w14:textId="5AD08EDA" w:rsidR="3BB13E8F" w:rsidRPr="00F03408" w:rsidRDefault="00A77464" w:rsidP="00A94408">
            <w:pPr>
              <w:jc w:val="center"/>
              <w:rPr>
                <w:rFonts w:asciiTheme="minorHAnsi" w:hAnsiTheme="minorHAnsi" w:cstheme="minorHAnsi"/>
                <w:sz w:val="18"/>
                <w:szCs w:val="18"/>
              </w:rPr>
            </w:pPr>
            <w:r>
              <w:rPr>
                <w:rFonts w:asciiTheme="minorHAnsi" w:hAnsiTheme="minorHAnsi" w:cstheme="minorHAnsi"/>
                <w:sz w:val="18"/>
                <w:szCs w:val="18"/>
              </w:rPr>
              <w:t>Category 1</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299E0385" w14:textId="38AD6DA4"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Prevention of lower respiratory tract disease caused by respiratory syncytial virus (RSV)</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B8F7ACD" w14:textId="4CED6F3B" w:rsidR="3BB13E8F" w:rsidRPr="00F03408" w:rsidRDefault="3BB13E8F" w:rsidP="00A94408">
            <w:pPr>
              <w:jc w:val="center"/>
              <w:rPr>
                <w:rFonts w:asciiTheme="minorHAnsi" w:hAnsiTheme="minorHAnsi" w:cstheme="minorBidi"/>
                <w:sz w:val="18"/>
                <w:szCs w:val="18"/>
              </w:rPr>
            </w:pPr>
            <w:r w:rsidRPr="56B992B3">
              <w:rPr>
                <w:rFonts w:asciiTheme="minorHAnsi" w:eastAsia="Arial" w:hAnsiTheme="minorHAnsi" w:cstheme="minorBidi"/>
                <w:color w:val="000000" w:themeColor="text1"/>
                <w:sz w:val="18"/>
                <w:szCs w:val="18"/>
              </w:rPr>
              <w:t xml:space="preserve">To request a General Schedule Restricted Benefit listing for prevention of RSV lower respiratory tract disease </w:t>
            </w:r>
            <w:r w:rsidR="00065584" w:rsidRPr="56B992B3">
              <w:rPr>
                <w:rFonts w:asciiTheme="minorHAnsi" w:eastAsia="Arial" w:hAnsiTheme="minorHAnsi" w:cstheme="minorBidi"/>
                <w:color w:val="000000" w:themeColor="text1"/>
                <w:sz w:val="18"/>
                <w:szCs w:val="18"/>
              </w:rPr>
              <w:t xml:space="preserve">(LRTD) </w:t>
            </w:r>
            <w:r w:rsidRPr="56B992B3">
              <w:rPr>
                <w:rFonts w:asciiTheme="minorHAnsi" w:eastAsia="Arial" w:hAnsiTheme="minorHAnsi" w:cstheme="minorBidi"/>
                <w:color w:val="000000" w:themeColor="text1"/>
                <w:sz w:val="18"/>
                <w:szCs w:val="18"/>
              </w:rPr>
              <w:t>in neonates and infants born during or entering their first RSV season; and children up to 24 months of age who remain vulnerable to severe RSV disease through their second RSV season.</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F6CAB98" w14:textId="1E587CF3" w:rsidR="004D59A5" w:rsidRPr="00F03408" w:rsidDel="008F66B5" w:rsidRDefault="00A77464"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 Recommended</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1332FC01" w14:textId="1586C95F" w:rsidR="0030194F" w:rsidRPr="0030194F" w:rsidRDefault="0030194F" w:rsidP="0030194F">
            <w:pPr>
              <w:jc w:val="both"/>
              <w:rPr>
                <w:rFonts w:asciiTheme="minorHAnsi" w:hAnsiTheme="minorHAnsi" w:cstheme="minorBidi"/>
                <w:color w:val="000000"/>
                <w:sz w:val="18"/>
                <w:szCs w:val="18"/>
              </w:rPr>
            </w:pPr>
            <w:r w:rsidRPr="56B992B3">
              <w:rPr>
                <w:rFonts w:asciiTheme="minorHAnsi" w:hAnsiTheme="minorHAnsi" w:cstheme="minorBidi"/>
                <w:color w:val="000000" w:themeColor="text1"/>
                <w:sz w:val="18"/>
                <w:szCs w:val="18"/>
              </w:rPr>
              <w:t>The PBAC did not recommend the General Schedule Restricted Benefit PBS listing of nirsevimab for the prevention of RSV LRTD in neonates and infants born during or entering their first RSV season; and children up to 24 months of age who remain vulnerable to severe RSV disease through their second RSV season. The PBAC considered that nirsevimab was superior in terms of effectiveness compared to no immunisation, with an acceptable safety profile in the first RSV season. However, the PBAC considered the incremental cost-effectiveness ratio for nirsevimab for the first RSV season to be substantially underestimated and highly uncertain. The PBAC did not accept palivizumab as the main comparator for the second season, and noted there was limited clinical evidence to support the proposed listing of nirsevimab in the second season.</w:t>
            </w:r>
          </w:p>
          <w:p w14:paraId="66ADC332" w14:textId="77777777" w:rsidR="001E389C" w:rsidRPr="001033CF" w:rsidRDefault="001E389C" w:rsidP="001E389C">
            <w:pPr>
              <w:jc w:val="both"/>
              <w:rPr>
                <w:rFonts w:asciiTheme="minorHAnsi" w:hAnsiTheme="minorHAnsi" w:cstheme="minorHAnsi"/>
                <w:color w:val="000000"/>
                <w:sz w:val="18"/>
                <w:szCs w:val="18"/>
              </w:rPr>
            </w:pPr>
          </w:p>
          <w:p w14:paraId="33263C7E" w14:textId="77777777" w:rsidR="001E389C" w:rsidRPr="001033CF" w:rsidRDefault="001E389C" w:rsidP="001E389C">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u w:val="single"/>
              </w:rPr>
              <w:t>Sponsor’s Comment:</w:t>
            </w:r>
          </w:p>
          <w:p w14:paraId="06FFEB5F" w14:textId="646032D6" w:rsidR="004D59A5" w:rsidRPr="00F03408" w:rsidDel="008F66B5" w:rsidRDefault="00F4343F" w:rsidP="00A94408">
            <w:pPr>
              <w:jc w:val="both"/>
              <w:rPr>
                <w:rFonts w:asciiTheme="minorHAnsi" w:hAnsiTheme="minorHAnsi" w:cstheme="minorHAnsi"/>
                <w:color w:val="000000"/>
                <w:sz w:val="18"/>
                <w:szCs w:val="18"/>
              </w:rPr>
            </w:pPr>
            <w:r w:rsidRPr="00F4343F">
              <w:rPr>
                <w:rFonts w:asciiTheme="minorHAnsi" w:hAnsiTheme="minorHAnsi" w:cstheme="minorHAnsi"/>
                <w:color w:val="000000"/>
                <w:sz w:val="18"/>
                <w:szCs w:val="18"/>
              </w:rPr>
              <w:t>Sanofi is disappointed with the outcome. Sanofi welcomes the Committee’s recognition of the effectiveness and safety of nirsevimab for RSV prevention compared to no vaccination. Sanofi remains committed to working with the PBAC to enable timely and equitable access of nirsevimab to protect all Australian infants from RSV.</w:t>
            </w:r>
          </w:p>
        </w:tc>
      </w:tr>
      <w:tr w:rsidR="007807EA" w:rsidRPr="008059F4" w:rsidDel="008F66B5" w14:paraId="4F8DF70B" w14:textId="24A45BCD" w:rsidTr="00D003E5">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F83CB82" w14:textId="16882BFD"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lastRenderedPageBreak/>
              <w:t xml:space="preserve">NIVOLUMAB </w:t>
            </w:r>
          </w:p>
          <w:p w14:paraId="4BDF2FC0" w14:textId="548B32E7"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 xml:space="preserve"> </w:t>
            </w:r>
          </w:p>
          <w:p w14:paraId="19F5AD42" w14:textId="68CB29D8"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Injection concentrate for I.V. infusion 40 mg in 4 mL</w:t>
            </w:r>
          </w:p>
          <w:p w14:paraId="489D95F3" w14:textId="35C62314"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Injection concentrate for I.V. infusion 100 mg in 10 mL</w:t>
            </w:r>
          </w:p>
          <w:p w14:paraId="491ED3C3" w14:textId="5661DC00"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 xml:space="preserve"> </w:t>
            </w:r>
          </w:p>
          <w:p w14:paraId="4E76F463" w14:textId="7086EE29"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Opdivo</w:t>
            </w:r>
            <w:r w:rsidRPr="00EB2952">
              <w:rPr>
                <w:rFonts w:asciiTheme="minorHAnsi" w:eastAsia="Arial" w:hAnsiTheme="minorHAnsi" w:cstheme="minorHAnsi"/>
                <w:color w:val="000000" w:themeColor="text1"/>
                <w:sz w:val="18"/>
                <w:szCs w:val="18"/>
              </w:rPr>
              <w:t>®</w:t>
            </w:r>
          </w:p>
          <w:p w14:paraId="71891C3A" w14:textId="4AA10797" w:rsidR="3BB13E8F" w:rsidRPr="00F03408" w:rsidRDefault="3BB13E8F" w:rsidP="00A94408">
            <w:pPr>
              <w:jc w:val="center"/>
              <w:rPr>
                <w:rFonts w:asciiTheme="minorHAnsi" w:hAnsiTheme="minorHAnsi" w:cstheme="minorHAnsi"/>
                <w:sz w:val="18"/>
                <w:szCs w:val="18"/>
              </w:rPr>
            </w:pPr>
          </w:p>
          <w:p w14:paraId="6234902B" w14:textId="000BC3FE"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IPILIMUMAB</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Injection concentrate for I.V. infusion 50 mg in 10 mL</w:t>
            </w:r>
          </w:p>
          <w:p w14:paraId="7F5D16F2" w14:textId="21DF6DBD" w:rsidR="3BB13E8F" w:rsidRPr="00F03408" w:rsidRDefault="3BB13E8F" w:rsidP="00A94408">
            <w:pPr>
              <w:jc w:val="center"/>
              <w:rPr>
                <w:rFonts w:asciiTheme="minorHAnsi" w:hAnsiTheme="minorHAnsi" w:cstheme="minorHAnsi"/>
                <w:sz w:val="18"/>
                <w:szCs w:val="18"/>
              </w:rPr>
            </w:pPr>
          </w:p>
          <w:p w14:paraId="561FA969" w14:textId="77777777" w:rsidR="00E63D56"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t>Yervoy</w:t>
            </w:r>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BRISTOL-MYERS SQUIBB AUSTRALIA PTY LTD</w:t>
            </w:r>
            <w:r w:rsidRPr="00F03408">
              <w:rPr>
                <w:rFonts w:asciiTheme="minorHAnsi" w:hAnsiTheme="minorHAnsi" w:cstheme="minorHAnsi"/>
                <w:sz w:val="18"/>
                <w:szCs w:val="18"/>
              </w:rPr>
              <w:br/>
            </w:r>
          </w:p>
          <w:p w14:paraId="375EFF63" w14:textId="6F43F1F3" w:rsidR="3BB13E8F" w:rsidRPr="00F03408" w:rsidRDefault="00E63D56" w:rsidP="00A94408">
            <w:pPr>
              <w:jc w:val="center"/>
              <w:rPr>
                <w:rFonts w:asciiTheme="minorHAnsi" w:hAnsiTheme="minorHAnsi" w:cstheme="minorHAnsi"/>
                <w:sz w:val="18"/>
                <w:szCs w:val="18"/>
              </w:rPr>
            </w:pPr>
            <w:r>
              <w:rPr>
                <w:rFonts w:asciiTheme="minorHAnsi" w:hAnsiTheme="minorHAnsi" w:cstheme="minorHAnsi"/>
                <w:sz w:val="18"/>
                <w:szCs w:val="18"/>
              </w:rPr>
              <w:t>Category 3</w:t>
            </w:r>
            <w:r w:rsidR="3BB13E8F" w:rsidRPr="00F03408">
              <w:rPr>
                <w:rFonts w:asciiTheme="minorHAnsi" w:eastAsia="Arial" w:hAnsiTheme="minorHAnsi" w:cstheme="minorHAnsi"/>
                <w:color w:val="000000" w:themeColor="text1"/>
                <w:sz w:val="18"/>
                <w:szCs w:val="18"/>
              </w:rPr>
              <w:t xml:space="preserve"> </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39DF5AA7" w14:textId="60CE7E43"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Unresectable malignant mesothelioma</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C9EAC66" w14:textId="6C9ADF53"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 xml:space="preserve">To request the PBAC consider the previously estimated utilisation for nivolumab and ipilimumab for the treatment of unresectable malignant mesothelioma. </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68A1004" w14:textId="388DE82A" w:rsidR="004D59A5" w:rsidRPr="00F03408" w:rsidDel="008F66B5" w:rsidRDefault="00E63D56"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 Recommended</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223A604B" w14:textId="0613FC98" w:rsidR="008F19D3" w:rsidRPr="008F19D3" w:rsidRDefault="008F19D3" w:rsidP="008F19D3">
            <w:pPr>
              <w:jc w:val="both"/>
              <w:rPr>
                <w:rFonts w:asciiTheme="minorHAnsi" w:hAnsiTheme="minorHAnsi" w:cstheme="minorBidi"/>
                <w:color w:val="000000"/>
                <w:sz w:val="18"/>
                <w:szCs w:val="18"/>
              </w:rPr>
            </w:pPr>
            <w:r w:rsidRPr="56B992B3">
              <w:rPr>
                <w:rFonts w:asciiTheme="minorHAnsi" w:hAnsiTheme="minorHAnsi" w:cstheme="minorBidi"/>
                <w:color w:val="000000" w:themeColor="text1"/>
                <w:sz w:val="18"/>
                <w:szCs w:val="18"/>
              </w:rPr>
              <w:t xml:space="preserve">The PBAC </w:t>
            </w:r>
            <w:r w:rsidR="0A4FC3FF" w:rsidRPr="56B992B3">
              <w:rPr>
                <w:rFonts w:asciiTheme="minorHAnsi" w:hAnsiTheme="minorHAnsi" w:cstheme="minorBidi"/>
                <w:color w:val="000000" w:themeColor="text1"/>
                <w:sz w:val="18"/>
                <w:szCs w:val="18"/>
              </w:rPr>
              <w:t>advised that</w:t>
            </w:r>
            <w:r w:rsidRPr="56B992B3" w:rsidDel="008F19D3">
              <w:rPr>
                <w:rFonts w:asciiTheme="minorHAnsi" w:hAnsiTheme="minorHAnsi" w:cstheme="minorBidi"/>
                <w:color w:val="000000" w:themeColor="text1"/>
                <w:sz w:val="18"/>
                <w:szCs w:val="18"/>
              </w:rPr>
              <w:t xml:space="preserve"> </w:t>
            </w:r>
            <w:r w:rsidR="5F21F596" w:rsidRPr="56B992B3">
              <w:rPr>
                <w:rFonts w:asciiTheme="minorHAnsi" w:hAnsiTheme="minorHAnsi" w:cstheme="minorBidi"/>
                <w:color w:val="000000" w:themeColor="text1"/>
                <w:sz w:val="18"/>
                <w:szCs w:val="18"/>
              </w:rPr>
              <w:t>no</w:t>
            </w:r>
            <w:r w:rsidRPr="56B992B3">
              <w:rPr>
                <w:rFonts w:asciiTheme="minorHAnsi" w:hAnsiTheme="minorHAnsi" w:cstheme="minorBidi"/>
                <w:color w:val="000000" w:themeColor="text1"/>
                <w:sz w:val="18"/>
                <w:szCs w:val="18"/>
              </w:rPr>
              <w:t xml:space="preserve"> amendments </w:t>
            </w:r>
            <w:r w:rsidR="47BFF314" w:rsidRPr="56B992B3">
              <w:rPr>
                <w:rFonts w:asciiTheme="minorHAnsi" w:hAnsiTheme="minorHAnsi" w:cstheme="minorBidi"/>
                <w:color w:val="000000" w:themeColor="text1"/>
                <w:sz w:val="18"/>
                <w:szCs w:val="18"/>
              </w:rPr>
              <w:t>be made</w:t>
            </w:r>
            <w:r w:rsidRPr="56B992B3">
              <w:rPr>
                <w:rFonts w:asciiTheme="minorHAnsi" w:hAnsiTheme="minorHAnsi" w:cstheme="minorBidi"/>
                <w:color w:val="000000" w:themeColor="text1"/>
                <w:sz w:val="18"/>
                <w:szCs w:val="18"/>
              </w:rPr>
              <w:t xml:space="preserve"> to</w:t>
            </w:r>
            <w:r w:rsidRPr="56B992B3">
              <w:rPr>
                <w:rFonts w:asciiTheme="minorHAnsi" w:hAnsiTheme="minorHAnsi" w:cstheme="minorBidi"/>
                <w:color w:val="000000" w:themeColor="text1"/>
                <w:sz w:val="18"/>
                <w:szCs w:val="18"/>
                <w:lang w:val="en-GB"/>
              </w:rPr>
              <w:t xml:space="preserve"> the current </w:t>
            </w:r>
            <w:r w:rsidR="0002655C" w:rsidRPr="56B992B3">
              <w:rPr>
                <w:rFonts w:asciiTheme="minorHAnsi" w:hAnsiTheme="minorHAnsi" w:cstheme="minorBidi"/>
                <w:color w:val="000000" w:themeColor="text1"/>
                <w:sz w:val="18"/>
                <w:szCs w:val="18"/>
                <w:lang w:val="en-GB"/>
              </w:rPr>
              <w:t>r</w:t>
            </w:r>
            <w:r w:rsidRPr="56B992B3">
              <w:rPr>
                <w:rFonts w:asciiTheme="minorHAnsi" w:hAnsiTheme="minorHAnsi" w:cstheme="minorBidi"/>
                <w:color w:val="000000" w:themeColor="text1"/>
                <w:sz w:val="18"/>
                <w:szCs w:val="18"/>
                <w:lang w:val="en-GB"/>
              </w:rPr>
              <w:t xml:space="preserve">isk </w:t>
            </w:r>
            <w:r w:rsidR="0002655C" w:rsidRPr="56B992B3">
              <w:rPr>
                <w:rFonts w:asciiTheme="minorHAnsi" w:hAnsiTheme="minorHAnsi" w:cstheme="minorBidi"/>
                <w:color w:val="000000" w:themeColor="text1"/>
                <w:sz w:val="18"/>
                <w:szCs w:val="18"/>
                <w:lang w:val="en-GB"/>
              </w:rPr>
              <w:t>s</w:t>
            </w:r>
            <w:r w:rsidRPr="56B992B3">
              <w:rPr>
                <w:rFonts w:asciiTheme="minorHAnsi" w:hAnsiTheme="minorHAnsi" w:cstheme="minorBidi"/>
                <w:color w:val="000000" w:themeColor="text1"/>
                <w:sz w:val="18"/>
                <w:szCs w:val="18"/>
                <w:lang w:val="en-GB"/>
              </w:rPr>
              <w:t xml:space="preserve">haring </w:t>
            </w:r>
            <w:r w:rsidR="0002655C" w:rsidRPr="56B992B3">
              <w:rPr>
                <w:rFonts w:asciiTheme="minorHAnsi" w:hAnsiTheme="minorHAnsi" w:cstheme="minorBidi"/>
                <w:color w:val="000000" w:themeColor="text1"/>
                <w:sz w:val="18"/>
                <w:szCs w:val="18"/>
                <w:lang w:val="en-GB"/>
              </w:rPr>
              <w:t>a</w:t>
            </w:r>
            <w:r w:rsidRPr="56B992B3">
              <w:rPr>
                <w:rFonts w:asciiTheme="minorHAnsi" w:hAnsiTheme="minorHAnsi" w:cstheme="minorBidi"/>
                <w:color w:val="000000" w:themeColor="text1"/>
                <w:sz w:val="18"/>
                <w:szCs w:val="18"/>
                <w:lang w:val="en-GB"/>
              </w:rPr>
              <w:t>rrangement (RSA)</w:t>
            </w:r>
            <w:r w:rsidRPr="56B992B3">
              <w:rPr>
                <w:rFonts w:asciiTheme="minorHAnsi" w:hAnsiTheme="minorHAnsi" w:cstheme="minorBidi"/>
                <w:color w:val="000000" w:themeColor="text1"/>
                <w:sz w:val="18"/>
                <w:szCs w:val="18"/>
              </w:rPr>
              <w:t xml:space="preserve"> for nivolumab (Opdivo®) and ipilimumab (Yervoy®) for unresectable malignant mesothelioma. The PBAC advised that the evidence provided did not sufficiently justify the requested changes, and considered that the current RSA is working as intended to manage the uncertainty around the original financial estimates.</w:t>
            </w:r>
          </w:p>
          <w:p w14:paraId="3224D5F3" w14:textId="77777777" w:rsidR="001E389C" w:rsidRPr="001033CF" w:rsidRDefault="001E389C" w:rsidP="001E389C">
            <w:pPr>
              <w:jc w:val="both"/>
              <w:rPr>
                <w:rFonts w:asciiTheme="minorHAnsi" w:hAnsiTheme="minorHAnsi" w:cstheme="minorHAnsi"/>
                <w:color w:val="000000"/>
                <w:sz w:val="18"/>
                <w:szCs w:val="18"/>
              </w:rPr>
            </w:pPr>
          </w:p>
          <w:p w14:paraId="4A308798" w14:textId="77777777" w:rsidR="001E389C" w:rsidRPr="001033CF" w:rsidRDefault="001E389C" w:rsidP="001E389C">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u w:val="single"/>
              </w:rPr>
              <w:t>Sponsor’s Comment:</w:t>
            </w:r>
          </w:p>
          <w:p w14:paraId="59954BE8" w14:textId="1053E32F" w:rsidR="004D59A5" w:rsidRPr="00F03408" w:rsidDel="008F66B5" w:rsidRDefault="002D79CA" w:rsidP="00A94408">
            <w:pPr>
              <w:jc w:val="both"/>
              <w:rPr>
                <w:rFonts w:asciiTheme="minorHAnsi" w:hAnsiTheme="minorHAnsi" w:cstheme="minorHAnsi"/>
                <w:color w:val="000000"/>
                <w:sz w:val="18"/>
                <w:szCs w:val="18"/>
              </w:rPr>
            </w:pPr>
            <w:r w:rsidRPr="002D79CA">
              <w:rPr>
                <w:rFonts w:asciiTheme="minorHAnsi" w:hAnsiTheme="minorHAnsi" w:cstheme="minorHAnsi"/>
                <w:color w:val="000000"/>
                <w:sz w:val="18"/>
                <w:szCs w:val="18"/>
              </w:rPr>
              <w:t>The sponsor had no comment.</w:t>
            </w:r>
          </w:p>
        </w:tc>
      </w:tr>
      <w:tr w:rsidR="007807EA" w:rsidRPr="008059F4" w:rsidDel="008F66B5" w14:paraId="45978DAE" w14:textId="5FC522AB" w:rsidTr="00D003E5">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77BCA3C" w14:textId="77777777" w:rsidR="00E63D56" w:rsidRDefault="3BB13E8F" w:rsidP="00A94408">
            <w:pPr>
              <w:jc w:val="center"/>
              <w:rPr>
                <w:rFonts w:asciiTheme="minorHAnsi" w:eastAsia="Arial" w:hAnsiTheme="minorHAnsi" w:cstheme="minorHAnsi"/>
                <w:color w:val="000000" w:themeColor="text1"/>
                <w:sz w:val="18"/>
                <w:szCs w:val="18"/>
              </w:rPr>
            </w:pPr>
            <w:bookmarkStart w:id="6" w:name="_Hlk141955464"/>
            <w:r w:rsidRPr="00F03408">
              <w:rPr>
                <w:rFonts w:asciiTheme="minorHAnsi" w:eastAsia="Arial" w:hAnsiTheme="minorHAnsi" w:cstheme="minorHAnsi"/>
                <w:color w:val="000000" w:themeColor="text1"/>
                <w:sz w:val="18"/>
                <w:szCs w:val="18"/>
              </w:rPr>
              <w:t xml:space="preserve">ODEVIXIBAT </w:t>
            </w:r>
            <w:r w:rsidRPr="00F03408">
              <w:rPr>
                <w:rFonts w:asciiTheme="minorHAnsi" w:hAnsiTheme="minorHAnsi" w:cstheme="minorHAnsi"/>
                <w:sz w:val="18"/>
                <w:szCs w:val="18"/>
              </w:rPr>
              <w:br/>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Capsule 200 micrograms</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Capsule 400 micrograms</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Capsule 600 micrograms</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Capsule 1200 micrograms</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Bylvay</w:t>
            </w:r>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IPSEN PTY LTD</w:t>
            </w:r>
            <w:r w:rsidRPr="00F03408">
              <w:rPr>
                <w:rFonts w:asciiTheme="minorHAnsi" w:hAnsiTheme="minorHAnsi" w:cstheme="minorHAnsi"/>
                <w:sz w:val="18"/>
                <w:szCs w:val="18"/>
              </w:rPr>
              <w:br/>
            </w:r>
          </w:p>
          <w:p w14:paraId="7BD2048B" w14:textId="4B047796" w:rsidR="3BB13E8F" w:rsidRPr="00F03408" w:rsidRDefault="00F647C8" w:rsidP="00A94408">
            <w:pPr>
              <w:jc w:val="center"/>
              <w:rPr>
                <w:rFonts w:asciiTheme="minorHAnsi" w:hAnsiTheme="minorHAnsi" w:cstheme="minorHAnsi"/>
                <w:sz w:val="18"/>
                <w:szCs w:val="18"/>
              </w:rPr>
            </w:pPr>
            <w:r>
              <w:rPr>
                <w:rFonts w:asciiTheme="minorHAnsi" w:hAnsiTheme="minorHAnsi" w:cstheme="minorHAnsi"/>
                <w:sz w:val="18"/>
                <w:szCs w:val="18"/>
              </w:rPr>
              <w:t>Category 1</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0B3CA6BB" w14:textId="42608DFD"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Progressive familial intrahepatic cholestasis (PFIC)</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964D85E" w14:textId="66F14541"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To request a Section 100 (Highly Specialised Drugs Program) Authority Required (STREAMLINED) listing for the treatment of PFIC.</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7755114D" w14:textId="5E56C359" w:rsidR="004D59A5" w:rsidRPr="00F03408" w:rsidDel="008F66B5" w:rsidRDefault="00E63D56"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 Recommended</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2E0967D5" w14:textId="6CED667B" w:rsidR="00DB7945" w:rsidRPr="00DB7945" w:rsidRDefault="00DB7945" w:rsidP="00DB7945">
            <w:pPr>
              <w:jc w:val="both"/>
              <w:rPr>
                <w:rFonts w:asciiTheme="minorHAnsi" w:hAnsiTheme="minorHAnsi" w:cstheme="minorBidi"/>
                <w:color w:val="000000"/>
                <w:sz w:val="18"/>
                <w:szCs w:val="18"/>
              </w:rPr>
            </w:pPr>
            <w:r w:rsidRPr="56B992B3">
              <w:rPr>
                <w:rFonts w:asciiTheme="minorHAnsi" w:hAnsiTheme="minorHAnsi" w:cstheme="minorBidi"/>
                <w:color w:val="000000" w:themeColor="text1"/>
                <w:sz w:val="18"/>
                <w:szCs w:val="18"/>
              </w:rPr>
              <w:t>The PBAC did not recommend odevixibat for the treatment of PFIC. Although the PBAC recognised that there was a high clinical need for treatments for this rare condition, the PBAC noted that there were significant uncertainties regarding the proposed restriction, the clinical evidence presented, the economic model and the utilisation estimates. The PBAC advised a facilitated resolution pathway would be appropriate given the potentially high added therapeutic value and complex nature of the outstanding issues.</w:t>
            </w:r>
          </w:p>
          <w:p w14:paraId="0F040B9F" w14:textId="77777777" w:rsidR="001E389C" w:rsidRPr="001033CF" w:rsidRDefault="001E389C" w:rsidP="001E389C">
            <w:pPr>
              <w:jc w:val="both"/>
              <w:rPr>
                <w:rFonts w:asciiTheme="minorHAnsi" w:hAnsiTheme="minorHAnsi" w:cstheme="minorHAnsi"/>
                <w:color w:val="000000"/>
                <w:sz w:val="18"/>
                <w:szCs w:val="18"/>
              </w:rPr>
            </w:pPr>
          </w:p>
          <w:p w14:paraId="293E79A7" w14:textId="77777777" w:rsidR="001E389C" w:rsidRPr="001033CF" w:rsidRDefault="001E389C" w:rsidP="001E389C">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u w:val="single"/>
              </w:rPr>
              <w:t>Sponsor’s Comment:</w:t>
            </w:r>
          </w:p>
          <w:p w14:paraId="1585B5AE" w14:textId="7D3F36AC" w:rsidR="004D59A5" w:rsidRPr="00F03408" w:rsidDel="008F66B5" w:rsidRDefault="00142693" w:rsidP="00357869">
            <w:pPr>
              <w:jc w:val="both"/>
              <w:rPr>
                <w:rFonts w:asciiTheme="minorHAnsi" w:hAnsiTheme="minorHAnsi" w:cstheme="minorHAnsi"/>
                <w:color w:val="000000"/>
                <w:sz w:val="18"/>
                <w:szCs w:val="18"/>
              </w:rPr>
            </w:pPr>
            <w:r w:rsidRPr="00142693">
              <w:rPr>
                <w:rFonts w:asciiTheme="minorHAnsi" w:hAnsiTheme="minorHAnsi" w:cstheme="minorHAnsi"/>
                <w:color w:val="000000"/>
                <w:sz w:val="18"/>
                <w:szCs w:val="18"/>
              </w:rPr>
              <w:t xml:space="preserve">Ipsen looks forward to working with the PBAC and Department </w:t>
            </w:r>
            <w:r w:rsidR="001A7FE7">
              <w:rPr>
                <w:rFonts w:asciiTheme="minorHAnsi" w:hAnsiTheme="minorHAnsi" w:cstheme="minorHAnsi"/>
                <w:color w:val="000000"/>
                <w:sz w:val="18"/>
                <w:szCs w:val="18"/>
              </w:rPr>
              <w:t xml:space="preserve">of Health and Aged Care </w:t>
            </w:r>
            <w:r w:rsidRPr="00142693">
              <w:rPr>
                <w:rFonts w:asciiTheme="minorHAnsi" w:hAnsiTheme="minorHAnsi" w:cstheme="minorHAnsi"/>
                <w:color w:val="000000"/>
                <w:sz w:val="18"/>
                <w:szCs w:val="18"/>
              </w:rPr>
              <w:t>through the facilitated resolution process and meet the needs of patients with PFIC as soon as possible</w:t>
            </w:r>
            <w:r w:rsidR="00B321D4">
              <w:rPr>
                <w:rFonts w:asciiTheme="minorHAnsi" w:hAnsiTheme="minorHAnsi" w:cstheme="minorHAnsi"/>
                <w:color w:val="000000"/>
                <w:sz w:val="18"/>
                <w:szCs w:val="18"/>
              </w:rPr>
              <w:t>.</w:t>
            </w:r>
          </w:p>
        </w:tc>
      </w:tr>
      <w:bookmarkEnd w:id="6"/>
      <w:tr w:rsidR="009D317D" w:rsidRPr="008059F4" w:rsidDel="008F66B5" w14:paraId="5295E92B" w14:textId="4DE5A546" w:rsidTr="75B0C150">
        <w:trPr>
          <w:cantSplit/>
          <w:trHeight w:val="2948"/>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6737D5" w14:textId="77777777" w:rsidR="005B20C4"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lastRenderedPageBreak/>
              <w:t xml:space="preserve">OLAPARIB </w:t>
            </w:r>
            <w:r w:rsidRPr="00F03408">
              <w:rPr>
                <w:rFonts w:asciiTheme="minorHAnsi" w:hAnsiTheme="minorHAnsi" w:cstheme="minorHAnsi"/>
                <w:sz w:val="18"/>
                <w:szCs w:val="18"/>
              </w:rPr>
              <w:br/>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Tablet 100 mg</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Tablet 150 mg</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Lynparza</w:t>
            </w:r>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ASTRAZENECA PTY LTD</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p>
          <w:p w14:paraId="1F383DB2" w14:textId="6366EA6F" w:rsidR="3BB13E8F" w:rsidRPr="00F03408" w:rsidRDefault="005B20C4" w:rsidP="00A94408">
            <w:pPr>
              <w:jc w:val="center"/>
              <w:rPr>
                <w:rFonts w:asciiTheme="minorHAnsi" w:hAnsiTheme="minorHAnsi" w:cstheme="minorHAnsi"/>
                <w:sz w:val="18"/>
                <w:szCs w:val="18"/>
              </w:rPr>
            </w:pPr>
            <w:r>
              <w:rPr>
                <w:rFonts w:asciiTheme="minorHAnsi" w:hAnsiTheme="minorHAnsi" w:cstheme="minorHAnsi"/>
                <w:sz w:val="18"/>
                <w:szCs w:val="18"/>
              </w:rPr>
              <w:t>Category 2</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(Change to existing listing)</w:t>
            </w:r>
          </w:p>
        </w:tc>
        <w:tc>
          <w:tcPr>
            <w:tcW w:w="2767" w:type="dxa"/>
            <w:tcBorders>
              <w:top w:val="single" w:sz="4" w:space="0" w:color="auto"/>
              <w:left w:val="single" w:sz="4" w:space="0" w:color="auto"/>
              <w:bottom w:val="single" w:sz="4" w:space="0" w:color="auto"/>
              <w:right w:val="single" w:sz="4" w:space="0" w:color="auto"/>
            </w:tcBorders>
            <w:vAlign w:val="center"/>
          </w:tcPr>
          <w:p w14:paraId="3DF0F225" w14:textId="534F681D" w:rsidR="3BB13E8F" w:rsidRPr="00F03408" w:rsidRDefault="3BB13E8F" w:rsidP="00F647C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 xml:space="preserve">Human epidermal growth factor 2 (HER2) negative metastatic breast cancer with a confirmed </w:t>
            </w:r>
            <w:r w:rsidRPr="00F03408">
              <w:rPr>
                <w:rFonts w:asciiTheme="minorHAnsi" w:eastAsia="Arial" w:hAnsiTheme="minorHAnsi" w:cstheme="minorHAnsi"/>
                <w:i/>
                <w:iCs/>
                <w:color w:val="000000" w:themeColor="text1"/>
                <w:sz w:val="18"/>
                <w:szCs w:val="18"/>
              </w:rPr>
              <w:t>BRCA1</w:t>
            </w:r>
            <w:r w:rsidRPr="00F03408">
              <w:rPr>
                <w:rFonts w:asciiTheme="minorHAnsi" w:eastAsia="Arial" w:hAnsiTheme="minorHAnsi" w:cstheme="minorHAnsi"/>
                <w:color w:val="000000" w:themeColor="text1"/>
                <w:sz w:val="18"/>
                <w:szCs w:val="18"/>
              </w:rPr>
              <w:t xml:space="preserve"> or </w:t>
            </w:r>
            <w:r w:rsidRPr="00F03408">
              <w:rPr>
                <w:rFonts w:asciiTheme="minorHAnsi" w:eastAsia="Arial" w:hAnsiTheme="minorHAnsi" w:cstheme="minorHAnsi"/>
                <w:i/>
                <w:iCs/>
                <w:color w:val="000000" w:themeColor="text1"/>
                <w:sz w:val="18"/>
                <w:szCs w:val="18"/>
              </w:rPr>
              <w:t>BRCA2</w:t>
            </w:r>
            <w:r w:rsidRPr="00F03408">
              <w:rPr>
                <w:rFonts w:asciiTheme="minorHAnsi" w:eastAsia="Arial" w:hAnsiTheme="minorHAnsi" w:cstheme="minorHAnsi"/>
                <w:color w:val="000000" w:themeColor="text1"/>
                <w:sz w:val="18"/>
                <w:szCs w:val="18"/>
              </w:rPr>
              <w:t xml:space="preserve"> mutation</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7DD8020" w14:textId="5EDF5BFA"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 xml:space="preserve">To request a General Schedule Authority Required (Telephone/Online) listing for the treatment of HER2-negative metastatic breast cancer for patients with a confirmed </w:t>
            </w:r>
            <w:r w:rsidRPr="00F03408">
              <w:rPr>
                <w:rFonts w:asciiTheme="minorHAnsi" w:eastAsia="Arial" w:hAnsiTheme="minorHAnsi" w:cstheme="minorHAnsi"/>
                <w:i/>
                <w:iCs/>
                <w:color w:val="000000" w:themeColor="text1"/>
                <w:sz w:val="18"/>
                <w:szCs w:val="18"/>
              </w:rPr>
              <w:t>BRCA1</w:t>
            </w:r>
            <w:r w:rsidRPr="00F03408">
              <w:rPr>
                <w:rFonts w:asciiTheme="minorHAnsi" w:eastAsia="Arial" w:hAnsiTheme="minorHAnsi" w:cstheme="minorHAnsi"/>
                <w:color w:val="000000" w:themeColor="text1"/>
                <w:sz w:val="18"/>
                <w:szCs w:val="18"/>
              </w:rPr>
              <w:t xml:space="preserve"> or </w:t>
            </w:r>
            <w:r w:rsidRPr="00F03408">
              <w:rPr>
                <w:rFonts w:asciiTheme="minorHAnsi" w:eastAsia="Arial" w:hAnsiTheme="minorHAnsi" w:cstheme="minorHAnsi"/>
                <w:i/>
                <w:iCs/>
                <w:color w:val="000000" w:themeColor="text1"/>
                <w:sz w:val="18"/>
                <w:szCs w:val="18"/>
              </w:rPr>
              <w:t>BRCA2</w:t>
            </w:r>
            <w:r w:rsidRPr="00F03408">
              <w:rPr>
                <w:rFonts w:asciiTheme="minorHAnsi" w:eastAsia="Arial" w:hAnsiTheme="minorHAnsi" w:cstheme="minorHAnsi"/>
                <w:color w:val="000000" w:themeColor="text1"/>
                <w:sz w:val="18"/>
                <w:szCs w:val="18"/>
              </w:rPr>
              <w:t xml:space="preserve"> mutation.</w:t>
            </w:r>
          </w:p>
        </w:tc>
        <w:tc>
          <w:tcPr>
            <w:tcW w:w="1584" w:type="dxa"/>
            <w:vAlign w:val="center"/>
          </w:tcPr>
          <w:p w14:paraId="1EEBFBA6" w14:textId="198C099D" w:rsidR="009D317D" w:rsidRPr="00F03408" w:rsidDel="008F66B5" w:rsidRDefault="00F647C8"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vAlign w:val="center"/>
          </w:tcPr>
          <w:p w14:paraId="5E21D284" w14:textId="0E9B5628" w:rsidR="005434CF" w:rsidRPr="009E3EC5" w:rsidDel="008F66B5" w:rsidRDefault="00342CF5" w:rsidP="00A94408">
            <w:pPr>
              <w:jc w:val="both"/>
              <w:rPr>
                <w:rFonts w:asciiTheme="minorHAnsi" w:hAnsiTheme="minorHAnsi" w:cstheme="minorBidi"/>
                <w:color w:val="000000"/>
                <w:sz w:val="18"/>
                <w:szCs w:val="18"/>
              </w:rPr>
            </w:pPr>
            <w:r w:rsidRPr="12F1B601">
              <w:rPr>
                <w:rFonts w:asciiTheme="minorHAnsi" w:hAnsiTheme="minorHAnsi" w:cstheme="minorBidi"/>
                <w:color w:val="000000" w:themeColor="text1"/>
                <w:sz w:val="18"/>
                <w:szCs w:val="18"/>
              </w:rPr>
              <w:t xml:space="preserve">The PBAC recommended the listing of olaparib for the treatment of patients with HER2-negative metastatic breast cancer and a confirmed </w:t>
            </w:r>
            <w:r w:rsidRPr="12F1B601">
              <w:rPr>
                <w:rFonts w:asciiTheme="minorHAnsi" w:hAnsiTheme="minorHAnsi" w:cstheme="minorBidi"/>
                <w:i/>
                <w:color w:val="000000" w:themeColor="text1"/>
                <w:sz w:val="18"/>
                <w:szCs w:val="18"/>
              </w:rPr>
              <w:t>BRCA1</w:t>
            </w:r>
            <w:r w:rsidRPr="12F1B601">
              <w:rPr>
                <w:rFonts w:asciiTheme="minorHAnsi" w:hAnsiTheme="minorHAnsi" w:cstheme="minorBidi"/>
                <w:color w:val="000000" w:themeColor="text1"/>
                <w:sz w:val="18"/>
                <w:szCs w:val="18"/>
              </w:rPr>
              <w:t xml:space="preserve"> or </w:t>
            </w:r>
            <w:r w:rsidRPr="12F1B601">
              <w:rPr>
                <w:rFonts w:asciiTheme="minorHAnsi" w:hAnsiTheme="minorHAnsi" w:cstheme="minorBidi"/>
                <w:i/>
                <w:color w:val="000000" w:themeColor="text1"/>
                <w:sz w:val="18"/>
                <w:szCs w:val="18"/>
              </w:rPr>
              <w:t>BRCA2</w:t>
            </w:r>
            <w:r w:rsidRPr="12F1B601">
              <w:rPr>
                <w:rFonts w:asciiTheme="minorHAnsi" w:hAnsiTheme="minorHAnsi" w:cstheme="minorBidi"/>
                <w:color w:val="000000" w:themeColor="text1"/>
                <w:sz w:val="18"/>
                <w:szCs w:val="18"/>
              </w:rPr>
              <w:t xml:space="preserve"> pathogenic variant. The PBAC is satisfied that olaparib provides, for some patients, a significant improvement in efficacy compared with chemotherapy in terms of progression free survival. Although a statistically significant difference in </w:t>
            </w:r>
            <w:r w:rsidR="00982C1F" w:rsidRPr="12F1B601">
              <w:rPr>
                <w:rFonts w:asciiTheme="minorHAnsi" w:hAnsiTheme="minorHAnsi" w:cstheme="minorBidi"/>
                <w:color w:val="000000" w:themeColor="text1"/>
                <w:sz w:val="18"/>
                <w:szCs w:val="18"/>
              </w:rPr>
              <w:t xml:space="preserve">overall survival </w:t>
            </w:r>
            <w:r w:rsidRPr="12F1B601">
              <w:rPr>
                <w:rFonts w:asciiTheme="minorHAnsi" w:hAnsiTheme="minorHAnsi" w:cstheme="minorBidi"/>
                <w:color w:val="000000" w:themeColor="text1"/>
                <w:sz w:val="18"/>
                <w:szCs w:val="18"/>
              </w:rPr>
              <w:t xml:space="preserve">was not demonstrated in the trial, the PBAC considered a survival benefit was plausible as there was a trend to improved </w:t>
            </w:r>
            <w:r w:rsidR="00BD4397" w:rsidRPr="12F1B601">
              <w:rPr>
                <w:rFonts w:asciiTheme="minorHAnsi" w:hAnsiTheme="minorHAnsi" w:cstheme="minorBidi"/>
                <w:color w:val="000000" w:themeColor="text1"/>
                <w:sz w:val="18"/>
                <w:szCs w:val="18"/>
              </w:rPr>
              <w:t>overall survival</w:t>
            </w:r>
            <w:r w:rsidRPr="12F1B601">
              <w:rPr>
                <w:rFonts w:asciiTheme="minorHAnsi" w:hAnsiTheme="minorHAnsi" w:cstheme="minorBidi"/>
                <w:color w:val="000000" w:themeColor="text1"/>
                <w:sz w:val="18"/>
                <w:szCs w:val="18"/>
              </w:rPr>
              <w:t xml:space="preserve"> in the trial and increased subsequent use of </w:t>
            </w:r>
            <w:r w:rsidR="00171BE6" w:rsidRPr="12F1B601">
              <w:rPr>
                <w:rFonts w:asciiTheme="minorHAnsi" w:hAnsiTheme="minorHAnsi" w:cstheme="minorBidi"/>
                <w:color w:val="000000" w:themeColor="text1"/>
                <w:sz w:val="18"/>
                <w:szCs w:val="18"/>
              </w:rPr>
              <w:t xml:space="preserve">poly-ADP ribose polymerase </w:t>
            </w:r>
            <w:r w:rsidR="000E3BFC" w:rsidRPr="12F1B601">
              <w:rPr>
                <w:rFonts w:asciiTheme="minorHAnsi" w:hAnsiTheme="minorHAnsi" w:cstheme="minorBidi"/>
                <w:color w:val="000000" w:themeColor="text1"/>
                <w:sz w:val="18"/>
                <w:szCs w:val="18"/>
              </w:rPr>
              <w:t>(</w:t>
            </w:r>
            <w:r w:rsidRPr="12F1B601">
              <w:rPr>
                <w:rFonts w:asciiTheme="minorHAnsi" w:hAnsiTheme="minorHAnsi" w:cstheme="minorBidi"/>
                <w:color w:val="000000" w:themeColor="text1"/>
                <w:sz w:val="18"/>
                <w:szCs w:val="18"/>
              </w:rPr>
              <w:t>PARP</w:t>
            </w:r>
            <w:r w:rsidR="000E3BFC" w:rsidRPr="12F1B601">
              <w:rPr>
                <w:rFonts w:asciiTheme="minorHAnsi" w:hAnsiTheme="minorHAnsi" w:cstheme="minorBidi"/>
                <w:color w:val="000000" w:themeColor="text1"/>
                <w:sz w:val="18"/>
                <w:szCs w:val="18"/>
              </w:rPr>
              <w:t>)</w:t>
            </w:r>
            <w:r w:rsidRPr="12F1B601">
              <w:rPr>
                <w:rFonts w:asciiTheme="minorHAnsi" w:hAnsiTheme="minorHAnsi" w:cstheme="minorBidi"/>
                <w:color w:val="000000" w:themeColor="text1"/>
                <w:sz w:val="18"/>
                <w:szCs w:val="18"/>
              </w:rPr>
              <w:t xml:space="preserve"> inhibitors in the control arm. The PBAC noted that olaparib is PBS-listed for patients with high-risk early breast cancer, but considered there remains a clinical need for access to olaparib for patients not eligible in the early setting, particularly lower risk patients who have progressed to metastatic disease and patients diagnosed with de-novo metastatic disease. The PBAC considered the incremental cost-effectiveness ratio </w:t>
            </w:r>
            <w:r w:rsidR="00CD6321" w:rsidRPr="12F1B601">
              <w:rPr>
                <w:rFonts w:asciiTheme="minorHAnsi" w:hAnsiTheme="minorHAnsi" w:cstheme="minorBidi"/>
                <w:color w:val="000000" w:themeColor="text1"/>
                <w:sz w:val="18"/>
                <w:szCs w:val="18"/>
              </w:rPr>
              <w:t>(ICER)</w:t>
            </w:r>
            <w:r w:rsidRPr="12F1B601">
              <w:rPr>
                <w:rFonts w:asciiTheme="minorHAnsi" w:hAnsiTheme="minorHAnsi" w:cstheme="minorBidi"/>
                <w:color w:val="000000" w:themeColor="text1"/>
                <w:sz w:val="18"/>
                <w:szCs w:val="18"/>
              </w:rPr>
              <w:t xml:space="preserve"> remained high at the price proposed in the pre-PBAC response and a price reduction would be required to bring the ICER into an acceptable range. The PBAC considered some changes to the financial estimates were required to align them with the revised patient population for the listing. Given the uncertainty in patient numbers, uptake and duration of treatment, the PBAC considered a risk sharing arrangement would be appropriate.</w:t>
            </w:r>
          </w:p>
        </w:tc>
      </w:tr>
      <w:tr w:rsidR="004D59A5" w:rsidRPr="008059F4" w:rsidDel="008F66B5" w14:paraId="5710BACA" w14:textId="25954B67" w:rsidTr="1D99E2DB">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286711D" w14:textId="7D7A9357"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lastRenderedPageBreak/>
              <w:t>PRASUGREL</w:t>
            </w:r>
          </w:p>
          <w:p w14:paraId="3C4145B7" w14:textId="371E40EC" w:rsidR="3BB13E8F" w:rsidRPr="00F03408" w:rsidRDefault="3BB13E8F" w:rsidP="00A94408">
            <w:pPr>
              <w:jc w:val="center"/>
              <w:rPr>
                <w:rFonts w:asciiTheme="minorHAnsi" w:hAnsiTheme="minorHAnsi" w:cstheme="minorHAnsi"/>
                <w:sz w:val="18"/>
                <w:szCs w:val="18"/>
              </w:rPr>
            </w:pPr>
          </w:p>
          <w:p w14:paraId="532BF38A" w14:textId="77777777" w:rsidR="003728FE"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t>Tablet 5 mg</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Tablet 10 mg</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Prasugrel SCP</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GENERIC HEALTH PTY LTD</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p>
          <w:p w14:paraId="35CBC91C" w14:textId="6230DD11" w:rsidR="3BB13E8F" w:rsidRPr="00F03408" w:rsidRDefault="003728FE" w:rsidP="00A94408">
            <w:pPr>
              <w:jc w:val="center"/>
              <w:rPr>
                <w:rFonts w:asciiTheme="minorHAnsi" w:hAnsiTheme="minorHAnsi" w:cstheme="minorHAnsi"/>
                <w:sz w:val="18"/>
                <w:szCs w:val="18"/>
              </w:rPr>
            </w:pPr>
            <w:r>
              <w:rPr>
                <w:rFonts w:asciiTheme="minorHAnsi" w:eastAsia="Arial" w:hAnsiTheme="minorHAnsi" w:cstheme="minorHAnsi"/>
                <w:color w:val="000000" w:themeColor="text1"/>
                <w:sz w:val="18"/>
                <w:szCs w:val="18"/>
              </w:rPr>
              <w:t>Early re-entry</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4BDBE21C" w14:textId="05871598" w:rsidR="3BB13E8F" w:rsidRPr="00F03408" w:rsidRDefault="3BB13E8F" w:rsidP="00A94408">
            <w:pPr>
              <w:jc w:val="center"/>
              <w:rPr>
                <w:rFonts w:asciiTheme="minorHAnsi" w:hAnsiTheme="minorHAnsi" w:cstheme="minorBidi"/>
                <w:sz w:val="18"/>
                <w:szCs w:val="18"/>
              </w:rPr>
            </w:pPr>
            <w:r w:rsidRPr="12F1B601">
              <w:rPr>
                <w:rFonts w:asciiTheme="minorHAnsi" w:eastAsia="Arial" w:hAnsiTheme="minorHAnsi" w:cstheme="minorBidi"/>
                <w:color w:val="000000" w:themeColor="text1"/>
                <w:sz w:val="18"/>
                <w:szCs w:val="18"/>
              </w:rPr>
              <w:t xml:space="preserve">Acute coronary syndrome </w:t>
            </w:r>
            <w:r w:rsidR="0088031D" w:rsidRPr="12F1B601">
              <w:rPr>
                <w:rFonts w:asciiTheme="minorHAnsi" w:hAnsiTheme="minorHAnsi" w:cstheme="minorBidi"/>
                <w:color w:val="000000" w:themeColor="text1"/>
                <w:sz w:val="18"/>
                <w:szCs w:val="18"/>
                <w:lang w:val="en-GB"/>
              </w:rPr>
              <w:t>(ACS)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40715B5" w14:textId="1AD1380C" w:rsidR="3BB13E8F" w:rsidRPr="00F03408" w:rsidRDefault="3BB13E8F" w:rsidP="00A94408">
            <w:pPr>
              <w:jc w:val="center"/>
              <w:rPr>
                <w:rFonts w:asciiTheme="minorHAnsi" w:hAnsiTheme="minorHAnsi" w:cstheme="minorBidi"/>
                <w:sz w:val="18"/>
                <w:szCs w:val="18"/>
              </w:rPr>
            </w:pPr>
            <w:r w:rsidRPr="12F1B601">
              <w:rPr>
                <w:rFonts w:asciiTheme="minorHAnsi" w:eastAsia="Arial" w:hAnsiTheme="minorHAnsi" w:cstheme="minorBidi"/>
                <w:color w:val="000000" w:themeColor="text1"/>
                <w:sz w:val="18"/>
                <w:szCs w:val="18"/>
              </w:rPr>
              <w:t xml:space="preserve">Resubmission to request a General Schedule Authority Required (STREAMLINED) listing, in combination with aspirin, for the treatment of </w:t>
            </w:r>
            <w:r w:rsidR="0088031D" w:rsidRPr="12F1B601">
              <w:rPr>
                <w:rFonts w:asciiTheme="minorHAnsi" w:hAnsiTheme="minorHAnsi" w:cstheme="minorBidi"/>
                <w:color w:val="000000" w:themeColor="text1"/>
                <w:sz w:val="18"/>
                <w:szCs w:val="18"/>
                <w:lang w:val="en-GB"/>
              </w:rPr>
              <w:t xml:space="preserve">ACS </w:t>
            </w:r>
            <w:r w:rsidRPr="12F1B601">
              <w:rPr>
                <w:rFonts w:asciiTheme="minorHAnsi" w:eastAsia="Arial" w:hAnsiTheme="minorHAnsi" w:cstheme="minorBidi"/>
                <w:color w:val="000000" w:themeColor="text1"/>
                <w:sz w:val="18"/>
                <w:szCs w:val="18"/>
              </w:rPr>
              <w:t xml:space="preserve">(myocardial infarction </w:t>
            </w:r>
            <w:r w:rsidR="0088031D" w:rsidRPr="12F1B601">
              <w:rPr>
                <w:rFonts w:asciiTheme="minorHAnsi" w:eastAsia="Arial" w:hAnsiTheme="minorHAnsi" w:cstheme="minorBidi"/>
                <w:color w:val="000000" w:themeColor="text1"/>
                <w:sz w:val="18"/>
                <w:szCs w:val="18"/>
              </w:rPr>
              <w:t>(MI)</w:t>
            </w:r>
            <w:r w:rsidRPr="12F1B601">
              <w:rPr>
                <w:rFonts w:asciiTheme="minorHAnsi" w:eastAsia="Arial" w:hAnsiTheme="minorHAnsi" w:cstheme="minorBidi"/>
                <w:color w:val="000000" w:themeColor="text1"/>
                <w:sz w:val="18"/>
                <w:szCs w:val="18"/>
              </w:rPr>
              <w:t xml:space="preserve"> or unstable angina) managed by percutaneous coronary intervention</w:t>
            </w:r>
            <w:r w:rsidR="0088031D" w:rsidRPr="12F1B601">
              <w:rPr>
                <w:rFonts w:asciiTheme="minorHAnsi" w:hAnsiTheme="minorHAnsi" w:cstheme="minorBidi"/>
                <w:color w:val="000000" w:themeColor="text1"/>
                <w:sz w:val="18"/>
                <w:szCs w:val="18"/>
                <w:lang w:val="en-GB"/>
              </w:rPr>
              <w:t xml:space="preserve"> (PCI).</w:t>
            </w:r>
          </w:p>
        </w:tc>
        <w:tc>
          <w:tcPr>
            <w:tcW w:w="1584" w:type="dxa"/>
            <w:shd w:val="clear" w:color="auto" w:fill="auto"/>
            <w:vAlign w:val="center"/>
          </w:tcPr>
          <w:p w14:paraId="4B41EA07" w14:textId="7B3A1FB9" w:rsidR="004D59A5" w:rsidRPr="00F03408" w:rsidDel="008F66B5" w:rsidRDefault="003728FE"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shd w:val="clear" w:color="auto" w:fill="auto"/>
            <w:vAlign w:val="center"/>
          </w:tcPr>
          <w:p w14:paraId="503172C7" w14:textId="77777777" w:rsidR="004D59A5" w:rsidRDefault="000C1DF3" w:rsidP="00A94408">
            <w:pPr>
              <w:jc w:val="both"/>
              <w:rPr>
                <w:rFonts w:asciiTheme="minorHAnsi" w:hAnsiTheme="minorHAnsi" w:cstheme="minorBidi"/>
                <w:color w:val="000000"/>
                <w:sz w:val="18"/>
                <w:szCs w:val="18"/>
                <w:lang w:val="en-GB"/>
              </w:rPr>
            </w:pPr>
            <w:r w:rsidRPr="12F1B601">
              <w:rPr>
                <w:rFonts w:asciiTheme="minorHAnsi" w:hAnsiTheme="minorHAnsi" w:cstheme="minorBidi"/>
                <w:color w:val="000000" w:themeColor="text1"/>
                <w:sz w:val="18"/>
                <w:szCs w:val="18"/>
                <w:lang w:val="en-GB"/>
              </w:rPr>
              <w:t>The PBAC recommended prasugrel, in combination with aspirin, for the treatment of ACS i.e., MI or unstable angina, managed by PCI. The PBAC noted that the early re-entry resubmission had satisfactorily addressed the outstanding issues and considered that the cost minimisation approach presented, which was based on 40% clopidogrel and 60% ticagrelor use, and the updated financial impact estimates were reasonable.</w:t>
            </w:r>
          </w:p>
          <w:p w14:paraId="140D196F" w14:textId="77777777" w:rsidR="0063261C" w:rsidRDefault="0063261C" w:rsidP="00A94408">
            <w:pPr>
              <w:jc w:val="both"/>
              <w:rPr>
                <w:rFonts w:asciiTheme="minorHAnsi" w:hAnsiTheme="minorHAnsi" w:cstheme="minorBidi"/>
                <w:color w:val="000000"/>
                <w:sz w:val="18"/>
                <w:szCs w:val="18"/>
                <w:lang w:val="en-GB"/>
              </w:rPr>
            </w:pPr>
          </w:p>
          <w:p w14:paraId="55956255" w14:textId="77777777" w:rsidR="0063261C" w:rsidRPr="001A7FE7" w:rsidRDefault="0063261C" w:rsidP="0063261C">
            <w:pPr>
              <w:jc w:val="both"/>
              <w:rPr>
                <w:rFonts w:asciiTheme="minorHAnsi" w:hAnsiTheme="minorHAnsi" w:cstheme="minorBidi"/>
                <w:color w:val="000000"/>
                <w:sz w:val="18"/>
                <w:szCs w:val="18"/>
              </w:rPr>
            </w:pPr>
            <w:r w:rsidRPr="001A7FE7">
              <w:rPr>
                <w:rFonts w:asciiTheme="minorHAnsi" w:hAnsiTheme="minorHAnsi" w:cstheme="minorBidi"/>
                <w:color w:val="000000" w:themeColor="text1"/>
                <w:sz w:val="18"/>
                <w:szCs w:val="18"/>
              </w:rPr>
              <w:t>The PBAC considered that, for the purposes of the cost-minimisation a</w:t>
            </w:r>
            <w:r w:rsidR="00A81723" w:rsidRPr="001A7FE7">
              <w:rPr>
                <w:rFonts w:asciiTheme="minorHAnsi" w:hAnsiTheme="minorHAnsi" w:cstheme="minorBidi"/>
                <w:color w:val="000000" w:themeColor="text1"/>
                <w:sz w:val="18"/>
                <w:szCs w:val="18"/>
              </w:rPr>
              <w:t>pproach</w:t>
            </w:r>
            <w:r w:rsidRPr="001A7FE7">
              <w:rPr>
                <w:rFonts w:asciiTheme="minorHAnsi" w:hAnsiTheme="minorHAnsi" w:cstheme="minorBidi"/>
                <w:color w:val="000000" w:themeColor="text1"/>
                <w:sz w:val="18"/>
                <w:szCs w:val="18"/>
              </w:rPr>
              <w:t>, the following doses of prasugrel, ticagrelor and clopidogrel were considered equivalent:</w:t>
            </w:r>
          </w:p>
          <w:p w14:paraId="330E8C84" w14:textId="76460DB6" w:rsidR="000C1DF3" w:rsidRPr="12F1B601" w:rsidRDefault="0063261C" w:rsidP="00A94408">
            <w:pPr>
              <w:jc w:val="both"/>
              <w:rPr>
                <w:rFonts w:asciiTheme="minorHAnsi" w:hAnsiTheme="minorHAnsi" w:cstheme="minorBidi"/>
                <w:color w:val="000000" w:themeColor="text1"/>
                <w:sz w:val="18"/>
                <w:szCs w:val="18"/>
                <w:lang w:val="en-GB"/>
              </w:rPr>
            </w:pPr>
            <w:r w:rsidRPr="001A7FE7">
              <w:rPr>
                <w:rFonts w:asciiTheme="minorHAnsi" w:hAnsiTheme="minorHAnsi" w:cstheme="minorBidi"/>
                <w:color w:val="000000" w:themeColor="text1"/>
                <w:sz w:val="18"/>
                <w:szCs w:val="18"/>
              </w:rPr>
              <w:t>Prasugrel 8.07 mg, once daily (61% of patients would receive 10 mg/day and 39% of patients would receive 5 mg/day) Ticagrelor 90 mg, twice daily</w:t>
            </w:r>
            <w:r w:rsidR="00B321D4">
              <w:t xml:space="preserve"> </w:t>
            </w:r>
            <w:r w:rsidRPr="001A7FE7">
              <w:rPr>
                <w:rFonts w:asciiTheme="minorHAnsi" w:hAnsiTheme="minorHAnsi" w:cstheme="minorBidi"/>
                <w:color w:val="000000" w:themeColor="text1"/>
                <w:sz w:val="18"/>
                <w:szCs w:val="18"/>
              </w:rPr>
              <w:t>Clopidogrel 75 mg, once daily</w:t>
            </w:r>
          </w:p>
        </w:tc>
      </w:tr>
      <w:tr w:rsidR="004D59A5" w:rsidRPr="008059F4" w:rsidDel="008F66B5" w14:paraId="489FAC6F" w14:textId="2A32FC67" w:rsidTr="75B0C150">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5A8B434" w14:textId="77777777" w:rsidR="00796A67"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t>PROGESTERONE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Capsule 300 mg</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proofErr w:type="spellStart"/>
            <w:r w:rsidRPr="00F03408">
              <w:rPr>
                <w:rFonts w:asciiTheme="minorHAnsi" w:eastAsia="Arial" w:hAnsiTheme="minorHAnsi" w:cstheme="minorHAnsi"/>
                <w:color w:val="000000" w:themeColor="text1"/>
                <w:sz w:val="18"/>
                <w:szCs w:val="18"/>
              </w:rPr>
              <w:t>Utrogestan</w:t>
            </w:r>
            <w:proofErr w:type="spellEnd"/>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BESINS HEALTHCARE AUSTRALIA PTY LTD</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p>
          <w:p w14:paraId="78B9C198" w14:textId="0164E07C" w:rsidR="3BB13E8F" w:rsidRPr="00F03408" w:rsidRDefault="00796A67" w:rsidP="00A94408">
            <w:pPr>
              <w:jc w:val="center"/>
              <w:rPr>
                <w:rFonts w:asciiTheme="minorHAnsi" w:hAnsiTheme="minorHAnsi" w:cstheme="minorHAnsi"/>
                <w:sz w:val="18"/>
                <w:szCs w:val="18"/>
              </w:rPr>
            </w:pPr>
            <w:r>
              <w:rPr>
                <w:rFonts w:asciiTheme="minorHAnsi" w:hAnsiTheme="minorHAnsi" w:cstheme="minorHAnsi"/>
                <w:sz w:val="18"/>
                <w:szCs w:val="18"/>
              </w:rPr>
              <w:t>Category 4</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1A52EF10" w14:textId="59783725"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Luteal phase support</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BC36C3B" w14:textId="5AD4203D" w:rsidR="3BB13E8F" w:rsidRPr="00F03408" w:rsidRDefault="3BB13E8F" w:rsidP="00A94408">
            <w:pPr>
              <w:jc w:val="center"/>
              <w:rPr>
                <w:rFonts w:asciiTheme="minorHAnsi" w:hAnsiTheme="minorHAnsi" w:cstheme="minorBidi"/>
                <w:sz w:val="18"/>
                <w:szCs w:val="18"/>
              </w:rPr>
            </w:pPr>
            <w:r w:rsidRPr="12F1B601">
              <w:rPr>
                <w:rFonts w:asciiTheme="minorHAnsi" w:eastAsia="Arial" w:hAnsiTheme="minorHAnsi" w:cstheme="minorBidi"/>
                <w:color w:val="000000" w:themeColor="text1"/>
                <w:sz w:val="18"/>
                <w:szCs w:val="18"/>
              </w:rPr>
              <w:t xml:space="preserve">To request a Section 100 (In Vitro Fertilisation Program) Authority Required (STREAMLINED) listing of a new strength for luteal phase support </w:t>
            </w:r>
            <w:r w:rsidR="00F05AB2" w:rsidRPr="12F1B601">
              <w:rPr>
                <w:rFonts w:asciiTheme="minorHAnsi" w:eastAsia="Arial" w:hAnsiTheme="minorHAnsi" w:cstheme="minorBidi"/>
                <w:color w:val="000000" w:themeColor="text1"/>
                <w:sz w:val="18"/>
                <w:szCs w:val="18"/>
              </w:rPr>
              <w:t>(LPS)</w:t>
            </w:r>
            <w:r w:rsidRPr="12F1B601">
              <w:rPr>
                <w:rFonts w:asciiTheme="minorHAnsi" w:eastAsia="Arial" w:hAnsiTheme="minorHAnsi" w:cstheme="minorBidi"/>
                <w:color w:val="000000" w:themeColor="text1"/>
                <w:sz w:val="18"/>
                <w:szCs w:val="18"/>
              </w:rPr>
              <w:t xml:space="preserve"> as part of an assisted reproductive technology </w:t>
            </w:r>
            <w:r w:rsidR="00F05AB2" w:rsidRPr="12F1B601">
              <w:rPr>
                <w:rFonts w:asciiTheme="minorHAnsi" w:eastAsia="Arial" w:hAnsiTheme="minorHAnsi" w:cstheme="minorBidi"/>
                <w:color w:val="000000" w:themeColor="text1"/>
                <w:sz w:val="18"/>
                <w:szCs w:val="18"/>
              </w:rPr>
              <w:t>(ART)</w:t>
            </w:r>
            <w:r w:rsidRPr="12F1B601">
              <w:rPr>
                <w:rFonts w:asciiTheme="minorHAnsi" w:eastAsia="Arial" w:hAnsiTheme="minorHAnsi" w:cstheme="minorBidi"/>
                <w:color w:val="000000" w:themeColor="text1"/>
                <w:sz w:val="18"/>
                <w:szCs w:val="18"/>
              </w:rPr>
              <w:t xml:space="preserve"> treatment cycle.</w:t>
            </w:r>
          </w:p>
        </w:tc>
        <w:tc>
          <w:tcPr>
            <w:tcW w:w="1584" w:type="dxa"/>
            <w:shd w:val="clear" w:color="auto" w:fill="auto"/>
            <w:vAlign w:val="center"/>
          </w:tcPr>
          <w:p w14:paraId="7475BFF7" w14:textId="67C1016D" w:rsidR="004D59A5" w:rsidRPr="00F03408" w:rsidDel="008F66B5" w:rsidRDefault="000E72B8"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shd w:val="clear" w:color="auto" w:fill="auto"/>
            <w:vAlign w:val="center"/>
          </w:tcPr>
          <w:p w14:paraId="71BDDF2D" w14:textId="09ADC729" w:rsidR="004D59A5" w:rsidRDefault="00557AA4" w:rsidP="00A94408">
            <w:pPr>
              <w:jc w:val="both"/>
              <w:rPr>
                <w:rFonts w:asciiTheme="minorHAnsi" w:hAnsiTheme="minorHAnsi" w:cstheme="minorBidi"/>
                <w:color w:val="000000"/>
                <w:sz w:val="18"/>
                <w:szCs w:val="18"/>
              </w:rPr>
            </w:pPr>
            <w:r w:rsidRPr="12F1B601">
              <w:rPr>
                <w:rFonts w:asciiTheme="minorHAnsi" w:hAnsiTheme="minorHAnsi" w:cstheme="minorBidi"/>
                <w:color w:val="000000" w:themeColor="text1"/>
                <w:sz w:val="18"/>
                <w:szCs w:val="18"/>
              </w:rPr>
              <w:t>The PBAC recommended the Authority Required (STREAMLINED) listing of progesterone capsule 300</w:t>
            </w:r>
            <w:r w:rsidR="00F05AB2" w:rsidRPr="12F1B601">
              <w:rPr>
                <w:rFonts w:asciiTheme="minorHAnsi" w:hAnsiTheme="minorHAnsi" w:cstheme="minorBidi"/>
                <w:color w:val="000000" w:themeColor="text1"/>
                <w:sz w:val="18"/>
                <w:szCs w:val="18"/>
              </w:rPr>
              <w:t> </w:t>
            </w:r>
            <w:r w:rsidRPr="12F1B601">
              <w:rPr>
                <w:rFonts w:asciiTheme="minorHAnsi" w:hAnsiTheme="minorHAnsi" w:cstheme="minorBidi"/>
                <w:color w:val="000000" w:themeColor="text1"/>
                <w:sz w:val="18"/>
                <w:szCs w:val="18"/>
              </w:rPr>
              <w:t>mg (</w:t>
            </w:r>
            <w:proofErr w:type="spellStart"/>
            <w:r w:rsidRPr="12F1B601">
              <w:rPr>
                <w:rFonts w:asciiTheme="minorHAnsi" w:hAnsiTheme="minorHAnsi" w:cstheme="minorBidi"/>
                <w:color w:val="000000" w:themeColor="text1"/>
                <w:sz w:val="18"/>
                <w:szCs w:val="18"/>
              </w:rPr>
              <w:t>Utrogestan</w:t>
            </w:r>
            <w:proofErr w:type="spellEnd"/>
            <w:r w:rsidRPr="12F1B601">
              <w:rPr>
                <w:rFonts w:asciiTheme="minorHAnsi" w:hAnsiTheme="minorHAnsi" w:cstheme="minorBidi"/>
                <w:color w:val="000000" w:themeColor="text1"/>
                <w:sz w:val="18"/>
                <w:szCs w:val="18"/>
              </w:rPr>
              <w:t>), twice daily, under special arrangements covered under the PBS section 100 (IVF Program) for LPS as part of an ART treatment cycle. The PBAC’s recommendation for listing was based on, among other matters, its assessment, that the cost-effectiveness of progesterone 300 mg capsule would be acceptable if it were cost-minimised at an equivalent price per treatment course against the least costly progesterone for LPS currently listed on the PBS. The PBAC accepted the main comparator as progesterone 200 mg, three times daily. The PBAC also considered all other PBS-listed forms of progesterone indicated for LPS as appropriate comparators.</w:t>
            </w:r>
          </w:p>
          <w:p w14:paraId="0669582E" w14:textId="77777777" w:rsidR="005627F2" w:rsidRDefault="005627F2" w:rsidP="00A94408">
            <w:pPr>
              <w:jc w:val="both"/>
              <w:rPr>
                <w:rFonts w:asciiTheme="minorHAnsi" w:hAnsiTheme="minorHAnsi" w:cstheme="minorBidi"/>
                <w:color w:val="000000"/>
                <w:sz w:val="18"/>
                <w:szCs w:val="18"/>
              </w:rPr>
            </w:pPr>
          </w:p>
          <w:p w14:paraId="64526954" w14:textId="1632C932" w:rsidR="004D59A5" w:rsidRPr="00F03408" w:rsidDel="008F66B5" w:rsidRDefault="005627F2" w:rsidP="00A94408">
            <w:pPr>
              <w:jc w:val="both"/>
              <w:rPr>
                <w:rFonts w:asciiTheme="minorHAnsi" w:hAnsiTheme="minorHAnsi" w:cstheme="minorBidi"/>
                <w:color w:val="000000"/>
                <w:sz w:val="18"/>
                <w:szCs w:val="18"/>
              </w:rPr>
            </w:pPr>
            <w:r w:rsidRPr="12F1B601">
              <w:rPr>
                <w:rFonts w:asciiTheme="minorHAnsi" w:hAnsiTheme="minorHAnsi" w:cstheme="minorBidi"/>
                <w:color w:val="000000" w:themeColor="text1"/>
                <w:sz w:val="18"/>
                <w:szCs w:val="18"/>
              </w:rPr>
              <w:t>The PBAC considered the equi-effective doses as progesterone capsule 300 mg BID for 15 days equivalent to progesterone 200 mg capsule TID for 14 days. The PBAC reaffirmed its July 2016 advice that progesterone 200 mg capsule TID for 14 days was equivalent to progesterone 8% vaginal gel 90 mg (</w:t>
            </w:r>
            <w:proofErr w:type="spellStart"/>
            <w:r w:rsidRPr="12F1B601">
              <w:rPr>
                <w:rFonts w:asciiTheme="minorHAnsi" w:hAnsiTheme="minorHAnsi" w:cstheme="minorBidi"/>
                <w:color w:val="000000" w:themeColor="text1"/>
                <w:sz w:val="18"/>
                <w:szCs w:val="18"/>
              </w:rPr>
              <w:t>Crinone</w:t>
            </w:r>
            <w:proofErr w:type="spellEnd"/>
            <w:r w:rsidRPr="12F1B601">
              <w:rPr>
                <w:rFonts w:asciiTheme="minorHAnsi" w:hAnsiTheme="minorHAnsi" w:cstheme="minorBidi"/>
                <w:color w:val="000000" w:themeColor="text1"/>
                <w:sz w:val="18"/>
                <w:szCs w:val="18"/>
              </w:rPr>
              <w:t>®) QD (once per day) for 15 days and progesterone tablet 100 mg (</w:t>
            </w:r>
            <w:proofErr w:type="spellStart"/>
            <w:r w:rsidRPr="12F1B601">
              <w:rPr>
                <w:rFonts w:asciiTheme="minorHAnsi" w:hAnsiTheme="minorHAnsi" w:cstheme="minorBidi"/>
                <w:color w:val="000000" w:themeColor="text1"/>
                <w:sz w:val="18"/>
                <w:szCs w:val="18"/>
              </w:rPr>
              <w:t>Endometrin</w:t>
            </w:r>
            <w:proofErr w:type="spellEnd"/>
            <w:r w:rsidRPr="12F1B601">
              <w:rPr>
                <w:rFonts w:asciiTheme="minorHAnsi" w:hAnsiTheme="minorHAnsi" w:cstheme="minorBidi"/>
                <w:color w:val="000000" w:themeColor="text1"/>
                <w:sz w:val="18"/>
                <w:szCs w:val="18"/>
              </w:rPr>
              <w:t>®) BID or TID for 14 days.</w:t>
            </w:r>
          </w:p>
        </w:tc>
      </w:tr>
      <w:tr w:rsidR="004D59A5" w:rsidRPr="008059F4" w:rsidDel="008F66B5" w14:paraId="43F0D609" w14:textId="5D922E28" w:rsidTr="75B0C150">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1D14E548" w14:textId="5EBCFE3B" w:rsidR="000E72B8"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lastRenderedPageBreak/>
              <w:t>PROPYLENE GLYCOL</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Eye drops 60 micrograms per mL, 10</w:t>
            </w:r>
            <w:r w:rsidR="00B575D4">
              <w:rPr>
                <w:rFonts w:asciiTheme="minorHAnsi" w:eastAsia="Arial" w:hAnsiTheme="minorHAnsi" w:cstheme="minorHAnsi"/>
                <w:color w:val="000000" w:themeColor="text1"/>
                <w:sz w:val="18"/>
                <w:szCs w:val="18"/>
              </w:rPr>
              <w:t> </w:t>
            </w:r>
            <w:r w:rsidRPr="00F03408">
              <w:rPr>
                <w:rFonts w:asciiTheme="minorHAnsi" w:eastAsia="Arial" w:hAnsiTheme="minorHAnsi" w:cstheme="minorHAnsi"/>
                <w:color w:val="000000" w:themeColor="text1"/>
                <w:sz w:val="18"/>
                <w:szCs w:val="18"/>
              </w:rPr>
              <w:t>mL</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Systane Balance</w:t>
            </w:r>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ALCON LABORATORIES (AUSTRALIA) PTY LTD</w:t>
            </w:r>
            <w:r w:rsidRPr="00F03408">
              <w:rPr>
                <w:rFonts w:asciiTheme="minorHAnsi" w:hAnsiTheme="minorHAnsi" w:cstheme="minorHAnsi"/>
                <w:sz w:val="18"/>
                <w:szCs w:val="18"/>
              </w:rPr>
              <w:br/>
            </w:r>
          </w:p>
          <w:p w14:paraId="38E8A33A" w14:textId="22F9C3FD" w:rsidR="3BB13E8F" w:rsidRPr="00F03408" w:rsidRDefault="000E72B8" w:rsidP="00A94408">
            <w:pPr>
              <w:jc w:val="center"/>
              <w:rPr>
                <w:rFonts w:asciiTheme="minorHAnsi" w:hAnsiTheme="minorHAnsi" w:cstheme="minorHAnsi"/>
                <w:sz w:val="18"/>
                <w:szCs w:val="18"/>
              </w:rPr>
            </w:pPr>
            <w:r>
              <w:rPr>
                <w:rFonts w:asciiTheme="minorHAnsi" w:hAnsiTheme="minorHAnsi" w:cstheme="minorHAnsi"/>
                <w:sz w:val="18"/>
                <w:szCs w:val="18"/>
              </w:rPr>
              <w:t>Category 3</w:t>
            </w:r>
            <w:r w:rsidR="3BB13E8F" w:rsidRPr="00F03408">
              <w:rPr>
                <w:rFonts w:asciiTheme="minorHAnsi" w:eastAsia="Arial" w:hAnsiTheme="minorHAnsi" w:cstheme="minorHAnsi"/>
                <w:color w:val="000000" w:themeColor="text1"/>
                <w:sz w:val="18"/>
                <w:szCs w:val="18"/>
              </w:rPr>
              <w:t xml:space="preserve"> </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7D2E4F61" w14:textId="058BDA43"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Severe dry eye syndrome</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0D807BB" w14:textId="71362658"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To request a General Schedule Restricted Benefit listing for the treatment of severe dry eye syndrome.</w:t>
            </w:r>
          </w:p>
        </w:tc>
        <w:tc>
          <w:tcPr>
            <w:tcW w:w="1584" w:type="dxa"/>
            <w:shd w:val="clear" w:color="auto" w:fill="auto"/>
            <w:vAlign w:val="center"/>
          </w:tcPr>
          <w:p w14:paraId="41EBECF1" w14:textId="5F371D40" w:rsidR="004D59A5" w:rsidRPr="00F03408" w:rsidDel="008F66B5" w:rsidRDefault="00B575D4"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shd w:val="clear" w:color="auto" w:fill="auto"/>
            <w:vAlign w:val="center"/>
          </w:tcPr>
          <w:p w14:paraId="12EDB2CB" w14:textId="76AE5B99" w:rsidR="004D59A5" w:rsidRPr="00F03408" w:rsidDel="008F66B5" w:rsidRDefault="00A23F28" w:rsidP="00A94408">
            <w:pPr>
              <w:jc w:val="both"/>
              <w:rPr>
                <w:rFonts w:asciiTheme="minorHAnsi" w:hAnsiTheme="minorHAnsi" w:cstheme="minorBidi"/>
                <w:color w:val="000000"/>
                <w:sz w:val="18"/>
                <w:szCs w:val="18"/>
              </w:rPr>
            </w:pPr>
            <w:r w:rsidRPr="12F1B601">
              <w:rPr>
                <w:rFonts w:asciiTheme="minorHAnsi" w:hAnsiTheme="minorHAnsi" w:cstheme="minorBidi"/>
                <w:color w:val="000000" w:themeColor="text1"/>
                <w:sz w:val="18"/>
                <w:szCs w:val="18"/>
              </w:rPr>
              <w:t>The PBAC recommended the listing of propylene glycol on a cost-minimisation basis to the lowest cost PBS-listed ocular lubricant.</w:t>
            </w:r>
            <w:r w:rsidRPr="12F1B601" w:rsidDel="008D2B78">
              <w:rPr>
                <w:rFonts w:asciiTheme="minorHAnsi" w:hAnsiTheme="minorHAnsi" w:cstheme="minorBidi"/>
                <w:color w:val="000000" w:themeColor="text1"/>
                <w:sz w:val="18"/>
                <w:szCs w:val="18"/>
              </w:rPr>
              <w:t xml:space="preserve"> </w:t>
            </w:r>
            <w:r w:rsidRPr="12F1B601">
              <w:rPr>
                <w:rFonts w:asciiTheme="minorHAnsi" w:hAnsiTheme="minorHAnsi" w:cstheme="minorBidi"/>
                <w:color w:val="000000" w:themeColor="text1"/>
                <w:sz w:val="18"/>
                <w:szCs w:val="18"/>
              </w:rPr>
              <w:t>The PBAC considered that propylene glycol was non-inferior in comparative safety and efficacy to both preservative free and preservative containing ocular lubricants</w:t>
            </w:r>
            <w:r w:rsidR="15AB04A8" w:rsidRPr="12F1B601">
              <w:rPr>
                <w:rFonts w:asciiTheme="minorHAnsi" w:hAnsiTheme="minorHAnsi" w:cstheme="minorBidi"/>
                <w:color w:val="000000" w:themeColor="text1"/>
                <w:sz w:val="18"/>
                <w:szCs w:val="18"/>
              </w:rPr>
              <w:t>,</w:t>
            </w:r>
            <w:r w:rsidRPr="12F1B601">
              <w:rPr>
                <w:rFonts w:asciiTheme="minorHAnsi" w:hAnsiTheme="minorHAnsi" w:cstheme="minorBidi"/>
                <w:color w:val="000000" w:themeColor="text1"/>
                <w:sz w:val="18"/>
                <w:szCs w:val="18"/>
              </w:rPr>
              <w:t xml:space="preserve"> but </w:t>
            </w:r>
            <w:r w:rsidR="0FEBE1A2" w:rsidRPr="12F1B601">
              <w:rPr>
                <w:rFonts w:asciiTheme="minorHAnsi" w:hAnsiTheme="minorHAnsi" w:cstheme="minorBidi"/>
                <w:color w:val="000000" w:themeColor="text1"/>
                <w:sz w:val="18"/>
                <w:szCs w:val="18"/>
              </w:rPr>
              <w:t xml:space="preserve">the submission </w:t>
            </w:r>
            <w:r w:rsidRPr="12F1B601">
              <w:rPr>
                <w:rFonts w:asciiTheme="minorHAnsi" w:hAnsiTheme="minorHAnsi" w:cstheme="minorBidi"/>
                <w:color w:val="000000" w:themeColor="text1"/>
                <w:sz w:val="18"/>
                <w:szCs w:val="18"/>
              </w:rPr>
              <w:t>had not demonstrated a significant improvement in efficacy or safety over other PBS-listed ocular lubricants.</w:t>
            </w:r>
          </w:p>
        </w:tc>
      </w:tr>
      <w:tr w:rsidR="007807EA" w:rsidRPr="008059F4" w:rsidDel="008F66B5" w14:paraId="41B47CB4" w14:textId="462C667B" w:rsidTr="00D003E5">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C3DCE44" w14:textId="1817AE8C"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RAVULIZUMAB</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Solution concentrate for I.V. infusion 300 mg in 3 mL</w:t>
            </w:r>
          </w:p>
          <w:p w14:paraId="36471A66" w14:textId="15BEBA9D" w:rsidR="00B575D4"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t>Solution concentrate for I.V. infusion</w:t>
            </w:r>
            <w:r w:rsidR="00B575D4">
              <w:rPr>
                <w:rFonts w:asciiTheme="minorHAnsi" w:eastAsia="Arial" w:hAnsiTheme="minorHAnsi" w:cstheme="minorHAnsi"/>
                <w:color w:val="000000" w:themeColor="text1"/>
                <w:sz w:val="18"/>
                <w:szCs w:val="18"/>
              </w:rPr>
              <w:t xml:space="preserve"> </w:t>
            </w:r>
            <w:r w:rsidRPr="00F03408">
              <w:rPr>
                <w:rFonts w:asciiTheme="minorHAnsi" w:eastAsia="Arial" w:hAnsiTheme="minorHAnsi" w:cstheme="minorHAnsi"/>
                <w:color w:val="000000" w:themeColor="text1"/>
                <w:sz w:val="18"/>
                <w:szCs w:val="18"/>
              </w:rPr>
              <w:t>1,100</w:t>
            </w:r>
            <w:r w:rsidR="00B575D4">
              <w:rPr>
                <w:rFonts w:asciiTheme="minorHAnsi" w:eastAsia="Arial" w:hAnsiTheme="minorHAnsi" w:cstheme="minorHAnsi"/>
                <w:color w:val="000000" w:themeColor="text1"/>
                <w:sz w:val="18"/>
                <w:szCs w:val="18"/>
              </w:rPr>
              <w:t> </w:t>
            </w:r>
            <w:r w:rsidRPr="00F03408">
              <w:rPr>
                <w:rFonts w:asciiTheme="minorHAnsi" w:eastAsia="Arial" w:hAnsiTheme="minorHAnsi" w:cstheme="minorHAnsi"/>
                <w:color w:val="000000" w:themeColor="text1"/>
                <w:sz w:val="18"/>
                <w:szCs w:val="18"/>
              </w:rPr>
              <w:t>mg in 11 mL</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Ultomiris</w:t>
            </w:r>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ALEXION PHARMACEUTICALS AUSTRALASIA PTY LTD</w:t>
            </w:r>
            <w:r w:rsidRPr="00F03408">
              <w:rPr>
                <w:rFonts w:asciiTheme="minorHAnsi" w:hAnsiTheme="minorHAnsi" w:cstheme="minorHAnsi"/>
                <w:sz w:val="18"/>
                <w:szCs w:val="18"/>
              </w:rPr>
              <w:br/>
            </w:r>
          </w:p>
          <w:p w14:paraId="7DF55830" w14:textId="5CFA62D2" w:rsidR="3BB13E8F" w:rsidRPr="00F03408" w:rsidRDefault="00B575D4" w:rsidP="00A94408">
            <w:pPr>
              <w:jc w:val="center"/>
              <w:rPr>
                <w:rFonts w:asciiTheme="minorHAnsi" w:hAnsiTheme="minorHAnsi" w:cstheme="minorHAnsi"/>
                <w:sz w:val="18"/>
                <w:szCs w:val="18"/>
              </w:rPr>
            </w:pPr>
            <w:r>
              <w:rPr>
                <w:rFonts w:asciiTheme="minorHAnsi" w:hAnsiTheme="minorHAnsi" w:cstheme="minorHAnsi"/>
                <w:sz w:val="18"/>
                <w:szCs w:val="18"/>
              </w:rPr>
              <w:t>Category 2</w:t>
            </w:r>
            <w:r w:rsidR="3BB13E8F" w:rsidRPr="00F03408">
              <w:rPr>
                <w:rFonts w:asciiTheme="minorHAnsi" w:eastAsia="Arial" w:hAnsiTheme="minorHAnsi" w:cstheme="minorHAnsi"/>
                <w:color w:val="000000" w:themeColor="text1"/>
                <w:sz w:val="18"/>
                <w:szCs w:val="18"/>
              </w:rPr>
              <w:t xml:space="preserve"> </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6D779DF2" w14:textId="4A993357"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Generalised myasthenia gravis (gMG)</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53A8F93" w14:textId="54AB9BEC" w:rsidR="3BB13E8F" w:rsidRPr="00F03408" w:rsidRDefault="3BB13E8F" w:rsidP="00A94408">
            <w:pPr>
              <w:jc w:val="center"/>
              <w:rPr>
                <w:rFonts w:asciiTheme="minorHAnsi" w:hAnsiTheme="minorHAnsi" w:cstheme="minorBidi"/>
                <w:sz w:val="18"/>
                <w:szCs w:val="18"/>
              </w:rPr>
            </w:pPr>
            <w:r w:rsidRPr="56B992B3">
              <w:rPr>
                <w:rFonts w:asciiTheme="minorHAnsi" w:eastAsia="Arial" w:hAnsiTheme="minorHAnsi" w:cstheme="minorBidi"/>
                <w:color w:val="000000" w:themeColor="text1"/>
                <w:sz w:val="18"/>
                <w:szCs w:val="18"/>
              </w:rPr>
              <w:t xml:space="preserve">To request a Section 100 (Highly Specialised Drugs Program) Authority Required (Written) listing for the treatment of adult patients with gMG who </w:t>
            </w:r>
            <w:proofErr w:type="gramStart"/>
            <w:r w:rsidRPr="56B992B3">
              <w:rPr>
                <w:rFonts w:asciiTheme="minorHAnsi" w:eastAsia="Arial" w:hAnsiTheme="minorHAnsi" w:cstheme="minorBidi"/>
                <w:color w:val="000000" w:themeColor="text1"/>
                <w:sz w:val="18"/>
                <w:szCs w:val="18"/>
              </w:rPr>
              <w:t xml:space="preserve">are anti-acetylcholine receptor </w:t>
            </w:r>
            <w:r w:rsidR="00B769B5" w:rsidRPr="56B992B3">
              <w:rPr>
                <w:rFonts w:asciiTheme="minorHAnsi" w:hAnsiTheme="minorHAnsi" w:cstheme="minorBidi"/>
                <w:color w:val="000000" w:themeColor="text1"/>
                <w:sz w:val="18"/>
                <w:szCs w:val="18"/>
              </w:rPr>
              <w:t>(AChR)</w:t>
            </w:r>
            <w:r w:rsidRPr="56B992B3">
              <w:rPr>
                <w:rFonts w:asciiTheme="minorHAnsi" w:eastAsia="Arial" w:hAnsiTheme="minorHAnsi" w:cstheme="minorBidi"/>
                <w:color w:val="000000" w:themeColor="text1"/>
                <w:sz w:val="18"/>
                <w:szCs w:val="18"/>
              </w:rPr>
              <w:t xml:space="preserve"> antibody</w:t>
            </w:r>
            <w:proofErr w:type="gramEnd"/>
            <w:r w:rsidRPr="56B992B3">
              <w:rPr>
                <w:rFonts w:asciiTheme="minorHAnsi" w:eastAsia="Arial" w:hAnsiTheme="minorHAnsi" w:cstheme="minorBidi"/>
                <w:color w:val="000000" w:themeColor="text1"/>
                <w:sz w:val="18"/>
                <w:szCs w:val="18"/>
              </w:rPr>
              <w:t xml:space="preserve"> positive.</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03001D80" w14:textId="77A19D7B" w:rsidR="004D59A5" w:rsidRPr="00F03408" w:rsidDel="008F66B5" w:rsidRDefault="009F3AB9"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 Recommended</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4D0674C8" w14:textId="058AEF54" w:rsidR="001302D0" w:rsidRPr="001302D0" w:rsidRDefault="001302D0" w:rsidP="001302D0">
            <w:pPr>
              <w:jc w:val="both"/>
              <w:rPr>
                <w:rFonts w:asciiTheme="minorHAnsi" w:hAnsiTheme="minorHAnsi" w:cstheme="minorBidi"/>
                <w:color w:val="000000"/>
                <w:sz w:val="18"/>
                <w:szCs w:val="18"/>
                <w:lang w:val="en-GB"/>
              </w:rPr>
            </w:pPr>
            <w:r w:rsidRPr="56B992B3">
              <w:rPr>
                <w:rFonts w:asciiTheme="minorHAnsi" w:hAnsiTheme="minorHAnsi" w:cstheme="minorBidi"/>
                <w:color w:val="000000" w:themeColor="text1"/>
                <w:sz w:val="18"/>
                <w:szCs w:val="18"/>
                <w:lang w:val="en-GB"/>
              </w:rPr>
              <w:t xml:space="preserve">The PBAC did not recommend the listing of ravulizumab for the treatment of </w:t>
            </w:r>
            <w:r w:rsidRPr="56B992B3">
              <w:rPr>
                <w:rFonts w:asciiTheme="minorHAnsi" w:hAnsiTheme="minorHAnsi" w:cstheme="minorBidi"/>
                <w:color w:val="000000" w:themeColor="text1"/>
                <w:sz w:val="18"/>
                <w:szCs w:val="18"/>
              </w:rPr>
              <w:t>patients with gMG who are AChR antibody positive. The PBAC considered that the incremental benefit shown in the trial was modest and that it was difficult to determine whether the incremental benefit would be clinically meaningful in the broad population requested for listing. Further, t</w:t>
            </w:r>
            <w:r w:rsidRPr="56B992B3">
              <w:rPr>
                <w:rFonts w:asciiTheme="minorHAnsi" w:hAnsiTheme="minorHAnsi" w:cstheme="minorBidi"/>
                <w:color w:val="000000" w:themeColor="text1"/>
                <w:sz w:val="18"/>
                <w:szCs w:val="18"/>
                <w:lang w:val="en-GB"/>
              </w:rPr>
              <w:t>he PBAC considered the incremental cost-effectiveness ratio presented in the submission was very high and likely to have been underestimated</w:t>
            </w:r>
            <w:r w:rsidRPr="56B992B3">
              <w:rPr>
                <w:rFonts w:asciiTheme="minorHAnsi" w:hAnsiTheme="minorHAnsi" w:cstheme="minorBidi"/>
                <w:color w:val="000000" w:themeColor="text1"/>
                <w:sz w:val="18"/>
                <w:szCs w:val="18"/>
              </w:rPr>
              <w:t>, and the proposed price was very high</w:t>
            </w:r>
            <w:r w:rsidRPr="56B992B3">
              <w:rPr>
                <w:rFonts w:asciiTheme="minorHAnsi" w:hAnsiTheme="minorHAnsi" w:cstheme="minorBidi"/>
                <w:color w:val="000000" w:themeColor="text1"/>
                <w:sz w:val="18"/>
                <w:szCs w:val="18"/>
                <w:lang w:val="en-GB"/>
              </w:rPr>
              <w:t xml:space="preserve">. </w:t>
            </w:r>
          </w:p>
          <w:p w14:paraId="0BBAEF3B" w14:textId="77777777" w:rsidR="001302D0" w:rsidRPr="001302D0" w:rsidRDefault="001302D0" w:rsidP="001302D0">
            <w:pPr>
              <w:jc w:val="both"/>
              <w:rPr>
                <w:rFonts w:asciiTheme="minorHAnsi" w:hAnsiTheme="minorHAnsi" w:cstheme="minorBidi"/>
                <w:color w:val="000000"/>
                <w:sz w:val="18"/>
                <w:szCs w:val="18"/>
                <w:lang w:val="en-GB"/>
              </w:rPr>
            </w:pPr>
            <w:r w:rsidRPr="56B992B3">
              <w:rPr>
                <w:rFonts w:asciiTheme="minorHAnsi" w:hAnsiTheme="minorHAnsi" w:cstheme="minorBidi"/>
                <w:color w:val="000000" w:themeColor="text1"/>
                <w:sz w:val="18"/>
                <w:szCs w:val="18"/>
              </w:rPr>
              <w:t>The PBAC recognised the high clinical need for effective therapies for gMG, particularly in patients who are not responding to or are unable to use existing therapies, and for those with refractory disease.</w:t>
            </w:r>
          </w:p>
          <w:p w14:paraId="4BCF3AF4" w14:textId="77777777" w:rsidR="001E389C" w:rsidRPr="001033CF" w:rsidRDefault="001E389C" w:rsidP="001E389C">
            <w:pPr>
              <w:jc w:val="both"/>
              <w:rPr>
                <w:rFonts w:asciiTheme="minorHAnsi" w:hAnsiTheme="minorHAnsi" w:cstheme="minorHAnsi"/>
                <w:color w:val="000000"/>
                <w:sz w:val="18"/>
                <w:szCs w:val="18"/>
              </w:rPr>
            </w:pPr>
          </w:p>
          <w:p w14:paraId="681571FD" w14:textId="77777777" w:rsidR="001E389C" w:rsidRPr="001033CF" w:rsidRDefault="001E389C" w:rsidP="001E389C">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u w:val="single"/>
              </w:rPr>
              <w:t>Sponsor’s Comment:</w:t>
            </w:r>
          </w:p>
          <w:p w14:paraId="36785728" w14:textId="03947D9C" w:rsidR="004D59A5" w:rsidRPr="00F03408" w:rsidDel="008F66B5" w:rsidRDefault="007F1F15" w:rsidP="00A94408">
            <w:pPr>
              <w:jc w:val="both"/>
              <w:rPr>
                <w:rFonts w:asciiTheme="minorHAnsi" w:hAnsiTheme="minorHAnsi" w:cstheme="minorHAnsi"/>
                <w:color w:val="000000"/>
                <w:sz w:val="18"/>
                <w:szCs w:val="18"/>
              </w:rPr>
            </w:pPr>
            <w:r w:rsidRPr="007F1F15">
              <w:rPr>
                <w:rFonts w:asciiTheme="minorHAnsi" w:hAnsiTheme="minorHAnsi" w:cstheme="minorHAnsi"/>
                <w:color w:val="000000"/>
                <w:sz w:val="18"/>
                <w:szCs w:val="18"/>
              </w:rPr>
              <w:t>Whilst Alexion is disappointed with the current outcome and its impact on patients living with gMG, they extend their sincere gratitude to all healthcare professionals, patient organisations and consumers for their invaluable input and support. Alexion is committed to working with the PBAC to ensure Australians living with gMG can access Ultomiris on the PBS at the earliest opportunity</w:t>
            </w:r>
            <w:r w:rsidR="00166279">
              <w:rPr>
                <w:rFonts w:asciiTheme="minorHAnsi" w:hAnsiTheme="minorHAnsi" w:cstheme="minorHAnsi"/>
                <w:color w:val="000000"/>
                <w:sz w:val="18"/>
                <w:szCs w:val="18"/>
              </w:rPr>
              <w:t>.</w:t>
            </w:r>
          </w:p>
        </w:tc>
      </w:tr>
      <w:tr w:rsidR="007807EA" w:rsidRPr="008059F4" w:rsidDel="008F66B5" w14:paraId="76945031" w14:textId="50AC5688" w:rsidTr="00D003E5">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9E081CA" w14:textId="77777777" w:rsidR="00B575D4"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lastRenderedPageBreak/>
              <w:t>RESPIRATORY SYNCYTIAL VIRUS VACCINE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Powder and suspension for injection (0.5 mL)</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Arexvy</w:t>
            </w:r>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GLAXOSMITHKLINE AUSTRALIA PTY LTD</w:t>
            </w:r>
            <w:r w:rsidRPr="00F03408">
              <w:rPr>
                <w:rFonts w:asciiTheme="minorHAnsi" w:hAnsiTheme="minorHAnsi" w:cstheme="minorHAnsi"/>
                <w:sz w:val="18"/>
                <w:szCs w:val="18"/>
              </w:rPr>
              <w:br/>
            </w:r>
          </w:p>
          <w:p w14:paraId="15BE5E6A" w14:textId="04DFDC88" w:rsidR="3BB13E8F" w:rsidRPr="00F03408" w:rsidRDefault="00B575D4" w:rsidP="00A94408">
            <w:pPr>
              <w:jc w:val="center"/>
              <w:rPr>
                <w:rFonts w:asciiTheme="minorHAnsi" w:hAnsiTheme="minorHAnsi" w:cstheme="minorHAnsi"/>
                <w:sz w:val="18"/>
                <w:szCs w:val="18"/>
              </w:rPr>
            </w:pPr>
            <w:r>
              <w:rPr>
                <w:rFonts w:asciiTheme="minorHAnsi" w:hAnsiTheme="minorHAnsi" w:cstheme="minorHAnsi"/>
                <w:sz w:val="18"/>
                <w:szCs w:val="18"/>
              </w:rPr>
              <w:t>Category 1</w:t>
            </w:r>
            <w:r w:rsidR="3BB13E8F" w:rsidRPr="00F03408">
              <w:rPr>
                <w:rFonts w:asciiTheme="minorHAnsi" w:eastAsia="Arial" w:hAnsiTheme="minorHAnsi" w:cstheme="minorHAnsi"/>
                <w:color w:val="000000" w:themeColor="text1"/>
                <w:sz w:val="18"/>
                <w:szCs w:val="18"/>
              </w:rPr>
              <w:t xml:space="preserve"> </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NIP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2568E6C7" w14:textId="7E726CDA"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Prevention of lower respiratory tract disease caused by respiratory syncytial virus (RSV)</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5CFAE47" w14:textId="55106550" w:rsidR="3BB13E8F" w:rsidRPr="00F03408" w:rsidRDefault="3BB13E8F" w:rsidP="00A94408">
            <w:pPr>
              <w:jc w:val="center"/>
              <w:rPr>
                <w:rFonts w:asciiTheme="minorHAnsi" w:hAnsiTheme="minorHAnsi" w:cstheme="minorBidi"/>
                <w:sz w:val="18"/>
                <w:szCs w:val="18"/>
              </w:rPr>
            </w:pPr>
            <w:r w:rsidRPr="56B992B3">
              <w:rPr>
                <w:rFonts w:asciiTheme="minorHAnsi" w:eastAsia="Arial" w:hAnsiTheme="minorHAnsi" w:cstheme="minorBidi"/>
                <w:color w:val="000000" w:themeColor="text1"/>
                <w:sz w:val="18"/>
                <w:szCs w:val="18"/>
              </w:rPr>
              <w:t xml:space="preserve">To request a National Immunisation Program </w:t>
            </w:r>
            <w:r w:rsidR="008A719B" w:rsidRPr="56B992B3">
              <w:rPr>
                <w:rFonts w:asciiTheme="minorHAnsi" w:eastAsia="Arial" w:hAnsiTheme="minorHAnsi" w:cstheme="minorBidi"/>
                <w:color w:val="000000" w:themeColor="text1"/>
                <w:sz w:val="18"/>
                <w:szCs w:val="18"/>
              </w:rPr>
              <w:t>(NIP)</w:t>
            </w:r>
            <w:r w:rsidRPr="56B992B3">
              <w:rPr>
                <w:rFonts w:asciiTheme="minorHAnsi" w:eastAsia="Arial" w:hAnsiTheme="minorHAnsi" w:cstheme="minorBidi"/>
                <w:color w:val="000000" w:themeColor="text1"/>
                <w:sz w:val="18"/>
                <w:szCs w:val="18"/>
              </w:rPr>
              <w:t xml:space="preserve"> listing for the prevention of RSV in patients aged 60 years and over. </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B8755EE" w14:textId="230432AE" w:rsidR="004D59A5" w:rsidRPr="00F03408" w:rsidDel="008F66B5" w:rsidRDefault="009F3AB9"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 Recommended</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2137D4F6" w14:textId="2B7258B3" w:rsidR="00B96ECF" w:rsidRPr="00B96ECF" w:rsidRDefault="00B96ECF" w:rsidP="00B96ECF">
            <w:pPr>
              <w:jc w:val="both"/>
              <w:rPr>
                <w:rFonts w:asciiTheme="minorHAnsi" w:hAnsiTheme="minorHAnsi" w:cstheme="minorBidi"/>
                <w:color w:val="000000"/>
                <w:sz w:val="18"/>
                <w:szCs w:val="18"/>
              </w:rPr>
            </w:pPr>
            <w:r w:rsidRPr="56B992B3">
              <w:rPr>
                <w:rFonts w:asciiTheme="minorHAnsi" w:hAnsiTheme="minorHAnsi" w:cstheme="minorBidi"/>
                <w:color w:val="000000" w:themeColor="text1"/>
                <w:sz w:val="18"/>
                <w:szCs w:val="18"/>
              </w:rPr>
              <w:t xml:space="preserve">The PBAC did not recommend that respiratory syncytial virus vaccine (Arexvy®, RSVpreF3 OA) be a designated vaccine for the purposes of the </w:t>
            </w:r>
            <w:r w:rsidRPr="56B992B3">
              <w:rPr>
                <w:rFonts w:asciiTheme="minorHAnsi" w:hAnsiTheme="minorHAnsi" w:cstheme="minorBidi"/>
                <w:i/>
                <w:iCs/>
                <w:color w:val="000000" w:themeColor="text1"/>
                <w:sz w:val="18"/>
                <w:szCs w:val="18"/>
              </w:rPr>
              <w:t>National Health Act 1953</w:t>
            </w:r>
            <w:r w:rsidRPr="56B992B3">
              <w:rPr>
                <w:rFonts w:asciiTheme="minorHAnsi" w:hAnsiTheme="minorHAnsi" w:cstheme="minorBidi"/>
                <w:color w:val="000000" w:themeColor="text1"/>
                <w:sz w:val="18"/>
                <w:szCs w:val="18"/>
              </w:rPr>
              <w:t xml:space="preserve"> for the prevention of lower respiratory tract illness caused by respiratory syncytial virus (RSV). The PBAC noted that the submission had proposed two alternative NIP schedules (i) among adults aged ≥60 years of age (YOA); and (ii) among adults ≥75 YOA. The PBAC noted that ATAGI supported a listing for patients aged 75 years and over; First Nations people aged 60 to 74 years; and people aged 60 to 74 years with conditions that increase their risk of severe disease due to RSV. The PBAC considered that the vaccine was superior to no vaccine in terms of effectiveness with an acceptable safety profile. The PBAC considered that the incremental cost-effectiveness ratio was unacceptably high and uncertain for adults aged ≥60 YOA and for adults aged ≥75 YOA. The PBAC noted that the cost-effectiveness RSVpreF3 OA in First Nations and high risk people aged 60-74 years was unknown as this was not addressed by the submission. </w:t>
            </w:r>
          </w:p>
          <w:p w14:paraId="7EBC16B3" w14:textId="77777777" w:rsidR="001E389C" w:rsidRPr="001033CF" w:rsidRDefault="001E389C" w:rsidP="001E389C">
            <w:pPr>
              <w:jc w:val="both"/>
              <w:rPr>
                <w:rFonts w:asciiTheme="minorHAnsi" w:hAnsiTheme="minorHAnsi" w:cstheme="minorHAnsi"/>
                <w:color w:val="000000"/>
                <w:sz w:val="18"/>
                <w:szCs w:val="18"/>
              </w:rPr>
            </w:pPr>
          </w:p>
          <w:p w14:paraId="10BFC4A5" w14:textId="77777777" w:rsidR="001E389C" w:rsidRPr="001033CF" w:rsidRDefault="001E389C" w:rsidP="001E389C">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u w:val="single"/>
              </w:rPr>
              <w:t>Sponsor’s Comment:</w:t>
            </w:r>
          </w:p>
          <w:p w14:paraId="41F8885E" w14:textId="774ECA59" w:rsidR="004D59A5" w:rsidRPr="00F03408" w:rsidDel="008F66B5" w:rsidRDefault="00E72A0F" w:rsidP="00A94408">
            <w:pPr>
              <w:jc w:val="both"/>
              <w:rPr>
                <w:rFonts w:asciiTheme="minorHAnsi" w:hAnsiTheme="minorHAnsi" w:cstheme="minorHAnsi"/>
                <w:sz w:val="18"/>
                <w:szCs w:val="18"/>
              </w:rPr>
            </w:pPr>
            <w:r w:rsidRPr="00E72A0F">
              <w:rPr>
                <w:rFonts w:asciiTheme="minorHAnsi" w:hAnsiTheme="minorHAnsi" w:cstheme="minorHAnsi"/>
                <w:sz w:val="18"/>
                <w:szCs w:val="18"/>
              </w:rPr>
              <w:t>GSK is disappointed by the decision to not recommend Arexvy at the July 2024 meeting but looks forward to working with the PBAC and ATAGI to ensure older adults are protected against lower respiratory tract illness caused by RSV</w:t>
            </w:r>
            <w:r w:rsidR="00166279">
              <w:rPr>
                <w:rFonts w:asciiTheme="minorHAnsi" w:hAnsiTheme="minorHAnsi" w:cstheme="minorHAnsi"/>
                <w:sz w:val="18"/>
                <w:szCs w:val="18"/>
              </w:rPr>
              <w:t>.</w:t>
            </w:r>
          </w:p>
        </w:tc>
      </w:tr>
      <w:tr w:rsidR="004D59A5" w:rsidRPr="008059F4" w:rsidDel="008F66B5" w14:paraId="07695403" w14:textId="735C28BB" w:rsidTr="75B0C150">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38689E1" w14:textId="77777777" w:rsidR="003020B4"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lastRenderedPageBreak/>
              <w:t xml:space="preserve">RISDIPLAM </w:t>
            </w:r>
            <w:r w:rsidRPr="00F03408">
              <w:rPr>
                <w:rFonts w:asciiTheme="minorHAnsi" w:hAnsiTheme="minorHAnsi" w:cstheme="minorHAnsi"/>
                <w:sz w:val="18"/>
                <w:szCs w:val="18"/>
              </w:rPr>
              <w:br/>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Powder for oral solution 750 micrograms per mL, 80 mL</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Evrysdi</w:t>
            </w:r>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ROCHE PRODUCTS PTY LTD</w:t>
            </w:r>
            <w:r w:rsidRPr="00F03408">
              <w:rPr>
                <w:rFonts w:asciiTheme="minorHAnsi" w:hAnsiTheme="minorHAnsi" w:cstheme="minorHAnsi"/>
                <w:sz w:val="18"/>
                <w:szCs w:val="18"/>
              </w:rPr>
              <w:br/>
            </w:r>
          </w:p>
          <w:p w14:paraId="376F530F" w14:textId="0288CE9D" w:rsidR="3BB13E8F" w:rsidRPr="00F03408" w:rsidRDefault="003020B4" w:rsidP="00A94408">
            <w:pPr>
              <w:jc w:val="center"/>
              <w:rPr>
                <w:rFonts w:asciiTheme="minorHAnsi" w:hAnsiTheme="minorHAnsi" w:cstheme="minorHAnsi"/>
                <w:sz w:val="18"/>
                <w:szCs w:val="18"/>
              </w:rPr>
            </w:pPr>
            <w:r>
              <w:rPr>
                <w:rFonts w:asciiTheme="minorHAnsi" w:hAnsiTheme="minorHAnsi" w:cstheme="minorHAnsi"/>
                <w:sz w:val="18"/>
                <w:szCs w:val="18"/>
              </w:rPr>
              <w:t>Category 2</w:t>
            </w:r>
            <w:r w:rsidR="3BB13E8F" w:rsidRPr="00F03408">
              <w:rPr>
                <w:rFonts w:asciiTheme="minorHAnsi" w:eastAsia="Arial" w:hAnsiTheme="minorHAnsi" w:cstheme="minorHAnsi"/>
                <w:color w:val="000000" w:themeColor="text1"/>
                <w:sz w:val="18"/>
                <w:szCs w:val="18"/>
              </w:rPr>
              <w:t xml:space="preserve"> </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4C010855" w14:textId="69EC57D2"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Spinal muscular atrophy (SMA)</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3A6A721" w14:textId="1D78AF5A" w:rsidR="3BB13E8F" w:rsidRPr="00F03408" w:rsidRDefault="3BB13E8F" w:rsidP="00A94408">
            <w:pPr>
              <w:jc w:val="center"/>
              <w:rPr>
                <w:rFonts w:asciiTheme="minorHAnsi" w:hAnsiTheme="minorHAnsi" w:cstheme="minorBidi"/>
                <w:sz w:val="18"/>
                <w:szCs w:val="18"/>
              </w:rPr>
            </w:pPr>
            <w:r w:rsidRPr="12F1B601">
              <w:rPr>
                <w:rFonts w:asciiTheme="minorHAnsi" w:eastAsia="Arial" w:hAnsiTheme="minorHAnsi" w:cstheme="minorBidi"/>
                <w:color w:val="000000" w:themeColor="text1"/>
                <w:sz w:val="18"/>
                <w:szCs w:val="18"/>
              </w:rPr>
              <w:t>To request a Section 100 (Highly Specialised Drugs Program) Authority Required (Written) listing for the treatment of patients with confirmed genetic diagnosis of SMA (</w:t>
            </w:r>
            <w:r w:rsidRPr="12F1B601">
              <w:rPr>
                <w:rFonts w:asciiTheme="minorHAnsi" w:eastAsia="Arial" w:hAnsiTheme="minorHAnsi" w:cstheme="minorBidi"/>
                <w:i/>
                <w:color w:val="000000" w:themeColor="text1"/>
                <w:sz w:val="18"/>
                <w:szCs w:val="18"/>
              </w:rPr>
              <w:t>SMA1</w:t>
            </w:r>
            <w:r w:rsidRPr="12F1B601">
              <w:rPr>
                <w:rFonts w:asciiTheme="minorHAnsi" w:eastAsia="Arial" w:hAnsiTheme="minorHAnsi" w:cstheme="minorBidi"/>
                <w:color w:val="000000" w:themeColor="text1"/>
                <w:sz w:val="18"/>
                <w:szCs w:val="18"/>
              </w:rPr>
              <w:t xml:space="preserve"> deletion or mutation) who have a </w:t>
            </w:r>
            <w:r w:rsidR="00B36C52" w:rsidRPr="12F1B601">
              <w:rPr>
                <w:rFonts w:asciiTheme="minorHAnsi" w:hAnsiTheme="minorHAnsi" w:cstheme="minorBidi"/>
                <w:color w:val="000000" w:themeColor="text1"/>
                <w:sz w:val="18"/>
                <w:szCs w:val="18"/>
              </w:rPr>
              <w:t xml:space="preserve">survival motor neuron 2 </w:t>
            </w:r>
            <w:r w:rsidR="00641820" w:rsidRPr="12F1B601">
              <w:rPr>
                <w:rFonts w:asciiTheme="minorHAnsi" w:hAnsiTheme="minorHAnsi" w:cstheme="minorBidi"/>
                <w:color w:val="000000" w:themeColor="text1"/>
                <w:sz w:val="18"/>
                <w:szCs w:val="18"/>
              </w:rPr>
              <w:t>(</w:t>
            </w:r>
            <w:r w:rsidRPr="12F1B601">
              <w:rPr>
                <w:rFonts w:asciiTheme="minorHAnsi" w:eastAsia="Arial" w:hAnsiTheme="minorHAnsi" w:cstheme="minorBidi"/>
                <w:i/>
                <w:color w:val="000000" w:themeColor="text1"/>
                <w:sz w:val="18"/>
                <w:szCs w:val="18"/>
              </w:rPr>
              <w:t>SMN2</w:t>
            </w:r>
            <w:r w:rsidR="00641820" w:rsidRPr="12F1B601">
              <w:rPr>
                <w:rFonts w:asciiTheme="minorHAnsi" w:eastAsia="Arial" w:hAnsiTheme="minorHAnsi" w:cstheme="minorBidi"/>
                <w:color w:val="000000" w:themeColor="text1"/>
                <w:sz w:val="18"/>
                <w:szCs w:val="18"/>
              </w:rPr>
              <w:t>)</w:t>
            </w:r>
            <w:r w:rsidRPr="12F1B601">
              <w:rPr>
                <w:rFonts w:asciiTheme="minorHAnsi" w:eastAsia="Arial" w:hAnsiTheme="minorHAnsi" w:cstheme="minorBidi"/>
                <w:color w:val="000000" w:themeColor="text1"/>
                <w:sz w:val="18"/>
                <w:szCs w:val="18"/>
              </w:rPr>
              <w:t xml:space="preserve"> gene copy number of 3.</w:t>
            </w:r>
          </w:p>
        </w:tc>
        <w:tc>
          <w:tcPr>
            <w:tcW w:w="1584" w:type="dxa"/>
            <w:shd w:val="clear" w:color="auto" w:fill="auto"/>
            <w:vAlign w:val="center"/>
          </w:tcPr>
          <w:p w14:paraId="09038FC0" w14:textId="3105EE80" w:rsidR="004D59A5" w:rsidRPr="00F03408" w:rsidDel="008F66B5" w:rsidRDefault="000726C3"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shd w:val="clear" w:color="auto" w:fill="auto"/>
            <w:vAlign w:val="center"/>
          </w:tcPr>
          <w:p w14:paraId="6B47F860" w14:textId="78C99B7A" w:rsidR="004D59A5" w:rsidRDefault="005B3B79" w:rsidP="00A94408">
            <w:pPr>
              <w:jc w:val="both"/>
              <w:rPr>
                <w:rFonts w:asciiTheme="minorHAnsi" w:hAnsiTheme="minorHAnsi" w:cstheme="minorBidi"/>
                <w:color w:val="000000"/>
                <w:sz w:val="18"/>
                <w:szCs w:val="18"/>
              </w:rPr>
            </w:pPr>
            <w:r w:rsidRPr="7AE6442B">
              <w:rPr>
                <w:rFonts w:asciiTheme="minorHAnsi" w:hAnsiTheme="minorHAnsi" w:cstheme="minorBidi"/>
                <w:color w:val="000000"/>
                <w:sz w:val="18"/>
                <w:szCs w:val="18"/>
              </w:rPr>
              <w:t>The PBAC recommended the listing of risdiplam for the pre-symptomatic initiation of treatment in patients aged &lt;</w:t>
            </w:r>
            <w:r w:rsidR="00880C59" w:rsidRPr="7AE6442B">
              <w:rPr>
                <w:rFonts w:asciiTheme="minorHAnsi" w:hAnsiTheme="minorHAnsi" w:cstheme="minorBidi"/>
                <w:color w:val="000000"/>
                <w:sz w:val="18"/>
                <w:szCs w:val="18"/>
              </w:rPr>
              <w:t> </w:t>
            </w:r>
            <w:r w:rsidRPr="7AE6442B">
              <w:rPr>
                <w:rFonts w:asciiTheme="minorHAnsi" w:hAnsiTheme="minorHAnsi" w:cstheme="minorBidi"/>
                <w:color w:val="000000"/>
                <w:sz w:val="18"/>
                <w:szCs w:val="18"/>
              </w:rPr>
              <w:t>36</w:t>
            </w:r>
            <w:r w:rsidR="00880C59" w:rsidRPr="7AE6442B">
              <w:rPr>
                <w:rFonts w:asciiTheme="minorHAnsi" w:hAnsiTheme="minorHAnsi" w:cstheme="minorBidi"/>
                <w:color w:val="000000"/>
                <w:sz w:val="18"/>
                <w:szCs w:val="18"/>
              </w:rPr>
              <w:t> </w:t>
            </w:r>
            <w:r w:rsidRPr="7AE6442B">
              <w:rPr>
                <w:rFonts w:asciiTheme="minorHAnsi" w:hAnsiTheme="minorHAnsi" w:cstheme="minorBidi"/>
                <w:color w:val="000000"/>
                <w:sz w:val="18"/>
                <w:szCs w:val="18"/>
              </w:rPr>
              <w:t xml:space="preserve">months, genetically diagnosed with SMA, who have a </w:t>
            </w:r>
            <w:r w:rsidRPr="7AE6442B">
              <w:rPr>
                <w:rFonts w:asciiTheme="minorHAnsi" w:hAnsiTheme="minorHAnsi" w:cstheme="minorBidi"/>
                <w:i/>
                <w:color w:val="000000"/>
                <w:sz w:val="18"/>
                <w:szCs w:val="18"/>
              </w:rPr>
              <w:t>SMN2</w:t>
            </w:r>
            <w:r w:rsidRPr="7AE6442B">
              <w:rPr>
                <w:rFonts w:asciiTheme="minorHAnsi" w:hAnsiTheme="minorHAnsi" w:cstheme="minorBidi"/>
                <w:color w:val="000000"/>
                <w:sz w:val="18"/>
                <w:szCs w:val="18"/>
              </w:rPr>
              <w:t xml:space="preserve"> gene copy number of 3, on the basis that it should be available only under special arrangements under Section 100. The PBAC’s recommendation for listing was based on, among other matters, its assessment, that the cost-effectiveness of risdiplam would be acceptable if it were cost</w:t>
            </w:r>
            <w:r w:rsidR="00880C59">
              <w:rPr>
                <w:rFonts w:asciiTheme="minorHAnsi" w:hAnsiTheme="minorHAnsi" w:cstheme="minorHAnsi"/>
                <w:color w:val="000000"/>
                <w:sz w:val="18"/>
                <w:szCs w:val="18"/>
              </w:rPr>
              <w:noBreakHyphen/>
            </w:r>
            <w:r w:rsidRPr="7AE6442B">
              <w:rPr>
                <w:rFonts w:asciiTheme="minorHAnsi" w:hAnsiTheme="minorHAnsi" w:cstheme="minorBidi"/>
                <w:color w:val="000000"/>
                <w:sz w:val="18"/>
                <w:szCs w:val="18"/>
              </w:rPr>
              <w:t xml:space="preserve">minimised against nusinersen. </w:t>
            </w:r>
          </w:p>
          <w:p w14:paraId="6F935BB5" w14:textId="77777777" w:rsidR="0024566E" w:rsidRDefault="0024566E" w:rsidP="00A94408">
            <w:pPr>
              <w:jc w:val="both"/>
              <w:rPr>
                <w:rFonts w:asciiTheme="minorHAnsi" w:hAnsiTheme="minorHAnsi" w:cstheme="minorBidi"/>
                <w:color w:val="000000"/>
                <w:sz w:val="18"/>
                <w:szCs w:val="18"/>
              </w:rPr>
            </w:pPr>
          </w:p>
          <w:p w14:paraId="470360AA" w14:textId="1A091566" w:rsidR="002F7DAA" w:rsidRPr="00166279" w:rsidRDefault="002F7DAA" w:rsidP="00A94408">
            <w:pPr>
              <w:jc w:val="both"/>
              <w:rPr>
                <w:rFonts w:asciiTheme="minorHAnsi" w:hAnsiTheme="minorHAnsi" w:cstheme="minorBidi"/>
                <w:color w:val="000000"/>
                <w:sz w:val="18"/>
                <w:szCs w:val="18"/>
              </w:rPr>
            </w:pPr>
            <w:r w:rsidRPr="00166279">
              <w:rPr>
                <w:rFonts w:asciiTheme="minorHAnsi" w:hAnsiTheme="minorHAnsi" w:cstheme="minorBidi"/>
                <w:color w:val="000000" w:themeColor="text1"/>
                <w:sz w:val="18"/>
                <w:szCs w:val="18"/>
              </w:rPr>
              <w:t>The PBAC’s recommendation was based on equi-effective doses of 5 mg of risdiplam daily and nusinersen 12 mg (5 mL) per administration every 4 months (3 per year, i.e. excluding nusinersen loading doses) consistent with its previous advice for the pre-symptomatic initiation of risdiplam in patients with SMA and an SMN2 gene copy number of 1 or 2.</w:t>
            </w:r>
          </w:p>
          <w:p w14:paraId="2C3E92AD" w14:textId="77777777" w:rsidR="002F7DAA" w:rsidRPr="00166279" w:rsidRDefault="002F7DAA" w:rsidP="00A94408">
            <w:pPr>
              <w:jc w:val="both"/>
              <w:rPr>
                <w:rFonts w:asciiTheme="minorHAnsi" w:hAnsiTheme="minorHAnsi" w:cstheme="minorBidi"/>
                <w:color w:val="000000"/>
                <w:sz w:val="18"/>
                <w:szCs w:val="18"/>
              </w:rPr>
            </w:pPr>
          </w:p>
          <w:p w14:paraId="68AE7271" w14:textId="2999EC6D" w:rsidR="004D59A5" w:rsidRPr="00F03408" w:rsidDel="008F66B5" w:rsidRDefault="0024566E" w:rsidP="00A94408">
            <w:pPr>
              <w:jc w:val="both"/>
              <w:rPr>
                <w:rFonts w:asciiTheme="minorHAnsi" w:hAnsiTheme="minorHAnsi" w:cstheme="minorBidi"/>
                <w:color w:val="000000"/>
                <w:sz w:val="18"/>
                <w:szCs w:val="18"/>
              </w:rPr>
            </w:pPr>
            <w:r w:rsidRPr="00166279">
              <w:rPr>
                <w:rFonts w:asciiTheme="minorHAnsi" w:hAnsiTheme="minorHAnsi" w:cstheme="minorBidi"/>
                <w:color w:val="000000" w:themeColor="text1"/>
                <w:sz w:val="18"/>
                <w:szCs w:val="18"/>
              </w:rPr>
              <w:t xml:space="preserve">The PBAC considered that flow-on changes to the </w:t>
            </w:r>
            <w:r w:rsidR="00761948" w:rsidRPr="00166279">
              <w:rPr>
                <w:rFonts w:asciiTheme="minorHAnsi" w:hAnsiTheme="minorHAnsi" w:cstheme="minorBidi"/>
                <w:color w:val="000000" w:themeColor="text1"/>
                <w:sz w:val="18"/>
                <w:szCs w:val="18"/>
              </w:rPr>
              <w:t xml:space="preserve">onasemnogene abeparvovec (ONA) </w:t>
            </w:r>
            <w:r w:rsidRPr="00166279">
              <w:rPr>
                <w:rFonts w:asciiTheme="minorHAnsi" w:hAnsiTheme="minorHAnsi" w:cstheme="minorBidi"/>
                <w:color w:val="000000" w:themeColor="text1"/>
                <w:sz w:val="18"/>
                <w:szCs w:val="18"/>
              </w:rPr>
              <w:t>restrictions would be required to allow patients with 3 copies of the SMN2 gene to switch from pre-symptomatic treatment with risdiplam to ONA</w:t>
            </w:r>
            <w:r w:rsidRPr="12F1B601">
              <w:rPr>
                <w:rFonts w:asciiTheme="minorHAnsi" w:hAnsiTheme="minorHAnsi" w:cstheme="minorBidi"/>
                <w:color w:val="000000" w:themeColor="text1"/>
                <w:sz w:val="18"/>
                <w:szCs w:val="18"/>
              </w:rPr>
              <w:t>.</w:t>
            </w:r>
          </w:p>
        </w:tc>
      </w:tr>
      <w:tr w:rsidR="009D317D" w:rsidRPr="008059F4" w:rsidDel="008F66B5" w14:paraId="6CE326A4" w14:textId="5390A4E0" w:rsidTr="75B0C150">
        <w:trPr>
          <w:cantSplit/>
          <w:trHeight w:val="2948"/>
          <w:jc w:val="center"/>
        </w:trPr>
        <w:tc>
          <w:tcPr>
            <w:tcW w:w="301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484A139" w14:textId="77777777" w:rsidR="000726C3"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t xml:space="preserve">SELPERCATINIB </w:t>
            </w:r>
            <w:r w:rsidRPr="00F03408">
              <w:rPr>
                <w:rFonts w:asciiTheme="minorHAnsi" w:hAnsiTheme="minorHAnsi" w:cstheme="minorHAnsi"/>
                <w:sz w:val="18"/>
                <w:szCs w:val="18"/>
              </w:rPr>
              <w:br/>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Capsule 40 mg</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Capsule 80 mg</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Retevmo</w:t>
            </w:r>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ELI LILLY AUSTRALIA PTY LTD</w:t>
            </w:r>
            <w:r w:rsidRPr="00F03408">
              <w:rPr>
                <w:rFonts w:asciiTheme="minorHAnsi" w:hAnsiTheme="minorHAnsi" w:cstheme="minorHAnsi"/>
                <w:sz w:val="18"/>
                <w:szCs w:val="18"/>
              </w:rPr>
              <w:br/>
            </w:r>
          </w:p>
          <w:p w14:paraId="16567222" w14:textId="5F00C897" w:rsidR="3BB13E8F" w:rsidRPr="00F03408" w:rsidRDefault="000726C3" w:rsidP="00A94408">
            <w:pPr>
              <w:jc w:val="center"/>
              <w:rPr>
                <w:rFonts w:asciiTheme="minorHAnsi" w:hAnsiTheme="minorHAnsi" w:cstheme="minorHAnsi"/>
                <w:sz w:val="18"/>
                <w:szCs w:val="18"/>
              </w:rPr>
            </w:pPr>
            <w:r>
              <w:rPr>
                <w:rFonts w:asciiTheme="minorHAnsi" w:eastAsia="Arial" w:hAnsiTheme="minorHAnsi" w:cstheme="minorHAnsi"/>
                <w:color w:val="000000" w:themeColor="text1"/>
                <w:sz w:val="18"/>
                <w:szCs w:val="18"/>
              </w:rPr>
              <w:t>Standard re-entry</w:t>
            </w:r>
            <w:r w:rsidR="3BB13E8F" w:rsidRPr="00F03408">
              <w:rPr>
                <w:rFonts w:asciiTheme="minorHAnsi" w:eastAsia="Arial" w:hAnsiTheme="minorHAnsi" w:cstheme="minorHAnsi"/>
                <w:color w:val="000000" w:themeColor="text1"/>
                <w:sz w:val="18"/>
                <w:szCs w:val="18"/>
              </w:rPr>
              <w:t xml:space="preserve"> </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vAlign w:val="center"/>
          </w:tcPr>
          <w:p w14:paraId="66388BE8" w14:textId="6D8BD85A"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Non-small cell lung cancer (NSCLC)</w:t>
            </w:r>
          </w:p>
        </w:tc>
        <w:tc>
          <w:tcPr>
            <w:tcW w:w="29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D9B6E29" w14:textId="766496E6"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Resubmission to request a General Schedule Authority Required (STREAMLINED) listing for the treatment of advanced or metastatic, rearranged during transfection (RET) fusion-positive NSCLC.</w:t>
            </w:r>
          </w:p>
        </w:tc>
        <w:tc>
          <w:tcPr>
            <w:tcW w:w="1584" w:type="dxa"/>
            <w:vAlign w:val="center"/>
          </w:tcPr>
          <w:p w14:paraId="53550707" w14:textId="5A6F1696" w:rsidR="009D317D" w:rsidRPr="00F03408" w:rsidDel="008F66B5" w:rsidRDefault="00CE13D2"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vAlign w:val="center"/>
          </w:tcPr>
          <w:p w14:paraId="7FFB75CD" w14:textId="422F7BBF" w:rsidR="009D317D" w:rsidRPr="00F03408" w:rsidDel="008F66B5" w:rsidRDefault="00AF5C8B" w:rsidP="00A94408">
            <w:pPr>
              <w:jc w:val="both"/>
              <w:rPr>
                <w:rFonts w:asciiTheme="minorHAnsi" w:hAnsiTheme="minorHAnsi" w:cstheme="minorBidi"/>
                <w:color w:val="000000"/>
                <w:sz w:val="18"/>
                <w:szCs w:val="18"/>
              </w:rPr>
            </w:pPr>
            <w:bookmarkStart w:id="7" w:name="_Hlk111543267"/>
            <w:r w:rsidRPr="12F1B601">
              <w:rPr>
                <w:rFonts w:asciiTheme="minorHAnsi" w:hAnsiTheme="minorHAnsi" w:cstheme="minorBidi"/>
                <w:color w:val="000000" w:themeColor="text1"/>
                <w:sz w:val="18"/>
                <w:szCs w:val="18"/>
              </w:rPr>
              <w:t xml:space="preserve">The PBAC recommended selpercatinib for the treatment of advanced or metastatic RET fusion-positive NSCLC. The PBAC considered that the additional clinical evidence presented in the resubmission supported the claim that selpercatinib was superior to </w:t>
            </w:r>
            <w:r w:rsidRPr="12F1B601">
              <w:rPr>
                <w:rFonts w:asciiTheme="minorHAnsi" w:hAnsiTheme="minorHAnsi" w:cstheme="minorBidi"/>
                <w:color w:val="000000" w:themeColor="text1"/>
                <w:sz w:val="18"/>
                <w:szCs w:val="18"/>
                <w:lang w:val="en-GB"/>
              </w:rPr>
              <w:t xml:space="preserve">pembrolizumab plus platinum-based doublet chemotherapy </w:t>
            </w:r>
            <w:r w:rsidRPr="12F1B601">
              <w:rPr>
                <w:rFonts w:asciiTheme="minorHAnsi" w:hAnsiTheme="minorHAnsi" w:cstheme="minorBidi"/>
                <w:color w:val="000000" w:themeColor="text1"/>
                <w:sz w:val="18"/>
                <w:szCs w:val="18"/>
              </w:rPr>
              <w:t>in terms of progression free survival but that the magnitude of any overall survival (OS) benefit remained uncertain. The PBAC considered that applying a more conservative extrapolation function to OS in the economic model would be appropriate. The PBAC considered selpercatinib would be cost effective with an ICER of less than</w:t>
            </w:r>
            <w:r w:rsidR="00B6401C" w:rsidRPr="12F1B601">
              <w:rPr>
                <w:rFonts w:asciiTheme="minorHAnsi" w:hAnsiTheme="minorHAnsi" w:cstheme="minorBidi"/>
                <w:color w:val="000000" w:themeColor="text1"/>
                <w:sz w:val="18"/>
                <w:szCs w:val="18"/>
              </w:rPr>
              <w:t> </w:t>
            </w:r>
            <w:r w:rsidRPr="12F1B601">
              <w:rPr>
                <w:rFonts w:asciiTheme="minorHAnsi" w:hAnsiTheme="minorHAnsi" w:cstheme="minorBidi"/>
                <w:color w:val="000000" w:themeColor="text1"/>
                <w:sz w:val="18"/>
                <w:szCs w:val="18"/>
              </w:rPr>
              <w:t xml:space="preserve">$75,000 per QALY gained (using the effective price of pembrolizumab), consistent with other targeted therapies for NSCLC. </w:t>
            </w:r>
            <w:r w:rsidRPr="12F1B601">
              <w:rPr>
                <w:rFonts w:asciiTheme="minorHAnsi" w:hAnsiTheme="minorHAnsi" w:cstheme="minorBidi"/>
                <w:color w:val="000000" w:themeColor="text1"/>
                <w:sz w:val="18"/>
                <w:szCs w:val="18"/>
                <w:lang w:val="en-GB"/>
              </w:rPr>
              <w:t>The PBAC noted that flow on changes to the PBS listing of pembrolizumab for Stage IV (metastatic) NSCLC would be required to enable its use after selpercatinib.</w:t>
            </w:r>
            <w:bookmarkEnd w:id="7"/>
          </w:p>
        </w:tc>
      </w:tr>
      <w:tr w:rsidR="004D59A5" w:rsidRPr="008059F4" w:rsidDel="008F66B5" w14:paraId="46ED49FD" w14:textId="2DD61D03" w:rsidTr="75B0C150">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D955B5B" w14:textId="5D1792EE"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lastRenderedPageBreak/>
              <w:t>TALAZOPARIB</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Capsule 0.1 mg </w:t>
            </w:r>
          </w:p>
          <w:p w14:paraId="5C5CE12C" w14:textId="675A21D8"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Capsule 0.25 mg</w:t>
            </w:r>
          </w:p>
          <w:p w14:paraId="15BDFBAF" w14:textId="2DA372F8"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Capsule 0.35 mg</w:t>
            </w:r>
          </w:p>
          <w:p w14:paraId="45125EA3" w14:textId="77777777" w:rsidR="00964B2B"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t xml:space="preserve">Capsule 0.5 mg </w:t>
            </w:r>
            <w:r w:rsidRPr="00F03408">
              <w:rPr>
                <w:rFonts w:asciiTheme="minorHAnsi" w:hAnsiTheme="minorHAnsi" w:cstheme="minorHAnsi"/>
                <w:sz w:val="18"/>
                <w:szCs w:val="18"/>
              </w:rPr>
              <w:br/>
            </w:r>
            <w:r w:rsidRPr="00F03408">
              <w:rPr>
                <w:rFonts w:asciiTheme="minorHAnsi" w:hAnsiTheme="minorHAnsi" w:cstheme="minorHAnsi"/>
                <w:sz w:val="18"/>
                <w:szCs w:val="18"/>
              </w:rPr>
              <w:br/>
            </w:r>
            <w:proofErr w:type="spellStart"/>
            <w:r w:rsidRPr="00F03408">
              <w:rPr>
                <w:rFonts w:asciiTheme="minorHAnsi" w:eastAsia="Arial" w:hAnsiTheme="minorHAnsi" w:cstheme="minorHAnsi"/>
                <w:color w:val="000000" w:themeColor="text1"/>
                <w:sz w:val="18"/>
                <w:szCs w:val="18"/>
              </w:rPr>
              <w:t>Talzenna</w:t>
            </w:r>
            <w:proofErr w:type="spellEnd"/>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PFIZER AUSTRALIA PTY LTD</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p>
          <w:p w14:paraId="4EDB60CF" w14:textId="7C893CF6" w:rsidR="3BB13E8F" w:rsidRPr="00F03408" w:rsidRDefault="00964B2B" w:rsidP="00A94408">
            <w:pPr>
              <w:jc w:val="center"/>
              <w:rPr>
                <w:rFonts w:asciiTheme="minorHAnsi" w:hAnsiTheme="minorHAnsi" w:cstheme="minorHAnsi"/>
                <w:sz w:val="18"/>
                <w:szCs w:val="18"/>
              </w:rPr>
            </w:pPr>
            <w:r>
              <w:rPr>
                <w:rFonts w:asciiTheme="minorHAnsi" w:eastAsia="Arial" w:hAnsiTheme="minorHAnsi" w:cstheme="minorHAnsi"/>
                <w:color w:val="000000" w:themeColor="text1"/>
                <w:sz w:val="18"/>
                <w:szCs w:val="18"/>
              </w:rPr>
              <w:t>Early re-entry</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63B2B24C" w14:textId="31D9F303"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Prostate cancer (PC)</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FB064D2" w14:textId="6E6D7B25" w:rsidR="3BB13E8F" w:rsidRPr="00F03408" w:rsidRDefault="3BB13E8F" w:rsidP="00A94408">
            <w:pPr>
              <w:jc w:val="center"/>
              <w:rPr>
                <w:rFonts w:asciiTheme="minorHAnsi" w:hAnsiTheme="minorHAnsi" w:cstheme="minorBidi"/>
                <w:sz w:val="18"/>
                <w:szCs w:val="18"/>
              </w:rPr>
            </w:pPr>
            <w:r w:rsidRPr="12F1B601">
              <w:rPr>
                <w:rFonts w:asciiTheme="minorHAnsi" w:eastAsia="Arial" w:hAnsiTheme="minorHAnsi" w:cstheme="minorBidi"/>
                <w:color w:val="000000" w:themeColor="text1"/>
                <w:sz w:val="18"/>
                <w:szCs w:val="18"/>
              </w:rPr>
              <w:t xml:space="preserve">Resubmission to request a General Schedule Authority Required (STREAMLINED) listing, in combination with enzalutamide, for the treatment of metastatic castration resistant PC </w:t>
            </w:r>
            <w:r w:rsidR="00C25846" w:rsidRPr="12F1B601">
              <w:rPr>
                <w:rFonts w:asciiTheme="minorHAnsi" w:hAnsiTheme="minorHAnsi" w:cstheme="minorBidi"/>
                <w:sz w:val="18"/>
                <w:szCs w:val="18"/>
              </w:rPr>
              <w:t>(mCRPC)</w:t>
            </w:r>
            <w:r w:rsidRPr="12F1B601">
              <w:rPr>
                <w:rFonts w:asciiTheme="minorHAnsi" w:eastAsia="Arial" w:hAnsiTheme="minorHAnsi" w:cstheme="minorBidi"/>
                <w:color w:val="000000" w:themeColor="text1"/>
                <w:sz w:val="18"/>
                <w:szCs w:val="18"/>
              </w:rPr>
              <w:t xml:space="preserve"> in patients with a </w:t>
            </w:r>
            <w:r w:rsidRPr="12F1B601">
              <w:rPr>
                <w:rFonts w:asciiTheme="minorHAnsi" w:eastAsia="Arial" w:hAnsiTheme="minorHAnsi" w:cstheme="minorBidi"/>
                <w:i/>
                <w:color w:val="000000" w:themeColor="text1"/>
                <w:sz w:val="18"/>
                <w:szCs w:val="18"/>
              </w:rPr>
              <w:t>BRCA1</w:t>
            </w:r>
            <w:r w:rsidRPr="12F1B601">
              <w:rPr>
                <w:rFonts w:asciiTheme="minorHAnsi" w:eastAsia="Arial" w:hAnsiTheme="minorHAnsi" w:cstheme="minorBidi"/>
                <w:color w:val="000000" w:themeColor="text1"/>
                <w:sz w:val="18"/>
                <w:szCs w:val="18"/>
              </w:rPr>
              <w:t xml:space="preserve"> or </w:t>
            </w:r>
            <w:r w:rsidRPr="12F1B601">
              <w:rPr>
                <w:rFonts w:asciiTheme="minorHAnsi" w:eastAsia="Arial" w:hAnsiTheme="minorHAnsi" w:cstheme="minorBidi"/>
                <w:i/>
                <w:color w:val="000000" w:themeColor="text1"/>
                <w:sz w:val="18"/>
                <w:szCs w:val="18"/>
              </w:rPr>
              <w:t>BRCA2</w:t>
            </w:r>
            <w:r w:rsidRPr="12F1B601">
              <w:rPr>
                <w:rFonts w:asciiTheme="minorHAnsi" w:eastAsia="Arial" w:hAnsiTheme="minorHAnsi" w:cstheme="minorBidi"/>
                <w:color w:val="000000" w:themeColor="text1"/>
                <w:sz w:val="18"/>
                <w:szCs w:val="18"/>
              </w:rPr>
              <w:t xml:space="preserve"> mutation who have not received prior treatment with a novel hormonal agent</w:t>
            </w:r>
            <w:r w:rsidR="00C247E6" w:rsidRPr="12F1B601">
              <w:rPr>
                <w:rFonts w:asciiTheme="minorHAnsi" w:eastAsia="Arial" w:hAnsiTheme="minorHAnsi" w:cstheme="minorBidi"/>
                <w:color w:val="000000" w:themeColor="text1"/>
                <w:sz w:val="18"/>
                <w:szCs w:val="18"/>
              </w:rPr>
              <w:t xml:space="preserve"> (NHA)</w:t>
            </w:r>
            <w:r w:rsidRPr="12F1B601">
              <w:rPr>
                <w:rFonts w:asciiTheme="minorHAnsi" w:eastAsia="Arial" w:hAnsiTheme="minorHAnsi" w:cstheme="minorBidi"/>
                <w:color w:val="000000" w:themeColor="text1"/>
                <w:sz w:val="18"/>
                <w:szCs w:val="18"/>
              </w:rPr>
              <w:t>.</w:t>
            </w:r>
          </w:p>
        </w:tc>
        <w:tc>
          <w:tcPr>
            <w:tcW w:w="1584" w:type="dxa"/>
            <w:shd w:val="clear" w:color="auto" w:fill="auto"/>
            <w:vAlign w:val="center"/>
          </w:tcPr>
          <w:p w14:paraId="7A0860EC" w14:textId="6AA2E8B0" w:rsidR="004D59A5" w:rsidRPr="00F03408" w:rsidDel="008F66B5" w:rsidRDefault="00964B2B"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shd w:val="clear" w:color="auto" w:fill="auto"/>
            <w:vAlign w:val="center"/>
          </w:tcPr>
          <w:p w14:paraId="61CF2171" w14:textId="30C02E52" w:rsidR="004D59A5" w:rsidRDefault="000412FE" w:rsidP="00A94408">
            <w:pPr>
              <w:jc w:val="both"/>
              <w:rPr>
                <w:rFonts w:asciiTheme="minorHAnsi" w:hAnsiTheme="minorHAnsi" w:cstheme="minorBidi"/>
                <w:sz w:val="18"/>
                <w:szCs w:val="18"/>
              </w:rPr>
            </w:pPr>
            <w:r w:rsidRPr="12F1B601">
              <w:rPr>
                <w:rFonts w:asciiTheme="minorHAnsi" w:hAnsiTheme="minorHAnsi" w:cstheme="minorBidi"/>
                <w:sz w:val="18"/>
                <w:szCs w:val="18"/>
              </w:rPr>
              <w:t xml:space="preserve">The PBAC recommended the listing of talazoparib, for use in combination with enzalutamide for the first line treatment of mCRPC in patients with breast cancer gene </w:t>
            </w:r>
            <w:r w:rsidRPr="12F1B601">
              <w:rPr>
                <w:rFonts w:asciiTheme="minorHAnsi" w:hAnsiTheme="minorHAnsi" w:cstheme="minorBidi"/>
                <w:i/>
                <w:sz w:val="18"/>
                <w:szCs w:val="18"/>
              </w:rPr>
              <w:t>(BRCA)1/2</w:t>
            </w:r>
            <w:r w:rsidRPr="12F1B601">
              <w:rPr>
                <w:rFonts w:asciiTheme="minorHAnsi" w:hAnsiTheme="minorHAnsi" w:cstheme="minorBidi"/>
                <w:sz w:val="18"/>
                <w:szCs w:val="18"/>
              </w:rPr>
              <w:t xml:space="preserve"> pathogenic variants who have not received prior treatment with a NHA. The PBAC considered that the early re-entry resubmission appropriately addressed the outstanding economic and financial issues and that talazoparib was cost effective at the price proposed in the pre-PBAC response. The PBAC considered that talazoparib should join the risk sharing arrangement that is in place for olaparib in the mCRPC setting.  </w:t>
            </w:r>
          </w:p>
          <w:p w14:paraId="1DF12DE8" w14:textId="77777777" w:rsidR="00852C73" w:rsidRDefault="00852C73" w:rsidP="00A94408">
            <w:pPr>
              <w:jc w:val="both"/>
              <w:rPr>
                <w:rFonts w:asciiTheme="minorHAnsi" w:hAnsiTheme="minorHAnsi" w:cstheme="minorHAnsi"/>
                <w:sz w:val="18"/>
                <w:szCs w:val="18"/>
              </w:rPr>
            </w:pPr>
          </w:p>
          <w:p w14:paraId="2E7B3000" w14:textId="6B775356" w:rsidR="004D59A5" w:rsidRPr="00F03408" w:rsidDel="008F66B5" w:rsidRDefault="00852C73" w:rsidP="00A94408">
            <w:pPr>
              <w:jc w:val="both"/>
              <w:rPr>
                <w:rFonts w:asciiTheme="minorHAnsi" w:hAnsiTheme="minorHAnsi" w:cstheme="minorBidi"/>
                <w:sz w:val="18"/>
                <w:szCs w:val="18"/>
              </w:rPr>
            </w:pPr>
            <w:r w:rsidRPr="00166279">
              <w:rPr>
                <w:rFonts w:asciiTheme="minorHAnsi" w:hAnsiTheme="minorHAnsi" w:cstheme="minorBidi"/>
                <w:sz w:val="18"/>
                <w:szCs w:val="18"/>
              </w:rPr>
              <w:t>The PBAC noted flow on changes would be required to the enzalutamide restriction in this setting as the current restriction would not allow a patient who had commenced with abiraterone in the metastatic setting to switch to enzalutamide (in combination with talazoparib) once BRCA1/2 status was confirmed.</w:t>
            </w:r>
          </w:p>
        </w:tc>
      </w:tr>
      <w:tr w:rsidR="004D59A5" w:rsidRPr="008059F4" w:rsidDel="008F66B5" w14:paraId="42DD270F" w14:textId="74FEAB08" w:rsidTr="75B0C150">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6532848" w14:textId="77777777" w:rsidR="00940FF1"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t xml:space="preserve">VEDOLIZUMAB </w:t>
            </w:r>
            <w:r w:rsidRPr="00F03408">
              <w:rPr>
                <w:rFonts w:asciiTheme="minorHAnsi" w:hAnsiTheme="minorHAnsi" w:cstheme="minorHAnsi"/>
                <w:sz w:val="18"/>
                <w:szCs w:val="18"/>
              </w:rPr>
              <w:br/>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Powder for injection 300 mg</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Entyvio</w:t>
            </w:r>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TAKEDA PHARMACEUTICALS AUSTRALIA PTY. LTD.</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p>
          <w:p w14:paraId="3E64EC5A" w14:textId="0C33EB59" w:rsidR="3BB13E8F" w:rsidRPr="00F03408" w:rsidRDefault="00940FF1" w:rsidP="00A94408">
            <w:pPr>
              <w:jc w:val="center"/>
              <w:rPr>
                <w:rFonts w:asciiTheme="minorHAnsi" w:hAnsiTheme="minorHAnsi" w:cstheme="minorHAnsi"/>
                <w:sz w:val="18"/>
                <w:szCs w:val="18"/>
              </w:rPr>
            </w:pPr>
            <w:r>
              <w:rPr>
                <w:rFonts w:asciiTheme="minorHAnsi" w:hAnsiTheme="minorHAnsi" w:cstheme="minorHAnsi"/>
                <w:sz w:val="18"/>
                <w:szCs w:val="18"/>
              </w:rPr>
              <w:t>Category 2</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7A9FB0AA" w14:textId="38745508"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Chronic pouchitis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55CF0B3" w14:textId="10DEB26B"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To request a Section 100 (Highly Specialised Drugs Program) Authority Required (Written) listing for initial treatment and an Authority Required (Telephone/Online) listing for continuing treatment of chronic pouchitis.</w:t>
            </w:r>
          </w:p>
        </w:tc>
        <w:tc>
          <w:tcPr>
            <w:tcW w:w="1584" w:type="dxa"/>
            <w:shd w:val="clear" w:color="auto" w:fill="auto"/>
            <w:vAlign w:val="center"/>
          </w:tcPr>
          <w:p w14:paraId="6807A39B" w14:textId="462F4E49" w:rsidR="004D59A5" w:rsidRPr="00F03408" w:rsidDel="008F66B5" w:rsidRDefault="00940FF1"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shd w:val="clear" w:color="auto" w:fill="auto"/>
            <w:vAlign w:val="center"/>
          </w:tcPr>
          <w:p w14:paraId="1536669E" w14:textId="4ED247F0" w:rsidR="000A6654" w:rsidRPr="000A6654" w:rsidRDefault="000A6654" w:rsidP="000A6654">
            <w:pPr>
              <w:jc w:val="both"/>
              <w:rPr>
                <w:rFonts w:asciiTheme="minorHAnsi" w:hAnsiTheme="minorHAnsi" w:cstheme="minorBidi"/>
                <w:color w:val="000000"/>
                <w:sz w:val="18"/>
                <w:szCs w:val="18"/>
                <w:lang w:val="en-GB"/>
              </w:rPr>
            </w:pPr>
            <w:r w:rsidRPr="12F1B601">
              <w:rPr>
                <w:rFonts w:asciiTheme="minorHAnsi" w:hAnsiTheme="minorHAnsi" w:cstheme="minorBidi"/>
                <w:color w:val="000000" w:themeColor="text1"/>
                <w:sz w:val="18"/>
                <w:szCs w:val="18"/>
                <w:lang w:val="en-GB"/>
              </w:rPr>
              <w:t xml:space="preserve">The PBAC recommended the Section 100 (Highly Specialised Drugs Program – Public and Private Hospital) listing of vedolizumab for the treatment of patients with chronic pouchitis. The PBAC considered there was a high unmet need for additional treatment options in this small group of patients. The PBAC was satisfied that vedolizumab provides, for some patients, a significant improvement in efficacy over standard of care alone. However, the PBAC considered magnitude of benefit was uncertain and likely modest. </w:t>
            </w:r>
          </w:p>
          <w:p w14:paraId="318C5F68" w14:textId="77777777" w:rsidR="00D27201" w:rsidRPr="000A6654" w:rsidRDefault="00D27201" w:rsidP="000A6654">
            <w:pPr>
              <w:jc w:val="both"/>
              <w:rPr>
                <w:rFonts w:asciiTheme="minorHAnsi" w:hAnsiTheme="minorHAnsi" w:cstheme="minorHAnsi"/>
                <w:color w:val="000000"/>
                <w:sz w:val="18"/>
                <w:szCs w:val="18"/>
                <w:lang w:val="en-GB"/>
              </w:rPr>
            </w:pPr>
          </w:p>
          <w:p w14:paraId="081C5B09" w14:textId="15C2367D" w:rsidR="004D59A5" w:rsidRPr="009E3EC5" w:rsidDel="008F66B5" w:rsidRDefault="000A6654" w:rsidP="00A94408">
            <w:pPr>
              <w:jc w:val="both"/>
              <w:rPr>
                <w:rFonts w:asciiTheme="minorHAnsi" w:hAnsiTheme="minorHAnsi" w:cstheme="minorHAnsi"/>
                <w:color w:val="000000"/>
                <w:sz w:val="18"/>
                <w:szCs w:val="18"/>
                <w:lang w:val="en-GB"/>
              </w:rPr>
            </w:pPr>
            <w:r w:rsidRPr="000A6654">
              <w:rPr>
                <w:rFonts w:asciiTheme="minorHAnsi" w:hAnsiTheme="minorHAnsi" w:cstheme="minorHAnsi"/>
                <w:color w:val="000000"/>
                <w:sz w:val="18"/>
                <w:szCs w:val="18"/>
                <w:lang w:val="en-GB"/>
              </w:rPr>
              <w:t xml:space="preserve">The PBAC’s recommendation for listing was based on, among other matters, its assessment that, in the context of the high clinical need and small patient population, vedolizumab was likely cost-effective at the price proposed in the pre-PBAC response. </w:t>
            </w:r>
          </w:p>
        </w:tc>
      </w:tr>
      <w:tr w:rsidR="004D59A5" w:rsidRPr="008059F4" w:rsidDel="008F66B5" w14:paraId="6C41C9DC" w14:textId="691551A8" w:rsidTr="75B0C150">
        <w:trPr>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97437C3" w14:textId="77777777" w:rsidR="00D7012E"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lastRenderedPageBreak/>
              <w:t>ZANUBRUTINIB</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Capsule 80 mg</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Brukinsa</w:t>
            </w:r>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BEIGENE AUS PTY LTD</w:t>
            </w:r>
            <w:r w:rsidRPr="00F03408">
              <w:rPr>
                <w:rFonts w:asciiTheme="minorHAnsi" w:hAnsiTheme="minorHAnsi" w:cstheme="minorHAnsi"/>
                <w:sz w:val="18"/>
                <w:szCs w:val="18"/>
              </w:rPr>
              <w:br/>
            </w:r>
          </w:p>
          <w:p w14:paraId="03A4ED71" w14:textId="65071072" w:rsidR="3BB13E8F" w:rsidRPr="00F03408" w:rsidRDefault="00D7012E" w:rsidP="00A94408">
            <w:pPr>
              <w:jc w:val="center"/>
              <w:rPr>
                <w:rFonts w:asciiTheme="minorHAnsi" w:hAnsiTheme="minorHAnsi" w:cstheme="minorHAnsi"/>
                <w:sz w:val="18"/>
                <w:szCs w:val="18"/>
              </w:rPr>
            </w:pPr>
            <w:r>
              <w:rPr>
                <w:rFonts w:asciiTheme="minorHAnsi" w:hAnsiTheme="minorHAnsi" w:cstheme="minorHAnsi"/>
                <w:sz w:val="18"/>
                <w:szCs w:val="18"/>
              </w:rPr>
              <w:t>Category 3</w:t>
            </w:r>
            <w:r w:rsidR="3BB13E8F" w:rsidRPr="00F03408">
              <w:rPr>
                <w:rFonts w:asciiTheme="minorHAnsi" w:eastAsia="Arial" w:hAnsiTheme="minorHAnsi" w:cstheme="minorHAnsi"/>
                <w:color w:val="000000" w:themeColor="text1"/>
                <w:sz w:val="18"/>
                <w:szCs w:val="18"/>
              </w:rPr>
              <w:t xml:space="preserve"> </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(Change to existing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0EEC2318" w14:textId="15359D8D"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Waldenström macroglobulinaemia</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2FB69E1D" w14:textId="4BE9DD9A"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 xml:space="preserve">To request the PBAC consider the previously estimated utilisation of zanubrutinib for the treatment of Waldenström macroglobulinaemia. </w:t>
            </w:r>
          </w:p>
        </w:tc>
        <w:tc>
          <w:tcPr>
            <w:tcW w:w="1584" w:type="dxa"/>
            <w:shd w:val="clear" w:color="auto" w:fill="auto"/>
            <w:vAlign w:val="center"/>
          </w:tcPr>
          <w:p w14:paraId="4AA8E4B9" w14:textId="635410A7" w:rsidR="004D59A5" w:rsidRPr="00F03408" w:rsidDel="008F66B5" w:rsidRDefault="00D7012E"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4836" w:type="dxa"/>
            <w:shd w:val="clear" w:color="auto" w:fill="auto"/>
            <w:vAlign w:val="center"/>
          </w:tcPr>
          <w:p w14:paraId="4C5B791A" w14:textId="52BAA0C0" w:rsidR="004D59A5" w:rsidRPr="009E3EC5" w:rsidDel="008F66B5" w:rsidRDefault="0008737D" w:rsidP="00A94408">
            <w:pPr>
              <w:jc w:val="both"/>
              <w:rPr>
                <w:rFonts w:asciiTheme="minorHAnsi" w:hAnsiTheme="minorHAnsi" w:cstheme="minorBidi"/>
                <w:color w:val="000000"/>
                <w:sz w:val="18"/>
                <w:szCs w:val="18"/>
                <w:lang w:val="en-GB"/>
              </w:rPr>
            </w:pPr>
            <w:r w:rsidRPr="12F1B601">
              <w:rPr>
                <w:rFonts w:asciiTheme="minorHAnsi" w:hAnsiTheme="minorHAnsi" w:cstheme="minorBidi"/>
                <w:color w:val="000000" w:themeColor="text1"/>
                <w:sz w:val="18"/>
                <w:szCs w:val="18"/>
                <w:lang w:val="en-GB"/>
              </w:rPr>
              <w:t xml:space="preserve">The PBAC provided advice regarding the subsidisation caps under the current risk sharing arrangement (RSA) for zanubrutinib (Brukinsa®) for the treatment of Waldenström macroglobulinemia (WM). The PBAC considered it was reasonable to make amendments to the financial estimates underpinning the RSA to reflect the proposed changes in incidence and prevalence based on new epidemiological data specific to the WM subset </w:t>
            </w:r>
            <w:r w:rsidRPr="12F1B601">
              <w:rPr>
                <w:rFonts w:asciiTheme="minorHAnsi" w:hAnsiTheme="minorHAnsi" w:cstheme="minorBidi"/>
                <w:color w:val="000000" w:themeColor="text1"/>
                <w:sz w:val="18"/>
                <w:szCs w:val="18"/>
              </w:rPr>
              <w:t>in Australia that had not been previously available</w:t>
            </w:r>
            <w:r w:rsidRPr="12F1B601">
              <w:rPr>
                <w:rFonts w:asciiTheme="minorHAnsi" w:hAnsiTheme="minorHAnsi" w:cstheme="minorBidi"/>
                <w:color w:val="000000" w:themeColor="text1"/>
                <w:sz w:val="18"/>
                <w:szCs w:val="18"/>
                <w:lang w:val="en-GB"/>
              </w:rPr>
              <w:t>.</w:t>
            </w:r>
            <w:r w:rsidRPr="12F1B601">
              <w:rPr>
                <w:rFonts w:asciiTheme="minorHAnsi" w:hAnsiTheme="minorHAnsi" w:cstheme="minorBidi"/>
                <w:color w:val="000000" w:themeColor="text1"/>
                <w:sz w:val="18"/>
                <w:szCs w:val="18"/>
              </w:rPr>
              <w:t xml:space="preserve"> </w:t>
            </w:r>
            <w:r w:rsidRPr="12F1B601">
              <w:rPr>
                <w:rFonts w:asciiTheme="minorHAnsi" w:hAnsiTheme="minorHAnsi" w:cstheme="minorBidi"/>
                <w:color w:val="000000" w:themeColor="text1"/>
                <w:sz w:val="18"/>
                <w:szCs w:val="18"/>
                <w:lang w:val="en-GB"/>
              </w:rPr>
              <w:t xml:space="preserve">The PBAC was satisfied that the submission provided sufficient evidence to support the requested changes to the assumptions in terms of the incidence and prevalence </w:t>
            </w:r>
            <w:r w:rsidRPr="12F1B601">
              <w:rPr>
                <w:rFonts w:asciiTheme="minorHAnsi" w:hAnsiTheme="minorHAnsi" w:cstheme="minorBidi"/>
                <w:color w:val="000000" w:themeColor="text1"/>
                <w:sz w:val="18"/>
                <w:szCs w:val="18"/>
              </w:rPr>
              <w:t xml:space="preserve">in the March 2022 financial estimates that were the basis for the current RSA. The PBAC noted that the submission did not propose to change the basis for achieving cost-effectiveness through the RSA, which was intended to limit the treatment duration. The PBAC advised that the cost-effectiveness of zanubrutinib would remain acceptable if the subsidisation caps continue to be determined on the same basis, given that the requested changes affect only the number of patients and not the number of units per patient. </w:t>
            </w:r>
          </w:p>
        </w:tc>
      </w:tr>
      <w:tr w:rsidR="007807EA" w:rsidRPr="008059F4" w:rsidDel="008F66B5" w14:paraId="71C25DB4" w14:textId="64B67E91" w:rsidTr="00D003E5">
        <w:trPr>
          <w:cantSplit/>
          <w:trHeight w:val="2948"/>
          <w:jc w:val="center"/>
        </w:trPr>
        <w:tc>
          <w:tcPr>
            <w:tcW w:w="301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1BD3BE9" w14:textId="470780FD" w:rsidR="00D7012E" w:rsidRDefault="3BB13E8F" w:rsidP="00A94408">
            <w:pPr>
              <w:jc w:val="center"/>
              <w:rPr>
                <w:rFonts w:asciiTheme="minorHAnsi" w:eastAsia="Arial" w:hAnsiTheme="minorHAnsi" w:cstheme="minorHAnsi"/>
                <w:color w:val="000000" w:themeColor="text1"/>
                <w:sz w:val="18"/>
                <w:szCs w:val="18"/>
              </w:rPr>
            </w:pPr>
            <w:r w:rsidRPr="00F03408">
              <w:rPr>
                <w:rFonts w:asciiTheme="minorHAnsi" w:eastAsia="Arial" w:hAnsiTheme="minorHAnsi" w:cstheme="minorHAnsi"/>
                <w:color w:val="000000" w:themeColor="text1"/>
                <w:sz w:val="18"/>
                <w:szCs w:val="18"/>
              </w:rPr>
              <w:lastRenderedPageBreak/>
              <w:t xml:space="preserve">ZILUCOPLAN </w:t>
            </w:r>
            <w:r w:rsidRPr="00F03408">
              <w:rPr>
                <w:rFonts w:asciiTheme="minorHAnsi" w:hAnsiTheme="minorHAnsi" w:cstheme="minorHAnsi"/>
                <w:sz w:val="18"/>
                <w:szCs w:val="18"/>
              </w:rPr>
              <w:br/>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Solution for injection 16.6 mg in 0.416</w:t>
            </w:r>
            <w:r w:rsidR="00792712">
              <w:rPr>
                <w:rFonts w:asciiTheme="minorHAnsi" w:eastAsia="Arial" w:hAnsiTheme="minorHAnsi" w:cstheme="minorHAnsi"/>
                <w:color w:val="000000" w:themeColor="text1"/>
                <w:sz w:val="18"/>
                <w:szCs w:val="18"/>
              </w:rPr>
              <w:t> </w:t>
            </w:r>
            <w:r w:rsidRPr="00F03408">
              <w:rPr>
                <w:rFonts w:asciiTheme="minorHAnsi" w:eastAsia="Arial" w:hAnsiTheme="minorHAnsi" w:cstheme="minorHAnsi"/>
                <w:color w:val="000000" w:themeColor="text1"/>
                <w:sz w:val="18"/>
                <w:szCs w:val="18"/>
              </w:rPr>
              <w:t>mL (as tetrasodium) pre-filled syringe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Solution for injection 23 mg in 0.574</w:t>
            </w:r>
            <w:r w:rsidR="00792712">
              <w:rPr>
                <w:rFonts w:asciiTheme="minorHAnsi" w:eastAsia="Arial" w:hAnsiTheme="minorHAnsi" w:cstheme="minorHAnsi"/>
                <w:color w:val="000000" w:themeColor="text1"/>
                <w:sz w:val="18"/>
                <w:szCs w:val="18"/>
              </w:rPr>
              <w:t> </w:t>
            </w:r>
            <w:r w:rsidRPr="00F03408">
              <w:rPr>
                <w:rFonts w:asciiTheme="minorHAnsi" w:eastAsia="Arial" w:hAnsiTheme="minorHAnsi" w:cstheme="minorHAnsi"/>
                <w:color w:val="000000" w:themeColor="text1"/>
                <w:sz w:val="18"/>
                <w:szCs w:val="18"/>
              </w:rPr>
              <w:t>mL (as tetrasodium) pre-filled syringe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Solution for injection 32.4 mg in 0.810 mL (as tetrasodium) pre-filled syringe</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Zilbrysq</w:t>
            </w:r>
            <w:r w:rsidRPr="00EB2952">
              <w:rPr>
                <w:rFonts w:asciiTheme="minorHAnsi" w:eastAsia="Arial" w:hAnsiTheme="minorHAnsi" w:cstheme="minorHAnsi"/>
                <w:color w:val="000000" w:themeColor="text1"/>
                <w:sz w:val="18"/>
                <w:szCs w:val="18"/>
              </w:rPr>
              <w:t>®</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UCB AUSTRALIA PROPRIETARY LIMITED</w:t>
            </w:r>
            <w:r w:rsidRPr="00F03408">
              <w:rPr>
                <w:rFonts w:asciiTheme="minorHAnsi" w:hAnsiTheme="minorHAnsi" w:cstheme="minorHAnsi"/>
                <w:sz w:val="18"/>
                <w:szCs w:val="18"/>
              </w:rPr>
              <w:br/>
            </w:r>
            <w:r w:rsidRPr="00F03408">
              <w:rPr>
                <w:rFonts w:asciiTheme="minorHAnsi" w:eastAsia="Arial" w:hAnsiTheme="minorHAnsi" w:cstheme="minorHAnsi"/>
                <w:color w:val="000000" w:themeColor="text1"/>
                <w:sz w:val="18"/>
                <w:szCs w:val="18"/>
              </w:rPr>
              <w:t xml:space="preserve"> </w:t>
            </w:r>
          </w:p>
          <w:p w14:paraId="1EC44329" w14:textId="33B042FF" w:rsidR="3BB13E8F" w:rsidRPr="00F03408" w:rsidRDefault="00D7012E" w:rsidP="00A94408">
            <w:pPr>
              <w:jc w:val="center"/>
              <w:rPr>
                <w:rFonts w:asciiTheme="minorHAnsi" w:hAnsiTheme="minorHAnsi" w:cstheme="minorHAnsi"/>
                <w:sz w:val="18"/>
                <w:szCs w:val="18"/>
              </w:rPr>
            </w:pPr>
            <w:r>
              <w:rPr>
                <w:rFonts w:asciiTheme="minorHAnsi" w:hAnsiTheme="minorHAnsi" w:cstheme="minorHAnsi"/>
                <w:sz w:val="18"/>
                <w:szCs w:val="18"/>
              </w:rPr>
              <w:t>Category 1</w:t>
            </w:r>
            <w:r w:rsidR="3BB13E8F" w:rsidRPr="00F03408">
              <w:rPr>
                <w:rFonts w:asciiTheme="minorHAnsi" w:hAnsiTheme="minorHAnsi" w:cstheme="minorHAnsi"/>
                <w:sz w:val="18"/>
                <w:szCs w:val="18"/>
              </w:rPr>
              <w:br/>
            </w:r>
            <w:r w:rsidR="3BB13E8F" w:rsidRPr="00F03408">
              <w:rPr>
                <w:rFonts w:asciiTheme="minorHAnsi" w:eastAsia="Arial" w:hAnsiTheme="minorHAnsi" w:cstheme="minorHAnsi"/>
                <w:color w:val="000000" w:themeColor="text1"/>
                <w:sz w:val="18"/>
                <w:szCs w:val="18"/>
              </w:rPr>
              <w:t>(New PBS listing)</w:t>
            </w:r>
          </w:p>
        </w:tc>
        <w:tc>
          <w:tcPr>
            <w:tcW w:w="2767" w:type="dxa"/>
            <w:tcBorders>
              <w:top w:val="single" w:sz="4" w:space="0" w:color="auto"/>
              <w:left w:val="single" w:sz="4" w:space="0" w:color="auto"/>
              <w:bottom w:val="single" w:sz="4" w:space="0" w:color="auto"/>
              <w:right w:val="single" w:sz="4" w:space="0" w:color="auto"/>
            </w:tcBorders>
            <w:shd w:val="clear" w:color="auto" w:fill="auto"/>
            <w:vAlign w:val="center"/>
          </w:tcPr>
          <w:p w14:paraId="38A8EAC4" w14:textId="76A19DF1"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Generalised myasthenia gravis (gMG)</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470B41A9" w14:textId="3F8D3E98" w:rsidR="3BB13E8F" w:rsidRPr="00F03408" w:rsidRDefault="3BB13E8F" w:rsidP="00A94408">
            <w:pPr>
              <w:jc w:val="center"/>
              <w:rPr>
                <w:rFonts w:asciiTheme="minorHAnsi" w:hAnsiTheme="minorHAnsi" w:cstheme="minorHAnsi"/>
                <w:sz w:val="18"/>
                <w:szCs w:val="18"/>
              </w:rPr>
            </w:pPr>
            <w:r w:rsidRPr="00F03408">
              <w:rPr>
                <w:rFonts w:asciiTheme="minorHAnsi" w:eastAsia="Arial" w:hAnsiTheme="minorHAnsi" w:cstheme="minorHAnsi"/>
                <w:color w:val="000000" w:themeColor="text1"/>
                <w:sz w:val="18"/>
                <w:szCs w:val="18"/>
              </w:rPr>
              <w:t>To request a Section 100 (Highly Specialised Drugs Program) Authority Required (Written) listing for initial treatment and a General Schedule Authority Required (Written) listing for continuing treatment of gMG.</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60E2535" w14:textId="6C74DBA3" w:rsidR="004D59A5" w:rsidRPr="00F03408" w:rsidDel="008F66B5" w:rsidRDefault="00D7012E" w:rsidP="00A94408">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 Recommended</w:t>
            </w:r>
          </w:p>
        </w:tc>
        <w:tc>
          <w:tcPr>
            <w:tcW w:w="4836" w:type="dxa"/>
            <w:tcBorders>
              <w:top w:val="single" w:sz="4" w:space="0" w:color="auto"/>
              <w:left w:val="single" w:sz="4" w:space="0" w:color="auto"/>
              <w:bottom w:val="single" w:sz="4" w:space="0" w:color="auto"/>
              <w:right w:val="single" w:sz="4" w:space="0" w:color="auto"/>
            </w:tcBorders>
            <w:shd w:val="clear" w:color="auto" w:fill="auto"/>
            <w:vAlign w:val="center"/>
          </w:tcPr>
          <w:p w14:paraId="67CD77D2" w14:textId="70839E8E" w:rsidR="00EC6320" w:rsidRPr="00EC6320" w:rsidRDefault="00EC6320" w:rsidP="00EC6320">
            <w:pPr>
              <w:jc w:val="both"/>
              <w:rPr>
                <w:rFonts w:asciiTheme="minorHAnsi" w:hAnsiTheme="minorHAnsi" w:cstheme="minorBidi"/>
                <w:color w:val="000000"/>
                <w:sz w:val="18"/>
                <w:szCs w:val="18"/>
              </w:rPr>
            </w:pPr>
            <w:r w:rsidRPr="56B992B3">
              <w:rPr>
                <w:rFonts w:asciiTheme="minorHAnsi" w:hAnsiTheme="minorHAnsi" w:cstheme="minorBidi"/>
                <w:color w:val="000000" w:themeColor="text1"/>
                <w:sz w:val="18"/>
                <w:szCs w:val="18"/>
              </w:rPr>
              <w:t xml:space="preserve">The PBAC did not recommend the listing of zilucoplan for the treatment of patients with gMG who </w:t>
            </w:r>
            <w:proofErr w:type="gramStart"/>
            <w:r w:rsidRPr="56B992B3">
              <w:rPr>
                <w:rFonts w:asciiTheme="minorHAnsi" w:hAnsiTheme="minorHAnsi" w:cstheme="minorBidi"/>
                <w:color w:val="000000" w:themeColor="text1"/>
                <w:sz w:val="18"/>
                <w:szCs w:val="18"/>
              </w:rPr>
              <w:t>are anti-acetylcholine receptor (AChR) antibody</w:t>
            </w:r>
            <w:proofErr w:type="gramEnd"/>
            <w:r w:rsidRPr="56B992B3">
              <w:rPr>
                <w:rFonts w:asciiTheme="minorHAnsi" w:hAnsiTheme="minorHAnsi" w:cstheme="minorBidi"/>
                <w:color w:val="000000" w:themeColor="text1"/>
                <w:sz w:val="18"/>
                <w:szCs w:val="18"/>
              </w:rPr>
              <w:t xml:space="preserve"> positive. The PBAC considered the incremental cost-effectiveness ratio presented in the submission was very high and was likely to have been underestimated and the proposed price was very high. The PBAC considered the claim of superior comparative effectiveness versus placebo was supported but that the incremental benefit shown in the trial was relatively modest. </w:t>
            </w:r>
          </w:p>
          <w:p w14:paraId="507A92AC" w14:textId="77777777" w:rsidR="00EC6320" w:rsidRPr="00EC6320" w:rsidRDefault="00EC6320" w:rsidP="00EC6320">
            <w:pPr>
              <w:jc w:val="both"/>
              <w:rPr>
                <w:rFonts w:asciiTheme="minorHAnsi" w:hAnsiTheme="minorHAnsi" w:cstheme="minorBidi"/>
                <w:color w:val="000000"/>
                <w:sz w:val="18"/>
                <w:szCs w:val="18"/>
                <w:lang w:val="en-GB"/>
              </w:rPr>
            </w:pPr>
            <w:r w:rsidRPr="56B992B3">
              <w:rPr>
                <w:rFonts w:asciiTheme="minorHAnsi" w:hAnsiTheme="minorHAnsi" w:cstheme="minorBidi"/>
                <w:color w:val="000000" w:themeColor="text1"/>
                <w:sz w:val="18"/>
                <w:szCs w:val="18"/>
              </w:rPr>
              <w:t>The PBAC recognised the high clinical need for effective therapies for gMG, particularly in patients who are not responding to or unable to use existing therapies or who have refractory disease.</w:t>
            </w:r>
          </w:p>
          <w:p w14:paraId="64960FF9" w14:textId="77777777" w:rsidR="001E389C" w:rsidRPr="001033CF" w:rsidRDefault="001E389C" w:rsidP="001E389C">
            <w:pPr>
              <w:jc w:val="both"/>
              <w:rPr>
                <w:rFonts w:asciiTheme="minorHAnsi" w:hAnsiTheme="minorHAnsi" w:cstheme="minorHAnsi"/>
                <w:color w:val="000000"/>
                <w:sz w:val="18"/>
                <w:szCs w:val="18"/>
              </w:rPr>
            </w:pPr>
          </w:p>
          <w:p w14:paraId="6BEFA22A" w14:textId="77777777" w:rsidR="001E389C" w:rsidRPr="001033CF" w:rsidRDefault="001E389C" w:rsidP="001E389C">
            <w:pPr>
              <w:jc w:val="both"/>
              <w:rPr>
                <w:rFonts w:asciiTheme="minorHAnsi" w:hAnsiTheme="minorHAnsi" w:cstheme="minorHAnsi"/>
                <w:color w:val="000000"/>
                <w:sz w:val="18"/>
                <w:szCs w:val="18"/>
              </w:rPr>
            </w:pPr>
            <w:r w:rsidRPr="001033CF">
              <w:rPr>
                <w:rFonts w:asciiTheme="minorHAnsi" w:hAnsiTheme="minorHAnsi" w:cstheme="minorHAnsi"/>
                <w:color w:val="000000"/>
                <w:sz w:val="18"/>
                <w:szCs w:val="18"/>
                <w:u w:val="single"/>
              </w:rPr>
              <w:t>Sponsor’s Comment:</w:t>
            </w:r>
          </w:p>
          <w:p w14:paraId="07B62552" w14:textId="65839084" w:rsidR="004D59A5" w:rsidRPr="00F03408" w:rsidDel="008F66B5" w:rsidRDefault="00C56403" w:rsidP="00A94408">
            <w:pPr>
              <w:jc w:val="both"/>
              <w:rPr>
                <w:rFonts w:asciiTheme="minorHAnsi" w:hAnsiTheme="minorHAnsi" w:cstheme="minorHAnsi"/>
                <w:color w:val="000000"/>
                <w:sz w:val="18"/>
                <w:szCs w:val="18"/>
              </w:rPr>
            </w:pPr>
            <w:r w:rsidRPr="00C56403">
              <w:rPr>
                <w:rFonts w:asciiTheme="minorHAnsi" w:hAnsiTheme="minorHAnsi" w:cstheme="minorHAnsi"/>
                <w:color w:val="000000"/>
                <w:sz w:val="18"/>
                <w:szCs w:val="18"/>
              </w:rPr>
              <w:t>The sponsor had no comment.</w:t>
            </w:r>
          </w:p>
        </w:tc>
      </w:tr>
    </w:tbl>
    <w:p w14:paraId="2B7D8C7A" w14:textId="33F3FD54" w:rsidR="009B3BC3" w:rsidDel="008F66B5" w:rsidRDefault="009B3BC3" w:rsidP="00A94408">
      <w:pPr>
        <w:rPr>
          <w:rFonts w:asciiTheme="minorHAnsi" w:hAnsiTheme="minorHAnsi" w:cstheme="minorBidi"/>
          <w:b/>
          <w:bCs/>
          <w:sz w:val="18"/>
          <w:szCs w:val="18"/>
          <w:lang w:val="en-US"/>
        </w:rPr>
      </w:pPr>
      <w:r w:rsidRPr="20381F86">
        <w:rPr>
          <w:rFonts w:asciiTheme="minorHAnsi" w:hAnsiTheme="minorHAnsi" w:cstheme="minorBidi"/>
          <w:b/>
          <w:bCs/>
          <w:sz w:val="18"/>
          <w:szCs w:val="18"/>
          <w:lang w:val="en-US"/>
        </w:rPr>
        <w:br w:type="page"/>
      </w:r>
    </w:p>
    <w:tbl>
      <w:tblPr>
        <w:tblW w:w="5002" w:type="pct"/>
        <w:tblLayout w:type="fixed"/>
        <w:tblLook w:val="04A0" w:firstRow="1" w:lastRow="0" w:firstColumn="1" w:lastColumn="0" w:noHBand="0" w:noVBand="1"/>
      </w:tblPr>
      <w:tblGrid>
        <w:gridCol w:w="3824"/>
        <w:gridCol w:w="3827"/>
        <w:gridCol w:w="3685"/>
        <w:gridCol w:w="4058"/>
      </w:tblGrid>
      <w:tr w:rsidR="00D97548" w:rsidRPr="006D4343" w:rsidDel="008F66B5" w14:paraId="2C5D3C4C" w14:textId="74DA7CB4" w:rsidTr="6281EA96">
        <w:trPr>
          <w:cantSplit/>
          <w:trHeight w:val="675"/>
          <w:tblHeader/>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B8E428" w14:textId="0702109A" w:rsidR="00D97548" w:rsidRPr="006D4343" w:rsidDel="008F66B5" w:rsidRDefault="00D97548" w:rsidP="00A94408">
            <w:pPr>
              <w:widowControl w:val="0"/>
              <w:jc w:val="center"/>
              <w:rPr>
                <w:rFonts w:asciiTheme="minorHAnsi" w:hAnsiTheme="minorHAnsi" w:cstheme="minorHAnsi"/>
                <w:b/>
                <w:bCs/>
                <w:snapToGrid w:val="0"/>
                <w:color w:val="000000"/>
                <w:sz w:val="18"/>
                <w:szCs w:val="18"/>
              </w:rPr>
            </w:pPr>
            <w:r w:rsidRPr="006D4343" w:rsidDel="008F66B5">
              <w:rPr>
                <w:rFonts w:asciiTheme="minorHAnsi" w:hAnsiTheme="minorHAnsi" w:cstheme="minorHAnsi"/>
                <w:b/>
                <w:bCs/>
                <w:snapToGrid w:val="0"/>
                <w:color w:val="000000"/>
                <w:sz w:val="18"/>
                <w:szCs w:val="18"/>
              </w:rPr>
              <w:lastRenderedPageBreak/>
              <w:t>DRUG NAME, FORM(S), STRENGTH(S) AND SPONSOR</w:t>
            </w:r>
          </w:p>
        </w:tc>
        <w:tc>
          <w:tcPr>
            <w:tcW w:w="1243" w:type="pct"/>
            <w:tcBorders>
              <w:top w:val="single" w:sz="4" w:space="0" w:color="auto"/>
              <w:left w:val="nil"/>
              <w:bottom w:val="single" w:sz="4" w:space="0" w:color="auto"/>
              <w:right w:val="single" w:sz="4" w:space="0" w:color="auto"/>
            </w:tcBorders>
            <w:shd w:val="clear" w:color="auto" w:fill="auto"/>
            <w:vAlign w:val="center"/>
            <w:hideMark/>
          </w:tcPr>
          <w:p w14:paraId="42158CE7" w14:textId="13FB7D19" w:rsidR="00D97548" w:rsidRPr="006D4343" w:rsidDel="008F66B5" w:rsidRDefault="00D97548" w:rsidP="00A94408">
            <w:pPr>
              <w:widowControl w:val="0"/>
              <w:jc w:val="center"/>
              <w:rPr>
                <w:rFonts w:asciiTheme="minorHAnsi" w:hAnsiTheme="minorHAnsi" w:cstheme="minorHAnsi"/>
                <w:b/>
                <w:bCs/>
                <w:snapToGrid w:val="0"/>
                <w:color w:val="000000"/>
                <w:sz w:val="18"/>
                <w:szCs w:val="18"/>
              </w:rPr>
            </w:pPr>
            <w:r w:rsidRPr="006D4343" w:rsidDel="008F66B5">
              <w:rPr>
                <w:rFonts w:asciiTheme="minorHAnsi" w:hAnsiTheme="minorHAnsi" w:cstheme="minorHAnsi"/>
                <w:b/>
                <w:bCs/>
                <w:snapToGrid w:val="0"/>
                <w:color w:val="000000"/>
                <w:sz w:val="18"/>
                <w:szCs w:val="18"/>
              </w:rPr>
              <w:t>DRUG TYPE AND USE</w:t>
            </w:r>
          </w:p>
        </w:tc>
        <w:tc>
          <w:tcPr>
            <w:tcW w:w="1197" w:type="pct"/>
            <w:tcBorders>
              <w:top w:val="single" w:sz="4" w:space="0" w:color="auto"/>
              <w:left w:val="nil"/>
              <w:bottom w:val="single" w:sz="4" w:space="0" w:color="auto"/>
              <w:right w:val="single" w:sz="4" w:space="0" w:color="auto"/>
            </w:tcBorders>
            <w:shd w:val="clear" w:color="auto" w:fill="auto"/>
            <w:vAlign w:val="center"/>
            <w:hideMark/>
          </w:tcPr>
          <w:p w14:paraId="4FCB4080" w14:textId="02CB0BD6" w:rsidR="00D97548" w:rsidRPr="006D4343" w:rsidDel="008F66B5" w:rsidRDefault="00D97548" w:rsidP="00A94408">
            <w:pPr>
              <w:widowControl w:val="0"/>
              <w:jc w:val="center"/>
              <w:rPr>
                <w:rFonts w:asciiTheme="minorHAnsi" w:hAnsiTheme="minorHAnsi" w:cstheme="minorHAnsi"/>
                <w:b/>
                <w:bCs/>
                <w:snapToGrid w:val="0"/>
                <w:color w:val="000000"/>
                <w:sz w:val="18"/>
                <w:szCs w:val="18"/>
              </w:rPr>
            </w:pPr>
            <w:r w:rsidRPr="006D4343" w:rsidDel="008F66B5">
              <w:rPr>
                <w:rFonts w:asciiTheme="minorHAnsi" w:hAnsiTheme="minorHAnsi" w:cstheme="minorHAnsi"/>
                <w:b/>
                <w:bCs/>
                <w:snapToGrid w:val="0"/>
                <w:color w:val="000000"/>
                <w:sz w:val="18"/>
                <w:szCs w:val="18"/>
              </w:rPr>
              <w:t>LISTING REQUESTED BY SPONSOR / PURPOSE OF SUBMISSION</w:t>
            </w:r>
          </w:p>
        </w:tc>
        <w:tc>
          <w:tcPr>
            <w:tcW w:w="1318" w:type="pct"/>
            <w:tcBorders>
              <w:top w:val="single" w:sz="4" w:space="0" w:color="auto"/>
              <w:left w:val="nil"/>
              <w:bottom w:val="single" w:sz="4" w:space="0" w:color="auto"/>
              <w:right w:val="single" w:sz="4" w:space="0" w:color="auto"/>
            </w:tcBorders>
            <w:vAlign w:val="center"/>
          </w:tcPr>
          <w:p w14:paraId="43764C63" w14:textId="6DA883F0" w:rsidR="00D97548" w:rsidRPr="006D4343" w:rsidDel="008F66B5" w:rsidRDefault="4DF01BA3" w:rsidP="00A94408">
            <w:pPr>
              <w:widowControl w:val="0"/>
              <w:jc w:val="center"/>
              <w:rPr>
                <w:rFonts w:asciiTheme="minorHAnsi" w:hAnsiTheme="minorHAnsi" w:cstheme="minorHAnsi"/>
                <w:b/>
                <w:bCs/>
                <w:snapToGrid w:val="0"/>
                <w:color w:val="000000"/>
                <w:sz w:val="18"/>
                <w:szCs w:val="18"/>
              </w:rPr>
            </w:pPr>
            <w:r w:rsidRPr="006D4343" w:rsidDel="008F66B5">
              <w:rPr>
                <w:rFonts w:asciiTheme="minorHAnsi" w:hAnsiTheme="minorHAnsi" w:cstheme="minorHAnsi"/>
                <w:b/>
                <w:bCs/>
                <w:snapToGrid w:val="0"/>
                <w:color w:val="000000"/>
                <w:sz w:val="18"/>
                <w:szCs w:val="18"/>
              </w:rPr>
              <w:t>PBAC OUTCOME</w:t>
            </w:r>
          </w:p>
        </w:tc>
      </w:tr>
      <w:tr w:rsidR="00915F1E" w:rsidRPr="006D4343" w:rsidDel="008F66B5" w14:paraId="7E6E0439" w14:textId="287731FB" w:rsidTr="6281EA96">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700414BB" w14:textId="1DC33124" w:rsidR="6281EA96" w:rsidRPr="006D4343" w:rsidRDefault="6281EA96" w:rsidP="00A94408">
            <w:pPr>
              <w:jc w:val="center"/>
              <w:rPr>
                <w:rFonts w:asciiTheme="minorHAnsi" w:hAnsiTheme="minorHAnsi" w:cstheme="minorHAnsi"/>
                <w:sz w:val="18"/>
                <w:szCs w:val="18"/>
              </w:rPr>
            </w:pPr>
            <w:r w:rsidRPr="006D4343">
              <w:rPr>
                <w:rFonts w:asciiTheme="minorHAnsi" w:eastAsia="Arial" w:hAnsiTheme="minorHAnsi" w:cstheme="minorHAnsi"/>
                <w:color w:val="000000" w:themeColor="text1"/>
                <w:sz w:val="18"/>
                <w:szCs w:val="18"/>
              </w:rPr>
              <w:t>AVELUMAB</w:t>
            </w:r>
          </w:p>
          <w:p w14:paraId="005A6E37" w14:textId="06031C15" w:rsidR="6281EA96" w:rsidRPr="006D4343" w:rsidRDefault="6281EA96" w:rsidP="00A94408">
            <w:pPr>
              <w:jc w:val="center"/>
              <w:rPr>
                <w:rFonts w:asciiTheme="minorHAnsi" w:hAnsiTheme="minorHAnsi" w:cstheme="minorHAnsi"/>
                <w:sz w:val="18"/>
                <w:szCs w:val="18"/>
              </w:rPr>
            </w:pPr>
            <w:r w:rsidRPr="006D4343">
              <w:rPr>
                <w:rFonts w:asciiTheme="minorHAnsi" w:eastAsia="Arial" w:hAnsiTheme="minorHAnsi" w:cstheme="minorHAnsi"/>
                <w:color w:val="000000" w:themeColor="text1"/>
                <w:sz w:val="18"/>
                <w:szCs w:val="18"/>
              </w:rPr>
              <w:t xml:space="preserve"> </w:t>
            </w:r>
          </w:p>
          <w:p w14:paraId="4346A1E1" w14:textId="3C2DEAB9" w:rsidR="6281EA96" w:rsidRPr="006D4343" w:rsidRDefault="6281EA96" w:rsidP="00A94408">
            <w:pPr>
              <w:jc w:val="center"/>
              <w:rPr>
                <w:rFonts w:asciiTheme="minorHAnsi" w:hAnsiTheme="minorHAnsi" w:cstheme="minorHAnsi"/>
                <w:sz w:val="18"/>
                <w:szCs w:val="18"/>
              </w:rPr>
            </w:pPr>
            <w:r w:rsidRPr="006D4343">
              <w:rPr>
                <w:rFonts w:asciiTheme="minorHAnsi" w:eastAsia="Arial" w:hAnsiTheme="minorHAnsi" w:cstheme="minorHAnsi"/>
                <w:color w:val="000000" w:themeColor="text1"/>
                <w:sz w:val="18"/>
                <w:szCs w:val="18"/>
              </w:rPr>
              <w:t>Solution concentrate for I.V. infusion 200</w:t>
            </w:r>
            <w:r w:rsidR="00F03408" w:rsidRPr="006D4343">
              <w:rPr>
                <w:rFonts w:asciiTheme="minorHAnsi" w:eastAsia="Arial" w:hAnsiTheme="minorHAnsi" w:cstheme="minorHAnsi"/>
                <w:color w:val="000000" w:themeColor="text1"/>
                <w:sz w:val="18"/>
                <w:szCs w:val="18"/>
              </w:rPr>
              <w:t> </w:t>
            </w:r>
            <w:r w:rsidRPr="006D4343">
              <w:rPr>
                <w:rFonts w:asciiTheme="minorHAnsi" w:eastAsia="Arial" w:hAnsiTheme="minorHAnsi" w:cstheme="minorHAnsi"/>
                <w:color w:val="000000" w:themeColor="text1"/>
                <w:sz w:val="18"/>
                <w:szCs w:val="18"/>
              </w:rPr>
              <w:t>mg in 10 mL</w:t>
            </w:r>
          </w:p>
          <w:p w14:paraId="70F2D2E2" w14:textId="1F5660DE" w:rsidR="6281EA96" w:rsidRPr="006D4343" w:rsidRDefault="6281EA96" w:rsidP="00A94408">
            <w:pPr>
              <w:jc w:val="center"/>
              <w:rPr>
                <w:rFonts w:asciiTheme="minorHAnsi" w:hAnsiTheme="minorHAnsi" w:cstheme="minorHAnsi"/>
                <w:sz w:val="18"/>
                <w:szCs w:val="18"/>
              </w:rPr>
            </w:pPr>
            <w:r w:rsidRPr="006D4343">
              <w:rPr>
                <w:rFonts w:asciiTheme="minorHAnsi" w:eastAsia="Arial" w:hAnsiTheme="minorHAnsi" w:cstheme="minorHAnsi"/>
                <w:color w:val="000000" w:themeColor="text1"/>
                <w:sz w:val="18"/>
                <w:szCs w:val="18"/>
              </w:rPr>
              <w:t xml:space="preserve"> </w:t>
            </w:r>
          </w:p>
          <w:p w14:paraId="4D292AE4" w14:textId="73040018" w:rsidR="6281EA96" w:rsidRPr="006D4343" w:rsidRDefault="6281EA96" w:rsidP="00A94408">
            <w:pPr>
              <w:jc w:val="center"/>
              <w:rPr>
                <w:rFonts w:asciiTheme="minorHAnsi" w:hAnsiTheme="minorHAnsi" w:cstheme="minorHAnsi"/>
                <w:sz w:val="18"/>
                <w:szCs w:val="18"/>
              </w:rPr>
            </w:pPr>
            <w:r w:rsidRPr="006D4343">
              <w:rPr>
                <w:rFonts w:asciiTheme="minorHAnsi" w:eastAsia="Arial" w:hAnsiTheme="minorHAnsi" w:cstheme="minorHAnsi"/>
                <w:color w:val="000000" w:themeColor="text1"/>
                <w:sz w:val="18"/>
                <w:szCs w:val="18"/>
              </w:rPr>
              <w:t>Bavencio</w:t>
            </w:r>
            <w:r w:rsidRPr="00EB2952">
              <w:rPr>
                <w:rFonts w:asciiTheme="minorHAnsi" w:eastAsia="Arial" w:hAnsiTheme="minorHAnsi" w:cstheme="minorHAnsi"/>
                <w:color w:val="000000" w:themeColor="text1"/>
                <w:sz w:val="18"/>
                <w:szCs w:val="18"/>
              </w:rPr>
              <w:t>®</w:t>
            </w:r>
          </w:p>
          <w:p w14:paraId="7B273FF1" w14:textId="1A735537" w:rsidR="6281EA96" w:rsidRPr="006D4343" w:rsidRDefault="6281EA96" w:rsidP="00A94408">
            <w:pPr>
              <w:jc w:val="center"/>
              <w:rPr>
                <w:rFonts w:asciiTheme="minorHAnsi" w:hAnsiTheme="minorHAnsi" w:cstheme="minorHAnsi"/>
                <w:sz w:val="18"/>
                <w:szCs w:val="18"/>
              </w:rPr>
            </w:pPr>
            <w:r w:rsidRPr="006D4343">
              <w:rPr>
                <w:rFonts w:asciiTheme="minorHAnsi" w:eastAsia="Arial" w:hAnsiTheme="minorHAnsi" w:cstheme="minorHAnsi"/>
                <w:color w:val="000000" w:themeColor="text1"/>
                <w:sz w:val="18"/>
                <w:szCs w:val="18"/>
              </w:rPr>
              <w:t xml:space="preserve"> </w:t>
            </w:r>
          </w:p>
          <w:p w14:paraId="1EBF7ADE" w14:textId="0C2F304B" w:rsidR="6281EA96" w:rsidRPr="006D4343" w:rsidRDefault="6281EA96" w:rsidP="00A94408">
            <w:pPr>
              <w:jc w:val="center"/>
              <w:rPr>
                <w:rFonts w:asciiTheme="minorHAnsi" w:hAnsiTheme="minorHAnsi" w:cstheme="minorHAnsi"/>
                <w:sz w:val="18"/>
                <w:szCs w:val="18"/>
              </w:rPr>
            </w:pPr>
            <w:r w:rsidRPr="006D4343">
              <w:rPr>
                <w:rFonts w:asciiTheme="minorHAnsi" w:eastAsia="Arial" w:hAnsiTheme="minorHAnsi" w:cstheme="minorHAnsi"/>
                <w:color w:val="000000" w:themeColor="text1"/>
                <w:sz w:val="18"/>
                <w:szCs w:val="18"/>
              </w:rPr>
              <w:t>MERCK HEALTHCARE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718FAD3A" w14:textId="77A00009" w:rsidR="6281EA96" w:rsidRPr="006D4343" w:rsidRDefault="6281EA96" w:rsidP="00A94408">
            <w:pPr>
              <w:jc w:val="center"/>
              <w:rPr>
                <w:rFonts w:asciiTheme="minorHAnsi" w:hAnsiTheme="minorHAnsi" w:cstheme="minorHAnsi"/>
                <w:sz w:val="18"/>
                <w:szCs w:val="18"/>
              </w:rPr>
            </w:pPr>
            <w:r w:rsidRPr="006D4343">
              <w:rPr>
                <w:rFonts w:asciiTheme="minorHAnsi" w:eastAsia="Arial" w:hAnsiTheme="minorHAnsi" w:cstheme="minorHAnsi"/>
                <w:sz w:val="18"/>
                <w:szCs w:val="18"/>
              </w:rPr>
              <w:t>Stage IV clear cell variant renal cell carcinoma</w:t>
            </w:r>
          </w:p>
        </w:tc>
        <w:tc>
          <w:tcPr>
            <w:tcW w:w="1197" w:type="pct"/>
            <w:tcBorders>
              <w:top w:val="single" w:sz="4" w:space="0" w:color="auto"/>
              <w:left w:val="nil"/>
              <w:bottom w:val="single" w:sz="4" w:space="0" w:color="auto"/>
              <w:right w:val="single" w:sz="4" w:space="0" w:color="auto"/>
            </w:tcBorders>
            <w:shd w:val="clear" w:color="auto" w:fill="auto"/>
            <w:vAlign w:val="center"/>
          </w:tcPr>
          <w:p w14:paraId="10C1EC4F" w14:textId="5D6C3A32" w:rsidR="00915F1E" w:rsidRPr="006D4343" w:rsidDel="008F66B5" w:rsidRDefault="00F03408" w:rsidP="00A94408">
            <w:pPr>
              <w:widowControl w:val="0"/>
              <w:jc w:val="center"/>
              <w:rPr>
                <w:rFonts w:asciiTheme="minorHAnsi" w:hAnsiTheme="minorHAnsi" w:cstheme="minorHAnsi"/>
                <w:sz w:val="18"/>
                <w:szCs w:val="18"/>
              </w:rPr>
            </w:pPr>
            <w:r w:rsidRPr="006D4343">
              <w:rPr>
                <w:rFonts w:asciiTheme="minorHAnsi" w:eastAsia="Arial" w:hAnsiTheme="minorHAnsi" w:cstheme="minorHAnsi"/>
                <w:color w:val="000000" w:themeColor="text1"/>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7A934293" w14:textId="43F2ABE2" w:rsidR="00915F1E" w:rsidRPr="00A770EF" w:rsidDel="008F66B5" w:rsidRDefault="003233CF" w:rsidP="00A94408">
            <w:pPr>
              <w:widowControl w:val="0"/>
              <w:jc w:val="center"/>
              <w:rPr>
                <w:rFonts w:asciiTheme="minorHAnsi" w:eastAsia="Arial" w:hAnsiTheme="minorHAnsi" w:cstheme="minorBidi"/>
                <w:color w:val="000000" w:themeColor="text1"/>
                <w:sz w:val="18"/>
                <w:szCs w:val="18"/>
              </w:rPr>
            </w:pPr>
            <w:r w:rsidRPr="12F1B601">
              <w:rPr>
                <w:rFonts w:asciiTheme="minorHAnsi" w:eastAsia="Arial" w:hAnsiTheme="minorHAnsi" w:cstheme="minorBidi"/>
                <w:color w:val="000000" w:themeColor="text1"/>
                <w:sz w:val="18"/>
                <w:szCs w:val="18"/>
              </w:rPr>
              <w:t>T</w:t>
            </w:r>
            <w:r w:rsidR="552EBAE8" w:rsidRPr="12F1B601">
              <w:rPr>
                <w:rFonts w:asciiTheme="minorHAnsi" w:eastAsia="Arial" w:hAnsiTheme="minorHAnsi" w:cstheme="minorBidi"/>
                <w:color w:val="000000" w:themeColor="text1"/>
                <w:sz w:val="18"/>
                <w:szCs w:val="18"/>
              </w:rPr>
              <w:t>he</w:t>
            </w:r>
            <w:r w:rsidR="00907779" w:rsidRPr="12F1B601">
              <w:rPr>
                <w:rFonts w:asciiTheme="minorHAnsi" w:eastAsia="Arial" w:hAnsiTheme="minorHAnsi" w:cstheme="minorBidi"/>
                <w:color w:val="000000" w:themeColor="text1"/>
                <w:sz w:val="18"/>
                <w:szCs w:val="18"/>
              </w:rPr>
              <w:t xml:space="preserve"> PBAC rescinded the March 2021 recommendation</w:t>
            </w:r>
            <w:r w:rsidR="003E5E1C" w:rsidRPr="12F1B601">
              <w:rPr>
                <w:rFonts w:asciiTheme="minorHAnsi" w:eastAsia="Arial" w:hAnsiTheme="minorHAnsi" w:cstheme="minorBidi"/>
                <w:color w:val="000000" w:themeColor="text1"/>
                <w:sz w:val="18"/>
                <w:szCs w:val="18"/>
              </w:rPr>
              <w:t xml:space="preserve"> for avelumab</w:t>
            </w:r>
            <w:r w:rsidR="00907779" w:rsidRPr="12F1B601">
              <w:rPr>
                <w:rFonts w:asciiTheme="minorHAnsi" w:eastAsia="Arial" w:hAnsiTheme="minorHAnsi" w:cstheme="minorBidi"/>
                <w:color w:val="000000" w:themeColor="text1"/>
                <w:sz w:val="18"/>
                <w:szCs w:val="18"/>
              </w:rPr>
              <w:t>.</w:t>
            </w:r>
          </w:p>
        </w:tc>
      </w:tr>
      <w:tr w:rsidR="006D4343" w:rsidRPr="006D4343" w:rsidDel="008F66B5" w14:paraId="7F66A77D" w14:textId="738BCDF5" w:rsidTr="6281EA96">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62B24FD4" w14:textId="77777777"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t>DULAGLUTIDE</w:t>
            </w:r>
          </w:p>
          <w:p w14:paraId="6DAD652F" w14:textId="77777777" w:rsidR="006D4343" w:rsidRPr="006D4343" w:rsidRDefault="006D4343" w:rsidP="00A94408">
            <w:pPr>
              <w:jc w:val="center"/>
              <w:rPr>
                <w:rFonts w:asciiTheme="minorHAnsi" w:hAnsiTheme="minorHAnsi" w:cstheme="minorHAnsi"/>
                <w:color w:val="000000"/>
                <w:sz w:val="18"/>
                <w:szCs w:val="18"/>
              </w:rPr>
            </w:pPr>
          </w:p>
          <w:p w14:paraId="300FAEDE" w14:textId="77777777"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t>Injection 3 mg in 0.5 mL single dose pre-filled pen</w:t>
            </w:r>
          </w:p>
          <w:p w14:paraId="64B4389D" w14:textId="77777777"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t>Injection 4.5 mg in 0.5 mL single dose pre-filled pen</w:t>
            </w:r>
          </w:p>
          <w:p w14:paraId="70ECC130" w14:textId="77777777" w:rsidR="006D4343" w:rsidRPr="006D4343" w:rsidRDefault="006D4343" w:rsidP="00A94408">
            <w:pPr>
              <w:jc w:val="center"/>
              <w:rPr>
                <w:rFonts w:asciiTheme="minorHAnsi" w:hAnsiTheme="minorHAnsi" w:cstheme="minorHAnsi"/>
                <w:color w:val="000000"/>
                <w:sz w:val="18"/>
                <w:szCs w:val="18"/>
              </w:rPr>
            </w:pPr>
          </w:p>
          <w:p w14:paraId="45BC4CB1" w14:textId="77777777"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t>Trulicity</w:t>
            </w:r>
            <w:r w:rsidRPr="00EB2952">
              <w:rPr>
                <w:rFonts w:asciiTheme="minorHAnsi" w:hAnsiTheme="minorHAnsi" w:cstheme="minorHAnsi"/>
                <w:color w:val="000000"/>
                <w:sz w:val="18"/>
                <w:szCs w:val="18"/>
              </w:rPr>
              <w:t>®</w:t>
            </w:r>
          </w:p>
          <w:p w14:paraId="63D6FEAF" w14:textId="77777777" w:rsidR="006D4343" w:rsidRPr="006D4343" w:rsidRDefault="006D4343" w:rsidP="00A94408">
            <w:pPr>
              <w:jc w:val="center"/>
              <w:rPr>
                <w:rFonts w:asciiTheme="minorHAnsi" w:hAnsiTheme="minorHAnsi" w:cstheme="minorHAnsi"/>
                <w:color w:val="000000"/>
                <w:sz w:val="18"/>
                <w:szCs w:val="18"/>
              </w:rPr>
            </w:pPr>
          </w:p>
          <w:p w14:paraId="7E9B746C" w14:textId="42B19016" w:rsidR="006D4343" w:rsidRPr="006D4343" w:rsidDel="008F66B5"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t>ELI LILLY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00B494D6" w14:textId="7A273EA2" w:rsidR="006D4343" w:rsidRPr="006D4343" w:rsidDel="008F66B5" w:rsidRDefault="006D4343" w:rsidP="00A94408">
            <w:pPr>
              <w:widowControl w:val="0"/>
              <w:jc w:val="center"/>
              <w:rPr>
                <w:rFonts w:asciiTheme="minorHAnsi" w:hAnsiTheme="minorHAnsi" w:cstheme="minorHAnsi"/>
                <w:sz w:val="18"/>
                <w:szCs w:val="18"/>
                <w:lang w:eastAsia="en-US"/>
              </w:rPr>
            </w:pPr>
            <w:r w:rsidRPr="006D4343">
              <w:rPr>
                <w:rFonts w:asciiTheme="minorHAnsi" w:hAnsiTheme="minorHAnsi" w:cstheme="minorHAnsi"/>
                <w:sz w:val="18"/>
                <w:szCs w:val="18"/>
              </w:rPr>
              <w:t>Type 2 diabetes mellitus (T2DM)</w:t>
            </w:r>
          </w:p>
        </w:tc>
        <w:tc>
          <w:tcPr>
            <w:tcW w:w="1197" w:type="pct"/>
            <w:tcBorders>
              <w:top w:val="single" w:sz="4" w:space="0" w:color="auto"/>
              <w:left w:val="nil"/>
              <w:bottom w:val="single" w:sz="4" w:space="0" w:color="auto"/>
              <w:right w:val="single" w:sz="4" w:space="0" w:color="auto"/>
            </w:tcBorders>
            <w:shd w:val="clear" w:color="auto" w:fill="auto"/>
            <w:vAlign w:val="center"/>
          </w:tcPr>
          <w:p w14:paraId="2ABE9416" w14:textId="64BF0256" w:rsidR="006D4343" w:rsidRPr="006D4343" w:rsidDel="008F66B5" w:rsidRDefault="006D4343" w:rsidP="00A94408">
            <w:pPr>
              <w:widowControl w:val="0"/>
              <w:jc w:val="center"/>
              <w:rPr>
                <w:rFonts w:asciiTheme="minorHAnsi" w:hAnsiTheme="minorHAnsi" w:cstheme="minorHAnsi"/>
                <w:sz w:val="18"/>
                <w:szCs w:val="18"/>
                <w:lang w:eastAsia="en-US"/>
              </w:rPr>
            </w:pPr>
            <w:r w:rsidRPr="006D4343">
              <w:rPr>
                <w:rFonts w:asciiTheme="minorHAnsi" w:eastAsia="Arial" w:hAnsiTheme="minorHAnsi" w:cstheme="minorHAnsi"/>
                <w:color w:val="000000" w:themeColor="text1"/>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6C43C843" w14:textId="6B8E9952" w:rsidR="006D4343" w:rsidRPr="00A770EF" w:rsidDel="008F66B5" w:rsidRDefault="0A4C4ABD" w:rsidP="00A94408">
            <w:pPr>
              <w:widowControl w:val="0"/>
              <w:jc w:val="center"/>
              <w:rPr>
                <w:rFonts w:asciiTheme="minorHAnsi" w:eastAsia="Arial" w:hAnsiTheme="minorHAnsi" w:cstheme="minorBidi"/>
                <w:color w:val="000000" w:themeColor="text1"/>
                <w:sz w:val="18"/>
                <w:szCs w:val="18"/>
              </w:rPr>
            </w:pPr>
            <w:r w:rsidRPr="12F1B601">
              <w:rPr>
                <w:rFonts w:asciiTheme="minorHAnsi" w:eastAsia="Arial" w:hAnsiTheme="minorHAnsi" w:cstheme="minorBidi"/>
                <w:color w:val="000000" w:themeColor="text1"/>
                <w:sz w:val="18"/>
                <w:szCs w:val="18"/>
              </w:rPr>
              <w:t>T</w:t>
            </w:r>
            <w:r w:rsidR="6A1CF0C0" w:rsidRPr="12F1B601">
              <w:rPr>
                <w:rFonts w:asciiTheme="minorHAnsi" w:eastAsia="Arial" w:hAnsiTheme="minorHAnsi" w:cstheme="minorBidi"/>
                <w:color w:val="000000" w:themeColor="text1"/>
                <w:sz w:val="18"/>
                <w:szCs w:val="18"/>
              </w:rPr>
              <w:t>he</w:t>
            </w:r>
            <w:r w:rsidR="00A770EF" w:rsidRPr="12F1B601">
              <w:rPr>
                <w:rFonts w:asciiTheme="minorHAnsi" w:eastAsia="Arial" w:hAnsiTheme="minorHAnsi" w:cstheme="minorBidi"/>
                <w:color w:val="000000" w:themeColor="text1"/>
                <w:sz w:val="18"/>
                <w:szCs w:val="18"/>
              </w:rPr>
              <w:t xml:space="preserve"> PBAC rescinded the May 2022 recommendation</w:t>
            </w:r>
            <w:r w:rsidR="00F12AF2" w:rsidRPr="12F1B601">
              <w:rPr>
                <w:rFonts w:asciiTheme="minorHAnsi" w:eastAsia="Arial" w:hAnsiTheme="minorHAnsi" w:cstheme="minorBidi"/>
                <w:color w:val="000000" w:themeColor="text1"/>
                <w:sz w:val="18"/>
                <w:szCs w:val="18"/>
              </w:rPr>
              <w:t xml:space="preserve"> for dulaglutide</w:t>
            </w:r>
            <w:r w:rsidR="00A770EF" w:rsidRPr="12F1B601">
              <w:rPr>
                <w:rFonts w:asciiTheme="minorHAnsi" w:eastAsia="Arial" w:hAnsiTheme="minorHAnsi" w:cstheme="minorBidi"/>
                <w:color w:val="000000" w:themeColor="text1"/>
                <w:sz w:val="18"/>
                <w:szCs w:val="18"/>
              </w:rPr>
              <w:t>.</w:t>
            </w:r>
          </w:p>
        </w:tc>
      </w:tr>
      <w:tr w:rsidR="006D4343" w:rsidRPr="006D4343" w:rsidDel="008F66B5" w14:paraId="2AA906F0" w14:textId="3973142B" w:rsidTr="6281EA96">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4E9AB527" w14:textId="77777777"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t>HUMAN MENOPAUSAL GONADOTROPHIN</w:t>
            </w:r>
          </w:p>
          <w:p w14:paraId="3076EFBF" w14:textId="5553DDBD"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br/>
              <w:t>Injection 600 I.U. in 1.92 mL pre-filled multi-dose pen</w:t>
            </w:r>
          </w:p>
          <w:p w14:paraId="5DD83C31" w14:textId="77777777"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t>Injection 1,200 I.U. in 1.92 mL pre-filled multi-dose pen</w:t>
            </w:r>
          </w:p>
          <w:p w14:paraId="4B89FA6B" w14:textId="77777777" w:rsidR="006D4343" w:rsidRPr="006D4343" w:rsidRDefault="006D4343" w:rsidP="00A94408">
            <w:pPr>
              <w:jc w:val="center"/>
              <w:rPr>
                <w:rFonts w:asciiTheme="minorHAnsi" w:hAnsiTheme="minorHAnsi" w:cstheme="minorHAnsi"/>
                <w:color w:val="000000"/>
                <w:sz w:val="18"/>
                <w:szCs w:val="18"/>
              </w:rPr>
            </w:pPr>
          </w:p>
          <w:p w14:paraId="0758B3D1" w14:textId="77777777" w:rsidR="006D4343" w:rsidRPr="006D4343" w:rsidRDefault="006D4343" w:rsidP="00A94408">
            <w:pPr>
              <w:jc w:val="center"/>
              <w:rPr>
                <w:rFonts w:asciiTheme="minorHAnsi" w:hAnsiTheme="minorHAnsi" w:cstheme="minorHAnsi"/>
                <w:color w:val="000000"/>
                <w:sz w:val="18"/>
                <w:szCs w:val="18"/>
              </w:rPr>
            </w:pPr>
            <w:proofErr w:type="spellStart"/>
            <w:r w:rsidRPr="006D4343">
              <w:rPr>
                <w:rFonts w:asciiTheme="minorHAnsi" w:hAnsiTheme="minorHAnsi" w:cstheme="minorHAnsi"/>
                <w:color w:val="000000"/>
                <w:sz w:val="18"/>
                <w:szCs w:val="18"/>
              </w:rPr>
              <w:t>Menopur</w:t>
            </w:r>
            <w:proofErr w:type="spellEnd"/>
            <w:r w:rsidRPr="00EB2952">
              <w:rPr>
                <w:rFonts w:asciiTheme="minorHAnsi" w:hAnsiTheme="minorHAnsi" w:cstheme="minorHAnsi"/>
                <w:color w:val="000000"/>
                <w:sz w:val="18"/>
                <w:szCs w:val="18"/>
              </w:rPr>
              <w:t>®</w:t>
            </w:r>
          </w:p>
          <w:p w14:paraId="70F6FD57" w14:textId="77777777" w:rsidR="006D4343" w:rsidRPr="006D4343" w:rsidRDefault="006D4343" w:rsidP="00A94408">
            <w:pPr>
              <w:jc w:val="center"/>
              <w:rPr>
                <w:rFonts w:asciiTheme="minorHAnsi" w:hAnsiTheme="minorHAnsi" w:cstheme="minorHAnsi"/>
                <w:color w:val="000000"/>
                <w:sz w:val="18"/>
                <w:szCs w:val="18"/>
              </w:rPr>
            </w:pPr>
          </w:p>
          <w:p w14:paraId="0D63F861" w14:textId="01E55F2B" w:rsidR="006D4343" w:rsidRPr="006D4343" w:rsidDel="008F66B5"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t>FERRING PHARMACEUTICALS PTY LIMITED</w:t>
            </w:r>
          </w:p>
        </w:tc>
        <w:tc>
          <w:tcPr>
            <w:tcW w:w="1243" w:type="pct"/>
            <w:tcBorders>
              <w:top w:val="single" w:sz="4" w:space="0" w:color="auto"/>
              <w:left w:val="nil"/>
              <w:bottom w:val="single" w:sz="4" w:space="0" w:color="auto"/>
              <w:right w:val="single" w:sz="4" w:space="0" w:color="auto"/>
            </w:tcBorders>
            <w:shd w:val="clear" w:color="auto" w:fill="auto"/>
            <w:vAlign w:val="center"/>
          </w:tcPr>
          <w:p w14:paraId="4F3C590F" w14:textId="62603082" w:rsidR="006D4343" w:rsidRPr="006D4343" w:rsidDel="008F66B5" w:rsidRDefault="006D4343" w:rsidP="00A94408">
            <w:pPr>
              <w:widowControl w:val="0"/>
              <w:jc w:val="center"/>
              <w:rPr>
                <w:rFonts w:asciiTheme="minorHAnsi" w:hAnsiTheme="minorHAnsi" w:cstheme="minorHAnsi"/>
                <w:sz w:val="18"/>
                <w:szCs w:val="18"/>
              </w:rPr>
            </w:pPr>
            <w:r w:rsidRPr="006D4343">
              <w:rPr>
                <w:rFonts w:asciiTheme="minorHAnsi" w:hAnsiTheme="minorHAnsi" w:cstheme="minorHAnsi"/>
                <w:sz w:val="18"/>
                <w:szCs w:val="18"/>
              </w:rPr>
              <w:t>Assisted reproductive technology</w:t>
            </w:r>
          </w:p>
        </w:tc>
        <w:tc>
          <w:tcPr>
            <w:tcW w:w="1197" w:type="pct"/>
            <w:tcBorders>
              <w:top w:val="single" w:sz="4" w:space="0" w:color="auto"/>
              <w:left w:val="nil"/>
              <w:bottom w:val="single" w:sz="4" w:space="0" w:color="auto"/>
              <w:right w:val="single" w:sz="4" w:space="0" w:color="auto"/>
            </w:tcBorders>
            <w:shd w:val="clear" w:color="auto" w:fill="auto"/>
            <w:vAlign w:val="center"/>
          </w:tcPr>
          <w:p w14:paraId="59317AA6" w14:textId="46E4066C" w:rsidR="006D4343" w:rsidRPr="006D4343" w:rsidDel="008F66B5" w:rsidRDefault="006D4343" w:rsidP="00A94408">
            <w:pPr>
              <w:widowControl w:val="0"/>
              <w:jc w:val="center"/>
              <w:rPr>
                <w:rFonts w:asciiTheme="minorHAnsi" w:hAnsiTheme="minorHAnsi" w:cstheme="minorHAnsi"/>
                <w:sz w:val="18"/>
                <w:szCs w:val="18"/>
              </w:rPr>
            </w:pPr>
            <w:r w:rsidRPr="006D4343">
              <w:rPr>
                <w:rFonts w:asciiTheme="minorHAnsi" w:eastAsia="Arial" w:hAnsiTheme="minorHAnsi" w:cstheme="minorHAnsi"/>
                <w:color w:val="000000" w:themeColor="text1"/>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5A3B2937" w14:textId="6FC6B68B" w:rsidR="006D4343" w:rsidRPr="004B6C14" w:rsidDel="008F66B5" w:rsidRDefault="0A4C4ABD" w:rsidP="00A94408">
            <w:pPr>
              <w:widowControl w:val="0"/>
              <w:jc w:val="center"/>
              <w:rPr>
                <w:rFonts w:asciiTheme="minorHAnsi" w:eastAsia="Arial" w:hAnsiTheme="minorHAnsi" w:cstheme="minorBidi"/>
                <w:color w:val="000000" w:themeColor="text1"/>
                <w:sz w:val="18"/>
                <w:szCs w:val="18"/>
              </w:rPr>
            </w:pPr>
            <w:r w:rsidRPr="12F1B601">
              <w:rPr>
                <w:rFonts w:asciiTheme="minorHAnsi" w:eastAsia="Arial" w:hAnsiTheme="minorHAnsi" w:cstheme="minorBidi"/>
                <w:color w:val="000000" w:themeColor="text1"/>
                <w:sz w:val="18"/>
                <w:szCs w:val="18"/>
              </w:rPr>
              <w:t>T</w:t>
            </w:r>
            <w:r w:rsidR="06005FEE" w:rsidRPr="12F1B601">
              <w:rPr>
                <w:rFonts w:asciiTheme="minorHAnsi" w:eastAsia="Arial" w:hAnsiTheme="minorHAnsi" w:cstheme="minorBidi"/>
                <w:color w:val="000000" w:themeColor="text1"/>
                <w:sz w:val="18"/>
                <w:szCs w:val="18"/>
              </w:rPr>
              <w:t>he</w:t>
            </w:r>
            <w:r w:rsidR="00062AF3" w:rsidRPr="12F1B601">
              <w:rPr>
                <w:rFonts w:asciiTheme="minorHAnsi" w:eastAsia="Arial" w:hAnsiTheme="minorHAnsi" w:cstheme="minorBidi"/>
                <w:color w:val="000000" w:themeColor="text1"/>
                <w:sz w:val="18"/>
                <w:szCs w:val="18"/>
              </w:rPr>
              <w:t xml:space="preserve"> PBAC extended the July 2022 recommendation for </w:t>
            </w:r>
            <w:r w:rsidR="009212AC" w:rsidRPr="12F1B601">
              <w:rPr>
                <w:rFonts w:asciiTheme="minorHAnsi" w:eastAsia="Arial" w:hAnsiTheme="minorHAnsi" w:cstheme="minorBidi"/>
                <w:color w:val="000000" w:themeColor="text1"/>
                <w:sz w:val="18"/>
                <w:szCs w:val="18"/>
              </w:rPr>
              <w:t xml:space="preserve">human menopausal gonadotrophin for </w:t>
            </w:r>
            <w:r w:rsidR="00062AF3" w:rsidRPr="12F1B601">
              <w:rPr>
                <w:rFonts w:asciiTheme="minorHAnsi" w:eastAsia="Arial" w:hAnsiTheme="minorHAnsi" w:cstheme="minorBidi"/>
                <w:color w:val="000000" w:themeColor="text1"/>
                <w:sz w:val="18"/>
                <w:szCs w:val="18"/>
              </w:rPr>
              <w:t>an additional 12 months.</w:t>
            </w:r>
          </w:p>
        </w:tc>
      </w:tr>
      <w:tr w:rsidR="006D4343" w:rsidRPr="006D4343" w:rsidDel="008F66B5" w14:paraId="382E0067" w14:textId="350A2D3C" w:rsidTr="6281EA96">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1F31DC5F" w14:textId="77777777"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t>IBRUTINIB</w:t>
            </w:r>
          </w:p>
          <w:p w14:paraId="56DFFDA1" w14:textId="77777777"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br/>
              <w:t>Capsule 140 mg</w:t>
            </w:r>
          </w:p>
          <w:p w14:paraId="6A11F083" w14:textId="77777777" w:rsidR="006D4343" w:rsidRPr="006D4343" w:rsidRDefault="006D4343" w:rsidP="00A94408">
            <w:pPr>
              <w:jc w:val="center"/>
              <w:rPr>
                <w:rFonts w:asciiTheme="minorHAnsi" w:hAnsiTheme="minorHAnsi" w:cstheme="minorHAnsi"/>
                <w:color w:val="000000"/>
                <w:sz w:val="18"/>
                <w:szCs w:val="18"/>
              </w:rPr>
            </w:pPr>
          </w:p>
          <w:p w14:paraId="4D44C86D" w14:textId="77777777"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t>Imbruvica</w:t>
            </w:r>
            <w:r w:rsidRPr="00EB2952">
              <w:rPr>
                <w:rFonts w:asciiTheme="minorHAnsi" w:hAnsiTheme="minorHAnsi" w:cstheme="minorHAnsi"/>
                <w:color w:val="000000"/>
                <w:sz w:val="18"/>
                <w:szCs w:val="18"/>
              </w:rPr>
              <w:t>®</w:t>
            </w:r>
          </w:p>
          <w:p w14:paraId="62C9DA95" w14:textId="77777777" w:rsidR="006D4343" w:rsidRPr="006D4343" w:rsidRDefault="006D4343" w:rsidP="00A94408">
            <w:pPr>
              <w:jc w:val="center"/>
              <w:rPr>
                <w:rFonts w:asciiTheme="minorHAnsi" w:hAnsiTheme="minorHAnsi" w:cstheme="minorHAnsi"/>
                <w:color w:val="000000"/>
                <w:sz w:val="18"/>
                <w:szCs w:val="18"/>
              </w:rPr>
            </w:pPr>
          </w:p>
          <w:p w14:paraId="23623975" w14:textId="1D618228" w:rsidR="006D4343" w:rsidRPr="006D4343" w:rsidDel="008F66B5" w:rsidRDefault="006D4343" w:rsidP="00A94408">
            <w:pPr>
              <w:jc w:val="center"/>
              <w:rPr>
                <w:rFonts w:asciiTheme="minorHAnsi" w:hAnsiTheme="minorHAnsi" w:cstheme="minorHAnsi"/>
                <w:snapToGrid w:val="0"/>
                <w:color w:val="000000" w:themeColor="text1"/>
                <w:sz w:val="18"/>
                <w:szCs w:val="18"/>
              </w:rPr>
            </w:pPr>
            <w:r w:rsidRPr="006D4343">
              <w:rPr>
                <w:rFonts w:asciiTheme="minorHAnsi" w:hAnsiTheme="minorHAnsi" w:cstheme="minorHAnsi"/>
                <w:color w:val="000000"/>
                <w:sz w:val="18"/>
                <w:szCs w:val="18"/>
              </w:rPr>
              <w:t>JANSSEN-CILAG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3F08D567" w14:textId="39317694" w:rsidR="006D4343" w:rsidRPr="006D4343" w:rsidDel="008F66B5" w:rsidRDefault="006D4343" w:rsidP="00A94408">
            <w:pPr>
              <w:widowControl w:val="0"/>
              <w:jc w:val="center"/>
              <w:rPr>
                <w:rFonts w:asciiTheme="minorHAnsi" w:hAnsiTheme="minorHAnsi" w:cstheme="minorHAnsi"/>
                <w:snapToGrid w:val="0"/>
                <w:sz w:val="18"/>
                <w:szCs w:val="18"/>
              </w:rPr>
            </w:pPr>
            <w:r w:rsidRPr="006D4343">
              <w:rPr>
                <w:rFonts w:asciiTheme="minorHAnsi" w:hAnsiTheme="minorHAnsi" w:cstheme="minorHAnsi"/>
                <w:sz w:val="18"/>
                <w:szCs w:val="18"/>
              </w:rPr>
              <w:t>Chronic lymphocytic leukaemia (CLL) and small lymphocytic lymphoma (SLL) with evidence of one or more 17p chromosome deletions</w:t>
            </w:r>
          </w:p>
        </w:tc>
        <w:tc>
          <w:tcPr>
            <w:tcW w:w="1197" w:type="pct"/>
            <w:tcBorders>
              <w:top w:val="single" w:sz="4" w:space="0" w:color="auto"/>
              <w:left w:val="nil"/>
              <w:bottom w:val="single" w:sz="4" w:space="0" w:color="auto"/>
              <w:right w:val="single" w:sz="4" w:space="0" w:color="auto"/>
            </w:tcBorders>
            <w:shd w:val="clear" w:color="auto" w:fill="auto"/>
            <w:vAlign w:val="center"/>
          </w:tcPr>
          <w:p w14:paraId="50EF9487" w14:textId="21C3B481" w:rsidR="006D4343" w:rsidRPr="006D4343" w:rsidDel="008F66B5" w:rsidRDefault="006D4343" w:rsidP="00A94408">
            <w:pPr>
              <w:widowControl w:val="0"/>
              <w:jc w:val="center"/>
              <w:rPr>
                <w:rFonts w:asciiTheme="minorHAnsi" w:hAnsiTheme="minorHAnsi" w:cstheme="minorHAnsi"/>
                <w:snapToGrid w:val="0"/>
                <w:sz w:val="18"/>
                <w:szCs w:val="18"/>
              </w:rPr>
            </w:pPr>
            <w:r w:rsidRPr="006D4343">
              <w:rPr>
                <w:rFonts w:asciiTheme="minorHAnsi" w:eastAsia="Arial" w:hAnsiTheme="minorHAnsi" w:cstheme="minorHAnsi"/>
                <w:color w:val="000000" w:themeColor="text1"/>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1221DD28" w14:textId="4229DC46" w:rsidR="006D4343" w:rsidRPr="00C948D6" w:rsidDel="008F66B5" w:rsidRDefault="11953AA7" w:rsidP="12F1B601">
            <w:pPr>
              <w:jc w:val="center"/>
              <w:rPr>
                <w:rFonts w:asciiTheme="minorHAnsi" w:eastAsia="Arial" w:hAnsiTheme="minorHAnsi" w:cstheme="minorBidi"/>
                <w:color w:val="000000"/>
                <w:sz w:val="18"/>
                <w:szCs w:val="18"/>
              </w:rPr>
            </w:pPr>
            <w:r w:rsidRPr="12F1B601">
              <w:rPr>
                <w:rFonts w:asciiTheme="minorHAnsi" w:eastAsia="Arial" w:hAnsiTheme="minorHAnsi" w:cstheme="minorBidi"/>
                <w:color w:val="000000" w:themeColor="text1"/>
                <w:sz w:val="18"/>
                <w:szCs w:val="18"/>
              </w:rPr>
              <w:t>T</w:t>
            </w:r>
            <w:r w:rsidR="4314B946" w:rsidRPr="12F1B601">
              <w:rPr>
                <w:rFonts w:asciiTheme="minorHAnsi" w:eastAsia="Arial" w:hAnsiTheme="minorHAnsi" w:cstheme="minorBidi"/>
                <w:color w:val="000000" w:themeColor="text1"/>
                <w:sz w:val="18"/>
                <w:szCs w:val="18"/>
              </w:rPr>
              <w:t xml:space="preserve">he PBAC </w:t>
            </w:r>
            <w:r w:rsidR="0071016B" w:rsidRPr="12F1B601">
              <w:rPr>
                <w:rFonts w:asciiTheme="minorHAnsi" w:eastAsia="Arial" w:hAnsiTheme="minorHAnsi" w:cstheme="minorBidi"/>
                <w:color w:val="000000" w:themeColor="text1"/>
                <w:sz w:val="18"/>
                <w:szCs w:val="18"/>
              </w:rPr>
              <w:t>rescinded the November 2019 recommendation</w:t>
            </w:r>
            <w:r w:rsidR="00C948D6" w:rsidRPr="12F1B601">
              <w:rPr>
                <w:rFonts w:asciiTheme="minorHAnsi" w:eastAsia="Arial" w:hAnsiTheme="minorHAnsi" w:cstheme="minorBidi"/>
                <w:color w:val="000000" w:themeColor="text1"/>
                <w:sz w:val="18"/>
                <w:szCs w:val="18"/>
              </w:rPr>
              <w:t xml:space="preserve"> for </w:t>
            </w:r>
            <w:r w:rsidR="00C948D6" w:rsidRPr="12F1B601">
              <w:rPr>
                <w:rFonts w:asciiTheme="minorHAnsi" w:hAnsiTheme="minorHAnsi" w:cstheme="minorBidi"/>
                <w:color w:val="000000" w:themeColor="text1"/>
                <w:sz w:val="18"/>
                <w:szCs w:val="18"/>
              </w:rPr>
              <w:t>ibrutinib</w:t>
            </w:r>
            <w:r w:rsidR="0071016B" w:rsidRPr="12F1B601">
              <w:rPr>
                <w:rFonts w:asciiTheme="minorHAnsi" w:eastAsia="Arial" w:hAnsiTheme="minorHAnsi" w:cstheme="minorBidi"/>
                <w:color w:val="000000" w:themeColor="text1"/>
                <w:sz w:val="18"/>
                <w:szCs w:val="18"/>
              </w:rPr>
              <w:t>. The PBAC advised that this recommendation had been superseded by the listings of venetoclax + ibrutinib and zanubrutinib.</w:t>
            </w:r>
          </w:p>
        </w:tc>
      </w:tr>
      <w:tr w:rsidR="006D4343" w:rsidRPr="006D4343" w:rsidDel="008F66B5" w14:paraId="52109C4F" w14:textId="507C4328" w:rsidTr="6281EA96">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399EEB86" w14:textId="77777777"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lastRenderedPageBreak/>
              <w:t>PANCREATIC EXTRACT</w:t>
            </w:r>
          </w:p>
          <w:p w14:paraId="20BE52C4" w14:textId="77777777" w:rsidR="006D4343" w:rsidRPr="006D4343" w:rsidRDefault="006D4343" w:rsidP="00A94408">
            <w:pPr>
              <w:jc w:val="center"/>
              <w:rPr>
                <w:rFonts w:asciiTheme="minorHAnsi" w:hAnsiTheme="minorHAnsi" w:cstheme="minorHAnsi"/>
                <w:color w:val="000000"/>
                <w:sz w:val="18"/>
                <w:szCs w:val="18"/>
              </w:rPr>
            </w:pPr>
          </w:p>
          <w:p w14:paraId="4079EFF0" w14:textId="77777777"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t>Capsule (containing enteric coated minimicrospheres) providing not less than 20,000 BP units of lipase activity</w:t>
            </w:r>
          </w:p>
          <w:p w14:paraId="20F68FA6" w14:textId="77777777" w:rsidR="006D4343" w:rsidRPr="006D4343" w:rsidRDefault="006D4343" w:rsidP="00A94408">
            <w:pPr>
              <w:jc w:val="center"/>
              <w:rPr>
                <w:rFonts w:asciiTheme="minorHAnsi" w:hAnsiTheme="minorHAnsi" w:cstheme="minorHAnsi"/>
                <w:color w:val="000000"/>
                <w:sz w:val="18"/>
                <w:szCs w:val="18"/>
              </w:rPr>
            </w:pPr>
          </w:p>
          <w:p w14:paraId="2DF19565" w14:textId="77777777"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t>Creon</w:t>
            </w:r>
            <w:r w:rsidRPr="00EB2952">
              <w:rPr>
                <w:rFonts w:asciiTheme="minorHAnsi" w:hAnsiTheme="minorHAnsi" w:cstheme="minorHAnsi"/>
                <w:color w:val="000000"/>
                <w:sz w:val="18"/>
                <w:szCs w:val="18"/>
              </w:rPr>
              <w:t>®</w:t>
            </w:r>
          </w:p>
          <w:p w14:paraId="27FCFF1D" w14:textId="77777777" w:rsidR="006D4343" w:rsidRPr="006D4343" w:rsidRDefault="006D4343" w:rsidP="00A94408">
            <w:pPr>
              <w:jc w:val="center"/>
              <w:rPr>
                <w:rFonts w:asciiTheme="minorHAnsi" w:hAnsiTheme="minorHAnsi" w:cstheme="minorHAnsi"/>
                <w:color w:val="000000"/>
                <w:sz w:val="18"/>
                <w:szCs w:val="18"/>
              </w:rPr>
            </w:pPr>
          </w:p>
          <w:p w14:paraId="471EC5E8" w14:textId="0C9E89BC" w:rsidR="006D4343" w:rsidRPr="006D4343" w:rsidDel="008F66B5" w:rsidRDefault="006D4343" w:rsidP="00A94408">
            <w:pPr>
              <w:jc w:val="center"/>
              <w:rPr>
                <w:rFonts w:asciiTheme="minorHAnsi" w:hAnsiTheme="minorHAnsi" w:cstheme="minorHAnsi"/>
                <w:snapToGrid w:val="0"/>
                <w:color w:val="000000" w:themeColor="text1"/>
                <w:sz w:val="18"/>
                <w:szCs w:val="18"/>
              </w:rPr>
            </w:pPr>
            <w:r w:rsidRPr="006D4343">
              <w:rPr>
                <w:rFonts w:asciiTheme="minorHAnsi" w:hAnsiTheme="minorHAnsi" w:cstheme="minorHAnsi"/>
                <w:color w:val="000000"/>
                <w:sz w:val="18"/>
                <w:szCs w:val="18"/>
              </w:rPr>
              <w:t>VIATRIS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029B374B" w14:textId="5941DCEF" w:rsidR="006D4343" w:rsidRPr="006D4343" w:rsidDel="008F66B5" w:rsidRDefault="006D4343" w:rsidP="00A94408">
            <w:pPr>
              <w:widowControl w:val="0"/>
              <w:jc w:val="center"/>
              <w:rPr>
                <w:rFonts w:asciiTheme="minorHAnsi" w:hAnsiTheme="minorHAnsi" w:cstheme="minorHAnsi"/>
                <w:snapToGrid w:val="0"/>
                <w:sz w:val="18"/>
                <w:szCs w:val="18"/>
              </w:rPr>
            </w:pPr>
            <w:r w:rsidRPr="006D4343">
              <w:rPr>
                <w:rFonts w:asciiTheme="minorHAnsi" w:hAnsiTheme="minorHAnsi" w:cstheme="minorHAnsi"/>
                <w:sz w:val="18"/>
                <w:szCs w:val="18"/>
              </w:rPr>
              <w:t>Cystic fibrosis</w:t>
            </w:r>
          </w:p>
        </w:tc>
        <w:tc>
          <w:tcPr>
            <w:tcW w:w="1197" w:type="pct"/>
            <w:tcBorders>
              <w:top w:val="single" w:sz="4" w:space="0" w:color="auto"/>
              <w:left w:val="nil"/>
              <w:bottom w:val="single" w:sz="4" w:space="0" w:color="auto"/>
              <w:right w:val="single" w:sz="4" w:space="0" w:color="auto"/>
            </w:tcBorders>
            <w:shd w:val="clear" w:color="auto" w:fill="auto"/>
            <w:vAlign w:val="center"/>
          </w:tcPr>
          <w:p w14:paraId="17A4DBD7" w14:textId="2AFF4637" w:rsidR="006D4343" w:rsidRPr="006D4343" w:rsidDel="008F66B5" w:rsidRDefault="006D4343" w:rsidP="00A94408">
            <w:pPr>
              <w:widowControl w:val="0"/>
              <w:jc w:val="center"/>
              <w:rPr>
                <w:rFonts w:asciiTheme="minorHAnsi" w:hAnsiTheme="minorHAnsi" w:cstheme="minorHAnsi"/>
                <w:snapToGrid w:val="0"/>
                <w:sz w:val="18"/>
                <w:szCs w:val="18"/>
              </w:rPr>
            </w:pPr>
            <w:r w:rsidRPr="006D4343">
              <w:rPr>
                <w:rFonts w:asciiTheme="minorHAnsi" w:eastAsia="Arial" w:hAnsiTheme="minorHAnsi" w:cstheme="minorHAnsi"/>
                <w:color w:val="000000" w:themeColor="text1"/>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2A92854D" w14:textId="72EBFEDD" w:rsidR="006D4343" w:rsidRPr="004B6C14" w:rsidDel="008F66B5" w:rsidRDefault="18743E28" w:rsidP="00A94408">
            <w:pPr>
              <w:widowControl w:val="0"/>
              <w:jc w:val="center"/>
              <w:rPr>
                <w:rFonts w:asciiTheme="minorHAnsi" w:eastAsia="Arial" w:hAnsiTheme="minorHAnsi" w:cstheme="minorBidi"/>
                <w:color w:val="000000" w:themeColor="text1"/>
                <w:sz w:val="18"/>
                <w:szCs w:val="18"/>
              </w:rPr>
            </w:pPr>
            <w:r w:rsidRPr="12F1B601">
              <w:rPr>
                <w:rFonts w:asciiTheme="minorHAnsi" w:eastAsia="Arial" w:hAnsiTheme="minorHAnsi" w:cstheme="minorBidi"/>
                <w:color w:val="000000" w:themeColor="text1"/>
                <w:sz w:val="18"/>
                <w:szCs w:val="18"/>
              </w:rPr>
              <w:t>T</w:t>
            </w:r>
            <w:r w:rsidR="5194121D" w:rsidRPr="12F1B601">
              <w:rPr>
                <w:rFonts w:asciiTheme="minorHAnsi" w:eastAsia="Arial" w:hAnsiTheme="minorHAnsi" w:cstheme="minorBidi"/>
                <w:color w:val="000000" w:themeColor="text1"/>
                <w:sz w:val="18"/>
                <w:szCs w:val="18"/>
              </w:rPr>
              <w:t>he</w:t>
            </w:r>
            <w:r w:rsidR="00EA5F70" w:rsidRPr="12F1B601">
              <w:rPr>
                <w:rFonts w:asciiTheme="minorHAnsi" w:eastAsia="Arial" w:hAnsiTheme="minorHAnsi" w:cstheme="minorBidi"/>
                <w:color w:val="000000" w:themeColor="text1"/>
                <w:sz w:val="18"/>
                <w:szCs w:val="18"/>
              </w:rPr>
              <w:t xml:space="preserve"> PBAC rescinded the November 2020 recommendation</w:t>
            </w:r>
            <w:r w:rsidR="00C948D6" w:rsidRPr="12F1B601">
              <w:rPr>
                <w:rFonts w:asciiTheme="minorHAnsi" w:eastAsia="Arial" w:hAnsiTheme="minorHAnsi" w:cstheme="minorBidi"/>
                <w:color w:val="000000" w:themeColor="text1"/>
                <w:sz w:val="18"/>
                <w:szCs w:val="18"/>
              </w:rPr>
              <w:t xml:space="preserve"> for pancreatic extract.</w:t>
            </w:r>
          </w:p>
        </w:tc>
      </w:tr>
      <w:tr w:rsidR="006D4343" w:rsidRPr="006D4343" w:rsidDel="008F66B5" w14:paraId="079EC6AC" w14:textId="675D5C85" w:rsidTr="6281EA96">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4EC592EB" w14:textId="77777777"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t xml:space="preserve">PEMBROLIZUMAB </w:t>
            </w:r>
          </w:p>
          <w:p w14:paraId="0CA20FE6" w14:textId="77777777" w:rsidR="006D4343" w:rsidRPr="006D4343" w:rsidRDefault="006D4343" w:rsidP="00A94408">
            <w:pPr>
              <w:jc w:val="center"/>
              <w:rPr>
                <w:rFonts w:asciiTheme="minorHAnsi" w:hAnsiTheme="minorHAnsi" w:cstheme="minorHAnsi"/>
                <w:color w:val="000000"/>
                <w:sz w:val="18"/>
                <w:szCs w:val="18"/>
              </w:rPr>
            </w:pPr>
          </w:p>
          <w:p w14:paraId="4048ABD1" w14:textId="6E7E0F6A"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t>Solution concentrate for I.V. infusion 100 mg in 4</w:t>
            </w:r>
            <w:r w:rsidR="000128E9">
              <w:rPr>
                <w:rFonts w:asciiTheme="minorHAnsi" w:hAnsiTheme="minorHAnsi" w:cstheme="minorHAnsi"/>
                <w:color w:val="000000"/>
                <w:sz w:val="18"/>
                <w:szCs w:val="18"/>
              </w:rPr>
              <w:t> </w:t>
            </w:r>
            <w:r w:rsidRPr="006D4343">
              <w:rPr>
                <w:rFonts w:asciiTheme="minorHAnsi" w:hAnsiTheme="minorHAnsi" w:cstheme="minorHAnsi"/>
                <w:color w:val="000000"/>
                <w:sz w:val="18"/>
                <w:szCs w:val="18"/>
              </w:rPr>
              <w:t>mL</w:t>
            </w:r>
          </w:p>
          <w:p w14:paraId="3EF452C8" w14:textId="77777777" w:rsidR="006D4343" w:rsidRPr="006D4343" w:rsidRDefault="006D4343" w:rsidP="00A94408">
            <w:pPr>
              <w:jc w:val="center"/>
              <w:rPr>
                <w:rFonts w:asciiTheme="minorHAnsi" w:hAnsiTheme="minorHAnsi" w:cstheme="minorHAnsi"/>
                <w:color w:val="000000"/>
                <w:sz w:val="18"/>
                <w:szCs w:val="18"/>
              </w:rPr>
            </w:pPr>
          </w:p>
          <w:p w14:paraId="3E18A50A" w14:textId="77777777"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t>Keytruda</w:t>
            </w:r>
            <w:r w:rsidRPr="00EB2952">
              <w:rPr>
                <w:rFonts w:asciiTheme="minorHAnsi" w:hAnsiTheme="minorHAnsi" w:cstheme="minorHAnsi"/>
                <w:color w:val="000000"/>
                <w:sz w:val="18"/>
                <w:szCs w:val="18"/>
              </w:rPr>
              <w:t>®</w:t>
            </w:r>
          </w:p>
          <w:p w14:paraId="52803711" w14:textId="77777777" w:rsidR="006D4343" w:rsidRPr="006D4343" w:rsidRDefault="006D4343" w:rsidP="00A94408">
            <w:pPr>
              <w:jc w:val="center"/>
              <w:rPr>
                <w:rFonts w:asciiTheme="minorHAnsi" w:hAnsiTheme="minorHAnsi" w:cstheme="minorHAnsi"/>
                <w:color w:val="000000"/>
                <w:sz w:val="18"/>
                <w:szCs w:val="18"/>
              </w:rPr>
            </w:pPr>
          </w:p>
          <w:p w14:paraId="1415509E" w14:textId="7BAC9BF9" w:rsidR="006D4343" w:rsidRPr="006D4343" w:rsidDel="008F66B5" w:rsidRDefault="006D4343" w:rsidP="00A94408">
            <w:pPr>
              <w:jc w:val="center"/>
              <w:rPr>
                <w:rFonts w:asciiTheme="minorHAnsi" w:hAnsiTheme="minorHAnsi" w:cstheme="minorHAnsi"/>
                <w:color w:val="000000" w:themeColor="text1"/>
                <w:sz w:val="18"/>
                <w:szCs w:val="18"/>
              </w:rPr>
            </w:pPr>
            <w:r w:rsidRPr="006D4343">
              <w:rPr>
                <w:rFonts w:asciiTheme="minorHAnsi" w:hAnsiTheme="minorHAnsi" w:cstheme="minorHAnsi"/>
                <w:color w:val="000000"/>
                <w:sz w:val="18"/>
                <w:szCs w:val="18"/>
              </w:rPr>
              <w:t>MERCK SHARP &amp; DOHME (AUSTRALIA) PTY LIMITED</w:t>
            </w:r>
          </w:p>
        </w:tc>
        <w:tc>
          <w:tcPr>
            <w:tcW w:w="1243" w:type="pct"/>
            <w:tcBorders>
              <w:top w:val="single" w:sz="4" w:space="0" w:color="auto"/>
              <w:left w:val="nil"/>
              <w:bottom w:val="single" w:sz="4" w:space="0" w:color="auto"/>
              <w:right w:val="single" w:sz="4" w:space="0" w:color="auto"/>
            </w:tcBorders>
            <w:shd w:val="clear" w:color="auto" w:fill="auto"/>
            <w:vAlign w:val="center"/>
          </w:tcPr>
          <w:p w14:paraId="10C2735A" w14:textId="47EDE5EA" w:rsidR="006D4343" w:rsidRPr="006D4343" w:rsidDel="008F66B5" w:rsidRDefault="006D4343" w:rsidP="00A94408">
            <w:pPr>
              <w:widowControl w:val="0"/>
              <w:jc w:val="center"/>
              <w:rPr>
                <w:rFonts w:asciiTheme="minorHAnsi" w:hAnsiTheme="minorHAnsi" w:cstheme="minorHAnsi"/>
                <w:sz w:val="18"/>
                <w:szCs w:val="18"/>
              </w:rPr>
            </w:pPr>
            <w:r w:rsidRPr="006D4343">
              <w:rPr>
                <w:rFonts w:asciiTheme="minorHAnsi" w:hAnsiTheme="minorHAnsi" w:cstheme="minorHAnsi"/>
                <w:sz w:val="18"/>
                <w:szCs w:val="18"/>
              </w:rPr>
              <w:t>Advanced or metastatic gastro-oesophageal cancers</w:t>
            </w:r>
          </w:p>
        </w:tc>
        <w:tc>
          <w:tcPr>
            <w:tcW w:w="1197" w:type="pct"/>
            <w:tcBorders>
              <w:top w:val="single" w:sz="4" w:space="0" w:color="auto"/>
              <w:left w:val="nil"/>
              <w:bottom w:val="single" w:sz="4" w:space="0" w:color="auto"/>
              <w:right w:val="single" w:sz="4" w:space="0" w:color="auto"/>
            </w:tcBorders>
            <w:shd w:val="clear" w:color="auto" w:fill="auto"/>
            <w:vAlign w:val="center"/>
          </w:tcPr>
          <w:p w14:paraId="0ECFEEC8" w14:textId="1E357184" w:rsidR="006D4343" w:rsidRPr="006D4343" w:rsidDel="008F66B5" w:rsidRDefault="006D4343" w:rsidP="00A94408">
            <w:pPr>
              <w:widowControl w:val="0"/>
              <w:jc w:val="center"/>
              <w:rPr>
                <w:rFonts w:asciiTheme="minorHAnsi" w:hAnsiTheme="minorHAnsi" w:cstheme="minorHAnsi"/>
                <w:sz w:val="18"/>
                <w:szCs w:val="18"/>
              </w:rPr>
            </w:pPr>
            <w:r w:rsidRPr="006D4343">
              <w:rPr>
                <w:rFonts w:asciiTheme="minorHAnsi" w:eastAsia="Arial" w:hAnsiTheme="minorHAnsi" w:cstheme="minorHAnsi"/>
                <w:color w:val="000000" w:themeColor="text1"/>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vAlign w:val="center"/>
          </w:tcPr>
          <w:p w14:paraId="5A083324" w14:textId="4E6AC10A" w:rsidR="006D4343" w:rsidRPr="004B6C14" w:rsidDel="008F66B5" w:rsidRDefault="18743E28" w:rsidP="00A94408">
            <w:pPr>
              <w:widowControl w:val="0"/>
              <w:jc w:val="center"/>
              <w:rPr>
                <w:rFonts w:asciiTheme="minorHAnsi" w:eastAsia="Arial" w:hAnsiTheme="minorHAnsi" w:cstheme="minorBidi"/>
                <w:color w:val="000000" w:themeColor="text1"/>
                <w:sz w:val="18"/>
                <w:szCs w:val="18"/>
              </w:rPr>
            </w:pPr>
            <w:r w:rsidRPr="12F1B601">
              <w:rPr>
                <w:rFonts w:asciiTheme="minorHAnsi" w:eastAsia="Arial" w:hAnsiTheme="minorHAnsi" w:cstheme="minorBidi"/>
                <w:color w:val="000000" w:themeColor="text1"/>
                <w:sz w:val="18"/>
                <w:szCs w:val="18"/>
              </w:rPr>
              <w:t>T</w:t>
            </w:r>
            <w:r w:rsidR="4D6CD31E" w:rsidRPr="12F1B601">
              <w:rPr>
                <w:rFonts w:asciiTheme="minorHAnsi" w:eastAsia="Arial" w:hAnsiTheme="minorHAnsi" w:cstheme="minorBidi"/>
                <w:color w:val="000000" w:themeColor="text1"/>
                <w:sz w:val="18"/>
                <w:szCs w:val="18"/>
              </w:rPr>
              <w:t>he</w:t>
            </w:r>
            <w:r w:rsidR="00575F8F" w:rsidRPr="12F1B601">
              <w:rPr>
                <w:rFonts w:asciiTheme="minorHAnsi" w:eastAsia="Arial" w:hAnsiTheme="minorHAnsi" w:cstheme="minorBidi"/>
                <w:color w:val="000000" w:themeColor="text1"/>
                <w:sz w:val="18"/>
                <w:szCs w:val="18"/>
              </w:rPr>
              <w:t xml:space="preserve"> PBAC extended the May 2022 recommendation for </w:t>
            </w:r>
            <w:r w:rsidR="003E4075" w:rsidRPr="12F1B601">
              <w:rPr>
                <w:rFonts w:asciiTheme="minorHAnsi" w:eastAsia="Arial" w:hAnsiTheme="minorHAnsi" w:cstheme="minorBidi"/>
                <w:color w:val="000000" w:themeColor="text1"/>
                <w:sz w:val="18"/>
                <w:szCs w:val="18"/>
              </w:rPr>
              <w:t xml:space="preserve">pembrolizumab for </w:t>
            </w:r>
            <w:r w:rsidR="00575F8F" w:rsidRPr="12F1B601">
              <w:rPr>
                <w:rFonts w:asciiTheme="minorHAnsi" w:eastAsia="Arial" w:hAnsiTheme="minorHAnsi" w:cstheme="minorBidi"/>
                <w:color w:val="000000" w:themeColor="text1"/>
                <w:sz w:val="18"/>
                <w:szCs w:val="18"/>
              </w:rPr>
              <w:t>an additional 12 months.</w:t>
            </w:r>
          </w:p>
        </w:tc>
      </w:tr>
      <w:tr w:rsidR="006D4343" w:rsidRPr="006D4343" w:rsidDel="008F66B5" w14:paraId="6E29C249" w14:textId="49C9CAFA" w:rsidTr="6281EA96">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0C9A1242" w14:textId="77777777"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t>PROGESTERONE</w:t>
            </w:r>
          </w:p>
          <w:p w14:paraId="0DBB3610" w14:textId="77777777"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br/>
              <w:t>Pessary 400 mg</w:t>
            </w:r>
          </w:p>
          <w:p w14:paraId="6215AD3F" w14:textId="77777777" w:rsidR="006D4343" w:rsidRPr="006D4343" w:rsidRDefault="006D4343" w:rsidP="00A94408">
            <w:pPr>
              <w:jc w:val="center"/>
              <w:rPr>
                <w:rFonts w:asciiTheme="minorHAnsi" w:hAnsiTheme="minorHAnsi" w:cstheme="minorHAnsi"/>
                <w:color w:val="000000"/>
                <w:sz w:val="18"/>
                <w:szCs w:val="18"/>
              </w:rPr>
            </w:pPr>
          </w:p>
          <w:p w14:paraId="74A434E2" w14:textId="77777777" w:rsidR="006D4343" w:rsidRPr="006D4343" w:rsidRDefault="006D4343" w:rsidP="00A94408">
            <w:pPr>
              <w:jc w:val="center"/>
              <w:rPr>
                <w:rFonts w:asciiTheme="minorHAnsi" w:hAnsiTheme="minorHAnsi" w:cstheme="minorHAnsi"/>
                <w:color w:val="000000"/>
                <w:sz w:val="18"/>
                <w:szCs w:val="18"/>
              </w:rPr>
            </w:pPr>
            <w:proofErr w:type="spellStart"/>
            <w:r w:rsidRPr="006D4343">
              <w:rPr>
                <w:rFonts w:asciiTheme="minorHAnsi" w:hAnsiTheme="minorHAnsi" w:cstheme="minorHAnsi"/>
                <w:color w:val="000000"/>
                <w:sz w:val="18"/>
                <w:szCs w:val="18"/>
              </w:rPr>
              <w:t>Cyclogest</w:t>
            </w:r>
            <w:proofErr w:type="spellEnd"/>
            <w:r w:rsidRPr="00EB2952">
              <w:rPr>
                <w:rFonts w:asciiTheme="minorHAnsi" w:hAnsiTheme="minorHAnsi" w:cstheme="minorHAnsi"/>
                <w:color w:val="000000"/>
                <w:sz w:val="18"/>
                <w:szCs w:val="18"/>
              </w:rPr>
              <w:t>®</w:t>
            </w:r>
          </w:p>
          <w:p w14:paraId="06C78749" w14:textId="232064A6" w:rsidR="006D4343" w:rsidRPr="006D4343" w:rsidDel="008F66B5" w:rsidRDefault="006D4343" w:rsidP="00A94408">
            <w:pPr>
              <w:jc w:val="center"/>
              <w:rPr>
                <w:rFonts w:asciiTheme="minorHAnsi" w:hAnsiTheme="minorHAnsi" w:cstheme="minorHAnsi"/>
                <w:color w:val="000000" w:themeColor="text1"/>
                <w:sz w:val="18"/>
                <w:szCs w:val="18"/>
              </w:rPr>
            </w:pPr>
            <w:r w:rsidRPr="006D4343">
              <w:rPr>
                <w:rFonts w:asciiTheme="minorHAnsi" w:hAnsiTheme="minorHAnsi" w:cstheme="minorHAnsi"/>
                <w:color w:val="000000"/>
                <w:sz w:val="18"/>
                <w:szCs w:val="18"/>
              </w:rPr>
              <w:br/>
              <w:t>GEDEON RICHTER AUSTRALIA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2F9DC21A" w14:textId="051C60F2" w:rsidR="006D4343" w:rsidRPr="006D4343" w:rsidDel="008F66B5" w:rsidRDefault="006D4343" w:rsidP="00A94408">
            <w:pPr>
              <w:widowControl w:val="0"/>
              <w:jc w:val="center"/>
              <w:rPr>
                <w:rFonts w:asciiTheme="minorHAnsi" w:hAnsiTheme="minorHAnsi" w:cstheme="minorHAnsi"/>
                <w:sz w:val="18"/>
                <w:szCs w:val="18"/>
              </w:rPr>
            </w:pPr>
            <w:r w:rsidRPr="006D4343">
              <w:rPr>
                <w:rFonts w:asciiTheme="minorHAnsi" w:hAnsiTheme="minorHAnsi" w:cstheme="minorHAnsi"/>
                <w:sz w:val="18"/>
                <w:szCs w:val="18"/>
              </w:rPr>
              <w:t>Assisted reproductive technology</w:t>
            </w:r>
          </w:p>
        </w:tc>
        <w:tc>
          <w:tcPr>
            <w:tcW w:w="1197" w:type="pct"/>
            <w:tcBorders>
              <w:top w:val="single" w:sz="4" w:space="0" w:color="auto"/>
              <w:left w:val="nil"/>
              <w:bottom w:val="single" w:sz="4" w:space="0" w:color="auto"/>
              <w:right w:val="single" w:sz="4" w:space="0" w:color="auto"/>
            </w:tcBorders>
            <w:shd w:val="clear" w:color="auto" w:fill="auto"/>
            <w:vAlign w:val="center"/>
          </w:tcPr>
          <w:p w14:paraId="522C3D54" w14:textId="03509E03" w:rsidR="006D4343" w:rsidRPr="006D4343" w:rsidDel="008F66B5" w:rsidRDefault="006D4343" w:rsidP="00A94408">
            <w:pPr>
              <w:jc w:val="center"/>
              <w:rPr>
                <w:rFonts w:asciiTheme="minorHAnsi" w:hAnsiTheme="minorHAnsi" w:cstheme="minorHAnsi"/>
                <w:sz w:val="18"/>
                <w:szCs w:val="18"/>
              </w:rPr>
            </w:pPr>
            <w:r w:rsidRPr="006D4343">
              <w:rPr>
                <w:rFonts w:asciiTheme="minorHAnsi" w:eastAsia="Arial" w:hAnsiTheme="minorHAnsi" w:cstheme="minorHAnsi"/>
                <w:color w:val="000000" w:themeColor="text1"/>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shd w:val="clear" w:color="auto" w:fill="auto"/>
            <w:vAlign w:val="center"/>
          </w:tcPr>
          <w:p w14:paraId="0639B036" w14:textId="624D3DB3" w:rsidR="006D4343" w:rsidRPr="004B6C14" w:rsidDel="008F66B5" w:rsidRDefault="0F54049D" w:rsidP="00A94408">
            <w:pPr>
              <w:widowControl w:val="0"/>
              <w:jc w:val="center"/>
              <w:rPr>
                <w:rFonts w:asciiTheme="minorHAnsi" w:eastAsia="Arial" w:hAnsiTheme="minorHAnsi" w:cstheme="minorBidi"/>
                <w:color w:val="000000" w:themeColor="text1"/>
                <w:sz w:val="18"/>
                <w:szCs w:val="18"/>
              </w:rPr>
            </w:pPr>
            <w:r w:rsidRPr="12F1B601">
              <w:rPr>
                <w:rFonts w:asciiTheme="minorHAnsi" w:eastAsia="Arial" w:hAnsiTheme="minorHAnsi" w:cstheme="minorBidi"/>
                <w:color w:val="000000" w:themeColor="text1"/>
                <w:sz w:val="18"/>
                <w:szCs w:val="18"/>
              </w:rPr>
              <w:t>T</w:t>
            </w:r>
            <w:r w:rsidR="4D6CD31E" w:rsidRPr="12F1B601">
              <w:rPr>
                <w:rFonts w:asciiTheme="minorHAnsi" w:eastAsia="Arial" w:hAnsiTheme="minorHAnsi" w:cstheme="minorBidi"/>
                <w:color w:val="000000" w:themeColor="text1"/>
                <w:sz w:val="18"/>
                <w:szCs w:val="18"/>
              </w:rPr>
              <w:t>he</w:t>
            </w:r>
            <w:r w:rsidR="00575F8F" w:rsidRPr="12F1B601">
              <w:rPr>
                <w:rFonts w:asciiTheme="minorHAnsi" w:eastAsia="Arial" w:hAnsiTheme="minorHAnsi" w:cstheme="minorBidi"/>
                <w:color w:val="000000" w:themeColor="text1"/>
                <w:sz w:val="18"/>
                <w:szCs w:val="18"/>
              </w:rPr>
              <w:t xml:space="preserve"> PBAC rescinded the July 2022 recommendation</w:t>
            </w:r>
            <w:r w:rsidR="003E4075" w:rsidRPr="12F1B601">
              <w:rPr>
                <w:rFonts w:asciiTheme="minorHAnsi" w:eastAsia="Arial" w:hAnsiTheme="minorHAnsi" w:cstheme="minorBidi"/>
                <w:color w:val="000000" w:themeColor="text1"/>
                <w:sz w:val="18"/>
                <w:szCs w:val="18"/>
              </w:rPr>
              <w:t xml:space="preserve"> for progesterone</w:t>
            </w:r>
            <w:r w:rsidR="00575F8F" w:rsidRPr="12F1B601">
              <w:rPr>
                <w:rFonts w:asciiTheme="minorHAnsi" w:eastAsia="Arial" w:hAnsiTheme="minorHAnsi" w:cstheme="minorBidi"/>
                <w:color w:val="000000" w:themeColor="text1"/>
                <w:sz w:val="18"/>
                <w:szCs w:val="18"/>
              </w:rPr>
              <w:t>.</w:t>
            </w:r>
          </w:p>
        </w:tc>
      </w:tr>
      <w:tr w:rsidR="006D4343" w:rsidRPr="006D4343" w:rsidDel="008F66B5" w14:paraId="30D5F478" w14:textId="3BD82E31" w:rsidTr="6281EA96">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2CBFCA0E" w14:textId="77777777"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t>TRIENTINE</w:t>
            </w:r>
          </w:p>
          <w:p w14:paraId="54B74005" w14:textId="77777777" w:rsidR="006D4343" w:rsidRPr="006D4343" w:rsidRDefault="006D4343" w:rsidP="00A94408">
            <w:pPr>
              <w:jc w:val="center"/>
              <w:rPr>
                <w:rFonts w:asciiTheme="minorHAnsi" w:hAnsiTheme="minorHAnsi" w:cstheme="minorHAnsi"/>
                <w:color w:val="000000"/>
                <w:sz w:val="18"/>
                <w:szCs w:val="18"/>
              </w:rPr>
            </w:pPr>
          </w:p>
          <w:p w14:paraId="151FDDDB" w14:textId="77777777"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t>Tablet 150 mg (as tetrahydrochloride)</w:t>
            </w:r>
          </w:p>
          <w:p w14:paraId="028ECC77" w14:textId="77777777" w:rsidR="006D4343" w:rsidRPr="006D4343" w:rsidRDefault="006D4343" w:rsidP="00A94408">
            <w:pPr>
              <w:jc w:val="center"/>
              <w:rPr>
                <w:rFonts w:asciiTheme="minorHAnsi" w:hAnsiTheme="minorHAnsi" w:cstheme="minorHAnsi"/>
                <w:color w:val="000000"/>
                <w:sz w:val="18"/>
                <w:szCs w:val="18"/>
              </w:rPr>
            </w:pPr>
          </w:p>
          <w:p w14:paraId="3B46A3A8" w14:textId="77777777" w:rsidR="006D4343" w:rsidRPr="006D4343" w:rsidRDefault="006D4343" w:rsidP="00A94408">
            <w:pPr>
              <w:jc w:val="center"/>
              <w:rPr>
                <w:rFonts w:asciiTheme="minorHAnsi" w:hAnsiTheme="minorHAnsi" w:cstheme="minorHAnsi"/>
                <w:color w:val="000000"/>
                <w:sz w:val="18"/>
                <w:szCs w:val="18"/>
              </w:rPr>
            </w:pPr>
            <w:proofErr w:type="spellStart"/>
            <w:r w:rsidRPr="006D4343">
              <w:rPr>
                <w:rFonts w:asciiTheme="minorHAnsi" w:hAnsiTheme="minorHAnsi" w:cstheme="minorHAnsi"/>
                <w:color w:val="000000"/>
                <w:sz w:val="18"/>
                <w:szCs w:val="18"/>
              </w:rPr>
              <w:t>Cuprior</w:t>
            </w:r>
            <w:proofErr w:type="spellEnd"/>
            <w:r w:rsidRPr="00EB2952">
              <w:rPr>
                <w:rFonts w:asciiTheme="minorHAnsi" w:hAnsiTheme="minorHAnsi" w:cstheme="minorHAnsi"/>
                <w:color w:val="000000"/>
                <w:sz w:val="18"/>
                <w:szCs w:val="18"/>
              </w:rPr>
              <w:t>®</w:t>
            </w:r>
          </w:p>
          <w:p w14:paraId="2001473E" w14:textId="77777777" w:rsidR="006D4343" w:rsidRPr="006D4343" w:rsidRDefault="006D4343" w:rsidP="00A94408">
            <w:pPr>
              <w:jc w:val="center"/>
              <w:rPr>
                <w:rFonts w:asciiTheme="minorHAnsi" w:hAnsiTheme="minorHAnsi" w:cstheme="minorHAnsi"/>
                <w:color w:val="000000"/>
                <w:sz w:val="18"/>
                <w:szCs w:val="18"/>
              </w:rPr>
            </w:pPr>
          </w:p>
          <w:p w14:paraId="5EC64CE1" w14:textId="60699BE4" w:rsidR="006D4343" w:rsidRPr="006D4343" w:rsidDel="008F66B5" w:rsidRDefault="006D4343" w:rsidP="00A94408">
            <w:pPr>
              <w:jc w:val="center"/>
              <w:rPr>
                <w:rFonts w:asciiTheme="minorHAnsi" w:hAnsiTheme="minorHAnsi" w:cstheme="minorHAnsi"/>
                <w:color w:val="000000" w:themeColor="text1"/>
                <w:sz w:val="18"/>
                <w:szCs w:val="18"/>
              </w:rPr>
            </w:pPr>
            <w:r w:rsidRPr="006D4343">
              <w:rPr>
                <w:rFonts w:asciiTheme="minorHAnsi" w:hAnsiTheme="minorHAnsi" w:cstheme="minorHAnsi"/>
                <w:color w:val="000000"/>
                <w:sz w:val="18"/>
                <w:szCs w:val="18"/>
              </w:rPr>
              <w:t>ORPHALAN</w:t>
            </w:r>
          </w:p>
        </w:tc>
        <w:tc>
          <w:tcPr>
            <w:tcW w:w="1243" w:type="pct"/>
            <w:tcBorders>
              <w:top w:val="single" w:sz="4" w:space="0" w:color="auto"/>
              <w:left w:val="nil"/>
              <w:bottom w:val="single" w:sz="4" w:space="0" w:color="auto"/>
              <w:right w:val="single" w:sz="4" w:space="0" w:color="auto"/>
            </w:tcBorders>
            <w:shd w:val="clear" w:color="auto" w:fill="auto"/>
            <w:vAlign w:val="center"/>
          </w:tcPr>
          <w:p w14:paraId="78803B49" w14:textId="05ACC201" w:rsidR="006D4343" w:rsidRPr="006D4343" w:rsidDel="008F66B5" w:rsidRDefault="006D4343" w:rsidP="00A94408">
            <w:pPr>
              <w:widowControl w:val="0"/>
              <w:jc w:val="center"/>
              <w:rPr>
                <w:rFonts w:asciiTheme="minorHAnsi" w:hAnsiTheme="minorHAnsi" w:cstheme="minorHAnsi"/>
                <w:sz w:val="18"/>
                <w:szCs w:val="18"/>
              </w:rPr>
            </w:pPr>
            <w:r w:rsidRPr="006D4343">
              <w:rPr>
                <w:rFonts w:asciiTheme="minorHAnsi" w:hAnsiTheme="minorHAnsi" w:cstheme="minorHAnsi"/>
                <w:sz w:val="18"/>
                <w:szCs w:val="18"/>
              </w:rPr>
              <w:t>Wilson disease</w:t>
            </w:r>
          </w:p>
        </w:tc>
        <w:tc>
          <w:tcPr>
            <w:tcW w:w="1197" w:type="pct"/>
            <w:tcBorders>
              <w:top w:val="single" w:sz="4" w:space="0" w:color="auto"/>
              <w:left w:val="nil"/>
              <w:bottom w:val="single" w:sz="4" w:space="0" w:color="auto"/>
              <w:right w:val="single" w:sz="4" w:space="0" w:color="auto"/>
            </w:tcBorders>
            <w:shd w:val="clear" w:color="auto" w:fill="auto"/>
            <w:vAlign w:val="center"/>
          </w:tcPr>
          <w:p w14:paraId="6A6F60C5" w14:textId="46CA9063" w:rsidR="006D4343" w:rsidRPr="006D4343" w:rsidDel="008F66B5" w:rsidRDefault="006D4343" w:rsidP="00A94408">
            <w:pPr>
              <w:jc w:val="center"/>
              <w:rPr>
                <w:rFonts w:asciiTheme="minorHAnsi" w:hAnsiTheme="minorHAnsi" w:cstheme="minorHAnsi"/>
                <w:sz w:val="18"/>
                <w:szCs w:val="18"/>
              </w:rPr>
            </w:pPr>
            <w:r w:rsidRPr="006D4343">
              <w:rPr>
                <w:rFonts w:asciiTheme="minorHAnsi" w:eastAsia="Arial" w:hAnsiTheme="minorHAnsi" w:cstheme="minorHAnsi"/>
                <w:color w:val="000000" w:themeColor="text1"/>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shd w:val="clear" w:color="auto" w:fill="auto"/>
            <w:vAlign w:val="center"/>
          </w:tcPr>
          <w:p w14:paraId="4DE04C25" w14:textId="25409662" w:rsidR="006D4343" w:rsidRPr="004B6C14" w:rsidDel="008F66B5" w:rsidRDefault="0F54049D" w:rsidP="00A94408">
            <w:pPr>
              <w:widowControl w:val="0"/>
              <w:jc w:val="center"/>
              <w:rPr>
                <w:rFonts w:asciiTheme="minorHAnsi" w:eastAsia="Arial" w:hAnsiTheme="minorHAnsi" w:cstheme="minorBidi"/>
                <w:color w:val="000000" w:themeColor="text1"/>
                <w:sz w:val="18"/>
                <w:szCs w:val="18"/>
              </w:rPr>
            </w:pPr>
            <w:r w:rsidRPr="12F1B601">
              <w:rPr>
                <w:rFonts w:asciiTheme="minorHAnsi" w:eastAsia="Arial" w:hAnsiTheme="minorHAnsi" w:cstheme="minorBidi"/>
                <w:color w:val="000000" w:themeColor="text1"/>
                <w:sz w:val="18"/>
                <w:szCs w:val="18"/>
              </w:rPr>
              <w:t>T</w:t>
            </w:r>
            <w:r w:rsidR="4D6CD31E" w:rsidRPr="12F1B601">
              <w:rPr>
                <w:rFonts w:asciiTheme="minorHAnsi" w:eastAsia="Arial" w:hAnsiTheme="minorHAnsi" w:cstheme="minorBidi"/>
                <w:color w:val="000000" w:themeColor="text1"/>
                <w:sz w:val="18"/>
                <w:szCs w:val="18"/>
              </w:rPr>
              <w:t>he</w:t>
            </w:r>
            <w:r w:rsidR="00575F8F" w:rsidRPr="12F1B601">
              <w:rPr>
                <w:rFonts w:asciiTheme="minorHAnsi" w:eastAsia="Arial" w:hAnsiTheme="minorHAnsi" w:cstheme="minorBidi"/>
                <w:color w:val="000000" w:themeColor="text1"/>
                <w:sz w:val="18"/>
                <w:szCs w:val="18"/>
              </w:rPr>
              <w:t xml:space="preserve"> PBAC extended the May 2022 recommendation for </w:t>
            </w:r>
            <w:r w:rsidR="003E4075" w:rsidRPr="12F1B601">
              <w:rPr>
                <w:rFonts w:asciiTheme="minorHAnsi" w:eastAsia="Arial" w:hAnsiTheme="minorHAnsi" w:cstheme="minorBidi"/>
                <w:color w:val="000000" w:themeColor="text1"/>
                <w:sz w:val="18"/>
                <w:szCs w:val="18"/>
              </w:rPr>
              <w:t xml:space="preserve">trientine </w:t>
            </w:r>
            <w:r w:rsidR="00575F8F" w:rsidRPr="12F1B601">
              <w:rPr>
                <w:rFonts w:asciiTheme="minorHAnsi" w:eastAsia="Arial" w:hAnsiTheme="minorHAnsi" w:cstheme="minorBidi"/>
                <w:color w:val="000000" w:themeColor="text1"/>
                <w:sz w:val="18"/>
                <w:szCs w:val="18"/>
              </w:rPr>
              <w:t>for an additional 12 months.</w:t>
            </w:r>
          </w:p>
        </w:tc>
      </w:tr>
      <w:tr w:rsidR="006D4343" w:rsidRPr="006D4343" w:rsidDel="008F66B5" w14:paraId="1C7CC982" w14:textId="2E42883B" w:rsidTr="6281EA96">
        <w:trPr>
          <w:cantSplit/>
          <w:trHeight w:val="1281"/>
        </w:trPr>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4F9B5BEE" w14:textId="77777777"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lastRenderedPageBreak/>
              <w:t xml:space="preserve">USTEKINUMAB </w:t>
            </w:r>
          </w:p>
          <w:p w14:paraId="1622A2D0" w14:textId="77777777"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br/>
              <w:t>Injection 90 mg in 1 mL pre-filled syringe</w:t>
            </w:r>
          </w:p>
          <w:p w14:paraId="49CCC7E0" w14:textId="77777777" w:rsidR="006D4343" w:rsidRPr="006D4343" w:rsidRDefault="006D4343" w:rsidP="00A94408">
            <w:pPr>
              <w:jc w:val="center"/>
              <w:rPr>
                <w:rFonts w:asciiTheme="minorHAnsi" w:hAnsiTheme="minorHAnsi" w:cstheme="minorHAnsi"/>
                <w:color w:val="000000"/>
                <w:sz w:val="18"/>
                <w:szCs w:val="18"/>
              </w:rPr>
            </w:pPr>
            <w:r w:rsidRPr="006D4343">
              <w:rPr>
                <w:rFonts w:asciiTheme="minorHAnsi" w:hAnsiTheme="minorHAnsi" w:cstheme="minorHAnsi"/>
                <w:color w:val="000000"/>
                <w:sz w:val="18"/>
                <w:szCs w:val="18"/>
              </w:rPr>
              <w:br/>
              <w:t>Stelara</w:t>
            </w:r>
            <w:r w:rsidRPr="00EB2952">
              <w:rPr>
                <w:rFonts w:asciiTheme="minorHAnsi" w:hAnsiTheme="minorHAnsi" w:cstheme="minorHAnsi"/>
                <w:color w:val="000000"/>
                <w:sz w:val="18"/>
                <w:szCs w:val="18"/>
              </w:rPr>
              <w:t>®</w:t>
            </w:r>
          </w:p>
          <w:p w14:paraId="6E6AFE75" w14:textId="640F70CC" w:rsidR="006D4343" w:rsidRPr="006D4343" w:rsidDel="008F66B5" w:rsidRDefault="006D4343" w:rsidP="00A94408">
            <w:pPr>
              <w:jc w:val="center"/>
              <w:rPr>
                <w:rFonts w:asciiTheme="minorHAnsi" w:hAnsiTheme="minorHAnsi" w:cstheme="minorHAnsi"/>
                <w:color w:val="000000" w:themeColor="text1"/>
                <w:sz w:val="18"/>
                <w:szCs w:val="18"/>
              </w:rPr>
            </w:pPr>
            <w:r w:rsidRPr="006D4343">
              <w:rPr>
                <w:rFonts w:asciiTheme="minorHAnsi" w:hAnsiTheme="minorHAnsi" w:cstheme="minorHAnsi"/>
                <w:color w:val="000000"/>
                <w:sz w:val="18"/>
                <w:szCs w:val="18"/>
              </w:rPr>
              <w:br/>
              <w:t>JANSSEN-CILAG PTY LTD</w:t>
            </w:r>
          </w:p>
        </w:tc>
        <w:tc>
          <w:tcPr>
            <w:tcW w:w="1243" w:type="pct"/>
            <w:tcBorders>
              <w:top w:val="single" w:sz="4" w:space="0" w:color="auto"/>
              <w:left w:val="nil"/>
              <w:bottom w:val="single" w:sz="4" w:space="0" w:color="auto"/>
              <w:right w:val="single" w:sz="4" w:space="0" w:color="auto"/>
            </w:tcBorders>
            <w:shd w:val="clear" w:color="auto" w:fill="auto"/>
            <w:vAlign w:val="center"/>
          </w:tcPr>
          <w:p w14:paraId="7590F912" w14:textId="77777777" w:rsidR="006D4343" w:rsidRPr="006D4343" w:rsidRDefault="006D4343" w:rsidP="00A94408">
            <w:pPr>
              <w:jc w:val="center"/>
              <w:rPr>
                <w:rFonts w:asciiTheme="minorHAnsi" w:hAnsiTheme="minorHAnsi" w:cstheme="minorHAnsi"/>
                <w:sz w:val="18"/>
                <w:szCs w:val="18"/>
              </w:rPr>
            </w:pPr>
            <w:r w:rsidRPr="006D4343">
              <w:rPr>
                <w:rFonts w:asciiTheme="minorHAnsi" w:hAnsiTheme="minorHAnsi" w:cstheme="minorHAnsi"/>
                <w:sz w:val="18"/>
                <w:szCs w:val="18"/>
              </w:rPr>
              <w:t>Crohn disease</w:t>
            </w:r>
          </w:p>
          <w:p w14:paraId="19B0D348" w14:textId="55B01A7A" w:rsidR="006D4343" w:rsidRPr="006D4343" w:rsidDel="008F66B5" w:rsidRDefault="006D4343" w:rsidP="00A94408">
            <w:pPr>
              <w:widowControl w:val="0"/>
              <w:jc w:val="center"/>
              <w:rPr>
                <w:rFonts w:asciiTheme="minorHAnsi" w:hAnsiTheme="minorHAnsi" w:cstheme="minorHAnsi"/>
                <w:sz w:val="18"/>
                <w:szCs w:val="18"/>
              </w:rPr>
            </w:pPr>
            <w:r w:rsidRPr="006D4343">
              <w:rPr>
                <w:rFonts w:asciiTheme="minorHAnsi" w:hAnsiTheme="minorHAnsi" w:cstheme="minorHAnsi"/>
                <w:sz w:val="18"/>
                <w:szCs w:val="18"/>
              </w:rPr>
              <w:t>Severe chronic plaque psoriasis</w:t>
            </w:r>
          </w:p>
        </w:tc>
        <w:tc>
          <w:tcPr>
            <w:tcW w:w="1197" w:type="pct"/>
            <w:tcBorders>
              <w:top w:val="single" w:sz="4" w:space="0" w:color="auto"/>
              <w:left w:val="nil"/>
              <w:bottom w:val="single" w:sz="4" w:space="0" w:color="auto"/>
              <w:right w:val="single" w:sz="4" w:space="0" w:color="auto"/>
            </w:tcBorders>
            <w:shd w:val="clear" w:color="auto" w:fill="auto"/>
            <w:vAlign w:val="center"/>
          </w:tcPr>
          <w:p w14:paraId="2FA61F8A" w14:textId="10D25D92" w:rsidR="006D4343" w:rsidRPr="006D4343" w:rsidDel="008F66B5" w:rsidRDefault="006D4343" w:rsidP="00A94408">
            <w:pPr>
              <w:jc w:val="center"/>
              <w:rPr>
                <w:rFonts w:asciiTheme="minorHAnsi" w:hAnsiTheme="minorHAnsi" w:cstheme="minorHAnsi"/>
                <w:sz w:val="18"/>
                <w:szCs w:val="18"/>
              </w:rPr>
            </w:pPr>
            <w:r w:rsidRPr="006D4343">
              <w:rPr>
                <w:rFonts w:asciiTheme="minorHAnsi" w:eastAsia="Arial" w:hAnsiTheme="minorHAnsi" w:cstheme="minorHAnsi"/>
                <w:color w:val="000000" w:themeColor="text1"/>
                <w:sz w:val="18"/>
                <w:szCs w:val="18"/>
              </w:rPr>
              <w:t>Review of positive PBAC recommendations not accepted by applicants</w:t>
            </w:r>
          </w:p>
        </w:tc>
        <w:tc>
          <w:tcPr>
            <w:tcW w:w="1318" w:type="pct"/>
            <w:tcBorders>
              <w:top w:val="single" w:sz="4" w:space="0" w:color="auto"/>
              <w:left w:val="nil"/>
              <w:bottom w:val="single" w:sz="4" w:space="0" w:color="auto"/>
              <w:right w:val="single" w:sz="4" w:space="0" w:color="auto"/>
            </w:tcBorders>
            <w:shd w:val="clear" w:color="auto" w:fill="auto"/>
            <w:vAlign w:val="center"/>
          </w:tcPr>
          <w:p w14:paraId="1314B552" w14:textId="4E393DA8" w:rsidR="006D4343" w:rsidRPr="004B6C14" w:rsidDel="008F66B5" w:rsidRDefault="6F1BAC1F" w:rsidP="00A94408">
            <w:pPr>
              <w:widowControl w:val="0"/>
              <w:jc w:val="center"/>
              <w:rPr>
                <w:rFonts w:asciiTheme="minorHAnsi" w:eastAsia="Arial" w:hAnsiTheme="minorHAnsi" w:cstheme="minorBidi"/>
                <w:color w:val="000000" w:themeColor="text1"/>
                <w:sz w:val="18"/>
                <w:szCs w:val="18"/>
              </w:rPr>
            </w:pPr>
            <w:r w:rsidRPr="12F1B601">
              <w:rPr>
                <w:rFonts w:asciiTheme="minorHAnsi" w:eastAsia="Arial" w:hAnsiTheme="minorHAnsi" w:cstheme="minorBidi"/>
                <w:color w:val="000000" w:themeColor="text1"/>
                <w:sz w:val="18"/>
                <w:szCs w:val="18"/>
              </w:rPr>
              <w:t>T</w:t>
            </w:r>
            <w:r w:rsidR="2DFA494D" w:rsidRPr="12F1B601">
              <w:rPr>
                <w:rFonts w:asciiTheme="minorHAnsi" w:eastAsia="Arial" w:hAnsiTheme="minorHAnsi" w:cstheme="minorBidi"/>
                <w:color w:val="000000" w:themeColor="text1"/>
                <w:sz w:val="18"/>
                <w:szCs w:val="18"/>
              </w:rPr>
              <w:t>he</w:t>
            </w:r>
            <w:r w:rsidR="004B6C14" w:rsidRPr="12F1B601">
              <w:rPr>
                <w:rFonts w:asciiTheme="minorHAnsi" w:eastAsia="Arial" w:hAnsiTheme="minorHAnsi" w:cstheme="minorBidi"/>
                <w:color w:val="000000" w:themeColor="text1"/>
                <w:sz w:val="18"/>
                <w:szCs w:val="18"/>
              </w:rPr>
              <w:t xml:space="preserve"> PBAC rescinded the July 2022 recommendation</w:t>
            </w:r>
            <w:r w:rsidR="003C3793" w:rsidRPr="12F1B601">
              <w:rPr>
                <w:rFonts w:asciiTheme="minorHAnsi" w:eastAsia="Arial" w:hAnsiTheme="minorHAnsi" w:cstheme="minorBidi"/>
                <w:color w:val="000000" w:themeColor="text1"/>
                <w:sz w:val="18"/>
                <w:szCs w:val="18"/>
              </w:rPr>
              <w:t xml:space="preserve"> for ustekinumab</w:t>
            </w:r>
            <w:r w:rsidR="004B6C14" w:rsidRPr="12F1B601">
              <w:rPr>
                <w:rFonts w:asciiTheme="minorHAnsi" w:eastAsia="Arial" w:hAnsiTheme="minorHAnsi" w:cstheme="minorBidi"/>
                <w:color w:val="000000" w:themeColor="text1"/>
                <w:sz w:val="18"/>
                <w:szCs w:val="18"/>
              </w:rPr>
              <w:t>.</w:t>
            </w:r>
          </w:p>
        </w:tc>
      </w:tr>
    </w:tbl>
    <w:p w14:paraId="323C2FDD" w14:textId="2A802707" w:rsidR="00D97548" w:rsidRPr="00015520" w:rsidDel="008F66B5" w:rsidRDefault="00D97548" w:rsidP="00A94408">
      <w:pPr>
        <w:rPr>
          <w:rFonts w:asciiTheme="minorHAnsi" w:hAnsiTheme="minorHAnsi" w:cstheme="minorBidi"/>
          <w:sz w:val="18"/>
          <w:szCs w:val="18"/>
        </w:rPr>
      </w:pPr>
    </w:p>
    <w:p w14:paraId="4A05116B" w14:textId="12AD3A2D" w:rsidR="00D97548" w:rsidRPr="00015520" w:rsidDel="008F66B5" w:rsidRDefault="00D97548" w:rsidP="00A94408">
      <w:pPr>
        <w:ind w:left="360"/>
        <w:rPr>
          <w:rFonts w:asciiTheme="minorHAnsi" w:hAnsiTheme="minorHAnsi" w:cstheme="minorBidi"/>
          <w:sz w:val="18"/>
          <w:szCs w:val="18"/>
          <w:lang w:val="en-US"/>
        </w:rPr>
      </w:pPr>
      <w:r w:rsidRPr="20381F86">
        <w:rPr>
          <w:rFonts w:asciiTheme="minorHAnsi" w:hAnsiTheme="minorHAnsi" w:cstheme="minorBidi"/>
          <w:sz w:val="18"/>
          <w:szCs w:val="18"/>
          <w:lang w:val="en-US"/>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1699"/>
        <w:gridCol w:w="2839"/>
        <w:gridCol w:w="8168"/>
      </w:tblGrid>
      <w:tr w:rsidR="00D97548" w:rsidRPr="00470B06" w:rsidDel="008F66B5" w14:paraId="0980B5D9" w14:textId="2BBC7578" w:rsidTr="09543A32">
        <w:trPr>
          <w:cantSplit/>
          <w:trHeight w:val="58"/>
          <w:tblHeader/>
        </w:trPr>
        <w:tc>
          <w:tcPr>
            <w:tcW w:w="873" w:type="pct"/>
            <w:shd w:val="clear" w:color="auto" w:fill="auto"/>
            <w:vAlign w:val="center"/>
          </w:tcPr>
          <w:p w14:paraId="3F7A116F" w14:textId="27194FDD" w:rsidR="00D97548" w:rsidRPr="00470B06" w:rsidDel="008F66B5" w:rsidRDefault="00D97548" w:rsidP="00A94408">
            <w:pPr>
              <w:keepLines/>
              <w:widowControl w:val="0"/>
              <w:jc w:val="center"/>
              <w:rPr>
                <w:rFonts w:asciiTheme="minorHAnsi" w:hAnsiTheme="minorHAnsi" w:cstheme="minorHAnsi"/>
                <w:b/>
                <w:bCs/>
                <w:sz w:val="18"/>
                <w:szCs w:val="18"/>
              </w:rPr>
            </w:pPr>
            <w:r w:rsidRPr="00470B06">
              <w:rPr>
                <w:rFonts w:asciiTheme="minorHAnsi" w:hAnsiTheme="minorHAnsi" w:cstheme="minorHAnsi"/>
                <w:b/>
                <w:bCs/>
                <w:sz w:val="18"/>
                <w:szCs w:val="18"/>
              </w:rPr>
              <w:lastRenderedPageBreak/>
              <w:t>DRUG NAME, FORM(S), STRENGTH(S), SPONSOR, TYPE OF SUBMISSION</w:t>
            </w:r>
          </w:p>
        </w:tc>
        <w:tc>
          <w:tcPr>
            <w:tcW w:w="552" w:type="pct"/>
            <w:shd w:val="clear" w:color="auto" w:fill="auto"/>
            <w:vAlign w:val="center"/>
          </w:tcPr>
          <w:p w14:paraId="48FBA7D0" w14:textId="1B79F957" w:rsidR="00D97548" w:rsidRPr="00470B06" w:rsidDel="008F66B5" w:rsidRDefault="00D97548" w:rsidP="00A94408">
            <w:pPr>
              <w:keepLines/>
              <w:widowControl w:val="0"/>
              <w:jc w:val="center"/>
              <w:rPr>
                <w:rFonts w:asciiTheme="minorHAnsi" w:hAnsiTheme="minorHAnsi" w:cstheme="minorHAnsi"/>
                <w:b/>
                <w:bCs/>
                <w:sz w:val="18"/>
                <w:szCs w:val="18"/>
              </w:rPr>
            </w:pPr>
            <w:r w:rsidRPr="00470B06">
              <w:rPr>
                <w:rFonts w:asciiTheme="minorHAnsi" w:hAnsiTheme="minorHAnsi" w:cstheme="minorHAnsi"/>
                <w:b/>
                <w:bCs/>
                <w:sz w:val="18"/>
                <w:szCs w:val="18"/>
              </w:rPr>
              <w:t>DRUG TYPE AND USE</w:t>
            </w:r>
          </w:p>
        </w:tc>
        <w:tc>
          <w:tcPr>
            <w:tcW w:w="922" w:type="pct"/>
            <w:shd w:val="clear" w:color="auto" w:fill="auto"/>
            <w:vAlign w:val="center"/>
          </w:tcPr>
          <w:p w14:paraId="7961C441" w14:textId="300AB385" w:rsidR="00D97548" w:rsidRPr="00470B06" w:rsidDel="008F66B5" w:rsidRDefault="00D97548" w:rsidP="00A94408">
            <w:pPr>
              <w:keepLines/>
              <w:widowControl w:val="0"/>
              <w:jc w:val="center"/>
              <w:rPr>
                <w:rFonts w:asciiTheme="minorHAnsi" w:hAnsiTheme="minorHAnsi" w:cstheme="minorHAnsi"/>
                <w:b/>
                <w:bCs/>
                <w:sz w:val="18"/>
                <w:szCs w:val="18"/>
              </w:rPr>
            </w:pPr>
            <w:r w:rsidRPr="00470B06">
              <w:rPr>
                <w:rFonts w:asciiTheme="minorHAnsi" w:hAnsiTheme="minorHAnsi" w:cstheme="minorHAnsi"/>
                <w:b/>
                <w:bCs/>
                <w:sz w:val="18"/>
                <w:szCs w:val="18"/>
              </w:rPr>
              <w:t>LISTING REQUESTED BY SPONSOR / PURPOSE OF SUBMISSION</w:t>
            </w:r>
          </w:p>
        </w:tc>
        <w:tc>
          <w:tcPr>
            <w:tcW w:w="2653" w:type="pct"/>
            <w:shd w:val="clear" w:color="auto" w:fill="auto"/>
            <w:vAlign w:val="center"/>
          </w:tcPr>
          <w:p w14:paraId="36B2EED2" w14:textId="7EFF85C9" w:rsidR="00D97548" w:rsidRPr="00470B06" w:rsidDel="008F66B5" w:rsidRDefault="00D97548" w:rsidP="00A94408">
            <w:pPr>
              <w:keepLines/>
              <w:jc w:val="center"/>
              <w:rPr>
                <w:rFonts w:asciiTheme="minorHAnsi" w:hAnsiTheme="minorHAnsi" w:cstheme="minorHAnsi"/>
                <w:b/>
                <w:bCs/>
                <w:sz w:val="18"/>
                <w:szCs w:val="18"/>
              </w:rPr>
            </w:pPr>
            <w:r w:rsidRPr="00470B06">
              <w:rPr>
                <w:rFonts w:asciiTheme="minorHAnsi" w:hAnsiTheme="minorHAnsi" w:cstheme="minorHAnsi"/>
                <w:b/>
                <w:bCs/>
                <w:sz w:val="18"/>
                <w:szCs w:val="18"/>
              </w:rPr>
              <w:t>PBAC OUTCOME</w:t>
            </w:r>
          </w:p>
        </w:tc>
      </w:tr>
      <w:tr w:rsidR="00AB0FFB" w:rsidRPr="00470B06" w:rsidDel="008F66B5" w14:paraId="2E28743F" w14:textId="77777777" w:rsidTr="09543A32">
        <w:trPr>
          <w:cantSplit/>
          <w:trHeight w:val="58"/>
        </w:trPr>
        <w:tc>
          <w:tcPr>
            <w:tcW w:w="873" w:type="pct"/>
            <w:shd w:val="clear" w:color="auto" w:fill="auto"/>
            <w:vAlign w:val="center"/>
          </w:tcPr>
          <w:p w14:paraId="75113FD0" w14:textId="7AF5F787" w:rsidR="005976CA" w:rsidRDefault="00A74143" w:rsidP="00A94408">
            <w:pPr>
              <w:jc w:val="center"/>
              <w:rPr>
                <w:rFonts w:asciiTheme="minorHAnsi" w:hAnsiTheme="minorHAnsi" w:cstheme="minorBidi"/>
                <w:color w:val="000000"/>
                <w:sz w:val="18"/>
                <w:szCs w:val="18"/>
              </w:rPr>
            </w:pPr>
            <w:r w:rsidRPr="12F1B601">
              <w:rPr>
                <w:rFonts w:asciiTheme="minorHAnsi" w:hAnsiTheme="minorHAnsi" w:cstheme="minorBidi"/>
                <w:color w:val="000000" w:themeColor="text1"/>
                <w:sz w:val="18"/>
                <w:szCs w:val="18"/>
              </w:rPr>
              <w:t>AVELUMAB</w:t>
            </w:r>
          </w:p>
          <w:p w14:paraId="2CE226C4" w14:textId="77777777" w:rsidR="005976CA" w:rsidRDefault="005976CA" w:rsidP="00A94408">
            <w:pPr>
              <w:jc w:val="center"/>
              <w:rPr>
                <w:rFonts w:asciiTheme="minorHAnsi" w:hAnsiTheme="minorHAnsi" w:cstheme="minorHAnsi"/>
                <w:color w:val="000000"/>
                <w:sz w:val="18"/>
                <w:szCs w:val="18"/>
              </w:rPr>
            </w:pPr>
          </w:p>
          <w:p w14:paraId="01AB34A5" w14:textId="2CA01860" w:rsidR="004D32FF" w:rsidRDefault="004D32FF" w:rsidP="00A94408">
            <w:pPr>
              <w:jc w:val="center"/>
              <w:rPr>
                <w:rFonts w:asciiTheme="minorHAnsi" w:hAnsiTheme="minorHAnsi" w:cstheme="minorHAnsi"/>
                <w:color w:val="000000"/>
                <w:sz w:val="18"/>
                <w:szCs w:val="18"/>
              </w:rPr>
            </w:pPr>
            <w:r w:rsidRPr="004D32FF">
              <w:rPr>
                <w:rFonts w:asciiTheme="minorHAnsi" w:hAnsiTheme="minorHAnsi" w:cstheme="minorHAnsi"/>
                <w:color w:val="000000"/>
                <w:sz w:val="18"/>
                <w:szCs w:val="18"/>
              </w:rPr>
              <w:t>Solution concentrate for I.V. infusion 200 mg in 10 mL</w:t>
            </w:r>
          </w:p>
          <w:p w14:paraId="7EF7800A" w14:textId="77777777" w:rsidR="004D32FF" w:rsidRDefault="004D32FF" w:rsidP="00A94408">
            <w:pPr>
              <w:jc w:val="center"/>
              <w:rPr>
                <w:rFonts w:asciiTheme="minorHAnsi" w:hAnsiTheme="minorHAnsi" w:cstheme="minorHAnsi"/>
                <w:color w:val="000000"/>
                <w:sz w:val="18"/>
                <w:szCs w:val="18"/>
              </w:rPr>
            </w:pPr>
          </w:p>
          <w:p w14:paraId="75DDE468" w14:textId="31C9FC55" w:rsidR="00A74143" w:rsidRDefault="00A74143" w:rsidP="00A94408">
            <w:pPr>
              <w:jc w:val="center"/>
              <w:rPr>
                <w:rFonts w:asciiTheme="minorHAnsi" w:hAnsiTheme="minorHAnsi" w:cstheme="minorHAnsi"/>
                <w:color w:val="000000"/>
                <w:sz w:val="18"/>
                <w:szCs w:val="18"/>
              </w:rPr>
            </w:pPr>
            <w:r w:rsidRPr="00A74143">
              <w:rPr>
                <w:rFonts w:asciiTheme="minorHAnsi" w:hAnsiTheme="minorHAnsi" w:cstheme="minorHAnsi"/>
                <w:color w:val="000000"/>
                <w:sz w:val="18"/>
                <w:szCs w:val="18"/>
              </w:rPr>
              <w:t>Bavencio</w:t>
            </w:r>
            <w:r w:rsidR="005976CA">
              <w:rPr>
                <w:rFonts w:asciiTheme="minorHAnsi" w:hAnsiTheme="minorHAnsi" w:cstheme="minorHAnsi"/>
                <w:color w:val="000000"/>
                <w:sz w:val="18"/>
                <w:szCs w:val="18"/>
              </w:rPr>
              <w:t>®</w:t>
            </w:r>
          </w:p>
          <w:p w14:paraId="45AAC70D" w14:textId="77777777" w:rsidR="005976CA" w:rsidRDefault="005976CA" w:rsidP="00A94408">
            <w:pPr>
              <w:jc w:val="center"/>
              <w:rPr>
                <w:rFonts w:asciiTheme="minorHAnsi" w:hAnsiTheme="minorHAnsi" w:cstheme="minorHAnsi"/>
                <w:color w:val="000000"/>
                <w:sz w:val="18"/>
                <w:szCs w:val="18"/>
              </w:rPr>
            </w:pPr>
          </w:p>
          <w:p w14:paraId="4603F5C8" w14:textId="7AE3549B" w:rsidR="00AB0FFB" w:rsidRDefault="00396CE3" w:rsidP="00A94408">
            <w:pPr>
              <w:jc w:val="center"/>
              <w:rPr>
                <w:rFonts w:asciiTheme="minorHAnsi" w:hAnsiTheme="minorHAnsi" w:cstheme="minorHAnsi"/>
                <w:color w:val="000000"/>
                <w:sz w:val="18"/>
                <w:szCs w:val="18"/>
              </w:rPr>
            </w:pPr>
            <w:r w:rsidRPr="00470B06">
              <w:rPr>
                <w:rFonts w:asciiTheme="minorHAnsi" w:hAnsiTheme="minorHAnsi" w:cstheme="minorHAnsi"/>
                <w:sz w:val="18"/>
                <w:szCs w:val="18"/>
              </w:rPr>
              <w:t>DEPARTMENT OF HEALTH AND AGED CARE</w:t>
            </w:r>
            <w:r>
              <w:rPr>
                <w:rFonts w:asciiTheme="minorHAnsi" w:hAnsiTheme="minorHAnsi" w:cstheme="minorHAnsi"/>
                <w:sz w:val="18"/>
                <w:szCs w:val="18"/>
              </w:rPr>
              <w:t xml:space="preserve"> </w:t>
            </w:r>
            <w:r w:rsidR="00A74143" w:rsidRPr="00A74143">
              <w:rPr>
                <w:rFonts w:asciiTheme="minorHAnsi" w:hAnsiTheme="minorHAnsi" w:cstheme="minorHAnsi"/>
                <w:color w:val="000000"/>
                <w:sz w:val="18"/>
                <w:szCs w:val="18"/>
              </w:rPr>
              <w:t>OBO MERCK HEALTHCARE PTY LTD</w:t>
            </w:r>
          </w:p>
          <w:p w14:paraId="02EB366B" w14:textId="77777777" w:rsidR="00A74143" w:rsidRDefault="00A74143" w:rsidP="00A94408">
            <w:pPr>
              <w:jc w:val="center"/>
              <w:rPr>
                <w:rFonts w:asciiTheme="minorHAnsi" w:hAnsiTheme="minorHAnsi" w:cstheme="minorHAnsi"/>
                <w:color w:val="000000"/>
                <w:sz w:val="18"/>
                <w:szCs w:val="18"/>
              </w:rPr>
            </w:pPr>
          </w:p>
          <w:p w14:paraId="56C2A60A" w14:textId="73E8CE5D" w:rsidR="00A74143" w:rsidRDefault="00A74143" w:rsidP="00A94408">
            <w:pPr>
              <w:jc w:val="center"/>
              <w:rPr>
                <w:rFonts w:asciiTheme="minorHAnsi" w:hAnsiTheme="minorHAnsi" w:cstheme="minorHAnsi"/>
                <w:color w:val="000000"/>
                <w:sz w:val="18"/>
                <w:szCs w:val="18"/>
              </w:rPr>
            </w:pPr>
            <w:r>
              <w:rPr>
                <w:rFonts w:asciiTheme="minorHAnsi" w:hAnsiTheme="minorHAnsi" w:cstheme="minorHAnsi"/>
                <w:color w:val="000000"/>
                <w:sz w:val="18"/>
                <w:szCs w:val="18"/>
              </w:rPr>
              <w:t xml:space="preserve">Other </w:t>
            </w:r>
            <w:r w:rsidR="00473E2B">
              <w:rPr>
                <w:rFonts w:asciiTheme="minorHAnsi" w:hAnsiTheme="minorHAnsi" w:cstheme="minorHAnsi"/>
                <w:color w:val="000000"/>
                <w:sz w:val="18"/>
                <w:szCs w:val="18"/>
              </w:rPr>
              <w:t>M</w:t>
            </w:r>
            <w:r>
              <w:rPr>
                <w:rFonts w:asciiTheme="minorHAnsi" w:hAnsiTheme="minorHAnsi" w:cstheme="minorHAnsi"/>
                <w:color w:val="000000"/>
                <w:sz w:val="18"/>
                <w:szCs w:val="18"/>
              </w:rPr>
              <w:t>atters</w:t>
            </w:r>
          </w:p>
          <w:p w14:paraId="48CB88C6" w14:textId="7B7FE695" w:rsidR="00A74143" w:rsidRPr="00470B06" w:rsidRDefault="00A74143" w:rsidP="00A94408">
            <w:pPr>
              <w:jc w:val="center"/>
              <w:rPr>
                <w:rFonts w:asciiTheme="minorHAnsi" w:hAnsiTheme="minorHAnsi" w:cstheme="minorBidi"/>
                <w:color w:val="000000"/>
                <w:sz w:val="18"/>
                <w:szCs w:val="18"/>
              </w:rPr>
            </w:pPr>
            <w:r w:rsidRPr="12F1B601">
              <w:rPr>
                <w:rFonts w:asciiTheme="minorHAnsi" w:hAnsiTheme="minorHAnsi" w:cstheme="minorBidi"/>
                <w:color w:val="000000" w:themeColor="text1"/>
                <w:sz w:val="18"/>
                <w:szCs w:val="18"/>
              </w:rPr>
              <w:t>(Change to existing listing)</w:t>
            </w:r>
          </w:p>
        </w:tc>
        <w:tc>
          <w:tcPr>
            <w:tcW w:w="552" w:type="pct"/>
            <w:shd w:val="clear" w:color="auto" w:fill="auto"/>
            <w:vAlign w:val="center"/>
          </w:tcPr>
          <w:p w14:paraId="434AFDF4" w14:textId="44961B9D" w:rsidR="00AB0FFB" w:rsidRPr="00470B06" w:rsidRDefault="00A74143" w:rsidP="00A94408">
            <w:pPr>
              <w:jc w:val="center"/>
              <w:rPr>
                <w:rFonts w:asciiTheme="minorHAnsi" w:hAnsiTheme="minorHAnsi" w:cstheme="minorHAnsi"/>
                <w:sz w:val="18"/>
                <w:szCs w:val="18"/>
              </w:rPr>
            </w:pPr>
            <w:r w:rsidRPr="00A74143">
              <w:rPr>
                <w:rFonts w:asciiTheme="minorHAnsi" w:hAnsiTheme="minorHAnsi" w:cstheme="minorHAnsi"/>
                <w:color w:val="000000"/>
                <w:sz w:val="18"/>
                <w:szCs w:val="18"/>
              </w:rPr>
              <w:t>Stage IV (metastatic) Merkel Cell Carcinoma</w:t>
            </w:r>
          </w:p>
        </w:tc>
        <w:tc>
          <w:tcPr>
            <w:tcW w:w="922" w:type="pct"/>
            <w:shd w:val="clear" w:color="auto" w:fill="auto"/>
            <w:vAlign w:val="center"/>
          </w:tcPr>
          <w:p w14:paraId="2EFD544E" w14:textId="2F416AC4" w:rsidR="00AB0FFB" w:rsidRPr="00470B06" w:rsidRDefault="004A3AC0" w:rsidP="00A94408">
            <w:pPr>
              <w:jc w:val="center"/>
              <w:rPr>
                <w:rFonts w:asciiTheme="minorHAnsi" w:hAnsiTheme="minorHAnsi" w:cstheme="minorHAnsi"/>
                <w:sz w:val="18"/>
                <w:szCs w:val="18"/>
              </w:rPr>
            </w:pPr>
            <w:r w:rsidRPr="004A3AC0">
              <w:rPr>
                <w:rFonts w:asciiTheme="minorHAnsi" w:hAnsiTheme="minorHAnsi" w:cstheme="minorHAnsi"/>
                <w:sz w:val="18"/>
                <w:szCs w:val="18"/>
              </w:rPr>
              <w:t>To request an amendment to the clinical criteria of the Section 100 (Efficient Funding of Chemotherapy Program) Authority Required (STREAMLINED) listing for the treatment of stage IV (metastatic) Merkel Cell Carcinoma to align with the dosing recommendations in the Product Information.</w:t>
            </w:r>
          </w:p>
        </w:tc>
        <w:tc>
          <w:tcPr>
            <w:tcW w:w="2653" w:type="pct"/>
            <w:shd w:val="clear" w:color="auto" w:fill="auto"/>
            <w:vAlign w:val="center"/>
          </w:tcPr>
          <w:p w14:paraId="479805EF" w14:textId="5F4653CD" w:rsidR="00AB0FFB" w:rsidRPr="009E3EC5" w:rsidDel="008F66B5" w:rsidRDefault="009E3EC5" w:rsidP="00AC5D6D">
            <w:pPr>
              <w:widowControl w:val="0"/>
              <w:jc w:val="both"/>
              <w:rPr>
                <w:rFonts w:asciiTheme="minorHAnsi" w:hAnsiTheme="minorHAnsi" w:cstheme="minorBidi"/>
                <w:snapToGrid w:val="0"/>
                <w:sz w:val="18"/>
                <w:szCs w:val="18"/>
              </w:rPr>
            </w:pPr>
            <w:r w:rsidRPr="12F1B601">
              <w:rPr>
                <w:rFonts w:asciiTheme="minorHAnsi" w:hAnsiTheme="minorHAnsi" w:cstheme="minorBidi"/>
                <w:snapToGrid w:val="0"/>
                <w:sz w:val="18"/>
                <w:szCs w:val="18"/>
              </w:rPr>
              <w:t xml:space="preserve">The PBAC recommended the restrictions for avelumab for the treatment of metastatic Merkel </w:t>
            </w:r>
            <w:r w:rsidR="190FEA78" w:rsidRPr="12F1B601">
              <w:rPr>
                <w:rFonts w:asciiTheme="minorHAnsi" w:hAnsiTheme="minorHAnsi" w:cstheme="minorBidi"/>
                <w:snapToGrid w:val="0"/>
                <w:sz w:val="18"/>
                <w:szCs w:val="18"/>
              </w:rPr>
              <w:t>C</w:t>
            </w:r>
            <w:r w:rsidR="598AF337" w:rsidRPr="12F1B601">
              <w:rPr>
                <w:rFonts w:asciiTheme="minorHAnsi" w:hAnsiTheme="minorHAnsi" w:cstheme="minorBidi"/>
                <w:snapToGrid w:val="0"/>
                <w:sz w:val="18"/>
                <w:szCs w:val="18"/>
              </w:rPr>
              <w:t xml:space="preserve">ell </w:t>
            </w:r>
            <w:r w:rsidR="190FEA78" w:rsidRPr="12F1B601">
              <w:rPr>
                <w:rFonts w:asciiTheme="minorHAnsi" w:hAnsiTheme="minorHAnsi" w:cstheme="minorBidi"/>
                <w:snapToGrid w:val="0"/>
                <w:sz w:val="18"/>
                <w:szCs w:val="18"/>
              </w:rPr>
              <w:t>C</w:t>
            </w:r>
            <w:r w:rsidR="598AF337" w:rsidRPr="12F1B601">
              <w:rPr>
                <w:rFonts w:asciiTheme="minorHAnsi" w:hAnsiTheme="minorHAnsi" w:cstheme="minorBidi"/>
                <w:snapToGrid w:val="0"/>
                <w:sz w:val="18"/>
                <w:szCs w:val="18"/>
              </w:rPr>
              <w:t>arcinoma</w:t>
            </w:r>
            <w:r w:rsidRPr="12F1B601">
              <w:rPr>
                <w:rFonts w:asciiTheme="minorHAnsi" w:hAnsiTheme="minorHAnsi" w:cstheme="minorBidi"/>
                <w:snapToGrid w:val="0"/>
                <w:sz w:val="18"/>
                <w:szCs w:val="18"/>
              </w:rPr>
              <w:t xml:space="preserve"> should be updated to include 800 mg flat dosing, in addition to the current maximum dose of 10 mg per kg, to align with the dosing instructions in the TGA Product Information and to avoid confusion amongst prescribers. </w:t>
            </w:r>
          </w:p>
        </w:tc>
      </w:tr>
      <w:tr w:rsidR="007807EA" w:rsidRPr="00470B06" w:rsidDel="008F66B5" w14:paraId="03F4CC75" w14:textId="77777777" w:rsidTr="00C56403">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009C96E5" w14:textId="77777777" w:rsidR="00AC5D6D" w:rsidRDefault="00AC5D6D" w:rsidP="00AC5D6D">
            <w:pPr>
              <w:jc w:val="center"/>
              <w:rPr>
                <w:rFonts w:ascii="Calibri" w:hAnsi="Calibri" w:cs="Calibri"/>
                <w:color w:val="000000"/>
                <w:sz w:val="18"/>
                <w:szCs w:val="18"/>
              </w:rPr>
            </w:pPr>
            <w:r>
              <w:rPr>
                <w:rFonts w:ascii="Calibri" w:hAnsi="Calibri" w:cs="Calibri"/>
                <w:color w:val="000000"/>
                <w:sz w:val="18"/>
                <w:szCs w:val="18"/>
              </w:rPr>
              <w:t>DUPILUMAB</w:t>
            </w:r>
          </w:p>
          <w:p w14:paraId="12556CB7" w14:textId="77777777" w:rsidR="00AC5D6D" w:rsidRDefault="00AC5D6D" w:rsidP="00AC5D6D">
            <w:pPr>
              <w:jc w:val="center"/>
              <w:rPr>
                <w:rFonts w:ascii="Calibri" w:hAnsi="Calibri" w:cs="Calibri"/>
                <w:color w:val="000000"/>
                <w:sz w:val="18"/>
                <w:szCs w:val="18"/>
              </w:rPr>
            </w:pPr>
          </w:p>
          <w:p w14:paraId="723871AF" w14:textId="77777777" w:rsidR="00AC5D6D" w:rsidRPr="00B753EA" w:rsidRDefault="00AC5D6D" w:rsidP="00AC5D6D">
            <w:pPr>
              <w:jc w:val="center"/>
              <w:rPr>
                <w:rFonts w:ascii="Calibri" w:hAnsi="Calibri" w:cs="Calibri"/>
                <w:color w:val="000000"/>
                <w:sz w:val="18"/>
                <w:szCs w:val="18"/>
              </w:rPr>
            </w:pPr>
            <w:r w:rsidRPr="00B753EA">
              <w:rPr>
                <w:rFonts w:ascii="Calibri" w:hAnsi="Calibri" w:cs="Calibri"/>
                <w:color w:val="000000"/>
                <w:sz w:val="18"/>
                <w:szCs w:val="18"/>
              </w:rPr>
              <w:t xml:space="preserve">Injection 200 mg in 1.14 mL single dose </w:t>
            </w:r>
            <w:proofErr w:type="gramStart"/>
            <w:r w:rsidRPr="00B753EA">
              <w:rPr>
                <w:rFonts w:ascii="Calibri" w:hAnsi="Calibri" w:cs="Calibri"/>
                <w:color w:val="000000"/>
                <w:sz w:val="18"/>
                <w:szCs w:val="18"/>
              </w:rPr>
              <w:t>pre filled</w:t>
            </w:r>
            <w:proofErr w:type="gramEnd"/>
            <w:r w:rsidRPr="00B753EA">
              <w:rPr>
                <w:rFonts w:ascii="Calibri" w:hAnsi="Calibri" w:cs="Calibri"/>
                <w:color w:val="000000"/>
                <w:sz w:val="18"/>
                <w:szCs w:val="18"/>
              </w:rPr>
              <w:t xml:space="preserve"> syringe</w:t>
            </w:r>
          </w:p>
          <w:p w14:paraId="7A6E3DAB" w14:textId="77777777" w:rsidR="00AC5D6D" w:rsidRDefault="00AC5D6D" w:rsidP="00AC5D6D">
            <w:pPr>
              <w:jc w:val="center"/>
              <w:rPr>
                <w:rFonts w:ascii="Calibri" w:hAnsi="Calibri" w:cs="Calibri"/>
                <w:color w:val="000000"/>
                <w:sz w:val="18"/>
                <w:szCs w:val="18"/>
              </w:rPr>
            </w:pPr>
            <w:r w:rsidRPr="00B753EA">
              <w:rPr>
                <w:rFonts w:ascii="Calibri" w:hAnsi="Calibri" w:cs="Calibri"/>
                <w:color w:val="000000"/>
                <w:sz w:val="18"/>
                <w:szCs w:val="18"/>
              </w:rPr>
              <w:t xml:space="preserve">Injection 300 mg in 2 mL single dose </w:t>
            </w:r>
            <w:proofErr w:type="gramStart"/>
            <w:r w:rsidRPr="00B753EA">
              <w:rPr>
                <w:rFonts w:ascii="Calibri" w:hAnsi="Calibri" w:cs="Calibri"/>
                <w:color w:val="000000"/>
                <w:sz w:val="18"/>
                <w:szCs w:val="18"/>
              </w:rPr>
              <w:t>pre filled</w:t>
            </w:r>
            <w:proofErr w:type="gramEnd"/>
            <w:r w:rsidRPr="00B753EA">
              <w:rPr>
                <w:rFonts w:ascii="Calibri" w:hAnsi="Calibri" w:cs="Calibri"/>
                <w:color w:val="000000"/>
                <w:sz w:val="18"/>
                <w:szCs w:val="18"/>
              </w:rPr>
              <w:t xml:space="preserve"> syringe</w:t>
            </w:r>
          </w:p>
          <w:p w14:paraId="7240D1B6" w14:textId="77777777" w:rsidR="00AC5D6D" w:rsidRPr="00B753EA" w:rsidRDefault="00AC5D6D" w:rsidP="00AC5D6D">
            <w:pPr>
              <w:jc w:val="center"/>
              <w:rPr>
                <w:rFonts w:ascii="Calibri" w:hAnsi="Calibri" w:cs="Calibri"/>
                <w:color w:val="000000"/>
                <w:sz w:val="18"/>
                <w:szCs w:val="18"/>
              </w:rPr>
            </w:pPr>
          </w:p>
          <w:p w14:paraId="3BBA386A" w14:textId="77777777" w:rsidR="00AC5D6D" w:rsidRDefault="00AC5D6D" w:rsidP="00AC5D6D">
            <w:pPr>
              <w:jc w:val="center"/>
              <w:rPr>
                <w:rFonts w:ascii="Calibri" w:hAnsi="Calibri" w:cs="Calibri"/>
                <w:color w:val="000000"/>
                <w:sz w:val="18"/>
                <w:szCs w:val="18"/>
              </w:rPr>
            </w:pPr>
            <w:r w:rsidRPr="00B753EA">
              <w:rPr>
                <w:rFonts w:ascii="Calibri" w:hAnsi="Calibri" w:cs="Calibri"/>
                <w:color w:val="000000"/>
                <w:sz w:val="18"/>
                <w:szCs w:val="18"/>
              </w:rPr>
              <w:t>Dupixent®</w:t>
            </w:r>
          </w:p>
          <w:p w14:paraId="721319BD" w14:textId="77777777" w:rsidR="00AC5D6D" w:rsidRPr="00B753EA" w:rsidRDefault="00AC5D6D" w:rsidP="00AC5D6D">
            <w:pPr>
              <w:jc w:val="center"/>
              <w:rPr>
                <w:rFonts w:ascii="Calibri" w:hAnsi="Calibri" w:cs="Calibri"/>
                <w:color w:val="000000"/>
                <w:sz w:val="18"/>
                <w:szCs w:val="18"/>
              </w:rPr>
            </w:pPr>
          </w:p>
          <w:p w14:paraId="61CF62B1" w14:textId="77777777" w:rsidR="00AC5D6D" w:rsidRDefault="00AC5D6D" w:rsidP="00AC5D6D">
            <w:pPr>
              <w:jc w:val="center"/>
              <w:rPr>
                <w:rFonts w:ascii="Calibri" w:hAnsi="Calibri" w:cs="Calibri"/>
                <w:color w:val="000000"/>
                <w:sz w:val="18"/>
                <w:szCs w:val="18"/>
              </w:rPr>
            </w:pPr>
            <w:r w:rsidRPr="00B753EA">
              <w:rPr>
                <w:rFonts w:ascii="Calibri" w:hAnsi="Calibri" w:cs="Calibri"/>
                <w:color w:val="000000"/>
                <w:sz w:val="18"/>
                <w:szCs w:val="18"/>
              </w:rPr>
              <w:t>SANOFI-AVENTIS AUSTRALIA PTY LTD</w:t>
            </w:r>
          </w:p>
          <w:p w14:paraId="6C0A0407" w14:textId="77777777" w:rsidR="00AC5D6D" w:rsidRDefault="00AC5D6D" w:rsidP="00AC5D6D">
            <w:pPr>
              <w:jc w:val="center"/>
              <w:rPr>
                <w:rFonts w:ascii="Calibri" w:hAnsi="Calibri" w:cs="Calibri"/>
                <w:color w:val="000000"/>
                <w:sz w:val="18"/>
                <w:szCs w:val="18"/>
              </w:rPr>
            </w:pPr>
          </w:p>
          <w:p w14:paraId="574977AE" w14:textId="77777777" w:rsidR="00AC5D6D" w:rsidRDefault="00AC5D6D" w:rsidP="00AC5D6D">
            <w:pPr>
              <w:jc w:val="center"/>
              <w:rPr>
                <w:rFonts w:ascii="Calibri" w:hAnsi="Calibri" w:cs="Calibri"/>
                <w:color w:val="000000"/>
                <w:sz w:val="18"/>
                <w:szCs w:val="18"/>
              </w:rPr>
            </w:pPr>
            <w:r>
              <w:rPr>
                <w:rFonts w:ascii="Calibri" w:hAnsi="Calibri" w:cs="Calibri"/>
                <w:color w:val="000000"/>
                <w:sz w:val="18"/>
                <w:szCs w:val="18"/>
              </w:rPr>
              <w:t>Other Matters</w:t>
            </w:r>
          </w:p>
          <w:p w14:paraId="5570538A" w14:textId="388120DC" w:rsidR="00AC5D6D" w:rsidRPr="00A74143" w:rsidRDefault="00AC5D6D" w:rsidP="00AC5D6D">
            <w:pPr>
              <w:jc w:val="center"/>
              <w:rPr>
                <w:rFonts w:asciiTheme="minorHAnsi" w:hAnsiTheme="minorHAnsi" w:cstheme="minorHAnsi"/>
                <w:color w:val="000000"/>
                <w:sz w:val="18"/>
                <w:szCs w:val="18"/>
              </w:rPr>
            </w:pPr>
            <w:r>
              <w:rPr>
                <w:rFonts w:ascii="Calibri" w:hAnsi="Calibri" w:cs="Calibri"/>
                <w:color w:val="000000"/>
                <w:sz w:val="18"/>
                <w:szCs w:val="18"/>
              </w:rPr>
              <w:t>(Change to existing listing)</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141B424" w14:textId="4CD658CF" w:rsidR="00AC5D6D" w:rsidRPr="00A74143" w:rsidRDefault="00AC5D6D" w:rsidP="00AC5D6D">
            <w:pPr>
              <w:jc w:val="center"/>
              <w:rPr>
                <w:rFonts w:asciiTheme="minorHAnsi" w:hAnsiTheme="minorHAnsi" w:cstheme="minorHAnsi"/>
                <w:color w:val="000000"/>
                <w:sz w:val="18"/>
                <w:szCs w:val="18"/>
              </w:rPr>
            </w:pPr>
            <w:r>
              <w:rPr>
                <w:rFonts w:asciiTheme="minorHAnsi" w:hAnsiTheme="minorHAnsi" w:cstheme="minorHAnsi"/>
                <w:snapToGrid w:val="0"/>
                <w:sz w:val="18"/>
                <w:szCs w:val="18"/>
              </w:rPr>
              <w:t>S</w:t>
            </w:r>
            <w:r w:rsidRPr="00066CF6">
              <w:rPr>
                <w:rFonts w:asciiTheme="minorHAnsi" w:hAnsiTheme="minorHAnsi" w:cstheme="minorHAnsi"/>
                <w:snapToGrid w:val="0"/>
                <w:sz w:val="18"/>
                <w:szCs w:val="18"/>
              </w:rPr>
              <w:t>evere atopic dermatitis</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60A8AF34" w14:textId="5619E294" w:rsidR="00AC5D6D" w:rsidRPr="004A3AC0" w:rsidRDefault="00AC5D6D" w:rsidP="00AC5D6D">
            <w:pPr>
              <w:jc w:val="center"/>
              <w:rPr>
                <w:rFonts w:asciiTheme="minorHAnsi" w:hAnsiTheme="minorHAnsi" w:cstheme="minorHAnsi"/>
                <w:sz w:val="18"/>
                <w:szCs w:val="18"/>
              </w:rPr>
            </w:pPr>
            <w:r>
              <w:rPr>
                <w:rFonts w:asciiTheme="minorHAnsi" w:hAnsiTheme="minorHAnsi" w:cstheme="minorHAnsi"/>
                <w:sz w:val="18"/>
                <w:szCs w:val="18"/>
              </w:rPr>
              <w:t>To seek the PBAC’s advice regarding cost-effectiveness and</w:t>
            </w:r>
            <w:r w:rsidRPr="00066CF6">
              <w:rPr>
                <w:rFonts w:asciiTheme="minorHAnsi" w:hAnsiTheme="minorHAnsi" w:cstheme="minorHAnsi"/>
                <w:snapToGrid w:val="0"/>
                <w:sz w:val="18"/>
                <w:szCs w:val="18"/>
              </w:rPr>
              <w:t xml:space="preserve"> estimated financial implications</w:t>
            </w:r>
            <w:r>
              <w:rPr>
                <w:rFonts w:asciiTheme="minorHAnsi" w:hAnsiTheme="minorHAnsi" w:cstheme="minorHAnsi"/>
                <w:snapToGrid w:val="0"/>
                <w:sz w:val="18"/>
                <w:szCs w:val="18"/>
              </w:rPr>
              <w:t>.</w:t>
            </w:r>
          </w:p>
        </w:tc>
        <w:tc>
          <w:tcPr>
            <w:tcW w:w="2653" w:type="pct"/>
            <w:tcBorders>
              <w:top w:val="single" w:sz="4" w:space="0" w:color="auto"/>
              <w:left w:val="single" w:sz="4" w:space="0" w:color="auto"/>
              <w:bottom w:val="single" w:sz="4" w:space="0" w:color="auto"/>
              <w:right w:val="single" w:sz="4" w:space="0" w:color="auto"/>
            </w:tcBorders>
            <w:shd w:val="clear" w:color="auto" w:fill="auto"/>
            <w:vAlign w:val="center"/>
          </w:tcPr>
          <w:p w14:paraId="42564DD5" w14:textId="6D3734A9" w:rsidR="00AC5D6D" w:rsidRPr="00A63D6F" w:rsidRDefault="00AC5D6D" w:rsidP="00AC5D6D">
            <w:pPr>
              <w:widowControl w:val="0"/>
              <w:jc w:val="both"/>
              <w:rPr>
                <w:rFonts w:asciiTheme="minorHAnsi" w:hAnsiTheme="minorHAnsi" w:cstheme="minorBidi"/>
                <w:snapToGrid w:val="0"/>
                <w:sz w:val="18"/>
                <w:szCs w:val="18"/>
              </w:rPr>
            </w:pPr>
            <w:r w:rsidRPr="56B992B3">
              <w:rPr>
                <w:rFonts w:asciiTheme="minorHAnsi" w:hAnsiTheme="minorHAnsi" w:cstheme="minorBidi"/>
                <w:snapToGrid w:val="0"/>
                <w:sz w:val="18"/>
                <w:szCs w:val="18"/>
              </w:rPr>
              <w:t xml:space="preserve">The PBAC provided further advice regarding the cost-effectiveness, estimated financial implications, and </w:t>
            </w:r>
            <w:r w:rsidR="42F67F0F" w:rsidRPr="56B992B3">
              <w:rPr>
                <w:rFonts w:asciiTheme="minorHAnsi" w:hAnsiTheme="minorHAnsi" w:cstheme="minorBidi"/>
                <w:snapToGrid w:val="0"/>
                <w:sz w:val="18"/>
                <w:szCs w:val="18"/>
              </w:rPr>
              <w:t>r</w:t>
            </w:r>
            <w:r w:rsidR="34A95211" w:rsidRPr="56B992B3">
              <w:rPr>
                <w:rFonts w:asciiTheme="minorHAnsi" w:hAnsiTheme="minorHAnsi" w:cstheme="minorBidi"/>
                <w:snapToGrid w:val="0"/>
                <w:sz w:val="18"/>
                <w:szCs w:val="18"/>
              </w:rPr>
              <w:t xml:space="preserve">isk </w:t>
            </w:r>
            <w:r w:rsidR="42F67F0F" w:rsidRPr="56B992B3">
              <w:rPr>
                <w:rFonts w:asciiTheme="minorHAnsi" w:hAnsiTheme="minorHAnsi" w:cstheme="minorBidi"/>
                <w:snapToGrid w:val="0"/>
                <w:sz w:val="18"/>
                <w:szCs w:val="18"/>
              </w:rPr>
              <w:t>s</w:t>
            </w:r>
            <w:r w:rsidR="34A95211" w:rsidRPr="56B992B3">
              <w:rPr>
                <w:rFonts w:asciiTheme="minorHAnsi" w:hAnsiTheme="minorHAnsi" w:cstheme="minorBidi"/>
                <w:snapToGrid w:val="0"/>
                <w:sz w:val="18"/>
                <w:szCs w:val="18"/>
              </w:rPr>
              <w:t xml:space="preserve">haring </w:t>
            </w:r>
            <w:r w:rsidR="42F67F0F" w:rsidRPr="56B992B3">
              <w:rPr>
                <w:rFonts w:asciiTheme="minorHAnsi" w:hAnsiTheme="minorHAnsi" w:cstheme="minorBidi"/>
                <w:snapToGrid w:val="0"/>
                <w:sz w:val="18"/>
                <w:szCs w:val="18"/>
              </w:rPr>
              <w:t>a</w:t>
            </w:r>
            <w:r w:rsidR="34A95211" w:rsidRPr="56B992B3">
              <w:rPr>
                <w:rFonts w:asciiTheme="minorHAnsi" w:hAnsiTheme="minorHAnsi" w:cstheme="minorBidi"/>
                <w:snapToGrid w:val="0"/>
                <w:sz w:val="18"/>
                <w:szCs w:val="18"/>
              </w:rPr>
              <w:t>rrangement</w:t>
            </w:r>
            <w:r w:rsidRPr="56B992B3">
              <w:rPr>
                <w:rFonts w:asciiTheme="minorHAnsi" w:hAnsiTheme="minorHAnsi" w:cstheme="minorBidi"/>
                <w:snapToGrid w:val="0"/>
                <w:sz w:val="18"/>
                <w:szCs w:val="18"/>
              </w:rPr>
              <w:t xml:space="preserve"> (RSA) for dupilumab for the treatment of severe atopic dermatitis in patients aged 12 years and older</w:t>
            </w:r>
            <w:r w:rsidRPr="0013630E">
              <w:rPr>
                <w:rFonts w:asciiTheme="minorHAnsi" w:hAnsiTheme="minorHAnsi" w:cstheme="minorBidi"/>
                <w:snapToGrid w:val="0"/>
                <w:sz w:val="18"/>
                <w:szCs w:val="18"/>
              </w:rPr>
              <w:t>, in the context of the sponsor’s request to otherwise delist dupilumab for this indication from the PBS</w:t>
            </w:r>
            <w:r w:rsidRPr="56B992B3">
              <w:rPr>
                <w:rFonts w:asciiTheme="minorHAnsi" w:hAnsiTheme="minorHAnsi" w:cstheme="minorBidi"/>
                <w:snapToGrid w:val="0"/>
                <w:sz w:val="18"/>
                <w:szCs w:val="18"/>
              </w:rPr>
              <w:t>. In providing this advice, the PBAC considered the necessity to ensure continued access to dupilumab, acknowledging that dupilumab was an important treatment option for patients with severe atopic dermatitis</w:t>
            </w:r>
            <w:r w:rsidRPr="0013630E">
              <w:rPr>
                <w:rFonts w:asciiTheme="minorHAnsi" w:hAnsiTheme="minorHAnsi" w:cstheme="minorBidi"/>
                <w:snapToGrid w:val="0"/>
                <w:sz w:val="18"/>
                <w:szCs w:val="18"/>
              </w:rPr>
              <w:t>, and its removal from the PBS would result in an unmet clinical need</w:t>
            </w:r>
            <w:r w:rsidRPr="56B992B3">
              <w:rPr>
                <w:rFonts w:asciiTheme="minorHAnsi" w:hAnsiTheme="minorHAnsi" w:cstheme="minorBidi"/>
                <w:snapToGrid w:val="0"/>
                <w:sz w:val="18"/>
                <w:szCs w:val="18"/>
              </w:rPr>
              <w:t>.</w:t>
            </w:r>
          </w:p>
        </w:tc>
      </w:tr>
      <w:tr w:rsidR="00834DE5" w:rsidRPr="00470B06" w:rsidDel="008F66B5" w14:paraId="2D209829" w14:textId="0BB3D306" w:rsidTr="09543A32">
        <w:trPr>
          <w:cantSplit/>
          <w:trHeight w:val="58"/>
        </w:trPr>
        <w:tc>
          <w:tcPr>
            <w:tcW w:w="873" w:type="pct"/>
            <w:shd w:val="clear" w:color="auto" w:fill="auto"/>
            <w:vAlign w:val="center"/>
          </w:tcPr>
          <w:p w14:paraId="1A9FB22F" w14:textId="77777777" w:rsidR="00834DE5" w:rsidRPr="00470B06" w:rsidRDefault="00834DE5" w:rsidP="00A94408">
            <w:pPr>
              <w:jc w:val="center"/>
              <w:rPr>
                <w:rFonts w:asciiTheme="minorHAnsi" w:hAnsiTheme="minorHAnsi" w:cstheme="minorHAnsi"/>
                <w:sz w:val="18"/>
                <w:szCs w:val="18"/>
              </w:rPr>
            </w:pPr>
            <w:r w:rsidRPr="00470B06">
              <w:rPr>
                <w:rFonts w:asciiTheme="minorHAnsi" w:hAnsiTheme="minorHAnsi" w:cstheme="minorHAnsi"/>
                <w:color w:val="000000"/>
                <w:sz w:val="18"/>
                <w:szCs w:val="18"/>
              </w:rPr>
              <w:lastRenderedPageBreak/>
              <w:t>OCULAR LUBRICANTS FOR THE TREATMENT OF SEVERE DRY EYE SYNDROME</w:t>
            </w:r>
            <w:r w:rsidRPr="00470B06">
              <w:rPr>
                <w:rFonts w:asciiTheme="minorHAnsi" w:hAnsiTheme="minorHAnsi" w:cstheme="minorHAnsi"/>
                <w:color w:val="000000"/>
                <w:sz w:val="18"/>
                <w:szCs w:val="18"/>
              </w:rPr>
              <w:br/>
            </w:r>
            <w:r w:rsidRPr="00470B06">
              <w:rPr>
                <w:rFonts w:asciiTheme="minorHAnsi" w:hAnsiTheme="minorHAnsi" w:cstheme="minorHAnsi"/>
                <w:color w:val="000000"/>
                <w:sz w:val="18"/>
                <w:szCs w:val="18"/>
              </w:rPr>
              <w:br/>
              <w:t xml:space="preserve">All brands and strengths </w:t>
            </w:r>
            <w:r w:rsidRPr="00470B06">
              <w:rPr>
                <w:rFonts w:asciiTheme="minorHAnsi" w:hAnsiTheme="minorHAnsi" w:cstheme="minorHAnsi"/>
                <w:color w:val="000000"/>
                <w:sz w:val="18"/>
                <w:szCs w:val="18"/>
              </w:rPr>
              <w:br/>
            </w:r>
            <w:r w:rsidRPr="00470B06">
              <w:rPr>
                <w:rFonts w:asciiTheme="minorHAnsi" w:hAnsiTheme="minorHAnsi" w:cstheme="minorHAnsi"/>
                <w:color w:val="000000"/>
                <w:sz w:val="18"/>
                <w:szCs w:val="18"/>
              </w:rPr>
              <w:br/>
              <w:t>Various sponsors</w:t>
            </w:r>
            <w:r w:rsidRPr="00470B06">
              <w:rPr>
                <w:rFonts w:asciiTheme="minorHAnsi" w:hAnsiTheme="minorHAnsi" w:cstheme="minorHAnsi"/>
                <w:color w:val="000000"/>
                <w:sz w:val="18"/>
                <w:szCs w:val="18"/>
              </w:rPr>
              <w:br/>
            </w:r>
            <w:r w:rsidRPr="00470B06">
              <w:rPr>
                <w:rFonts w:asciiTheme="minorHAnsi" w:hAnsiTheme="minorHAnsi" w:cstheme="minorHAnsi"/>
                <w:color w:val="000000"/>
                <w:sz w:val="18"/>
                <w:szCs w:val="18"/>
              </w:rPr>
              <w:br/>
            </w:r>
            <w:r w:rsidRPr="00470B06">
              <w:rPr>
                <w:rFonts w:asciiTheme="minorHAnsi" w:hAnsiTheme="minorHAnsi" w:cstheme="minorHAnsi"/>
                <w:sz w:val="18"/>
                <w:szCs w:val="18"/>
              </w:rPr>
              <w:t xml:space="preserve">DEPARTMENT OF HEALTH AND AGED CARE </w:t>
            </w:r>
          </w:p>
          <w:p w14:paraId="7B8382D9" w14:textId="77777777" w:rsidR="00834DE5" w:rsidRPr="00470B06" w:rsidRDefault="00834DE5" w:rsidP="00A94408">
            <w:pPr>
              <w:jc w:val="center"/>
              <w:rPr>
                <w:rFonts w:asciiTheme="minorHAnsi" w:hAnsiTheme="minorHAnsi" w:cstheme="minorHAnsi"/>
                <w:sz w:val="18"/>
                <w:szCs w:val="18"/>
              </w:rPr>
            </w:pPr>
          </w:p>
          <w:p w14:paraId="0E4FB29C" w14:textId="6585C9FC" w:rsidR="00834DE5" w:rsidRPr="00470B06" w:rsidDel="008F66B5" w:rsidRDefault="00834DE5" w:rsidP="00A94408">
            <w:pPr>
              <w:jc w:val="center"/>
              <w:rPr>
                <w:rFonts w:asciiTheme="minorHAnsi" w:hAnsiTheme="minorHAnsi" w:cstheme="minorHAnsi"/>
                <w:color w:val="000000" w:themeColor="text1"/>
                <w:sz w:val="18"/>
                <w:szCs w:val="18"/>
              </w:rPr>
            </w:pPr>
            <w:r w:rsidRPr="00470B06">
              <w:rPr>
                <w:rFonts w:asciiTheme="minorHAnsi" w:hAnsiTheme="minorHAnsi" w:cstheme="minorHAnsi"/>
                <w:sz w:val="18"/>
                <w:szCs w:val="18"/>
              </w:rPr>
              <w:t xml:space="preserve">(Other </w:t>
            </w:r>
            <w:r w:rsidR="00473E2B">
              <w:rPr>
                <w:rFonts w:asciiTheme="minorHAnsi" w:hAnsiTheme="minorHAnsi" w:cstheme="minorHAnsi"/>
                <w:sz w:val="18"/>
                <w:szCs w:val="18"/>
              </w:rPr>
              <w:t>M</w:t>
            </w:r>
            <w:r w:rsidRPr="00470B06">
              <w:rPr>
                <w:rFonts w:asciiTheme="minorHAnsi" w:hAnsiTheme="minorHAnsi" w:cstheme="minorHAnsi"/>
                <w:sz w:val="18"/>
                <w:szCs w:val="18"/>
              </w:rPr>
              <w:t>atters)</w:t>
            </w:r>
          </w:p>
        </w:tc>
        <w:tc>
          <w:tcPr>
            <w:tcW w:w="552" w:type="pct"/>
            <w:shd w:val="clear" w:color="auto" w:fill="auto"/>
            <w:vAlign w:val="center"/>
          </w:tcPr>
          <w:p w14:paraId="2283B276" w14:textId="48EFEC47" w:rsidR="00834DE5" w:rsidRPr="00470B06" w:rsidDel="008F66B5" w:rsidRDefault="00834DE5" w:rsidP="00A94408">
            <w:pPr>
              <w:jc w:val="center"/>
              <w:rPr>
                <w:rFonts w:asciiTheme="minorHAnsi" w:hAnsiTheme="minorHAnsi" w:cstheme="minorHAnsi"/>
                <w:sz w:val="18"/>
                <w:szCs w:val="18"/>
              </w:rPr>
            </w:pPr>
            <w:r w:rsidRPr="00470B06">
              <w:rPr>
                <w:rFonts w:asciiTheme="minorHAnsi" w:hAnsiTheme="minorHAnsi" w:cstheme="minorHAnsi"/>
                <w:sz w:val="18"/>
                <w:szCs w:val="18"/>
              </w:rPr>
              <w:t>Severe dry eye syndrome</w:t>
            </w:r>
          </w:p>
        </w:tc>
        <w:tc>
          <w:tcPr>
            <w:tcW w:w="922" w:type="pct"/>
            <w:shd w:val="clear" w:color="auto" w:fill="auto"/>
            <w:vAlign w:val="center"/>
          </w:tcPr>
          <w:p w14:paraId="31621DA7" w14:textId="37484579" w:rsidR="00834DE5" w:rsidRPr="00470B06" w:rsidDel="008F66B5" w:rsidRDefault="00834DE5" w:rsidP="00A94408">
            <w:pPr>
              <w:jc w:val="center"/>
              <w:rPr>
                <w:rFonts w:asciiTheme="minorHAnsi" w:hAnsiTheme="minorHAnsi" w:cstheme="minorHAnsi"/>
                <w:color w:val="000000" w:themeColor="text1"/>
                <w:sz w:val="18"/>
                <w:szCs w:val="18"/>
              </w:rPr>
            </w:pPr>
            <w:r w:rsidRPr="00470B06">
              <w:rPr>
                <w:rFonts w:asciiTheme="minorHAnsi" w:hAnsiTheme="minorHAnsi" w:cstheme="minorHAnsi"/>
                <w:sz w:val="18"/>
                <w:szCs w:val="18"/>
              </w:rPr>
              <w:t>To provide the PBAC with the findings following a systematic literature review comparing the efficacy and safety of preservative-containing ocular lubricants versus preservative-free ocular lubricants in patients with severe dry eye syndrome.</w:t>
            </w:r>
          </w:p>
        </w:tc>
        <w:tc>
          <w:tcPr>
            <w:tcW w:w="2653" w:type="pct"/>
            <w:shd w:val="clear" w:color="auto" w:fill="auto"/>
            <w:vAlign w:val="center"/>
          </w:tcPr>
          <w:p w14:paraId="1C9C4DD2" w14:textId="0FA7E402" w:rsidR="00552DCE" w:rsidRPr="00C56403" w:rsidRDefault="00552DCE" w:rsidP="00552DCE">
            <w:pPr>
              <w:widowControl w:val="0"/>
              <w:rPr>
                <w:rFonts w:asciiTheme="minorHAnsi" w:hAnsiTheme="minorHAnsi" w:cstheme="minorHAnsi"/>
                <w:sz w:val="18"/>
                <w:szCs w:val="18"/>
              </w:rPr>
            </w:pPr>
            <w:r w:rsidRPr="00C56403">
              <w:rPr>
                <w:rFonts w:asciiTheme="minorHAnsi" w:hAnsiTheme="minorHAnsi" w:cstheme="minorHAnsi"/>
                <w:sz w:val="18"/>
                <w:szCs w:val="18"/>
              </w:rPr>
              <w:t>The PBAC considered the findings of the systematic literature review on the efficacy and safety of preservative</w:t>
            </w:r>
            <w:r w:rsidRPr="00C56403">
              <w:rPr>
                <w:rFonts w:asciiTheme="minorHAnsi" w:hAnsiTheme="minorHAnsi" w:cstheme="minorHAnsi"/>
                <w:sz w:val="18"/>
                <w:szCs w:val="18"/>
              </w:rPr>
              <w:noBreakHyphen/>
              <w:t xml:space="preserve">containing (PC) ocular lubricants compared to preservative-free (PF) ocular lubricants in patients with severe dry eye. The PBAC noted the Report was comprehensive, however acknowledged limitations in the available evidence and a lack of consistently defined criteria for ‘dry eye disease’. The PBAC considered the Report did not find evidence to support the superior effectiveness or safety of PF products compared to PC products. </w:t>
            </w:r>
          </w:p>
          <w:p w14:paraId="461CCB79" w14:textId="77777777" w:rsidR="00A330CD" w:rsidRPr="00C56403" w:rsidRDefault="00A330CD" w:rsidP="00552DCE">
            <w:pPr>
              <w:widowControl w:val="0"/>
              <w:rPr>
                <w:rFonts w:asciiTheme="minorHAnsi" w:hAnsiTheme="minorHAnsi" w:cstheme="minorHAnsi"/>
                <w:sz w:val="18"/>
                <w:szCs w:val="18"/>
              </w:rPr>
            </w:pPr>
          </w:p>
          <w:p w14:paraId="33624174" w14:textId="2789A7F0" w:rsidR="00552DCE" w:rsidRPr="00C56403" w:rsidRDefault="00552DCE" w:rsidP="00552DCE">
            <w:pPr>
              <w:widowControl w:val="0"/>
              <w:rPr>
                <w:rFonts w:asciiTheme="minorHAnsi" w:hAnsiTheme="minorHAnsi" w:cstheme="minorHAnsi"/>
                <w:sz w:val="18"/>
                <w:szCs w:val="18"/>
              </w:rPr>
            </w:pPr>
            <w:r w:rsidRPr="00C56403">
              <w:rPr>
                <w:rFonts w:asciiTheme="minorHAnsi" w:hAnsiTheme="minorHAnsi" w:cstheme="minorHAnsi"/>
                <w:sz w:val="18"/>
                <w:szCs w:val="18"/>
              </w:rPr>
              <w:t xml:space="preserve">Despite the findings of the Report, the PBAC noted input from clinicians suggesting there is a subset of patients who may benefit from PF ocular lubricants compared to PC ocular lubricants. The PBAC reaffirmed its May 2023 advice that all PBS-listed ocular lubricants should be considered as relevant comparators, regardless of whether they contain preservatives or hyaluronate. The PBAC advised that future submissions for ocular lubricants be cost minimised to the lowest cost comparator, unless supporting evidence is provided to demonstrate superiority. The PBAC noted comments from </w:t>
            </w:r>
            <w:r w:rsidR="003149BA" w:rsidRPr="00C56403">
              <w:rPr>
                <w:rFonts w:asciiTheme="minorHAnsi" w:hAnsiTheme="minorHAnsi" w:cstheme="minorHAnsi"/>
                <w:sz w:val="18"/>
                <w:szCs w:val="18"/>
              </w:rPr>
              <w:t xml:space="preserve">consumers and other </w:t>
            </w:r>
            <w:r w:rsidRPr="00C56403">
              <w:rPr>
                <w:rFonts w:asciiTheme="minorHAnsi" w:hAnsiTheme="minorHAnsi" w:cstheme="minorHAnsi"/>
                <w:sz w:val="18"/>
                <w:szCs w:val="18"/>
              </w:rPr>
              <w:t>stakeholders on the Report.</w:t>
            </w:r>
          </w:p>
          <w:p w14:paraId="506416AA" w14:textId="77777777" w:rsidR="00A330CD" w:rsidRPr="00C56403" w:rsidRDefault="00A330CD" w:rsidP="00552DCE">
            <w:pPr>
              <w:rPr>
                <w:rFonts w:asciiTheme="minorHAnsi" w:hAnsiTheme="minorHAnsi" w:cstheme="minorHAnsi"/>
                <w:sz w:val="18"/>
                <w:szCs w:val="18"/>
              </w:rPr>
            </w:pPr>
          </w:p>
          <w:p w14:paraId="6E1EC2B5" w14:textId="08FB172F" w:rsidR="00834DE5" w:rsidRPr="00470B06" w:rsidDel="008F66B5" w:rsidRDefault="00552DCE" w:rsidP="00C14D92">
            <w:r w:rsidRPr="00C56403">
              <w:rPr>
                <w:rFonts w:asciiTheme="minorHAnsi" w:hAnsiTheme="minorHAnsi" w:cstheme="minorHAnsi"/>
                <w:sz w:val="18"/>
                <w:szCs w:val="18"/>
              </w:rPr>
              <w:t xml:space="preserve">The PBAC requested the Department develop an options paper to be considered by the Committee at a future meeting, </w:t>
            </w:r>
            <w:proofErr w:type="gramStart"/>
            <w:r w:rsidRPr="00C56403">
              <w:rPr>
                <w:rFonts w:asciiTheme="minorHAnsi" w:hAnsiTheme="minorHAnsi" w:cstheme="minorHAnsi"/>
                <w:sz w:val="18"/>
                <w:szCs w:val="18"/>
              </w:rPr>
              <w:t>taking into account</w:t>
            </w:r>
            <w:proofErr w:type="gramEnd"/>
            <w:r w:rsidRPr="00C56403">
              <w:rPr>
                <w:rFonts w:asciiTheme="minorHAnsi" w:hAnsiTheme="minorHAnsi" w:cstheme="minorHAnsi"/>
                <w:sz w:val="18"/>
                <w:szCs w:val="18"/>
              </w:rPr>
              <w:t xml:space="preserve"> current clinical practice and guidelines, while ensuring that PBS-listed ocular lubricants remain cost-effective for the eligible population. The PBAC requested information be prepared on the utilisation of ocular lubricants and associated costs to the PBS to support the Committee’s consideration of any potential changes to the PBS listings of these medicines.</w:t>
            </w:r>
          </w:p>
        </w:tc>
      </w:tr>
      <w:tr w:rsidR="00834DE5" w:rsidRPr="00470B06" w:rsidDel="008F66B5" w14:paraId="707BB3B1" w14:textId="18C7F803" w:rsidTr="009E3EC5">
        <w:trPr>
          <w:trHeight w:val="771"/>
        </w:trPr>
        <w:tc>
          <w:tcPr>
            <w:tcW w:w="873" w:type="pct"/>
            <w:shd w:val="clear" w:color="auto" w:fill="auto"/>
            <w:vAlign w:val="center"/>
          </w:tcPr>
          <w:p w14:paraId="6A9DF916" w14:textId="21AA054C" w:rsidR="00834DE5" w:rsidRPr="00470B06" w:rsidRDefault="00834DE5" w:rsidP="00A9440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OSTEOPOROSIS THERAPY RESTRICTIONS REVIEW</w:t>
            </w:r>
          </w:p>
          <w:p w14:paraId="4969C1CB" w14:textId="77777777" w:rsidR="00834DE5" w:rsidRPr="00470B06" w:rsidRDefault="00834DE5" w:rsidP="00A94408">
            <w:pPr>
              <w:jc w:val="center"/>
              <w:rPr>
                <w:rFonts w:asciiTheme="minorHAnsi" w:hAnsiTheme="minorHAnsi" w:cstheme="minorHAnsi"/>
                <w:color w:val="000000"/>
                <w:sz w:val="18"/>
                <w:szCs w:val="18"/>
              </w:rPr>
            </w:pPr>
          </w:p>
          <w:p w14:paraId="793C6BCC" w14:textId="77777777" w:rsidR="00834DE5" w:rsidRPr="00470B06" w:rsidRDefault="00834DE5" w:rsidP="00A9440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ALENDRONATE</w:t>
            </w:r>
          </w:p>
          <w:p w14:paraId="1E007642" w14:textId="77777777" w:rsidR="00834DE5" w:rsidRPr="00470B06" w:rsidRDefault="00834DE5" w:rsidP="00A9440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RISEDRONATE</w:t>
            </w:r>
          </w:p>
          <w:p w14:paraId="12C59347" w14:textId="77777777" w:rsidR="00834DE5" w:rsidRPr="00470B06" w:rsidRDefault="00834DE5" w:rsidP="00A9440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ZOLEDRONIC ACID</w:t>
            </w:r>
          </w:p>
          <w:p w14:paraId="40AFC157" w14:textId="77777777" w:rsidR="00834DE5" w:rsidRPr="00470B06" w:rsidRDefault="00834DE5" w:rsidP="00A94408">
            <w:pPr>
              <w:jc w:val="center"/>
              <w:rPr>
                <w:rFonts w:asciiTheme="minorHAnsi" w:hAnsiTheme="minorHAnsi" w:cstheme="minorHAnsi"/>
                <w:color w:val="000000"/>
                <w:sz w:val="18"/>
                <w:szCs w:val="18"/>
              </w:rPr>
            </w:pPr>
          </w:p>
          <w:p w14:paraId="31990970" w14:textId="77777777" w:rsidR="00834DE5" w:rsidRPr="00470B06" w:rsidRDefault="00834DE5" w:rsidP="00A9440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Various forms and strengths</w:t>
            </w:r>
          </w:p>
          <w:p w14:paraId="570BD791" w14:textId="77777777" w:rsidR="00834DE5" w:rsidRPr="00470B06" w:rsidRDefault="00834DE5" w:rsidP="00A94408">
            <w:pPr>
              <w:jc w:val="center"/>
              <w:rPr>
                <w:rFonts w:asciiTheme="minorHAnsi" w:hAnsiTheme="minorHAnsi" w:cstheme="minorHAnsi"/>
                <w:color w:val="000000"/>
                <w:sz w:val="18"/>
                <w:szCs w:val="18"/>
              </w:rPr>
            </w:pPr>
          </w:p>
          <w:p w14:paraId="7C59B342" w14:textId="77777777" w:rsidR="00834DE5" w:rsidRPr="00470B06" w:rsidRDefault="00834DE5" w:rsidP="00A9440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Various brands</w:t>
            </w:r>
          </w:p>
          <w:p w14:paraId="183EE629" w14:textId="77777777" w:rsidR="00834DE5" w:rsidRPr="00470B06" w:rsidRDefault="00834DE5" w:rsidP="00A94408">
            <w:pPr>
              <w:jc w:val="center"/>
              <w:rPr>
                <w:rFonts w:asciiTheme="minorHAnsi" w:hAnsiTheme="minorHAnsi" w:cstheme="minorHAnsi"/>
                <w:color w:val="000000"/>
                <w:sz w:val="18"/>
                <w:szCs w:val="18"/>
              </w:rPr>
            </w:pPr>
          </w:p>
          <w:p w14:paraId="40107E0C" w14:textId="77777777" w:rsidR="00834DE5" w:rsidRDefault="00834DE5" w:rsidP="00A9440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Various sponsors</w:t>
            </w:r>
            <w:r w:rsidRPr="00470B06">
              <w:rPr>
                <w:rFonts w:asciiTheme="minorHAnsi" w:hAnsiTheme="minorHAnsi" w:cstheme="minorHAnsi"/>
                <w:color w:val="000000"/>
                <w:sz w:val="18"/>
                <w:szCs w:val="18"/>
              </w:rPr>
              <w:cr/>
            </w:r>
          </w:p>
          <w:p w14:paraId="51789438" w14:textId="5A400535" w:rsidR="005976CA" w:rsidRPr="00470B06" w:rsidRDefault="005976CA" w:rsidP="00A94408">
            <w:pPr>
              <w:jc w:val="center"/>
              <w:rPr>
                <w:rFonts w:asciiTheme="minorHAnsi" w:hAnsiTheme="minorHAnsi" w:cstheme="minorHAnsi"/>
                <w:color w:val="000000"/>
                <w:sz w:val="18"/>
                <w:szCs w:val="18"/>
              </w:rPr>
            </w:pPr>
            <w:r>
              <w:rPr>
                <w:rFonts w:asciiTheme="minorHAnsi" w:hAnsiTheme="minorHAnsi" w:cstheme="minorHAnsi"/>
                <w:color w:val="000000"/>
                <w:sz w:val="18"/>
                <w:szCs w:val="18"/>
              </w:rPr>
              <w:t>Matters outstanding</w:t>
            </w:r>
          </w:p>
          <w:p w14:paraId="264B41BC" w14:textId="53C07351" w:rsidR="00834DE5" w:rsidRPr="00470B06" w:rsidDel="008F66B5" w:rsidRDefault="00834DE5" w:rsidP="00A94408">
            <w:pPr>
              <w:jc w:val="center"/>
              <w:rPr>
                <w:rFonts w:asciiTheme="minorHAnsi" w:hAnsiTheme="minorHAnsi" w:cstheme="minorHAnsi"/>
                <w:color w:val="000000" w:themeColor="text1"/>
                <w:sz w:val="18"/>
                <w:szCs w:val="18"/>
              </w:rPr>
            </w:pPr>
            <w:r w:rsidRPr="00470B06">
              <w:rPr>
                <w:rFonts w:asciiTheme="minorHAnsi" w:hAnsiTheme="minorHAnsi" w:cstheme="minorHAnsi"/>
                <w:color w:val="000000"/>
                <w:sz w:val="18"/>
                <w:szCs w:val="18"/>
              </w:rPr>
              <w:t>(Change to existing listing)</w:t>
            </w:r>
          </w:p>
        </w:tc>
        <w:tc>
          <w:tcPr>
            <w:tcW w:w="552" w:type="pct"/>
            <w:shd w:val="clear" w:color="auto" w:fill="auto"/>
            <w:vAlign w:val="center"/>
          </w:tcPr>
          <w:p w14:paraId="30258A69" w14:textId="1914C5EA" w:rsidR="00834DE5" w:rsidRPr="00470B06" w:rsidDel="008F66B5" w:rsidRDefault="00834DE5" w:rsidP="00A94408">
            <w:pPr>
              <w:jc w:val="center"/>
              <w:rPr>
                <w:rFonts w:asciiTheme="minorHAnsi" w:hAnsiTheme="minorHAnsi" w:cstheme="minorHAnsi"/>
                <w:color w:val="000000"/>
                <w:sz w:val="18"/>
                <w:szCs w:val="18"/>
              </w:rPr>
            </w:pPr>
            <w:r w:rsidRPr="00470B06">
              <w:rPr>
                <w:rFonts w:asciiTheme="minorHAnsi" w:hAnsiTheme="minorHAnsi" w:cstheme="minorHAnsi"/>
                <w:sz w:val="18"/>
                <w:szCs w:val="18"/>
              </w:rPr>
              <w:t>Osteoporosis</w:t>
            </w:r>
          </w:p>
        </w:tc>
        <w:tc>
          <w:tcPr>
            <w:tcW w:w="922" w:type="pct"/>
            <w:shd w:val="clear" w:color="auto" w:fill="auto"/>
            <w:vAlign w:val="center"/>
          </w:tcPr>
          <w:p w14:paraId="2B3BB211" w14:textId="6C9033E7" w:rsidR="00834DE5" w:rsidRPr="00470B06" w:rsidDel="008F66B5" w:rsidRDefault="00834DE5" w:rsidP="0016782D">
            <w:pPr>
              <w:jc w:val="center"/>
              <w:rPr>
                <w:rFonts w:asciiTheme="minorHAnsi" w:hAnsiTheme="minorHAnsi" w:cstheme="minorHAnsi"/>
                <w:color w:val="000000"/>
                <w:sz w:val="18"/>
                <w:szCs w:val="18"/>
              </w:rPr>
            </w:pPr>
            <w:r w:rsidRPr="00470B06">
              <w:rPr>
                <w:rFonts w:asciiTheme="minorHAnsi" w:hAnsiTheme="minorHAnsi" w:cstheme="minorHAnsi"/>
                <w:sz w:val="18"/>
                <w:szCs w:val="18"/>
              </w:rPr>
              <w:t>To consider the impact of potential broadening of restrictions for osteoporosis therapies. This matter was deferred at the September 2021</w:t>
            </w:r>
            <w:r w:rsidR="0016782D">
              <w:rPr>
                <w:rFonts w:asciiTheme="minorHAnsi" w:hAnsiTheme="minorHAnsi" w:cstheme="minorHAnsi"/>
                <w:sz w:val="18"/>
                <w:szCs w:val="18"/>
              </w:rPr>
              <w:t xml:space="preserve"> </w:t>
            </w:r>
            <w:r w:rsidRPr="00470B06">
              <w:rPr>
                <w:rFonts w:asciiTheme="minorHAnsi" w:hAnsiTheme="minorHAnsi" w:cstheme="minorHAnsi"/>
                <w:sz w:val="18"/>
                <w:szCs w:val="18"/>
              </w:rPr>
              <w:t>PBAC meeting.</w:t>
            </w:r>
          </w:p>
        </w:tc>
        <w:tc>
          <w:tcPr>
            <w:tcW w:w="2653" w:type="pct"/>
            <w:shd w:val="clear" w:color="auto" w:fill="auto"/>
            <w:vAlign w:val="center"/>
          </w:tcPr>
          <w:p w14:paraId="59310D77" w14:textId="02F04B07" w:rsidR="000617D0" w:rsidRPr="000617D0" w:rsidRDefault="000617D0" w:rsidP="000617D0">
            <w:pPr>
              <w:jc w:val="both"/>
              <w:rPr>
                <w:rFonts w:asciiTheme="minorHAnsi" w:hAnsiTheme="minorHAnsi" w:cstheme="minorBidi"/>
                <w:sz w:val="18"/>
                <w:szCs w:val="18"/>
              </w:rPr>
            </w:pPr>
            <w:r w:rsidRPr="12F1B601">
              <w:rPr>
                <w:rFonts w:asciiTheme="minorHAnsi" w:hAnsiTheme="minorHAnsi" w:cstheme="minorBidi"/>
                <w:sz w:val="18"/>
                <w:szCs w:val="18"/>
              </w:rPr>
              <w:t>The PBAC provided advice on the impact of expanding the current age range for PBS</w:t>
            </w:r>
            <w:r w:rsidR="635D0810" w:rsidRPr="12F1B601">
              <w:rPr>
                <w:rFonts w:asciiTheme="minorHAnsi" w:hAnsiTheme="minorHAnsi" w:cstheme="minorBidi"/>
                <w:sz w:val="18"/>
                <w:szCs w:val="18"/>
              </w:rPr>
              <w:t>-</w:t>
            </w:r>
            <w:r w:rsidRPr="12F1B601">
              <w:rPr>
                <w:rFonts w:asciiTheme="minorHAnsi" w:hAnsiTheme="minorHAnsi" w:cstheme="minorBidi"/>
                <w:sz w:val="18"/>
                <w:szCs w:val="18"/>
              </w:rPr>
              <w:t xml:space="preserve">listed osteoporosis medications (alendronate, risedronate and zoledronic acid) for primary prevention of fractures to those under 70 years of age. The PBAC recalled that it was of a mind to support these changes but deferred making a recommendation pending a review of the Medicare Benefits Schedule (MBS) implications, to ensure that the MBS items for bone mineral density (BMD) testing could be aligned with PBS recommendations (PBAC Meeting Outcomes, September 2021 PBAC meeting). </w:t>
            </w:r>
          </w:p>
          <w:p w14:paraId="15554B87" w14:textId="77777777" w:rsidR="009E3EC5" w:rsidRPr="009E3EC5" w:rsidRDefault="009E3EC5" w:rsidP="009E3EC5">
            <w:pPr>
              <w:jc w:val="both"/>
              <w:rPr>
                <w:rFonts w:asciiTheme="minorHAnsi" w:hAnsiTheme="minorHAnsi" w:cstheme="minorHAnsi"/>
                <w:sz w:val="18"/>
                <w:szCs w:val="18"/>
              </w:rPr>
            </w:pPr>
          </w:p>
          <w:p w14:paraId="49DE64FF" w14:textId="45278AFE" w:rsidR="000617D0" w:rsidRPr="000617D0" w:rsidRDefault="000617D0" w:rsidP="009E3EC5">
            <w:pPr>
              <w:pStyle w:val="Heading1"/>
              <w:shd w:val="clear" w:color="auto" w:fill="FFFFFF" w:themeFill="background1"/>
              <w:jc w:val="both"/>
              <w:rPr>
                <w:rFonts w:asciiTheme="minorHAnsi" w:eastAsiaTheme="minorEastAsia" w:hAnsiTheme="minorHAnsi" w:cstheme="minorBidi"/>
                <w:b w:val="0"/>
                <w:sz w:val="18"/>
                <w:szCs w:val="18"/>
                <w14:ligatures w14:val="standardContextual"/>
              </w:rPr>
            </w:pPr>
            <w:r w:rsidRPr="12F1B601">
              <w:rPr>
                <w:rFonts w:asciiTheme="minorHAnsi" w:eastAsiaTheme="minorEastAsia" w:hAnsiTheme="minorHAnsi" w:cstheme="minorBidi"/>
                <w:b w:val="0"/>
                <w:sz w:val="18"/>
                <w:szCs w:val="18"/>
                <w14:ligatures w14:val="standardContextual"/>
              </w:rPr>
              <w:t>The PBAC noted that the Medical Service Advisory Committee (MSAC) Executive requested that a department contracted assessment report (DCAR) be undertaken to review the economic and financial implications associated with amending MBS items for BMD testing to include patients 60-69 years (</w:t>
            </w:r>
            <w:hyperlink r:id="rId8" w:history="1">
              <w:r w:rsidRPr="12F1B601">
                <w:rPr>
                  <w:rStyle w:val="Hyperlink"/>
                  <w:rFonts w:asciiTheme="minorHAnsi" w:eastAsiaTheme="minorEastAsia" w:hAnsiTheme="minorHAnsi" w:cstheme="minorBidi"/>
                  <w:b w:val="0"/>
                  <w:sz w:val="18"/>
                  <w:szCs w:val="18"/>
                  <w14:ligatures w14:val="standardContextual"/>
                </w:rPr>
                <w:t>MSAC 1758 - Expansion of MBS item numbers 12320 &amp; 12322 for bone mineral density testing to include patients aged 60-69 years</w:t>
              </w:r>
            </w:hyperlink>
            <w:r w:rsidRPr="12F1B601">
              <w:rPr>
                <w:rFonts w:asciiTheme="minorHAnsi" w:eastAsiaTheme="minorEastAsia" w:hAnsiTheme="minorHAnsi" w:cstheme="minorBidi"/>
                <w:b w:val="0"/>
                <w:sz w:val="18"/>
                <w:szCs w:val="18"/>
                <w14:ligatures w14:val="standardContextual"/>
              </w:rPr>
              <w:t>). The PBAC noted the DCAR economic evaluation was based on a</w:t>
            </w:r>
            <w:r w:rsidRPr="12F1B601">
              <w:rPr>
                <w:rFonts w:asciiTheme="minorHAnsi" w:hAnsiTheme="minorHAnsi" w:cstheme="minorBidi"/>
                <w:sz w:val="18"/>
                <w:szCs w:val="18"/>
              </w:rPr>
              <w:t xml:space="preserve"> </w:t>
            </w:r>
            <w:r w:rsidRPr="12F1B601">
              <w:rPr>
                <w:rFonts w:asciiTheme="minorHAnsi" w:eastAsiaTheme="minorEastAsia" w:hAnsiTheme="minorHAnsi" w:cstheme="minorBidi"/>
                <w:b w:val="0"/>
                <w:sz w:val="18"/>
                <w:szCs w:val="18"/>
                <w14:ligatures w14:val="standardContextual"/>
              </w:rPr>
              <w:t xml:space="preserve">on a cost-effectiveness analysis (CEA) of universal BMD testing versus no BMD testing in individuals aged 60–69 years, linked to a separate cost-utility analysis (CUA) of early versus delayed osteoporosis treatment. The CUA was based on the risedronate enteric coated (EC) model considered by the PBAC in November 2022 (risedronic acid Public Summary Document (PSD), November 2022 PBAC meeting). The PBAC recalled that it had previously considered the risedronate EC economic model may not be reliable for decision-making, primarily due to concerns regarding the lack of </w:t>
            </w:r>
            <w:r w:rsidRPr="12F1B601">
              <w:rPr>
                <w:rFonts w:asciiTheme="minorHAnsi" w:eastAsiaTheme="minorEastAsia" w:hAnsiTheme="minorHAnsi" w:cstheme="minorBidi"/>
                <w:b w:val="0"/>
                <w:sz w:val="18"/>
                <w:szCs w:val="18"/>
                <w14:ligatures w14:val="standardContextual"/>
              </w:rPr>
              <w:lastRenderedPageBreak/>
              <w:t>BMD testing costs, assumptions of perfect treatment persistence over the 20-year time horizon, use of alendronate as a proxy for risedronate treatment effects and overestimating the cost of fractures occurring in the younger population (para 7.7, risedronic acid PSD, November 2022 PBAC meeting).</w:t>
            </w:r>
            <w:r w:rsidRPr="12F1B601">
              <w:rPr>
                <w:rFonts w:asciiTheme="minorHAnsi" w:hAnsiTheme="minorHAnsi" w:cstheme="minorBidi"/>
                <w:sz w:val="18"/>
                <w:szCs w:val="18"/>
              </w:rPr>
              <w:t xml:space="preserve"> </w:t>
            </w:r>
            <w:r w:rsidRPr="12F1B601">
              <w:rPr>
                <w:rFonts w:asciiTheme="minorHAnsi" w:eastAsiaTheme="minorEastAsia" w:hAnsiTheme="minorHAnsi" w:cstheme="minorBidi"/>
                <w:b w:val="0"/>
                <w:sz w:val="18"/>
                <w:szCs w:val="18"/>
                <w14:ligatures w14:val="standardContextual"/>
              </w:rPr>
              <w:t xml:space="preserve">The PBAC noted that including BMD testing costs in the CUA yielded an ICER ($ per QALY gained) for risedronate EC that was 12 times higher than previously considered by the Committee. The PBAC agreed with the June 2024 PBAC ESC and MSAC ESC (hereafter ‘ESCs’) advice that, in addition to including BMD testing costs, the respecified base case relevant for decision making should incorporate imperfect persistence estimates over a 10 year time horizon with the expansion of BMD testing limited to those 65-69 years of age with no repeat BMD testing. The PBAC noted that the ICERs were high for all modelled drug scenarios using the respecified base case and advised that the expansion of restrictions for osteoporosis therapies to include all individuals aged 65-69 years was not cost-effective. However, the PBAC agreed with the ESCs that alternative high-risk subpopulations within the 65-69 years age band, without repeat testing, would likely have improved cost effectiveness due to a reduction in the number needed to test to identify an additional patient with osteoporosis and the number needed to treat to prevent any fracture. These high risk populations could include those identified using the FRAX tool (with a major osteoporotic fracture risk of ≥ 10% over 10 years) and First Nations people, The PBAC noted that these subpopulations were not modelled in the economic evaluation and advised that consideration be given to investigating the cost-effectiveness of restricting use to these high-risk subpopulations within the 65-69 year age band, identified using the FRAX tool and First Nations people, without repeat testing. </w:t>
            </w:r>
          </w:p>
          <w:p w14:paraId="05D94378" w14:textId="77777777" w:rsidR="009E3EC5" w:rsidRPr="009E3EC5" w:rsidRDefault="009E3EC5" w:rsidP="009E3EC5">
            <w:pPr>
              <w:rPr>
                <w:rFonts w:eastAsiaTheme="minorEastAsia"/>
                <w:lang w:eastAsia="en-US"/>
              </w:rPr>
            </w:pPr>
          </w:p>
          <w:p w14:paraId="04F97149" w14:textId="36604512" w:rsidR="00834DE5" w:rsidRPr="000617D0" w:rsidDel="008F66B5" w:rsidRDefault="000617D0" w:rsidP="000617D0">
            <w:pPr>
              <w:pStyle w:val="Default"/>
              <w:jc w:val="both"/>
              <w:rPr>
                <w:rFonts w:asciiTheme="minorHAnsi" w:hAnsiTheme="minorHAnsi" w:cstheme="minorHAnsi"/>
                <w:sz w:val="18"/>
                <w:szCs w:val="18"/>
              </w:rPr>
            </w:pPr>
            <w:r w:rsidRPr="000617D0">
              <w:rPr>
                <w:rFonts w:asciiTheme="minorHAnsi" w:hAnsiTheme="minorHAnsi" w:cstheme="minorHAnsi"/>
                <w:color w:val="auto"/>
                <w:sz w:val="18"/>
                <w:szCs w:val="18"/>
                <w14:ligatures w14:val="standardContextual"/>
              </w:rPr>
              <w:t xml:space="preserve">In terms of the financial estimates, the PBAC noted that MBS costs account for </w:t>
            </w:r>
            <w:proofErr w:type="gramStart"/>
            <w:r w:rsidRPr="000617D0">
              <w:rPr>
                <w:rFonts w:asciiTheme="minorHAnsi" w:hAnsiTheme="minorHAnsi" w:cstheme="minorHAnsi"/>
                <w:color w:val="auto"/>
                <w:sz w:val="18"/>
                <w:szCs w:val="18"/>
                <w14:ligatures w14:val="standardContextual"/>
              </w:rPr>
              <w:t>the majority of</w:t>
            </w:r>
            <w:proofErr w:type="gramEnd"/>
            <w:r w:rsidRPr="000617D0">
              <w:rPr>
                <w:rFonts w:asciiTheme="minorHAnsi" w:hAnsiTheme="minorHAnsi" w:cstheme="minorHAnsi"/>
                <w:color w:val="auto"/>
                <w:sz w:val="18"/>
                <w:szCs w:val="18"/>
                <w14:ligatures w14:val="standardContextual"/>
              </w:rPr>
              <w:t xml:space="preserve"> the budget impact, with the drug cost for osteoporosis treatment being a smaller component. The PBAC noted that the scenarios based on the 65-69 age band with no repeat testing yielded lower financial impacts to the MBS and PBS/ Repatriation Pharmaceutical Benefits Scheme (RPBS) with further restriction to high-risk subpopulations not modelled in the financial estimates. The PBAC advised that consideration be given to investigating the budget impact of restricting use to high-risk subpopulations within the 65-69 years age band, identified using the FRAX tool and First Nations people, without repeat testing.</w:t>
            </w:r>
          </w:p>
        </w:tc>
      </w:tr>
      <w:tr w:rsidR="00737D49" w:rsidRPr="00470B06" w:rsidDel="008F66B5" w14:paraId="3EB46A01" w14:textId="77777777" w:rsidTr="09543A32">
        <w:trPr>
          <w:cantSplit/>
          <w:trHeight w:val="3181"/>
        </w:trPr>
        <w:tc>
          <w:tcPr>
            <w:tcW w:w="873" w:type="pct"/>
            <w:shd w:val="clear" w:color="auto" w:fill="auto"/>
            <w:vAlign w:val="center"/>
          </w:tcPr>
          <w:p w14:paraId="0DFD2CB9" w14:textId="073B6DE6" w:rsidR="00737D49" w:rsidRPr="00470B06" w:rsidRDefault="00737D49" w:rsidP="00737D49">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lastRenderedPageBreak/>
              <w:t>REVIEW OF ITEMS FOR NURSE PRACTITIONER AND ENDORSED MIDWIFE PRESCRIBING ON THE PHARMACEUTICAL BENEFITS SCHEME</w:t>
            </w:r>
            <w:r w:rsidRPr="00470B06">
              <w:rPr>
                <w:rFonts w:asciiTheme="minorHAnsi" w:hAnsiTheme="minorHAnsi" w:cstheme="minorHAnsi"/>
                <w:color w:val="000000"/>
                <w:sz w:val="18"/>
                <w:szCs w:val="18"/>
              </w:rPr>
              <w:br/>
            </w:r>
            <w:r w:rsidRPr="00470B06">
              <w:rPr>
                <w:rFonts w:asciiTheme="minorHAnsi" w:hAnsiTheme="minorHAnsi" w:cstheme="minorHAnsi"/>
                <w:color w:val="000000"/>
                <w:sz w:val="18"/>
                <w:szCs w:val="18"/>
              </w:rPr>
              <w:br/>
              <w:t>Various forms and strengths</w:t>
            </w:r>
            <w:r w:rsidRPr="00470B06">
              <w:rPr>
                <w:rFonts w:asciiTheme="minorHAnsi" w:hAnsiTheme="minorHAnsi" w:cstheme="minorHAnsi"/>
                <w:color w:val="000000"/>
                <w:sz w:val="18"/>
                <w:szCs w:val="18"/>
              </w:rPr>
              <w:br/>
            </w:r>
            <w:r w:rsidRPr="00470B06">
              <w:rPr>
                <w:rFonts w:asciiTheme="minorHAnsi" w:hAnsiTheme="minorHAnsi" w:cstheme="minorHAnsi"/>
                <w:color w:val="000000"/>
                <w:sz w:val="18"/>
                <w:szCs w:val="18"/>
              </w:rPr>
              <w:br/>
              <w:t>Various brands</w:t>
            </w:r>
            <w:r w:rsidRPr="00470B06">
              <w:rPr>
                <w:rFonts w:asciiTheme="minorHAnsi" w:hAnsiTheme="minorHAnsi" w:cstheme="minorHAnsi"/>
                <w:color w:val="000000"/>
                <w:sz w:val="18"/>
                <w:szCs w:val="18"/>
              </w:rPr>
              <w:br/>
            </w:r>
            <w:r w:rsidRPr="00470B06">
              <w:rPr>
                <w:rFonts w:asciiTheme="minorHAnsi" w:hAnsiTheme="minorHAnsi" w:cstheme="minorHAnsi"/>
                <w:color w:val="000000"/>
                <w:sz w:val="18"/>
                <w:szCs w:val="18"/>
              </w:rPr>
              <w:br/>
              <w:t>Various sponsors</w:t>
            </w:r>
            <w:r w:rsidRPr="00470B06">
              <w:rPr>
                <w:rFonts w:asciiTheme="minorHAnsi" w:hAnsiTheme="minorHAnsi" w:cstheme="minorHAnsi"/>
                <w:color w:val="000000"/>
                <w:sz w:val="18"/>
                <w:szCs w:val="18"/>
              </w:rPr>
              <w:br/>
            </w:r>
            <w:r w:rsidRPr="00470B06">
              <w:rPr>
                <w:rFonts w:asciiTheme="minorHAnsi" w:hAnsiTheme="minorHAnsi" w:cstheme="minorHAnsi"/>
                <w:color w:val="000000"/>
                <w:sz w:val="18"/>
                <w:szCs w:val="18"/>
              </w:rPr>
              <w:br/>
              <w:t xml:space="preserve">(Other </w:t>
            </w:r>
            <w:r w:rsidR="00473E2B">
              <w:rPr>
                <w:rFonts w:asciiTheme="minorHAnsi" w:hAnsiTheme="minorHAnsi" w:cstheme="minorHAnsi"/>
                <w:color w:val="000000"/>
                <w:sz w:val="18"/>
                <w:szCs w:val="18"/>
              </w:rPr>
              <w:t>M</w:t>
            </w:r>
            <w:r w:rsidRPr="00470B06">
              <w:rPr>
                <w:rFonts w:asciiTheme="minorHAnsi" w:hAnsiTheme="minorHAnsi" w:cstheme="minorHAnsi"/>
                <w:color w:val="000000"/>
                <w:sz w:val="18"/>
                <w:szCs w:val="18"/>
              </w:rPr>
              <w:t>atters)</w:t>
            </w:r>
          </w:p>
        </w:tc>
        <w:tc>
          <w:tcPr>
            <w:tcW w:w="552" w:type="pct"/>
            <w:shd w:val="clear" w:color="auto" w:fill="auto"/>
            <w:vAlign w:val="center"/>
          </w:tcPr>
          <w:p w14:paraId="44A97891" w14:textId="421A1846" w:rsidR="00737D49" w:rsidRPr="00470B06" w:rsidRDefault="00737D49" w:rsidP="00737D49">
            <w:pPr>
              <w:jc w:val="center"/>
              <w:rPr>
                <w:rFonts w:asciiTheme="minorHAnsi" w:hAnsiTheme="minorHAnsi" w:cstheme="minorHAnsi"/>
                <w:sz w:val="18"/>
                <w:szCs w:val="18"/>
              </w:rPr>
            </w:pPr>
            <w:r w:rsidRPr="00470B06">
              <w:rPr>
                <w:rFonts w:asciiTheme="minorHAnsi" w:hAnsiTheme="minorHAnsi" w:cstheme="minorHAnsi"/>
                <w:color w:val="000000"/>
                <w:sz w:val="18"/>
                <w:szCs w:val="18"/>
              </w:rPr>
              <w:t>Various medicines</w:t>
            </w:r>
          </w:p>
        </w:tc>
        <w:tc>
          <w:tcPr>
            <w:tcW w:w="922" w:type="pct"/>
            <w:shd w:val="clear" w:color="auto" w:fill="auto"/>
            <w:vAlign w:val="center"/>
          </w:tcPr>
          <w:p w14:paraId="348337D4" w14:textId="7E221ABB" w:rsidR="00737D49" w:rsidRPr="00470B06" w:rsidRDefault="00737D49" w:rsidP="00737D49">
            <w:pPr>
              <w:jc w:val="center"/>
              <w:rPr>
                <w:rFonts w:asciiTheme="minorHAnsi" w:hAnsiTheme="minorHAnsi" w:cstheme="minorHAnsi"/>
                <w:sz w:val="18"/>
                <w:szCs w:val="18"/>
              </w:rPr>
            </w:pPr>
            <w:r w:rsidRPr="00470B06">
              <w:rPr>
                <w:rFonts w:asciiTheme="minorHAnsi" w:hAnsiTheme="minorHAnsi" w:cstheme="minorHAnsi"/>
                <w:color w:val="000000"/>
                <w:sz w:val="18"/>
                <w:szCs w:val="18"/>
              </w:rPr>
              <w:t>To seek the PBAC’s consideration of a list of medicines with a Shared Care Model (SCM) administrative note for nurse practitioner prescribing, and advice on whether the SCM note continues to be appropriate for specific listings.</w:t>
            </w:r>
          </w:p>
        </w:tc>
        <w:tc>
          <w:tcPr>
            <w:tcW w:w="2653" w:type="pct"/>
            <w:shd w:val="clear" w:color="auto" w:fill="auto"/>
            <w:vAlign w:val="center"/>
          </w:tcPr>
          <w:p w14:paraId="5D59FFCF" w14:textId="77777777" w:rsidR="006B1CE8" w:rsidRDefault="006B1CE8" w:rsidP="006B1CE8">
            <w:pPr>
              <w:jc w:val="both"/>
              <w:rPr>
                <w:rFonts w:asciiTheme="minorHAnsi" w:hAnsiTheme="minorHAnsi" w:cstheme="minorHAnsi"/>
                <w:color w:val="000000"/>
                <w:sz w:val="18"/>
                <w:szCs w:val="18"/>
              </w:rPr>
            </w:pPr>
            <w:r w:rsidRPr="006B1CE8">
              <w:rPr>
                <w:rFonts w:asciiTheme="minorHAnsi" w:hAnsiTheme="minorHAnsi" w:cstheme="minorHAnsi"/>
                <w:color w:val="000000"/>
                <w:sz w:val="18"/>
                <w:szCs w:val="18"/>
              </w:rPr>
              <w:t>The PBAC reviewed the subset of PBS listings for nurse practitioner prescribing that are subject to an SCM administrative note. In doing so, the PBAC noted the upcoming removal from 1 November 2024 of legislated requirements for nurse practitioners to have specified collaborative arrangements with medical practitioners.</w:t>
            </w:r>
          </w:p>
          <w:p w14:paraId="082612BD" w14:textId="77777777" w:rsidR="006B1CE8" w:rsidRPr="006B1CE8" w:rsidRDefault="006B1CE8" w:rsidP="006B1CE8">
            <w:pPr>
              <w:jc w:val="both"/>
              <w:rPr>
                <w:rFonts w:asciiTheme="minorHAnsi" w:hAnsiTheme="minorHAnsi" w:cstheme="minorHAnsi"/>
                <w:color w:val="000000"/>
                <w:sz w:val="18"/>
                <w:szCs w:val="18"/>
              </w:rPr>
            </w:pPr>
          </w:p>
          <w:p w14:paraId="2901A219" w14:textId="60B78901" w:rsidR="00737D49" w:rsidRPr="00470B06" w:rsidDel="008F66B5" w:rsidRDefault="006B1CE8" w:rsidP="006B1CE8">
            <w:pPr>
              <w:jc w:val="both"/>
              <w:rPr>
                <w:rFonts w:asciiTheme="minorHAnsi" w:hAnsiTheme="minorHAnsi" w:cstheme="minorHAnsi"/>
                <w:sz w:val="18"/>
                <w:szCs w:val="18"/>
              </w:rPr>
            </w:pPr>
            <w:r w:rsidRPr="006B1CE8">
              <w:rPr>
                <w:rFonts w:asciiTheme="minorHAnsi" w:hAnsiTheme="minorHAnsi" w:cstheme="minorHAnsi"/>
                <w:color w:val="000000"/>
                <w:sz w:val="18"/>
                <w:szCs w:val="18"/>
              </w:rPr>
              <w:t>The PBAC noted that professional practice standards for nurse practitioners, together with a nurse practitioner’s individual scope of practice and setting of care, would largely determine the degree of consultation or collaboration that occurs with a medical practitioner irrespective of the presence of the SCM administrative note. The PBAC recommended that the SCM administrative note be removed without further alteration to the PBS restrictions for most listings. For some medicines the PBAC recommended that the SCM administrative note be replaced by a restriction criterion for PBS prescribing by a nurse practitioner requiring the patient’s care to be shared with a medical practitioner or where shared care is intended to occur (e.g. while the patient is waiting to see a specialist). The PBAC made its recommendations with reference to the general guidance principles for determining PBS prescriber eligibility. The PBAC recommended additional PBS restrictions in place of the SCM administrative note mostly for high-risk medicines with a narrow therapeutic index or severe side effects, or where medicines are used for acute conditions with severe consequences.</w:t>
            </w:r>
          </w:p>
        </w:tc>
      </w:tr>
      <w:tr w:rsidR="00834DE5" w:rsidRPr="00470B06" w:rsidDel="008F66B5" w14:paraId="71CBC8DE" w14:textId="58C7292D" w:rsidTr="09543A32">
        <w:trPr>
          <w:cantSplit/>
          <w:trHeight w:val="3181"/>
        </w:trPr>
        <w:tc>
          <w:tcPr>
            <w:tcW w:w="873" w:type="pct"/>
            <w:shd w:val="clear" w:color="auto" w:fill="auto"/>
            <w:vAlign w:val="center"/>
          </w:tcPr>
          <w:p w14:paraId="49851564" w14:textId="77777777" w:rsidR="00834DE5" w:rsidRPr="00470B06" w:rsidRDefault="00834DE5" w:rsidP="00A9440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lastRenderedPageBreak/>
              <w:t xml:space="preserve">SODIUM-GLUCOSE COTRANSPORTER 2 (SGLT2) INHIBITORS FOR THE TREATMENT OF TYPE 2 DIABETES MELLITUS </w:t>
            </w:r>
            <w:r w:rsidRPr="00470B06">
              <w:rPr>
                <w:rFonts w:asciiTheme="minorHAnsi" w:hAnsiTheme="minorHAnsi" w:cstheme="minorHAnsi"/>
                <w:color w:val="000000"/>
                <w:sz w:val="18"/>
                <w:szCs w:val="18"/>
              </w:rPr>
              <w:br/>
            </w:r>
            <w:r w:rsidRPr="00470B06">
              <w:rPr>
                <w:rFonts w:asciiTheme="minorHAnsi" w:hAnsiTheme="minorHAnsi" w:cstheme="minorHAnsi"/>
                <w:color w:val="000000"/>
                <w:sz w:val="18"/>
                <w:szCs w:val="18"/>
              </w:rPr>
              <w:br/>
              <w:t>DAPAGLIFLOZIN</w:t>
            </w:r>
          </w:p>
          <w:p w14:paraId="11926856" w14:textId="77777777" w:rsidR="00834DE5" w:rsidRPr="00470B06" w:rsidRDefault="00834DE5" w:rsidP="00A9440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SAXAGLIPTIN WITH DAPAGLIFLOZIN</w:t>
            </w:r>
          </w:p>
          <w:p w14:paraId="38B957E6" w14:textId="77777777" w:rsidR="00834DE5" w:rsidRPr="00470B06" w:rsidRDefault="00834DE5" w:rsidP="00A9440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DAPAGLIFLOZIN WITH METFORMIN</w:t>
            </w:r>
          </w:p>
          <w:p w14:paraId="396DF649" w14:textId="77777777" w:rsidR="00834DE5" w:rsidRPr="00470B06" w:rsidRDefault="00834DE5" w:rsidP="00A94408">
            <w:pPr>
              <w:jc w:val="center"/>
              <w:rPr>
                <w:rFonts w:asciiTheme="minorHAnsi" w:hAnsiTheme="minorHAnsi" w:cstheme="minorHAnsi"/>
                <w:color w:val="000000"/>
                <w:sz w:val="18"/>
                <w:szCs w:val="18"/>
              </w:rPr>
            </w:pPr>
          </w:p>
          <w:p w14:paraId="4A8E1F4B" w14:textId="77777777" w:rsidR="00834DE5" w:rsidRPr="00470B06" w:rsidRDefault="00834DE5" w:rsidP="00A9440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All forms and strengths</w:t>
            </w:r>
          </w:p>
          <w:p w14:paraId="495352BE" w14:textId="77777777" w:rsidR="00834DE5" w:rsidRPr="00470B06" w:rsidRDefault="00834DE5" w:rsidP="00A94408">
            <w:pPr>
              <w:jc w:val="center"/>
              <w:rPr>
                <w:rFonts w:asciiTheme="minorHAnsi" w:hAnsiTheme="minorHAnsi" w:cstheme="minorHAnsi"/>
                <w:color w:val="000000"/>
                <w:sz w:val="18"/>
                <w:szCs w:val="18"/>
              </w:rPr>
            </w:pPr>
          </w:p>
          <w:p w14:paraId="1C9A1C57" w14:textId="77777777" w:rsidR="00834DE5" w:rsidRPr="00470B06" w:rsidRDefault="00834DE5" w:rsidP="00A9440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Forxiga</w:t>
            </w:r>
            <w:r w:rsidRPr="00EB2952">
              <w:rPr>
                <w:rFonts w:asciiTheme="minorHAnsi" w:hAnsiTheme="minorHAnsi" w:cstheme="minorHAnsi"/>
                <w:color w:val="000000"/>
                <w:sz w:val="18"/>
                <w:szCs w:val="18"/>
              </w:rPr>
              <w:t>®</w:t>
            </w:r>
          </w:p>
          <w:p w14:paraId="5F3DFCDC" w14:textId="77777777" w:rsidR="00834DE5" w:rsidRPr="00470B06" w:rsidRDefault="00834DE5" w:rsidP="00A94408">
            <w:pPr>
              <w:jc w:val="center"/>
              <w:rPr>
                <w:rFonts w:asciiTheme="minorHAnsi" w:hAnsiTheme="minorHAnsi" w:cstheme="minorHAnsi"/>
                <w:color w:val="000000"/>
                <w:sz w:val="18"/>
                <w:szCs w:val="18"/>
              </w:rPr>
            </w:pPr>
            <w:proofErr w:type="spellStart"/>
            <w:r w:rsidRPr="00470B06">
              <w:rPr>
                <w:rFonts w:asciiTheme="minorHAnsi" w:hAnsiTheme="minorHAnsi" w:cstheme="minorHAnsi"/>
                <w:color w:val="000000"/>
                <w:sz w:val="18"/>
                <w:szCs w:val="18"/>
              </w:rPr>
              <w:t>Qtern</w:t>
            </w:r>
            <w:proofErr w:type="spellEnd"/>
            <w:r w:rsidRPr="00EB2952">
              <w:rPr>
                <w:rFonts w:asciiTheme="minorHAnsi" w:hAnsiTheme="minorHAnsi" w:cstheme="minorHAnsi"/>
                <w:color w:val="000000"/>
                <w:sz w:val="18"/>
                <w:szCs w:val="18"/>
              </w:rPr>
              <w:t>®</w:t>
            </w:r>
            <w:r w:rsidRPr="00470B06">
              <w:rPr>
                <w:rFonts w:asciiTheme="minorHAnsi" w:hAnsiTheme="minorHAnsi" w:cstheme="minorHAnsi"/>
                <w:color w:val="000000"/>
                <w:sz w:val="18"/>
                <w:szCs w:val="18"/>
              </w:rPr>
              <w:t xml:space="preserve"> 5/10</w:t>
            </w:r>
          </w:p>
          <w:p w14:paraId="681A7A28" w14:textId="77777777" w:rsidR="00834DE5" w:rsidRPr="00470B06" w:rsidRDefault="00834DE5" w:rsidP="00A94408">
            <w:pPr>
              <w:jc w:val="center"/>
              <w:rPr>
                <w:rFonts w:asciiTheme="minorHAnsi" w:hAnsiTheme="minorHAnsi" w:cstheme="minorHAnsi"/>
                <w:color w:val="000000"/>
                <w:sz w:val="18"/>
                <w:szCs w:val="18"/>
              </w:rPr>
            </w:pPr>
            <w:proofErr w:type="spellStart"/>
            <w:r w:rsidRPr="00470B06">
              <w:rPr>
                <w:rFonts w:asciiTheme="minorHAnsi" w:hAnsiTheme="minorHAnsi" w:cstheme="minorHAnsi"/>
                <w:color w:val="000000"/>
                <w:sz w:val="18"/>
                <w:szCs w:val="18"/>
              </w:rPr>
              <w:t>Xigduo</w:t>
            </w:r>
            <w:proofErr w:type="spellEnd"/>
            <w:r w:rsidRPr="00EB2952">
              <w:rPr>
                <w:rFonts w:asciiTheme="minorHAnsi" w:hAnsiTheme="minorHAnsi" w:cstheme="minorHAnsi"/>
                <w:color w:val="000000"/>
                <w:sz w:val="18"/>
                <w:szCs w:val="18"/>
              </w:rPr>
              <w:t>®</w:t>
            </w:r>
            <w:r w:rsidRPr="00470B06">
              <w:rPr>
                <w:rFonts w:asciiTheme="minorHAnsi" w:hAnsiTheme="minorHAnsi" w:cstheme="minorHAnsi"/>
                <w:color w:val="000000"/>
                <w:sz w:val="18"/>
                <w:szCs w:val="18"/>
              </w:rPr>
              <w:t xml:space="preserve"> XR</w:t>
            </w:r>
          </w:p>
          <w:p w14:paraId="5ACD427F" w14:textId="77777777" w:rsidR="00834DE5" w:rsidRPr="00470B06" w:rsidRDefault="00834DE5" w:rsidP="00A94408">
            <w:pPr>
              <w:jc w:val="center"/>
              <w:rPr>
                <w:rFonts w:asciiTheme="minorHAnsi" w:hAnsiTheme="minorHAnsi" w:cstheme="minorHAnsi"/>
                <w:color w:val="000000"/>
                <w:sz w:val="18"/>
                <w:szCs w:val="18"/>
              </w:rPr>
            </w:pPr>
          </w:p>
          <w:p w14:paraId="0F7CE68B" w14:textId="77777777" w:rsidR="00834DE5" w:rsidRPr="00470B06" w:rsidRDefault="00834DE5" w:rsidP="00A9440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ASTRAZENECA PTY LTD</w:t>
            </w:r>
          </w:p>
          <w:p w14:paraId="45A52542" w14:textId="77777777" w:rsidR="00834DE5" w:rsidRPr="00470B06" w:rsidRDefault="00834DE5" w:rsidP="00A94408">
            <w:pPr>
              <w:jc w:val="center"/>
              <w:rPr>
                <w:rFonts w:asciiTheme="minorHAnsi" w:hAnsiTheme="minorHAnsi" w:cstheme="minorHAnsi"/>
                <w:color w:val="000000"/>
                <w:sz w:val="18"/>
                <w:szCs w:val="18"/>
              </w:rPr>
            </w:pPr>
          </w:p>
          <w:p w14:paraId="6B9328BE" w14:textId="77777777" w:rsidR="00834DE5" w:rsidRPr="00470B06" w:rsidRDefault="00834DE5" w:rsidP="00A9440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EMPAGLIFLOZIN</w:t>
            </w:r>
          </w:p>
          <w:p w14:paraId="078F0414" w14:textId="77777777" w:rsidR="00834DE5" w:rsidRPr="00470B06" w:rsidRDefault="00834DE5" w:rsidP="00A9440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EMPAGLIFOZIN WITH LINAGLIPTIN</w:t>
            </w:r>
          </w:p>
          <w:p w14:paraId="149C1AE8" w14:textId="77777777" w:rsidR="00834DE5" w:rsidRPr="00470B06" w:rsidRDefault="00834DE5" w:rsidP="00A9440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EMPAGLIFLOZIN WITH METFORMIN</w:t>
            </w:r>
          </w:p>
          <w:p w14:paraId="43C0ED21" w14:textId="77777777" w:rsidR="00834DE5" w:rsidRPr="00470B06" w:rsidRDefault="00834DE5" w:rsidP="00A94408">
            <w:pPr>
              <w:jc w:val="center"/>
              <w:rPr>
                <w:rFonts w:asciiTheme="minorHAnsi" w:hAnsiTheme="minorHAnsi" w:cstheme="minorHAnsi"/>
                <w:color w:val="000000"/>
                <w:sz w:val="18"/>
                <w:szCs w:val="18"/>
              </w:rPr>
            </w:pPr>
          </w:p>
          <w:p w14:paraId="5B55E354" w14:textId="77777777" w:rsidR="00834DE5" w:rsidRPr="00470B06" w:rsidRDefault="00834DE5" w:rsidP="00A9440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All forms and strengths</w:t>
            </w:r>
          </w:p>
          <w:p w14:paraId="08FEED47" w14:textId="77777777" w:rsidR="00834DE5" w:rsidRPr="00470B06" w:rsidRDefault="00834DE5" w:rsidP="00A94408">
            <w:pPr>
              <w:jc w:val="center"/>
              <w:rPr>
                <w:rFonts w:asciiTheme="minorHAnsi" w:hAnsiTheme="minorHAnsi" w:cstheme="minorHAnsi"/>
                <w:color w:val="000000"/>
                <w:sz w:val="18"/>
                <w:szCs w:val="18"/>
              </w:rPr>
            </w:pPr>
          </w:p>
          <w:p w14:paraId="36E17584" w14:textId="77777777" w:rsidR="00834DE5" w:rsidRPr="00470B06" w:rsidRDefault="00834DE5" w:rsidP="00A9440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Jardiance</w:t>
            </w:r>
            <w:r w:rsidRPr="00A77164">
              <w:rPr>
                <w:rFonts w:asciiTheme="minorHAnsi" w:hAnsiTheme="minorHAnsi" w:cstheme="minorHAnsi"/>
                <w:color w:val="000000"/>
                <w:sz w:val="18"/>
                <w:szCs w:val="18"/>
              </w:rPr>
              <w:t>®</w:t>
            </w:r>
          </w:p>
          <w:p w14:paraId="02660FB1" w14:textId="77777777" w:rsidR="00834DE5" w:rsidRPr="00470B06" w:rsidRDefault="00834DE5" w:rsidP="00A94408">
            <w:pPr>
              <w:jc w:val="center"/>
              <w:rPr>
                <w:rFonts w:asciiTheme="minorHAnsi" w:hAnsiTheme="minorHAnsi" w:cstheme="minorHAnsi"/>
                <w:color w:val="000000"/>
                <w:sz w:val="18"/>
                <w:szCs w:val="18"/>
              </w:rPr>
            </w:pPr>
            <w:proofErr w:type="spellStart"/>
            <w:r w:rsidRPr="00470B06">
              <w:rPr>
                <w:rFonts w:asciiTheme="minorHAnsi" w:hAnsiTheme="minorHAnsi" w:cstheme="minorHAnsi"/>
                <w:color w:val="000000"/>
                <w:sz w:val="18"/>
                <w:szCs w:val="18"/>
              </w:rPr>
              <w:t>Glyxambi</w:t>
            </w:r>
            <w:proofErr w:type="spellEnd"/>
            <w:r w:rsidRPr="00EB2952">
              <w:rPr>
                <w:rFonts w:asciiTheme="minorHAnsi" w:hAnsiTheme="minorHAnsi" w:cstheme="minorHAnsi"/>
                <w:color w:val="000000"/>
                <w:sz w:val="18"/>
                <w:szCs w:val="18"/>
              </w:rPr>
              <w:t>®</w:t>
            </w:r>
          </w:p>
          <w:p w14:paraId="20749866" w14:textId="77777777" w:rsidR="00834DE5" w:rsidRPr="00470B06" w:rsidRDefault="00834DE5" w:rsidP="00A9440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Jardiamet</w:t>
            </w:r>
            <w:r w:rsidRPr="00EB2952">
              <w:rPr>
                <w:rFonts w:asciiTheme="minorHAnsi" w:hAnsiTheme="minorHAnsi" w:cstheme="minorHAnsi"/>
                <w:color w:val="000000"/>
                <w:sz w:val="18"/>
                <w:szCs w:val="18"/>
              </w:rPr>
              <w:t>®</w:t>
            </w:r>
          </w:p>
          <w:p w14:paraId="34074325" w14:textId="77777777" w:rsidR="00834DE5" w:rsidRPr="00470B06" w:rsidRDefault="00834DE5" w:rsidP="00A94408">
            <w:pPr>
              <w:jc w:val="center"/>
              <w:rPr>
                <w:rFonts w:asciiTheme="minorHAnsi" w:hAnsiTheme="minorHAnsi" w:cstheme="minorHAnsi"/>
                <w:color w:val="000000"/>
                <w:sz w:val="18"/>
                <w:szCs w:val="18"/>
              </w:rPr>
            </w:pPr>
          </w:p>
          <w:p w14:paraId="15A7B4DE" w14:textId="77777777" w:rsidR="00834DE5" w:rsidRPr="00470B06" w:rsidRDefault="00834DE5" w:rsidP="00A94408">
            <w:pPr>
              <w:jc w:val="center"/>
              <w:rPr>
                <w:rFonts w:asciiTheme="minorHAnsi" w:hAnsiTheme="minorHAnsi" w:cstheme="minorHAnsi"/>
                <w:color w:val="000000"/>
                <w:sz w:val="18"/>
                <w:szCs w:val="18"/>
              </w:rPr>
            </w:pPr>
            <w:r w:rsidRPr="00470B06">
              <w:rPr>
                <w:rFonts w:asciiTheme="minorHAnsi" w:hAnsiTheme="minorHAnsi" w:cstheme="minorHAnsi"/>
                <w:color w:val="000000"/>
                <w:sz w:val="18"/>
                <w:szCs w:val="18"/>
              </w:rPr>
              <w:t>BOEHRINGER INGELHEIM PTY LTD</w:t>
            </w:r>
          </w:p>
          <w:p w14:paraId="16E9B746" w14:textId="77777777" w:rsidR="00051F8F" w:rsidRDefault="00051F8F" w:rsidP="00A94408">
            <w:pPr>
              <w:jc w:val="center"/>
              <w:rPr>
                <w:rFonts w:asciiTheme="minorHAnsi" w:hAnsiTheme="minorHAnsi" w:cstheme="minorHAnsi"/>
                <w:color w:val="000000"/>
                <w:sz w:val="18"/>
                <w:szCs w:val="18"/>
              </w:rPr>
            </w:pPr>
          </w:p>
          <w:p w14:paraId="78252040" w14:textId="5D88C37F" w:rsidR="00834DE5" w:rsidRPr="00470B06" w:rsidDel="008F66B5" w:rsidRDefault="00051F8F" w:rsidP="00A94408">
            <w:pPr>
              <w:jc w:val="center"/>
              <w:rPr>
                <w:rFonts w:asciiTheme="minorHAnsi" w:hAnsiTheme="minorHAnsi" w:cstheme="minorHAnsi"/>
                <w:color w:val="000000" w:themeColor="text1"/>
                <w:sz w:val="18"/>
                <w:szCs w:val="18"/>
              </w:rPr>
            </w:pPr>
            <w:r>
              <w:rPr>
                <w:rFonts w:asciiTheme="minorHAnsi" w:hAnsiTheme="minorHAnsi" w:cstheme="minorHAnsi"/>
                <w:color w:val="000000"/>
                <w:sz w:val="18"/>
                <w:szCs w:val="18"/>
              </w:rPr>
              <w:t xml:space="preserve">Other </w:t>
            </w:r>
            <w:r w:rsidR="00473E2B">
              <w:rPr>
                <w:rFonts w:asciiTheme="minorHAnsi" w:hAnsiTheme="minorHAnsi" w:cstheme="minorHAnsi"/>
                <w:color w:val="000000"/>
                <w:sz w:val="18"/>
                <w:szCs w:val="18"/>
              </w:rPr>
              <w:t>M</w:t>
            </w:r>
            <w:r>
              <w:rPr>
                <w:rFonts w:asciiTheme="minorHAnsi" w:hAnsiTheme="minorHAnsi" w:cstheme="minorHAnsi"/>
                <w:color w:val="000000"/>
                <w:sz w:val="18"/>
                <w:szCs w:val="18"/>
              </w:rPr>
              <w:t>atters</w:t>
            </w:r>
            <w:r w:rsidR="00834DE5" w:rsidRPr="00470B06">
              <w:rPr>
                <w:rFonts w:asciiTheme="minorHAnsi" w:hAnsiTheme="minorHAnsi" w:cstheme="minorHAnsi"/>
                <w:color w:val="000000"/>
                <w:sz w:val="18"/>
                <w:szCs w:val="18"/>
              </w:rPr>
              <w:br/>
              <w:t>(Change to existing listing)</w:t>
            </w:r>
          </w:p>
        </w:tc>
        <w:tc>
          <w:tcPr>
            <w:tcW w:w="552" w:type="pct"/>
            <w:shd w:val="clear" w:color="auto" w:fill="auto"/>
            <w:vAlign w:val="center"/>
          </w:tcPr>
          <w:p w14:paraId="43533EDF" w14:textId="6905963A" w:rsidR="00834DE5" w:rsidRPr="00470B06" w:rsidDel="008F66B5" w:rsidRDefault="00834DE5" w:rsidP="00A94408">
            <w:pPr>
              <w:jc w:val="center"/>
              <w:rPr>
                <w:rFonts w:asciiTheme="minorHAnsi" w:hAnsiTheme="minorHAnsi" w:cstheme="minorHAnsi"/>
                <w:sz w:val="18"/>
                <w:szCs w:val="18"/>
              </w:rPr>
            </w:pPr>
            <w:r w:rsidRPr="00470B06">
              <w:rPr>
                <w:rFonts w:asciiTheme="minorHAnsi" w:hAnsiTheme="minorHAnsi" w:cstheme="minorHAnsi"/>
                <w:sz w:val="18"/>
                <w:szCs w:val="18"/>
              </w:rPr>
              <w:t>Type 2 diabetes mellitus (T2DM)</w:t>
            </w:r>
          </w:p>
        </w:tc>
        <w:tc>
          <w:tcPr>
            <w:tcW w:w="922" w:type="pct"/>
            <w:shd w:val="clear" w:color="auto" w:fill="auto"/>
            <w:vAlign w:val="center"/>
          </w:tcPr>
          <w:p w14:paraId="6B9FC228" w14:textId="166124EF" w:rsidR="00834DE5" w:rsidRPr="00470B06" w:rsidDel="008F66B5" w:rsidRDefault="00834DE5" w:rsidP="00A94408">
            <w:pPr>
              <w:jc w:val="center"/>
              <w:rPr>
                <w:rFonts w:asciiTheme="minorHAnsi" w:hAnsiTheme="minorHAnsi" w:cstheme="minorHAnsi"/>
                <w:snapToGrid w:val="0"/>
                <w:sz w:val="18"/>
                <w:szCs w:val="18"/>
              </w:rPr>
            </w:pPr>
            <w:r w:rsidRPr="00470B06">
              <w:rPr>
                <w:rFonts w:asciiTheme="minorHAnsi" w:hAnsiTheme="minorHAnsi" w:cstheme="minorHAnsi"/>
                <w:sz w:val="18"/>
                <w:szCs w:val="18"/>
              </w:rPr>
              <w:t>To request the PBAC reconsider its March 2022 recommendation and the estimated costs for SGLT2 inhibitors (dapagliflozin and empagliflozin) to be listed as add-on therapy to metformin for the treatment of T2DM patients with cardiovascular disease or high cardiovascular risk</w:t>
            </w:r>
          </w:p>
        </w:tc>
        <w:tc>
          <w:tcPr>
            <w:tcW w:w="2653" w:type="pct"/>
            <w:shd w:val="clear" w:color="auto" w:fill="auto"/>
            <w:vAlign w:val="center"/>
          </w:tcPr>
          <w:p w14:paraId="1E908B6D" w14:textId="77777777" w:rsidR="003E1613" w:rsidRDefault="009E3EC5" w:rsidP="009E3EC5">
            <w:pPr>
              <w:jc w:val="both"/>
              <w:rPr>
                <w:rFonts w:ascii="Calibri" w:hAnsi="Calibri" w:cs="Calibri"/>
                <w:color w:val="000000"/>
                <w:sz w:val="18"/>
                <w:szCs w:val="18"/>
              </w:rPr>
            </w:pPr>
            <w:r w:rsidRPr="003E1613">
              <w:rPr>
                <w:rFonts w:ascii="Calibri" w:hAnsi="Calibri" w:cs="Calibri"/>
                <w:color w:val="000000"/>
                <w:sz w:val="18"/>
                <w:szCs w:val="18"/>
              </w:rPr>
              <w:t xml:space="preserve">The PBAC confirmed it recommendation from March 2022 that the PBS listings for sodium-glucose cotransporter 2 (SGLT2) inhibitors be expanded to include add-on therapy to metformin for patients with type 2 diabetes mellitus (T2DM) and established cardiovascular disease or high cardiovascular risk, without the requirement to have a specific unmet glycaemic target. The PBAC considered that the cost-effectiveness of expanding the listings for SGLT2 inhibitors was acceptable with a 15% price reduction to the cost of SGLT2 inhibitors for T2DM indications. </w:t>
            </w:r>
          </w:p>
          <w:p w14:paraId="325E0B63" w14:textId="77777777" w:rsidR="003E1613" w:rsidRDefault="003E1613" w:rsidP="009E3EC5">
            <w:pPr>
              <w:jc w:val="both"/>
              <w:rPr>
                <w:rFonts w:ascii="Calibri" w:hAnsi="Calibri" w:cs="Calibri"/>
                <w:color w:val="000000"/>
                <w:sz w:val="18"/>
                <w:szCs w:val="18"/>
              </w:rPr>
            </w:pPr>
          </w:p>
          <w:p w14:paraId="38878EE8" w14:textId="2E955802" w:rsidR="009E3EC5" w:rsidRPr="003E1613" w:rsidRDefault="009E3EC5" w:rsidP="009E3EC5">
            <w:pPr>
              <w:jc w:val="both"/>
              <w:rPr>
                <w:rFonts w:ascii="Calibri" w:hAnsi="Calibri" w:cs="Calibri"/>
                <w:color w:val="000000"/>
                <w:sz w:val="18"/>
                <w:szCs w:val="18"/>
              </w:rPr>
            </w:pPr>
            <w:r w:rsidRPr="003E1613">
              <w:rPr>
                <w:rFonts w:ascii="Calibri" w:hAnsi="Calibri" w:cs="Calibri"/>
                <w:color w:val="000000"/>
                <w:sz w:val="18"/>
                <w:szCs w:val="18"/>
              </w:rPr>
              <w:t>The PBAC noted the revised inputs and assumptions used to estimate the PBS usage and financial implications for the expanded SGLT2 inhibitor listings and did not specify any changes to the base case model. The PBAC considered that overall, while still uncertain, the revised cost estimates were reasonable.</w:t>
            </w:r>
          </w:p>
          <w:p w14:paraId="713F4729" w14:textId="77777777" w:rsidR="009E3EC5" w:rsidRPr="003E1613" w:rsidRDefault="009E3EC5" w:rsidP="009E3EC5">
            <w:pPr>
              <w:jc w:val="both"/>
              <w:rPr>
                <w:rFonts w:ascii="Calibri" w:hAnsi="Calibri" w:cs="Calibri"/>
                <w:color w:val="000000"/>
                <w:sz w:val="18"/>
                <w:szCs w:val="18"/>
              </w:rPr>
            </w:pPr>
          </w:p>
          <w:p w14:paraId="6AE86DDE" w14:textId="43821A7F" w:rsidR="00834DE5" w:rsidRPr="003E1613" w:rsidDel="008F66B5" w:rsidRDefault="009E3EC5" w:rsidP="009E3EC5">
            <w:pPr>
              <w:jc w:val="both"/>
              <w:rPr>
                <w:rFonts w:ascii="Calibri" w:hAnsi="Calibri" w:cs="Calibri"/>
                <w:color w:val="000000"/>
                <w:sz w:val="18"/>
                <w:szCs w:val="18"/>
              </w:rPr>
            </w:pPr>
            <w:r w:rsidRPr="003E1613">
              <w:rPr>
                <w:rFonts w:ascii="Calibri" w:hAnsi="Calibri" w:cs="Calibri"/>
                <w:color w:val="000000"/>
                <w:sz w:val="18"/>
                <w:szCs w:val="18"/>
              </w:rPr>
              <w:t>The PBAC recommended that the expanded SGLT2 inhibitor listings were suitable for inclusion in the increased maximum dispensed quantity (MDQ) measure.</w:t>
            </w:r>
          </w:p>
        </w:tc>
      </w:tr>
      <w:tr w:rsidR="007807EA" w:rsidRPr="00470B06" w:rsidDel="008F66B5" w14:paraId="0DA9C041" w14:textId="77777777" w:rsidTr="000E2097">
        <w:trPr>
          <w:cantSplit/>
          <w:trHeight w:val="3181"/>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086BBAF0" w14:textId="77777777" w:rsidR="00A24A31" w:rsidRPr="006B721B" w:rsidRDefault="00A24A31" w:rsidP="00A24A31">
            <w:pPr>
              <w:jc w:val="center"/>
              <w:rPr>
                <w:rFonts w:ascii="Calibri" w:hAnsi="Calibri" w:cs="Calibri"/>
                <w:color w:val="000000"/>
                <w:sz w:val="18"/>
                <w:szCs w:val="18"/>
              </w:rPr>
            </w:pPr>
            <w:r w:rsidRPr="006B721B">
              <w:rPr>
                <w:rFonts w:ascii="Calibri" w:hAnsi="Calibri" w:cs="Calibri"/>
                <w:color w:val="000000"/>
                <w:sz w:val="18"/>
                <w:szCs w:val="18"/>
              </w:rPr>
              <w:lastRenderedPageBreak/>
              <w:t>TESTOSTERONE</w:t>
            </w:r>
          </w:p>
          <w:p w14:paraId="3292B3C3" w14:textId="77777777" w:rsidR="006B721B" w:rsidRDefault="006B721B" w:rsidP="00A24A31">
            <w:pPr>
              <w:jc w:val="center"/>
              <w:rPr>
                <w:rFonts w:ascii="Calibri" w:hAnsi="Calibri" w:cs="Calibri"/>
                <w:color w:val="000000"/>
                <w:sz w:val="18"/>
                <w:szCs w:val="18"/>
              </w:rPr>
            </w:pPr>
          </w:p>
          <w:p w14:paraId="445722FB" w14:textId="0EE27DC7" w:rsidR="005A0A74" w:rsidRDefault="005A0A74" w:rsidP="00A24A31">
            <w:pPr>
              <w:jc w:val="center"/>
              <w:rPr>
                <w:rFonts w:ascii="Calibri" w:hAnsi="Calibri" w:cs="Calibri"/>
                <w:color w:val="000000"/>
                <w:sz w:val="18"/>
                <w:szCs w:val="18"/>
              </w:rPr>
            </w:pPr>
            <w:r w:rsidRPr="005A0A74">
              <w:rPr>
                <w:rFonts w:ascii="Calibri" w:hAnsi="Calibri" w:cs="Calibri"/>
                <w:color w:val="000000"/>
                <w:sz w:val="18"/>
                <w:szCs w:val="18"/>
              </w:rPr>
              <w:t>Transdermal cream 50 mg per mL, 50 mL</w:t>
            </w:r>
          </w:p>
          <w:p w14:paraId="1DBBBC23" w14:textId="77777777" w:rsidR="005A0A74" w:rsidRPr="006B721B" w:rsidRDefault="005A0A74" w:rsidP="00A24A31">
            <w:pPr>
              <w:jc w:val="center"/>
              <w:rPr>
                <w:rFonts w:ascii="Calibri" w:hAnsi="Calibri" w:cs="Calibri"/>
                <w:color w:val="000000"/>
                <w:sz w:val="18"/>
                <w:szCs w:val="18"/>
              </w:rPr>
            </w:pPr>
          </w:p>
          <w:p w14:paraId="45CD7846" w14:textId="768BF82F" w:rsidR="006B721B" w:rsidRPr="006B721B" w:rsidRDefault="00A82548" w:rsidP="00A94408">
            <w:pPr>
              <w:jc w:val="center"/>
              <w:rPr>
                <w:rFonts w:asciiTheme="minorHAnsi" w:hAnsiTheme="minorHAnsi" w:cstheme="minorHAnsi"/>
                <w:color w:val="000000"/>
                <w:sz w:val="18"/>
                <w:szCs w:val="18"/>
              </w:rPr>
            </w:pPr>
            <w:proofErr w:type="spellStart"/>
            <w:r w:rsidRPr="006B721B">
              <w:rPr>
                <w:rFonts w:asciiTheme="minorHAnsi" w:hAnsiTheme="minorHAnsi" w:cstheme="minorHAnsi"/>
                <w:color w:val="000000"/>
                <w:sz w:val="18"/>
                <w:szCs w:val="18"/>
              </w:rPr>
              <w:t>AndroForte</w:t>
            </w:r>
            <w:proofErr w:type="spellEnd"/>
            <w:r w:rsidRPr="006B721B">
              <w:rPr>
                <w:rFonts w:asciiTheme="minorHAnsi" w:hAnsiTheme="minorHAnsi" w:cstheme="minorHAnsi"/>
                <w:color w:val="000000"/>
                <w:sz w:val="18"/>
                <w:szCs w:val="18"/>
              </w:rPr>
              <w:t>® 5</w:t>
            </w:r>
          </w:p>
          <w:p w14:paraId="598F941D" w14:textId="77777777" w:rsidR="006B721B" w:rsidRPr="006B721B" w:rsidRDefault="006B721B" w:rsidP="00A94408">
            <w:pPr>
              <w:jc w:val="center"/>
              <w:rPr>
                <w:rFonts w:asciiTheme="minorHAnsi" w:hAnsiTheme="minorHAnsi" w:cstheme="minorHAnsi"/>
                <w:color w:val="000000"/>
                <w:sz w:val="18"/>
                <w:szCs w:val="18"/>
              </w:rPr>
            </w:pPr>
          </w:p>
          <w:p w14:paraId="19A46C50" w14:textId="41070812" w:rsidR="00834DE5" w:rsidRPr="006B721B" w:rsidRDefault="00A82548" w:rsidP="00A94408">
            <w:pPr>
              <w:jc w:val="center"/>
              <w:rPr>
                <w:rFonts w:asciiTheme="minorHAnsi" w:hAnsiTheme="minorHAnsi" w:cstheme="minorHAnsi"/>
                <w:color w:val="000000"/>
                <w:sz w:val="18"/>
                <w:szCs w:val="18"/>
              </w:rPr>
            </w:pPr>
            <w:r w:rsidRPr="006B721B">
              <w:rPr>
                <w:rFonts w:asciiTheme="minorHAnsi" w:hAnsiTheme="minorHAnsi" w:cstheme="minorHAnsi"/>
                <w:color w:val="000000"/>
                <w:sz w:val="18"/>
                <w:szCs w:val="18"/>
              </w:rPr>
              <w:t>LAWLEY PHARMACEUTICALS PTY LTD</w:t>
            </w:r>
          </w:p>
          <w:p w14:paraId="3B32EC16" w14:textId="77777777" w:rsidR="006B721B" w:rsidRPr="006B721B" w:rsidRDefault="006B721B" w:rsidP="00A94408">
            <w:pPr>
              <w:jc w:val="center"/>
              <w:rPr>
                <w:rFonts w:asciiTheme="minorHAnsi" w:hAnsiTheme="minorHAnsi" w:cstheme="minorHAnsi"/>
                <w:color w:val="000000"/>
                <w:sz w:val="18"/>
                <w:szCs w:val="18"/>
              </w:rPr>
            </w:pPr>
          </w:p>
          <w:p w14:paraId="0DB74EBE" w14:textId="194560CF" w:rsidR="006B721B" w:rsidRPr="006B721B" w:rsidRDefault="006B721B" w:rsidP="00A94408">
            <w:pPr>
              <w:jc w:val="center"/>
              <w:rPr>
                <w:rFonts w:asciiTheme="minorHAnsi" w:hAnsiTheme="minorHAnsi" w:cstheme="minorHAnsi"/>
                <w:color w:val="000000"/>
                <w:sz w:val="18"/>
                <w:szCs w:val="18"/>
              </w:rPr>
            </w:pPr>
            <w:r w:rsidRPr="006B721B">
              <w:rPr>
                <w:rFonts w:asciiTheme="minorHAnsi" w:hAnsiTheme="minorHAnsi" w:cstheme="minorHAnsi"/>
                <w:color w:val="000000"/>
                <w:sz w:val="18"/>
                <w:szCs w:val="18"/>
              </w:rPr>
              <w:t xml:space="preserve">Other </w:t>
            </w:r>
            <w:r w:rsidR="00473E2B">
              <w:rPr>
                <w:rFonts w:asciiTheme="minorHAnsi" w:hAnsiTheme="minorHAnsi" w:cstheme="minorHAnsi"/>
                <w:color w:val="000000"/>
                <w:sz w:val="18"/>
                <w:szCs w:val="18"/>
              </w:rPr>
              <w:t>M</w:t>
            </w:r>
            <w:r w:rsidRPr="006B721B">
              <w:rPr>
                <w:rFonts w:asciiTheme="minorHAnsi" w:hAnsiTheme="minorHAnsi" w:cstheme="minorHAnsi"/>
                <w:color w:val="000000"/>
                <w:sz w:val="18"/>
                <w:szCs w:val="18"/>
              </w:rPr>
              <w:t>atters</w:t>
            </w:r>
          </w:p>
          <w:p w14:paraId="54800FB8" w14:textId="6AAB7057" w:rsidR="006B721B" w:rsidRPr="00470B06" w:rsidRDefault="006B721B" w:rsidP="00A94408">
            <w:pPr>
              <w:jc w:val="center"/>
              <w:rPr>
                <w:rFonts w:asciiTheme="minorHAnsi" w:hAnsiTheme="minorHAnsi" w:cstheme="minorHAnsi"/>
                <w:color w:val="000000"/>
                <w:sz w:val="18"/>
                <w:szCs w:val="18"/>
              </w:rPr>
            </w:pPr>
            <w:r w:rsidRPr="006B721B">
              <w:rPr>
                <w:rFonts w:asciiTheme="minorHAnsi" w:hAnsiTheme="minorHAnsi" w:cstheme="minorHAnsi"/>
                <w:color w:val="000000"/>
                <w:sz w:val="18"/>
                <w:szCs w:val="18"/>
              </w:rPr>
              <w:t>(Change to existing listing)</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FE7F0C4" w14:textId="6990641C" w:rsidR="00834DE5" w:rsidRPr="00470B06" w:rsidRDefault="00C17ED6" w:rsidP="00A94408">
            <w:pPr>
              <w:jc w:val="center"/>
              <w:rPr>
                <w:rFonts w:asciiTheme="minorHAnsi" w:hAnsiTheme="minorHAnsi" w:cstheme="minorHAnsi"/>
                <w:sz w:val="18"/>
                <w:szCs w:val="18"/>
              </w:rPr>
            </w:pPr>
            <w:r>
              <w:rPr>
                <w:rFonts w:asciiTheme="minorHAnsi" w:hAnsiTheme="minorHAnsi" w:cstheme="minorHAnsi"/>
                <w:sz w:val="18"/>
                <w:szCs w:val="18"/>
              </w:rPr>
              <w:t>Androgen deficiency</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14:paraId="100C70C3" w14:textId="78403A71" w:rsidR="00834DE5" w:rsidRPr="00470B06" w:rsidRDefault="00D754B7" w:rsidP="00A94408">
            <w:pPr>
              <w:jc w:val="center"/>
              <w:rPr>
                <w:rFonts w:asciiTheme="minorHAnsi" w:hAnsiTheme="minorHAnsi" w:cstheme="minorBidi"/>
                <w:sz w:val="18"/>
                <w:szCs w:val="18"/>
              </w:rPr>
            </w:pPr>
            <w:r w:rsidRPr="56B992B3">
              <w:rPr>
                <w:rFonts w:asciiTheme="minorHAnsi" w:hAnsiTheme="minorHAnsi" w:cstheme="minorBidi"/>
                <w:sz w:val="18"/>
                <w:szCs w:val="18"/>
              </w:rPr>
              <w:t xml:space="preserve">To seek the PBAC’s consideration to amend the current PBS listings of </w:t>
            </w:r>
            <w:proofErr w:type="spellStart"/>
            <w:r w:rsidRPr="56B992B3">
              <w:rPr>
                <w:rFonts w:asciiTheme="minorHAnsi" w:hAnsiTheme="minorHAnsi" w:cstheme="minorBidi"/>
                <w:sz w:val="18"/>
                <w:szCs w:val="18"/>
              </w:rPr>
              <w:t>AndroForte</w:t>
            </w:r>
            <w:proofErr w:type="spellEnd"/>
            <w:r w:rsidRPr="56B992B3">
              <w:rPr>
                <w:rFonts w:asciiTheme="minorHAnsi" w:hAnsiTheme="minorHAnsi" w:cstheme="minorBidi"/>
                <w:sz w:val="18"/>
                <w:szCs w:val="18"/>
              </w:rPr>
              <w:t xml:space="preserve"> 5 cream to allow for non-scrotal application.</w:t>
            </w:r>
          </w:p>
        </w:tc>
        <w:tc>
          <w:tcPr>
            <w:tcW w:w="2653" w:type="pct"/>
            <w:tcBorders>
              <w:top w:val="single" w:sz="4" w:space="0" w:color="auto"/>
              <w:left w:val="single" w:sz="4" w:space="0" w:color="auto"/>
              <w:bottom w:val="single" w:sz="4" w:space="0" w:color="auto"/>
              <w:right w:val="single" w:sz="4" w:space="0" w:color="auto"/>
            </w:tcBorders>
            <w:shd w:val="clear" w:color="auto" w:fill="auto"/>
            <w:vAlign w:val="center"/>
          </w:tcPr>
          <w:p w14:paraId="484EAF59" w14:textId="18D5DED0" w:rsidR="00834DE5" w:rsidRPr="00470B06" w:rsidDel="008F66B5" w:rsidRDefault="0095255B" w:rsidP="00A94408">
            <w:pPr>
              <w:widowControl w:val="0"/>
              <w:jc w:val="both"/>
              <w:rPr>
                <w:rFonts w:asciiTheme="minorHAnsi" w:hAnsiTheme="minorHAnsi" w:cstheme="minorHAnsi"/>
                <w:snapToGrid w:val="0"/>
                <w:sz w:val="18"/>
                <w:szCs w:val="18"/>
              </w:rPr>
            </w:pPr>
            <w:r w:rsidRPr="0095255B">
              <w:rPr>
                <w:rFonts w:asciiTheme="minorHAnsi" w:hAnsiTheme="minorHAnsi" w:cstheme="minorHAnsi"/>
                <w:snapToGrid w:val="0"/>
                <w:sz w:val="18"/>
                <w:szCs w:val="18"/>
              </w:rPr>
              <w:t>The PBAC recommended the proposed amendment to the current PBS listings for testosterone transdermal cream 50 mg per mL, 50 mL (</w:t>
            </w:r>
            <w:proofErr w:type="spellStart"/>
            <w:r w:rsidRPr="0095255B">
              <w:rPr>
                <w:rFonts w:asciiTheme="minorHAnsi" w:hAnsiTheme="minorHAnsi" w:cstheme="minorHAnsi"/>
                <w:snapToGrid w:val="0"/>
                <w:sz w:val="18"/>
                <w:szCs w:val="18"/>
              </w:rPr>
              <w:t>AndroForte</w:t>
            </w:r>
            <w:proofErr w:type="spellEnd"/>
            <w:r w:rsidRPr="0095255B">
              <w:rPr>
                <w:rFonts w:asciiTheme="minorHAnsi" w:hAnsiTheme="minorHAnsi" w:cstheme="minorHAnsi"/>
                <w:snapToGrid w:val="0"/>
                <w:sz w:val="18"/>
                <w:szCs w:val="18"/>
              </w:rPr>
              <w:t xml:space="preserve"> 5®), to allow for torso application where scrotal application is not appropriate. The PBAC expressed concern that the changes to the PBS listings for </w:t>
            </w:r>
            <w:proofErr w:type="spellStart"/>
            <w:r w:rsidRPr="0095255B">
              <w:rPr>
                <w:rFonts w:asciiTheme="minorHAnsi" w:hAnsiTheme="minorHAnsi" w:cstheme="minorHAnsi"/>
                <w:snapToGrid w:val="0"/>
                <w:sz w:val="18"/>
                <w:szCs w:val="18"/>
              </w:rPr>
              <w:t>AndroForte</w:t>
            </w:r>
            <w:proofErr w:type="spellEnd"/>
            <w:r w:rsidRPr="0095255B">
              <w:rPr>
                <w:rFonts w:asciiTheme="minorHAnsi" w:hAnsiTheme="minorHAnsi" w:cstheme="minorHAnsi"/>
                <w:snapToGrid w:val="0"/>
                <w:sz w:val="18"/>
                <w:szCs w:val="18"/>
              </w:rPr>
              <w:t xml:space="preserve"> 5 recommended in March 2021 led to unintended barriers to access for some people, and considered this change would rectify access issues. </w:t>
            </w:r>
          </w:p>
        </w:tc>
      </w:tr>
    </w:tbl>
    <w:p w14:paraId="54A973A7" w14:textId="6B8383A1" w:rsidR="00D97548" w:rsidRPr="00E94EC8" w:rsidRDefault="00D97548" w:rsidP="00A94408">
      <w:pPr>
        <w:rPr>
          <w:rFonts w:asciiTheme="minorHAnsi" w:hAnsiTheme="minorHAnsi" w:cstheme="minorHAnsi"/>
        </w:rPr>
      </w:pPr>
    </w:p>
    <w:p w14:paraId="2914E307" w14:textId="57C1AD00" w:rsidR="00440B54" w:rsidRPr="00E94EC8" w:rsidRDefault="00440B54" w:rsidP="00440B54">
      <w:pPr>
        <w:rPr>
          <w:rFonts w:asciiTheme="minorHAnsi" w:hAnsiTheme="minorHAnsi" w:cstheme="minorHAnsi"/>
          <w:sz w:val="18"/>
          <w:szCs w:val="18"/>
        </w:rPr>
      </w:pPr>
      <w:r w:rsidRPr="00E94EC8">
        <w:rPr>
          <w:rFonts w:asciiTheme="minorHAnsi" w:hAnsiTheme="minorHAnsi" w:cstheme="minorHAnsi"/>
          <w:sz w:val="18"/>
          <w:szCs w:val="18"/>
        </w:rPr>
        <w:t xml:space="preserve">Version </w:t>
      </w:r>
      <w:r>
        <w:rPr>
          <w:rFonts w:asciiTheme="minorHAnsi" w:hAnsiTheme="minorHAnsi" w:cstheme="minorHAnsi"/>
          <w:sz w:val="18"/>
          <w:szCs w:val="18"/>
        </w:rPr>
        <w:t>3</w:t>
      </w:r>
    </w:p>
    <w:p w14:paraId="21563F43" w14:textId="77777777" w:rsidR="00440B54" w:rsidRPr="00E94EC8" w:rsidRDefault="00440B54" w:rsidP="00440B54">
      <w:pPr>
        <w:rPr>
          <w:rFonts w:asciiTheme="minorHAnsi" w:hAnsiTheme="minorHAnsi" w:cstheme="minorHAnsi"/>
          <w:sz w:val="18"/>
          <w:szCs w:val="18"/>
        </w:rPr>
      </w:pPr>
      <w:r w:rsidRPr="00E94EC8">
        <w:rPr>
          <w:rFonts w:asciiTheme="minorHAnsi" w:hAnsiTheme="minorHAnsi" w:cstheme="minorHAnsi"/>
          <w:sz w:val="18"/>
          <w:szCs w:val="18"/>
        </w:rPr>
        <w:t>Amendments</w:t>
      </w:r>
    </w:p>
    <w:p w14:paraId="04C5BE44" w14:textId="76A7C96F" w:rsidR="00440B54" w:rsidRPr="00E94EC8" w:rsidDel="008F66B5" w:rsidRDefault="00440B54" w:rsidP="00440B54">
      <w:pPr>
        <w:pStyle w:val="ListParagraph"/>
        <w:numPr>
          <w:ilvl w:val="0"/>
          <w:numId w:val="63"/>
        </w:numPr>
        <w:rPr>
          <w:rFonts w:asciiTheme="minorHAnsi" w:hAnsiTheme="minorHAnsi" w:cstheme="minorHAnsi"/>
          <w:sz w:val="18"/>
          <w:szCs w:val="18"/>
        </w:rPr>
      </w:pPr>
      <w:r w:rsidRPr="00440B54">
        <w:rPr>
          <w:rFonts w:asciiTheme="minorHAnsi" w:hAnsiTheme="minorHAnsi" w:cstheme="minorHAnsi"/>
          <w:sz w:val="18"/>
          <w:szCs w:val="18"/>
        </w:rPr>
        <w:t>LECANEMAB</w:t>
      </w:r>
      <w:r>
        <w:rPr>
          <w:rFonts w:asciiTheme="minorHAnsi" w:hAnsiTheme="minorHAnsi" w:cstheme="minorHAnsi"/>
          <w:sz w:val="18"/>
          <w:szCs w:val="18"/>
        </w:rPr>
        <w:t xml:space="preserve"> (</w:t>
      </w:r>
      <w:proofErr w:type="spellStart"/>
      <w:r w:rsidRPr="00440B54">
        <w:rPr>
          <w:rFonts w:asciiTheme="minorHAnsi" w:hAnsiTheme="minorHAnsi" w:cstheme="minorHAnsi"/>
          <w:sz w:val="18"/>
          <w:szCs w:val="18"/>
        </w:rPr>
        <w:t>Leqembi</w:t>
      </w:r>
      <w:proofErr w:type="spellEnd"/>
      <w:r w:rsidRPr="00440B54">
        <w:rPr>
          <w:rFonts w:asciiTheme="minorHAnsi" w:hAnsiTheme="minorHAnsi" w:cstheme="minorHAnsi"/>
          <w:sz w:val="18"/>
          <w:szCs w:val="18"/>
        </w:rPr>
        <w:t>®</w:t>
      </w:r>
      <w:r>
        <w:rPr>
          <w:rFonts w:asciiTheme="minorHAnsi" w:hAnsiTheme="minorHAnsi" w:cstheme="minorHAnsi"/>
          <w:sz w:val="18"/>
          <w:szCs w:val="18"/>
        </w:rPr>
        <w:t xml:space="preserve">) </w:t>
      </w:r>
      <w:r w:rsidRPr="00E94EC8">
        <w:rPr>
          <w:rFonts w:asciiTheme="minorHAnsi" w:hAnsiTheme="minorHAnsi" w:cstheme="minorHAnsi"/>
          <w:sz w:val="18"/>
          <w:szCs w:val="18"/>
        </w:rPr>
        <w:t xml:space="preserve">- </w:t>
      </w:r>
      <w:r>
        <w:rPr>
          <w:rFonts w:asciiTheme="minorHAnsi" w:hAnsiTheme="minorHAnsi" w:cstheme="minorHAnsi"/>
          <w:sz w:val="18"/>
          <w:szCs w:val="18"/>
        </w:rPr>
        <w:t>Withdrawn</w:t>
      </w:r>
      <w:r w:rsidRPr="00E94EC8">
        <w:rPr>
          <w:rFonts w:asciiTheme="minorHAnsi" w:hAnsiTheme="minorHAnsi" w:cstheme="minorHAnsi"/>
          <w:sz w:val="18"/>
          <w:szCs w:val="18"/>
        </w:rPr>
        <w:t xml:space="preserve">. </w:t>
      </w:r>
    </w:p>
    <w:p w14:paraId="41CE796B" w14:textId="77777777" w:rsidR="00440B54" w:rsidRDefault="00440B54" w:rsidP="00E94EC8">
      <w:pPr>
        <w:rPr>
          <w:rFonts w:asciiTheme="minorHAnsi" w:hAnsiTheme="minorHAnsi" w:cstheme="minorHAnsi"/>
          <w:sz w:val="18"/>
          <w:szCs w:val="18"/>
        </w:rPr>
      </w:pPr>
    </w:p>
    <w:p w14:paraId="60F9F587" w14:textId="597B897A" w:rsidR="00E94EC8" w:rsidRPr="00E94EC8" w:rsidRDefault="00440B54" w:rsidP="00E94EC8">
      <w:pPr>
        <w:rPr>
          <w:rFonts w:asciiTheme="minorHAnsi" w:hAnsiTheme="minorHAnsi" w:cstheme="minorHAnsi"/>
          <w:sz w:val="18"/>
          <w:szCs w:val="18"/>
        </w:rPr>
      </w:pPr>
      <w:r>
        <w:rPr>
          <w:rFonts w:asciiTheme="minorHAnsi" w:hAnsiTheme="minorHAnsi" w:cstheme="minorHAnsi"/>
          <w:sz w:val="18"/>
          <w:szCs w:val="18"/>
        </w:rPr>
        <w:t xml:space="preserve">Previous </w:t>
      </w:r>
      <w:r w:rsidR="00E94EC8" w:rsidRPr="00E94EC8">
        <w:rPr>
          <w:rFonts w:asciiTheme="minorHAnsi" w:hAnsiTheme="minorHAnsi" w:cstheme="minorHAnsi"/>
          <w:sz w:val="18"/>
          <w:szCs w:val="18"/>
        </w:rPr>
        <w:t>Amendments</w:t>
      </w:r>
    </w:p>
    <w:p w14:paraId="2413E4FB" w14:textId="4FD55C77" w:rsidR="004F2E33" w:rsidRPr="00E94EC8" w:rsidDel="008F66B5" w:rsidRDefault="00E94EC8" w:rsidP="00E94EC8">
      <w:pPr>
        <w:pStyle w:val="ListParagraph"/>
        <w:numPr>
          <w:ilvl w:val="0"/>
          <w:numId w:val="63"/>
        </w:numPr>
        <w:rPr>
          <w:rFonts w:asciiTheme="minorHAnsi" w:hAnsiTheme="minorHAnsi" w:cstheme="minorHAnsi"/>
          <w:sz w:val="18"/>
          <w:szCs w:val="18"/>
        </w:rPr>
      </w:pPr>
      <w:r w:rsidRPr="00E94EC8">
        <w:rPr>
          <w:rFonts w:asciiTheme="minorHAnsi" w:hAnsiTheme="minorHAnsi" w:cstheme="minorHAnsi"/>
          <w:sz w:val="18"/>
          <w:szCs w:val="18"/>
        </w:rPr>
        <w:t>BLINATUMOMAB</w:t>
      </w:r>
      <w:r w:rsidR="00440B54">
        <w:rPr>
          <w:rFonts w:asciiTheme="minorHAnsi" w:hAnsiTheme="minorHAnsi" w:cstheme="minorHAnsi"/>
          <w:sz w:val="18"/>
          <w:szCs w:val="18"/>
        </w:rPr>
        <w:t xml:space="preserve"> (</w:t>
      </w:r>
      <w:r w:rsidR="00440B54" w:rsidRPr="00440B54">
        <w:rPr>
          <w:rFonts w:asciiTheme="minorHAnsi" w:hAnsiTheme="minorHAnsi" w:cstheme="minorHAnsi"/>
          <w:sz w:val="18"/>
          <w:szCs w:val="18"/>
        </w:rPr>
        <w:t>Blincyto®</w:t>
      </w:r>
      <w:r w:rsidR="00440B54">
        <w:rPr>
          <w:rFonts w:asciiTheme="minorHAnsi" w:hAnsiTheme="minorHAnsi" w:cstheme="minorHAnsi"/>
          <w:sz w:val="18"/>
          <w:szCs w:val="18"/>
        </w:rPr>
        <w:t>)</w:t>
      </w:r>
      <w:r w:rsidRPr="00E94EC8">
        <w:rPr>
          <w:rFonts w:asciiTheme="minorHAnsi" w:hAnsiTheme="minorHAnsi" w:cstheme="minorHAnsi"/>
          <w:sz w:val="18"/>
          <w:szCs w:val="18"/>
        </w:rPr>
        <w:t xml:space="preserve"> - added PBAC outcome. </w:t>
      </w:r>
    </w:p>
    <w:p w14:paraId="512B736A" w14:textId="134CF7CC" w:rsidR="005C511C" w:rsidRPr="005406D0" w:rsidDel="008F66B5" w:rsidRDefault="005C511C" w:rsidP="00A94408">
      <w:pPr>
        <w:pStyle w:val="Default"/>
        <w:ind w:right="656"/>
        <w:jc w:val="both"/>
        <w:rPr>
          <w:rFonts w:ascii="Arial" w:hAnsi="Arial" w:cs="Arial"/>
          <w:sz w:val="20"/>
          <w:szCs w:val="20"/>
        </w:rPr>
      </w:pPr>
      <w:r w:rsidRPr="20381F86">
        <w:rPr>
          <w:rFonts w:ascii="Arial" w:hAnsi="Arial" w:cs="Arial"/>
          <w:sz w:val="20"/>
          <w:szCs w:val="20"/>
        </w:rPr>
        <w:br w:type="page"/>
      </w:r>
    </w:p>
    <w:p w14:paraId="6B64D1DE" w14:textId="2D89D897" w:rsidR="007F48F6" w:rsidRPr="00292120" w:rsidDel="008F66B5" w:rsidRDefault="007F48F6" w:rsidP="00A94408">
      <w:pPr>
        <w:rPr>
          <w:rFonts w:ascii="Arial" w:hAnsi="Arial" w:cs="Arial"/>
          <w:b/>
          <w:bCs/>
          <w:lang w:val="en-US"/>
        </w:rPr>
      </w:pPr>
      <w:r w:rsidRPr="20381F86">
        <w:rPr>
          <w:rFonts w:ascii="Arial" w:hAnsi="Arial" w:cs="Arial"/>
          <w:b/>
          <w:bCs/>
          <w:lang w:val="en-US"/>
        </w:rPr>
        <w:lastRenderedPageBreak/>
        <w:t>Submission category types</w:t>
      </w:r>
    </w:p>
    <w:p w14:paraId="15D4233E" w14:textId="1C46F133" w:rsidR="007F48F6" w:rsidRPr="00292120" w:rsidDel="008F66B5" w:rsidRDefault="007F48F6" w:rsidP="00A94408">
      <w:pPr>
        <w:rPr>
          <w:rFonts w:ascii="Arial" w:hAnsi="Arial" w:cs="Arial"/>
          <w:b/>
          <w:bCs/>
          <w:lang w:val="en-US"/>
        </w:rPr>
      </w:pPr>
    </w:p>
    <w:tbl>
      <w:tblPr>
        <w:tblStyle w:val="TableGrid"/>
        <w:tblW w:w="14458" w:type="dxa"/>
        <w:tblInd w:w="421" w:type="dxa"/>
        <w:tblLook w:val="04A0" w:firstRow="1" w:lastRow="0" w:firstColumn="1" w:lastColumn="0" w:noHBand="0" w:noVBand="1"/>
      </w:tblPr>
      <w:tblGrid>
        <w:gridCol w:w="1984"/>
        <w:gridCol w:w="12474"/>
      </w:tblGrid>
      <w:tr w:rsidR="007F48F6" w:rsidRPr="00292120" w:rsidDel="008F66B5" w14:paraId="49C9D26F" w14:textId="501D6309" w:rsidTr="20381F86">
        <w:trPr>
          <w:trHeight w:val="300"/>
        </w:trPr>
        <w:tc>
          <w:tcPr>
            <w:tcW w:w="1984" w:type="dxa"/>
          </w:tcPr>
          <w:p w14:paraId="1640FA5D" w14:textId="5A043ED1" w:rsidR="007F48F6" w:rsidRPr="00292120" w:rsidDel="008F66B5" w:rsidRDefault="007F48F6" w:rsidP="00A94408">
            <w:pPr>
              <w:autoSpaceDE w:val="0"/>
              <w:autoSpaceDN w:val="0"/>
              <w:adjustRightInd w:val="0"/>
              <w:rPr>
                <w:rFonts w:ascii="Arial" w:hAnsi="Arial" w:cs="Arial"/>
                <w:b/>
                <w:bCs/>
                <w:lang w:val="en-US"/>
              </w:rPr>
            </w:pPr>
            <w:r w:rsidRPr="20381F86">
              <w:rPr>
                <w:rFonts w:ascii="Arial" w:hAnsi="Arial" w:cs="Arial"/>
                <w:b/>
                <w:bCs/>
                <w:color w:val="000000" w:themeColor="text1"/>
              </w:rPr>
              <w:t>Category 1</w:t>
            </w:r>
          </w:p>
        </w:tc>
        <w:tc>
          <w:tcPr>
            <w:tcW w:w="12474" w:type="dxa"/>
          </w:tcPr>
          <w:p w14:paraId="55D16D51" w14:textId="1C953CA4" w:rsidR="007F48F6" w:rsidRPr="00292120" w:rsidDel="008F66B5" w:rsidRDefault="007F48F6" w:rsidP="00A94408">
            <w:pPr>
              <w:autoSpaceDE w:val="0"/>
              <w:autoSpaceDN w:val="0"/>
              <w:adjustRightInd w:val="0"/>
              <w:rPr>
                <w:rFonts w:ascii="Arial" w:hAnsi="Arial" w:cs="Arial"/>
                <w:b/>
                <w:bCs/>
                <w:color w:val="000000"/>
              </w:rPr>
            </w:pPr>
            <w:r w:rsidRPr="20381F86">
              <w:rPr>
                <w:rFonts w:ascii="Arial" w:hAnsi="Arial" w:cs="Arial"/>
                <w:color w:val="000000" w:themeColor="text1"/>
              </w:rPr>
              <w:t xml:space="preserve">A request for PBS or NIP listing of one or more of the following: </w:t>
            </w:r>
          </w:p>
          <w:p w14:paraId="5E5BAAB8" w14:textId="64CF3868"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A first in class medicine or vaccine, and/or a medicine or vaccine for a new population. OR </w:t>
            </w:r>
          </w:p>
          <w:p w14:paraId="7DB13D11" w14:textId="1D5BF29E"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A drug with a codependent technology that requires an integrated codependent submission to the PBAC and MSAC. OR </w:t>
            </w:r>
          </w:p>
          <w:p w14:paraId="1380A86B" w14:textId="5E2F1AA0" w:rsidR="007F48F6" w:rsidRPr="00292120" w:rsidDel="008F66B5" w:rsidRDefault="007F48F6" w:rsidP="00A94408">
            <w:pPr>
              <w:pStyle w:val="ListParagraph"/>
              <w:numPr>
                <w:ilvl w:val="0"/>
                <w:numId w:val="3"/>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A drug or designated vaccine with a TGA Provisional determination related to the proposed population.</w:t>
            </w:r>
          </w:p>
        </w:tc>
      </w:tr>
      <w:tr w:rsidR="007F48F6" w:rsidRPr="00292120" w:rsidDel="008F66B5" w14:paraId="55E97F75" w14:textId="03BFE596" w:rsidTr="20381F86">
        <w:trPr>
          <w:trHeight w:val="300"/>
        </w:trPr>
        <w:tc>
          <w:tcPr>
            <w:tcW w:w="1984" w:type="dxa"/>
          </w:tcPr>
          <w:p w14:paraId="5E9AC3B0" w14:textId="02795464" w:rsidR="007F48F6" w:rsidRPr="00292120" w:rsidDel="008F66B5" w:rsidRDefault="007F48F6" w:rsidP="00A94408">
            <w:pPr>
              <w:tabs>
                <w:tab w:val="left" w:pos="5210"/>
              </w:tabs>
              <w:rPr>
                <w:rFonts w:ascii="Arial" w:hAnsi="Arial" w:cs="Arial"/>
                <w:b/>
                <w:bCs/>
                <w:lang w:val="en-US"/>
              </w:rPr>
            </w:pPr>
            <w:r w:rsidRPr="20381F86">
              <w:rPr>
                <w:rFonts w:ascii="Arial" w:hAnsi="Arial" w:cs="Arial"/>
                <w:b/>
                <w:bCs/>
              </w:rPr>
              <w:t>Category 2</w:t>
            </w:r>
          </w:p>
        </w:tc>
        <w:tc>
          <w:tcPr>
            <w:tcW w:w="12474" w:type="dxa"/>
          </w:tcPr>
          <w:p w14:paraId="72522F32" w14:textId="07B69D5E" w:rsidR="007F48F6" w:rsidRPr="00292120" w:rsidDel="008F66B5" w:rsidRDefault="007F48F6" w:rsidP="00A94408">
            <w:pPr>
              <w:tabs>
                <w:tab w:val="left" w:pos="5210"/>
              </w:tabs>
              <w:rPr>
                <w:rFonts w:ascii="Arial" w:hAnsi="Arial" w:cs="Arial"/>
              </w:rPr>
            </w:pPr>
            <w:r w:rsidRPr="20381F86">
              <w:rPr>
                <w:rFonts w:ascii="Arial" w:hAnsi="Arial"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7F48F6" w:rsidRPr="00292120" w:rsidDel="008F66B5" w14:paraId="2189A220" w14:textId="61A0DBC9" w:rsidTr="20381F86">
        <w:trPr>
          <w:trHeight w:val="300"/>
        </w:trPr>
        <w:tc>
          <w:tcPr>
            <w:tcW w:w="1984" w:type="dxa"/>
          </w:tcPr>
          <w:p w14:paraId="79CB93BA" w14:textId="26E7B2D7" w:rsidR="007F48F6" w:rsidRPr="00292120" w:rsidDel="008F66B5" w:rsidRDefault="007F48F6" w:rsidP="00A94408">
            <w:pPr>
              <w:tabs>
                <w:tab w:val="left" w:pos="5210"/>
              </w:tabs>
              <w:rPr>
                <w:rFonts w:ascii="Arial" w:hAnsi="Arial" w:cs="Arial"/>
                <w:b/>
                <w:bCs/>
                <w:lang w:val="en-US"/>
              </w:rPr>
            </w:pPr>
            <w:r w:rsidRPr="20381F86">
              <w:rPr>
                <w:rFonts w:ascii="Arial" w:hAnsi="Arial" w:cs="Arial"/>
                <w:b/>
                <w:bCs/>
              </w:rPr>
              <w:t>Category 3</w:t>
            </w:r>
          </w:p>
        </w:tc>
        <w:tc>
          <w:tcPr>
            <w:tcW w:w="12474" w:type="dxa"/>
          </w:tcPr>
          <w:p w14:paraId="11EF39D0" w14:textId="6C5945B9" w:rsidR="007F48F6" w:rsidRPr="00292120" w:rsidDel="008F66B5" w:rsidRDefault="007F48F6" w:rsidP="00A94408">
            <w:pPr>
              <w:tabs>
                <w:tab w:val="left" w:pos="5210"/>
              </w:tabs>
              <w:rPr>
                <w:rFonts w:ascii="Arial" w:hAnsi="Arial" w:cs="Arial"/>
              </w:rPr>
            </w:pPr>
            <w:r w:rsidRPr="20381F86">
              <w:rPr>
                <w:rFonts w:ascii="Arial" w:hAnsi="Arial" w:cs="Arial"/>
              </w:rPr>
              <w:t xml:space="preserve">Requests to change existing listings that do not change the population or </w:t>
            </w:r>
            <w:r w:rsidRPr="00292120" w:rsidDel="008F66B5">
              <w:rPr>
                <w:rFonts w:ascii="Arial" w:hAnsi="Arial" w:cs="Arial"/>
              </w:rPr>
              <w:t>cost</w:t>
            </w:r>
            <w:r w:rsidR="00884764">
              <w:rPr>
                <w:rFonts w:ascii="Arial" w:hAnsi="Arial" w:cs="Arial"/>
              </w:rPr>
              <w:t xml:space="preserve"> </w:t>
            </w:r>
            <w:r w:rsidRPr="20381F86">
              <w:rPr>
                <w:rFonts w:ascii="Arial" w:hAnsi="Arial" w:cs="Arial"/>
              </w:rPr>
              <w:t>effectiveness</w:t>
            </w:r>
            <w:r w:rsidRPr="00292120" w:rsidDel="008F66B5">
              <w:rPr>
                <w:rFonts w:ascii="Arial" w:hAnsi="Arial" w:cs="Arial"/>
              </w:rPr>
              <w:t xml:space="preserve"> of the medicine or vaccine that do not meet the criteria for a Category 4 submission.</w:t>
            </w:r>
          </w:p>
        </w:tc>
      </w:tr>
      <w:tr w:rsidR="007F48F6" w:rsidRPr="00292120" w:rsidDel="008F66B5" w14:paraId="3189B6F0" w14:textId="58D078D0" w:rsidTr="20381F86">
        <w:trPr>
          <w:trHeight w:val="300"/>
        </w:trPr>
        <w:tc>
          <w:tcPr>
            <w:tcW w:w="1984" w:type="dxa"/>
          </w:tcPr>
          <w:p w14:paraId="381D7CFE" w14:textId="2C6348C1" w:rsidR="007F48F6" w:rsidRPr="00292120" w:rsidDel="008F66B5" w:rsidRDefault="007F48F6" w:rsidP="00A94408">
            <w:pPr>
              <w:pStyle w:val="Default"/>
              <w:rPr>
                <w:rFonts w:ascii="Arial" w:hAnsi="Arial" w:cs="Arial"/>
                <w:b/>
                <w:bCs/>
                <w:sz w:val="20"/>
                <w:szCs w:val="20"/>
                <w:lang w:val="en-US"/>
              </w:rPr>
            </w:pPr>
            <w:r w:rsidRPr="20381F86">
              <w:rPr>
                <w:rFonts w:ascii="Arial" w:hAnsi="Arial" w:cs="Arial"/>
                <w:b/>
                <w:bCs/>
                <w:sz w:val="20"/>
                <w:szCs w:val="20"/>
              </w:rPr>
              <w:t xml:space="preserve">Category 4 </w:t>
            </w:r>
          </w:p>
        </w:tc>
        <w:tc>
          <w:tcPr>
            <w:tcW w:w="12474" w:type="dxa"/>
          </w:tcPr>
          <w:p w14:paraId="5E50EE2B" w14:textId="0844D782" w:rsidR="007F48F6" w:rsidRPr="00292120" w:rsidDel="008F66B5" w:rsidRDefault="007F48F6" w:rsidP="00A94408">
            <w:pPr>
              <w:pStyle w:val="Default"/>
              <w:rPr>
                <w:rFonts w:ascii="Arial" w:hAnsi="Arial" w:cs="Arial"/>
                <w:b/>
                <w:bCs/>
                <w:sz w:val="20"/>
                <w:szCs w:val="20"/>
              </w:rPr>
            </w:pPr>
            <w:r w:rsidRPr="20381F86">
              <w:rPr>
                <w:rFonts w:ascii="Arial" w:hAnsi="Arial" w:cs="Arial"/>
                <w:sz w:val="20"/>
                <w:szCs w:val="20"/>
              </w:rPr>
              <w:t xml:space="preserve">A request for one or more of the following: </w:t>
            </w:r>
          </w:p>
          <w:p w14:paraId="61CDD5EA" w14:textId="78CA3529"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Listing of a new pharmaceutical item of a listed medicine. </w:t>
            </w:r>
          </w:p>
          <w:p w14:paraId="30945A3C" w14:textId="40913576"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color w:val="000000" w:themeColor="text1"/>
                <w:sz w:val="20"/>
                <w:szCs w:val="20"/>
              </w:rPr>
              <w:t xml:space="preserve">Consideration as an exempt item (Exempt item as per subsection 84AH of the </w:t>
            </w:r>
            <w:r w:rsidRPr="20381F86">
              <w:rPr>
                <w:rFonts w:ascii="Arial" w:hAnsi="Arial" w:cs="Arial"/>
                <w:i/>
                <w:iCs/>
                <w:color w:val="000000" w:themeColor="text1"/>
                <w:sz w:val="20"/>
                <w:szCs w:val="20"/>
              </w:rPr>
              <w:t>National Health Act 1953</w:t>
            </w:r>
            <w:r w:rsidRPr="20381F86">
              <w:rPr>
                <w:rFonts w:ascii="Arial" w:hAnsi="Arial" w:cs="Arial"/>
                <w:color w:val="000000" w:themeColor="text1"/>
                <w:sz w:val="20"/>
                <w:szCs w:val="20"/>
              </w:rPr>
              <w:t xml:space="preserve">). </w:t>
            </w:r>
          </w:p>
          <w:p w14:paraId="46567CAC" w14:textId="241896B6" w:rsidR="007F48F6" w:rsidRPr="00292120" w:rsidDel="008F66B5" w:rsidRDefault="007F48F6" w:rsidP="00A94408">
            <w:pPr>
              <w:pStyle w:val="ListParagraph"/>
              <w:numPr>
                <w:ilvl w:val="0"/>
                <w:numId w:val="4"/>
              </w:numPr>
              <w:autoSpaceDE w:val="0"/>
              <w:autoSpaceDN w:val="0"/>
              <w:adjustRightInd w:val="0"/>
              <w:ind w:left="360"/>
              <w:rPr>
                <w:rFonts w:ascii="Arial" w:hAnsi="Arial" w:cs="Arial"/>
                <w:b/>
                <w:bCs/>
                <w:color w:val="000000"/>
                <w:sz w:val="20"/>
                <w:szCs w:val="20"/>
              </w:rPr>
            </w:pPr>
            <w:r w:rsidRPr="20381F86">
              <w:rPr>
                <w:rFonts w:ascii="Arial" w:hAnsi="Arial" w:cs="Arial"/>
                <w:sz w:val="20"/>
                <w:szCs w:val="20"/>
              </w:rPr>
              <w:t xml:space="preserve">Including a listed medicine on the prescriber bag, or varying an existing prescriber bag listing. </w:t>
            </w:r>
          </w:p>
          <w:p w14:paraId="7EF9BA42" w14:textId="54849C05"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 xml:space="preserve">A change/new manner of administration of a listed medicine. </w:t>
            </w:r>
          </w:p>
          <w:p w14:paraId="4D6B65C5" w14:textId="1E6FA92B"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 xml:space="preserve">A change to the maximum quantity and/or number of repeats of a listed medicine. </w:t>
            </w:r>
          </w:p>
          <w:p w14:paraId="2C2C10B5" w14:textId="34D1344F" w:rsidR="007F48F6" w:rsidRPr="00292120" w:rsidDel="008F66B5" w:rsidRDefault="007F48F6" w:rsidP="00A94408">
            <w:pPr>
              <w:pStyle w:val="ListParagraph"/>
              <w:numPr>
                <w:ilvl w:val="0"/>
                <w:numId w:val="5"/>
              </w:numPr>
              <w:autoSpaceDE w:val="0"/>
              <w:autoSpaceDN w:val="0"/>
              <w:adjustRightInd w:val="0"/>
              <w:ind w:left="360"/>
              <w:rPr>
                <w:rFonts w:ascii="Arial" w:hAnsi="Arial" w:cs="Arial"/>
                <w:b/>
                <w:bCs/>
                <w:sz w:val="20"/>
                <w:szCs w:val="20"/>
              </w:rPr>
            </w:pPr>
            <w:r w:rsidRPr="20381F86">
              <w:rPr>
                <w:rFonts w:ascii="Arial" w:hAnsi="Arial" w:cs="Arial"/>
                <w:sz w:val="20"/>
                <w:szCs w:val="20"/>
              </w:rPr>
              <w:t>A change or addition to the prescriber type(s) of a listed medicine.</w:t>
            </w:r>
          </w:p>
        </w:tc>
      </w:tr>
      <w:tr w:rsidR="009A1C75" w:rsidRPr="00292120" w:rsidDel="008F66B5" w14:paraId="5129ECF2" w14:textId="5315E1E8" w:rsidTr="20381F86">
        <w:trPr>
          <w:trHeight w:val="1026"/>
        </w:trPr>
        <w:tc>
          <w:tcPr>
            <w:tcW w:w="1984" w:type="dxa"/>
          </w:tcPr>
          <w:p w14:paraId="4FD9FAAA" w14:textId="327403AE" w:rsidR="009A1C75" w:rsidRPr="00292120" w:rsidDel="008F66B5" w:rsidRDefault="71EB8FAF" w:rsidP="00A94408">
            <w:pPr>
              <w:pStyle w:val="Default"/>
              <w:rPr>
                <w:rFonts w:ascii="Arial" w:hAnsi="Arial" w:cs="Arial"/>
                <w:sz w:val="20"/>
                <w:szCs w:val="20"/>
              </w:rPr>
            </w:pPr>
            <w:r w:rsidRPr="20381F86">
              <w:rPr>
                <w:rFonts w:ascii="Arial" w:hAnsi="Arial" w:cs="Arial"/>
                <w:b/>
                <w:bCs/>
                <w:sz w:val="20"/>
                <w:szCs w:val="20"/>
              </w:rPr>
              <w:t>Committee Secretariat</w:t>
            </w:r>
          </w:p>
        </w:tc>
        <w:tc>
          <w:tcPr>
            <w:tcW w:w="12474" w:type="dxa"/>
          </w:tcPr>
          <w:p w14:paraId="4E0E04D8" w14:textId="4029D2D5" w:rsidR="009A1C75" w:rsidRPr="00292120" w:rsidDel="008F66B5" w:rsidRDefault="71EB8FAF" w:rsidP="00A94408">
            <w:pPr>
              <w:rPr>
                <w:rFonts w:ascii="Arial" w:hAnsi="Arial" w:cs="Arial"/>
                <w:color w:val="000000"/>
              </w:rPr>
            </w:pPr>
            <w:r w:rsidRPr="20381F86">
              <w:rPr>
                <w:rFonts w:ascii="Arial" w:hAnsi="Arial" w:cs="Arial"/>
                <w:color w:val="000000" w:themeColor="text1"/>
              </w:rPr>
              <w:t>Application is not in Categories 1, 2, 3 or 4 and requests for one or more of the following:</w:t>
            </w:r>
          </w:p>
          <w:p w14:paraId="0ADCA80A" w14:textId="1095F094"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New or varied listed drugs, medicinal preparations and designated vaccines that pose no greater risk</w:t>
            </w:r>
          </w:p>
          <w:p w14:paraId="4E274BBE" w14:textId="6A427E04"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Pharmaceutical benefits that can no longer be supplied early</w:t>
            </w:r>
          </w:p>
          <w:p w14:paraId="78723A0D" w14:textId="76E8912A" w:rsidR="009A1C75" w:rsidRPr="00292120" w:rsidDel="008F66B5" w:rsidRDefault="71EB8FAF" w:rsidP="00A94408">
            <w:pPr>
              <w:pStyle w:val="ListParagraph"/>
              <w:numPr>
                <w:ilvl w:val="0"/>
                <w:numId w:val="8"/>
              </w:numPr>
              <w:rPr>
                <w:rFonts w:ascii="Arial" w:eastAsia="Times New Roman" w:hAnsi="Arial" w:cs="Arial"/>
                <w:sz w:val="20"/>
                <w:szCs w:val="20"/>
              </w:rPr>
            </w:pPr>
            <w:r w:rsidRPr="20381F86">
              <w:rPr>
                <w:rFonts w:ascii="Arial" w:eastAsia="Times New Roman" w:hAnsi="Arial" w:cs="Arial"/>
                <w:sz w:val="20"/>
                <w:szCs w:val="20"/>
              </w:rPr>
              <w:t>New brand of glucose indicator pharmaceutical item.</w:t>
            </w:r>
          </w:p>
        </w:tc>
      </w:tr>
    </w:tbl>
    <w:p w14:paraId="1A3326E0" w14:textId="09885F9F" w:rsidR="007F48F6" w:rsidRPr="00292120" w:rsidDel="008F66B5" w:rsidRDefault="007F48F6" w:rsidP="00A94408">
      <w:pPr>
        <w:rPr>
          <w:rFonts w:ascii="Arial" w:hAnsi="Arial" w:cs="Arial"/>
          <w:b/>
          <w:bCs/>
          <w:lang w:val="en-US"/>
        </w:rPr>
      </w:pPr>
    </w:p>
    <w:p w14:paraId="379497B6" w14:textId="6CCBCCA7" w:rsidR="008D62B4" w:rsidRPr="00292120" w:rsidDel="008F66B5" w:rsidRDefault="008D62B4" w:rsidP="00A94408">
      <w:pPr>
        <w:rPr>
          <w:rFonts w:ascii="Arial" w:hAnsi="Arial" w:cs="Arial"/>
          <w:b/>
          <w:bCs/>
          <w:lang w:val="en-US"/>
        </w:rPr>
      </w:pPr>
      <w:r w:rsidRPr="20381F86">
        <w:rPr>
          <w:rFonts w:ascii="Arial" w:hAnsi="Arial" w:cs="Arial"/>
          <w:b/>
          <w:bCs/>
          <w:lang w:val="en-US"/>
        </w:rPr>
        <w:br w:type="page"/>
      </w:r>
    </w:p>
    <w:p w14:paraId="6CE3C41E" w14:textId="2E62A626" w:rsidR="00640C80" w:rsidRPr="00292120" w:rsidDel="008F66B5" w:rsidRDefault="005A0A21" w:rsidP="00A94408">
      <w:pPr>
        <w:rPr>
          <w:rFonts w:ascii="Arial" w:hAnsi="Arial" w:cs="Arial"/>
          <w:b/>
          <w:bCs/>
          <w:lang w:val="en-US"/>
        </w:rPr>
      </w:pPr>
      <w:r w:rsidRPr="20381F86">
        <w:rPr>
          <w:rFonts w:ascii="Arial" w:hAnsi="Arial" w:cs="Arial"/>
          <w:b/>
          <w:bCs/>
          <w:lang w:val="en-US"/>
        </w:rPr>
        <w:lastRenderedPageBreak/>
        <w:t>Resubmission pathways</w:t>
      </w:r>
    </w:p>
    <w:p w14:paraId="025CE011" w14:textId="198CC318" w:rsidR="005A0A21" w:rsidRPr="00292120" w:rsidDel="008F66B5" w:rsidRDefault="005A0A21" w:rsidP="00A94408">
      <w:pPr>
        <w:tabs>
          <w:tab w:val="left" w:pos="5210"/>
        </w:tabs>
        <w:rPr>
          <w:rFonts w:ascii="Arial" w:hAnsi="Arial" w:cs="Arial"/>
          <w:b/>
          <w:bCs/>
          <w:lang w:val="en-US"/>
        </w:rPr>
      </w:pPr>
    </w:p>
    <w:tbl>
      <w:tblPr>
        <w:tblW w:w="4701" w:type="pct"/>
        <w:tblInd w:w="416" w:type="dxa"/>
        <w:tblCellMar>
          <w:left w:w="0" w:type="dxa"/>
          <w:right w:w="0" w:type="dxa"/>
        </w:tblCellMar>
        <w:tblLook w:val="04A0" w:firstRow="1" w:lastRow="0" w:firstColumn="1" w:lastColumn="0" w:noHBand="0" w:noVBand="1"/>
      </w:tblPr>
      <w:tblGrid>
        <w:gridCol w:w="2068"/>
        <w:gridCol w:w="12390"/>
      </w:tblGrid>
      <w:tr w:rsidR="004A3371" w:rsidRPr="00292120" w:rsidDel="008F66B5" w14:paraId="1B32CA1F" w14:textId="277FF3EC" w:rsidTr="20381F86">
        <w:trPr>
          <w:cantSplit/>
          <w:trHeight w:val="300"/>
        </w:trPr>
        <w:tc>
          <w:tcPr>
            <w:tcW w:w="144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16822E31" w14:textId="5BE62756" w:rsidR="004A3371" w:rsidRPr="00292120" w:rsidDel="008F66B5" w:rsidRDefault="790B7E0C" w:rsidP="00A94408">
            <w:pPr>
              <w:rPr>
                <w:rFonts w:ascii="Arial" w:hAnsi="Arial" w:cs="Arial"/>
              </w:rPr>
            </w:pPr>
            <w:r w:rsidRPr="20381F86">
              <w:rPr>
                <w:rFonts w:ascii="Arial" w:hAnsi="Arial"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20381F86">
              <w:rPr>
                <w:rFonts w:ascii="Arial" w:hAnsi="Arial" w:cs="Arial"/>
              </w:rPr>
              <w:t>The resubmission pathways are classified into the following categories:</w:t>
            </w:r>
          </w:p>
        </w:tc>
      </w:tr>
      <w:tr w:rsidR="004A3371" w:rsidRPr="00292120" w:rsidDel="008F66B5" w14:paraId="5A78A628" w14:textId="684A0CE2" w:rsidTr="20381F86">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0680C335" w14:textId="67B9A116" w:rsidR="004A3371" w:rsidRPr="00292120" w:rsidDel="008F66B5" w:rsidRDefault="790B7E0C" w:rsidP="00A94408">
            <w:pPr>
              <w:contextualSpacing/>
              <w:rPr>
                <w:rFonts w:ascii="Arial" w:hAnsi="Arial" w:cs="Arial"/>
                <w:b/>
                <w:bCs/>
              </w:rPr>
            </w:pPr>
            <w:r w:rsidRPr="20381F86">
              <w:rPr>
                <w:rFonts w:ascii="Arial" w:hAnsi="Arial" w:cs="Arial"/>
                <w:b/>
                <w:bCs/>
              </w:rPr>
              <w:t>Standard re-entry</w:t>
            </w:r>
          </w:p>
          <w:p w14:paraId="14CD87B9" w14:textId="5765AC1F" w:rsidR="004A3371" w:rsidRPr="00292120" w:rsidDel="008F66B5" w:rsidRDefault="004A3371" w:rsidP="00A94408">
            <w:pPr>
              <w:rPr>
                <w:rFonts w:ascii="Arial" w:hAnsi="Arial" w:cs="Arial"/>
                <w:b/>
                <w:bCs/>
              </w:rPr>
            </w:pP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2BDC71EA" w14:textId="0DDEF18F" w:rsidR="004A3371" w:rsidRPr="00292120" w:rsidDel="008F66B5" w:rsidRDefault="790B7E0C" w:rsidP="00A94408">
            <w:pPr>
              <w:autoSpaceDE w:val="0"/>
              <w:autoSpaceDN w:val="0"/>
              <w:rPr>
                <w:rFonts w:ascii="Arial" w:hAnsi="Arial" w:cs="Arial"/>
                <w:color w:val="000000"/>
              </w:rPr>
            </w:pPr>
            <w:r w:rsidRPr="20381F86">
              <w:rPr>
                <w:rFonts w:ascii="Arial" w:hAnsi="Arial" w:cs="Arial"/>
                <w:color w:val="000000" w:themeColor="text1"/>
              </w:rPr>
              <w:t xml:space="preserve">The Standard Re-entry Pathway is the default pathway for resubmissions </w:t>
            </w:r>
            <w:proofErr w:type="gramStart"/>
            <w:r w:rsidRPr="20381F86">
              <w:rPr>
                <w:rFonts w:ascii="Arial" w:hAnsi="Arial" w:cs="Arial"/>
                <w:color w:val="000000" w:themeColor="text1"/>
              </w:rPr>
              <w:t>and also</w:t>
            </w:r>
            <w:proofErr w:type="gramEnd"/>
            <w:r w:rsidRPr="20381F86">
              <w:rPr>
                <w:rFonts w:ascii="Arial" w:hAnsi="Arial" w:cs="Arial"/>
                <w:color w:val="000000" w:themeColor="text1"/>
              </w:rPr>
              <w:t xml:space="preserve"> applies where: </w:t>
            </w:r>
          </w:p>
          <w:p w14:paraId="430AF034" w14:textId="51DD2338"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applicant chooses not to accept the PBAC nominated resubmission pathway; or </w:t>
            </w:r>
          </w:p>
          <w:p w14:paraId="15ADDEB3" w14:textId="4C3EDDB6"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Early Re-entry or Early Resolution Pathway has been nominated by the PBAC and an applicant decides to address issues other than those identified by the PBAC (including a subset of issues); or </w:t>
            </w:r>
          </w:p>
          <w:p w14:paraId="4A452A68" w14:textId="18E019CA" w:rsidR="004A3371" w:rsidRPr="00292120" w:rsidDel="008F66B5" w:rsidRDefault="790B7E0C" w:rsidP="00A94408">
            <w:pPr>
              <w:pStyle w:val="ListParagraph"/>
              <w:numPr>
                <w:ilvl w:val="0"/>
                <w:numId w:val="1"/>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an applicant decides to lodge later than the allowable timelines for the other pathways. </w:t>
            </w:r>
          </w:p>
        </w:tc>
      </w:tr>
      <w:tr w:rsidR="004A3371" w:rsidRPr="00292120" w:rsidDel="008F66B5" w14:paraId="46BDFCAF" w14:textId="3FB447C8" w:rsidTr="20381F86">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618B2638" w14:textId="6DC57A07" w:rsidR="004A3371" w:rsidRPr="00292120" w:rsidDel="008F66B5" w:rsidRDefault="790B7E0C" w:rsidP="00A94408">
            <w:pPr>
              <w:contextualSpacing/>
              <w:rPr>
                <w:rFonts w:ascii="Arial" w:hAnsi="Arial" w:cs="Arial"/>
                <w:b/>
                <w:bCs/>
                <w:lang w:eastAsia="en-US"/>
              </w:rPr>
            </w:pPr>
            <w:r w:rsidRPr="20381F86">
              <w:rPr>
                <w:rFonts w:ascii="Arial" w:hAnsi="Arial" w:cs="Arial"/>
                <w:b/>
                <w:bCs/>
              </w:rPr>
              <w:t>Early re-entry pathway</w:t>
            </w: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32461C72" w14:textId="1FCABCA8" w:rsidR="004A3371" w:rsidRPr="00292120" w:rsidDel="008F66B5" w:rsidRDefault="790B7E0C" w:rsidP="00A94408">
            <w:pPr>
              <w:contextualSpacing/>
              <w:rPr>
                <w:rFonts w:ascii="Arial" w:hAnsi="Arial" w:cs="Arial"/>
                <w:color w:val="000000"/>
              </w:rPr>
            </w:pPr>
            <w:r w:rsidRPr="20381F86">
              <w:rPr>
                <w:rFonts w:ascii="Arial" w:hAnsi="Arial" w:cs="Arial"/>
              </w:rPr>
              <w:t xml:space="preserve">An Early Re-entry Pathway may be nominated by the PBAC where the PBAC considers that the remaining issues could be easily resolved and the medicine or vaccine does not represent </w:t>
            </w:r>
            <w:r w:rsidR="64EC2FDB" w:rsidRPr="20381F86">
              <w:rPr>
                <w:rFonts w:ascii="Arial" w:hAnsi="Arial" w:cs="Arial"/>
                <w:color w:val="000000" w:themeColor="text1"/>
              </w:rPr>
              <w:t xml:space="preserve">High Added Therapeutic Value (HATV) </w:t>
            </w:r>
            <w:r w:rsidRPr="20381F86">
              <w:rPr>
                <w:rFonts w:ascii="Arial" w:hAnsi="Arial" w:cs="Arial"/>
              </w:rPr>
              <w:t>for the proposed population. Applicants who accept this pathway are eligible for PBAC consideration at the immediate next meeting.</w:t>
            </w:r>
          </w:p>
        </w:tc>
      </w:tr>
      <w:tr w:rsidR="004A3371" w:rsidRPr="00292120" w:rsidDel="008F66B5" w14:paraId="1A2475F2" w14:textId="4E349E5C" w:rsidTr="20381F86">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0193930E" w14:textId="6A440925" w:rsidR="004A3371" w:rsidRPr="00292120" w:rsidDel="008F66B5" w:rsidRDefault="790B7E0C" w:rsidP="00A94408">
            <w:pPr>
              <w:rPr>
                <w:rFonts w:ascii="Arial" w:hAnsi="Arial" w:cs="Arial"/>
                <w:b/>
                <w:bCs/>
                <w:lang w:eastAsia="en-US"/>
              </w:rPr>
            </w:pPr>
            <w:r w:rsidRPr="20381F86">
              <w:rPr>
                <w:rFonts w:ascii="Arial" w:hAnsi="Arial" w:cs="Arial"/>
                <w:b/>
                <w:bCs/>
              </w:rPr>
              <w:t>Early resolution pathway</w:t>
            </w:r>
          </w:p>
          <w:p w14:paraId="157D2C85" w14:textId="4F1FB3F3" w:rsidR="004A3371" w:rsidRPr="00292120" w:rsidDel="008F66B5" w:rsidRDefault="004A3371" w:rsidP="00A94408">
            <w:pPr>
              <w:rPr>
                <w:rFonts w:ascii="Arial" w:hAnsi="Arial" w:cs="Arial"/>
              </w:rPr>
            </w:pP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7E21B924" w14:textId="5F0E3B99" w:rsidR="004A3371" w:rsidRPr="00292120" w:rsidDel="008F66B5" w:rsidRDefault="790B7E0C" w:rsidP="00A94408">
            <w:pPr>
              <w:autoSpaceDE w:val="0"/>
              <w:autoSpaceDN w:val="0"/>
              <w:rPr>
                <w:rFonts w:ascii="Arial" w:hAnsi="Arial" w:cs="Arial"/>
                <w:color w:val="000000"/>
              </w:rPr>
            </w:pPr>
            <w:r w:rsidRPr="20381F86">
              <w:rPr>
                <w:rFonts w:ascii="Arial" w:hAnsi="Arial" w:cs="Arial"/>
                <w:color w:val="000000" w:themeColor="text1"/>
              </w:rPr>
              <w:t xml:space="preserve">For medicines or vaccines deemed by the PBAC to represent HATV AND where the PBAC considers that the remaining issues could be easily resolved, including when: </w:t>
            </w:r>
          </w:p>
          <w:p w14:paraId="6EC882B7" w14:textId="521376DF" w:rsidR="004A3371" w:rsidRPr="00292120" w:rsidDel="008F66B5" w:rsidRDefault="790B7E0C" w:rsidP="00A94408">
            <w:pPr>
              <w:pStyle w:val="ListParagraph"/>
              <w:numPr>
                <w:ilvl w:val="0"/>
                <w:numId w:val="2"/>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new clinical study data requiring evaluation is not considered necessary by the PBAC to support new clinical claims to be made in the resubmission; and </w:t>
            </w:r>
          </w:p>
          <w:p w14:paraId="1D4B869E" w14:textId="7AD29ACC" w:rsidR="004A3371" w:rsidRPr="00292120" w:rsidDel="008F66B5" w:rsidRDefault="790B7E0C" w:rsidP="00A94408">
            <w:pPr>
              <w:pStyle w:val="ListParagraph"/>
              <w:numPr>
                <w:ilvl w:val="0"/>
                <w:numId w:val="2"/>
              </w:numPr>
              <w:autoSpaceDE w:val="0"/>
              <w:autoSpaceDN w:val="0"/>
              <w:rPr>
                <w:rFonts w:ascii="Arial" w:hAnsi="Arial" w:cs="Arial"/>
                <w:color w:val="000000"/>
                <w:sz w:val="20"/>
                <w:szCs w:val="20"/>
              </w:rPr>
            </w:pPr>
            <w:r w:rsidRPr="20381F86">
              <w:rPr>
                <w:rFonts w:ascii="Arial" w:hAnsi="Arial" w:cs="Arial"/>
                <w:color w:val="000000" w:themeColor="text1"/>
                <w:sz w:val="20"/>
                <w:szCs w:val="20"/>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4323C475" w:rsidR="004A3371" w:rsidRPr="00292120" w:rsidDel="008F66B5" w:rsidRDefault="790B7E0C" w:rsidP="00A94408">
            <w:pPr>
              <w:pStyle w:val="NormalWeb"/>
              <w:spacing w:before="0" w:beforeAutospacing="0" w:after="0" w:afterAutospacing="0"/>
              <w:rPr>
                <w:rFonts w:ascii="Arial" w:hAnsi="Arial" w:cs="Arial"/>
                <w:sz w:val="20"/>
                <w:szCs w:val="20"/>
              </w:rPr>
            </w:pPr>
            <w:r w:rsidRPr="20381F86">
              <w:rPr>
                <w:rFonts w:ascii="Arial" w:hAnsi="Arial"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292120" w:rsidDel="008F66B5" w14:paraId="1CF59836" w14:textId="2232F166" w:rsidTr="20381F86">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03CD8847" w14:textId="0B33D246" w:rsidR="004A3371" w:rsidRPr="00292120" w:rsidDel="008F66B5" w:rsidRDefault="790B7E0C" w:rsidP="00A94408">
            <w:pPr>
              <w:rPr>
                <w:rFonts w:ascii="Arial" w:hAnsi="Arial" w:cs="Arial"/>
              </w:rPr>
            </w:pPr>
            <w:r w:rsidRPr="20381F86">
              <w:rPr>
                <w:rFonts w:ascii="Arial" w:hAnsi="Arial" w:cs="Arial"/>
                <w:b/>
                <w:bCs/>
              </w:rPr>
              <w:t>Facilitated resolution pathway</w:t>
            </w: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7EF1CA94" w14:textId="3681875E" w:rsidR="004A3371" w:rsidRPr="00292120" w:rsidDel="008F66B5" w:rsidRDefault="790B7E0C" w:rsidP="00A94408">
            <w:pPr>
              <w:autoSpaceDE w:val="0"/>
              <w:autoSpaceDN w:val="0"/>
              <w:rPr>
                <w:rFonts w:ascii="Arial" w:hAnsi="Arial" w:cs="Arial"/>
                <w:b/>
                <w:bCs/>
                <w:highlight w:val="green"/>
              </w:rPr>
            </w:pPr>
            <w:r w:rsidRPr="20381F86">
              <w:rPr>
                <w:rFonts w:ascii="Arial" w:hAnsi="Arial" w:cs="Arial"/>
                <w:color w:val="000000" w:themeColor="text1"/>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455E1A3" w14:textId="17639E23" w:rsidR="00AD3477" w:rsidRPr="00292120" w:rsidDel="008F66B5" w:rsidRDefault="00AD3477" w:rsidP="00A94408">
      <w:pPr>
        <w:tabs>
          <w:tab w:val="left" w:pos="5210"/>
        </w:tabs>
        <w:rPr>
          <w:rFonts w:ascii="Arial" w:hAnsi="Arial" w:cs="Arial"/>
          <w:lang w:val="en-US"/>
        </w:rPr>
      </w:pPr>
    </w:p>
    <w:p w14:paraId="6C9BA0D5" w14:textId="77777777" w:rsidR="00461045" w:rsidRPr="00292120" w:rsidRDefault="00461045" w:rsidP="00A94408">
      <w:pPr>
        <w:tabs>
          <w:tab w:val="left" w:pos="5210"/>
        </w:tabs>
        <w:rPr>
          <w:rFonts w:ascii="Arial" w:hAnsi="Arial" w:cs="Arial"/>
          <w:lang w:val="en-US"/>
        </w:rPr>
      </w:pPr>
    </w:p>
    <w:sectPr w:rsidR="00461045" w:rsidRPr="00292120" w:rsidSect="00257615">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67596" w14:textId="77777777" w:rsidR="001D3ECA" w:rsidRDefault="001D3ECA">
      <w:r>
        <w:separator/>
      </w:r>
    </w:p>
  </w:endnote>
  <w:endnote w:type="continuationSeparator" w:id="0">
    <w:p w14:paraId="4732658D" w14:textId="77777777" w:rsidR="001D3ECA" w:rsidRDefault="001D3ECA">
      <w:r>
        <w:continuationSeparator/>
      </w:r>
    </w:p>
  </w:endnote>
  <w:endnote w:type="continuationNotice" w:id="1">
    <w:p w14:paraId="7A3B776B" w14:textId="77777777" w:rsidR="001D3ECA" w:rsidRDefault="001D3E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67BCB" w14:textId="77777777" w:rsidR="00E902E8" w:rsidRDefault="00E902E8"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E902E8" w:rsidRDefault="00E902E8"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9180A" w14:textId="5E3AFE6F" w:rsidR="00E902E8" w:rsidRPr="00287C89" w:rsidRDefault="00E902E8"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Pr>
        <w:rStyle w:val="PageNumber"/>
        <w:rFonts w:ascii="Arial" w:hAnsi="Arial" w:cs="Arial"/>
        <w:noProof/>
      </w:rPr>
      <w:t>65</w:t>
    </w:r>
    <w:r w:rsidRPr="00287C89">
      <w:rPr>
        <w:rStyle w:val="PageNumber"/>
        <w:rFonts w:ascii="Arial" w:hAnsi="Arial" w:cs="Arial"/>
      </w:rPr>
      <w:fldChar w:fldCharType="end"/>
    </w:r>
  </w:p>
  <w:p w14:paraId="5DEC0542" w14:textId="77777777" w:rsidR="00E902E8" w:rsidRDefault="00E902E8" w:rsidP="00FE2A81">
    <w:pPr>
      <w:pStyle w:val="Footer"/>
      <w:ind w:right="360"/>
    </w:pPr>
  </w:p>
  <w:p w14:paraId="429295B6" w14:textId="77777777" w:rsidR="00E902E8" w:rsidRDefault="00E902E8"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5FA71" w14:textId="77777777" w:rsidR="001D3ECA" w:rsidRDefault="001D3ECA">
      <w:r>
        <w:separator/>
      </w:r>
    </w:p>
  </w:footnote>
  <w:footnote w:type="continuationSeparator" w:id="0">
    <w:p w14:paraId="7C66F5A0" w14:textId="77777777" w:rsidR="001D3ECA" w:rsidRDefault="001D3ECA">
      <w:r>
        <w:continuationSeparator/>
      </w:r>
    </w:p>
  </w:footnote>
  <w:footnote w:type="continuationNotice" w:id="1">
    <w:p w14:paraId="6FC3129B" w14:textId="77777777" w:rsidR="001D3ECA" w:rsidRDefault="001D3E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86D89" w14:textId="77777777" w:rsidR="00E902E8" w:rsidRPr="00571206" w:rsidRDefault="00E902E8" w:rsidP="00571206">
    <w:pPr>
      <w:autoSpaceDE w:val="0"/>
      <w:autoSpaceDN w:val="0"/>
      <w:adjustRightInd w:val="0"/>
      <w:rPr>
        <w:rFonts w:ascii="Arial" w:hAnsi="Arial" w:cs="Arial"/>
        <w:color w:val="000000"/>
        <w:sz w:val="24"/>
        <w:szCs w:val="24"/>
      </w:rPr>
    </w:pPr>
  </w:p>
  <w:p w14:paraId="117035EF" w14:textId="1E14CCFB" w:rsidR="00E902E8" w:rsidRDefault="00E902E8"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300BEE7E" w:rsidR="00E902E8" w:rsidRDefault="008F66B5" w:rsidP="00571206">
    <w:pPr>
      <w:pStyle w:val="Header"/>
      <w:jc w:val="center"/>
      <w:rPr>
        <w:rFonts w:ascii="Arial" w:hAnsi="Arial" w:cs="Arial"/>
        <w:b/>
      </w:rPr>
    </w:pPr>
    <w:r>
      <w:rPr>
        <w:rFonts w:ascii="Arial" w:hAnsi="Arial" w:cs="Arial"/>
        <w:b/>
      </w:rPr>
      <w:t>JULY</w:t>
    </w:r>
    <w:r w:rsidR="00A56E78">
      <w:rPr>
        <w:rFonts w:ascii="Arial" w:hAnsi="Arial" w:cs="Arial"/>
        <w:b/>
      </w:rPr>
      <w:t xml:space="preserve"> </w:t>
    </w:r>
    <w:r w:rsidR="00375520">
      <w:rPr>
        <w:rFonts w:ascii="Arial" w:hAnsi="Arial" w:cs="Arial"/>
        <w:b/>
      </w:rPr>
      <w:t>2024</w:t>
    </w:r>
    <w:r w:rsidR="00E902E8">
      <w:rPr>
        <w:rFonts w:ascii="Arial" w:hAnsi="Arial" w:cs="Arial"/>
        <w:b/>
      </w:rPr>
      <w:t xml:space="preserve"> PBAC MEETING</w:t>
    </w:r>
  </w:p>
  <w:p w14:paraId="0E28AC1B" w14:textId="77777777" w:rsidR="00E902E8" w:rsidRPr="0071356F" w:rsidRDefault="00E902E8" w:rsidP="0071356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9257C"/>
    <w:multiLevelType w:val="hybridMultilevel"/>
    <w:tmpl w:val="9DFA1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F4DF7"/>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6D2057"/>
    <w:multiLevelType w:val="hybridMultilevel"/>
    <w:tmpl w:val="B6A20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74855"/>
    <w:multiLevelType w:val="hybridMultilevel"/>
    <w:tmpl w:val="5F92E2E8"/>
    <w:lvl w:ilvl="0" w:tplc="95705C56">
      <w:start w:val="1"/>
      <w:numFmt w:val="bullet"/>
      <w:lvlText w:val=""/>
      <w:lvlJc w:val="left"/>
      <w:pPr>
        <w:ind w:left="1440" w:hanging="360"/>
      </w:pPr>
      <w:rPr>
        <w:rFonts w:ascii="Symbol" w:hAnsi="Symbol"/>
      </w:rPr>
    </w:lvl>
    <w:lvl w:ilvl="1" w:tplc="DE4E0ADA">
      <w:start w:val="1"/>
      <w:numFmt w:val="bullet"/>
      <w:lvlText w:val=""/>
      <w:lvlJc w:val="left"/>
      <w:pPr>
        <w:ind w:left="1440" w:hanging="360"/>
      </w:pPr>
      <w:rPr>
        <w:rFonts w:ascii="Symbol" w:hAnsi="Symbol"/>
      </w:rPr>
    </w:lvl>
    <w:lvl w:ilvl="2" w:tplc="CEE476C8">
      <w:start w:val="1"/>
      <w:numFmt w:val="bullet"/>
      <w:lvlText w:val=""/>
      <w:lvlJc w:val="left"/>
      <w:pPr>
        <w:ind w:left="1440" w:hanging="360"/>
      </w:pPr>
      <w:rPr>
        <w:rFonts w:ascii="Symbol" w:hAnsi="Symbol"/>
      </w:rPr>
    </w:lvl>
    <w:lvl w:ilvl="3" w:tplc="687CFBD4">
      <w:start w:val="1"/>
      <w:numFmt w:val="bullet"/>
      <w:lvlText w:val=""/>
      <w:lvlJc w:val="left"/>
      <w:pPr>
        <w:ind w:left="1440" w:hanging="360"/>
      </w:pPr>
      <w:rPr>
        <w:rFonts w:ascii="Symbol" w:hAnsi="Symbol"/>
      </w:rPr>
    </w:lvl>
    <w:lvl w:ilvl="4" w:tplc="B7CED7FC">
      <w:start w:val="1"/>
      <w:numFmt w:val="bullet"/>
      <w:lvlText w:val=""/>
      <w:lvlJc w:val="left"/>
      <w:pPr>
        <w:ind w:left="1440" w:hanging="360"/>
      </w:pPr>
      <w:rPr>
        <w:rFonts w:ascii="Symbol" w:hAnsi="Symbol"/>
      </w:rPr>
    </w:lvl>
    <w:lvl w:ilvl="5" w:tplc="8EB8D116">
      <w:start w:val="1"/>
      <w:numFmt w:val="bullet"/>
      <w:lvlText w:val=""/>
      <w:lvlJc w:val="left"/>
      <w:pPr>
        <w:ind w:left="1440" w:hanging="360"/>
      </w:pPr>
      <w:rPr>
        <w:rFonts w:ascii="Symbol" w:hAnsi="Symbol"/>
      </w:rPr>
    </w:lvl>
    <w:lvl w:ilvl="6" w:tplc="F4D403D4">
      <w:start w:val="1"/>
      <w:numFmt w:val="bullet"/>
      <w:lvlText w:val=""/>
      <w:lvlJc w:val="left"/>
      <w:pPr>
        <w:ind w:left="1440" w:hanging="360"/>
      </w:pPr>
      <w:rPr>
        <w:rFonts w:ascii="Symbol" w:hAnsi="Symbol"/>
      </w:rPr>
    </w:lvl>
    <w:lvl w:ilvl="7" w:tplc="55F869F0">
      <w:start w:val="1"/>
      <w:numFmt w:val="bullet"/>
      <w:lvlText w:val=""/>
      <w:lvlJc w:val="left"/>
      <w:pPr>
        <w:ind w:left="1440" w:hanging="360"/>
      </w:pPr>
      <w:rPr>
        <w:rFonts w:ascii="Symbol" w:hAnsi="Symbol"/>
      </w:rPr>
    </w:lvl>
    <w:lvl w:ilvl="8" w:tplc="AC942B20">
      <w:start w:val="1"/>
      <w:numFmt w:val="bullet"/>
      <w:lvlText w:val=""/>
      <w:lvlJc w:val="left"/>
      <w:pPr>
        <w:ind w:left="1440" w:hanging="360"/>
      </w:pPr>
      <w:rPr>
        <w:rFonts w:ascii="Symbol" w:hAnsi="Symbol"/>
      </w:rPr>
    </w:lvl>
  </w:abstractNum>
  <w:abstractNum w:abstractNumId="4" w15:restartNumberingAfterBreak="0">
    <w:nsid w:val="0F5E2F98"/>
    <w:multiLevelType w:val="hybridMultilevel"/>
    <w:tmpl w:val="07106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172B47"/>
    <w:multiLevelType w:val="hybridMultilevel"/>
    <w:tmpl w:val="DFA08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62004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E75F17"/>
    <w:multiLevelType w:val="hybridMultilevel"/>
    <w:tmpl w:val="A22A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B542D2"/>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F32422"/>
    <w:multiLevelType w:val="hybridMultilevel"/>
    <w:tmpl w:val="A3629898"/>
    <w:lvl w:ilvl="0" w:tplc="0AD036B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AF4823"/>
    <w:multiLevelType w:val="hybridMultilevel"/>
    <w:tmpl w:val="A2EEF77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47523A"/>
    <w:multiLevelType w:val="hybridMultilevel"/>
    <w:tmpl w:val="67BE3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F0D99"/>
    <w:multiLevelType w:val="hybridMultilevel"/>
    <w:tmpl w:val="3110C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3C4470"/>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385B2A"/>
    <w:multiLevelType w:val="hybridMultilevel"/>
    <w:tmpl w:val="41E42586"/>
    <w:lvl w:ilvl="0" w:tplc="CF3846C0">
      <w:start w:val="1"/>
      <w:numFmt w:val="bullet"/>
      <w:lvlText w:val=""/>
      <w:lvlJc w:val="left"/>
      <w:pPr>
        <w:ind w:left="1440" w:hanging="360"/>
      </w:pPr>
      <w:rPr>
        <w:rFonts w:ascii="Symbol" w:hAnsi="Symbol"/>
      </w:rPr>
    </w:lvl>
    <w:lvl w:ilvl="1" w:tplc="B53C3900">
      <w:start w:val="1"/>
      <w:numFmt w:val="bullet"/>
      <w:lvlText w:val=""/>
      <w:lvlJc w:val="left"/>
      <w:pPr>
        <w:ind w:left="1440" w:hanging="360"/>
      </w:pPr>
      <w:rPr>
        <w:rFonts w:ascii="Symbol" w:hAnsi="Symbol"/>
      </w:rPr>
    </w:lvl>
    <w:lvl w:ilvl="2" w:tplc="3DBA6542">
      <w:start w:val="1"/>
      <w:numFmt w:val="bullet"/>
      <w:lvlText w:val=""/>
      <w:lvlJc w:val="left"/>
      <w:pPr>
        <w:ind w:left="1440" w:hanging="360"/>
      </w:pPr>
      <w:rPr>
        <w:rFonts w:ascii="Symbol" w:hAnsi="Symbol"/>
      </w:rPr>
    </w:lvl>
    <w:lvl w:ilvl="3" w:tplc="F0EC15F8">
      <w:start w:val="1"/>
      <w:numFmt w:val="bullet"/>
      <w:lvlText w:val=""/>
      <w:lvlJc w:val="left"/>
      <w:pPr>
        <w:ind w:left="1440" w:hanging="360"/>
      </w:pPr>
      <w:rPr>
        <w:rFonts w:ascii="Symbol" w:hAnsi="Symbol"/>
      </w:rPr>
    </w:lvl>
    <w:lvl w:ilvl="4" w:tplc="3482D43C">
      <w:start w:val="1"/>
      <w:numFmt w:val="bullet"/>
      <w:lvlText w:val=""/>
      <w:lvlJc w:val="left"/>
      <w:pPr>
        <w:ind w:left="1440" w:hanging="360"/>
      </w:pPr>
      <w:rPr>
        <w:rFonts w:ascii="Symbol" w:hAnsi="Symbol"/>
      </w:rPr>
    </w:lvl>
    <w:lvl w:ilvl="5" w:tplc="8D16FCD8">
      <w:start w:val="1"/>
      <w:numFmt w:val="bullet"/>
      <w:lvlText w:val=""/>
      <w:lvlJc w:val="left"/>
      <w:pPr>
        <w:ind w:left="1440" w:hanging="360"/>
      </w:pPr>
      <w:rPr>
        <w:rFonts w:ascii="Symbol" w:hAnsi="Symbol"/>
      </w:rPr>
    </w:lvl>
    <w:lvl w:ilvl="6" w:tplc="B0DA1F34">
      <w:start w:val="1"/>
      <w:numFmt w:val="bullet"/>
      <w:lvlText w:val=""/>
      <w:lvlJc w:val="left"/>
      <w:pPr>
        <w:ind w:left="1440" w:hanging="360"/>
      </w:pPr>
      <w:rPr>
        <w:rFonts w:ascii="Symbol" w:hAnsi="Symbol"/>
      </w:rPr>
    </w:lvl>
    <w:lvl w:ilvl="7" w:tplc="8B441676">
      <w:start w:val="1"/>
      <w:numFmt w:val="bullet"/>
      <w:lvlText w:val=""/>
      <w:lvlJc w:val="left"/>
      <w:pPr>
        <w:ind w:left="1440" w:hanging="360"/>
      </w:pPr>
      <w:rPr>
        <w:rFonts w:ascii="Symbol" w:hAnsi="Symbol"/>
      </w:rPr>
    </w:lvl>
    <w:lvl w:ilvl="8" w:tplc="ED8CD9E0">
      <w:start w:val="1"/>
      <w:numFmt w:val="bullet"/>
      <w:lvlText w:val=""/>
      <w:lvlJc w:val="left"/>
      <w:pPr>
        <w:ind w:left="1440" w:hanging="360"/>
      </w:pPr>
      <w:rPr>
        <w:rFonts w:ascii="Symbol" w:hAnsi="Symbol"/>
      </w:rPr>
    </w:lvl>
  </w:abstractNum>
  <w:abstractNum w:abstractNumId="16"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17" w15:restartNumberingAfterBreak="0">
    <w:nsid w:val="2AFD6A05"/>
    <w:multiLevelType w:val="hybridMultilevel"/>
    <w:tmpl w:val="3494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A3B8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5A5B0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5C1725"/>
    <w:multiLevelType w:val="hybridMultilevel"/>
    <w:tmpl w:val="F0688B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40F6FA3"/>
    <w:multiLevelType w:val="hybridMultilevel"/>
    <w:tmpl w:val="282ECA06"/>
    <w:lvl w:ilvl="0" w:tplc="CEF8AB5A">
      <w:start w:val="1"/>
      <w:numFmt w:val="bullet"/>
      <w:lvlText w:val=""/>
      <w:lvlJc w:val="left"/>
      <w:pPr>
        <w:ind w:left="720" w:hanging="360"/>
      </w:pPr>
      <w:rPr>
        <w:rFonts w:ascii="Symbol" w:hAnsi="Symbol"/>
      </w:rPr>
    </w:lvl>
    <w:lvl w:ilvl="1" w:tplc="2040BF9A">
      <w:start w:val="1"/>
      <w:numFmt w:val="bullet"/>
      <w:lvlText w:val=""/>
      <w:lvlJc w:val="left"/>
      <w:pPr>
        <w:ind w:left="720" w:hanging="360"/>
      </w:pPr>
      <w:rPr>
        <w:rFonts w:ascii="Symbol" w:hAnsi="Symbol"/>
      </w:rPr>
    </w:lvl>
    <w:lvl w:ilvl="2" w:tplc="088AE166">
      <w:start w:val="1"/>
      <w:numFmt w:val="bullet"/>
      <w:lvlText w:val=""/>
      <w:lvlJc w:val="left"/>
      <w:pPr>
        <w:ind w:left="720" w:hanging="360"/>
      </w:pPr>
      <w:rPr>
        <w:rFonts w:ascii="Symbol" w:hAnsi="Symbol"/>
      </w:rPr>
    </w:lvl>
    <w:lvl w:ilvl="3" w:tplc="B93EF51C">
      <w:start w:val="1"/>
      <w:numFmt w:val="bullet"/>
      <w:lvlText w:val=""/>
      <w:lvlJc w:val="left"/>
      <w:pPr>
        <w:ind w:left="720" w:hanging="360"/>
      </w:pPr>
      <w:rPr>
        <w:rFonts w:ascii="Symbol" w:hAnsi="Symbol"/>
      </w:rPr>
    </w:lvl>
    <w:lvl w:ilvl="4" w:tplc="E7BE2682">
      <w:start w:val="1"/>
      <w:numFmt w:val="bullet"/>
      <w:lvlText w:val=""/>
      <w:lvlJc w:val="left"/>
      <w:pPr>
        <w:ind w:left="720" w:hanging="360"/>
      </w:pPr>
      <w:rPr>
        <w:rFonts w:ascii="Symbol" w:hAnsi="Symbol"/>
      </w:rPr>
    </w:lvl>
    <w:lvl w:ilvl="5" w:tplc="8C3C55EE">
      <w:start w:val="1"/>
      <w:numFmt w:val="bullet"/>
      <w:lvlText w:val=""/>
      <w:lvlJc w:val="left"/>
      <w:pPr>
        <w:ind w:left="720" w:hanging="360"/>
      </w:pPr>
      <w:rPr>
        <w:rFonts w:ascii="Symbol" w:hAnsi="Symbol"/>
      </w:rPr>
    </w:lvl>
    <w:lvl w:ilvl="6" w:tplc="1D18998C">
      <w:start w:val="1"/>
      <w:numFmt w:val="bullet"/>
      <w:lvlText w:val=""/>
      <w:lvlJc w:val="left"/>
      <w:pPr>
        <w:ind w:left="720" w:hanging="360"/>
      </w:pPr>
      <w:rPr>
        <w:rFonts w:ascii="Symbol" w:hAnsi="Symbol"/>
      </w:rPr>
    </w:lvl>
    <w:lvl w:ilvl="7" w:tplc="F5C2C564">
      <w:start w:val="1"/>
      <w:numFmt w:val="bullet"/>
      <w:lvlText w:val=""/>
      <w:lvlJc w:val="left"/>
      <w:pPr>
        <w:ind w:left="720" w:hanging="360"/>
      </w:pPr>
      <w:rPr>
        <w:rFonts w:ascii="Symbol" w:hAnsi="Symbol"/>
      </w:rPr>
    </w:lvl>
    <w:lvl w:ilvl="8" w:tplc="1E96C5B2">
      <w:start w:val="1"/>
      <w:numFmt w:val="bullet"/>
      <w:lvlText w:val=""/>
      <w:lvlJc w:val="left"/>
      <w:pPr>
        <w:ind w:left="720" w:hanging="360"/>
      </w:pPr>
      <w:rPr>
        <w:rFonts w:ascii="Symbol" w:hAnsi="Symbol"/>
      </w:rPr>
    </w:lvl>
  </w:abstractNum>
  <w:abstractNum w:abstractNumId="23" w15:restartNumberingAfterBreak="0">
    <w:nsid w:val="341554A2"/>
    <w:multiLevelType w:val="hybridMultilevel"/>
    <w:tmpl w:val="41B2A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393A4C"/>
    <w:multiLevelType w:val="hybridMultilevel"/>
    <w:tmpl w:val="8DAC99CE"/>
    <w:lvl w:ilvl="0" w:tplc="EDC895E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DC32C2"/>
    <w:multiLevelType w:val="hybridMultilevel"/>
    <w:tmpl w:val="A8904258"/>
    <w:lvl w:ilvl="0" w:tplc="3A82E9D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2B0EF9"/>
    <w:multiLevelType w:val="hybridMultilevel"/>
    <w:tmpl w:val="274E6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B4D3EC3"/>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3B13B7"/>
    <w:multiLevelType w:val="hybridMultilevel"/>
    <w:tmpl w:val="D6B45E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FDA598B"/>
    <w:multiLevelType w:val="multilevel"/>
    <w:tmpl w:val="CAD4E43E"/>
    <w:lvl w:ilvl="0">
      <w:start w:val="1"/>
      <w:numFmt w:val="bullet"/>
      <w:lvlText w:val=""/>
      <w:lvlJc w:val="left"/>
      <w:pPr>
        <w:ind w:left="1440" w:hanging="720"/>
      </w:pPr>
      <w:rPr>
        <w:rFonts w:ascii="Symbol" w:hAnsi="Symbol" w:hint="default"/>
      </w:rPr>
    </w:lvl>
    <w:lvl w:ilvl="1">
      <w:start w:val="1"/>
      <w:numFmt w:val="decimal"/>
      <w:lvlText w:val="%1.%2"/>
      <w:lvlJc w:val="left"/>
      <w:pPr>
        <w:ind w:left="1440" w:hanging="720"/>
      </w:pPr>
      <w:rPr>
        <w:rFonts w:hint="default"/>
        <w:color w:val="auto"/>
      </w:rPr>
    </w:lvl>
    <w:lvl w:ilvl="2">
      <w:start w:val="1"/>
      <w:numFmt w:val="lowerRoman"/>
      <w:lvlText w:val="%3."/>
      <w:lvlJc w:val="right"/>
      <w:pPr>
        <w:ind w:left="3237" w:hanging="177"/>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0" w15:restartNumberingAfterBreak="0">
    <w:nsid w:val="419E1075"/>
    <w:multiLevelType w:val="hybridMultilevel"/>
    <w:tmpl w:val="0CECF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2934841"/>
    <w:multiLevelType w:val="hybridMultilevel"/>
    <w:tmpl w:val="9D4C0956"/>
    <w:lvl w:ilvl="0" w:tplc="0ED2E4A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4510CFF"/>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7344C6C"/>
    <w:multiLevelType w:val="hybridMultilevel"/>
    <w:tmpl w:val="F7263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80368AB"/>
    <w:multiLevelType w:val="hybridMultilevel"/>
    <w:tmpl w:val="96667622"/>
    <w:lvl w:ilvl="0" w:tplc="4CC6CD4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88E2D82"/>
    <w:multiLevelType w:val="hybridMultilevel"/>
    <w:tmpl w:val="3F6A3322"/>
    <w:lvl w:ilvl="0" w:tplc="F036E636">
      <w:start w:val="1"/>
      <w:numFmt w:val="bullet"/>
      <w:lvlText w:val=""/>
      <w:lvlJc w:val="left"/>
      <w:pPr>
        <w:ind w:left="720" w:hanging="360"/>
      </w:pPr>
      <w:rPr>
        <w:rFonts w:ascii="Symbol" w:hAnsi="Symbol"/>
      </w:rPr>
    </w:lvl>
    <w:lvl w:ilvl="1" w:tplc="43882EFC">
      <w:start w:val="1"/>
      <w:numFmt w:val="bullet"/>
      <w:lvlText w:val=""/>
      <w:lvlJc w:val="left"/>
      <w:pPr>
        <w:ind w:left="720" w:hanging="360"/>
      </w:pPr>
      <w:rPr>
        <w:rFonts w:ascii="Symbol" w:hAnsi="Symbol"/>
      </w:rPr>
    </w:lvl>
    <w:lvl w:ilvl="2" w:tplc="CD54969C">
      <w:start w:val="1"/>
      <w:numFmt w:val="bullet"/>
      <w:lvlText w:val=""/>
      <w:lvlJc w:val="left"/>
      <w:pPr>
        <w:ind w:left="720" w:hanging="360"/>
      </w:pPr>
      <w:rPr>
        <w:rFonts w:ascii="Symbol" w:hAnsi="Symbol"/>
      </w:rPr>
    </w:lvl>
    <w:lvl w:ilvl="3" w:tplc="69E6105E">
      <w:start w:val="1"/>
      <w:numFmt w:val="bullet"/>
      <w:lvlText w:val=""/>
      <w:lvlJc w:val="left"/>
      <w:pPr>
        <w:ind w:left="720" w:hanging="360"/>
      </w:pPr>
      <w:rPr>
        <w:rFonts w:ascii="Symbol" w:hAnsi="Symbol"/>
      </w:rPr>
    </w:lvl>
    <w:lvl w:ilvl="4" w:tplc="61A68664">
      <w:start w:val="1"/>
      <w:numFmt w:val="bullet"/>
      <w:lvlText w:val=""/>
      <w:lvlJc w:val="left"/>
      <w:pPr>
        <w:ind w:left="720" w:hanging="360"/>
      </w:pPr>
      <w:rPr>
        <w:rFonts w:ascii="Symbol" w:hAnsi="Symbol"/>
      </w:rPr>
    </w:lvl>
    <w:lvl w:ilvl="5" w:tplc="460A48AE">
      <w:start w:val="1"/>
      <w:numFmt w:val="bullet"/>
      <w:lvlText w:val=""/>
      <w:lvlJc w:val="left"/>
      <w:pPr>
        <w:ind w:left="720" w:hanging="360"/>
      </w:pPr>
      <w:rPr>
        <w:rFonts w:ascii="Symbol" w:hAnsi="Symbol"/>
      </w:rPr>
    </w:lvl>
    <w:lvl w:ilvl="6" w:tplc="C696FB9E">
      <w:start w:val="1"/>
      <w:numFmt w:val="bullet"/>
      <w:lvlText w:val=""/>
      <w:lvlJc w:val="left"/>
      <w:pPr>
        <w:ind w:left="720" w:hanging="360"/>
      </w:pPr>
      <w:rPr>
        <w:rFonts w:ascii="Symbol" w:hAnsi="Symbol"/>
      </w:rPr>
    </w:lvl>
    <w:lvl w:ilvl="7" w:tplc="9190B6F4">
      <w:start w:val="1"/>
      <w:numFmt w:val="bullet"/>
      <w:lvlText w:val=""/>
      <w:lvlJc w:val="left"/>
      <w:pPr>
        <w:ind w:left="720" w:hanging="360"/>
      </w:pPr>
      <w:rPr>
        <w:rFonts w:ascii="Symbol" w:hAnsi="Symbol"/>
      </w:rPr>
    </w:lvl>
    <w:lvl w:ilvl="8" w:tplc="1C1255B6">
      <w:start w:val="1"/>
      <w:numFmt w:val="bullet"/>
      <w:lvlText w:val=""/>
      <w:lvlJc w:val="left"/>
      <w:pPr>
        <w:ind w:left="720" w:hanging="360"/>
      </w:pPr>
      <w:rPr>
        <w:rFonts w:ascii="Symbol" w:hAnsi="Symbol"/>
      </w:rPr>
    </w:lvl>
  </w:abstractNum>
  <w:abstractNum w:abstractNumId="37" w15:restartNumberingAfterBreak="0">
    <w:nsid w:val="48E5325C"/>
    <w:multiLevelType w:val="hybridMultilevel"/>
    <w:tmpl w:val="465A4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39"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40" w15:restartNumberingAfterBreak="0">
    <w:nsid w:val="4F3433AA"/>
    <w:multiLevelType w:val="hybridMultilevel"/>
    <w:tmpl w:val="2A3EE49E"/>
    <w:lvl w:ilvl="0" w:tplc="72188AA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02F4FE4"/>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E617972"/>
    <w:multiLevelType w:val="hybridMultilevel"/>
    <w:tmpl w:val="CD32B0FA"/>
    <w:lvl w:ilvl="0" w:tplc="FF0899FC">
      <w:start w:val="1"/>
      <w:numFmt w:val="bullet"/>
      <w:lvlText w:val=""/>
      <w:lvlJc w:val="left"/>
      <w:pPr>
        <w:ind w:left="720" w:hanging="360"/>
      </w:pPr>
      <w:rPr>
        <w:rFonts w:ascii="Symbol" w:hAnsi="Symbol"/>
      </w:rPr>
    </w:lvl>
    <w:lvl w:ilvl="1" w:tplc="DAF69C6C">
      <w:start w:val="1"/>
      <w:numFmt w:val="bullet"/>
      <w:lvlText w:val=""/>
      <w:lvlJc w:val="left"/>
      <w:pPr>
        <w:ind w:left="720" w:hanging="360"/>
      </w:pPr>
      <w:rPr>
        <w:rFonts w:ascii="Symbol" w:hAnsi="Symbol"/>
      </w:rPr>
    </w:lvl>
    <w:lvl w:ilvl="2" w:tplc="7B8C1B16">
      <w:start w:val="1"/>
      <w:numFmt w:val="bullet"/>
      <w:lvlText w:val=""/>
      <w:lvlJc w:val="left"/>
      <w:pPr>
        <w:ind w:left="720" w:hanging="360"/>
      </w:pPr>
      <w:rPr>
        <w:rFonts w:ascii="Symbol" w:hAnsi="Symbol"/>
      </w:rPr>
    </w:lvl>
    <w:lvl w:ilvl="3" w:tplc="6DF85986">
      <w:start w:val="1"/>
      <w:numFmt w:val="bullet"/>
      <w:lvlText w:val=""/>
      <w:lvlJc w:val="left"/>
      <w:pPr>
        <w:ind w:left="720" w:hanging="360"/>
      </w:pPr>
      <w:rPr>
        <w:rFonts w:ascii="Symbol" w:hAnsi="Symbol"/>
      </w:rPr>
    </w:lvl>
    <w:lvl w:ilvl="4" w:tplc="E6226CE6">
      <w:start w:val="1"/>
      <w:numFmt w:val="bullet"/>
      <w:lvlText w:val=""/>
      <w:lvlJc w:val="left"/>
      <w:pPr>
        <w:ind w:left="720" w:hanging="360"/>
      </w:pPr>
      <w:rPr>
        <w:rFonts w:ascii="Symbol" w:hAnsi="Symbol"/>
      </w:rPr>
    </w:lvl>
    <w:lvl w:ilvl="5" w:tplc="4B846BD2">
      <w:start w:val="1"/>
      <w:numFmt w:val="bullet"/>
      <w:lvlText w:val=""/>
      <w:lvlJc w:val="left"/>
      <w:pPr>
        <w:ind w:left="720" w:hanging="360"/>
      </w:pPr>
      <w:rPr>
        <w:rFonts w:ascii="Symbol" w:hAnsi="Symbol"/>
      </w:rPr>
    </w:lvl>
    <w:lvl w:ilvl="6" w:tplc="C66CAB50">
      <w:start w:val="1"/>
      <w:numFmt w:val="bullet"/>
      <w:lvlText w:val=""/>
      <w:lvlJc w:val="left"/>
      <w:pPr>
        <w:ind w:left="720" w:hanging="360"/>
      </w:pPr>
      <w:rPr>
        <w:rFonts w:ascii="Symbol" w:hAnsi="Symbol"/>
      </w:rPr>
    </w:lvl>
    <w:lvl w:ilvl="7" w:tplc="CE4610C0">
      <w:start w:val="1"/>
      <w:numFmt w:val="bullet"/>
      <w:lvlText w:val=""/>
      <w:lvlJc w:val="left"/>
      <w:pPr>
        <w:ind w:left="720" w:hanging="360"/>
      </w:pPr>
      <w:rPr>
        <w:rFonts w:ascii="Symbol" w:hAnsi="Symbol"/>
      </w:rPr>
    </w:lvl>
    <w:lvl w:ilvl="8" w:tplc="119E41B6">
      <w:start w:val="1"/>
      <w:numFmt w:val="bullet"/>
      <w:lvlText w:val=""/>
      <w:lvlJc w:val="left"/>
      <w:pPr>
        <w:ind w:left="720" w:hanging="360"/>
      </w:pPr>
      <w:rPr>
        <w:rFonts w:ascii="Symbol" w:hAnsi="Symbol"/>
      </w:rPr>
    </w:lvl>
  </w:abstractNum>
  <w:abstractNum w:abstractNumId="44" w15:restartNumberingAfterBreak="0">
    <w:nsid w:val="62910E89"/>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42B1460"/>
    <w:multiLevelType w:val="hybridMultilevel"/>
    <w:tmpl w:val="B0A08F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7EB7BA9"/>
    <w:multiLevelType w:val="hybridMultilevel"/>
    <w:tmpl w:val="A7560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68321CCF"/>
    <w:multiLevelType w:val="hybridMultilevel"/>
    <w:tmpl w:val="F5D0E7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9DD1F31"/>
    <w:multiLevelType w:val="hybridMultilevel"/>
    <w:tmpl w:val="979EF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1E0726B"/>
    <w:multiLevelType w:val="hybridMultilevel"/>
    <w:tmpl w:val="643A8A08"/>
    <w:lvl w:ilvl="0" w:tplc="B7C6AC5A">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20A3D01"/>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2F15BEB"/>
    <w:multiLevelType w:val="hybridMultilevel"/>
    <w:tmpl w:val="1D34A118"/>
    <w:lvl w:ilvl="0" w:tplc="97181EEA">
      <w:start w:val="1"/>
      <w:numFmt w:val="bullet"/>
      <w:lvlText w:val=""/>
      <w:lvlJc w:val="left"/>
      <w:pPr>
        <w:ind w:left="1440" w:hanging="360"/>
      </w:pPr>
      <w:rPr>
        <w:rFonts w:ascii="Symbol" w:hAnsi="Symbol"/>
      </w:rPr>
    </w:lvl>
    <w:lvl w:ilvl="1" w:tplc="54884C16">
      <w:start w:val="1"/>
      <w:numFmt w:val="bullet"/>
      <w:lvlText w:val=""/>
      <w:lvlJc w:val="left"/>
      <w:pPr>
        <w:ind w:left="1440" w:hanging="360"/>
      </w:pPr>
      <w:rPr>
        <w:rFonts w:ascii="Symbol" w:hAnsi="Symbol"/>
      </w:rPr>
    </w:lvl>
    <w:lvl w:ilvl="2" w:tplc="3C9A4136">
      <w:start w:val="1"/>
      <w:numFmt w:val="bullet"/>
      <w:lvlText w:val=""/>
      <w:lvlJc w:val="left"/>
      <w:pPr>
        <w:ind w:left="1440" w:hanging="360"/>
      </w:pPr>
      <w:rPr>
        <w:rFonts w:ascii="Symbol" w:hAnsi="Symbol"/>
      </w:rPr>
    </w:lvl>
    <w:lvl w:ilvl="3" w:tplc="1B0E6CEC">
      <w:start w:val="1"/>
      <w:numFmt w:val="bullet"/>
      <w:lvlText w:val=""/>
      <w:lvlJc w:val="left"/>
      <w:pPr>
        <w:ind w:left="1440" w:hanging="360"/>
      </w:pPr>
      <w:rPr>
        <w:rFonts w:ascii="Symbol" w:hAnsi="Symbol"/>
      </w:rPr>
    </w:lvl>
    <w:lvl w:ilvl="4" w:tplc="11B4A37A">
      <w:start w:val="1"/>
      <w:numFmt w:val="bullet"/>
      <w:lvlText w:val=""/>
      <w:lvlJc w:val="left"/>
      <w:pPr>
        <w:ind w:left="1440" w:hanging="360"/>
      </w:pPr>
      <w:rPr>
        <w:rFonts w:ascii="Symbol" w:hAnsi="Symbol"/>
      </w:rPr>
    </w:lvl>
    <w:lvl w:ilvl="5" w:tplc="E73EC97E">
      <w:start w:val="1"/>
      <w:numFmt w:val="bullet"/>
      <w:lvlText w:val=""/>
      <w:lvlJc w:val="left"/>
      <w:pPr>
        <w:ind w:left="1440" w:hanging="360"/>
      </w:pPr>
      <w:rPr>
        <w:rFonts w:ascii="Symbol" w:hAnsi="Symbol"/>
      </w:rPr>
    </w:lvl>
    <w:lvl w:ilvl="6" w:tplc="6FA8F2E0">
      <w:start w:val="1"/>
      <w:numFmt w:val="bullet"/>
      <w:lvlText w:val=""/>
      <w:lvlJc w:val="left"/>
      <w:pPr>
        <w:ind w:left="1440" w:hanging="360"/>
      </w:pPr>
      <w:rPr>
        <w:rFonts w:ascii="Symbol" w:hAnsi="Symbol"/>
      </w:rPr>
    </w:lvl>
    <w:lvl w:ilvl="7" w:tplc="2C38D8A6">
      <w:start w:val="1"/>
      <w:numFmt w:val="bullet"/>
      <w:lvlText w:val=""/>
      <w:lvlJc w:val="left"/>
      <w:pPr>
        <w:ind w:left="1440" w:hanging="360"/>
      </w:pPr>
      <w:rPr>
        <w:rFonts w:ascii="Symbol" w:hAnsi="Symbol"/>
      </w:rPr>
    </w:lvl>
    <w:lvl w:ilvl="8" w:tplc="1588712E">
      <w:start w:val="1"/>
      <w:numFmt w:val="bullet"/>
      <w:lvlText w:val=""/>
      <w:lvlJc w:val="left"/>
      <w:pPr>
        <w:ind w:left="1440" w:hanging="360"/>
      </w:pPr>
      <w:rPr>
        <w:rFonts w:ascii="Symbol" w:hAnsi="Symbol"/>
      </w:rPr>
    </w:lvl>
  </w:abstractNum>
  <w:abstractNum w:abstractNumId="53" w15:restartNumberingAfterBreak="0">
    <w:nsid w:val="73234DD2"/>
    <w:multiLevelType w:val="hybridMultilevel"/>
    <w:tmpl w:val="9402B6BC"/>
    <w:lvl w:ilvl="0" w:tplc="E2D82A90">
      <w:start w:val="1"/>
      <w:numFmt w:val="bullet"/>
      <w:lvlText w:val=""/>
      <w:lvlJc w:val="left"/>
      <w:pPr>
        <w:ind w:left="720" w:hanging="360"/>
      </w:pPr>
      <w:rPr>
        <w:rFonts w:ascii="Symbol" w:hAnsi="Symbol"/>
      </w:rPr>
    </w:lvl>
    <w:lvl w:ilvl="1" w:tplc="5D782C0E">
      <w:start w:val="1"/>
      <w:numFmt w:val="bullet"/>
      <w:lvlText w:val=""/>
      <w:lvlJc w:val="left"/>
      <w:pPr>
        <w:ind w:left="720" w:hanging="360"/>
      </w:pPr>
      <w:rPr>
        <w:rFonts w:ascii="Symbol" w:hAnsi="Symbol"/>
      </w:rPr>
    </w:lvl>
    <w:lvl w:ilvl="2" w:tplc="6248DDC0">
      <w:start w:val="1"/>
      <w:numFmt w:val="bullet"/>
      <w:lvlText w:val=""/>
      <w:lvlJc w:val="left"/>
      <w:pPr>
        <w:ind w:left="720" w:hanging="360"/>
      </w:pPr>
      <w:rPr>
        <w:rFonts w:ascii="Symbol" w:hAnsi="Symbol"/>
      </w:rPr>
    </w:lvl>
    <w:lvl w:ilvl="3" w:tplc="CF1E3504">
      <w:start w:val="1"/>
      <w:numFmt w:val="bullet"/>
      <w:lvlText w:val=""/>
      <w:lvlJc w:val="left"/>
      <w:pPr>
        <w:ind w:left="720" w:hanging="360"/>
      </w:pPr>
      <w:rPr>
        <w:rFonts w:ascii="Symbol" w:hAnsi="Symbol"/>
      </w:rPr>
    </w:lvl>
    <w:lvl w:ilvl="4" w:tplc="47723E1E">
      <w:start w:val="1"/>
      <w:numFmt w:val="bullet"/>
      <w:lvlText w:val=""/>
      <w:lvlJc w:val="left"/>
      <w:pPr>
        <w:ind w:left="720" w:hanging="360"/>
      </w:pPr>
      <w:rPr>
        <w:rFonts w:ascii="Symbol" w:hAnsi="Symbol"/>
      </w:rPr>
    </w:lvl>
    <w:lvl w:ilvl="5" w:tplc="61A8C094">
      <w:start w:val="1"/>
      <w:numFmt w:val="bullet"/>
      <w:lvlText w:val=""/>
      <w:lvlJc w:val="left"/>
      <w:pPr>
        <w:ind w:left="720" w:hanging="360"/>
      </w:pPr>
      <w:rPr>
        <w:rFonts w:ascii="Symbol" w:hAnsi="Symbol"/>
      </w:rPr>
    </w:lvl>
    <w:lvl w:ilvl="6" w:tplc="731EDD8A">
      <w:start w:val="1"/>
      <w:numFmt w:val="bullet"/>
      <w:lvlText w:val=""/>
      <w:lvlJc w:val="left"/>
      <w:pPr>
        <w:ind w:left="720" w:hanging="360"/>
      </w:pPr>
      <w:rPr>
        <w:rFonts w:ascii="Symbol" w:hAnsi="Symbol"/>
      </w:rPr>
    </w:lvl>
    <w:lvl w:ilvl="7" w:tplc="7D908074">
      <w:start w:val="1"/>
      <w:numFmt w:val="bullet"/>
      <w:lvlText w:val=""/>
      <w:lvlJc w:val="left"/>
      <w:pPr>
        <w:ind w:left="720" w:hanging="360"/>
      </w:pPr>
      <w:rPr>
        <w:rFonts w:ascii="Symbol" w:hAnsi="Symbol"/>
      </w:rPr>
    </w:lvl>
    <w:lvl w:ilvl="8" w:tplc="6A6638C4">
      <w:start w:val="1"/>
      <w:numFmt w:val="bullet"/>
      <w:lvlText w:val=""/>
      <w:lvlJc w:val="left"/>
      <w:pPr>
        <w:ind w:left="720" w:hanging="360"/>
      </w:pPr>
      <w:rPr>
        <w:rFonts w:ascii="Symbol" w:hAnsi="Symbol"/>
      </w:rPr>
    </w:lvl>
  </w:abstractNum>
  <w:abstractNum w:abstractNumId="54" w15:restartNumberingAfterBreak="0">
    <w:nsid w:val="7390380D"/>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449763E"/>
    <w:multiLevelType w:val="hybridMultilevel"/>
    <w:tmpl w:val="88049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4F9586D"/>
    <w:multiLevelType w:val="hybridMultilevel"/>
    <w:tmpl w:val="142C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5087ED8"/>
    <w:multiLevelType w:val="hybridMultilevel"/>
    <w:tmpl w:val="D3FE6A9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58" w15:restartNumberingAfterBreak="0">
    <w:nsid w:val="784D033C"/>
    <w:multiLevelType w:val="multilevel"/>
    <w:tmpl w:val="CC92A716"/>
    <w:lvl w:ilvl="0">
      <w:start w:val="1"/>
      <w:numFmt w:val="decimal"/>
      <w:pStyle w:val="2-SectionHeading"/>
      <w:lvlText w:val="%1"/>
      <w:lvlJc w:val="left"/>
      <w:pPr>
        <w:ind w:left="720" w:hanging="720"/>
      </w:pPr>
      <w:rPr>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9" w15:restartNumberingAfterBreak="0">
    <w:nsid w:val="78AE75E8"/>
    <w:multiLevelType w:val="hybridMultilevel"/>
    <w:tmpl w:val="F72634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A6B2804"/>
    <w:multiLevelType w:val="hybridMultilevel"/>
    <w:tmpl w:val="9D60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C021DBB"/>
    <w:multiLevelType w:val="hybridMultilevel"/>
    <w:tmpl w:val="7E5CF7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1843868">
    <w:abstractNumId w:val="3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950695">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6997367">
    <w:abstractNumId w:val="49"/>
  </w:num>
  <w:num w:numId="4" w16cid:durableId="1955818708">
    <w:abstractNumId w:val="11"/>
  </w:num>
  <w:num w:numId="5" w16cid:durableId="1762793081">
    <w:abstractNumId w:val="16"/>
  </w:num>
  <w:num w:numId="6" w16cid:durableId="1063870176">
    <w:abstractNumId w:val="7"/>
  </w:num>
  <w:num w:numId="7" w16cid:durableId="17202420">
    <w:abstractNumId w:val="19"/>
  </w:num>
  <w:num w:numId="8" w16cid:durableId="1042025453">
    <w:abstractNumId w:val="42"/>
  </w:num>
  <w:num w:numId="9" w16cid:durableId="65380400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3588150">
    <w:abstractNumId w:val="28"/>
  </w:num>
  <w:num w:numId="11" w16cid:durableId="1146433718">
    <w:abstractNumId w:val="13"/>
  </w:num>
  <w:num w:numId="12" w16cid:durableId="403258695">
    <w:abstractNumId w:val="55"/>
  </w:num>
  <w:num w:numId="13" w16cid:durableId="1862627038">
    <w:abstractNumId w:val="60"/>
  </w:num>
  <w:num w:numId="14" w16cid:durableId="1933540907">
    <w:abstractNumId w:val="17"/>
  </w:num>
  <w:num w:numId="15" w16cid:durableId="410933758">
    <w:abstractNumId w:val="25"/>
  </w:num>
  <w:num w:numId="16" w16cid:durableId="1277060000">
    <w:abstractNumId w:val="33"/>
  </w:num>
  <w:num w:numId="17" w16cid:durableId="932201648">
    <w:abstractNumId w:val="58"/>
  </w:num>
  <w:num w:numId="18" w16cid:durableId="871497882">
    <w:abstractNumId w:val="10"/>
  </w:num>
  <w:num w:numId="19" w16cid:durableId="2057124610">
    <w:abstractNumId w:val="48"/>
  </w:num>
  <w:num w:numId="20" w16cid:durableId="174879048">
    <w:abstractNumId w:val="24"/>
  </w:num>
  <w:num w:numId="21" w16cid:durableId="258415052">
    <w:abstractNumId w:val="47"/>
  </w:num>
  <w:num w:numId="22" w16cid:durableId="1753772491">
    <w:abstractNumId w:val="50"/>
  </w:num>
  <w:num w:numId="23" w16cid:durableId="701518877">
    <w:abstractNumId w:val="45"/>
  </w:num>
  <w:num w:numId="24" w16cid:durableId="1493136778">
    <w:abstractNumId w:val="31"/>
  </w:num>
  <w:num w:numId="25" w16cid:durableId="527648721">
    <w:abstractNumId w:val="9"/>
  </w:num>
  <w:num w:numId="26" w16cid:durableId="753933244">
    <w:abstractNumId w:val="40"/>
  </w:num>
  <w:num w:numId="27" w16cid:durableId="1139153049">
    <w:abstractNumId w:val="34"/>
  </w:num>
  <w:num w:numId="28" w16cid:durableId="699205066">
    <w:abstractNumId w:val="20"/>
  </w:num>
  <w:num w:numId="29" w16cid:durableId="1951667345">
    <w:abstractNumId w:val="8"/>
  </w:num>
  <w:num w:numId="30" w16cid:durableId="860750086">
    <w:abstractNumId w:val="44"/>
  </w:num>
  <w:num w:numId="31" w16cid:durableId="2092240650">
    <w:abstractNumId w:val="1"/>
  </w:num>
  <w:num w:numId="32" w16cid:durableId="20669193">
    <w:abstractNumId w:val="6"/>
  </w:num>
  <w:num w:numId="33" w16cid:durableId="602032988">
    <w:abstractNumId w:val="32"/>
  </w:num>
  <w:num w:numId="34" w16cid:durableId="795491393">
    <w:abstractNumId w:val="18"/>
  </w:num>
  <w:num w:numId="35" w16cid:durableId="1371421239">
    <w:abstractNumId w:val="54"/>
  </w:num>
  <w:num w:numId="36" w16cid:durableId="495536337">
    <w:abstractNumId w:val="59"/>
  </w:num>
  <w:num w:numId="37" w16cid:durableId="508719203">
    <w:abstractNumId w:val="14"/>
  </w:num>
  <w:num w:numId="38" w16cid:durableId="258568966">
    <w:abstractNumId w:val="27"/>
  </w:num>
  <w:num w:numId="39" w16cid:durableId="1399867477">
    <w:abstractNumId w:val="41"/>
  </w:num>
  <w:num w:numId="40" w16cid:durableId="1150096549">
    <w:abstractNumId w:val="51"/>
  </w:num>
  <w:num w:numId="41" w16cid:durableId="1847667302">
    <w:abstractNumId w:val="30"/>
  </w:num>
  <w:num w:numId="42" w16cid:durableId="1178958632">
    <w:abstractNumId w:val="56"/>
  </w:num>
  <w:num w:numId="43" w16cid:durableId="764303977">
    <w:abstractNumId w:val="35"/>
  </w:num>
  <w:num w:numId="44" w16cid:durableId="645934640">
    <w:abstractNumId w:val="5"/>
  </w:num>
  <w:num w:numId="45" w16cid:durableId="1871991393">
    <w:abstractNumId w:val="4"/>
  </w:num>
  <w:num w:numId="46" w16cid:durableId="1059479469">
    <w:abstractNumId w:val="23"/>
  </w:num>
  <w:num w:numId="47" w16cid:durableId="2069498770">
    <w:abstractNumId w:val="12"/>
  </w:num>
  <w:num w:numId="48" w16cid:durableId="722487997">
    <w:abstractNumId w:val="2"/>
  </w:num>
  <w:num w:numId="49" w16cid:durableId="1622765155">
    <w:abstractNumId w:val="46"/>
  </w:num>
  <w:num w:numId="50" w16cid:durableId="1981885625">
    <w:abstractNumId w:val="61"/>
  </w:num>
  <w:num w:numId="51" w16cid:durableId="1588225749">
    <w:abstractNumId w:val="37"/>
  </w:num>
  <w:num w:numId="52" w16cid:durableId="1233615601">
    <w:abstractNumId w:val="52"/>
  </w:num>
  <w:num w:numId="53" w16cid:durableId="1957903164">
    <w:abstractNumId w:val="15"/>
  </w:num>
  <w:num w:numId="54" w16cid:durableId="113528507">
    <w:abstractNumId w:val="53"/>
  </w:num>
  <w:num w:numId="55" w16cid:durableId="609044352">
    <w:abstractNumId w:val="43"/>
  </w:num>
  <w:num w:numId="56" w16cid:durableId="1704600303">
    <w:abstractNumId w:val="22"/>
  </w:num>
  <w:num w:numId="57" w16cid:durableId="1602568203">
    <w:abstractNumId w:val="36"/>
  </w:num>
  <w:num w:numId="58" w16cid:durableId="1486430306">
    <w:abstractNumId w:val="0"/>
  </w:num>
  <w:num w:numId="59" w16cid:durableId="234127176">
    <w:abstractNumId w:val="29"/>
  </w:num>
  <w:num w:numId="60" w16cid:durableId="2103794336">
    <w:abstractNumId w:val="57"/>
  </w:num>
  <w:num w:numId="61" w16cid:durableId="1903590950">
    <w:abstractNumId w:val="26"/>
  </w:num>
  <w:num w:numId="62" w16cid:durableId="1809662724">
    <w:abstractNumId w:val="3"/>
  </w:num>
  <w:num w:numId="63" w16cid:durableId="1377510151">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364"/>
    <w:rsid w:val="0000162D"/>
    <w:rsid w:val="000017CE"/>
    <w:rsid w:val="00002288"/>
    <w:rsid w:val="00002868"/>
    <w:rsid w:val="00002E16"/>
    <w:rsid w:val="00002E7D"/>
    <w:rsid w:val="0000304C"/>
    <w:rsid w:val="000034C3"/>
    <w:rsid w:val="00003584"/>
    <w:rsid w:val="00004628"/>
    <w:rsid w:val="0000462B"/>
    <w:rsid w:val="00004D33"/>
    <w:rsid w:val="00004D75"/>
    <w:rsid w:val="00004F9D"/>
    <w:rsid w:val="0000554D"/>
    <w:rsid w:val="00005B5B"/>
    <w:rsid w:val="00005EC6"/>
    <w:rsid w:val="00005F17"/>
    <w:rsid w:val="00005FA7"/>
    <w:rsid w:val="000063DB"/>
    <w:rsid w:val="000068DD"/>
    <w:rsid w:val="00006BB1"/>
    <w:rsid w:val="0000733C"/>
    <w:rsid w:val="000074BD"/>
    <w:rsid w:val="00007932"/>
    <w:rsid w:val="00007D69"/>
    <w:rsid w:val="000102AF"/>
    <w:rsid w:val="00010379"/>
    <w:rsid w:val="00010886"/>
    <w:rsid w:val="00010920"/>
    <w:rsid w:val="00010B32"/>
    <w:rsid w:val="00010EF9"/>
    <w:rsid w:val="00011394"/>
    <w:rsid w:val="00011420"/>
    <w:rsid w:val="0001152D"/>
    <w:rsid w:val="000118E3"/>
    <w:rsid w:val="00011EA7"/>
    <w:rsid w:val="000120D3"/>
    <w:rsid w:val="000128E9"/>
    <w:rsid w:val="000129ED"/>
    <w:rsid w:val="00013284"/>
    <w:rsid w:val="0001362E"/>
    <w:rsid w:val="000136A0"/>
    <w:rsid w:val="00013785"/>
    <w:rsid w:val="00014746"/>
    <w:rsid w:val="000147E4"/>
    <w:rsid w:val="00014B96"/>
    <w:rsid w:val="00014DC1"/>
    <w:rsid w:val="00014FF8"/>
    <w:rsid w:val="00015520"/>
    <w:rsid w:val="000155A7"/>
    <w:rsid w:val="00015748"/>
    <w:rsid w:val="00015DFE"/>
    <w:rsid w:val="00016092"/>
    <w:rsid w:val="0001617C"/>
    <w:rsid w:val="00016211"/>
    <w:rsid w:val="0001634D"/>
    <w:rsid w:val="00016386"/>
    <w:rsid w:val="00016707"/>
    <w:rsid w:val="00016F44"/>
    <w:rsid w:val="00017050"/>
    <w:rsid w:val="000171D6"/>
    <w:rsid w:val="00017870"/>
    <w:rsid w:val="000179CE"/>
    <w:rsid w:val="00017CDE"/>
    <w:rsid w:val="00020127"/>
    <w:rsid w:val="000209C6"/>
    <w:rsid w:val="00020D50"/>
    <w:rsid w:val="000210EB"/>
    <w:rsid w:val="00021B23"/>
    <w:rsid w:val="000220E8"/>
    <w:rsid w:val="00022361"/>
    <w:rsid w:val="000223D3"/>
    <w:rsid w:val="00022435"/>
    <w:rsid w:val="00022686"/>
    <w:rsid w:val="000228B1"/>
    <w:rsid w:val="00022BDB"/>
    <w:rsid w:val="00022BF5"/>
    <w:rsid w:val="0002300F"/>
    <w:rsid w:val="0002305C"/>
    <w:rsid w:val="000231EA"/>
    <w:rsid w:val="00023228"/>
    <w:rsid w:val="000235A6"/>
    <w:rsid w:val="00023817"/>
    <w:rsid w:val="0002401C"/>
    <w:rsid w:val="00024248"/>
    <w:rsid w:val="000245BC"/>
    <w:rsid w:val="0002470A"/>
    <w:rsid w:val="00024CE2"/>
    <w:rsid w:val="0002564D"/>
    <w:rsid w:val="00025967"/>
    <w:rsid w:val="00025F56"/>
    <w:rsid w:val="00026187"/>
    <w:rsid w:val="0002655C"/>
    <w:rsid w:val="00026954"/>
    <w:rsid w:val="0002716D"/>
    <w:rsid w:val="00027346"/>
    <w:rsid w:val="00027672"/>
    <w:rsid w:val="00027773"/>
    <w:rsid w:val="00027845"/>
    <w:rsid w:val="00027AB0"/>
    <w:rsid w:val="0002DC56"/>
    <w:rsid w:val="0003017D"/>
    <w:rsid w:val="00030320"/>
    <w:rsid w:val="00030887"/>
    <w:rsid w:val="00030A03"/>
    <w:rsid w:val="00030A49"/>
    <w:rsid w:val="000311AC"/>
    <w:rsid w:val="00031946"/>
    <w:rsid w:val="00032078"/>
    <w:rsid w:val="00032180"/>
    <w:rsid w:val="00032226"/>
    <w:rsid w:val="0003225B"/>
    <w:rsid w:val="000322EC"/>
    <w:rsid w:val="000324DA"/>
    <w:rsid w:val="00032AB9"/>
    <w:rsid w:val="00032CE5"/>
    <w:rsid w:val="00033AE2"/>
    <w:rsid w:val="00033D0B"/>
    <w:rsid w:val="00034086"/>
    <w:rsid w:val="00034121"/>
    <w:rsid w:val="00034321"/>
    <w:rsid w:val="00034AE8"/>
    <w:rsid w:val="000350A9"/>
    <w:rsid w:val="00035472"/>
    <w:rsid w:val="0003551E"/>
    <w:rsid w:val="00035622"/>
    <w:rsid w:val="00035C4A"/>
    <w:rsid w:val="00035CFA"/>
    <w:rsid w:val="00036501"/>
    <w:rsid w:val="00036531"/>
    <w:rsid w:val="000365B0"/>
    <w:rsid w:val="00036CF7"/>
    <w:rsid w:val="00037175"/>
    <w:rsid w:val="00037F52"/>
    <w:rsid w:val="0004019D"/>
    <w:rsid w:val="0004054A"/>
    <w:rsid w:val="000407E0"/>
    <w:rsid w:val="000412FE"/>
    <w:rsid w:val="00041467"/>
    <w:rsid w:val="0004160D"/>
    <w:rsid w:val="00041F3D"/>
    <w:rsid w:val="0004257E"/>
    <w:rsid w:val="00042593"/>
    <w:rsid w:val="00042704"/>
    <w:rsid w:val="000428E8"/>
    <w:rsid w:val="00042970"/>
    <w:rsid w:val="000433CA"/>
    <w:rsid w:val="00043755"/>
    <w:rsid w:val="00043C1D"/>
    <w:rsid w:val="00044146"/>
    <w:rsid w:val="0004479C"/>
    <w:rsid w:val="00044BB4"/>
    <w:rsid w:val="00045450"/>
    <w:rsid w:val="00045BFA"/>
    <w:rsid w:val="00046725"/>
    <w:rsid w:val="000468C0"/>
    <w:rsid w:val="00046DA2"/>
    <w:rsid w:val="000470CA"/>
    <w:rsid w:val="00047C23"/>
    <w:rsid w:val="00050762"/>
    <w:rsid w:val="000507B9"/>
    <w:rsid w:val="00050DA9"/>
    <w:rsid w:val="0005132F"/>
    <w:rsid w:val="0005150B"/>
    <w:rsid w:val="00051AF5"/>
    <w:rsid w:val="00051F8F"/>
    <w:rsid w:val="00052E3F"/>
    <w:rsid w:val="000548C7"/>
    <w:rsid w:val="00054B8B"/>
    <w:rsid w:val="00054EA7"/>
    <w:rsid w:val="00055866"/>
    <w:rsid w:val="00055A01"/>
    <w:rsid w:val="000563D8"/>
    <w:rsid w:val="0005661F"/>
    <w:rsid w:val="00057006"/>
    <w:rsid w:val="000575B4"/>
    <w:rsid w:val="000601EA"/>
    <w:rsid w:val="000603CB"/>
    <w:rsid w:val="000605F9"/>
    <w:rsid w:val="0006084C"/>
    <w:rsid w:val="000608FE"/>
    <w:rsid w:val="00060E7B"/>
    <w:rsid w:val="000615B0"/>
    <w:rsid w:val="000617D0"/>
    <w:rsid w:val="00061C73"/>
    <w:rsid w:val="00061E01"/>
    <w:rsid w:val="0006239E"/>
    <w:rsid w:val="0006295A"/>
    <w:rsid w:val="00062AF3"/>
    <w:rsid w:val="00062DBE"/>
    <w:rsid w:val="00062EE7"/>
    <w:rsid w:val="00062F87"/>
    <w:rsid w:val="00062FEE"/>
    <w:rsid w:val="0006305A"/>
    <w:rsid w:val="00063210"/>
    <w:rsid w:val="0006357B"/>
    <w:rsid w:val="00063B11"/>
    <w:rsid w:val="00063D17"/>
    <w:rsid w:val="000643D0"/>
    <w:rsid w:val="000648E2"/>
    <w:rsid w:val="000650C3"/>
    <w:rsid w:val="00065195"/>
    <w:rsid w:val="00065584"/>
    <w:rsid w:val="00065C22"/>
    <w:rsid w:val="000666A9"/>
    <w:rsid w:val="00066CF6"/>
    <w:rsid w:val="0006717D"/>
    <w:rsid w:val="000672D3"/>
    <w:rsid w:val="0006744F"/>
    <w:rsid w:val="00067A06"/>
    <w:rsid w:val="00067E91"/>
    <w:rsid w:val="00070204"/>
    <w:rsid w:val="00070550"/>
    <w:rsid w:val="00070612"/>
    <w:rsid w:val="0007061C"/>
    <w:rsid w:val="00070D59"/>
    <w:rsid w:val="00071230"/>
    <w:rsid w:val="000714CE"/>
    <w:rsid w:val="00071D67"/>
    <w:rsid w:val="0007221C"/>
    <w:rsid w:val="00072584"/>
    <w:rsid w:val="000726C3"/>
    <w:rsid w:val="000728AC"/>
    <w:rsid w:val="00072E3B"/>
    <w:rsid w:val="00072F02"/>
    <w:rsid w:val="00072F85"/>
    <w:rsid w:val="00073432"/>
    <w:rsid w:val="00074126"/>
    <w:rsid w:val="0007567B"/>
    <w:rsid w:val="00075B7E"/>
    <w:rsid w:val="00076287"/>
    <w:rsid w:val="00076297"/>
    <w:rsid w:val="00076AED"/>
    <w:rsid w:val="00077533"/>
    <w:rsid w:val="00077555"/>
    <w:rsid w:val="00077A40"/>
    <w:rsid w:val="00077F45"/>
    <w:rsid w:val="00080510"/>
    <w:rsid w:val="000809F7"/>
    <w:rsid w:val="00081153"/>
    <w:rsid w:val="00081DCD"/>
    <w:rsid w:val="00082053"/>
    <w:rsid w:val="00082507"/>
    <w:rsid w:val="000827F9"/>
    <w:rsid w:val="00082A9D"/>
    <w:rsid w:val="00082ED9"/>
    <w:rsid w:val="000834C8"/>
    <w:rsid w:val="00083789"/>
    <w:rsid w:val="00083792"/>
    <w:rsid w:val="000839D5"/>
    <w:rsid w:val="00083A63"/>
    <w:rsid w:val="00083BE8"/>
    <w:rsid w:val="00083E6A"/>
    <w:rsid w:val="00084012"/>
    <w:rsid w:val="00084017"/>
    <w:rsid w:val="00084264"/>
    <w:rsid w:val="000842BB"/>
    <w:rsid w:val="00084B20"/>
    <w:rsid w:val="00084CED"/>
    <w:rsid w:val="00084D37"/>
    <w:rsid w:val="00084E9F"/>
    <w:rsid w:val="000855C9"/>
    <w:rsid w:val="0008574F"/>
    <w:rsid w:val="00085A38"/>
    <w:rsid w:val="00085F9C"/>
    <w:rsid w:val="00086013"/>
    <w:rsid w:val="0008687E"/>
    <w:rsid w:val="000868A3"/>
    <w:rsid w:val="00086D66"/>
    <w:rsid w:val="000872FA"/>
    <w:rsid w:val="0008737D"/>
    <w:rsid w:val="000879A5"/>
    <w:rsid w:val="00090385"/>
    <w:rsid w:val="000908F9"/>
    <w:rsid w:val="00090D21"/>
    <w:rsid w:val="00090E77"/>
    <w:rsid w:val="00090F42"/>
    <w:rsid w:val="00091262"/>
    <w:rsid w:val="00091269"/>
    <w:rsid w:val="000921BC"/>
    <w:rsid w:val="00092523"/>
    <w:rsid w:val="0009260A"/>
    <w:rsid w:val="00093960"/>
    <w:rsid w:val="0009470A"/>
    <w:rsid w:val="00095C30"/>
    <w:rsid w:val="000968AD"/>
    <w:rsid w:val="00096AAC"/>
    <w:rsid w:val="00096B9F"/>
    <w:rsid w:val="00096E39"/>
    <w:rsid w:val="000972AC"/>
    <w:rsid w:val="00097C0E"/>
    <w:rsid w:val="00097ED4"/>
    <w:rsid w:val="000A0004"/>
    <w:rsid w:val="000A0466"/>
    <w:rsid w:val="000A06D9"/>
    <w:rsid w:val="000A084E"/>
    <w:rsid w:val="000A1E1C"/>
    <w:rsid w:val="000A2697"/>
    <w:rsid w:val="000A26EE"/>
    <w:rsid w:val="000A29FA"/>
    <w:rsid w:val="000A2A86"/>
    <w:rsid w:val="000A2C2D"/>
    <w:rsid w:val="000A2DE4"/>
    <w:rsid w:val="000A2DFF"/>
    <w:rsid w:val="000A2FEC"/>
    <w:rsid w:val="000A3BB7"/>
    <w:rsid w:val="000A418B"/>
    <w:rsid w:val="000A46FC"/>
    <w:rsid w:val="000A4955"/>
    <w:rsid w:val="000A4C9A"/>
    <w:rsid w:val="000A570D"/>
    <w:rsid w:val="000A59CC"/>
    <w:rsid w:val="000A6103"/>
    <w:rsid w:val="000A64C7"/>
    <w:rsid w:val="000A6654"/>
    <w:rsid w:val="000A7C8A"/>
    <w:rsid w:val="000A7F23"/>
    <w:rsid w:val="000B060D"/>
    <w:rsid w:val="000B0C47"/>
    <w:rsid w:val="000B1170"/>
    <w:rsid w:val="000B1811"/>
    <w:rsid w:val="000B1A6E"/>
    <w:rsid w:val="000B21DD"/>
    <w:rsid w:val="000B2F97"/>
    <w:rsid w:val="000B2FF6"/>
    <w:rsid w:val="000B3004"/>
    <w:rsid w:val="000B3043"/>
    <w:rsid w:val="000B3252"/>
    <w:rsid w:val="000B34FA"/>
    <w:rsid w:val="000B3688"/>
    <w:rsid w:val="000B36FE"/>
    <w:rsid w:val="000B372D"/>
    <w:rsid w:val="000B38D3"/>
    <w:rsid w:val="000B4A8E"/>
    <w:rsid w:val="000B5120"/>
    <w:rsid w:val="000B5B24"/>
    <w:rsid w:val="000B5D32"/>
    <w:rsid w:val="000B6487"/>
    <w:rsid w:val="000B6824"/>
    <w:rsid w:val="000B6DBE"/>
    <w:rsid w:val="000B7528"/>
    <w:rsid w:val="000B771A"/>
    <w:rsid w:val="000B7A91"/>
    <w:rsid w:val="000B7F45"/>
    <w:rsid w:val="000C0211"/>
    <w:rsid w:val="000C040A"/>
    <w:rsid w:val="000C0497"/>
    <w:rsid w:val="000C0C31"/>
    <w:rsid w:val="000C0E21"/>
    <w:rsid w:val="000C147A"/>
    <w:rsid w:val="000C15DB"/>
    <w:rsid w:val="000C1A94"/>
    <w:rsid w:val="000C1BA1"/>
    <w:rsid w:val="000C1DF3"/>
    <w:rsid w:val="000C219D"/>
    <w:rsid w:val="000C22B0"/>
    <w:rsid w:val="000C2786"/>
    <w:rsid w:val="000C294C"/>
    <w:rsid w:val="000C2E72"/>
    <w:rsid w:val="000C2FFA"/>
    <w:rsid w:val="000C3369"/>
    <w:rsid w:val="000C339F"/>
    <w:rsid w:val="000C3428"/>
    <w:rsid w:val="000C34BA"/>
    <w:rsid w:val="000C3841"/>
    <w:rsid w:val="000C3CAA"/>
    <w:rsid w:val="000C3F2C"/>
    <w:rsid w:val="000C45E3"/>
    <w:rsid w:val="000C4805"/>
    <w:rsid w:val="000C494F"/>
    <w:rsid w:val="000C545B"/>
    <w:rsid w:val="000C56B4"/>
    <w:rsid w:val="000C586F"/>
    <w:rsid w:val="000C5A78"/>
    <w:rsid w:val="000C5B48"/>
    <w:rsid w:val="000C661A"/>
    <w:rsid w:val="000C77A9"/>
    <w:rsid w:val="000D0D8B"/>
    <w:rsid w:val="000D1292"/>
    <w:rsid w:val="000D14F1"/>
    <w:rsid w:val="000D17E0"/>
    <w:rsid w:val="000D1C61"/>
    <w:rsid w:val="000D20F2"/>
    <w:rsid w:val="000D2AFE"/>
    <w:rsid w:val="000D2D84"/>
    <w:rsid w:val="000D3190"/>
    <w:rsid w:val="000D3BC0"/>
    <w:rsid w:val="000D3ECA"/>
    <w:rsid w:val="000D418F"/>
    <w:rsid w:val="000D4551"/>
    <w:rsid w:val="000D53FC"/>
    <w:rsid w:val="000D5763"/>
    <w:rsid w:val="000D5D71"/>
    <w:rsid w:val="000D5EFB"/>
    <w:rsid w:val="000D6416"/>
    <w:rsid w:val="000D7005"/>
    <w:rsid w:val="000D7661"/>
    <w:rsid w:val="000D79EB"/>
    <w:rsid w:val="000D7E0C"/>
    <w:rsid w:val="000D7E79"/>
    <w:rsid w:val="000D7F3B"/>
    <w:rsid w:val="000E055E"/>
    <w:rsid w:val="000E08A5"/>
    <w:rsid w:val="000E0C55"/>
    <w:rsid w:val="000E1259"/>
    <w:rsid w:val="000E12D5"/>
    <w:rsid w:val="000E15F8"/>
    <w:rsid w:val="000E18FB"/>
    <w:rsid w:val="000E1E84"/>
    <w:rsid w:val="000E2097"/>
    <w:rsid w:val="000E21D8"/>
    <w:rsid w:val="000E2360"/>
    <w:rsid w:val="000E2C73"/>
    <w:rsid w:val="000E2C8F"/>
    <w:rsid w:val="000E2CD7"/>
    <w:rsid w:val="000E2EA3"/>
    <w:rsid w:val="000E31F7"/>
    <w:rsid w:val="000E3BFC"/>
    <w:rsid w:val="000E4B3E"/>
    <w:rsid w:val="000E539F"/>
    <w:rsid w:val="000E5563"/>
    <w:rsid w:val="000E5739"/>
    <w:rsid w:val="000E58C5"/>
    <w:rsid w:val="000E5D90"/>
    <w:rsid w:val="000E6793"/>
    <w:rsid w:val="000E6CF9"/>
    <w:rsid w:val="000E7005"/>
    <w:rsid w:val="000E72B8"/>
    <w:rsid w:val="000E73BD"/>
    <w:rsid w:val="000E76F0"/>
    <w:rsid w:val="000F0297"/>
    <w:rsid w:val="000F069C"/>
    <w:rsid w:val="000F0A1A"/>
    <w:rsid w:val="000F0B27"/>
    <w:rsid w:val="000F0D4C"/>
    <w:rsid w:val="000F0D73"/>
    <w:rsid w:val="000F0DFC"/>
    <w:rsid w:val="000F0E95"/>
    <w:rsid w:val="000F14EE"/>
    <w:rsid w:val="000F18F2"/>
    <w:rsid w:val="000F1D4F"/>
    <w:rsid w:val="000F26BE"/>
    <w:rsid w:val="000F2E82"/>
    <w:rsid w:val="000F305F"/>
    <w:rsid w:val="000F3A4F"/>
    <w:rsid w:val="000F3D50"/>
    <w:rsid w:val="000F4952"/>
    <w:rsid w:val="000F5D35"/>
    <w:rsid w:val="000F5DDE"/>
    <w:rsid w:val="000F67B1"/>
    <w:rsid w:val="000F69EF"/>
    <w:rsid w:val="000F6F0D"/>
    <w:rsid w:val="000F71CE"/>
    <w:rsid w:val="000F7390"/>
    <w:rsid w:val="000F7D67"/>
    <w:rsid w:val="001000EA"/>
    <w:rsid w:val="00100A53"/>
    <w:rsid w:val="00100B0B"/>
    <w:rsid w:val="001025E7"/>
    <w:rsid w:val="0010275F"/>
    <w:rsid w:val="0010316E"/>
    <w:rsid w:val="001033CF"/>
    <w:rsid w:val="001038BB"/>
    <w:rsid w:val="00103D55"/>
    <w:rsid w:val="00103F76"/>
    <w:rsid w:val="001049E3"/>
    <w:rsid w:val="00104C50"/>
    <w:rsid w:val="00105880"/>
    <w:rsid w:val="001067CF"/>
    <w:rsid w:val="00107038"/>
    <w:rsid w:val="00107219"/>
    <w:rsid w:val="001074AC"/>
    <w:rsid w:val="00107D47"/>
    <w:rsid w:val="001101E1"/>
    <w:rsid w:val="00110379"/>
    <w:rsid w:val="001103CF"/>
    <w:rsid w:val="001108E0"/>
    <w:rsid w:val="00111F4C"/>
    <w:rsid w:val="00112358"/>
    <w:rsid w:val="00112561"/>
    <w:rsid w:val="001129E8"/>
    <w:rsid w:val="00112BA9"/>
    <w:rsid w:val="0011385A"/>
    <w:rsid w:val="00113C3D"/>
    <w:rsid w:val="00113C76"/>
    <w:rsid w:val="00114588"/>
    <w:rsid w:val="001149B9"/>
    <w:rsid w:val="00114A58"/>
    <w:rsid w:val="00114D12"/>
    <w:rsid w:val="00115257"/>
    <w:rsid w:val="00115629"/>
    <w:rsid w:val="001158B6"/>
    <w:rsid w:val="00115B67"/>
    <w:rsid w:val="00115C32"/>
    <w:rsid w:val="0011605A"/>
    <w:rsid w:val="00116222"/>
    <w:rsid w:val="001165DD"/>
    <w:rsid w:val="001171CB"/>
    <w:rsid w:val="00117210"/>
    <w:rsid w:val="0011744C"/>
    <w:rsid w:val="00117AF4"/>
    <w:rsid w:val="00120070"/>
    <w:rsid w:val="0012010D"/>
    <w:rsid w:val="00120A89"/>
    <w:rsid w:val="00120F0F"/>
    <w:rsid w:val="00120FAC"/>
    <w:rsid w:val="00121311"/>
    <w:rsid w:val="00121A8E"/>
    <w:rsid w:val="00121BF6"/>
    <w:rsid w:val="00122A1C"/>
    <w:rsid w:val="00123810"/>
    <w:rsid w:val="00123872"/>
    <w:rsid w:val="001242F1"/>
    <w:rsid w:val="00124585"/>
    <w:rsid w:val="00124D80"/>
    <w:rsid w:val="00125074"/>
    <w:rsid w:val="00125CB8"/>
    <w:rsid w:val="001261A9"/>
    <w:rsid w:val="001267DB"/>
    <w:rsid w:val="001275A6"/>
    <w:rsid w:val="001276FB"/>
    <w:rsid w:val="00130019"/>
    <w:rsid w:val="001302D0"/>
    <w:rsid w:val="00130C57"/>
    <w:rsid w:val="00130D30"/>
    <w:rsid w:val="0013141F"/>
    <w:rsid w:val="001317E4"/>
    <w:rsid w:val="00131CB1"/>
    <w:rsid w:val="00131D1A"/>
    <w:rsid w:val="00132052"/>
    <w:rsid w:val="0013211B"/>
    <w:rsid w:val="0013270B"/>
    <w:rsid w:val="001329B7"/>
    <w:rsid w:val="00132A3A"/>
    <w:rsid w:val="00132DAB"/>
    <w:rsid w:val="00132FA5"/>
    <w:rsid w:val="001334F9"/>
    <w:rsid w:val="001335DA"/>
    <w:rsid w:val="001337E6"/>
    <w:rsid w:val="00133B4C"/>
    <w:rsid w:val="00133D7F"/>
    <w:rsid w:val="00133E15"/>
    <w:rsid w:val="00134057"/>
    <w:rsid w:val="001345C4"/>
    <w:rsid w:val="00134DF5"/>
    <w:rsid w:val="00134ECB"/>
    <w:rsid w:val="00134F08"/>
    <w:rsid w:val="001357A1"/>
    <w:rsid w:val="0013587F"/>
    <w:rsid w:val="00135E47"/>
    <w:rsid w:val="001360BD"/>
    <w:rsid w:val="001362A6"/>
    <w:rsid w:val="0013630E"/>
    <w:rsid w:val="00136B3F"/>
    <w:rsid w:val="00136DF8"/>
    <w:rsid w:val="0013745F"/>
    <w:rsid w:val="00137472"/>
    <w:rsid w:val="001374F4"/>
    <w:rsid w:val="00137894"/>
    <w:rsid w:val="00137CB8"/>
    <w:rsid w:val="00140035"/>
    <w:rsid w:val="00140465"/>
    <w:rsid w:val="00140E09"/>
    <w:rsid w:val="0014101A"/>
    <w:rsid w:val="0014142D"/>
    <w:rsid w:val="0014148A"/>
    <w:rsid w:val="00141FEB"/>
    <w:rsid w:val="00142347"/>
    <w:rsid w:val="00142693"/>
    <w:rsid w:val="001426D3"/>
    <w:rsid w:val="00142EED"/>
    <w:rsid w:val="00143743"/>
    <w:rsid w:val="001437D5"/>
    <w:rsid w:val="00143E66"/>
    <w:rsid w:val="00143EB0"/>
    <w:rsid w:val="00143FEE"/>
    <w:rsid w:val="0014495D"/>
    <w:rsid w:val="00144CCA"/>
    <w:rsid w:val="00145D66"/>
    <w:rsid w:val="00146059"/>
    <w:rsid w:val="00146A19"/>
    <w:rsid w:val="00146F0E"/>
    <w:rsid w:val="00146FF4"/>
    <w:rsid w:val="0014776D"/>
    <w:rsid w:val="00147845"/>
    <w:rsid w:val="00147FC1"/>
    <w:rsid w:val="001500C8"/>
    <w:rsid w:val="001502B0"/>
    <w:rsid w:val="00150357"/>
    <w:rsid w:val="00150381"/>
    <w:rsid w:val="0015080E"/>
    <w:rsid w:val="0015100D"/>
    <w:rsid w:val="001511D3"/>
    <w:rsid w:val="0015153E"/>
    <w:rsid w:val="00151705"/>
    <w:rsid w:val="00151C88"/>
    <w:rsid w:val="00151D35"/>
    <w:rsid w:val="00152387"/>
    <w:rsid w:val="00152A0C"/>
    <w:rsid w:val="00153424"/>
    <w:rsid w:val="0015377C"/>
    <w:rsid w:val="00153ABE"/>
    <w:rsid w:val="00153C15"/>
    <w:rsid w:val="00153EE1"/>
    <w:rsid w:val="0015402E"/>
    <w:rsid w:val="00154524"/>
    <w:rsid w:val="001546E8"/>
    <w:rsid w:val="00154828"/>
    <w:rsid w:val="0015484C"/>
    <w:rsid w:val="00155698"/>
    <w:rsid w:val="00155809"/>
    <w:rsid w:val="00155BC9"/>
    <w:rsid w:val="00155C11"/>
    <w:rsid w:val="00157509"/>
    <w:rsid w:val="00157D22"/>
    <w:rsid w:val="00157F62"/>
    <w:rsid w:val="001600EB"/>
    <w:rsid w:val="00160327"/>
    <w:rsid w:val="00160423"/>
    <w:rsid w:val="00160AB7"/>
    <w:rsid w:val="00161177"/>
    <w:rsid w:val="00161841"/>
    <w:rsid w:val="00161C25"/>
    <w:rsid w:val="00161CC6"/>
    <w:rsid w:val="00161CD7"/>
    <w:rsid w:val="001628AD"/>
    <w:rsid w:val="0016312E"/>
    <w:rsid w:val="00163182"/>
    <w:rsid w:val="0016341E"/>
    <w:rsid w:val="001634CE"/>
    <w:rsid w:val="00163694"/>
    <w:rsid w:val="00163826"/>
    <w:rsid w:val="0016414D"/>
    <w:rsid w:val="00164303"/>
    <w:rsid w:val="00164617"/>
    <w:rsid w:val="00164D3D"/>
    <w:rsid w:val="00164EA4"/>
    <w:rsid w:val="001654A9"/>
    <w:rsid w:val="00165A05"/>
    <w:rsid w:val="00165E5D"/>
    <w:rsid w:val="00166263"/>
    <w:rsid w:val="00166279"/>
    <w:rsid w:val="00166297"/>
    <w:rsid w:val="001663D5"/>
    <w:rsid w:val="0016683E"/>
    <w:rsid w:val="00166F24"/>
    <w:rsid w:val="00167277"/>
    <w:rsid w:val="0016782D"/>
    <w:rsid w:val="00167AC7"/>
    <w:rsid w:val="00170573"/>
    <w:rsid w:val="001707C4"/>
    <w:rsid w:val="001711A9"/>
    <w:rsid w:val="001712DE"/>
    <w:rsid w:val="00171570"/>
    <w:rsid w:val="00171B2D"/>
    <w:rsid w:val="00171BE6"/>
    <w:rsid w:val="00171DC1"/>
    <w:rsid w:val="00171E1D"/>
    <w:rsid w:val="00171EF7"/>
    <w:rsid w:val="00172EAB"/>
    <w:rsid w:val="00173940"/>
    <w:rsid w:val="00174067"/>
    <w:rsid w:val="0017449B"/>
    <w:rsid w:val="00174944"/>
    <w:rsid w:val="00175139"/>
    <w:rsid w:val="00175BA1"/>
    <w:rsid w:val="00176067"/>
    <w:rsid w:val="00176100"/>
    <w:rsid w:val="00176645"/>
    <w:rsid w:val="001766A8"/>
    <w:rsid w:val="0017687A"/>
    <w:rsid w:val="00176E59"/>
    <w:rsid w:val="001772D4"/>
    <w:rsid w:val="001772F0"/>
    <w:rsid w:val="0017743E"/>
    <w:rsid w:val="001774BD"/>
    <w:rsid w:val="00177845"/>
    <w:rsid w:val="00180261"/>
    <w:rsid w:val="0018063A"/>
    <w:rsid w:val="001806A2"/>
    <w:rsid w:val="001807A5"/>
    <w:rsid w:val="00180A1D"/>
    <w:rsid w:val="001810C8"/>
    <w:rsid w:val="001812AE"/>
    <w:rsid w:val="001820AF"/>
    <w:rsid w:val="0018238C"/>
    <w:rsid w:val="00182E45"/>
    <w:rsid w:val="00183DEE"/>
    <w:rsid w:val="0018419E"/>
    <w:rsid w:val="001849E7"/>
    <w:rsid w:val="00184DA1"/>
    <w:rsid w:val="00184E8A"/>
    <w:rsid w:val="0018519A"/>
    <w:rsid w:val="00185571"/>
    <w:rsid w:val="00185989"/>
    <w:rsid w:val="00186C46"/>
    <w:rsid w:val="00190272"/>
    <w:rsid w:val="00190B36"/>
    <w:rsid w:val="00190B9C"/>
    <w:rsid w:val="00190D52"/>
    <w:rsid w:val="00190E20"/>
    <w:rsid w:val="0019138B"/>
    <w:rsid w:val="001919D3"/>
    <w:rsid w:val="001925E9"/>
    <w:rsid w:val="00192900"/>
    <w:rsid w:val="00192D91"/>
    <w:rsid w:val="00192F48"/>
    <w:rsid w:val="0019395E"/>
    <w:rsid w:val="00193C35"/>
    <w:rsid w:val="0019441C"/>
    <w:rsid w:val="001950D9"/>
    <w:rsid w:val="00195379"/>
    <w:rsid w:val="00195430"/>
    <w:rsid w:val="00195A6E"/>
    <w:rsid w:val="00196144"/>
    <w:rsid w:val="00196284"/>
    <w:rsid w:val="00196644"/>
    <w:rsid w:val="001971B1"/>
    <w:rsid w:val="001971EA"/>
    <w:rsid w:val="001976B3"/>
    <w:rsid w:val="00197975"/>
    <w:rsid w:val="001A0090"/>
    <w:rsid w:val="001A0295"/>
    <w:rsid w:val="001A0765"/>
    <w:rsid w:val="001A093C"/>
    <w:rsid w:val="001A0DC8"/>
    <w:rsid w:val="001A0F43"/>
    <w:rsid w:val="001A110B"/>
    <w:rsid w:val="001A14F5"/>
    <w:rsid w:val="001A1777"/>
    <w:rsid w:val="001A1A8A"/>
    <w:rsid w:val="001A1EF5"/>
    <w:rsid w:val="001A2649"/>
    <w:rsid w:val="001A307D"/>
    <w:rsid w:val="001A3986"/>
    <w:rsid w:val="001A3E19"/>
    <w:rsid w:val="001A4242"/>
    <w:rsid w:val="001A48FD"/>
    <w:rsid w:val="001A63A3"/>
    <w:rsid w:val="001A6A97"/>
    <w:rsid w:val="001A6DEF"/>
    <w:rsid w:val="001A7A6A"/>
    <w:rsid w:val="001A7A87"/>
    <w:rsid w:val="001A7FE7"/>
    <w:rsid w:val="001B049D"/>
    <w:rsid w:val="001B04E4"/>
    <w:rsid w:val="001B0553"/>
    <w:rsid w:val="001B0636"/>
    <w:rsid w:val="001B1577"/>
    <w:rsid w:val="001B15BA"/>
    <w:rsid w:val="001B16C3"/>
    <w:rsid w:val="001B1838"/>
    <w:rsid w:val="001B1C15"/>
    <w:rsid w:val="001B1C67"/>
    <w:rsid w:val="001B1D5D"/>
    <w:rsid w:val="001B2234"/>
    <w:rsid w:val="001B22B4"/>
    <w:rsid w:val="001B2C7D"/>
    <w:rsid w:val="001B322D"/>
    <w:rsid w:val="001B344B"/>
    <w:rsid w:val="001B3984"/>
    <w:rsid w:val="001B3C3B"/>
    <w:rsid w:val="001B3E1C"/>
    <w:rsid w:val="001B3FE9"/>
    <w:rsid w:val="001B46AE"/>
    <w:rsid w:val="001B5009"/>
    <w:rsid w:val="001B54F0"/>
    <w:rsid w:val="001B5950"/>
    <w:rsid w:val="001B5DCE"/>
    <w:rsid w:val="001B61CA"/>
    <w:rsid w:val="001B6AAD"/>
    <w:rsid w:val="001B71B5"/>
    <w:rsid w:val="001B76C4"/>
    <w:rsid w:val="001B77E9"/>
    <w:rsid w:val="001B77FC"/>
    <w:rsid w:val="001B78E2"/>
    <w:rsid w:val="001B7BF2"/>
    <w:rsid w:val="001B7EED"/>
    <w:rsid w:val="001C00A8"/>
    <w:rsid w:val="001C0289"/>
    <w:rsid w:val="001C11E4"/>
    <w:rsid w:val="001C181C"/>
    <w:rsid w:val="001C1E19"/>
    <w:rsid w:val="001C246E"/>
    <w:rsid w:val="001C27AF"/>
    <w:rsid w:val="001C3033"/>
    <w:rsid w:val="001C30BA"/>
    <w:rsid w:val="001C3403"/>
    <w:rsid w:val="001C342C"/>
    <w:rsid w:val="001C3A40"/>
    <w:rsid w:val="001C3AAA"/>
    <w:rsid w:val="001C3D80"/>
    <w:rsid w:val="001C4100"/>
    <w:rsid w:val="001C41DA"/>
    <w:rsid w:val="001C43B3"/>
    <w:rsid w:val="001C457D"/>
    <w:rsid w:val="001C4834"/>
    <w:rsid w:val="001C4C95"/>
    <w:rsid w:val="001C4FF2"/>
    <w:rsid w:val="001C5905"/>
    <w:rsid w:val="001C5BA6"/>
    <w:rsid w:val="001C5EAD"/>
    <w:rsid w:val="001C5F74"/>
    <w:rsid w:val="001C5FC4"/>
    <w:rsid w:val="001C68B6"/>
    <w:rsid w:val="001C7079"/>
    <w:rsid w:val="001D0229"/>
    <w:rsid w:val="001D028A"/>
    <w:rsid w:val="001D0868"/>
    <w:rsid w:val="001D1636"/>
    <w:rsid w:val="001D181F"/>
    <w:rsid w:val="001D2755"/>
    <w:rsid w:val="001D2F4D"/>
    <w:rsid w:val="001D30A0"/>
    <w:rsid w:val="001D3816"/>
    <w:rsid w:val="001D39E8"/>
    <w:rsid w:val="001D3B1F"/>
    <w:rsid w:val="001D3ECA"/>
    <w:rsid w:val="001D4075"/>
    <w:rsid w:val="001D4E5E"/>
    <w:rsid w:val="001D548F"/>
    <w:rsid w:val="001D5714"/>
    <w:rsid w:val="001D600F"/>
    <w:rsid w:val="001D6843"/>
    <w:rsid w:val="001D7641"/>
    <w:rsid w:val="001D79BC"/>
    <w:rsid w:val="001E0221"/>
    <w:rsid w:val="001E0711"/>
    <w:rsid w:val="001E092F"/>
    <w:rsid w:val="001E0947"/>
    <w:rsid w:val="001E152C"/>
    <w:rsid w:val="001E17F9"/>
    <w:rsid w:val="001E1ABD"/>
    <w:rsid w:val="001E24EA"/>
    <w:rsid w:val="001E25FF"/>
    <w:rsid w:val="001E2A5D"/>
    <w:rsid w:val="001E2CF5"/>
    <w:rsid w:val="001E35D6"/>
    <w:rsid w:val="001E389C"/>
    <w:rsid w:val="001E3B0A"/>
    <w:rsid w:val="001E3ED8"/>
    <w:rsid w:val="001E411C"/>
    <w:rsid w:val="001E5979"/>
    <w:rsid w:val="001E5C38"/>
    <w:rsid w:val="001E6EC5"/>
    <w:rsid w:val="001E70C9"/>
    <w:rsid w:val="001E776D"/>
    <w:rsid w:val="001E777A"/>
    <w:rsid w:val="001E77D9"/>
    <w:rsid w:val="001E79E9"/>
    <w:rsid w:val="001E7D4E"/>
    <w:rsid w:val="001F0D67"/>
    <w:rsid w:val="001F1A00"/>
    <w:rsid w:val="001F1A90"/>
    <w:rsid w:val="001F1B8A"/>
    <w:rsid w:val="001F2058"/>
    <w:rsid w:val="001F23BC"/>
    <w:rsid w:val="001F29C8"/>
    <w:rsid w:val="001F2E04"/>
    <w:rsid w:val="001F3167"/>
    <w:rsid w:val="001F3474"/>
    <w:rsid w:val="001F391D"/>
    <w:rsid w:val="001F49C4"/>
    <w:rsid w:val="001F524C"/>
    <w:rsid w:val="001F5561"/>
    <w:rsid w:val="001F5939"/>
    <w:rsid w:val="001F5B96"/>
    <w:rsid w:val="001F67F2"/>
    <w:rsid w:val="001F6895"/>
    <w:rsid w:val="001F6A3C"/>
    <w:rsid w:val="001F6DCB"/>
    <w:rsid w:val="001F7055"/>
    <w:rsid w:val="001F716B"/>
    <w:rsid w:val="001F7B95"/>
    <w:rsid w:val="001F7E44"/>
    <w:rsid w:val="001F7FE1"/>
    <w:rsid w:val="0020062A"/>
    <w:rsid w:val="00200673"/>
    <w:rsid w:val="002010D3"/>
    <w:rsid w:val="00201311"/>
    <w:rsid w:val="002017E3"/>
    <w:rsid w:val="00201885"/>
    <w:rsid w:val="002024B2"/>
    <w:rsid w:val="002028FF"/>
    <w:rsid w:val="0020322B"/>
    <w:rsid w:val="002032C8"/>
    <w:rsid w:val="00203A75"/>
    <w:rsid w:val="00203BD7"/>
    <w:rsid w:val="0020409B"/>
    <w:rsid w:val="00204875"/>
    <w:rsid w:val="00204F68"/>
    <w:rsid w:val="00205337"/>
    <w:rsid w:val="00205C7C"/>
    <w:rsid w:val="002060A5"/>
    <w:rsid w:val="0020622C"/>
    <w:rsid w:val="002068F5"/>
    <w:rsid w:val="002070E4"/>
    <w:rsid w:val="002070E6"/>
    <w:rsid w:val="002071F1"/>
    <w:rsid w:val="0020721C"/>
    <w:rsid w:val="002072C3"/>
    <w:rsid w:val="002077A1"/>
    <w:rsid w:val="00207813"/>
    <w:rsid w:val="0020790A"/>
    <w:rsid w:val="00207C47"/>
    <w:rsid w:val="00207E86"/>
    <w:rsid w:val="00210594"/>
    <w:rsid w:val="00210CDB"/>
    <w:rsid w:val="00210F65"/>
    <w:rsid w:val="002110F2"/>
    <w:rsid w:val="002114F0"/>
    <w:rsid w:val="00212939"/>
    <w:rsid w:val="002129AB"/>
    <w:rsid w:val="00212B8B"/>
    <w:rsid w:val="00213388"/>
    <w:rsid w:val="002133B8"/>
    <w:rsid w:val="0021371C"/>
    <w:rsid w:val="002139E7"/>
    <w:rsid w:val="00213C4D"/>
    <w:rsid w:val="00213C5E"/>
    <w:rsid w:val="00213F04"/>
    <w:rsid w:val="002144A1"/>
    <w:rsid w:val="002147A6"/>
    <w:rsid w:val="00214D4B"/>
    <w:rsid w:val="00214DAE"/>
    <w:rsid w:val="00215739"/>
    <w:rsid w:val="002157B5"/>
    <w:rsid w:val="0021638C"/>
    <w:rsid w:val="00216869"/>
    <w:rsid w:val="0021720D"/>
    <w:rsid w:val="002175EB"/>
    <w:rsid w:val="00217D17"/>
    <w:rsid w:val="0022016A"/>
    <w:rsid w:val="00220CFF"/>
    <w:rsid w:val="00220F03"/>
    <w:rsid w:val="00221057"/>
    <w:rsid w:val="002212CB"/>
    <w:rsid w:val="00221B4C"/>
    <w:rsid w:val="00222077"/>
    <w:rsid w:val="002226A9"/>
    <w:rsid w:val="0022277E"/>
    <w:rsid w:val="00223034"/>
    <w:rsid w:val="002234F2"/>
    <w:rsid w:val="00223614"/>
    <w:rsid w:val="002238E6"/>
    <w:rsid w:val="00225CB8"/>
    <w:rsid w:val="00226E88"/>
    <w:rsid w:val="00226F8B"/>
    <w:rsid w:val="0022715D"/>
    <w:rsid w:val="0023053A"/>
    <w:rsid w:val="00230AF7"/>
    <w:rsid w:val="00230B76"/>
    <w:rsid w:val="00230BA9"/>
    <w:rsid w:val="00231068"/>
    <w:rsid w:val="00231F8F"/>
    <w:rsid w:val="0023358A"/>
    <w:rsid w:val="0023444B"/>
    <w:rsid w:val="00234DBA"/>
    <w:rsid w:val="00234FCD"/>
    <w:rsid w:val="00234FD9"/>
    <w:rsid w:val="0023596F"/>
    <w:rsid w:val="00236374"/>
    <w:rsid w:val="00236F49"/>
    <w:rsid w:val="00237E07"/>
    <w:rsid w:val="00237F8D"/>
    <w:rsid w:val="002400A1"/>
    <w:rsid w:val="00240222"/>
    <w:rsid w:val="002410D8"/>
    <w:rsid w:val="002411C9"/>
    <w:rsid w:val="002418BB"/>
    <w:rsid w:val="0024218B"/>
    <w:rsid w:val="002425FE"/>
    <w:rsid w:val="00242CD9"/>
    <w:rsid w:val="0024349D"/>
    <w:rsid w:val="00243967"/>
    <w:rsid w:val="002440F8"/>
    <w:rsid w:val="0024424C"/>
    <w:rsid w:val="002444C2"/>
    <w:rsid w:val="00244BE9"/>
    <w:rsid w:val="0024523D"/>
    <w:rsid w:val="0024530D"/>
    <w:rsid w:val="0024566E"/>
    <w:rsid w:val="00245729"/>
    <w:rsid w:val="00245A74"/>
    <w:rsid w:val="00246A8F"/>
    <w:rsid w:val="0024723D"/>
    <w:rsid w:val="0024727D"/>
    <w:rsid w:val="0024736F"/>
    <w:rsid w:val="002475AF"/>
    <w:rsid w:val="00247783"/>
    <w:rsid w:val="00247EAA"/>
    <w:rsid w:val="00250208"/>
    <w:rsid w:val="0025050D"/>
    <w:rsid w:val="00250912"/>
    <w:rsid w:val="00250DBA"/>
    <w:rsid w:val="00251087"/>
    <w:rsid w:val="00251294"/>
    <w:rsid w:val="002518F5"/>
    <w:rsid w:val="00251AD5"/>
    <w:rsid w:val="00251E7D"/>
    <w:rsid w:val="002523E5"/>
    <w:rsid w:val="00253058"/>
    <w:rsid w:val="00253764"/>
    <w:rsid w:val="0025420C"/>
    <w:rsid w:val="002550D8"/>
    <w:rsid w:val="00255896"/>
    <w:rsid w:val="00256078"/>
    <w:rsid w:val="0025615D"/>
    <w:rsid w:val="002564FB"/>
    <w:rsid w:val="00256907"/>
    <w:rsid w:val="00257387"/>
    <w:rsid w:val="00257461"/>
    <w:rsid w:val="00257615"/>
    <w:rsid w:val="00257660"/>
    <w:rsid w:val="00257EB8"/>
    <w:rsid w:val="0026049B"/>
    <w:rsid w:val="00260EFA"/>
    <w:rsid w:val="00261377"/>
    <w:rsid w:val="00261714"/>
    <w:rsid w:val="00261D8F"/>
    <w:rsid w:val="00261EFF"/>
    <w:rsid w:val="00261FF1"/>
    <w:rsid w:val="00262160"/>
    <w:rsid w:val="00262814"/>
    <w:rsid w:val="002629E0"/>
    <w:rsid w:val="00262A95"/>
    <w:rsid w:val="00262E2E"/>
    <w:rsid w:val="00263457"/>
    <w:rsid w:val="00263727"/>
    <w:rsid w:val="00263EF4"/>
    <w:rsid w:val="00264650"/>
    <w:rsid w:val="00264A64"/>
    <w:rsid w:val="00265312"/>
    <w:rsid w:val="00265FE9"/>
    <w:rsid w:val="00266CB9"/>
    <w:rsid w:val="00266D5F"/>
    <w:rsid w:val="00266F46"/>
    <w:rsid w:val="0026773E"/>
    <w:rsid w:val="00267F1F"/>
    <w:rsid w:val="0027062D"/>
    <w:rsid w:val="00270AEE"/>
    <w:rsid w:val="00270E18"/>
    <w:rsid w:val="00271BEB"/>
    <w:rsid w:val="0027218C"/>
    <w:rsid w:val="002723FD"/>
    <w:rsid w:val="002728FE"/>
    <w:rsid w:val="00272E01"/>
    <w:rsid w:val="00272F1D"/>
    <w:rsid w:val="00273015"/>
    <w:rsid w:val="00273042"/>
    <w:rsid w:val="0027463A"/>
    <w:rsid w:val="00274815"/>
    <w:rsid w:val="0027487A"/>
    <w:rsid w:val="00274D0D"/>
    <w:rsid w:val="00274D8B"/>
    <w:rsid w:val="00275318"/>
    <w:rsid w:val="00275FB7"/>
    <w:rsid w:val="00276041"/>
    <w:rsid w:val="002766B0"/>
    <w:rsid w:val="00277572"/>
    <w:rsid w:val="00277812"/>
    <w:rsid w:val="00277AA7"/>
    <w:rsid w:val="002802A1"/>
    <w:rsid w:val="002803B8"/>
    <w:rsid w:val="002805C4"/>
    <w:rsid w:val="002808CA"/>
    <w:rsid w:val="00280926"/>
    <w:rsid w:val="00281269"/>
    <w:rsid w:val="002812F7"/>
    <w:rsid w:val="00281922"/>
    <w:rsid w:val="00281B0A"/>
    <w:rsid w:val="00281FE4"/>
    <w:rsid w:val="0028257E"/>
    <w:rsid w:val="00282CDE"/>
    <w:rsid w:val="00282D03"/>
    <w:rsid w:val="00283073"/>
    <w:rsid w:val="0028348A"/>
    <w:rsid w:val="00283C7F"/>
    <w:rsid w:val="00283E5C"/>
    <w:rsid w:val="00284142"/>
    <w:rsid w:val="0028456B"/>
    <w:rsid w:val="00284579"/>
    <w:rsid w:val="00285478"/>
    <w:rsid w:val="00285792"/>
    <w:rsid w:val="0028663C"/>
    <w:rsid w:val="00287C89"/>
    <w:rsid w:val="00287EC6"/>
    <w:rsid w:val="002905B5"/>
    <w:rsid w:val="002911D8"/>
    <w:rsid w:val="00292120"/>
    <w:rsid w:val="0029294F"/>
    <w:rsid w:val="00293203"/>
    <w:rsid w:val="0029322C"/>
    <w:rsid w:val="0029329A"/>
    <w:rsid w:val="00293A15"/>
    <w:rsid w:val="00293D58"/>
    <w:rsid w:val="00294048"/>
    <w:rsid w:val="00295693"/>
    <w:rsid w:val="00295B54"/>
    <w:rsid w:val="002960C3"/>
    <w:rsid w:val="00296781"/>
    <w:rsid w:val="002969C0"/>
    <w:rsid w:val="0029707F"/>
    <w:rsid w:val="002972D4"/>
    <w:rsid w:val="002978B6"/>
    <w:rsid w:val="002979D2"/>
    <w:rsid w:val="002979E1"/>
    <w:rsid w:val="00297AEF"/>
    <w:rsid w:val="00297F02"/>
    <w:rsid w:val="002A039A"/>
    <w:rsid w:val="002A0622"/>
    <w:rsid w:val="002A06E1"/>
    <w:rsid w:val="002A0D05"/>
    <w:rsid w:val="002A1520"/>
    <w:rsid w:val="002A21E8"/>
    <w:rsid w:val="002A2863"/>
    <w:rsid w:val="002A29B6"/>
    <w:rsid w:val="002A2DC2"/>
    <w:rsid w:val="002A3220"/>
    <w:rsid w:val="002A3596"/>
    <w:rsid w:val="002A37BE"/>
    <w:rsid w:val="002A3AA9"/>
    <w:rsid w:val="002A570E"/>
    <w:rsid w:val="002A58F4"/>
    <w:rsid w:val="002A5AA2"/>
    <w:rsid w:val="002A5C85"/>
    <w:rsid w:val="002A5C87"/>
    <w:rsid w:val="002A5D50"/>
    <w:rsid w:val="002A5DE5"/>
    <w:rsid w:val="002A6503"/>
    <w:rsid w:val="002A659A"/>
    <w:rsid w:val="002A7542"/>
    <w:rsid w:val="002A7BE8"/>
    <w:rsid w:val="002A7EE2"/>
    <w:rsid w:val="002B0474"/>
    <w:rsid w:val="002B04C5"/>
    <w:rsid w:val="002B0687"/>
    <w:rsid w:val="002B09C6"/>
    <w:rsid w:val="002B0C43"/>
    <w:rsid w:val="002B0F52"/>
    <w:rsid w:val="002B1071"/>
    <w:rsid w:val="002B129B"/>
    <w:rsid w:val="002B1ABF"/>
    <w:rsid w:val="002B1B49"/>
    <w:rsid w:val="002B1C33"/>
    <w:rsid w:val="002B29E2"/>
    <w:rsid w:val="002B2C11"/>
    <w:rsid w:val="002B3708"/>
    <w:rsid w:val="002B396D"/>
    <w:rsid w:val="002B3DA7"/>
    <w:rsid w:val="002B42DE"/>
    <w:rsid w:val="002B47FB"/>
    <w:rsid w:val="002B4D46"/>
    <w:rsid w:val="002B4FB2"/>
    <w:rsid w:val="002B5625"/>
    <w:rsid w:val="002B5F9C"/>
    <w:rsid w:val="002B6147"/>
    <w:rsid w:val="002B6282"/>
    <w:rsid w:val="002B6BB5"/>
    <w:rsid w:val="002B7BFD"/>
    <w:rsid w:val="002B7E81"/>
    <w:rsid w:val="002B7F35"/>
    <w:rsid w:val="002B7F98"/>
    <w:rsid w:val="002C0170"/>
    <w:rsid w:val="002C0B1F"/>
    <w:rsid w:val="002C0E18"/>
    <w:rsid w:val="002C180D"/>
    <w:rsid w:val="002C1F7B"/>
    <w:rsid w:val="002C2427"/>
    <w:rsid w:val="002C2773"/>
    <w:rsid w:val="002C2A4F"/>
    <w:rsid w:val="002C2A5F"/>
    <w:rsid w:val="002C3502"/>
    <w:rsid w:val="002C35B9"/>
    <w:rsid w:val="002C397B"/>
    <w:rsid w:val="002C3B01"/>
    <w:rsid w:val="002C3BA0"/>
    <w:rsid w:val="002C436C"/>
    <w:rsid w:val="002C47C4"/>
    <w:rsid w:val="002C5357"/>
    <w:rsid w:val="002C5B67"/>
    <w:rsid w:val="002C5CD2"/>
    <w:rsid w:val="002C65DE"/>
    <w:rsid w:val="002C666E"/>
    <w:rsid w:val="002C6BD4"/>
    <w:rsid w:val="002C6D72"/>
    <w:rsid w:val="002C6E41"/>
    <w:rsid w:val="002C748E"/>
    <w:rsid w:val="002C7BFF"/>
    <w:rsid w:val="002C7D3C"/>
    <w:rsid w:val="002D01E4"/>
    <w:rsid w:val="002D04DB"/>
    <w:rsid w:val="002D0DDF"/>
    <w:rsid w:val="002D17A5"/>
    <w:rsid w:val="002D1AC7"/>
    <w:rsid w:val="002D1D54"/>
    <w:rsid w:val="002D2926"/>
    <w:rsid w:val="002D347E"/>
    <w:rsid w:val="002D37D6"/>
    <w:rsid w:val="002D3C72"/>
    <w:rsid w:val="002D3D17"/>
    <w:rsid w:val="002D3DB2"/>
    <w:rsid w:val="002D42A0"/>
    <w:rsid w:val="002D43E8"/>
    <w:rsid w:val="002D440D"/>
    <w:rsid w:val="002D4C8C"/>
    <w:rsid w:val="002D4EF6"/>
    <w:rsid w:val="002D5367"/>
    <w:rsid w:val="002D545A"/>
    <w:rsid w:val="002D550B"/>
    <w:rsid w:val="002D59E5"/>
    <w:rsid w:val="002D5BC8"/>
    <w:rsid w:val="002D5C23"/>
    <w:rsid w:val="002D5C3B"/>
    <w:rsid w:val="002D5CBC"/>
    <w:rsid w:val="002D5DC3"/>
    <w:rsid w:val="002D6635"/>
    <w:rsid w:val="002D6B4D"/>
    <w:rsid w:val="002D759A"/>
    <w:rsid w:val="002D774E"/>
    <w:rsid w:val="002D79CA"/>
    <w:rsid w:val="002E0FD6"/>
    <w:rsid w:val="002E1388"/>
    <w:rsid w:val="002E13B3"/>
    <w:rsid w:val="002E16E6"/>
    <w:rsid w:val="002E17C5"/>
    <w:rsid w:val="002E1AD3"/>
    <w:rsid w:val="002E1B83"/>
    <w:rsid w:val="002E1C1F"/>
    <w:rsid w:val="002E2688"/>
    <w:rsid w:val="002E28A0"/>
    <w:rsid w:val="002E3036"/>
    <w:rsid w:val="002E307D"/>
    <w:rsid w:val="002E34A3"/>
    <w:rsid w:val="002E36E1"/>
    <w:rsid w:val="002E39FE"/>
    <w:rsid w:val="002E3BF5"/>
    <w:rsid w:val="002E3E6F"/>
    <w:rsid w:val="002E3F75"/>
    <w:rsid w:val="002E45B7"/>
    <w:rsid w:val="002E4721"/>
    <w:rsid w:val="002E486A"/>
    <w:rsid w:val="002E4DC4"/>
    <w:rsid w:val="002E5281"/>
    <w:rsid w:val="002E5E0E"/>
    <w:rsid w:val="002E5E2F"/>
    <w:rsid w:val="002E5E35"/>
    <w:rsid w:val="002E5F1C"/>
    <w:rsid w:val="002E5F3E"/>
    <w:rsid w:val="002E62ED"/>
    <w:rsid w:val="002E6BF6"/>
    <w:rsid w:val="002E6D48"/>
    <w:rsid w:val="002E7003"/>
    <w:rsid w:val="002E736D"/>
    <w:rsid w:val="002E78AC"/>
    <w:rsid w:val="002F0875"/>
    <w:rsid w:val="002F0884"/>
    <w:rsid w:val="002F1A5B"/>
    <w:rsid w:val="002F1B87"/>
    <w:rsid w:val="002F1C7E"/>
    <w:rsid w:val="002F2228"/>
    <w:rsid w:val="002F3470"/>
    <w:rsid w:val="002F3532"/>
    <w:rsid w:val="002F3A0F"/>
    <w:rsid w:val="002F4CA2"/>
    <w:rsid w:val="002F51B3"/>
    <w:rsid w:val="002F527B"/>
    <w:rsid w:val="002F5306"/>
    <w:rsid w:val="002F5570"/>
    <w:rsid w:val="002F55A4"/>
    <w:rsid w:val="002F5792"/>
    <w:rsid w:val="002F5C9A"/>
    <w:rsid w:val="002F6157"/>
    <w:rsid w:val="002F6254"/>
    <w:rsid w:val="002F6432"/>
    <w:rsid w:val="002F64A0"/>
    <w:rsid w:val="002F69EB"/>
    <w:rsid w:val="002F6A64"/>
    <w:rsid w:val="002F6D11"/>
    <w:rsid w:val="002F6D57"/>
    <w:rsid w:val="002F6FC4"/>
    <w:rsid w:val="002F7255"/>
    <w:rsid w:val="002F7D6F"/>
    <w:rsid w:val="002F7DAA"/>
    <w:rsid w:val="00300450"/>
    <w:rsid w:val="003005AA"/>
    <w:rsid w:val="0030078C"/>
    <w:rsid w:val="00300E4E"/>
    <w:rsid w:val="00300EA5"/>
    <w:rsid w:val="00301004"/>
    <w:rsid w:val="0030148D"/>
    <w:rsid w:val="0030194F"/>
    <w:rsid w:val="003020B4"/>
    <w:rsid w:val="003022B8"/>
    <w:rsid w:val="003023C4"/>
    <w:rsid w:val="003023EB"/>
    <w:rsid w:val="003026B9"/>
    <w:rsid w:val="00302883"/>
    <w:rsid w:val="00302C73"/>
    <w:rsid w:val="003035B2"/>
    <w:rsid w:val="00303697"/>
    <w:rsid w:val="00303733"/>
    <w:rsid w:val="003037A9"/>
    <w:rsid w:val="00303A2F"/>
    <w:rsid w:val="00303C94"/>
    <w:rsid w:val="00304BF7"/>
    <w:rsid w:val="00304CF9"/>
    <w:rsid w:val="00304F0A"/>
    <w:rsid w:val="00304FE8"/>
    <w:rsid w:val="0030527B"/>
    <w:rsid w:val="00305FA4"/>
    <w:rsid w:val="003060BB"/>
    <w:rsid w:val="0030617A"/>
    <w:rsid w:val="00306989"/>
    <w:rsid w:val="00307214"/>
    <w:rsid w:val="0030755C"/>
    <w:rsid w:val="00310015"/>
    <w:rsid w:val="0031005D"/>
    <w:rsid w:val="00310992"/>
    <w:rsid w:val="00311387"/>
    <w:rsid w:val="003119DF"/>
    <w:rsid w:val="00311EEA"/>
    <w:rsid w:val="00312151"/>
    <w:rsid w:val="00312593"/>
    <w:rsid w:val="00312763"/>
    <w:rsid w:val="0031351E"/>
    <w:rsid w:val="00313537"/>
    <w:rsid w:val="003135CD"/>
    <w:rsid w:val="003138AC"/>
    <w:rsid w:val="00313C59"/>
    <w:rsid w:val="00314373"/>
    <w:rsid w:val="00314425"/>
    <w:rsid w:val="003146EE"/>
    <w:rsid w:val="003149BA"/>
    <w:rsid w:val="003153EA"/>
    <w:rsid w:val="00315536"/>
    <w:rsid w:val="00315A29"/>
    <w:rsid w:val="003160B4"/>
    <w:rsid w:val="0031641C"/>
    <w:rsid w:val="00316745"/>
    <w:rsid w:val="00316CCF"/>
    <w:rsid w:val="00316D1E"/>
    <w:rsid w:val="00317FE3"/>
    <w:rsid w:val="00320015"/>
    <w:rsid w:val="00320263"/>
    <w:rsid w:val="003209C7"/>
    <w:rsid w:val="00320A02"/>
    <w:rsid w:val="00320AB2"/>
    <w:rsid w:val="003219EA"/>
    <w:rsid w:val="003225D5"/>
    <w:rsid w:val="0032265B"/>
    <w:rsid w:val="0032271E"/>
    <w:rsid w:val="003229A0"/>
    <w:rsid w:val="00322BC4"/>
    <w:rsid w:val="00323247"/>
    <w:rsid w:val="003232F1"/>
    <w:rsid w:val="003233CF"/>
    <w:rsid w:val="0032378E"/>
    <w:rsid w:val="00323C12"/>
    <w:rsid w:val="00323C80"/>
    <w:rsid w:val="00323CB9"/>
    <w:rsid w:val="00323D04"/>
    <w:rsid w:val="003243CB"/>
    <w:rsid w:val="003245FB"/>
    <w:rsid w:val="003250E2"/>
    <w:rsid w:val="0032569E"/>
    <w:rsid w:val="00325BC7"/>
    <w:rsid w:val="00326522"/>
    <w:rsid w:val="003270BF"/>
    <w:rsid w:val="003277B3"/>
    <w:rsid w:val="00327A0C"/>
    <w:rsid w:val="003301A3"/>
    <w:rsid w:val="00330353"/>
    <w:rsid w:val="0033063D"/>
    <w:rsid w:val="0033094F"/>
    <w:rsid w:val="00330C46"/>
    <w:rsid w:val="00330D77"/>
    <w:rsid w:val="00331186"/>
    <w:rsid w:val="0033149A"/>
    <w:rsid w:val="00331B79"/>
    <w:rsid w:val="00331DCA"/>
    <w:rsid w:val="00332129"/>
    <w:rsid w:val="00332736"/>
    <w:rsid w:val="0033322F"/>
    <w:rsid w:val="003332EC"/>
    <w:rsid w:val="003347EC"/>
    <w:rsid w:val="00334912"/>
    <w:rsid w:val="00335779"/>
    <w:rsid w:val="00336CE8"/>
    <w:rsid w:val="00336FF2"/>
    <w:rsid w:val="003376B5"/>
    <w:rsid w:val="003376DF"/>
    <w:rsid w:val="003402DF"/>
    <w:rsid w:val="00340A89"/>
    <w:rsid w:val="00340D16"/>
    <w:rsid w:val="00340D94"/>
    <w:rsid w:val="00340EB5"/>
    <w:rsid w:val="00341361"/>
    <w:rsid w:val="00341AD8"/>
    <w:rsid w:val="00342A29"/>
    <w:rsid w:val="00342CF5"/>
    <w:rsid w:val="00343D26"/>
    <w:rsid w:val="00343D77"/>
    <w:rsid w:val="00343F18"/>
    <w:rsid w:val="00344CBB"/>
    <w:rsid w:val="00345308"/>
    <w:rsid w:val="003455FE"/>
    <w:rsid w:val="00345652"/>
    <w:rsid w:val="00345B4F"/>
    <w:rsid w:val="0034620F"/>
    <w:rsid w:val="00346216"/>
    <w:rsid w:val="0034672E"/>
    <w:rsid w:val="00346BB9"/>
    <w:rsid w:val="00346CED"/>
    <w:rsid w:val="00347577"/>
    <w:rsid w:val="0034782B"/>
    <w:rsid w:val="00347C46"/>
    <w:rsid w:val="00347FAD"/>
    <w:rsid w:val="00350DDB"/>
    <w:rsid w:val="00351A7F"/>
    <w:rsid w:val="003524B1"/>
    <w:rsid w:val="003525C0"/>
    <w:rsid w:val="0035262D"/>
    <w:rsid w:val="00352CFB"/>
    <w:rsid w:val="00352F20"/>
    <w:rsid w:val="0035309E"/>
    <w:rsid w:val="003530B9"/>
    <w:rsid w:val="00353174"/>
    <w:rsid w:val="003533E6"/>
    <w:rsid w:val="00353798"/>
    <w:rsid w:val="0035396F"/>
    <w:rsid w:val="003541D1"/>
    <w:rsid w:val="00354278"/>
    <w:rsid w:val="003548D7"/>
    <w:rsid w:val="003548F0"/>
    <w:rsid w:val="00354D94"/>
    <w:rsid w:val="003550C7"/>
    <w:rsid w:val="00355FEC"/>
    <w:rsid w:val="003564E7"/>
    <w:rsid w:val="003566E9"/>
    <w:rsid w:val="00356F11"/>
    <w:rsid w:val="00357214"/>
    <w:rsid w:val="003577EB"/>
    <w:rsid w:val="00357869"/>
    <w:rsid w:val="0035791D"/>
    <w:rsid w:val="003607A0"/>
    <w:rsid w:val="00360CBD"/>
    <w:rsid w:val="00360D4F"/>
    <w:rsid w:val="00360D68"/>
    <w:rsid w:val="00361072"/>
    <w:rsid w:val="003613A9"/>
    <w:rsid w:val="00361851"/>
    <w:rsid w:val="00361D52"/>
    <w:rsid w:val="00362461"/>
    <w:rsid w:val="003628AA"/>
    <w:rsid w:val="00362D37"/>
    <w:rsid w:val="003632EB"/>
    <w:rsid w:val="00363DA3"/>
    <w:rsid w:val="0036400A"/>
    <w:rsid w:val="00364B18"/>
    <w:rsid w:val="00364D63"/>
    <w:rsid w:val="00365105"/>
    <w:rsid w:val="0036579C"/>
    <w:rsid w:val="003657E7"/>
    <w:rsid w:val="00365E78"/>
    <w:rsid w:val="00366857"/>
    <w:rsid w:val="00370449"/>
    <w:rsid w:val="003708DD"/>
    <w:rsid w:val="003709D4"/>
    <w:rsid w:val="00370DAC"/>
    <w:rsid w:val="00370EE0"/>
    <w:rsid w:val="003713B0"/>
    <w:rsid w:val="003717F5"/>
    <w:rsid w:val="00371B3D"/>
    <w:rsid w:val="00372850"/>
    <w:rsid w:val="003728FE"/>
    <w:rsid w:val="00372E17"/>
    <w:rsid w:val="00372F44"/>
    <w:rsid w:val="0037380C"/>
    <w:rsid w:val="00374783"/>
    <w:rsid w:val="00374ACD"/>
    <w:rsid w:val="003750B5"/>
    <w:rsid w:val="00375135"/>
    <w:rsid w:val="00375165"/>
    <w:rsid w:val="00375520"/>
    <w:rsid w:val="00375687"/>
    <w:rsid w:val="003763FF"/>
    <w:rsid w:val="00377224"/>
    <w:rsid w:val="00377360"/>
    <w:rsid w:val="0037737B"/>
    <w:rsid w:val="003774E1"/>
    <w:rsid w:val="003777B8"/>
    <w:rsid w:val="00377A8B"/>
    <w:rsid w:val="00377BAD"/>
    <w:rsid w:val="003809D0"/>
    <w:rsid w:val="0038138B"/>
    <w:rsid w:val="0038196D"/>
    <w:rsid w:val="00381DCB"/>
    <w:rsid w:val="00381F87"/>
    <w:rsid w:val="003821D7"/>
    <w:rsid w:val="00382EFE"/>
    <w:rsid w:val="00383A59"/>
    <w:rsid w:val="00383FF3"/>
    <w:rsid w:val="00384485"/>
    <w:rsid w:val="00384800"/>
    <w:rsid w:val="00384833"/>
    <w:rsid w:val="00384B1C"/>
    <w:rsid w:val="00384B1D"/>
    <w:rsid w:val="00384EA5"/>
    <w:rsid w:val="0038505C"/>
    <w:rsid w:val="003853A1"/>
    <w:rsid w:val="00385BBE"/>
    <w:rsid w:val="00385D5C"/>
    <w:rsid w:val="00386843"/>
    <w:rsid w:val="00386C4E"/>
    <w:rsid w:val="00386E5D"/>
    <w:rsid w:val="00387E97"/>
    <w:rsid w:val="003902C1"/>
    <w:rsid w:val="00390619"/>
    <w:rsid w:val="00390919"/>
    <w:rsid w:val="00390A7C"/>
    <w:rsid w:val="00390A91"/>
    <w:rsid w:val="00390AFB"/>
    <w:rsid w:val="0039142B"/>
    <w:rsid w:val="00391A35"/>
    <w:rsid w:val="00391E07"/>
    <w:rsid w:val="00392721"/>
    <w:rsid w:val="00392A6F"/>
    <w:rsid w:val="00393110"/>
    <w:rsid w:val="00393B0C"/>
    <w:rsid w:val="00393DB1"/>
    <w:rsid w:val="00393DD4"/>
    <w:rsid w:val="003946AC"/>
    <w:rsid w:val="00395338"/>
    <w:rsid w:val="00395600"/>
    <w:rsid w:val="00395B97"/>
    <w:rsid w:val="00396CE3"/>
    <w:rsid w:val="00397340"/>
    <w:rsid w:val="00397572"/>
    <w:rsid w:val="003A03EF"/>
    <w:rsid w:val="003A0717"/>
    <w:rsid w:val="003A074E"/>
    <w:rsid w:val="003A1531"/>
    <w:rsid w:val="003A1CFF"/>
    <w:rsid w:val="003A2BB7"/>
    <w:rsid w:val="003A312D"/>
    <w:rsid w:val="003A37BF"/>
    <w:rsid w:val="003A4AB4"/>
    <w:rsid w:val="003A4C61"/>
    <w:rsid w:val="003A4D4A"/>
    <w:rsid w:val="003A4F09"/>
    <w:rsid w:val="003A546F"/>
    <w:rsid w:val="003A565B"/>
    <w:rsid w:val="003A5C29"/>
    <w:rsid w:val="003A5D24"/>
    <w:rsid w:val="003A5DEB"/>
    <w:rsid w:val="003A5F75"/>
    <w:rsid w:val="003A61D4"/>
    <w:rsid w:val="003A6240"/>
    <w:rsid w:val="003A63B8"/>
    <w:rsid w:val="003A648B"/>
    <w:rsid w:val="003A6592"/>
    <w:rsid w:val="003A6A14"/>
    <w:rsid w:val="003A6A20"/>
    <w:rsid w:val="003A6FDD"/>
    <w:rsid w:val="003A72E4"/>
    <w:rsid w:val="003A7535"/>
    <w:rsid w:val="003A7616"/>
    <w:rsid w:val="003A799B"/>
    <w:rsid w:val="003A7D18"/>
    <w:rsid w:val="003B00C2"/>
    <w:rsid w:val="003B07D1"/>
    <w:rsid w:val="003B0A3B"/>
    <w:rsid w:val="003B0DFF"/>
    <w:rsid w:val="003B12DB"/>
    <w:rsid w:val="003B1AF6"/>
    <w:rsid w:val="003B1B75"/>
    <w:rsid w:val="003B2EEF"/>
    <w:rsid w:val="003B2FBC"/>
    <w:rsid w:val="003B32CC"/>
    <w:rsid w:val="003B35CB"/>
    <w:rsid w:val="003B497D"/>
    <w:rsid w:val="003B4BD8"/>
    <w:rsid w:val="003B4DA2"/>
    <w:rsid w:val="003B4DDF"/>
    <w:rsid w:val="003B4E68"/>
    <w:rsid w:val="003B4EE8"/>
    <w:rsid w:val="003B50C0"/>
    <w:rsid w:val="003B545C"/>
    <w:rsid w:val="003B57B7"/>
    <w:rsid w:val="003B5E19"/>
    <w:rsid w:val="003B64D8"/>
    <w:rsid w:val="003B6D36"/>
    <w:rsid w:val="003B78AC"/>
    <w:rsid w:val="003C0428"/>
    <w:rsid w:val="003C08BD"/>
    <w:rsid w:val="003C1A62"/>
    <w:rsid w:val="003C1E2C"/>
    <w:rsid w:val="003C27F3"/>
    <w:rsid w:val="003C2F43"/>
    <w:rsid w:val="003C32FC"/>
    <w:rsid w:val="003C3793"/>
    <w:rsid w:val="003C3FD4"/>
    <w:rsid w:val="003C457C"/>
    <w:rsid w:val="003C49A9"/>
    <w:rsid w:val="003C4EBE"/>
    <w:rsid w:val="003C558C"/>
    <w:rsid w:val="003C5807"/>
    <w:rsid w:val="003C5A3A"/>
    <w:rsid w:val="003C6367"/>
    <w:rsid w:val="003C66C3"/>
    <w:rsid w:val="003C6F87"/>
    <w:rsid w:val="003C7429"/>
    <w:rsid w:val="003C75BD"/>
    <w:rsid w:val="003C7E0E"/>
    <w:rsid w:val="003D07CE"/>
    <w:rsid w:val="003D0802"/>
    <w:rsid w:val="003D098A"/>
    <w:rsid w:val="003D0B7A"/>
    <w:rsid w:val="003D1303"/>
    <w:rsid w:val="003D17E4"/>
    <w:rsid w:val="003D1A6C"/>
    <w:rsid w:val="003D1AE5"/>
    <w:rsid w:val="003D1AEC"/>
    <w:rsid w:val="003D1BA0"/>
    <w:rsid w:val="003D23D5"/>
    <w:rsid w:val="003D2533"/>
    <w:rsid w:val="003D295D"/>
    <w:rsid w:val="003D2F1C"/>
    <w:rsid w:val="003D2FE6"/>
    <w:rsid w:val="003D3C58"/>
    <w:rsid w:val="003D3CD1"/>
    <w:rsid w:val="003D489A"/>
    <w:rsid w:val="003D4AED"/>
    <w:rsid w:val="003D4EA6"/>
    <w:rsid w:val="003D5944"/>
    <w:rsid w:val="003D5C91"/>
    <w:rsid w:val="003D5D05"/>
    <w:rsid w:val="003D5ECA"/>
    <w:rsid w:val="003D5FB6"/>
    <w:rsid w:val="003D63D1"/>
    <w:rsid w:val="003D66AA"/>
    <w:rsid w:val="003D6CBF"/>
    <w:rsid w:val="003D6F2B"/>
    <w:rsid w:val="003D72CC"/>
    <w:rsid w:val="003D7618"/>
    <w:rsid w:val="003D7D05"/>
    <w:rsid w:val="003D7FA5"/>
    <w:rsid w:val="003E03C3"/>
    <w:rsid w:val="003E064B"/>
    <w:rsid w:val="003E067B"/>
    <w:rsid w:val="003E0E09"/>
    <w:rsid w:val="003E11A4"/>
    <w:rsid w:val="003E1613"/>
    <w:rsid w:val="003E1AD1"/>
    <w:rsid w:val="003E230A"/>
    <w:rsid w:val="003E236D"/>
    <w:rsid w:val="003E2512"/>
    <w:rsid w:val="003E2CFE"/>
    <w:rsid w:val="003E2E8C"/>
    <w:rsid w:val="003E3009"/>
    <w:rsid w:val="003E308A"/>
    <w:rsid w:val="003E367A"/>
    <w:rsid w:val="003E37A4"/>
    <w:rsid w:val="003E4075"/>
    <w:rsid w:val="003E4136"/>
    <w:rsid w:val="003E4338"/>
    <w:rsid w:val="003E4E45"/>
    <w:rsid w:val="003E5E1C"/>
    <w:rsid w:val="003E61CB"/>
    <w:rsid w:val="003E652F"/>
    <w:rsid w:val="003E6E90"/>
    <w:rsid w:val="003E731F"/>
    <w:rsid w:val="003E7AFC"/>
    <w:rsid w:val="003E7C04"/>
    <w:rsid w:val="003E7C95"/>
    <w:rsid w:val="003E7FDA"/>
    <w:rsid w:val="003F01F7"/>
    <w:rsid w:val="003F0570"/>
    <w:rsid w:val="003F0D15"/>
    <w:rsid w:val="003F1283"/>
    <w:rsid w:val="003F13F6"/>
    <w:rsid w:val="003F148F"/>
    <w:rsid w:val="003F174E"/>
    <w:rsid w:val="003F1A53"/>
    <w:rsid w:val="003F1F13"/>
    <w:rsid w:val="003F29E1"/>
    <w:rsid w:val="003F2DAF"/>
    <w:rsid w:val="003F2ED2"/>
    <w:rsid w:val="003F3772"/>
    <w:rsid w:val="003F3ED2"/>
    <w:rsid w:val="003F40B6"/>
    <w:rsid w:val="003F4627"/>
    <w:rsid w:val="003F4850"/>
    <w:rsid w:val="003F4ABA"/>
    <w:rsid w:val="003F53B6"/>
    <w:rsid w:val="003F54D5"/>
    <w:rsid w:val="003F6169"/>
    <w:rsid w:val="003F6645"/>
    <w:rsid w:val="003F72D7"/>
    <w:rsid w:val="003F77A6"/>
    <w:rsid w:val="003F77DA"/>
    <w:rsid w:val="003F7B2D"/>
    <w:rsid w:val="003F7C7A"/>
    <w:rsid w:val="00400BA3"/>
    <w:rsid w:val="00400D40"/>
    <w:rsid w:val="0040144A"/>
    <w:rsid w:val="004014C9"/>
    <w:rsid w:val="00401B46"/>
    <w:rsid w:val="00401DDB"/>
    <w:rsid w:val="00402889"/>
    <w:rsid w:val="004028FD"/>
    <w:rsid w:val="00402B5F"/>
    <w:rsid w:val="00402C3D"/>
    <w:rsid w:val="00403087"/>
    <w:rsid w:val="00403A5F"/>
    <w:rsid w:val="00403EDA"/>
    <w:rsid w:val="00403F44"/>
    <w:rsid w:val="0040409C"/>
    <w:rsid w:val="00404A45"/>
    <w:rsid w:val="00405576"/>
    <w:rsid w:val="004058B8"/>
    <w:rsid w:val="00405B3F"/>
    <w:rsid w:val="00406113"/>
    <w:rsid w:val="004063C4"/>
    <w:rsid w:val="0040647F"/>
    <w:rsid w:val="004072FC"/>
    <w:rsid w:val="004074CB"/>
    <w:rsid w:val="00407D7D"/>
    <w:rsid w:val="00407EDD"/>
    <w:rsid w:val="0041014C"/>
    <w:rsid w:val="00410247"/>
    <w:rsid w:val="00410B00"/>
    <w:rsid w:val="00410B24"/>
    <w:rsid w:val="00410E12"/>
    <w:rsid w:val="00410E3B"/>
    <w:rsid w:val="004115C8"/>
    <w:rsid w:val="004118DA"/>
    <w:rsid w:val="00413975"/>
    <w:rsid w:val="00413B36"/>
    <w:rsid w:val="00413BE9"/>
    <w:rsid w:val="00413E03"/>
    <w:rsid w:val="004143DB"/>
    <w:rsid w:val="00414E73"/>
    <w:rsid w:val="00415330"/>
    <w:rsid w:val="00415367"/>
    <w:rsid w:val="004161C2"/>
    <w:rsid w:val="004170A6"/>
    <w:rsid w:val="004174CB"/>
    <w:rsid w:val="004176BC"/>
    <w:rsid w:val="004176EB"/>
    <w:rsid w:val="004177A1"/>
    <w:rsid w:val="00417CB0"/>
    <w:rsid w:val="00417F47"/>
    <w:rsid w:val="00417FB8"/>
    <w:rsid w:val="00420584"/>
    <w:rsid w:val="004207B4"/>
    <w:rsid w:val="00420A61"/>
    <w:rsid w:val="00421048"/>
    <w:rsid w:val="0042164F"/>
    <w:rsid w:val="00421E8E"/>
    <w:rsid w:val="0042203D"/>
    <w:rsid w:val="004220E5"/>
    <w:rsid w:val="00422A93"/>
    <w:rsid w:val="00422BB1"/>
    <w:rsid w:val="00422E7D"/>
    <w:rsid w:val="0042314F"/>
    <w:rsid w:val="0042315B"/>
    <w:rsid w:val="00423EA1"/>
    <w:rsid w:val="00424D21"/>
    <w:rsid w:val="00424F1F"/>
    <w:rsid w:val="00424F3C"/>
    <w:rsid w:val="00425333"/>
    <w:rsid w:val="00425C24"/>
    <w:rsid w:val="0042646A"/>
    <w:rsid w:val="00427238"/>
    <w:rsid w:val="004273BF"/>
    <w:rsid w:val="0042760E"/>
    <w:rsid w:val="0042767A"/>
    <w:rsid w:val="00427E91"/>
    <w:rsid w:val="004311FF"/>
    <w:rsid w:val="00431211"/>
    <w:rsid w:val="004314B6"/>
    <w:rsid w:val="00432185"/>
    <w:rsid w:val="00432447"/>
    <w:rsid w:val="00432D97"/>
    <w:rsid w:val="00432F21"/>
    <w:rsid w:val="004336D1"/>
    <w:rsid w:val="004337DF"/>
    <w:rsid w:val="004338BE"/>
    <w:rsid w:val="00433964"/>
    <w:rsid w:val="004342CE"/>
    <w:rsid w:val="004343AD"/>
    <w:rsid w:val="004349D9"/>
    <w:rsid w:val="00434C7F"/>
    <w:rsid w:val="004353AE"/>
    <w:rsid w:val="0043544F"/>
    <w:rsid w:val="004362C0"/>
    <w:rsid w:val="00436425"/>
    <w:rsid w:val="004364E6"/>
    <w:rsid w:val="00436B27"/>
    <w:rsid w:val="00437069"/>
    <w:rsid w:val="0043712E"/>
    <w:rsid w:val="00437E12"/>
    <w:rsid w:val="004400BC"/>
    <w:rsid w:val="00440B54"/>
    <w:rsid w:val="00440B81"/>
    <w:rsid w:val="00440F39"/>
    <w:rsid w:val="004412E8"/>
    <w:rsid w:val="00441947"/>
    <w:rsid w:val="0044296C"/>
    <w:rsid w:val="00443331"/>
    <w:rsid w:val="00443561"/>
    <w:rsid w:val="00443591"/>
    <w:rsid w:val="00444A0A"/>
    <w:rsid w:val="00444BA5"/>
    <w:rsid w:val="00444C04"/>
    <w:rsid w:val="0044501E"/>
    <w:rsid w:val="0044580B"/>
    <w:rsid w:val="00445B35"/>
    <w:rsid w:val="00445DFA"/>
    <w:rsid w:val="004462BD"/>
    <w:rsid w:val="004462FA"/>
    <w:rsid w:val="0044692E"/>
    <w:rsid w:val="0044732A"/>
    <w:rsid w:val="0044747E"/>
    <w:rsid w:val="00447CBD"/>
    <w:rsid w:val="00450BC1"/>
    <w:rsid w:val="00451103"/>
    <w:rsid w:val="0045165E"/>
    <w:rsid w:val="004519C6"/>
    <w:rsid w:val="00451E6D"/>
    <w:rsid w:val="00451F2C"/>
    <w:rsid w:val="0045203F"/>
    <w:rsid w:val="004520DB"/>
    <w:rsid w:val="004521E8"/>
    <w:rsid w:val="00452550"/>
    <w:rsid w:val="004525A5"/>
    <w:rsid w:val="004526B0"/>
    <w:rsid w:val="00453228"/>
    <w:rsid w:val="004534FB"/>
    <w:rsid w:val="00453DB2"/>
    <w:rsid w:val="00453E81"/>
    <w:rsid w:val="00453F45"/>
    <w:rsid w:val="00454471"/>
    <w:rsid w:val="00454829"/>
    <w:rsid w:val="00454D4D"/>
    <w:rsid w:val="00454F1D"/>
    <w:rsid w:val="00455817"/>
    <w:rsid w:val="00455982"/>
    <w:rsid w:val="00455AE4"/>
    <w:rsid w:val="004569E8"/>
    <w:rsid w:val="00457034"/>
    <w:rsid w:val="00457BAA"/>
    <w:rsid w:val="00460981"/>
    <w:rsid w:val="004609DE"/>
    <w:rsid w:val="00461045"/>
    <w:rsid w:val="00461A3E"/>
    <w:rsid w:val="00461DC0"/>
    <w:rsid w:val="00462516"/>
    <w:rsid w:val="00462699"/>
    <w:rsid w:val="00462787"/>
    <w:rsid w:val="004628F0"/>
    <w:rsid w:val="00462AAF"/>
    <w:rsid w:val="00462D54"/>
    <w:rsid w:val="00462D63"/>
    <w:rsid w:val="004636BC"/>
    <w:rsid w:val="00463886"/>
    <w:rsid w:val="00464E03"/>
    <w:rsid w:val="00464F36"/>
    <w:rsid w:val="00464F3A"/>
    <w:rsid w:val="0046507A"/>
    <w:rsid w:val="0046528B"/>
    <w:rsid w:val="0046568B"/>
    <w:rsid w:val="0046569B"/>
    <w:rsid w:val="00466121"/>
    <w:rsid w:val="00466912"/>
    <w:rsid w:val="004670C3"/>
    <w:rsid w:val="00467686"/>
    <w:rsid w:val="00467792"/>
    <w:rsid w:val="004679AB"/>
    <w:rsid w:val="004705A6"/>
    <w:rsid w:val="00470B06"/>
    <w:rsid w:val="00471665"/>
    <w:rsid w:val="0047195F"/>
    <w:rsid w:val="00471A9E"/>
    <w:rsid w:val="00471B86"/>
    <w:rsid w:val="00472227"/>
    <w:rsid w:val="00472E0B"/>
    <w:rsid w:val="00472E9C"/>
    <w:rsid w:val="0047312A"/>
    <w:rsid w:val="004732E6"/>
    <w:rsid w:val="00473E2B"/>
    <w:rsid w:val="00473FF9"/>
    <w:rsid w:val="00474927"/>
    <w:rsid w:val="00474FBE"/>
    <w:rsid w:val="0047540F"/>
    <w:rsid w:val="00475438"/>
    <w:rsid w:val="00476822"/>
    <w:rsid w:val="00476F8F"/>
    <w:rsid w:val="004772FF"/>
    <w:rsid w:val="00477324"/>
    <w:rsid w:val="00480310"/>
    <w:rsid w:val="0048048A"/>
    <w:rsid w:val="004807FF"/>
    <w:rsid w:val="004808F6"/>
    <w:rsid w:val="00480984"/>
    <w:rsid w:val="00481705"/>
    <w:rsid w:val="00481966"/>
    <w:rsid w:val="00482044"/>
    <w:rsid w:val="00482254"/>
    <w:rsid w:val="004823C6"/>
    <w:rsid w:val="00482F51"/>
    <w:rsid w:val="00483166"/>
    <w:rsid w:val="0048365C"/>
    <w:rsid w:val="004837B4"/>
    <w:rsid w:val="00483AAB"/>
    <w:rsid w:val="00483E46"/>
    <w:rsid w:val="00484915"/>
    <w:rsid w:val="00484EEF"/>
    <w:rsid w:val="004853D8"/>
    <w:rsid w:val="0048589F"/>
    <w:rsid w:val="00486552"/>
    <w:rsid w:val="00486AEA"/>
    <w:rsid w:val="00486B59"/>
    <w:rsid w:val="00486DA8"/>
    <w:rsid w:val="00486EEE"/>
    <w:rsid w:val="0048735B"/>
    <w:rsid w:val="004875E6"/>
    <w:rsid w:val="00487AD4"/>
    <w:rsid w:val="00487BF3"/>
    <w:rsid w:val="00490275"/>
    <w:rsid w:val="004904BA"/>
    <w:rsid w:val="00490628"/>
    <w:rsid w:val="0049071D"/>
    <w:rsid w:val="0049103F"/>
    <w:rsid w:val="00491532"/>
    <w:rsid w:val="00491F80"/>
    <w:rsid w:val="0049239D"/>
    <w:rsid w:val="004925C9"/>
    <w:rsid w:val="00492B52"/>
    <w:rsid w:val="00493577"/>
    <w:rsid w:val="00493767"/>
    <w:rsid w:val="00493EB8"/>
    <w:rsid w:val="004941F1"/>
    <w:rsid w:val="004942A0"/>
    <w:rsid w:val="00494307"/>
    <w:rsid w:val="00494B3B"/>
    <w:rsid w:val="004954A4"/>
    <w:rsid w:val="00495665"/>
    <w:rsid w:val="0049596B"/>
    <w:rsid w:val="004963FE"/>
    <w:rsid w:val="00496996"/>
    <w:rsid w:val="00496DD8"/>
    <w:rsid w:val="00497692"/>
    <w:rsid w:val="00497AE7"/>
    <w:rsid w:val="004A020A"/>
    <w:rsid w:val="004A022A"/>
    <w:rsid w:val="004A036F"/>
    <w:rsid w:val="004A04FE"/>
    <w:rsid w:val="004A0859"/>
    <w:rsid w:val="004A0C71"/>
    <w:rsid w:val="004A0CF6"/>
    <w:rsid w:val="004A15D4"/>
    <w:rsid w:val="004A18E6"/>
    <w:rsid w:val="004A18FA"/>
    <w:rsid w:val="004A1B4E"/>
    <w:rsid w:val="004A20DA"/>
    <w:rsid w:val="004A2509"/>
    <w:rsid w:val="004A294E"/>
    <w:rsid w:val="004A2E67"/>
    <w:rsid w:val="004A326C"/>
    <w:rsid w:val="004A3371"/>
    <w:rsid w:val="004A3391"/>
    <w:rsid w:val="004A398C"/>
    <w:rsid w:val="004A3AC0"/>
    <w:rsid w:val="004A3C39"/>
    <w:rsid w:val="004A3FAE"/>
    <w:rsid w:val="004A4291"/>
    <w:rsid w:val="004A4728"/>
    <w:rsid w:val="004A4AC3"/>
    <w:rsid w:val="004A4D02"/>
    <w:rsid w:val="004A4F2D"/>
    <w:rsid w:val="004A5AFA"/>
    <w:rsid w:val="004A5B38"/>
    <w:rsid w:val="004B0AF1"/>
    <w:rsid w:val="004B1545"/>
    <w:rsid w:val="004B1768"/>
    <w:rsid w:val="004B17CE"/>
    <w:rsid w:val="004B18CE"/>
    <w:rsid w:val="004B1903"/>
    <w:rsid w:val="004B1A9C"/>
    <w:rsid w:val="004B1B15"/>
    <w:rsid w:val="004B1C6F"/>
    <w:rsid w:val="004B1CB3"/>
    <w:rsid w:val="004B1F96"/>
    <w:rsid w:val="004B21DA"/>
    <w:rsid w:val="004B2241"/>
    <w:rsid w:val="004B25FA"/>
    <w:rsid w:val="004B27D6"/>
    <w:rsid w:val="004B2EBB"/>
    <w:rsid w:val="004B3507"/>
    <w:rsid w:val="004B36DF"/>
    <w:rsid w:val="004B3C81"/>
    <w:rsid w:val="004B3CA4"/>
    <w:rsid w:val="004B47F4"/>
    <w:rsid w:val="004B4E4F"/>
    <w:rsid w:val="004B50CC"/>
    <w:rsid w:val="004B5825"/>
    <w:rsid w:val="004B61C8"/>
    <w:rsid w:val="004B622F"/>
    <w:rsid w:val="004B6415"/>
    <w:rsid w:val="004B64FA"/>
    <w:rsid w:val="004B6C14"/>
    <w:rsid w:val="004B758A"/>
    <w:rsid w:val="004B7F9F"/>
    <w:rsid w:val="004C03EA"/>
    <w:rsid w:val="004C06CE"/>
    <w:rsid w:val="004C099B"/>
    <w:rsid w:val="004C0BAC"/>
    <w:rsid w:val="004C0DB4"/>
    <w:rsid w:val="004C10A2"/>
    <w:rsid w:val="004C13F1"/>
    <w:rsid w:val="004C16F5"/>
    <w:rsid w:val="004C20D0"/>
    <w:rsid w:val="004C2E64"/>
    <w:rsid w:val="004C33E8"/>
    <w:rsid w:val="004C366F"/>
    <w:rsid w:val="004C3DE2"/>
    <w:rsid w:val="004C44DD"/>
    <w:rsid w:val="004C4A96"/>
    <w:rsid w:val="004C4BB6"/>
    <w:rsid w:val="004C4E5F"/>
    <w:rsid w:val="004C5875"/>
    <w:rsid w:val="004C5F28"/>
    <w:rsid w:val="004C5FCF"/>
    <w:rsid w:val="004C664B"/>
    <w:rsid w:val="004C66F8"/>
    <w:rsid w:val="004C6736"/>
    <w:rsid w:val="004C6997"/>
    <w:rsid w:val="004C6CDB"/>
    <w:rsid w:val="004C723F"/>
    <w:rsid w:val="004C72C2"/>
    <w:rsid w:val="004C7872"/>
    <w:rsid w:val="004C7C36"/>
    <w:rsid w:val="004C7D16"/>
    <w:rsid w:val="004D0132"/>
    <w:rsid w:val="004D051C"/>
    <w:rsid w:val="004D080F"/>
    <w:rsid w:val="004D138E"/>
    <w:rsid w:val="004D185E"/>
    <w:rsid w:val="004D1EEB"/>
    <w:rsid w:val="004D2556"/>
    <w:rsid w:val="004D29F9"/>
    <w:rsid w:val="004D32FF"/>
    <w:rsid w:val="004D367C"/>
    <w:rsid w:val="004D3701"/>
    <w:rsid w:val="004D3753"/>
    <w:rsid w:val="004D4B61"/>
    <w:rsid w:val="004D4CE4"/>
    <w:rsid w:val="004D59A5"/>
    <w:rsid w:val="004D606D"/>
    <w:rsid w:val="004D636D"/>
    <w:rsid w:val="004D67CB"/>
    <w:rsid w:val="004D6B20"/>
    <w:rsid w:val="004D6C2F"/>
    <w:rsid w:val="004D71FE"/>
    <w:rsid w:val="004D72CE"/>
    <w:rsid w:val="004D73EF"/>
    <w:rsid w:val="004D7745"/>
    <w:rsid w:val="004D7964"/>
    <w:rsid w:val="004D7A80"/>
    <w:rsid w:val="004D7CA3"/>
    <w:rsid w:val="004E0388"/>
    <w:rsid w:val="004E04C7"/>
    <w:rsid w:val="004E0894"/>
    <w:rsid w:val="004E0C77"/>
    <w:rsid w:val="004E135A"/>
    <w:rsid w:val="004E1AA0"/>
    <w:rsid w:val="004E1C50"/>
    <w:rsid w:val="004E20EE"/>
    <w:rsid w:val="004E23BB"/>
    <w:rsid w:val="004E251F"/>
    <w:rsid w:val="004E2B23"/>
    <w:rsid w:val="004E2FB9"/>
    <w:rsid w:val="004E3390"/>
    <w:rsid w:val="004E37C8"/>
    <w:rsid w:val="004E416F"/>
    <w:rsid w:val="004E424D"/>
    <w:rsid w:val="004E4439"/>
    <w:rsid w:val="004E5F45"/>
    <w:rsid w:val="004E64DC"/>
    <w:rsid w:val="004E674C"/>
    <w:rsid w:val="004E6F86"/>
    <w:rsid w:val="004E706A"/>
    <w:rsid w:val="004F0671"/>
    <w:rsid w:val="004F0C01"/>
    <w:rsid w:val="004F126D"/>
    <w:rsid w:val="004F1E92"/>
    <w:rsid w:val="004F234E"/>
    <w:rsid w:val="004F23A2"/>
    <w:rsid w:val="004F24B5"/>
    <w:rsid w:val="004F28A5"/>
    <w:rsid w:val="004F2B02"/>
    <w:rsid w:val="004F2D1B"/>
    <w:rsid w:val="004F2E11"/>
    <w:rsid w:val="004F2E17"/>
    <w:rsid w:val="004F2E33"/>
    <w:rsid w:val="004F31BD"/>
    <w:rsid w:val="004F378C"/>
    <w:rsid w:val="004F3B34"/>
    <w:rsid w:val="004F3E23"/>
    <w:rsid w:val="004F4722"/>
    <w:rsid w:val="004F4767"/>
    <w:rsid w:val="004F498A"/>
    <w:rsid w:val="004F4D86"/>
    <w:rsid w:val="004F505C"/>
    <w:rsid w:val="004F51B2"/>
    <w:rsid w:val="004F52AA"/>
    <w:rsid w:val="004F59C4"/>
    <w:rsid w:val="004F5D65"/>
    <w:rsid w:val="004F70F8"/>
    <w:rsid w:val="004F7230"/>
    <w:rsid w:val="004F7468"/>
    <w:rsid w:val="004F7D65"/>
    <w:rsid w:val="004F7D7B"/>
    <w:rsid w:val="00501519"/>
    <w:rsid w:val="00501659"/>
    <w:rsid w:val="00501733"/>
    <w:rsid w:val="00501B75"/>
    <w:rsid w:val="00501C39"/>
    <w:rsid w:val="00502203"/>
    <w:rsid w:val="005026D4"/>
    <w:rsid w:val="005027B8"/>
    <w:rsid w:val="00503286"/>
    <w:rsid w:val="00503C6D"/>
    <w:rsid w:val="00503F42"/>
    <w:rsid w:val="0050449C"/>
    <w:rsid w:val="00504D6F"/>
    <w:rsid w:val="00505378"/>
    <w:rsid w:val="00505A66"/>
    <w:rsid w:val="00505F9F"/>
    <w:rsid w:val="005060A2"/>
    <w:rsid w:val="00506192"/>
    <w:rsid w:val="00506576"/>
    <w:rsid w:val="00506710"/>
    <w:rsid w:val="00506DA6"/>
    <w:rsid w:val="00506E86"/>
    <w:rsid w:val="0050702C"/>
    <w:rsid w:val="0050722E"/>
    <w:rsid w:val="0050723E"/>
    <w:rsid w:val="005072DD"/>
    <w:rsid w:val="00507403"/>
    <w:rsid w:val="00507430"/>
    <w:rsid w:val="005077BC"/>
    <w:rsid w:val="005101E5"/>
    <w:rsid w:val="00511D75"/>
    <w:rsid w:val="00511FF2"/>
    <w:rsid w:val="005121CE"/>
    <w:rsid w:val="00512232"/>
    <w:rsid w:val="005135C0"/>
    <w:rsid w:val="00513B7E"/>
    <w:rsid w:val="005140F7"/>
    <w:rsid w:val="00514326"/>
    <w:rsid w:val="00514597"/>
    <w:rsid w:val="00514F8E"/>
    <w:rsid w:val="005150AB"/>
    <w:rsid w:val="0051520F"/>
    <w:rsid w:val="0051557F"/>
    <w:rsid w:val="005159F9"/>
    <w:rsid w:val="00516164"/>
    <w:rsid w:val="005164CC"/>
    <w:rsid w:val="0051666B"/>
    <w:rsid w:val="0051769B"/>
    <w:rsid w:val="00517D26"/>
    <w:rsid w:val="0052052F"/>
    <w:rsid w:val="00520571"/>
    <w:rsid w:val="00520FBB"/>
    <w:rsid w:val="005212B6"/>
    <w:rsid w:val="00522C8A"/>
    <w:rsid w:val="00523AF8"/>
    <w:rsid w:val="00523F57"/>
    <w:rsid w:val="00523F8F"/>
    <w:rsid w:val="005242BC"/>
    <w:rsid w:val="005248F8"/>
    <w:rsid w:val="00524E1E"/>
    <w:rsid w:val="0052565F"/>
    <w:rsid w:val="00525D71"/>
    <w:rsid w:val="00525D92"/>
    <w:rsid w:val="0052654A"/>
    <w:rsid w:val="00526E9C"/>
    <w:rsid w:val="005278F8"/>
    <w:rsid w:val="005300ED"/>
    <w:rsid w:val="00530374"/>
    <w:rsid w:val="005306B9"/>
    <w:rsid w:val="005314D8"/>
    <w:rsid w:val="00531706"/>
    <w:rsid w:val="00531F66"/>
    <w:rsid w:val="00532121"/>
    <w:rsid w:val="00532429"/>
    <w:rsid w:val="00532850"/>
    <w:rsid w:val="005328A9"/>
    <w:rsid w:val="00532C7A"/>
    <w:rsid w:val="00532E23"/>
    <w:rsid w:val="005331D3"/>
    <w:rsid w:val="005331DA"/>
    <w:rsid w:val="005332FA"/>
    <w:rsid w:val="005335ED"/>
    <w:rsid w:val="0053446A"/>
    <w:rsid w:val="00534668"/>
    <w:rsid w:val="005346BF"/>
    <w:rsid w:val="0053472D"/>
    <w:rsid w:val="00534E23"/>
    <w:rsid w:val="00535189"/>
    <w:rsid w:val="005356B6"/>
    <w:rsid w:val="00535D75"/>
    <w:rsid w:val="00535FF9"/>
    <w:rsid w:val="0053609B"/>
    <w:rsid w:val="0053655A"/>
    <w:rsid w:val="00536ECF"/>
    <w:rsid w:val="00537355"/>
    <w:rsid w:val="0053740F"/>
    <w:rsid w:val="005406D0"/>
    <w:rsid w:val="00540B60"/>
    <w:rsid w:val="00540D9E"/>
    <w:rsid w:val="0054171A"/>
    <w:rsid w:val="005419E2"/>
    <w:rsid w:val="005420CF"/>
    <w:rsid w:val="005423CF"/>
    <w:rsid w:val="00542B75"/>
    <w:rsid w:val="00542C2A"/>
    <w:rsid w:val="0054337D"/>
    <w:rsid w:val="005434CF"/>
    <w:rsid w:val="005438E3"/>
    <w:rsid w:val="005439A8"/>
    <w:rsid w:val="00543CAC"/>
    <w:rsid w:val="00543CCD"/>
    <w:rsid w:val="00543E51"/>
    <w:rsid w:val="005440E4"/>
    <w:rsid w:val="00544497"/>
    <w:rsid w:val="005448FE"/>
    <w:rsid w:val="0054544C"/>
    <w:rsid w:val="00545BEC"/>
    <w:rsid w:val="005468A5"/>
    <w:rsid w:val="00546A1D"/>
    <w:rsid w:val="00546C8E"/>
    <w:rsid w:val="00546CB9"/>
    <w:rsid w:val="00546E83"/>
    <w:rsid w:val="00546ED1"/>
    <w:rsid w:val="005471C3"/>
    <w:rsid w:val="00547725"/>
    <w:rsid w:val="0054795A"/>
    <w:rsid w:val="00550292"/>
    <w:rsid w:val="0055066D"/>
    <w:rsid w:val="005506E5"/>
    <w:rsid w:val="00550B6D"/>
    <w:rsid w:val="00551309"/>
    <w:rsid w:val="00551D80"/>
    <w:rsid w:val="00552426"/>
    <w:rsid w:val="00552604"/>
    <w:rsid w:val="00552DCE"/>
    <w:rsid w:val="00552F1A"/>
    <w:rsid w:val="0055363B"/>
    <w:rsid w:val="00553693"/>
    <w:rsid w:val="005536D5"/>
    <w:rsid w:val="00553934"/>
    <w:rsid w:val="00553B71"/>
    <w:rsid w:val="00553D3C"/>
    <w:rsid w:val="00554664"/>
    <w:rsid w:val="005547BB"/>
    <w:rsid w:val="00554999"/>
    <w:rsid w:val="00554C4D"/>
    <w:rsid w:val="00554DC4"/>
    <w:rsid w:val="00555241"/>
    <w:rsid w:val="00555C08"/>
    <w:rsid w:val="0055622C"/>
    <w:rsid w:val="005564BE"/>
    <w:rsid w:val="00556A43"/>
    <w:rsid w:val="00556A63"/>
    <w:rsid w:val="0055727C"/>
    <w:rsid w:val="00557AA4"/>
    <w:rsid w:val="00557FCE"/>
    <w:rsid w:val="0056087F"/>
    <w:rsid w:val="00560D8A"/>
    <w:rsid w:val="0056121A"/>
    <w:rsid w:val="005617BD"/>
    <w:rsid w:val="00561B79"/>
    <w:rsid w:val="00562195"/>
    <w:rsid w:val="0056261D"/>
    <w:rsid w:val="005627E1"/>
    <w:rsid w:val="005627E6"/>
    <w:rsid w:val="005627F2"/>
    <w:rsid w:val="00562918"/>
    <w:rsid w:val="00562C78"/>
    <w:rsid w:val="00563269"/>
    <w:rsid w:val="00564169"/>
    <w:rsid w:val="00564369"/>
    <w:rsid w:val="00564643"/>
    <w:rsid w:val="00564772"/>
    <w:rsid w:val="005654CF"/>
    <w:rsid w:val="00566518"/>
    <w:rsid w:val="005669DA"/>
    <w:rsid w:val="00566B0A"/>
    <w:rsid w:val="0056700C"/>
    <w:rsid w:val="00567613"/>
    <w:rsid w:val="00567D48"/>
    <w:rsid w:val="005702D2"/>
    <w:rsid w:val="00570C88"/>
    <w:rsid w:val="005711BF"/>
    <w:rsid w:val="00571206"/>
    <w:rsid w:val="00571640"/>
    <w:rsid w:val="00571678"/>
    <w:rsid w:val="00571902"/>
    <w:rsid w:val="0057194C"/>
    <w:rsid w:val="00571D62"/>
    <w:rsid w:val="005720AF"/>
    <w:rsid w:val="00572150"/>
    <w:rsid w:val="00572283"/>
    <w:rsid w:val="00572F6B"/>
    <w:rsid w:val="00573604"/>
    <w:rsid w:val="00573DE2"/>
    <w:rsid w:val="00573F29"/>
    <w:rsid w:val="00574693"/>
    <w:rsid w:val="00574949"/>
    <w:rsid w:val="00574AD1"/>
    <w:rsid w:val="0057501B"/>
    <w:rsid w:val="00575F52"/>
    <w:rsid w:val="00575F8F"/>
    <w:rsid w:val="005762C9"/>
    <w:rsid w:val="0057666F"/>
    <w:rsid w:val="005767F1"/>
    <w:rsid w:val="00576A92"/>
    <w:rsid w:val="00577417"/>
    <w:rsid w:val="005779BD"/>
    <w:rsid w:val="00577E60"/>
    <w:rsid w:val="00580009"/>
    <w:rsid w:val="00580850"/>
    <w:rsid w:val="00580912"/>
    <w:rsid w:val="00580D6B"/>
    <w:rsid w:val="00580F14"/>
    <w:rsid w:val="005812AE"/>
    <w:rsid w:val="0058144C"/>
    <w:rsid w:val="0058159E"/>
    <w:rsid w:val="00581F46"/>
    <w:rsid w:val="00581F5D"/>
    <w:rsid w:val="00582234"/>
    <w:rsid w:val="005824FB"/>
    <w:rsid w:val="00582686"/>
    <w:rsid w:val="00582706"/>
    <w:rsid w:val="005829C4"/>
    <w:rsid w:val="00582D45"/>
    <w:rsid w:val="00582E8D"/>
    <w:rsid w:val="00582FA1"/>
    <w:rsid w:val="00582FFE"/>
    <w:rsid w:val="005843DF"/>
    <w:rsid w:val="00584640"/>
    <w:rsid w:val="005846E8"/>
    <w:rsid w:val="0058513F"/>
    <w:rsid w:val="005860BC"/>
    <w:rsid w:val="005862AF"/>
    <w:rsid w:val="00586CD8"/>
    <w:rsid w:val="00587129"/>
    <w:rsid w:val="0058724D"/>
    <w:rsid w:val="0058725A"/>
    <w:rsid w:val="005872C8"/>
    <w:rsid w:val="00587746"/>
    <w:rsid w:val="005879CE"/>
    <w:rsid w:val="0059000C"/>
    <w:rsid w:val="00590136"/>
    <w:rsid w:val="00590B24"/>
    <w:rsid w:val="00590B6C"/>
    <w:rsid w:val="00590E74"/>
    <w:rsid w:val="00591392"/>
    <w:rsid w:val="005913B9"/>
    <w:rsid w:val="00591429"/>
    <w:rsid w:val="005915E6"/>
    <w:rsid w:val="00591A74"/>
    <w:rsid w:val="00591BEC"/>
    <w:rsid w:val="00591C20"/>
    <w:rsid w:val="005921E8"/>
    <w:rsid w:val="005924E3"/>
    <w:rsid w:val="00592DE3"/>
    <w:rsid w:val="00594948"/>
    <w:rsid w:val="00594ACF"/>
    <w:rsid w:val="005950B2"/>
    <w:rsid w:val="00595154"/>
    <w:rsid w:val="00595296"/>
    <w:rsid w:val="00595917"/>
    <w:rsid w:val="00595C91"/>
    <w:rsid w:val="0059665C"/>
    <w:rsid w:val="005969F6"/>
    <w:rsid w:val="00596FEB"/>
    <w:rsid w:val="005976CA"/>
    <w:rsid w:val="00597A00"/>
    <w:rsid w:val="00597AB3"/>
    <w:rsid w:val="00597DBB"/>
    <w:rsid w:val="005A050E"/>
    <w:rsid w:val="005A0A21"/>
    <w:rsid w:val="005A0A74"/>
    <w:rsid w:val="005A118A"/>
    <w:rsid w:val="005A1897"/>
    <w:rsid w:val="005A252B"/>
    <w:rsid w:val="005A2898"/>
    <w:rsid w:val="005A3B97"/>
    <w:rsid w:val="005A45EC"/>
    <w:rsid w:val="005A4A89"/>
    <w:rsid w:val="005A55F6"/>
    <w:rsid w:val="005A57CE"/>
    <w:rsid w:val="005A57D4"/>
    <w:rsid w:val="005A5C31"/>
    <w:rsid w:val="005A5DB4"/>
    <w:rsid w:val="005A600A"/>
    <w:rsid w:val="005A74D9"/>
    <w:rsid w:val="005A7E88"/>
    <w:rsid w:val="005A7F92"/>
    <w:rsid w:val="005B01F4"/>
    <w:rsid w:val="005B05BE"/>
    <w:rsid w:val="005B0692"/>
    <w:rsid w:val="005B07C7"/>
    <w:rsid w:val="005B14C2"/>
    <w:rsid w:val="005B1B4F"/>
    <w:rsid w:val="005B1E76"/>
    <w:rsid w:val="005B20C4"/>
    <w:rsid w:val="005B22FC"/>
    <w:rsid w:val="005B2520"/>
    <w:rsid w:val="005B2564"/>
    <w:rsid w:val="005B2D65"/>
    <w:rsid w:val="005B2E53"/>
    <w:rsid w:val="005B2F26"/>
    <w:rsid w:val="005B3076"/>
    <w:rsid w:val="005B334E"/>
    <w:rsid w:val="005B389B"/>
    <w:rsid w:val="005B3B79"/>
    <w:rsid w:val="005B4224"/>
    <w:rsid w:val="005B426C"/>
    <w:rsid w:val="005B467F"/>
    <w:rsid w:val="005B4B88"/>
    <w:rsid w:val="005B4C25"/>
    <w:rsid w:val="005B52D8"/>
    <w:rsid w:val="005B57E9"/>
    <w:rsid w:val="005B583D"/>
    <w:rsid w:val="005B5DAD"/>
    <w:rsid w:val="005B6035"/>
    <w:rsid w:val="005B659A"/>
    <w:rsid w:val="005B65CA"/>
    <w:rsid w:val="005B79C6"/>
    <w:rsid w:val="005C04C0"/>
    <w:rsid w:val="005C07DF"/>
    <w:rsid w:val="005C0912"/>
    <w:rsid w:val="005C1160"/>
    <w:rsid w:val="005C1912"/>
    <w:rsid w:val="005C1B46"/>
    <w:rsid w:val="005C1DE2"/>
    <w:rsid w:val="005C1F7E"/>
    <w:rsid w:val="005C2057"/>
    <w:rsid w:val="005C20A0"/>
    <w:rsid w:val="005C2EF2"/>
    <w:rsid w:val="005C311F"/>
    <w:rsid w:val="005C31EC"/>
    <w:rsid w:val="005C3234"/>
    <w:rsid w:val="005C34D5"/>
    <w:rsid w:val="005C3AE2"/>
    <w:rsid w:val="005C3DA9"/>
    <w:rsid w:val="005C511C"/>
    <w:rsid w:val="005C523E"/>
    <w:rsid w:val="005C5258"/>
    <w:rsid w:val="005C57F7"/>
    <w:rsid w:val="005C63C2"/>
    <w:rsid w:val="005C64B4"/>
    <w:rsid w:val="005C6589"/>
    <w:rsid w:val="005C694E"/>
    <w:rsid w:val="005C7159"/>
    <w:rsid w:val="005C76FD"/>
    <w:rsid w:val="005C7A6D"/>
    <w:rsid w:val="005C7DC3"/>
    <w:rsid w:val="005D027B"/>
    <w:rsid w:val="005D09FF"/>
    <w:rsid w:val="005D0DAF"/>
    <w:rsid w:val="005D0E2B"/>
    <w:rsid w:val="005D14A4"/>
    <w:rsid w:val="005D1A50"/>
    <w:rsid w:val="005D1D83"/>
    <w:rsid w:val="005D2B25"/>
    <w:rsid w:val="005D2E2B"/>
    <w:rsid w:val="005D3D10"/>
    <w:rsid w:val="005D4BA6"/>
    <w:rsid w:val="005D63D9"/>
    <w:rsid w:val="005D65C7"/>
    <w:rsid w:val="005D6947"/>
    <w:rsid w:val="005D6E2B"/>
    <w:rsid w:val="005D71BB"/>
    <w:rsid w:val="005D7565"/>
    <w:rsid w:val="005D7D0E"/>
    <w:rsid w:val="005E01C9"/>
    <w:rsid w:val="005E07F3"/>
    <w:rsid w:val="005E0823"/>
    <w:rsid w:val="005E0D53"/>
    <w:rsid w:val="005E1008"/>
    <w:rsid w:val="005E10B7"/>
    <w:rsid w:val="005E11E2"/>
    <w:rsid w:val="005E11E9"/>
    <w:rsid w:val="005E170E"/>
    <w:rsid w:val="005E1717"/>
    <w:rsid w:val="005E1941"/>
    <w:rsid w:val="005E1DDB"/>
    <w:rsid w:val="005E1F3B"/>
    <w:rsid w:val="005E1F3F"/>
    <w:rsid w:val="005E23F5"/>
    <w:rsid w:val="005E250E"/>
    <w:rsid w:val="005E2961"/>
    <w:rsid w:val="005E2FF7"/>
    <w:rsid w:val="005E30A9"/>
    <w:rsid w:val="005E34F0"/>
    <w:rsid w:val="005E3769"/>
    <w:rsid w:val="005E3B68"/>
    <w:rsid w:val="005E4148"/>
    <w:rsid w:val="005E4455"/>
    <w:rsid w:val="005E4674"/>
    <w:rsid w:val="005E4AF5"/>
    <w:rsid w:val="005E4F30"/>
    <w:rsid w:val="005E511D"/>
    <w:rsid w:val="005E5675"/>
    <w:rsid w:val="005E56C4"/>
    <w:rsid w:val="005E5BEB"/>
    <w:rsid w:val="005E6369"/>
    <w:rsid w:val="005E652A"/>
    <w:rsid w:val="005E68B2"/>
    <w:rsid w:val="005E6C14"/>
    <w:rsid w:val="005E6F87"/>
    <w:rsid w:val="005E7035"/>
    <w:rsid w:val="005E7038"/>
    <w:rsid w:val="005E79FE"/>
    <w:rsid w:val="005F043C"/>
    <w:rsid w:val="005F0593"/>
    <w:rsid w:val="005F117A"/>
    <w:rsid w:val="005F1AE6"/>
    <w:rsid w:val="005F1BE8"/>
    <w:rsid w:val="005F1C1F"/>
    <w:rsid w:val="005F20C7"/>
    <w:rsid w:val="005F267F"/>
    <w:rsid w:val="005F29BA"/>
    <w:rsid w:val="005F2ABB"/>
    <w:rsid w:val="005F3375"/>
    <w:rsid w:val="005F354A"/>
    <w:rsid w:val="005F3FBF"/>
    <w:rsid w:val="005F405A"/>
    <w:rsid w:val="005F570C"/>
    <w:rsid w:val="005F5922"/>
    <w:rsid w:val="005F725D"/>
    <w:rsid w:val="005F74BD"/>
    <w:rsid w:val="005F7D2F"/>
    <w:rsid w:val="006003A9"/>
    <w:rsid w:val="006003EE"/>
    <w:rsid w:val="00600E8E"/>
    <w:rsid w:val="006017B8"/>
    <w:rsid w:val="006018CA"/>
    <w:rsid w:val="006019E6"/>
    <w:rsid w:val="00601AA5"/>
    <w:rsid w:val="006021EE"/>
    <w:rsid w:val="0060270D"/>
    <w:rsid w:val="00602A5A"/>
    <w:rsid w:val="006034A7"/>
    <w:rsid w:val="006037C0"/>
    <w:rsid w:val="006037CC"/>
    <w:rsid w:val="00603A6B"/>
    <w:rsid w:val="00603DCD"/>
    <w:rsid w:val="006040F2"/>
    <w:rsid w:val="0060449A"/>
    <w:rsid w:val="00604805"/>
    <w:rsid w:val="00604C62"/>
    <w:rsid w:val="00604EA9"/>
    <w:rsid w:val="0060529E"/>
    <w:rsid w:val="00605384"/>
    <w:rsid w:val="00605829"/>
    <w:rsid w:val="006059CE"/>
    <w:rsid w:val="00605BA8"/>
    <w:rsid w:val="00606CD7"/>
    <w:rsid w:val="00606FBC"/>
    <w:rsid w:val="006072E8"/>
    <w:rsid w:val="00607C2D"/>
    <w:rsid w:val="00607E71"/>
    <w:rsid w:val="00610178"/>
    <w:rsid w:val="006103A4"/>
    <w:rsid w:val="00610837"/>
    <w:rsid w:val="00610922"/>
    <w:rsid w:val="00610D06"/>
    <w:rsid w:val="00610EC4"/>
    <w:rsid w:val="00611250"/>
    <w:rsid w:val="00611B57"/>
    <w:rsid w:val="00611D8D"/>
    <w:rsid w:val="00612075"/>
    <w:rsid w:val="006122E2"/>
    <w:rsid w:val="006125AA"/>
    <w:rsid w:val="00612638"/>
    <w:rsid w:val="0061367E"/>
    <w:rsid w:val="00613821"/>
    <w:rsid w:val="00613E9D"/>
    <w:rsid w:val="0061423C"/>
    <w:rsid w:val="0061427C"/>
    <w:rsid w:val="0061444C"/>
    <w:rsid w:val="00615053"/>
    <w:rsid w:val="006150FD"/>
    <w:rsid w:val="00615136"/>
    <w:rsid w:val="00615427"/>
    <w:rsid w:val="006155C4"/>
    <w:rsid w:val="00615DED"/>
    <w:rsid w:val="00615FAB"/>
    <w:rsid w:val="00616105"/>
    <w:rsid w:val="006161F8"/>
    <w:rsid w:val="006169BB"/>
    <w:rsid w:val="00616B50"/>
    <w:rsid w:val="00616F11"/>
    <w:rsid w:val="006177F0"/>
    <w:rsid w:val="0062005F"/>
    <w:rsid w:val="00620165"/>
    <w:rsid w:val="006201DC"/>
    <w:rsid w:val="0062039B"/>
    <w:rsid w:val="00620985"/>
    <w:rsid w:val="00620BD5"/>
    <w:rsid w:val="00621B17"/>
    <w:rsid w:val="00622289"/>
    <w:rsid w:val="00622543"/>
    <w:rsid w:val="0062261D"/>
    <w:rsid w:val="00622643"/>
    <w:rsid w:val="00622676"/>
    <w:rsid w:val="00623312"/>
    <w:rsid w:val="0062351E"/>
    <w:rsid w:val="00623D80"/>
    <w:rsid w:val="00623E92"/>
    <w:rsid w:val="00623E93"/>
    <w:rsid w:val="00624322"/>
    <w:rsid w:val="00624406"/>
    <w:rsid w:val="006248E3"/>
    <w:rsid w:val="00625685"/>
    <w:rsid w:val="00625D3D"/>
    <w:rsid w:val="00625DB6"/>
    <w:rsid w:val="00626280"/>
    <w:rsid w:val="00626CAC"/>
    <w:rsid w:val="00627AD4"/>
    <w:rsid w:val="00630F33"/>
    <w:rsid w:val="006312A4"/>
    <w:rsid w:val="006312F8"/>
    <w:rsid w:val="006313C9"/>
    <w:rsid w:val="006317D2"/>
    <w:rsid w:val="00631C0F"/>
    <w:rsid w:val="0063210D"/>
    <w:rsid w:val="0063261C"/>
    <w:rsid w:val="00632B09"/>
    <w:rsid w:val="006337EA"/>
    <w:rsid w:val="00634871"/>
    <w:rsid w:val="006348ED"/>
    <w:rsid w:val="00634DF1"/>
    <w:rsid w:val="006355E6"/>
    <w:rsid w:val="0063593A"/>
    <w:rsid w:val="00635EFB"/>
    <w:rsid w:val="00636A18"/>
    <w:rsid w:val="00636A48"/>
    <w:rsid w:val="00636C14"/>
    <w:rsid w:val="00636C52"/>
    <w:rsid w:val="0063771E"/>
    <w:rsid w:val="006401D2"/>
    <w:rsid w:val="0064038A"/>
    <w:rsid w:val="006406A6"/>
    <w:rsid w:val="006409F7"/>
    <w:rsid w:val="00640A5A"/>
    <w:rsid w:val="00640BE3"/>
    <w:rsid w:val="00640C80"/>
    <w:rsid w:val="00640E6C"/>
    <w:rsid w:val="00641820"/>
    <w:rsid w:val="00642351"/>
    <w:rsid w:val="006424F7"/>
    <w:rsid w:val="00642A2C"/>
    <w:rsid w:val="00642B51"/>
    <w:rsid w:val="00642C32"/>
    <w:rsid w:val="0064314E"/>
    <w:rsid w:val="006433D0"/>
    <w:rsid w:val="00643467"/>
    <w:rsid w:val="00643A31"/>
    <w:rsid w:val="00643AAE"/>
    <w:rsid w:val="00643FAF"/>
    <w:rsid w:val="00644394"/>
    <w:rsid w:val="006443DD"/>
    <w:rsid w:val="006446AE"/>
    <w:rsid w:val="00644A9F"/>
    <w:rsid w:val="00646BA0"/>
    <w:rsid w:val="00646F54"/>
    <w:rsid w:val="006476B0"/>
    <w:rsid w:val="0065002D"/>
    <w:rsid w:val="00650254"/>
    <w:rsid w:val="006502BB"/>
    <w:rsid w:val="006515EF"/>
    <w:rsid w:val="00651FCE"/>
    <w:rsid w:val="0065219E"/>
    <w:rsid w:val="00652202"/>
    <w:rsid w:val="0065227F"/>
    <w:rsid w:val="0065234B"/>
    <w:rsid w:val="006530E2"/>
    <w:rsid w:val="006535DE"/>
    <w:rsid w:val="006538F2"/>
    <w:rsid w:val="006542B9"/>
    <w:rsid w:val="0065453F"/>
    <w:rsid w:val="00654758"/>
    <w:rsid w:val="00656256"/>
    <w:rsid w:val="006563FC"/>
    <w:rsid w:val="006569AF"/>
    <w:rsid w:val="00656EAE"/>
    <w:rsid w:val="00657344"/>
    <w:rsid w:val="00657AE2"/>
    <w:rsid w:val="006602CF"/>
    <w:rsid w:val="00660FB0"/>
    <w:rsid w:val="00661356"/>
    <w:rsid w:val="00661FA9"/>
    <w:rsid w:val="0066228C"/>
    <w:rsid w:val="00662399"/>
    <w:rsid w:val="006628D0"/>
    <w:rsid w:val="0066292F"/>
    <w:rsid w:val="00663205"/>
    <w:rsid w:val="00663E53"/>
    <w:rsid w:val="00664A30"/>
    <w:rsid w:val="00664B40"/>
    <w:rsid w:val="00664C5D"/>
    <w:rsid w:val="006652C0"/>
    <w:rsid w:val="006652FD"/>
    <w:rsid w:val="006653DF"/>
    <w:rsid w:val="00665679"/>
    <w:rsid w:val="0066568C"/>
    <w:rsid w:val="0066590A"/>
    <w:rsid w:val="00665937"/>
    <w:rsid w:val="00665DB7"/>
    <w:rsid w:val="00666038"/>
    <w:rsid w:val="006662DF"/>
    <w:rsid w:val="0066633F"/>
    <w:rsid w:val="00666370"/>
    <w:rsid w:val="0066646F"/>
    <w:rsid w:val="00666775"/>
    <w:rsid w:val="00666A5B"/>
    <w:rsid w:val="00666C67"/>
    <w:rsid w:val="0066768F"/>
    <w:rsid w:val="006701F6"/>
    <w:rsid w:val="00670532"/>
    <w:rsid w:val="00670AA7"/>
    <w:rsid w:val="00670EFB"/>
    <w:rsid w:val="00671380"/>
    <w:rsid w:val="006713F9"/>
    <w:rsid w:val="006715DC"/>
    <w:rsid w:val="006715FF"/>
    <w:rsid w:val="00671C24"/>
    <w:rsid w:val="00672F3E"/>
    <w:rsid w:val="00672FF4"/>
    <w:rsid w:val="00673BF2"/>
    <w:rsid w:val="00673C58"/>
    <w:rsid w:val="0067494B"/>
    <w:rsid w:val="00674DB0"/>
    <w:rsid w:val="00675296"/>
    <w:rsid w:val="006758C3"/>
    <w:rsid w:val="006761BE"/>
    <w:rsid w:val="006766B8"/>
    <w:rsid w:val="00677143"/>
    <w:rsid w:val="006807E1"/>
    <w:rsid w:val="006809A0"/>
    <w:rsid w:val="00680C81"/>
    <w:rsid w:val="00680C9A"/>
    <w:rsid w:val="00680DE4"/>
    <w:rsid w:val="0068116A"/>
    <w:rsid w:val="00681663"/>
    <w:rsid w:val="006819C2"/>
    <w:rsid w:val="00681EF3"/>
    <w:rsid w:val="006823D9"/>
    <w:rsid w:val="00682434"/>
    <w:rsid w:val="00682741"/>
    <w:rsid w:val="006827CF"/>
    <w:rsid w:val="00683367"/>
    <w:rsid w:val="00683B8F"/>
    <w:rsid w:val="006841B1"/>
    <w:rsid w:val="006841F4"/>
    <w:rsid w:val="0068436A"/>
    <w:rsid w:val="0068454F"/>
    <w:rsid w:val="00684A55"/>
    <w:rsid w:val="00684E30"/>
    <w:rsid w:val="0068523F"/>
    <w:rsid w:val="006855A0"/>
    <w:rsid w:val="006861C4"/>
    <w:rsid w:val="00686494"/>
    <w:rsid w:val="006864D8"/>
    <w:rsid w:val="00686525"/>
    <w:rsid w:val="00686C10"/>
    <w:rsid w:val="00686C23"/>
    <w:rsid w:val="00687033"/>
    <w:rsid w:val="0068762F"/>
    <w:rsid w:val="00687774"/>
    <w:rsid w:val="00687D28"/>
    <w:rsid w:val="00687EC6"/>
    <w:rsid w:val="00690AC8"/>
    <w:rsid w:val="00690CCF"/>
    <w:rsid w:val="00690E24"/>
    <w:rsid w:val="00691626"/>
    <w:rsid w:val="0069167D"/>
    <w:rsid w:val="00692A7E"/>
    <w:rsid w:val="00692F2B"/>
    <w:rsid w:val="00693166"/>
    <w:rsid w:val="006936CD"/>
    <w:rsid w:val="0069391C"/>
    <w:rsid w:val="00693EA8"/>
    <w:rsid w:val="00694430"/>
    <w:rsid w:val="00694731"/>
    <w:rsid w:val="0069493D"/>
    <w:rsid w:val="00694C13"/>
    <w:rsid w:val="00694FF9"/>
    <w:rsid w:val="0069620B"/>
    <w:rsid w:val="00696363"/>
    <w:rsid w:val="0069659F"/>
    <w:rsid w:val="00696801"/>
    <w:rsid w:val="00696F04"/>
    <w:rsid w:val="0069758F"/>
    <w:rsid w:val="006978DB"/>
    <w:rsid w:val="00697989"/>
    <w:rsid w:val="006979EF"/>
    <w:rsid w:val="006A049D"/>
    <w:rsid w:val="006A0623"/>
    <w:rsid w:val="006A0DCE"/>
    <w:rsid w:val="006A12AE"/>
    <w:rsid w:val="006A12E9"/>
    <w:rsid w:val="006A1BC6"/>
    <w:rsid w:val="006A272F"/>
    <w:rsid w:val="006A2842"/>
    <w:rsid w:val="006A2855"/>
    <w:rsid w:val="006A2B81"/>
    <w:rsid w:val="006A32FB"/>
    <w:rsid w:val="006A393F"/>
    <w:rsid w:val="006A4443"/>
    <w:rsid w:val="006A54EF"/>
    <w:rsid w:val="006A58A2"/>
    <w:rsid w:val="006A5A39"/>
    <w:rsid w:val="006A5C7F"/>
    <w:rsid w:val="006A5F5C"/>
    <w:rsid w:val="006A6263"/>
    <w:rsid w:val="006A6484"/>
    <w:rsid w:val="006A652E"/>
    <w:rsid w:val="006A67D8"/>
    <w:rsid w:val="006A7DAA"/>
    <w:rsid w:val="006A7EA3"/>
    <w:rsid w:val="006B022C"/>
    <w:rsid w:val="006B06CD"/>
    <w:rsid w:val="006B07D8"/>
    <w:rsid w:val="006B0CEB"/>
    <w:rsid w:val="006B13C1"/>
    <w:rsid w:val="006B1707"/>
    <w:rsid w:val="006B1B45"/>
    <w:rsid w:val="006B1CE8"/>
    <w:rsid w:val="006B1F80"/>
    <w:rsid w:val="006B2194"/>
    <w:rsid w:val="006B2489"/>
    <w:rsid w:val="006B3215"/>
    <w:rsid w:val="006B3348"/>
    <w:rsid w:val="006B3448"/>
    <w:rsid w:val="006B35F1"/>
    <w:rsid w:val="006B4346"/>
    <w:rsid w:val="006B4A1E"/>
    <w:rsid w:val="006B4F5C"/>
    <w:rsid w:val="006B5062"/>
    <w:rsid w:val="006B50A3"/>
    <w:rsid w:val="006B5725"/>
    <w:rsid w:val="006B6BDE"/>
    <w:rsid w:val="006B6CBE"/>
    <w:rsid w:val="006B71E4"/>
    <w:rsid w:val="006B721B"/>
    <w:rsid w:val="006B721D"/>
    <w:rsid w:val="006B7256"/>
    <w:rsid w:val="006C00B5"/>
    <w:rsid w:val="006C04B0"/>
    <w:rsid w:val="006C062E"/>
    <w:rsid w:val="006C0AD7"/>
    <w:rsid w:val="006C1170"/>
    <w:rsid w:val="006C17D4"/>
    <w:rsid w:val="006C1A53"/>
    <w:rsid w:val="006C1D88"/>
    <w:rsid w:val="006C2506"/>
    <w:rsid w:val="006C2793"/>
    <w:rsid w:val="006C2952"/>
    <w:rsid w:val="006C3343"/>
    <w:rsid w:val="006C348B"/>
    <w:rsid w:val="006C34C1"/>
    <w:rsid w:val="006C374C"/>
    <w:rsid w:val="006C3974"/>
    <w:rsid w:val="006C441B"/>
    <w:rsid w:val="006C4B43"/>
    <w:rsid w:val="006C4E73"/>
    <w:rsid w:val="006C4EB7"/>
    <w:rsid w:val="006C5014"/>
    <w:rsid w:val="006C565B"/>
    <w:rsid w:val="006C5D35"/>
    <w:rsid w:val="006C6470"/>
    <w:rsid w:val="006C75FA"/>
    <w:rsid w:val="006C7FAC"/>
    <w:rsid w:val="006D002D"/>
    <w:rsid w:val="006D040A"/>
    <w:rsid w:val="006D0421"/>
    <w:rsid w:val="006D047B"/>
    <w:rsid w:val="006D0655"/>
    <w:rsid w:val="006D0F86"/>
    <w:rsid w:val="006D13C5"/>
    <w:rsid w:val="006D1D18"/>
    <w:rsid w:val="006D2413"/>
    <w:rsid w:val="006D2594"/>
    <w:rsid w:val="006D2BD4"/>
    <w:rsid w:val="006D3530"/>
    <w:rsid w:val="006D36C9"/>
    <w:rsid w:val="006D3BF4"/>
    <w:rsid w:val="006D407D"/>
    <w:rsid w:val="006D4343"/>
    <w:rsid w:val="006D4721"/>
    <w:rsid w:val="006D477F"/>
    <w:rsid w:val="006D47BC"/>
    <w:rsid w:val="006D4ACA"/>
    <w:rsid w:val="006D4B0A"/>
    <w:rsid w:val="006D4E9E"/>
    <w:rsid w:val="006D4F07"/>
    <w:rsid w:val="006D5843"/>
    <w:rsid w:val="006D6871"/>
    <w:rsid w:val="006D6CA2"/>
    <w:rsid w:val="006D71D3"/>
    <w:rsid w:val="006E02F2"/>
    <w:rsid w:val="006E1BA4"/>
    <w:rsid w:val="006E1FB4"/>
    <w:rsid w:val="006E23E0"/>
    <w:rsid w:val="006E24D7"/>
    <w:rsid w:val="006E3415"/>
    <w:rsid w:val="006E3962"/>
    <w:rsid w:val="006E3A8F"/>
    <w:rsid w:val="006E404F"/>
    <w:rsid w:val="006E464C"/>
    <w:rsid w:val="006E4970"/>
    <w:rsid w:val="006E4A6B"/>
    <w:rsid w:val="006E4CCB"/>
    <w:rsid w:val="006E4CCC"/>
    <w:rsid w:val="006E516B"/>
    <w:rsid w:val="006E559F"/>
    <w:rsid w:val="006E64FC"/>
    <w:rsid w:val="006E6536"/>
    <w:rsid w:val="006E6A28"/>
    <w:rsid w:val="006E77E5"/>
    <w:rsid w:val="006E78A4"/>
    <w:rsid w:val="006E7A04"/>
    <w:rsid w:val="006E7B89"/>
    <w:rsid w:val="006F065D"/>
    <w:rsid w:val="006F0C10"/>
    <w:rsid w:val="006F14B1"/>
    <w:rsid w:val="006F290B"/>
    <w:rsid w:val="006F29B4"/>
    <w:rsid w:val="006F350F"/>
    <w:rsid w:val="006F36F0"/>
    <w:rsid w:val="006F3C48"/>
    <w:rsid w:val="006F533D"/>
    <w:rsid w:val="006F6D3E"/>
    <w:rsid w:val="006F6DDA"/>
    <w:rsid w:val="006F7041"/>
    <w:rsid w:val="006F726F"/>
    <w:rsid w:val="006F77A9"/>
    <w:rsid w:val="006F7BBD"/>
    <w:rsid w:val="0070068B"/>
    <w:rsid w:val="00700990"/>
    <w:rsid w:val="00700CF4"/>
    <w:rsid w:val="00701179"/>
    <w:rsid w:val="007016BE"/>
    <w:rsid w:val="00701816"/>
    <w:rsid w:val="00702038"/>
    <w:rsid w:val="007025A3"/>
    <w:rsid w:val="00702A5C"/>
    <w:rsid w:val="007030B9"/>
    <w:rsid w:val="00703181"/>
    <w:rsid w:val="00703505"/>
    <w:rsid w:val="00703713"/>
    <w:rsid w:val="00703B08"/>
    <w:rsid w:val="00704001"/>
    <w:rsid w:val="007042E7"/>
    <w:rsid w:val="007044EC"/>
    <w:rsid w:val="00704571"/>
    <w:rsid w:val="007048F0"/>
    <w:rsid w:val="00705209"/>
    <w:rsid w:val="00705362"/>
    <w:rsid w:val="0070604E"/>
    <w:rsid w:val="00706DF0"/>
    <w:rsid w:val="0070718C"/>
    <w:rsid w:val="0071016B"/>
    <w:rsid w:val="00710339"/>
    <w:rsid w:val="00710630"/>
    <w:rsid w:val="00711526"/>
    <w:rsid w:val="0071165C"/>
    <w:rsid w:val="00711CAD"/>
    <w:rsid w:val="0071201B"/>
    <w:rsid w:val="007128F7"/>
    <w:rsid w:val="0071320C"/>
    <w:rsid w:val="0071356F"/>
    <w:rsid w:val="00714166"/>
    <w:rsid w:val="007153F0"/>
    <w:rsid w:val="007154CF"/>
    <w:rsid w:val="007159A1"/>
    <w:rsid w:val="00716550"/>
    <w:rsid w:val="007167FF"/>
    <w:rsid w:val="00716812"/>
    <w:rsid w:val="00716B78"/>
    <w:rsid w:val="00716C0F"/>
    <w:rsid w:val="007171DB"/>
    <w:rsid w:val="00717651"/>
    <w:rsid w:val="0071796A"/>
    <w:rsid w:val="00717A8D"/>
    <w:rsid w:val="00717BF6"/>
    <w:rsid w:val="00717C21"/>
    <w:rsid w:val="00717F9F"/>
    <w:rsid w:val="00720493"/>
    <w:rsid w:val="007209F2"/>
    <w:rsid w:val="00720B9E"/>
    <w:rsid w:val="00721887"/>
    <w:rsid w:val="00721962"/>
    <w:rsid w:val="00721CC5"/>
    <w:rsid w:val="00721D7F"/>
    <w:rsid w:val="00721DE0"/>
    <w:rsid w:val="007224ED"/>
    <w:rsid w:val="00722FBB"/>
    <w:rsid w:val="00722FD8"/>
    <w:rsid w:val="0072366C"/>
    <w:rsid w:val="00723B9D"/>
    <w:rsid w:val="00724291"/>
    <w:rsid w:val="00724D0C"/>
    <w:rsid w:val="00725190"/>
    <w:rsid w:val="0072590A"/>
    <w:rsid w:val="00725996"/>
    <w:rsid w:val="00725BAC"/>
    <w:rsid w:val="00726886"/>
    <w:rsid w:val="0072724E"/>
    <w:rsid w:val="00727381"/>
    <w:rsid w:val="00727924"/>
    <w:rsid w:val="00730896"/>
    <w:rsid w:val="00731044"/>
    <w:rsid w:val="007310CE"/>
    <w:rsid w:val="007314BA"/>
    <w:rsid w:val="007319B3"/>
    <w:rsid w:val="00732303"/>
    <w:rsid w:val="00732A2D"/>
    <w:rsid w:val="00732D06"/>
    <w:rsid w:val="0073377D"/>
    <w:rsid w:val="00733D78"/>
    <w:rsid w:val="00733E70"/>
    <w:rsid w:val="00733FFC"/>
    <w:rsid w:val="0073438B"/>
    <w:rsid w:val="007343F1"/>
    <w:rsid w:val="00734428"/>
    <w:rsid w:val="007347C7"/>
    <w:rsid w:val="00734864"/>
    <w:rsid w:val="0073490E"/>
    <w:rsid w:val="00734FE8"/>
    <w:rsid w:val="0073536C"/>
    <w:rsid w:val="007357EC"/>
    <w:rsid w:val="007359A2"/>
    <w:rsid w:val="007359BD"/>
    <w:rsid w:val="007360A9"/>
    <w:rsid w:val="0073699B"/>
    <w:rsid w:val="0073710F"/>
    <w:rsid w:val="00737362"/>
    <w:rsid w:val="00737753"/>
    <w:rsid w:val="00737882"/>
    <w:rsid w:val="00737D49"/>
    <w:rsid w:val="007409AA"/>
    <w:rsid w:val="00740E1B"/>
    <w:rsid w:val="00740EE3"/>
    <w:rsid w:val="007411F4"/>
    <w:rsid w:val="007413BF"/>
    <w:rsid w:val="00741968"/>
    <w:rsid w:val="00741BDD"/>
    <w:rsid w:val="007423E9"/>
    <w:rsid w:val="00742530"/>
    <w:rsid w:val="00742F63"/>
    <w:rsid w:val="007438D0"/>
    <w:rsid w:val="00743A58"/>
    <w:rsid w:val="00743D1C"/>
    <w:rsid w:val="00743D29"/>
    <w:rsid w:val="00744024"/>
    <w:rsid w:val="0074406C"/>
    <w:rsid w:val="00744146"/>
    <w:rsid w:val="00744B1B"/>
    <w:rsid w:val="00745023"/>
    <w:rsid w:val="00745153"/>
    <w:rsid w:val="00745844"/>
    <w:rsid w:val="0074589E"/>
    <w:rsid w:val="00745D64"/>
    <w:rsid w:val="007460ED"/>
    <w:rsid w:val="0074661C"/>
    <w:rsid w:val="00746A2F"/>
    <w:rsid w:val="007472EF"/>
    <w:rsid w:val="00747669"/>
    <w:rsid w:val="0074771E"/>
    <w:rsid w:val="00747A9A"/>
    <w:rsid w:val="00751097"/>
    <w:rsid w:val="007519F6"/>
    <w:rsid w:val="00751E1F"/>
    <w:rsid w:val="0075296E"/>
    <w:rsid w:val="00752F33"/>
    <w:rsid w:val="0075319C"/>
    <w:rsid w:val="007531A5"/>
    <w:rsid w:val="007535E3"/>
    <w:rsid w:val="00753FCB"/>
    <w:rsid w:val="007542B1"/>
    <w:rsid w:val="00754A0F"/>
    <w:rsid w:val="007550FE"/>
    <w:rsid w:val="00755EE8"/>
    <w:rsid w:val="0075603B"/>
    <w:rsid w:val="00756609"/>
    <w:rsid w:val="007566A7"/>
    <w:rsid w:val="007567D2"/>
    <w:rsid w:val="00756E30"/>
    <w:rsid w:val="0075707E"/>
    <w:rsid w:val="00757941"/>
    <w:rsid w:val="007606E7"/>
    <w:rsid w:val="007606EC"/>
    <w:rsid w:val="00760C28"/>
    <w:rsid w:val="007615C0"/>
    <w:rsid w:val="00761948"/>
    <w:rsid w:val="00762FCA"/>
    <w:rsid w:val="007639A5"/>
    <w:rsid w:val="00763DE8"/>
    <w:rsid w:val="00763EE9"/>
    <w:rsid w:val="00764375"/>
    <w:rsid w:val="007653BF"/>
    <w:rsid w:val="00765630"/>
    <w:rsid w:val="00765919"/>
    <w:rsid w:val="007661BB"/>
    <w:rsid w:val="0076653E"/>
    <w:rsid w:val="00766647"/>
    <w:rsid w:val="0076786D"/>
    <w:rsid w:val="007700F8"/>
    <w:rsid w:val="007701D4"/>
    <w:rsid w:val="0077094D"/>
    <w:rsid w:val="00770E63"/>
    <w:rsid w:val="00771D61"/>
    <w:rsid w:val="00771EC7"/>
    <w:rsid w:val="00772964"/>
    <w:rsid w:val="0077372B"/>
    <w:rsid w:val="00773C06"/>
    <w:rsid w:val="00774469"/>
    <w:rsid w:val="00774752"/>
    <w:rsid w:val="00774913"/>
    <w:rsid w:val="00775291"/>
    <w:rsid w:val="0077594E"/>
    <w:rsid w:val="00775FB9"/>
    <w:rsid w:val="00776268"/>
    <w:rsid w:val="00777495"/>
    <w:rsid w:val="00777F38"/>
    <w:rsid w:val="0078016F"/>
    <w:rsid w:val="007804B1"/>
    <w:rsid w:val="007805EC"/>
    <w:rsid w:val="007807E9"/>
    <w:rsid w:val="007807EA"/>
    <w:rsid w:val="007808A4"/>
    <w:rsid w:val="00780928"/>
    <w:rsid w:val="00780B0E"/>
    <w:rsid w:val="00781689"/>
    <w:rsid w:val="00781F85"/>
    <w:rsid w:val="00782394"/>
    <w:rsid w:val="00782848"/>
    <w:rsid w:val="007829B1"/>
    <w:rsid w:val="00782C5A"/>
    <w:rsid w:val="007834C1"/>
    <w:rsid w:val="00783873"/>
    <w:rsid w:val="00783F1A"/>
    <w:rsid w:val="007847D1"/>
    <w:rsid w:val="00784924"/>
    <w:rsid w:val="00785B0C"/>
    <w:rsid w:val="00785D82"/>
    <w:rsid w:val="00785DE4"/>
    <w:rsid w:val="0078647B"/>
    <w:rsid w:val="007866B1"/>
    <w:rsid w:val="00786ED4"/>
    <w:rsid w:val="0078716F"/>
    <w:rsid w:val="00787256"/>
    <w:rsid w:val="007873C8"/>
    <w:rsid w:val="0078793D"/>
    <w:rsid w:val="00787F80"/>
    <w:rsid w:val="00790F50"/>
    <w:rsid w:val="00791374"/>
    <w:rsid w:val="0079263D"/>
    <w:rsid w:val="00792712"/>
    <w:rsid w:val="007929C5"/>
    <w:rsid w:val="00792B66"/>
    <w:rsid w:val="0079352C"/>
    <w:rsid w:val="007937E7"/>
    <w:rsid w:val="00793B34"/>
    <w:rsid w:val="00793B84"/>
    <w:rsid w:val="00793CBC"/>
    <w:rsid w:val="00793D87"/>
    <w:rsid w:val="00794795"/>
    <w:rsid w:val="007949E6"/>
    <w:rsid w:val="00794CC2"/>
    <w:rsid w:val="00794D98"/>
    <w:rsid w:val="00794F29"/>
    <w:rsid w:val="007954BD"/>
    <w:rsid w:val="00795767"/>
    <w:rsid w:val="00795A2A"/>
    <w:rsid w:val="00795E7E"/>
    <w:rsid w:val="007964B5"/>
    <w:rsid w:val="00796A67"/>
    <w:rsid w:val="007972BC"/>
    <w:rsid w:val="007972FB"/>
    <w:rsid w:val="007977AD"/>
    <w:rsid w:val="007978FC"/>
    <w:rsid w:val="00797DEC"/>
    <w:rsid w:val="007A02BC"/>
    <w:rsid w:val="007A099F"/>
    <w:rsid w:val="007A0ADA"/>
    <w:rsid w:val="007A0F0F"/>
    <w:rsid w:val="007A16EB"/>
    <w:rsid w:val="007A17E2"/>
    <w:rsid w:val="007A26C4"/>
    <w:rsid w:val="007A2742"/>
    <w:rsid w:val="007A2790"/>
    <w:rsid w:val="007A2F96"/>
    <w:rsid w:val="007A33C4"/>
    <w:rsid w:val="007A4096"/>
    <w:rsid w:val="007A42DA"/>
    <w:rsid w:val="007A46DC"/>
    <w:rsid w:val="007A49D9"/>
    <w:rsid w:val="007A5620"/>
    <w:rsid w:val="007A7605"/>
    <w:rsid w:val="007A7E4C"/>
    <w:rsid w:val="007B01E7"/>
    <w:rsid w:val="007B0810"/>
    <w:rsid w:val="007B0DC2"/>
    <w:rsid w:val="007B104F"/>
    <w:rsid w:val="007B120B"/>
    <w:rsid w:val="007B1418"/>
    <w:rsid w:val="007B1C29"/>
    <w:rsid w:val="007B2177"/>
    <w:rsid w:val="007B23E6"/>
    <w:rsid w:val="007B25A2"/>
    <w:rsid w:val="007B2FF1"/>
    <w:rsid w:val="007B3347"/>
    <w:rsid w:val="007B3584"/>
    <w:rsid w:val="007B3BDC"/>
    <w:rsid w:val="007B3E48"/>
    <w:rsid w:val="007B3F86"/>
    <w:rsid w:val="007B41BE"/>
    <w:rsid w:val="007B482A"/>
    <w:rsid w:val="007B52BB"/>
    <w:rsid w:val="007B56E1"/>
    <w:rsid w:val="007B5C49"/>
    <w:rsid w:val="007B71D9"/>
    <w:rsid w:val="007B7BB1"/>
    <w:rsid w:val="007C0B47"/>
    <w:rsid w:val="007C107C"/>
    <w:rsid w:val="007C1229"/>
    <w:rsid w:val="007C17AB"/>
    <w:rsid w:val="007C1DFF"/>
    <w:rsid w:val="007C1E1D"/>
    <w:rsid w:val="007C2145"/>
    <w:rsid w:val="007C21A1"/>
    <w:rsid w:val="007C2349"/>
    <w:rsid w:val="007C27BF"/>
    <w:rsid w:val="007C2A41"/>
    <w:rsid w:val="007C2AE7"/>
    <w:rsid w:val="007C377C"/>
    <w:rsid w:val="007C378F"/>
    <w:rsid w:val="007C3815"/>
    <w:rsid w:val="007C3849"/>
    <w:rsid w:val="007C3B7F"/>
    <w:rsid w:val="007C3F35"/>
    <w:rsid w:val="007C4A9F"/>
    <w:rsid w:val="007C4E9B"/>
    <w:rsid w:val="007C5A9A"/>
    <w:rsid w:val="007C5B20"/>
    <w:rsid w:val="007C65FA"/>
    <w:rsid w:val="007C685F"/>
    <w:rsid w:val="007C775D"/>
    <w:rsid w:val="007C7A9E"/>
    <w:rsid w:val="007C7F59"/>
    <w:rsid w:val="007D069C"/>
    <w:rsid w:val="007D090A"/>
    <w:rsid w:val="007D0F10"/>
    <w:rsid w:val="007D186C"/>
    <w:rsid w:val="007D19F4"/>
    <w:rsid w:val="007D1AFD"/>
    <w:rsid w:val="007D1E73"/>
    <w:rsid w:val="007D23C4"/>
    <w:rsid w:val="007D25E6"/>
    <w:rsid w:val="007D298F"/>
    <w:rsid w:val="007D2FC8"/>
    <w:rsid w:val="007D310A"/>
    <w:rsid w:val="007D408D"/>
    <w:rsid w:val="007D4CA7"/>
    <w:rsid w:val="007D4CD5"/>
    <w:rsid w:val="007D5019"/>
    <w:rsid w:val="007D52A7"/>
    <w:rsid w:val="007D5BD5"/>
    <w:rsid w:val="007D619D"/>
    <w:rsid w:val="007D658F"/>
    <w:rsid w:val="007D6B04"/>
    <w:rsid w:val="007D6D6F"/>
    <w:rsid w:val="007D6E6D"/>
    <w:rsid w:val="007D6F1A"/>
    <w:rsid w:val="007D6F5D"/>
    <w:rsid w:val="007D7604"/>
    <w:rsid w:val="007D7642"/>
    <w:rsid w:val="007D7729"/>
    <w:rsid w:val="007D7AA9"/>
    <w:rsid w:val="007D7F8B"/>
    <w:rsid w:val="007E075D"/>
    <w:rsid w:val="007E0803"/>
    <w:rsid w:val="007E0D86"/>
    <w:rsid w:val="007E0E53"/>
    <w:rsid w:val="007E1099"/>
    <w:rsid w:val="007E13CF"/>
    <w:rsid w:val="007E170B"/>
    <w:rsid w:val="007E1720"/>
    <w:rsid w:val="007E18BA"/>
    <w:rsid w:val="007E18FA"/>
    <w:rsid w:val="007E1CD8"/>
    <w:rsid w:val="007E1DF2"/>
    <w:rsid w:val="007E2170"/>
    <w:rsid w:val="007E2888"/>
    <w:rsid w:val="007E2BA4"/>
    <w:rsid w:val="007E3026"/>
    <w:rsid w:val="007E32D4"/>
    <w:rsid w:val="007E349F"/>
    <w:rsid w:val="007E3514"/>
    <w:rsid w:val="007E3829"/>
    <w:rsid w:val="007E402B"/>
    <w:rsid w:val="007E4167"/>
    <w:rsid w:val="007E495E"/>
    <w:rsid w:val="007E4DF6"/>
    <w:rsid w:val="007E5FF3"/>
    <w:rsid w:val="007E6257"/>
    <w:rsid w:val="007E65FE"/>
    <w:rsid w:val="007E6782"/>
    <w:rsid w:val="007E6B64"/>
    <w:rsid w:val="007E6F9A"/>
    <w:rsid w:val="007E7679"/>
    <w:rsid w:val="007E7683"/>
    <w:rsid w:val="007E79F5"/>
    <w:rsid w:val="007E7AF0"/>
    <w:rsid w:val="007F02BF"/>
    <w:rsid w:val="007F10B5"/>
    <w:rsid w:val="007F10D0"/>
    <w:rsid w:val="007F1B16"/>
    <w:rsid w:val="007F1BC2"/>
    <w:rsid w:val="007F1C7A"/>
    <w:rsid w:val="007F1CCC"/>
    <w:rsid w:val="007F1F15"/>
    <w:rsid w:val="007F25B4"/>
    <w:rsid w:val="007F2B31"/>
    <w:rsid w:val="007F2C38"/>
    <w:rsid w:val="007F2EFF"/>
    <w:rsid w:val="007F3244"/>
    <w:rsid w:val="007F3395"/>
    <w:rsid w:val="007F3683"/>
    <w:rsid w:val="007F39D7"/>
    <w:rsid w:val="007F3A04"/>
    <w:rsid w:val="007F48F6"/>
    <w:rsid w:val="007F51FF"/>
    <w:rsid w:val="007F5557"/>
    <w:rsid w:val="007F57D6"/>
    <w:rsid w:val="007F5CD4"/>
    <w:rsid w:val="007F61AB"/>
    <w:rsid w:val="007F61E2"/>
    <w:rsid w:val="007F6460"/>
    <w:rsid w:val="007F6C16"/>
    <w:rsid w:val="007F730F"/>
    <w:rsid w:val="007F7527"/>
    <w:rsid w:val="007F7563"/>
    <w:rsid w:val="007F7A54"/>
    <w:rsid w:val="007F7AB8"/>
    <w:rsid w:val="00800125"/>
    <w:rsid w:val="0080026A"/>
    <w:rsid w:val="00800338"/>
    <w:rsid w:val="00800FCD"/>
    <w:rsid w:val="00801057"/>
    <w:rsid w:val="00801387"/>
    <w:rsid w:val="00801BFF"/>
    <w:rsid w:val="0080250E"/>
    <w:rsid w:val="0080281E"/>
    <w:rsid w:val="0080288E"/>
    <w:rsid w:val="00803DDF"/>
    <w:rsid w:val="00804C27"/>
    <w:rsid w:val="00805261"/>
    <w:rsid w:val="0080563D"/>
    <w:rsid w:val="008056BE"/>
    <w:rsid w:val="008059F4"/>
    <w:rsid w:val="00805F75"/>
    <w:rsid w:val="00806071"/>
    <w:rsid w:val="00806DB1"/>
    <w:rsid w:val="008070F2"/>
    <w:rsid w:val="00807692"/>
    <w:rsid w:val="00807C1B"/>
    <w:rsid w:val="00807E3E"/>
    <w:rsid w:val="00810489"/>
    <w:rsid w:val="008107E7"/>
    <w:rsid w:val="00810B18"/>
    <w:rsid w:val="00810D65"/>
    <w:rsid w:val="00810F2E"/>
    <w:rsid w:val="00811026"/>
    <w:rsid w:val="0081143A"/>
    <w:rsid w:val="00811816"/>
    <w:rsid w:val="00811982"/>
    <w:rsid w:val="00811B7A"/>
    <w:rsid w:val="00811E77"/>
    <w:rsid w:val="0081206F"/>
    <w:rsid w:val="00812466"/>
    <w:rsid w:val="00812638"/>
    <w:rsid w:val="00812656"/>
    <w:rsid w:val="00812720"/>
    <w:rsid w:val="00812AE2"/>
    <w:rsid w:val="00812CD4"/>
    <w:rsid w:val="0081303A"/>
    <w:rsid w:val="008130B9"/>
    <w:rsid w:val="0081342A"/>
    <w:rsid w:val="00814892"/>
    <w:rsid w:val="00814D78"/>
    <w:rsid w:val="00815167"/>
    <w:rsid w:val="008151B0"/>
    <w:rsid w:val="00815F87"/>
    <w:rsid w:val="00816744"/>
    <w:rsid w:val="0081696D"/>
    <w:rsid w:val="00816A62"/>
    <w:rsid w:val="00816B36"/>
    <w:rsid w:val="00817452"/>
    <w:rsid w:val="0081758D"/>
    <w:rsid w:val="00817C39"/>
    <w:rsid w:val="00817C8A"/>
    <w:rsid w:val="0082098B"/>
    <w:rsid w:val="008214EB"/>
    <w:rsid w:val="00821601"/>
    <w:rsid w:val="00821923"/>
    <w:rsid w:val="00821E84"/>
    <w:rsid w:val="00822005"/>
    <w:rsid w:val="0082256B"/>
    <w:rsid w:val="00822609"/>
    <w:rsid w:val="00822901"/>
    <w:rsid w:val="00822B0C"/>
    <w:rsid w:val="00822C45"/>
    <w:rsid w:val="00822F66"/>
    <w:rsid w:val="00823764"/>
    <w:rsid w:val="008241E4"/>
    <w:rsid w:val="00824394"/>
    <w:rsid w:val="00824912"/>
    <w:rsid w:val="00824F1A"/>
    <w:rsid w:val="00825B07"/>
    <w:rsid w:val="008265E8"/>
    <w:rsid w:val="00826634"/>
    <w:rsid w:val="00826BAC"/>
    <w:rsid w:val="00826C0C"/>
    <w:rsid w:val="0082711A"/>
    <w:rsid w:val="00827E75"/>
    <w:rsid w:val="00827ED8"/>
    <w:rsid w:val="0083008D"/>
    <w:rsid w:val="00830810"/>
    <w:rsid w:val="00830817"/>
    <w:rsid w:val="008309CF"/>
    <w:rsid w:val="00830AF8"/>
    <w:rsid w:val="00830B5F"/>
    <w:rsid w:val="00830DC0"/>
    <w:rsid w:val="00831427"/>
    <w:rsid w:val="00831C09"/>
    <w:rsid w:val="00831C68"/>
    <w:rsid w:val="008322FB"/>
    <w:rsid w:val="0083272D"/>
    <w:rsid w:val="00832E6A"/>
    <w:rsid w:val="0083351E"/>
    <w:rsid w:val="00833E4E"/>
    <w:rsid w:val="0083473D"/>
    <w:rsid w:val="00834AF4"/>
    <w:rsid w:val="00834BEC"/>
    <w:rsid w:val="00834D47"/>
    <w:rsid w:val="00834DC9"/>
    <w:rsid w:val="00834DE5"/>
    <w:rsid w:val="00835389"/>
    <w:rsid w:val="00835459"/>
    <w:rsid w:val="008356D1"/>
    <w:rsid w:val="00835819"/>
    <w:rsid w:val="008358DA"/>
    <w:rsid w:val="0083644D"/>
    <w:rsid w:val="00836F1C"/>
    <w:rsid w:val="00837060"/>
    <w:rsid w:val="008373F3"/>
    <w:rsid w:val="008375EA"/>
    <w:rsid w:val="00837C5C"/>
    <w:rsid w:val="00840350"/>
    <w:rsid w:val="00840409"/>
    <w:rsid w:val="0084055F"/>
    <w:rsid w:val="00840983"/>
    <w:rsid w:val="0084098C"/>
    <w:rsid w:val="008411FD"/>
    <w:rsid w:val="008412C1"/>
    <w:rsid w:val="0084138C"/>
    <w:rsid w:val="00842584"/>
    <w:rsid w:val="008429DB"/>
    <w:rsid w:val="00842BA8"/>
    <w:rsid w:val="008430F2"/>
    <w:rsid w:val="0084324E"/>
    <w:rsid w:val="00843E4B"/>
    <w:rsid w:val="00844AA3"/>
    <w:rsid w:val="00844B2A"/>
    <w:rsid w:val="00844ED2"/>
    <w:rsid w:val="0084562E"/>
    <w:rsid w:val="00845780"/>
    <w:rsid w:val="008467D6"/>
    <w:rsid w:val="008470E8"/>
    <w:rsid w:val="0084736D"/>
    <w:rsid w:val="008479BC"/>
    <w:rsid w:val="00847C79"/>
    <w:rsid w:val="008503F8"/>
    <w:rsid w:val="00850565"/>
    <w:rsid w:val="00850923"/>
    <w:rsid w:val="00850A19"/>
    <w:rsid w:val="00850AFC"/>
    <w:rsid w:val="00850C7E"/>
    <w:rsid w:val="00850DA6"/>
    <w:rsid w:val="0085106C"/>
    <w:rsid w:val="008514EC"/>
    <w:rsid w:val="00851AFC"/>
    <w:rsid w:val="00851F31"/>
    <w:rsid w:val="0085233E"/>
    <w:rsid w:val="008524F7"/>
    <w:rsid w:val="00852A9A"/>
    <w:rsid w:val="00852C73"/>
    <w:rsid w:val="00852ED2"/>
    <w:rsid w:val="00852F34"/>
    <w:rsid w:val="008534FA"/>
    <w:rsid w:val="00853616"/>
    <w:rsid w:val="00853704"/>
    <w:rsid w:val="00853C23"/>
    <w:rsid w:val="00853EFD"/>
    <w:rsid w:val="00854020"/>
    <w:rsid w:val="0085413E"/>
    <w:rsid w:val="008542C1"/>
    <w:rsid w:val="00854674"/>
    <w:rsid w:val="00854784"/>
    <w:rsid w:val="00854C8E"/>
    <w:rsid w:val="008557F4"/>
    <w:rsid w:val="00855D65"/>
    <w:rsid w:val="00856542"/>
    <w:rsid w:val="00856B56"/>
    <w:rsid w:val="00856FEF"/>
    <w:rsid w:val="0085729A"/>
    <w:rsid w:val="008575ED"/>
    <w:rsid w:val="008577A7"/>
    <w:rsid w:val="00857A8B"/>
    <w:rsid w:val="00857F3D"/>
    <w:rsid w:val="008608B0"/>
    <w:rsid w:val="00860F08"/>
    <w:rsid w:val="008610DA"/>
    <w:rsid w:val="008611C8"/>
    <w:rsid w:val="008612F5"/>
    <w:rsid w:val="00861376"/>
    <w:rsid w:val="00861D5B"/>
    <w:rsid w:val="00861E55"/>
    <w:rsid w:val="00861F9D"/>
    <w:rsid w:val="00862B4C"/>
    <w:rsid w:val="0086307F"/>
    <w:rsid w:val="008639AD"/>
    <w:rsid w:val="00863C1F"/>
    <w:rsid w:val="00863E22"/>
    <w:rsid w:val="0086425E"/>
    <w:rsid w:val="00865ACA"/>
    <w:rsid w:val="00866BCC"/>
    <w:rsid w:val="00866D92"/>
    <w:rsid w:val="00870856"/>
    <w:rsid w:val="00870F6E"/>
    <w:rsid w:val="0087157B"/>
    <w:rsid w:val="00871C4C"/>
    <w:rsid w:val="00871E03"/>
    <w:rsid w:val="00873845"/>
    <w:rsid w:val="008748D1"/>
    <w:rsid w:val="00874E52"/>
    <w:rsid w:val="00875652"/>
    <w:rsid w:val="00876400"/>
    <w:rsid w:val="00876522"/>
    <w:rsid w:val="00876AE3"/>
    <w:rsid w:val="00876E87"/>
    <w:rsid w:val="008775DB"/>
    <w:rsid w:val="00877B07"/>
    <w:rsid w:val="00877B7A"/>
    <w:rsid w:val="0088031D"/>
    <w:rsid w:val="00880C59"/>
    <w:rsid w:val="00880EFA"/>
    <w:rsid w:val="00881BC8"/>
    <w:rsid w:val="00881EBC"/>
    <w:rsid w:val="0088248D"/>
    <w:rsid w:val="008828DF"/>
    <w:rsid w:val="00882C23"/>
    <w:rsid w:val="00882E91"/>
    <w:rsid w:val="00882EA8"/>
    <w:rsid w:val="00883EE1"/>
    <w:rsid w:val="0088421A"/>
    <w:rsid w:val="00884764"/>
    <w:rsid w:val="00884ED2"/>
    <w:rsid w:val="00885317"/>
    <w:rsid w:val="0088567D"/>
    <w:rsid w:val="00885969"/>
    <w:rsid w:val="00885D0E"/>
    <w:rsid w:val="00885E1B"/>
    <w:rsid w:val="008863EC"/>
    <w:rsid w:val="008865CF"/>
    <w:rsid w:val="00886995"/>
    <w:rsid w:val="00886BEE"/>
    <w:rsid w:val="00887227"/>
    <w:rsid w:val="008872A5"/>
    <w:rsid w:val="008900AA"/>
    <w:rsid w:val="00890211"/>
    <w:rsid w:val="00890427"/>
    <w:rsid w:val="008905B4"/>
    <w:rsid w:val="0089096B"/>
    <w:rsid w:val="00890A1F"/>
    <w:rsid w:val="008914D6"/>
    <w:rsid w:val="008919D4"/>
    <w:rsid w:val="00892157"/>
    <w:rsid w:val="0089225A"/>
    <w:rsid w:val="00892AC0"/>
    <w:rsid w:val="008934FE"/>
    <w:rsid w:val="00893B5D"/>
    <w:rsid w:val="00893E2F"/>
    <w:rsid w:val="008944DB"/>
    <w:rsid w:val="00894AB9"/>
    <w:rsid w:val="00895260"/>
    <w:rsid w:val="00895570"/>
    <w:rsid w:val="0089594E"/>
    <w:rsid w:val="008968C4"/>
    <w:rsid w:val="00896951"/>
    <w:rsid w:val="00896E93"/>
    <w:rsid w:val="00897463"/>
    <w:rsid w:val="0089753B"/>
    <w:rsid w:val="00897911"/>
    <w:rsid w:val="00897B11"/>
    <w:rsid w:val="00897FAC"/>
    <w:rsid w:val="008A03BE"/>
    <w:rsid w:val="008A0D76"/>
    <w:rsid w:val="008A0E5A"/>
    <w:rsid w:val="008A0FD5"/>
    <w:rsid w:val="008A100E"/>
    <w:rsid w:val="008A10EF"/>
    <w:rsid w:val="008A1715"/>
    <w:rsid w:val="008A17AC"/>
    <w:rsid w:val="008A1C8E"/>
    <w:rsid w:val="008A2377"/>
    <w:rsid w:val="008A272F"/>
    <w:rsid w:val="008A2A21"/>
    <w:rsid w:val="008A2E17"/>
    <w:rsid w:val="008A344E"/>
    <w:rsid w:val="008A3721"/>
    <w:rsid w:val="008A382F"/>
    <w:rsid w:val="008A39A0"/>
    <w:rsid w:val="008A39AD"/>
    <w:rsid w:val="008A3A1E"/>
    <w:rsid w:val="008A3DB6"/>
    <w:rsid w:val="008A4715"/>
    <w:rsid w:val="008A56ED"/>
    <w:rsid w:val="008A5BE4"/>
    <w:rsid w:val="008A5F0F"/>
    <w:rsid w:val="008A6E7F"/>
    <w:rsid w:val="008A719B"/>
    <w:rsid w:val="008A7E3B"/>
    <w:rsid w:val="008B0364"/>
    <w:rsid w:val="008B0379"/>
    <w:rsid w:val="008B0D70"/>
    <w:rsid w:val="008B0EA7"/>
    <w:rsid w:val="008B0FC7"/>
    <w:rsid w:val="008B18C5"/>
    <w:rsid w:val="008B1C9A"/>
    <w:rsid w:val="008B256F"/>
    <w:rsid w:val="008B29B7"/>
    <w:rsid w:val="008B480A"/>
    <w:rsid w:val="008B4F76"/>
    <w:rsid w:val="008B58D9"/>
    <w:rsid w:val="008B5C98"/>
    <w:rsid w:val="008B5F66"/>
    <w:rsid w:val="008B64DC"/>
    <w:rsid w:val="008B6AFD"/>
    <w:rsid w:val="008B6B42"/>
    <w:rsid w:val="008B70D9"/>
    <w:rsid w:val="008B7209"/>
    <w:rsid w:val="008B7236"/>
    <w:rsid w:val="008C0396"/>
    <w:rsid w:val="008C07A9"/>
    <w:rsid w:val="008C0944"/>
    <w:rsid w:val="008C0A39"/>
    <w:rsid w:val="008C17C0"/>
    <w:rsid w:val="008C1814"/>
    <w:rsid w:val="008C18D1"/>
    <w:rsid w:val="008C3B84"/>
    <w:rsid w:val="008C3CCC"/>
    <w:rsid w:val="008C4084"/>
    <w:rsid w:val="008C4116"/>
    <w:rsid w:val="008C4162"/>
    <w:rsid w:val="008C43A5"/>
    <w:rsid w:val="008C57DA"/>
    <w:rsid w:val="008C5C81"/>
    <w:rsid w:val="008C5CDF"/>
    <w:rsid w:val="008C6469"/>
    <w:rsid w:val="008C6580"/>
    <w:rsid w:val="008C66A9"/>
    <w:rsid w:val="008C703F"/>
    <w:rsid w:val="008C7162"/>
    <w:rsid w:val="008C7375"/>
    <w:rsid w:val="008C79F3"/>
    <w:rsid w:val="008D021C"/>
    <w:rsid w:val="008D0267"/>
    <w:rsid w:val="008D04D0"/>
    <w:rsid w:val="008D1097"/>
    <w:rsid w:val="008D11A8"/>
    <w:rsid w:val="008D1417"/>
    <w:rsid w:val="008D1DF5"/>
    <w:rsid w:val="008D1F27"/>
    <w:rsid w:val="008D2EFD"/>
    <w:rsid w:val="008D2F95"/>
    <w:rsid w:val="008D384C"/>
    <w:rsid w:val="008D3EF5"/>
    <w:rsid w:val="008D43B3"/>
    <w:rsid w:val="008D46BF"/>
    <w:rsid w:val="008D483E"/>
    <w:rsid w:val="008D4B98"/>
    <w:rsid w:val="008D4BD7"/>
    <w:rsid w:val="008D5469"/>
    <w:rsid w:val="008D56F1"/>
    <w:rsid w:val="008D62B4"/>
    <w:rsid w:val="008D6375"/>
    <w:rsid w:val="008D65B8"/>
    <w:rsid w:val="008D7523"/>
    <w:rsid w:val="008D7D36"/>
    <w:rsid w:val="008E02E0"/>
    <w:rsid w:val="008E0670"/>
    <w:rsid w:val="008E0B71"/>
    <w:rsid w:val="008E114F"/>
    <w:rsid w:val="008E1153"/>
    <w:rsid w:val="008E1D76"/>
    <w:rsid w:val="008E2594"/>
    <w:rsid w:val="008E2DD0"/>
    <w:rsid w:val="008E3455"/>
    <w:rsid w:val="008E3BFB"/>
    <w:rsid w:val="008E4349"/>
    <w:rsid w:val="008E4E94"/>
    <w:rsid w:val="008E50BD"/>
    <w:rsid w:val="008E52DB"/>
    <w:rsid w:val="008E5693"/>
    <w:rsid w:val="008E5755"/>
    <w:rsid w:val="008E5A64"/>
    <w:rsid w:val="008E6356"/>
    <w:rsid w:val="008E6529"/>
    <w:rsid w:val="008E664D"/>
    <w:rsid w:val="008E6C31"/>
    <w:rsid w:val="008E6C51"/>
    <w:rsid w:val="008E6F7A"/>
    <w:rsid w:val="008E7734"/>
    <w:rsid w:val="008E7B49"/>
    <w:rsid w:val="008F04B2"/>
    <w:rsid w:val="008F0541"/>
    <w:rsid w:val="008F07ED"/>
    <w:rsid w:val="008F142D"/>
    <w:rsid w:val="008F1674"/>
    <w:rsid w:val="008F192D"/>
    <w:rsid w:val="008F19D3"/>
    <w:rsid w:val="008F234D"/>
    <w:rsid w:val="008F2535"/>
    <w:rsid w:val="008F2699"/>
    <w:rsid w:val="008F282A"/>
    <w:rsid w:val="008F329F"/>
    <w:rsid w:val="008F345A"/>
    <w:rsid w:val="008F3C10"/>
    <w:rsid w:val="008F3FE5"/>
    <w:rsid w:val="008F42D7"/>
    <w:rsid w:val="008F4382"/>
    <w:rsid w:val="008F4CE7"/>
    <w:rsid w:val="008F4E16"/>
    <w:rsid w:val="008F5536"/>
    <w:rsid w:val="008F62BC"/>
    <w:rsid w:val="008F6537"/>
    <w:rsid w:val="008F66B5"/>
    <w:rsid w:val="00900416"/>
    <w:rsid w:val="00900590"/>
    <w:rsid w:val="00901459"/>
    <w:rsid w:val="00901C47"/>
    <w:rsid w:val="00902190"/>
    <w:rsid w:val="00902C9D"/>
    <w:rsid w:val="0090328B"/>
    <w:rsid w:val="009032E9"/>
    <w:rsid w:val="00903D57"/>
    <w:rsid w:val="00903EFE"/>
    <w:rsid w:val="009040EB"/>
    <w:rsid w:val="0090437C"/>
    <w:rsid w:val="0090472D"/>
    <w:rsid w:val="0090518E"/>
    <w:rsid w:val="0090563D"/>
    <w:rsid w:val="00905EA5"/>
    <w:rsid w:val="00906758"/>
    <w:rsid w:val="009067E1"/>
    <w:rsid w:val="00906EF4"/>
    <w:rsid w:val="00907057"/>
    <w:rsid w:val="00907779"/>
    <w:rsid w:val="00910287"/>
    <w:rsid w:val="00910D9D"/>
    <w:rsid w:val="00910F33"/>
    <w:rsid w:val="009110BA"/>
    <w:rsid w:val="009111A4"/>
    <w:rsid w:val="00911691"/>
    <w:rsid w:val="00911869"/>
    <w:rsid w:val="009118B0"/>
    <w:rsid w:val="00912000"/>
    <w:rsid w:val="009120D7"/>
    <w:rsid w:val="009124E6"/>
    <w:rsid w:val="00913944"/>
    <w:rsid w:val="00913EF4"/>
    <w:rsid w:val="009144CF"/>
    <w:rsid w:val="00914CD6"/>
    <w:rsid w:val="00915AC6"/>
    <w:rsid w:val="00915B92"/>
    <w:rsid w:val="00915F1E"/>
    <w:rsid w:val="00916440"/>
    <w:rsid w:val="009166E5"/>
    <w:rsid w:val="00916748"/>
    <w:rsid w:val="00917332"/>
    <w:rsid w:val="009177FA"/>
    <w:rsid w:val="009202C5"/>
    <w:rsid w:val="009205FD"/>
    <w:rsid w:val="00920773"/>
    <w:rsid w:val="009209C5"/>
    <w:rsid w:val="009212AC"/>
    <w:rsid w:val="00921817"/>
    <w:rsid w:val="00922327"/>
    <w:rsid w:val="0092265F"/>
    <w:rsid w:val="00922C3B"/>
    <w:rsid w:val="00922F1A"/>
    <w:rsid w:val="0092359E"/>
    <w:rsid w:val="009238DB"/>
    <w:rsid w:val="00923EA0"/>
    <w:rsid w:val="00924224"/>
    <w:rsid w:val="0092474D"/>
    <w:rsid w:val="00924C0E"/>
    <w:rsid w:val="00925637"/>
    <w:rsid w:val="0092598F"/>
    <w:rsid w:val="00925FF9"/>
    <w:rsid w:val="009265E4"/>
    <w:rsid w:val="009277FA"/>
    <w:rsid w:val="00927BAA"/>
    <w:rsid w:val="00927E94"/>
    <w:rsid w:val="009305AF"/>
    <w:rsid w:val="009306DB"/>
    <w:rsid w:val="00930743"/>
    <w:rsid w:val="00930B6B"/>
    <w:rsid w:val="00931282"/>
    <w:rsid w:val="00931457"/>
    <w:rsid w:val="009315B3"/>
    <w:rsid w:val="0093167B"/>
    <w:rsid w:val="0093175E"/>
    <w:rsid w:val="00931B23"/>
    <w:rsid w:val="009322CA"/>
    <w:rsid w:val="00932333"/>
    <w:rsid w:val="00932567"/>
    <w:rsid w:val="009326C6"/>
    <w:rsid w:val="00932CA2"/>
    <w:rsid w:val="00933665"/>
    <w:rsid w:val="00933695"/>
    <w:rsid w:val="00933A7E"/>
    <w:rsid w:val="00933B5C"/>
    <w:rsid w:val="00933C2B"/>
    <w:rsid w:val="00933CF4"/>
    <w:rsid w:val="00933F52"/>
    <w:rsid w:val="009344EF"/>
    <w:rsid w:val="00934513"/>
    <w:rsid w:val="009361C0"/>
    <w:rsid w:val="0093661E"/>
    <w:rsid w:val="00936789"/>
    <w:rsid w:val="00936E0F"/>
    <w:rsid w:val="00936EF5"/>
    <w:rsid w:val="009372E1"/>
    <w:rsid w:val="00937755"/>
    <w:rsid w:val="00937FBA"/>
    <w:rsid w:val="00940FF1"/>
    <w:rsid w:val="009417AC"/>
    <w:rsid w:val="00942550"/>
    <w:rsid w:val="0094325C"/>
    <w:rsid w:val="009440B0"/>
    <w:rsid w:val="0094420F"/>
    <w:rsid w:val="0094565D"/>
    <w:rsid w:val="00945766"/>
    <w:rsid w:val="009457AC"/>
    <w:rsid w:val="00945B1E"/>
    <w:rsid w:val="0094609D"/>
    <w:rsid w:val="0094617D"/>
    <w:rsid w:val="00946309"/>
    <w:rsid w:val="00946484"/>
    <w:rsid w:val="00946970"/>
    <w:rsid w:val="00946B28"/>
    <w:rsid w:val="00947447"/>
    <w:rsid w:val="00947B1C"/>
    <w:rsid w:val="0095008E"/>
    <w:rsid w:val="00950331"/>
    <w:rsid w:val="009510F9"/>
    <w:rsid w:val="009516DD"/>
    <w:rsid w:val="00951D77"/>
    <w:rsid w:val="00951F1A"/>
    <w:rsid w:val="0095255B"/>
    <w:rsid w:val="00952F06"/>
    <w:rsid w:val="00953586"/>
    <w:rsid w:val="0095377C"/>
    <w:rsid w:val="00953A0D"/>
    <w:rsid w:val="00954532"/>
    <w:rsid w:val="00954C5C"/>
    <w:rsid w:val="00954D4A"/>
    <w:rsid w:val="009552E3"/>
    <w:rsid w:val="009558BE"/>
    <w:rsid w:val="00955ADE"/>
    <w:rsid w:val="00955E1B"/>
    <w:rsid w:val="00955F37"/>
    <w:rsid w:val="0095668C"/>
    <w:rsid w:val="0095706B"/>
    <w:rsid w:val="009570F9"/>
    <w:rsid w:val="009573EB"/>
    <w:rsid w:val="009575BF"/>
    <w:rsid w:val="00957F66"/>
    <w:rsid w:val="00960092"/>
    <w:rsid w:val="00960671"/>
    <w:rsid w:val="0096083A"/>
    <w:rsid w:val="009609E5"/>
    <w:rsid w:val="009610B1"/>
    <w:rsid w:val="009618CD"/>
    <w:rsid w:val="00961953"/>
    <w:rsid w:val="00961F2F"/>
    <w:rsid w:val="009621E4"/>
    <w:rsid w:val="00962429"/>
    <w:rsid w:val="00963644"/>
    <w:rsid w:val="0096451A"/>
    <w:rsid w:val="00964583"/>
    <w:rsid w:val="00964775"/>
    <w:rsid w:val="00964ACE"/>
    <w:rsid w:val="00964B2B"/>
    <w:rsid w:val="009659F8"/>
    <w:rsid w:val="009660FF"/>
    <w:rsid w:val="0096616D"/>
    <w:rsid w:val="009664CB"/>
    <w:rsid w:val="00966CC0"/>
    <w:rsid w:val="009671A1"/>
    <w:rsid w:val="0097179C"/>
    <w:rsid w:val="0097191C"/>
    <w:rsid w:val="0097198A"/>
    <w:rsid w:val="00971B84"/>
    <w:rsid w:val="00971FC8"/>
    <w:rsid w:val="009734BF"/>
    <w:rsid w:val="009735EC"/>
    <w:rsid w:val="00973612"/>
    <w:rsid w:val="009737F3"/>
    <w:rsid w:val="00973917"/>
    <w:rsid w:val="00973C3E"/>
    <w:rsid w:val="0097420B"/>
    <w:rsid w:val="00974ACC"/>
    <w:rsid w:val="00974C49"/>
    <w:rsid w:val="00974EE4"/>
    <w:rsid w:val="009754CE"/>
    <w:rsid w:val="009756B6"/>
    <w:rsid w:val="00975EF7"/>
    <w:rsid w:val="00976A74"/>
    <w:rsid w:val="009774BE"/>
    <w:rsid w:val="00977A70"/>
    <w:rsid w:val="00980140"/>
    <w:rsid w:val="009801D6"/>
    <w:rsid w:val="0098027F"/>
    <w:rsid w:val="009802D1"/>
    <w:rsid w:val="0098050A"/>
    <w:rsid w:val="00980592"/>
    <w:rsid w:val="009806B0"/>
    <w:rsid w:val="009807B8"/>
    <w:rsid w:val="00981876"/>
    <w:rsid w:val="00981E56"/>
    <w:rsid w:val="00981EE2"/>
    <w:rsid w:val="00982064"/>
    <w:rsid w:val="00982142"/>
    <w:rsid w:val="00982267"/>
    <w:rsid w:val="00982639"/>
    <w:rsid w:val="00982BCF"/>
    <w:rsid w:val="00982C1F"/>
    <w:rsid w:val="00982EEA"/>
    <w:rsid w:val="00982F82"/>
    <w:rsid w:val="009831E2"/>
    <w:rsid w:val="00983255"/>
    <w:rsid w:val="0098331C"/>
    <w:rsid w:val="00983D12"/>
    <w:rsid w:val="00983E5F"/>
    <w:rsid w:val="00984B42"/>
    <w:rsid w:val="00984B7C"/>
    <w:rsid w:val="00985051"/>
    <w:rsid w:val="00985723"/>
    <w:rsid w:val="00985C80"/>
    <w:rsid w:val="00985DA2"/>
    <w:rsid w:val="0098660C"/>
    <w:rsid w:val="00986765"/>
    <w:rsid w:val="009867E7"/>
    <w:rsid w:val="00987028"/>
    <w:rsid w:val="009870A3"/>
    <w:rsid w:val="00987DF4"/>
    <w:rsid w:val="00987FDA"/>
    <w:rsid w:val="00990175"/>
    <w:rsid w:val="0099071B"/>
    <w:rsid w:val="00990CAE"/>
    <w:rsid w:val="00990FEA"/>
    <w:rsid w:val="00991031"/>
    <w:rsid w:val="009919E9"/>
    <w:rsid w:val="00991ED6"/>
    <w:rsid w:val="00991FED"/>
    <w:rsid w:val="009920A0"/>
    <w:rsid w:val="00992E8A"/>
    <w:rsid w:val="00992E8D"/>
    <w:rsid w:val="009932CD"/>
    <w:rsid w:val="009937FD"/>
    <w:rsid w:val="00994F29"/>
    <w:rsid w:val="00994F4D"/>
    <w:rsid w:val="0099561B"/>
    <w:rsid w:val="0099563A"/>
    <w:rsid w:val="0099582B"/>
    <w:rsid w:val="00995DAF"/>
    <w:rsid w:val="00995E94"/>
    <w:rsid w:val="00995FC3"/>
    <w:rsid w:val="00996A01"/>
    <w:rsid w:val="00996AA6"/>
    <w:rsid w:val="009970AD"/>
    <w:rsid w:val="00997230"/>
    <w:rsid w:val="009A0274"/>
    <w:rsid w:val="009A035E"/>
    <w:rsid w:val="009A0B9D"/>
    <w:rsid w:val="009A0C64"/>
    <w:rsid w:val="009A0C84"/>
    <w:rsid w:val="009A0E15"/>
    <w:rsid w:val="009A18AB"/>
    <w:rsid w:val="009A1C75"/>
    <w:rsid w:val="009A2533"/>
    <w:rsid w:val="009A2D7C"/>
    <w:rsid w:val="009A2F67"/>
    <w:rsid w:val="009A30CD"/>
    <w:rsid w:val="009A30FE"/>
    <w:rsid w:val="009A3FE3"/>
    <w:rsid w:val="009A4644"/>
    <w:rsid w:val="009A468E"/>
    <w:rsid w:val="009A48A4"/>
    <w:rsid w:val="009A4908"/>
    <w:rsid w:val="009A4A3E"/>
    <w:rsid w:val="009A4F87"/>
    <w:rsid w:val="009A5023"/>
    <w:rsid w:val="009A5A31"/>
    <w:rsid w:val="009A5D03"/>
    <w:rsid w:val="009A6258"/>
    <w:rsid w:val="009A6B3A"/>
    <w:rsid w:val="009A7442"/>
    <w:rsid w:val="009A76F7"/>
    <w:rsid w:val="009B01CF"/>
    <w:rsid w:val="009B02DB"/>
    <w:rsid w:val="009B04BE"/>
    <w:rsid w:val="009B0A50"/>
    <w:rsid w:val="009B15C6"/>
    <w:rsid w:val="009B1DA0"/>
    <w:rsid w:val="009B1F5D"/>
    <w:rsid w:val="009B2407"/>
    <w:rsid w:val="009B2D5B"/>
    <w:rsid w:val="009B34FC"/>
    <w:rsid w:val="009B3BC3"/>
    <w:rsid w:val="009B3BEA"/>
    <w:rsid w:val="009B41BA"/>
    <w:rsid w:val="009B44F0"/>
    <w:rsid w:val="009B545D"/>
    <w:rsid w:val="009B5957"/>
    <w:rsid w:val="009B5C0B"/>
    <w:rsid w:val="009B5C8C"/>
    <w:rsid w:val="009B6013"/>
    <w:rsid w:val="009B6D5D"/>
    <w:rsid w:val="009B7273"/>
    <w:rsid w:val="009B7356"/>
    <w:rsid w:val="009B76DB"/>
    <w:rsid w:val="009B7FAC"/>
    <w:rsid w:val="009C0126"/>
    <w:rsid w:val="009C03C5"/>
    <w:rsid w:val="009C0C99"/>
    <w:rsid w:val="009C1122"/>
    <w:rsid w:val="009C14F1"/>
    <w:rsid w:val="009C1840"/>
    <w:rsid w:val="009C1B99"/>
    <w:rsid w:val="009C1DC2"/>
    <w:rsid w:val="009C223F"/>
    <w:rsid w:val="009C315D"/>
    <w:rsid w:val="009C323A"/>
    <w:rsid w:val="009C3A70"/>
    <w:rsid w:val="009C3AE8"/>
    <w:rsid w:val="009C4087"/>
    <w:rsid w:val="009C4959"/>
    <w:rsid w:val="009C49E0"/>
    <w:rsid w:val="009C4CFF"/>
    <w:rsid w:val="009C5961"/>
    <w:rsid w:val="009C674C"/>
    <w:rsid w:val="009C6BE9"/>
    <w:rsid w:val="009C6DB6"/>
    <w:rsid w:val="009C76A3"/>
    <w:rsid w:val="009C79E5"/>
    <w:rsid w:val="009C7ACB"/>
    <w:rsid w:val="009C7C85"/>
    <w:rsid w:val="009D03F6"/>
    <w:rsid w:val="009D0701"/>
    <w:rsid w:val="009D141B"/>
    <w:rsid w:val="009D1578"/>
    <w:rsid w:val="009D1CA0"/>
    <w:rsid w:val="009D2372"/>
    <w:rsid w:val="009D317D"/>
    <w:rsid w:val="009D366D"/>
    <w:rsid w:val="009D3833"/>
    <w:rsid w:val="009D439A"/>
    <w:rsid w:val="009D485D"/>
    <w:rsid w:val="009D5416"/>
    <w:rsid w:val="009D6353"/>
    <w:rsid w:val="009D65D1"/>
    <w:rsid w:val="009D6B28"/>
    <w:rsid w:val="009D6CF0"/>
    <w:rsid w:val="009D6E22"/>
    <w:rsid w:val="009D71D1"/>
    <w:rsid w:val="009D7591"/>
    <w:rsid w:val="009D75A9"/>
    <w:rsid w:val="009D7906"/>
    <w:rsid w:val="009D7B53"/>
    <w:rsid w:val="009E0A40"/>
    <w:rsid w:val="009E153F"/>
    <w:rsid w:val="009E19AE"/>
    <w:rsid w:val="009E1E60"/>
    <w:rsid w:val="009E1F86"/>
    <w:rsid w:val="009E2AAB"/>
    <w:rsid w:val="009E30B5"/>
    <w:rsid w:val="009E3112"/>
    <w:rsid w:val="009E34B7"/>
    <w:rsid w:val="009E3EC5"/>
    <w:rsid w:val="009E434B"/>
    <w:rsid w:val="009E480B"/>
    <w:rsid w:val="009E4986"/>
    <w:rsid w:val="009E4C2E"/>
    <w:rsid w:val="009E5205"/>
    <w:rsid w:val="009E5772"/>
    <w:rsid w:val="009E5BAE"/>
    <w:rsid w:val="009E5BF5"/>
    <w:rsid w:val="009E5D18"/>
    <w:rsid w:val="009E5EC1"/>
    <w:rsid w:val="009E5F8E"/>
    <w:rsid w:val="009E6485"/>
    <w:rsid w:val="009E648E"/>
    <w:rsid w:val="009E65CA"/>
    <w:rsid w:val="009E699D"/>
    <w:rsid w:val="009F1904"/>
    <w:rsid w:val="009F209E"/>
    <w:rsid w:val="009F21A0"/>
    <w:rsid w:val="009F2446"/>
    <w:rsid w:val="009F2450"/>
    <w:rsid w:val="009F2455"/>
    <w:rsid w:val="009F2516"/>
    <w:rsid w:val="009F259C"/>
    <w:rsid w:val="009F29FF"/>
    <w:rsid w:val="009F2BF4"/>
    <w:rsid w:val="009F2C12"/>
    <w:rsid w:val="009F2F47"/>
    <w:rsid w:val="009F385D"/>
    <w:rsid w:val="009F3AB9"/>
    <w:rsid w:val="009F48AF"/>
    <w:rsid w:val="009F4B7F"/>
    <w:rsid w:val="009F555E"/>
    <w:rsid w:val="009F5A8C"/>
    <w:rsid w:val="009F5C78"/>
    <w:rsid w:val="009F5E9D"/>
    <w:rsid w:val="009F5F56"/>
    <w:rsid w:val="009F697A"/>
    <w:rsid w:val="009F6AE8"/>
    <w:rsid w:val="009F6DAC"/>
    <w:rsid w:val="009F6E4C"/>
    <w:rsid w:val="009F7274"/>
    <w:rsid w:val="009F7309"/>
    <w:rsid w:val="009F763F"/>
    <w:rsid w:val="009F7748"/>
    <w:rsid w:val="009F7802"/>
    <w:rsid w:val="009F78B7"/>
    <w:rsid w:val="009F791B"/>
    <w:rsid w:val="009F79D5"/>
    <w:rsid w:val="009F7D96"/>
    <w:rsid w:val="00A007E7"/>
    <w:rsid w:val="00A00F2E"/>
    <w:rsid w:val="00A0109E"/>
    <w:rsid w:val="00A0110C"/>
    <w:rsid w:val="00A016A7"/>
    <w:rsid w:val="00A01E64"/>
    <w:rsid w:val="00A02992"/>
    <w:rsid w:val="00A03470"/>
    <w:rsid w:val="00A035DE"/>
    <w:rsid w:val="00A035EA"/>
    <w:rsid w:val="00A03E2D"/>
    <w:rsid w:val="00A04331"/>
    <w:rsid w:val="00A04F59"/>
    <w:rsid w:val="00A0551F"/>
    <w:rsid w:val="00A05597"/>
    <w:rsid w:val="00A05997"/>
    <w:rsid w:val="00A05B20"/>
    <w:rsid w:val="00A05CC6"/>
    <w:rsid w:val="00A070DE"/>
    <w:rsid w:val="00A0718D"/>
    <w:rsid w:val="00A07468"/>
    <w:rsid w:val="00A0797A"/>
    <w:rsid w:val="00A07FED"/>
    <w:rsid w:val="00A100A1"/>
    <w:rsid w:val="00A105EC"/>
    <w:rsid w:val="00A10896"/>
    <w:rsid w:val="00A10C0A"/>
    <w:rsid w:val="00A10D95"/>
    <w:rsid w:val="00A11019"/>
    <w:rsid w:val="00A114E5"/>
    <w:rsid w:val="00A115CB"/>
    <w:rsid w:val="00A116B1"/>
    <w:rsid w:val="00A11A73"/>
    <w:rsid w:val="00A11A7E"/>
    <w:rsid w:val="00A11C67"/>
    <w:rsid w:val="00A11F1D"/>
    <w:rsid w:val="00A121D9"/>
    <w:rsid w:val="00A1253F"/>
    <w:rsid w:val="00A12ACB"/>
    <w:rsid w:val="00A13C4A"/>
    <w:rsid w:val="00A13C50"/>
    <w:rsid w:val="00A142CF"/>
    <w:rsid w:val="00A14331"/>
    <w:rsid w:val="00A145EB"/>
    <w:rsid w:val="00A14987"/>
    <w:rsid w:val="00A14AB2"/>
    <w:rsid w:val="00A14AC9"/>
    <w:rsid w:val="00A159CA"/>
    <w:rsid w:val="00A15E4C"/>
    <w:rsid w:val="00A175A7"/>
    <w:rsid w:val="00A17608"/>
    <w:rsid w:val="00A177D9"/>
    <w:rsid w:val="00A1787D"/>
    <w:rsid w:val="00A17D5B"/>
    <w:rsid w:val="00A20573"/>
    <w:rsid w:val="00A206E0"/>
    <w:rsid w:val="00A207FA"/>
    <w:rsid w:val="00A20C94"/>
    <w:rsid w:val="00A21374"/>
    <w:rsid w:val="00A21C4C"/>
    <w:rsid w:val="00A220B7"/>
    <w:rsid w:val="00A227D6"/>
    <w:rsid w:val="00A227E7"/>
    <w:rsid w:val="00A22A71"/>
    <w:rsid w:val="00A22D55"/>
    <w:rsid w:val="00A22F6E"/>
    <w:rsid w:val="00A23736"/>
    <w:rsid w:val="00A239DB"/>
    <w:rsid w:val="00A23F28"/>
    <w:rsid w:val="00A24008"/>
    <w:rsid w:val="00A24070"/>
    <w:rsid w:val="00A24078"/>
    <w:rsid w:val="00A2475E"/>
    <w:rsid w:val="00A24A31"/>
    <w:rsid w:val="00A251F2"/>
    <w:rsid w:val="00A258E0"/>
    <w:rsid w:val="00A25FCF"/>
    <w:rsid w:val="00A269B5"/>
    <w:rsid w:val="00A26A3F"/>
    <w:rsid w:val="00A2726D"/>
    <w:rsid w:val="00A30627"/>
    <w:rsid w:val="00A30B6C"/>
    <w:rsid w:val="00A31498"/>
    <w:rsid w:val="00A31D99"/>
    <w:rsid w:val="00A31F37"/>
    <w:rsid w:val="00A3244C"/>
    <w:rsid w:val="00A32555"/>
    <w:rsid w:val="00A32C96"/>
    <w:rsid w:val="00A32E59"/>
    <w:rsid w:val="00A33017"/>
    <w:rsid w:val="00A330CD"/>
    <w:rsid w:val="00A333C1"/>
    <w:rsid w:val="00A33D5D"/>
    <w:rsid w:val="00A33E4D"/>
    <w:rsid w:val="00A346EE"/>
    <w:rsid w:val="00A34995"/>
    <w:rsid w:val="00A34B14"/>
    <w:rsid w:val="00A34C32"/>
    <w:rsid w:val="00A34DDE"/>
    <w:rsid w:val="00A34EAB"/>
    <w:rsid w:val="00A350EA"/>
    <w:rsid w:val="00A35948"/>
    <w:rsid w:val="00A3594F"/>
    <w:rsid w:val="00A35BF0"/>
    <w:rsid w:val="00A35D94"/>
    <w:rsid w:val="00A362F7"/>
    <w:rsid w:val="00A36940"/>
    <w:rsid w:val="00A36990"/>
    <w:rsid w:val="00A36EBD"/>
    <w:rsid w:val="00A37C51"/>
    <w:rsid w:val="00A40F98"/>
    <w:rsid w:val="00A4174E"/>
    <w:rsid w:val="00A42AD8"/>
    <w:rsid w:val="00A4350C"/>
    <w:rsid w:val="00A43813"/>
    <w:rsid w:val="00A439B7"/>
    <w:rsid w:val="00A43D47"/>
    <w:rsid w:val="00A44090"/>
    <w:rsid w:val="00A440A6"/>
    <w:rsid w:val="00A44A4B"/>
    <w:rsid w:val="00A44C30"/>
    <w:rsid w:val="00A45121"/>
    <w:rsid w:val="00A45B00"/>
    <w:rsid w:val="00A4618D"/>
    <w:rsid w:val="00A464E1"/>
    <w:rsid w:val="00A46C4E"/>
    <w:rsid w:val="00A46D95"/>
    <w:rsid w:val="00A46F53"/>
    <w:rsid w:val="00A47081"/>
    <w:rsid w:val="00A47480"/>
    <w:rsid w:val="00A47AE0"/>
    <w:rsid w:val="00A47E8C"/>
    <w:rsid w:val="00A50F9A"/>
    <w:rsid w:val="00A51BC0"/>
    <w:rsid w:val="00A526FF"/>
    <w:rsid w:val="00A5298C"/>
    <w:rsid w:val="00A52AD0"/>
    <w:rsid w:val="00A53497"/>
    <w:rsid w:val="00A535A7"/>
    <w:rsid w:val="00A536CB"/>
    <w:rsid w:val="00A542F8"/>
    <w:rsid w:val="00A54524"/>
    <w:rsid w:val="00A54EFB"/>
    <w:rsid w:val="00A55A47"/>
    <w:rsid w:val="00A55AE0"/>
    <w:rsid w:val="00A56DF0"/>
    <w:rsid w:val="00A56E78"/>
    <w:rsid w:val="00A574BF"/>
    <w:rsid w:val="00A5790F"/>
    <w:rsid w:val="00A579F8"/>
    <w:rsid w:val="00A57EB9"/>
    <w:rsid w:val="00A605E1"/>
    <w:rsid w:val="00A60C15"/>
    <w:rsid w:val="00A60F08"/>
    <w:rsid w:val="00A6101C"/>
    <w:rsid w:val="00A61C56"/>
    <w:rsid w:val="00A6204A"/>
    <w:rsid w:val="00A62093"/>
    <w:rsid w:val="00A6310C"/>
    <w:rsid w:val="00A6316B"/>
    <w:rsid w:val="00A631ED"/>
    <w:rsid w:val="00A633C2"/>
    <w:rsid w:val="00A63679"/>
    <w:rsid w:val="00A639BE"/>
    <w:rsid w:val="00A63A8F"/>
    <w:rsid w:val="00A63D6F"/>
    <w:rsid w:val="00A64389"/>
    <w:rsid w:val="00A64797"/>
    <w:rsid w:val="00A64817"/>
    <w:rsid w:val="00A65EC3"/>
    <w:rsid w:val="00A66BE3"/>
    <w:rsid w:val="00A67102"/>
    <w:rsid w:val="00A67F2A"/>
    <w:rsid w:val="00A70347"/>
    <w:rsid w:val="00A718A6"/>
    <w:rsid w:val="00A71CDE"/>
    <w:rsid w:val="00A72306"/>
    <w:rsid w:val="00A7252E"/>
    <w:rsid w:val="00A72BBC"/>
    <w:rsid w:val="00A72E18"/>
    <w:rsid w:val="00A730F3"/>
    <w:rsid w:val="00A73C89"/>
    <w:rsid w:val="00A74143"/>
    <w:rsid w:val="00A746A3"/>
    <w:rsid w:val="00A7486D"/>
    <w:rsid w:val="00A74BE6"/>
    <w:rsid w:val="00A7541E"/>
    <w:rsid w:val="00A754C4"/>
    <w:rsid w:val="00A7557C"/>
    <w:rsid w:val="00A758A4"/>
    <w:rsid w:val="00A75A61"/>
    <w:rsid w:val="00A75BA0"/>
    <w:rsid w:val="00A75FDF"/>
    <w:rsid w:val="00A768A2"/>
    <w:rsid w:val="00A76A55"/>
    <w:rsid w:val="00A770EF"/>
    <w:rsid w:val="00A77164"/>
    <w:rsid w:val="00A773B4"/>
    <w:rsid w:val="00A77464"/>
    <w:rsid w:val="00A80733"/>
    <w:rsid w:val="00A80948"/>
    <w:rsid w:val="00A81723"/>
    <w:rsid w:val="00A81811"/>
    <w:rsid w:val="00A8234E"/>
    <w:rsid w:val="00A82518"/>
    <w:rsid w:val="00A82548"/>
    <w:rsid w:val="00A82CC3"/>
    <w:rsid w:val="00A833A3"/>
    <w:rsid w:val="00A835E5"/>
    <w:rsid w:val="00A83768"/>
    <w:rsid w:val="00A84373"/>
    <w:rsid w:val="00A8456A"/>
    <w:rsid w:val="00A845ED"/>
    <w:rsid w:val="00A84CB3"/>
    <w:rsid w:val="00A859F5"/>
    <w:rsid w:val="00A85B73"/>
    <w:rsid w:val="00A867C8"/>
    <w:rsid w:val="00A867CD"/>
    <w:rsid w:val="00A86F87"/>
    <w:rsid w:val="00A8702E"/>
    <w:rsid w:val="00A87161"/>
    <w:rsid w:val="00A874D6"/>
    <w:rsid w:val="00A878E9"/>
    <w:rsid w:val="00A87C01"/>
    <w:rsid w:val="00A902A7"/>
    <w:rsid w:val="00A90327"/>
    <w:rsid w:val="00A904AB"/>
    <w:rsid w:val="00A90DEF"/>
    <w:rsid w:val="00A90E27"/>
    <w:rsid w:val="00A913D1"/>
    <w:rsid w:val="00A91FE5"/>
    <w:rsid w:val="00A92ABA"/>
    <w:rsid w:val="00A92F34"/>
    <w:rsid w:val="00A92F66"/>
    <w:rsid w:val="00A93101"/>
    <w:rsid w:val="00A93154"/>
    <w:rsid w:val="00A93214"/>
    <w:rsid w:val="00A93ABB"/>
    <w:rsid w:val="00A93C27"/>
    <w:rsid w:val="00A93C2B"/>
    <w:rsid w:val="00A94408"/>
    <w:rsid w:val="00A9462F"/>
    <w:rsid w:val="00A94865"/>
    <w:rsid w:val="00A94D8C"/>
    <w:rsid w:val="00A9542F"/>
    <w:rsid w:val="00A9598F"/>
    <w:rsid w:val="00A95A81"/>
    <w:rsid w:val="00A95B4F"/>
    <w:rsid w:val="00A964F1"/>
    <w:rsid w:val="00A967F4"/>
    <w:rsid w:val="00A96A4E"/>
    <w:rsid w:val="00A96FC0"/>
    <w:rsid w:val="00A97BFA"/>
    <w:rsid w:val="00AA007C"/>
    <w:rsid w:val="00AA0B30"/>
    <w:rsid w:val="00AA1EB2"/>
    <w:rsid w:val="00AA20ED"/>
    <w:rsid w:val="00AA24F3"/>
    <w:rsid w:val="00AA25C9"/>
    <w:rsid w:val="00AA3676"/>
    <w:rsid w:val="00AA3726"/>
    <w:rsid w:val="00AA40AA"/>
    <w:rsid w:val="00AA4F09"/>
    <w:rsid w:val="00AA62A1"/>
    <w:rsid w:val="00AA64E9"/>
    <w:rsid w:val="00AA67F0"/>
    <w:rsid w:val="00AA7897"/>
    <w:rsid w:val="00AA7A72"/>
    <w:rsid w:val="00AA7DCE"/>
    <w:rsid w:val="00AA7F8C"/>
    <w:rsid w:val="00AA7FA5"/>
    <w:rsid w:val="00AB0058"/>
    <w:rsid w:val="00AB0725"/>
    <w:rsid w:val="00AB0807"/>
    <w:rsid w:val="00AB0C5B"/>
    <w:rsid w:val="00AB0FB2"/>
    <w:rsid w:val="00AB0FFB"/>
    <w:rsid w:val="00AB10E3"/>
    <w:rsid w:val="00AB18AB"/>
    <w:rsid w:val="00AB1FAD"/>
    <w:rsid w:val="00AB23F9"/>
    <w:rsid w:val="00AB26FB"/>
    <w:rsid w:val="00AB2AF8"/>
    <w:rsid w:val="00AB32A1"/>
    <w:rsid w:val="00AB37FD"/>
    <w:rsid w:val="00AB41AF"/>
    <w:rsid w:val="00AB42BB"/>
    <w:rsid w:val="00AB4316"/>
    <w:rsid w:val="00AB4B6A"/>
    <w:rsid w:val="00AB502F"/>
    <w:rsid w:val="00AB50C3"/>
    <w:rsid w:val="00AB562B"/>
    <w:rsid w:val="00AB57D9"/>
    <w:rsid w:val="00AB6F61"/>
    <w:rsid w:val="00AB7408"/>
    <w:rsid w:val="00AB7601"/>
    <w:rsid w:val="00AB7957"/>
    <w:rsid w:val="00AB7A15"/>
    <w:rsid w:val="00AC0BD8"/>
    <w:rsid w:val="00AC1E53"/>
    <w:rsid w:val="00AC2F56"/>
    <w:rsid w:val="00AC3669"/>
    <w:rsid w:val="00AC37F0"/>
    <w:rsid w:val="00AC40D8"/>
    <w:rsid w:val="00AC42FA"/>
    <w:rsid w:val="00AC455C"/>
    <w:rsid w:val="00AC45CA"/>
    <w:rsid w:val="00AC4D66"/>
    <w:rsid w:val="00AC58DE"/>
    <w:rsid w:val="00AC5C0E"/>
    <w:rsid w:val="00AC5D6D"/>
    <w:rsid w:val="00AC5FCE"/>
    <w:rsid w:val="00AC615E"/>
    <w:rsid w:val="00AC62B7"/>
    <w:rsid w:val="00AC692A"/>
    <w:rsid w:val="00AC6BDA"/>
    <w:rsid w:val="00AC6E20"/>
    <w:rsid w:val="00AC749B"/>
    <w:rsid w:val="00AC7A38"/>
    <w:rsid w:val="00AD0404"/>
    <w:rsid w:val="00AD07F1"/>
    <w:rsid w:val="00AD1F02"/>
    <w:rsid w:val="00AD20E0"/>
    <w:rsid w:val="00AD280C"/>
    <w:rsid w:val="00AD2BE1"/>
    <w:rsid w:val="00AD3477"/>
    <w:rsid w:val="00AD3491"/>
    <w:rsid w:val="00AD3C49"/>
    <w:rsid w:val="00AD3D21"/>
    <w:rsid w:val="00AD5B51"/>
    <w:rsid w:val="00AD68F8"/>
    <w:rsid w:val="00AD692B"/>
    <w:rsid w:val="00AD74BD"/>
    <w:rsid w:val="00AD7E1C"/>
    <w:rsid w:val="00AE08FD"/>
    <w:rsid w:val="00AE0B68"/>
    <w:rsid w:val="00AE0CA2"/>
    <w:rsid w:val="00AE10CD"/>
    <w:rsid w:val="00AE13BB"/>
    <w:rsid w:val="00AE1457"/>
    <w:rsid w:val="00AE1499"/>
    <w:rsid w:val="00AE2D0A"/>
    <w:rsid w:val="00AE3725"/>
    <w:rsid w:val="00AE3E89"/>
    <w:rsid w:val="00AE4169"/>
    <w:rsid w:val="00AE42B3"/>
    <w:rsid w:val="00AE448F"/>
    <w:rsid w:val="00AE4A88"/>
    <w:rsid w:val="00AE4E58"/>
    <w:rsid w:val="00AE4F14"/>
    <w:rsid w:val="00AE5139"/>
    <w:rsid w:val="00AE54FA"/>
    <w:rsid w:val="00AE5C8B"/>
    <w:rsid w:val="00AE64DD"/>
    <w:rsid w:val="00AE65CA"/>
    <w:rsid w:val="00AE6800"/>
    <w:rsid w:val="00AE6CDA"/>
    <w:rsid w:val="00AE72FC"/>
    <w:rsid w:val="00AE7389"/>
    <w:rsid w:val="00AE751E"/>
    <w:rsid w:val="00AE7E09"/>
    <w:rsid w:val="00AF000E"/>
    <w:rsid w:val="00AF135D"/>
    <w:rsid w:val="00AF16A0"/>
    <w:rsid w:val="00AF17A5"/>
    <w:rsid w:val="00AF1E36"/>
    <w:rsid w:val="00AF239F"/>
    <w:rsid w:val="00AF23AA"/>
    <w:rsid w:val="00AF23C2"/>
    <w:rsid w:val="00AF3040"/>
    <w:rsid w:val="00AF31DB"/>
    <w:rsid w:val="00AF31E8"/>
    <w:rsid w:val="00AF39BC"/>
    <w:rsid w:val="00AF44E0"/>
    <w:rsid w:val="00AF4979"/>
    <w:rsid w:val="00AF51E5"/>
    <w:rsid w:val="00AF52E7"/>
    <w:rsid w:val="00AF575D"/>
    <w:rsid w:val="00AF5B14"/>
    <w:rsid w:val="00AF5C8B"/>
    <w:rsid w:val="00AF5D55"/>
    <w:rsid w:val="00AF605B"/>
    <w:rsid w:val="00AF62CE"/>
    <w:rsid w:val="00AF6749"/>
    <w:rsid w:val="00AF71AA"/>
    <w:rsid w:val="00AF741B"/>
    <w:rsid w:val="00AF7453"/>
    <w:rsid w:val="00AF7C3D"/>
    <w:rsid w:val="00AF7E72"/>
    <w:rsid w:val="00AF7F12"/>
    <w:rsid w:val="00B00223"/>
    <w:rsid w:val="00B00C97"/>
    <w:rsid w:val="00B00E2D"/>
    <w:rsid w:val="00B0115C"/>
    <w:rsid w:val="00B01F83"/>
    <w:rsid w:val="00B01FA9"/>
    <w:rsid w:val="00B0219D"/>
    <w:rsid w:val="00B0239F"/>
    <w:rsid w:val="00B02BD8"/>
    <w:rsid w:val="00B0328C"/>
    <w:rsid w:val="00B0338C"/>
    <w:rsid w:val="00B036CF"/>
    <w:rsid w:val="00B0396C"/>
    <w:rsid w:val="00B03F9B"/>
    <w:rsid w:val="00B0432F"/>
    <w:rsid w:val="00B043ED"/>
    <w:rsid w:val="00B054FF"/>
    <w:rsid w:val="00B05CB6"/>
    <w:rsid w:val="00B0619C"/>
    <w:rsid w:val="00B0633F"/>
    <w:rsid w:val="00B06DE5"/>
    <w:rsid w:val="00B070A0"/>
    <w:rsid w:val="00B075B2"/>
    <w:rsid w:val="00B07CC0"/>
    <w:rsid w:val="00B102F5"/>
    <w:rsid w:val="00B103E9"/>
    <w:rsid w:val="00B1060C"/>
    <w:rsid w:val="00B10BEF"/>
    <w:rsid w:val="00B10C2E"/>
    <w:rsid w:val="00B11539"/>
    <w:rsid w:val="00B11586"/>
    <w:rsid w:val="00B11E6D"/>
    <w:rsid w:val="00B11FA4"/>
    <w:rsid w:val="00B12242"/>
    <w:rsid w:val="00B13427"/>
    <w:rsid w:val="00B1393B"/>
    <w:rsid w:val="00B140D2"/>
    <w:rsid w:val="00B1462C"/>
    <w:rsid w:val="00B14CD1"/>
    <w:rsid w:val="00B15491"/>
    <w:rsid w:val="00B15580"/>
    <w:rsid w:val="00B1562F"/>
    <w:rsid w:val="00B15740"/>
    <w:rsid w:val="00B16C77"/>
    <w:rsid w:val="00B16D0D"/>
    <w:rsid w:val="00B16D63"/>
    <w:rsid w:val="00B172E7"/>
    <w:rsid w:val="00B174AB"/>
    <w:rsid w:val="00B17629"/>
    <w:rsid w:val="00B2135F"/>
    <w:rsid w:val="00B214E4"/>
    <w:rsid w:val="00B21799"/>
    <w:rsid w:val="00B21A4D"/>
    <w:rsid w:val="00B21D6E"/>
    <w:rsid w:val="00B222B5"/>
    <w:rsid w:val="00B22C39"/>
    <w:rsid w:val="00B22D8C"/>
    <w:rsid w:val="00B22DE0"/>
    <w:rsid w:val="00B230F8"/>
    <w:rsid w:val="00B2352F"/>
    <w:rsid w:val="00B23D2D"/>
    <w:rsid w:val="00B24380"/>
    <w:rsid w:val="00B24FEA"/>
    <w:rsid w:val="00B25328"/>
    <w:rsid w:val="00B2540B"/>
    <w:rsid w:val="00B25426"/>
    <w:rsid w:val="00B258B5"/>
    <w:rsid w:val="00B25B94"/>
    <w:rsid w:val="00B25DAF"/>
    <w:rsid w:val="00B25FE6"/>
    <w:rsid w:val="00B2603E"/>
    <w:rsid w:val="00B26397"/>
    <w:rsid w:val="00B26407"/>
    <w:rsid w:val="00B26CD6"/>
    <w:rsid w:val="00B27255"/>
    <w:rsid w:val="00B2749B"/>
    <w:rsid w:val="00B2763A"/>
    <w:rsid w:val="00B27A0A"/>
    <w:rsid w:val="00B30160"/>
    <w:rsid w:val="00B301E2"/>
    <w:rsid w:val="00B302B8"/>
    <w:rsid w:val="00B304C0"/>
    <w:rsid w:val="00B3068C"/>
    <w:rsid w:val="00B30DD2"/>
    <w:rsid w:val="00B314D4"/>
    <w:rsid w:val="00B317DC"/>
    <w:rsid w:val="00B31A2F"/>
    <w:rsid w:val="00B31E48"/>
    <w:rsid w:val="00B321D4"/>
    <w:rsid w:val="00B327F4"/>
    <w:rsid w:val="00B32D08"/>
    <w:rsid w:val="00B32F4E"/>
    <w:rsid w:val="00B32F61"/>
    <w:rsid w:val="00B3322F"/>
    <w:rsid w:val="00B334B1"/>
    <w:rsid w:val="00B339CE"/>
    <w:rsid w:val="00B33E53"/>
    <w:rsid w:val="00B34131"/>
    <w:rsid w:val="00B3426C"/>
    <w:rsid w:val="00B346E2"/>
    <w:rsid w:val="00B35631"/>
    <w:rsid w:val="00B3586B"/>
    <w:rsid w:val="00B3587C"/>
    <w:rsid w:val="00B358CF"/>
    <w:rsid w:val="00B35902"/>
    <w:rsid w:val="00B35B04"/>
    <w:rsid w:val="00B36C52"/>
    <w:rsid w:val="00B36E10"/>
    <w:rsid w:val="00B36E89"/>
    <w:rsid w:val="00B37246"/>
    <w:rsid w:val="00B3733C"/>
    <w:rsid w:val="00B37423"/>
    <w:rsid w:val="00B3775E"/>
    <w:rsid w:val="00B37810"/>
    <w:rsid w:val="00B37B94"/>
    <w:rsid w:val="00B37E95"/>
    <w:rsid w:val="00B37FC0"/>
    <w:rsid w:val="00B4097F"/>
    <w:rsid w:val="00B410B3"/>
    <w:rsid w:val="00B4190C"/>
    <w:rsid w:val="00B41956"/>
    <w:rsid w:val="00B42A22"/>
    <w:rsid w:val="00B43539"/>
    <w:rsid w:val="00B43B71"/>
    <w:rsid w:val="00B43F67"/>
    <w:rsid w:val="00B45359"/>
    <w:rsid w:val="00B45535"/>
    <w:rsid w:val="00B4553C"/>
    <w:rsid w:val="00B4572C"/>
    <w:rsid w:val="00B4592A"/>
    <w:rsid w:val="00B459C8"/>
    <w:rsid w:val="00B45BAB"/>
    <w:rsid w:val="00B462B3"/>
    <w:rsid w:val="00B46739"/>
    <w:rsid w:val="00B46811"/>
    <w:rsid w:val="00B46975"/>
    <w:rsid w:val="00B46AA2"/>
    <w:rsid w:val="00B472EC"/>
    <w:rsid w:val="00B4777F"/>
    <w:rsid w:val="00B51611"/>
    <w:rsid w:val="00B518C6"/>
    <w:rsid w:val="00B52046"/>
    <w:rsid w:val="00B5259A"/>
    <w:rsid w:val="00B52C06"/>
    <w:rsid w:val="00B52CB1"/>
    <w:rsid w:val="00B53A25"/>
    <w:rsid w:val="00B53B6D"/>
    <w:rsid w:val="00B53C9A"/>
    <w:rsid w:val="00B53D31"/>
    <w:rsid w:val="00B54F0D"/>
    <w:rsid w:val="00B553DF"/>
    <w:rsid w:val="00B5563C"/>
    <w:rsid w:val="00B55939"/>
    <w:rsid w:val="00B55C63"/>
    <w:rsid w:val="00B56301"/>
    <w:rsid w:val="00B56F23"/>
    <w:rsid w:val="00B57469"/>
    <w:rsid w:val="00B575D4"/>
    <w:rsid w:val="00B57CDA"/>
    <w:rsid w:val="00B57D54"/>
    <w:rsid w:val="00B6051C"/>
    <w:rsid w:val="00B60946"/>
    <w:rsid w:val="00B609C3"/>
    <w:rsid w:val="00B609D4"/>
    <w:rsid w:val="00B60C95"/>
    <w:rsid w:val="00B60FB5"/>
    <w:rsid w:val="00B62014"/>
    <w:rsid w:val="00B629C9"/>
    <w:rsid w:val="00B63426"/>
    <w:rsid w:val="00B63656"/>
    <w:rsid w:val="00B63F21"/>
    <w:rsid w:val="00B63FB6"/>
    <w:rsid w:val="00B6401C"/>
    <w:rsid w:val="00B64086"/>
    <w:rsid w:val="00B64519"/>
    <w:rsid w:val="00B64541"/>
    <w:rsid w:val="00B6456D"/>
    <w:rsid w:val="00B64BD0"/>
    <w:rsid w:val="00B64DCA"/>
    <w:rsid w:val="00B64FCD"/>
    <w:rsid w:val="00B65C38"/>
    <w:rsid w:val="00B65CBD"/>
    <w:rsid w:val="00B660D9"/>
    <w:rsid w:val="00B667B1"/>
    <w:rsid w:val="00B66802"/>
    <w:rsid w:val="00B67453"/>
    <w:rsid w:val="00B675F7"/>
    <w:rsid w:val="00B677EA"/>
    <w:rsid w:val="00B67A78"/>
    <w:rsid w:val="00B707BA"/>
    <w:rsid w:val="00B7086A"/>
    <w:rsid w:val="00B70A5F"/>
    <w:rsid w:val="00B70C27"/>
    <w:rsid w:val="00B70E97"/>
    <w:rsid w:val="00B715DC"/>
    <w:rsid w:val="00B71ACD"/>
    <w:rsid w:val="00B722FE"/>
    <w:rsid w:val="00B729F1"/>
    <w:rsid w:val="00B7300C"/>
    <w:rsid w:val="00B73222"/>
    <w:rsid w:val="00B74648"/>
    <w:rsid w:val="00B74D56"/>
    <w:rsid w:val="00B753EA"/>
    <w:rsid w:val="00B75CCA"/>
    <w:rsid w:val="00B7657E"/>
    <w:rsid w:val="00B768A7"/>
    <w:rsid w:val="00B76970"/>
    <w:rsid w:val="00B769B5"/>
    <w:rsid w:val="00B76F65"/>
    <w:rsid w:val="00B7738B"/>
    <w:rsid w:val="00B775CD"/>
    <w:rsid w:val="00B77E9E"/>
    <w:rsid w:val="00B80406"/>
    <w:rsid w:val="00B80645"/>
    <w:rsid w:val="00B80A5E"/>
    <w:rsid w:val="00B80F1F"/>
    <w:rsid w:val="00B813C8"/>
    <w:rsid w:val="00B8146F"/>
    <w:rsid w:val="00B8167D"/>
    <w:rsid w:val="00B824A1"/>
    <w:rsid w:val="00B82C49"/>
    <w:rsid w:val="00B82D90"/>
    <w:rsid w:val="00B82FB4"/>
    <w:rsid w:val="00B83B69"/>
    <w:rsid w:val="00B83DFC"/>
    <w:rsid w:val="00B83F10"/>
    <w:rsid w:val="00B8406A"/>
    <w:rsid w:val="00B84439"/>
    <w:rsid w:val="00B8654A"/>
    <w:rsid w:val="00B86589"/>
    <w:rsid w:val="00B865EE"/>
    <w:rsid w:val="00B86B7E"/>
    <w:rsid w:val="00B87173"/>
    <w:rsid w:val="00B8769D"/>
    <w:rsid w:val="00B87BE1"/>
    <w:rsid w:val="00B87DD5"/>
    <w:rsid w:val="00B90282"/>
    <w:rsid w:val="00B90B1B"/>
    <w:rsid w:val="00B90F96"/>
    <w:rsid w:val="00B9219F"/>
    <w:rsid w:val="00B926CB"/>
    <w:rsid w:val="00B92BB9"/>
    <w:rsid w:val="00B92FBB"/>
    <w:rsid w:val="00B933B2"/>
    <w:rsid w:val="00B936CB"/>
    <w:rsid w:val="00B93BDF"/>
    <w:rsid w:val="00B93CAF"/>
    <w:rsid w:val="00B941B6"/>
    <w:rsid w:val="00B94A06"/>
    <w:rsid w:val="00B952E7"/>
    <w:rsid w:val="00B95B2F"/>
    <w:rsid w:val="00B95B37"/>
    <w:rsid w:val="00B95E21"/>
    <w:rsid w:val="00B95E9C"/>
    <w:rsid w:val="00B96ECF"/>
    <w:rsid w:val="00B97356"/>
    <w:rsid w:val="00B97A6D"/>
    <w:rsid w:val="00BA0391"/>
    <w:rsid w:val="00BA060B"/>
    <w:rsid w:val="00BA0710"/>
    <w:rsid w:val="00BA0D90"/>
    <w:rsid w:val="00BA0DCD"/>
    <w:rsid w:val="00BA22BB"/>
    <w:rsid w:val="00BA2423"/>
    <w:rsid w:val="00BA249D"/>
    <w:rsid w:val="00BA34B1"/>
    <w:rsid w:val="00BA382E"/>
    <w:rsid w:val="00BA3830"/>
    <w:rsid w:val="00BA41E7"/>
    <w:rsid w:val="00BA42E0"/>
    <w:rsid w:val="00BA4630"/>
    <w:rsid w:val="00BA5792"/>
    <w:rsid w:val="00BA738A"/>
    <w:rsid w:val="00BA7701"/>
    <w:rsid w:val="00BA7A25"/>
    <w:rsid w:val="00BA7AF1"/>
    <w:rsid w:val="00BA7BAB"/>
    <w:rsid w:val="00BA7C02"/>
    <w:rsid w:val="00BA7C73"/>
    <w:rsid w:val="00BB00C3"/>
    <w:rsid w:val="00BB01F3"/>
    <w:rsid w:val="00BB043A"/>
    <w:rsid w:val="00BB073E"/>
    <w:rsid w:val="00BB0741"/>
    <w:rsid w:val="00BB10E2"/>
    <w:rsid w:val="00BB17AD"/>
    <w:rsid w:val="00BB1D2F"/>
    <w:rsid w:val="00BB2428"/>
    <w:rsid w:val="00BB292D"/>
    <w:rsid w:val="00BB300F"/>
    <w:rsid w:val="00BB309F"/>
    <w:rsid w:val="00BB369B"/>
    <w:rsid w:val="00BB3919"/>
    <w:rsid w:val="00BB3A56"/>
    <w:rsid w:val="00BB3E2E"/>
    <w:rsid w:val="00BB42AC"/>
    <w:rsid w:val="00BB49CB"/>
    <w:rsid w:val="00BB4CAE"/>
    <w:rsid w:val="00BB57B7"/>
    <w:rsid w:val="00BB57C7"/>
    <w:rsid w:val="00BB6087"/>
    <w:rsid w:val="00BB67F1"/>
    <w:rsid w:val="00BB6A14"/>
    <w:rsid w:val="00BB79C2"/>
    <w:rsid w:val="00BB7E42"/>
    <w:rsid w:val="00BB7F0F"/>
    <w:rsid w:val="00BC0B1A"/>
    <w:rsid w:val="00BC0EC7"/>
    <w:rsid w:val="00BC117C"/>
    <w:rsid w:val="00BC1722"/>
    <w:rsid w:val="00BC194A"/>
    <w:rsid w:val="00BC1B69"/>
    <w:rsid w:val="00BC2214"/>
    <w:rsid w:val="00BC247C"/>
    <w:rsid w:val="00BC2825"/>
    <w:rsid w:val="00BC2E96"/>
    <w:rsid w:val="00BC365F"/>
    <w:rsid w:val="00BC3A31"/>
    <w:rsid w:val="00BC406F"/>
    <w:rsid w:val="00BC426A"/>
    <w:rsid w:val="00BC4428"/>
    <w:rsid w:val="00BC4C88"/>
    <w:rsid w:val="00BC4DFB"/>
    <w:rsid w:val="00BC544F"/>
    <w:rsid w:val="00BC59CA"/>
    <w:rsid w:val="00BC63F0"/>
    <w:rsid w:val="00BC6940"/>
    <w:rsid w:val="00BC6970"/>
    <w:rsid w:val="00BC6BA8"/>
    <w:rsid w:val="00BC6D81"/>
    <w:rsid w:val="00BC6F87"/>
    <w:rsid w:val="00BC733D"/>
    <w:rsid w:val="00BC734E"/>
    <w:rsid w:val="00BC7713"/>
    <w:rsid w:val="00BC7C93"/>
    <w:rsid w:val="00BD0286"/>
    <w:rsid w:val="00BD0A29"/>
    <w:rsid w:val="00BD18E4"/>
    <w:rsid w:val="00BD1B3F"/>
    <w:rsid w:val="00BD28CF"/>
    <w:rsid w:val="00BD2AC0"/>
    <w:rsid w:val="00BD31E5"/>
    <w:rsid w:val="00BD33A9"/>
    <w:rsid w:val="00BD33BE"/>
    <w:rsid w:val="00BD3623"/>
    <w:rsid w:val="00BD3792"/>
    <w:rsid w:val="00BD3C72"/>
    <w:rsid w:val="00BD4397"/>
    <w:rsid w:val="00BD4E12"/>
    <w:rsid w:val="00BD4F07"/>
    <w:rsid w:val="00BD56F8"/>
    <w:rsid w:val="00BD5C57"/>
    <w:rsid w:val="00BD5D4E"/>
    <w:rsid w:val="00BD5F7E"/>
    <w:rsid w:val="00BD6811"/>
    <w:rsid w:val="00BD7991"/>
    <w:rsid w:val="00BD7C45"/>
    <w:rsid w:val="00BD7E30"/>
    <w:rsid w:val="00BE0BDD"/>
    <w:rsid w:val="00BE1359"/>
    <w:rsid w:val="00BE1789"/>
    <w:rsid w:val="00BE1C4F"/>
    <w:rsid w:val="00BE21E3"/>
    <w:rsid w:val="00BE305B"/>
    <w:rsid w:val="00BE4D13"/>
    <w:rsid w:val="00BE5C0F"/>
    <w:rsid w:val="00BE5C9E"/>
    <w:rsid w:val="00BE5F4E"/>
    <w:rsid w:val="00BE618A"/>
    <w:rsid w:val="00BE62B2"/>
    <w:rsid w:val="00BE6350"/>
    <w:rsid w:val="00BE67F1"/>
    <w:rsid w:val="00BE7287"/>
    <w:rsid w:val="00BE7964"/>
    <w:rsid w:val="00BE7C93"/>
    <w:rsid w:val="00BF0362"/>
    <w:rsid w:val="00BF0479"/>
    <w:rsid w:val="00BF0CDC"/>
    <w:rsid w:val="00BF0D73"/>
    <w:rsid w:val="00BF1069"/>
    <w:rsid w:val="00BF1A87"/>
    <w:rsid w:val="00BF1D23"/>
    <w:rsid w:val="00BF1F82"/>
    <w:rsid w:val="00BF2520"/>
    <w:rsid w:val="00BF3470"/>
    <w:rsid w:val="00BF3885"/>
    <w:rsid w:val="00BF3B94"/>
    <w:rsid w:val="00BF3FF8"/>
    <w:rsid w:val="00BF43F7"/>
    <w:rsid w:val="00BF4C53"/>
    <w:rsid w:val="00BF54DC"/>
    <w:rsid w:val="00BF5748"/>
    <w:rsid w:val="00BF5B81"/>
    <w:rsid w:val="00BF6270"/>
    <w:rsid w:val="00BF67B7"/>
    <w:rsid w:val="00BF6A3C"/>
    <w:rsid w:val="00BF703E"/>
    <w:rsid w:val="00BF770B"/>
    <w:rsid w:val="00BF7802"/>
    <w:rsid w:val="00C005F7"/>
    <w:rsid w:val="00C007A6"/>
    <w:rsid w:val="00C01510"/>
    <w:rsid w:val="00C01CEB"/>
    <w:rsid w:val="00C01F6E"/>
    <w:rsid w:val="00C021D2"/>
    <w:rsid w:val="00C023A3"/>
    <w:rsid w:val="00C02B42"/>
    <w:rsid w:val="00C02BED"/>
    <w:rsid w:val="00C02D3C"/>
    <w:rsid w:val="00C03249"/>
    <w:rsid w:val="00C036F7"/>
    <w:rsid w:val="00C03978"/>
    <w:rsid w:val="00C04BA2"/>
    <w:rsid w:val="00C04BAE"/>
    <w:rsid w:val="00C05362"/>
    <w:rsid w:val="00C05537"/>
    <w:rsid w:val="00C05896"/>
    <w:rsid w:val="00C0599A"/>
    <w:rsid w:val="00C05D89"/>
    <w:rsid w:val="00C06A3F"/>
    <w:rsid w:val="00C06C42"/>
    <w:rsid w:val="00C06D80"/>
    <w:rsid w:val="00C06EB2"/>
    <w:rsid w:val="00C073DA"/>
    <w:rsid w:val="00C078C1"/>
    <w:rsid w:val="00C079DB"/>
    <w:rsid w:val="00C07A40"/>
    <w:rsid w:val="00C07C15"/>
    <w:rsid w:val="00C10B9B"/>
    <w:rsid w:val="00C10C30"/>
    <w:rsid w:val="00C1104C"/>
    <w:rsid w:val="00C11577"/>
    <w:rsid w:val="00C11990"/>
    <w:rsid w:val="00C11DC5"/>
    <w:rsid w:val="00C11F13"/>
    <w:rsid w:val="00C11F39"/>
    <w:rsid w:val="00C11F55"/>
    <w:rsid w:val="00C12249"/>
    <w:rsid w:val="00C1250E"/>
    <w:rsid w:val="00C1262D"/>
    <w:rsid w:val="00C138E7"/>
    <w:rsid w:val="00C139A1"/>
    <w:rsid w:val="00C13B36"/>
    <w:rsid w:val="00C13D15"/>
    <w:rsid w:val="00C1448C"/>
    <w:rsid w:val="00C145BD"/>
    <w:rsid w:val="00C14D7A"/>
    <w:rsid w:val="00C14D92"/>
    <w:rsid w:val="00C153BC"/>
    <w:rsid w:val="00C15FAD"/>
    <w:rsid w:val="00C16490"/>
    <w:rsid w:val="00C168E7"/>
    <w:rsid w:val="00C17059"/>
    <w:rsid w:val="00C17174"/>
    <w:rsid w:val="00C171C5"/>
    <w:rsid w:val="00C17B44"/>
    <w:rsid w:val="00C17ED6"/>
    <w:rsid w:val="00C17F63"/>
    <w:rsid w:val="00C20025"/>
    <w:rsid w:val="00C2041C"/>
    <w:rsid w:val="00C20869"/>
    <w:rsid w:val="00C20DC6"/>
    <w:rsid w:val="00C2113D"/>
    <w:rsid w:val="00C21363"/>
    <w:rsid w:val="00C215D1"/>
    <w:rsid w:val="00C21AE1"/>
    <w:rsid w:val="00C223D1"/>
    <w:rsid w:val="00C227C6"/>
    <w:rsid w:val="00C22816"/>
    <w:rsid w:val="00C22B32"/>
    <w:rsid w:val="00C230F6"/>
    <w:rsid w:val="00C23686"/>
    <w:rsid w:val="00C23F8A"/>
    <w:rsid w:val="00C244B3"/>
    <w:rsid w:val="00C247E6"/>
    <w:rsid w:val="00C24B05"/>
    <w:rsid w:val="00C24D07"/>
    <w:rsid w:val="00C24EA5"/>
    <w:rsid w:val="00C25052"/>
    <w:rsid w:val="00C25846"/>
    <w:rsid w:val="00C25D31"/>
    <w:rsid w:val="00C262C1"/>
    <w:rsid w:val="00C265D0"/>
    <w:rsid w:val="00C26FE5"/>
    <w:rsid w:val="00C27077"/>
    <w:rsid w:val="00C27F07"/>
    <w:rsid w:val="00C3022B"/>
    <w:rsid w:val="00C30723"/>
    <w:rsid w:val="00C30778"/>
    <w:rsid w:val="00C30AE9"/>
    <w:rsid w:val="00C3137D"/>
    <w:rsid w:val="00C31756"/>
    <w:rsid w:val="00C31F7F"/>
    <w:rsid w:val="00C32186"/>
    <w:rsid w:val="00C323EC"/>
    <w:rsid w:val="00C32934"/>
    <w:rsid w:val="00C334A3"/>
    <w:rsid w:val="00C335AE"/>
    <w:rsid w:val="00C34197"/>
    <w:rsid w:val="00C3427B"/>
    <w:rsid w:val="00C34E1F"/>
    <w:rsid w:val="00C34F09"/>
    <w:rsid w:val="00C3515D"/>
    <w:rsid w:val="00C357CE"/>
    <w:rsid w:val="00C35C70"/>
    <w:rsid w:val="00C35E26"/>
    <w:rsid w:val="00C361F0"/>
    <w:rsid w:val="00C3626A"/>
    <w:rsid w:val="00C36684"/>
    <w:rsid w:val="00C36DCC"/>
    <w:rsid w:val="00C36F0A"/>
    <w:rsid w:val="00C36F4F"/>
    <w:rsid w:val="00C372CB"/>
    <w:rsid w:val="00C37B23"/>
    <w:rsid w:val="00C4067A"/>
    <w:rsid w:val="00C41480"/>
    <w:rsid w:val="00C417F1"/>
    <w:rsid w:val="00C41B33"/>
    <w:rsid w:val="00C439E0"/>
    <w:rsid w:val="00C44052"/>
    <w:rsid w:val="00C44368"/>
    <w:rsid w:val="00C44D1E"/>
    <w:rsid w:val="00C44D4E"/>
    <w:rsid w:val="00C46111"/>
    <w:rsid w:val="00C46816"/>
    <w:rsid w:val="00C46822"/>
    <w:rsid w:val="00C468CE"/>
    <w:rsid w:val="00C46CE5"/>
    <w:rsid w:val="00C4706F"/>
    <w:rsid w:val="00C47CFC"/>
    <w:rsid w:val="00C50206"/>
    <w:rsid w:val="00C50260"/>
    <w:rsid w:val="00C512B5"/>
    <w:rsid w:val="00C51395"/>
    <w:rsid w:val="00C51553"/>
    <w:rsid w:val="00C518A5"/>
    <w:rsid w:val="00C51A60"/>
    <w:rsid w:val="00C51FC3"/>
    <w:rsid w:val="00C520E4"/>
    <w:rsid w:val="00C52334"/>
    <w:rsid w:val="00C5261F"/>
    <w:rsid w:val="00C52C65"/>
    <w:rsid w:val="00C53110"/>
    <w:rsid w:val="00C53B12"/>
    <w:rsid w:val="00C53B6C"/>
    <w:rsid w:val="00C5406E"/>
    <w:rsid w:val="00C541AB"/>
    <w:rsid w:val="00C541B2"/>
    <w:rsid w:val="00C5477D"/>
    <w:rsid w:val="00C54928"/>
    <w:rsid w:val="00C54A44"/>
    <w:rsid w:val="00C54E2A"/>
    <w:rsid w:val="00C54E49"/>
    <w:rsid w:val="00C54FAF"/>
    <w:rsid w:val="00C550C8"/>
    <w:rsid w:val="00C558CE"/>
    <w:rsid w:val="00C56403"/>
    <w:rsid w:val="00C5661F"/>
    <w:rsid w:val="00C56FD2"/>
    <w:rsid w:val="00C57085"/>
    <w:rsid w:val="00C575AF"/>
    <w:rsid w:val="00C576FC"/>
    <w:rsid w:val="00C579F3"/>
    <w:rsid w:val="00C57EE1"/>
    <w:rsid w:val="00C60361"/>
    <w:rsid w:val="00C60738"/>
    <w:rsid w:val="00C608D7"/>
    <w:rsid w:val="00C60D9F"/>
    <w:rsid w:val="00C61943"/>
    <w:rsid w:val="00C620BA"/>
    <w:rsid w:val="00C627C5"/>
    <w:rsid w:val="00C6395F"/>
    <w:rsid w:val="00C63C3D"/>
    <w:rsid w:val="00C644BF"/>
    <w:rsid w:val="00C65163"/>
    <w:rsid w:val="00C65728"/>
    <w:rsid w:val="00C658F4"/>
    <w:rsid w:val="00C65B6B"/>
    <w:rsid w:val="00C66492"/>
    <w:rsid w:val="00C664AB"/>
    <w:rsid w:val="00C66584"/>
    <w:rsid w:val="00C665A9"/>
    <w:rsid w:val="00C66705"/>
    <w:rsid w:val="00C67754"/>
    <w:rsid w:val="00C67895"/>
    <w:rsid w:val="00C67D16"/>
    <w:rsid w:val="00C70254"/>
    <w:rsid w:val="00C703C0"/>
    <w:rsid w:val="00C706D1"/>
    <w:rsid w:val="00C70A4F"/>
    <w:rsid w:val="00C70FAE"/>
    <w:rsid w:val="00C7113D"/>
    <w:rsid w:val="00C71284"/>
    <w:rsid w:val="00C719C3"/>
    <w:rsid w:val="00C724F5"/>
    <w:rsid w:val="00C726F6"/>
    <w:rsid w:val="00C72987"/>
    <w:rsid w:val="00C72BA3"/>
    <w:rsid w:val="00C72DD5"/>
    <w:rsid w:val="00C733A6"/>
    <w:rsid w:val="00C737B0"/>
    <w:rsid w:val="00C73D39"/>
    <w:rsid w:val="00C744A3"/>
    <w:rsid w:val="00C744D7"/>
    <w:rsid w:val="00C760ED"/>
    <w:rsid w:val="00C76282"/>
    <w:rsid w:val="00C7675A"/>
    <w:rsid w:val="00C76D5D"/>
    <w:rsid w:val="00C76E9D"/>
    <w:rsid w:val="00C77906"/>
    <w:rsid w:val="00C800A2"/>
    <w:rsid w:val="00C80E18"/>
    <w:rsid w:val="00C816DF"/>
    <w:rsid w:val="00C820EE"/>
    <w:rsid w:val="00C82C1E"/>
    <w:rsid w:val="00C82CD4"/>
    <w:rsid w:val="00C835B6"/>
    <w:rsid w:val="00C84475"/>
    <w:rsid w:val="00C84713"/>
    <w:rsid w:val="00C84758"/>
    <w:rsid w:val="00C853AB"/>
    <w:rsid w:val="00C856EF"/>
    <w:rsid w:val="00C85CAC"/>
    <w:rsid w:val="00C85D45"/>
    <w:rsid w:val="00C85F72"/>
    <w:rsid w:val="00C85FB3"/>
    <w:rsid w:val="00C862C3"/>
    <w:rsid w:val="00C86896"/>
    <w:rsid w:val="00C8736D"/>
    <w:rsid w:val="00C875CF"/>
    <w:rsid w:val="00C876E1"/>
    <w:rsid w:val="00C90162"/>
    <w:rsid w:val="00C908A9"/>
    <w:rsid w:val="00C908BE"/>
    <w:rsid w:val="00C91507"/>
    <w:rsid w:val="00C9203A"/>
    <w:rsid w:val="00C9230B"/>
    <w:rsid w:val="00C929E1"/>
    <w:rsid w:val="00C92B88"/>
    <w:rsid w:val="00C92F67"/>
    <w:rsid w:val="00C93C36"/>
    <w:rsid w:val="00C93D97"/>
    <w:rsid w:val="00C940C2"/>
    <w:rsid w:val="00C944D1"/>
    <w:rsid w:val="00C948D6"/>
    <w:rsid w:val="00C952E2"/>
    <w:rsid w:val="00C952E9"/>
    <w:rsid w:val="00C95AC8"/>
    <w:rsid w:val="00C95AF0"/>
    <w:rsid w:val="00C95E95"/>
    <w:rsid w:val="00C962BE"/>
    <w:rsid w:val="00C9639C"/>
    <w:rsid w:val="00C96514"/>
    <w:rsid w:val="00C96D4F"/>
    <w:rsid w:val="00C972A5"/>
    <w:rsid w:val="00C9760B"/>
    <w:rsid w:val="00C976E0"/>
    <w:rsid w:val="00C9796B"/>
    <w:rsid w:val="00C97C19"/>
    <w:rsid w:val="00CA0174"/>
    <w:rsid w:val="00CA018B"/>
    <w:rsid w:val="00CA05EE"/>
    <w:rsid w:val="00CA0C53"/>
    <w:rsid w:val="00CA0FB8"/>
    <w:rsid w:val="00CA105A"/>
    <w:rsid w:val="00CA1AE4"/>
    <w:rsid w:val="00CA1E0C"/>
    <w:rsid w:val="00CA1FA7"/>
    <w:rsid w:val="00CA20E3"/>
    <w:rsid w:val="00CA245C"/>
    <w:rsid w:val="00CA26EC"/>
    <w:rsid w:val="00CA3591"/>
    <w:rsid w:val="00CA3AC7"/>
    <w:rsid w:val="00CA423D"/>
    <w:rsid w:val="00CA4AAC"/>
    <w:rsid w:val="00CA4DB5"/>
    <w:rsid w:val="00CA5989"/>
    <w:rsid w:val="00CA5AF9"/>
    <w:rsid w:val="00CA5D0C"/>
    <w:rsid w:val="00CA5E13"/>
    <w:rsid w:val="00CA625D"/>
    <w:rsid w:val="00CA69FF"/>
    <w:rsid w:val="00CA6F73"/>
    <w:rsid w:val="00CA7A1F"/>
    <w:rsid w:val="00CA7DAF"/>
    <w:rsid w:val="00CB017E"/>
    <w:rsid w:val="00CB0226"/>
    <w:rsid w:val="00CB0717"/>
    <w:rsid w:val="00CB0A65"/>
    <w:rsid w:val="00CB0DC8"/>
    <w:rsid w:val="00CB0FDE"/>
    <w:rsid w:val="00CB1177"/>
    <w:rsid w:val="00CB1618"/>
    <w:rsid w:val="00CB1A88"/>
    <w:rsid w:val="00CB277F"/>
    <w:rsid w:val="00CB2809"/>
    <w:rsid w:val="00CB328B"/>
    <w:rsid w:val="00CB3318"/>
    <w:rsid w:val="00CB3628"/>
    <w:rsid w:val="00CB3BC7"/>
    <w:rsid w:val="00CB407C"/>
    <w:rsid w:val="00CB46B4"/>
    <w:rsid w:val="00CB4940"/>
    <w:rsid w:val="00CB4A70"/>
    <w:rsid w:val="00CB5D5B"/>
    <w:rsid w:val="00CB6DC0"/>
    <w:rsid w:val="00CB6E94"/>
    <w:rsid w:val="00CB7060"/>
    <w:rsid w:val="00CB763C"/>
    <w:rsid w:val="00CB77F2"/>
    <w:rsid w:val="00CB7DD6"/>
    <w:rsid w:val="00CC0438"/>
    <w:rsid w:val="00CC0563"/>
    <w:rsid w:val="00CC0C66"/>
    <w:rsid w:val="00CC140D"/>
    <w:rsid w:val="00CC1E56"/>
    <w:rsid w:val="00CC2001"/>
    <w:rsid w:val="00CC2270"/>
    <w:rsid w:val="00CC2EC5"/>
    <w:rsid w:val="00CC3277"/>
    <w:rsid w:val="00CC385B"/>
    <w:rsid w:val="00CC3EBF"/>
    <w:rsid w:val="00CC4207"/>
    <w:rsid w:val="00CC51BD"/>
    <w:rsid w:val="00CC5222"/>
    <w:rsid w:val="00CC5775"/>
    <w:rsid w:val="00CC62CD"/>
    <w:rsid w:val="00CC6C6A"/>
    <w:rsid w:val="00CC6F07"/>
    <w:rsid w:val="00CC702B"/>
    <w:rsid w:val="00CC7881"/>
    <w:rsid w:val="00CC78E6"/>
    <w:rsid w:val="00CC7971"/>
    <w:rsid w:val="00CD0422"/>
    <w:rsid w:val="00CD083E"/>
    <w:rsid w:val="00CD0982"/>
    <w:rsid w:val="00CD0FFA"/>
    <w:rsid w:val="00CD104F"/>
    <w:rsid w:val="00CD124B"/>
    <w:rsid w:val="00CD19CF"/>
    <w:rsid w:val="00CD265B"/>
    <w:rsid w:val="00CD26D0"/>
    <w:rsid w:val="00CD2987"/>
    <w:rsid w:val="00CD2A22"/>
    <w:rsid w:val="00CD2A3D"/>
    <w:rsid w:val="00CD2EE0"/>
    <w:rsid w:val="00CD3B99"/>
    <w:rsid w:val="00CD3DD5"/>
    <w:rsid w:val="00CD400D"/>
    <w:rsid w:val="00CD40C7"/>
    <w:rsid w:val="00CD41DB"/>
    <w:rsid w:val="00CD4F38"/>
    <w:rsid w:val="00CD5885"/>
    <w:rsid w:val="00CD5D11"/>
    <w:rsid w:val="00CD5D93"/>
    <w:rsid w:val="00CD6321"/>
    <w:rsid w:val="00CD63D3"/>
    <w:rsid w:val="00CD6924"/>
    <w:rsid w:val="00CD7055"/>
    <w:rsid w:val="00CD7340"/>
    <w:rsid w:val="00CD73E8"/>
    <w:rsid w:val="00CD7839"/>
    <w:rsid w:val="00CD78B1"/>
    <w:rsid w:val="00CE047A"/>
    <w:rsid w:val="00CE052C"/>
    <w:rsid w:val="00CE06B1"/>
    <w:rsid w:val="00CE0944"/>
    <w:rsid w:val="00CE0A76"/>
    <w:rsid w:val="00CE13D2"/>
    <w:rsid w:val="00CE166B"/>
    <w:rsid w:val="00CE1B36"/>
    <w:rsid w:val="00CE2362"/>
    <w:rsid w:val="00CE3120"/>
    <w:rsid w:val="00CE32D8"/>
    <w:rsid w:val="00CE37A8"/>
    <w:rsid w:val="00CE3C60"/>
    <w:rsid w:val="00CE42DB"/>
    <w:rsid w:val="00CE4C6F"/>
    <w:rsid w:val="00CE52CC"/>
    <w:rsid w:val="00CE53F4"/>
    <w:rsid w:val="00CE5510"/>
    <w:rsid w:val="00CE5B5C"/>
    <w:rsid w:val="00CE5B69"/>
    <w:rsid w:val="00CE5CA9"/>
    <w:rsid w:val="00CE6071"/>
    <w:rsid w:val="00CE66E3"/>
    <w:rsid w:val="00CE6719"/>
    <w:rsid w:val="00CE6C67"/>
    <w:rsid w:val="00CE734B"/>
    <w:rsid w:val="00CE793F"/>
    <w:rsid w:val="00CE7E6F"/>
    <w:rsid w:val="00CF15DD"/>
    <w:rsid w:val="00CF1A82"/>
    <w:rsid w:val="00CF223D"/>
    <w:rsid w:val="00CF2703"/>
    <w:rsid w:val="00CF2824"/>
    <w:rsid w:val="00CF3526"/>
    <w:rsid w:val="00CF3A33"/>
    <w:rsid w:val="00CF3C7D"/>
    <w:rsid w:val="00CF4388"/>
    <w:rsid w:val="00CF45BF"/>
    <w:rsid w:val="00CF51C1"/>
    <w:rsid w:val="00CF548B"/>
    <w:rsid w:val="00CF5B47"/>
    <w:rsid w:val="00CF5B54"/>
    <w:rsid w:val="00CF5EE3"/>
    <w:rsid w:val="00CF6C01"/>
    <w:rsid w:val="00CF6EB7"/>
    <w:rsid w:val="00CF7105"/>
    <w:rsid w:val="00CF7271"/>
    <w:rsid w:val="00CF7305"/>
    <w:rsid w:val="00D003E5"/>
    <w:rsid w:val="00D005E0"/>
    <w:rsid w:val="00D00AD1"/>
    <w:rsid w:val="00D00C4A"/>
    <w:rsid w:val="00D00FF7"/>
    <w:rsid w:val="00D012FF"/>
    <w:rsid w:val="00D0157B"/>
    <w:rsid w:val="00D01CC4"/>
    <w:rsid w:val="00D01E6B"/>
    <w:rsid w:val="00D0354D"/>
    <w:rsid w:val="00D0497C"/>
    <w:rsid w:val="00D04E4D"/>
    <w:rsid w:val="00D04F45"/>
    <w:rsid w:val="00D04FAA"/>
    <w:rsid w:val="00D050C0"/>
    <w:rsid w:val="00D0534B"/>
    <w:rsid w:val="00D0548B"/>
    <w:rsid w:val="00D05AEE"/>
    <w:rsid w:val="00D05D6E"/>
    <w:rsid w:val="00D0648D"/>
    <w:rsid w:val="00D06EB9"/>
    <w:rsid w:val="00D079ED"/>
    <w:rsid w:val="00D11417"/>
    <w:rsid w:val="00D1153F"/>
    <w:rsid w:val="00D11995"/>
    <w:rsid w:val="00D11CFD"/>
    <w:rsid w:val="00D12432"/>
    <w:rsid w:val="00D126CF"/>
    <w:rsid w:val="00D12AD9"/>
    <w:rsid w:val="00D13808"/>
    <w:rsid w:val="00D14317"/>
    <w:rsid w:val="00D146FE"/>
    <w:rsid w:val="00D1581E"/>
    <w:rsid w:val="00D15D19"/>
    <w:rsid w:val="00D15D93"/>
    <w:rsid w:val="00D15DA1"/>
    <w:rsid w:val="00D15EEC"/>
    <w:rsid w:val="00D1635E"/>
    <w:rsid w:val="00D16380"/>
    <w:rsid w:val="00D163FF"/>
    <w:rsid w:val="00D1643C"/>
    <w:rsid w:val="00D166B5"/>
    <w:rsid w:val="00D167D0"/>
    <w:rsid w:val="00D16E87"/>
    <w:rsid w:val="00D17335"/>
    <w:rsid w:val="00D1797A"/>
    <w:rsid w:val="00D17BF1"/>
    <w:rsid w:val="00D2079E"/>
    <w:rsid w:val="00D21356"/>
    <w:rsid w:val="00D216EE"/>
    <w:rsid w:val="00D220B5"/>
    <w:rsid w:val="00D223EF"/>
    <w:rsid w:val="00D224CF"/>
    <w:rsid w:val="00D230C1"/>
    <w:rsid w:val="00D230FC"/>
    <w:rsid w:val="00D232D8"/>
    <w:rsid w:val="00D232DC"/>
    <w:rsid w:val="00D233CD"/>
    <w:rsid w:val="00D23500"/>
    <w:rsid w:val="00D23AD3"/>
    <w:rsid w:val="00D23FC0"/>
    <w:rsid w:val="00D23FCE"/>
    <w:rsid w:val="00D2401D"/>
    <w:rsid w:val="00D24364"/>
    <w:rsid w:val="00D24478"/>
    <w:rsid w:val="00D2469E"/>
    <w:rsid w:val="00D2649E"/>
    <w:rsid w:val="00D264D3"/>
    <w:rsid w:val="00D27201"/>
    <w:rsid w:val="00D27300"/>
    <w:rsid w:val="00D27875"/>
    <w:rsid w:val="00D307FD"/>
    <w:rsid w:val="00D30A3B"/>
    <w:rsid w:val="00D30DAC"/>
    <w:rsid w:val="00D313FB"/>
    <w:rsid w:val="00D3141B"/>
    <w:rsid w:val="00D319AB"/>
    <w:rsid w:val="00D31A8D"/>
    <w:rsid w:val="00D31E2D"/>
    <w:rsid w:val="00D321E8"/>
    <w:rsid w:val="00D328E1"/>
    <w:rsid w:val="00D329D8"/>
    <w:rsid w:val="00D32E01"/>
    <w:rsid w:val="00D33975"/>
    <w:rsid w:val="00D33A8C"/>
    <w:rsid w:val="00D34057"/>
    <w:rsid w:val="00D3523D"/>
    <w:rsid w:val="00D35597"/>
    <w:rsid w:val="00D35689"/>
    <w:rsid w:val="00D35E06"/>
    <w:rsid w:val="00D365FA"/>
    <w:rsid w:val="00D369BC"/>
    <w:rsid w:val="00D37093"/>
    <w:rsid w:val="00D377E8"/>
    <w:rsid w:val="00D40425"/>
    <w:rsid w:val="00D40BC3"/>
    <w:rsid w:val="00D40D6B"/>
    <w:rsid w:val="00D4129E"/>
    <w:rsid w:val="00D418A3"/>
    <w:rsid w:val="00D41AB6"/>
    <w:rsid w:val="00D42946"/>
    <w:rsid w:val="00D42DEC"/>
    <w:rsid w:val="00D43984"/>
    <w:rsid w:val="00D44105"/>
    <w:rsid w:val="00D4459D"/>
    <w:rsid w:val="00D45A14"/>
    <w:rsid w:val="00D45A36"/>
    <w:rsid w:val="00D46189"/>
    <w:rsid w:val="00D46BE9"/>
    <w:rsid w:val="00D46FA2"/>
    <w:rsid w:val="00D47391"/>
    <w:rsid w:val="00D47451"/>
    <w:rsid w:val="00D47947"/>
    <w:rsid w:val="00D5001E"/>
    <w:rsid w:val="00D50053"/>
    <w:rsid w:val="00D50089"/>
    <w:rsid w:val="00D504FA"/>
    <w:rsid w:val="00D50F10"/>
    <w:rsid w:val="00D50F83"/>
    <w:rsid w:val="00D512D8"/>
    <w:rsid w:val="00D51610"/>
    <w:rsid w:val="00D516DF"/>
    <w:rsid w:val="00D51C73"/>
    <w:rsid w:val="00D51E13"/>
    <w:rsid w:val="00D51F07"/>
    <w:rsid w:val="00D51F15"/>
    <w:rsid w:val="00D52146"/>
    <w:rsid w:val="00D524AF"/>
    <w:rsid w:val="00D52A8A"/>
    <w:rsid w:val="00D52A96"/>
    <w:rsid w:val="00D52C43"/>
    <w:rsid w:val="00D5329D"/>
    <w:rsid w:val="00D533FE"/>
    <w:rsid w:val="00D534C8"/>
    <w:rsid w:val="00D5372A"/>
    <w:rsid w:val="00D53B22"/>
    <w:rsid w:val="00D54B1D"/>
    <w:rsid w:val="00D54E0F"/>
    <w:rsid w:val="00D5509F"/>
    <w:rsid w:val="00D55425"/>
    <w:rsid w:val="00D55751"/>
    <w:rsid w:val="00D5578A"/>
    <w:rsid w:val="00D5616C"/>
    <w:rsid w:val="00D56C00"/>
    <w:rsid w:val="00D57082"/>
    <w:rsid w:val="00D576CD"/>
    <w:rsid w:val="00D577BB"/>
    <w:rsid w:val="00D57B91"/>
    <w:rsid w:val="00D57E0C"/>
    <w:rsid w:val="00D60E67"/>
    <w:rsid w:val="00D614F6"/>
    <w:rsid w:val="00D62320"/>
    <w:rsid w:val="00D6248B"/>
    <w:rsid w:val="00D62B5D"/>
    <w:rsid w:val="00D62B75"/>
    <w:rsid w:val="00D62CFC"/>
    <w:rsid w:val="00D6317D"/>
    <w:rsid w:val="00D63379"/>
    <w:rsid w:val="00D635B1"/>
    <w:rsid w:val="00D639C5"/>
    <w:rsid w:val="00D63DB5"/>
    <w:rsid w:val="00D63E14"/>
    <w:rsid w:val="00D63E3D"/>
    <w:rsid w:val="00D63F98"/>
    <w:rsid w:val="00D64155"/>
    <w:rsid w:val="00D649A1"/>
    <w:rsid w:val="00D64BEA"/>
    <w:rsid w:val="00D653B9"/>
    <w:rsid w:val="00D659DC"/>
    <w:rsid w:val="00D65C02"/>
    <w:rsid w:val="00D65CC7"/>
    <w:rsid w:val="00D65D66"/>
    <w:rsid w:val="00D65E52"/>
    <w:rsid w:val="00D661D2"/>
    <w:rsid w:val="00D66410"/>
    <w:rsid w:val="00D66550"/>
    <w:rsid w:val="00D66648"/>
    <w:rsid w:val="00D66EFB"/>
    <w:rsid w:val="00D66FDA"/>
    <w:rsid w:val="00D67292"/>
    <w:rsid w:val="00D672CB"/>
    <w:rsid w:val="00D6738A"/>
    <w:rsid w:val="00D67956"/>
    <w:rsid w:val="00D7012E"/>
    <w:rsid w:val="00D70341"/>
    <w:rsid w:val="00D70C38"/>
    <w:rsid w:val="00D710E5"/>
    <w:rsid w:val="00D71197"/>
    <w:rsid w:val="00D7178C"/>
    <w:rsid w:val="00D72008"/>
    <w:rsid w:val="00D72192"/>
    <w:rsid w:val="00D72D32"/>
    <w:rsid w:val="00D731D1"/>
    <w:rsid w:val="00D73645"/>
    <w:rsid w:val="00D73AC1"/>
    <w:rsid w:val="00D73BD2"/>
    <w:rsid w:val="00D73BE7"/>
    <w:rsid w:val="00D73DF6"/>
    <w:rsid w:val="00D73EFA"/>
    <w:rsid w:val="00D73FC4"/>
    <w:rsid w:val="00D73FE8"/>
    <w:rsid w:val="00D74538"/>
    <w:rsid w:val="00D749A0"/>
    <w:rsid w:val="00D749CB"/>
    <w:rsid w:val="00D74C9E"/>
    <w:rsid w:val="00D754B7"/>
    <w:rsid w:val="00D75F19"/>
    <w:rsid w:val="00D767AE"/>
    <w:rsid w:val="00D77AD8"/>
    <w:rsid w:val="00D80605"/>
    <w:rsid w:val="00D80973"/>
    <w:rsid w:val="00D80BD8"/>
    <w:rsid w:val="00D81069"/>
    <w:rsid w:val="00D8261C"/>
    <w:rsid w:val="00D82A2B"/>
    <w:rsid w:val="00D8301D"/>
    <w:rsid w:val="00D8473E"/>
    <w:rsid w:val="00D85797"/>
    <w:rsid w:val="00D86255"/>
    <w:rsid w:val="00D863D1"/>
    <w:rsid w:val="00D872B7"/>
    <w:rsid w:val="00D87DCF"/>
    <w:rsid w:val="00D87F5B"/>
    <w:rsid w:val="00D90125"/>
    <w:rsid w:val="00D90299"/>
    <w:rsid w:val="00D9057B"/>
    <w:rsid w:val="00D9096B"/>
    <w:rsid w:val="00D90ED1"/>
    <w:rsid w:val="00D91C34"/>
    <w:rsid w:val="00D925C5"/>
    <w:rsid w:val="00D9279F"/>
    <w:rsid w:val="00D92BB0"/>
    <w:rsid w:val="00D92D23"/>
    <w:rsid w:val="00D92E49"/>
    <w:rsid w:val="00D9317C"/>
    <w:rsid w:val="00D935AB"/>
    <w:rsid w:val="00D936B4"/>
    <w:rsid w:val="00D94900"/>
    <w:rsid w:val="00D94E4C"/>
    <w:rsid w:val="00D953F7"/>
    <w:rsid w:val="00D95709"/>
    <w:rsid w:val="00D958D7"/>
    <w:rsid w:val="00D95DC2"/>
    <w:rsid w:val="00D95F5C"/>
    <w:rsid w:val="00D96083"/>
    <w:rsid w:val="00D96248"/>
    <w:rsid w:val="00D96AFA"/>
    <w:rsid w:val="00D96B2B"/>
    <w:rsid w:val="00D96D46"/>
    <w:rsid w:val="00D97548"/>
    <w:rsid w:val="00D97B72"/>
    <w:rsid w:val="00D97CF6"/>
    <w:rsid w:val="00DA0B7F"/>
    <w:rsid w:val="00DA0BBE"/>
    <w:rsid w:val="00DA11AE"/>
    <w:rsid w:val="00DA16E5"/>
    <w:rsid w:val="00DA17FF"/>
    <w:rsid w:val="00DA1A59"/>
    <w:rsid w:val="00DA1BE6"/>
    <w:rsid w:val="00DA1BE9"/>
    <w:rsid w:val="00DA1DAA"/>
    <w:rsid w:val="00DA283D"/>
    <w:rsid w:val="00DA2CA6"/>
    <w:rsid w:val="00DA3E12"/>
    <w:rsid w:val="00DA3E52"/>
    <w:rsid w:val="00DA4141"/>
    <w:rsid w:val="00DA417B"/>
    <w:rsid w:val="00DA45BD"/>
    <w:rsid w:val="00DA4B2A"/>
    <w:rsid w:val="00DA5000"/>
    <w:rsid w:val="00DA52EB"/>
    <w:rsid w:val="00DA5CD6"/>
    <w:rsid w:val="00DA6868"/>
    <w:rsid w:val="00DA6DC2"/>
    <w:rsid w:val="00DA7044"/>
    <w:rsid w:val="00DA774A"/>
    <w:rsid w:val="00DA7A57"/>
    <w:rsid w:val="00DA7D93"/>
    <w:rsid w:val="00DB0312"/>
    <w:rsid w:val="00DB06ED"/>
    <w:rsid w:val="00DB0ED0"/>
    <w:rsid w:val="00DB10F3"/>
    <w:rsid w:val="00DB115A"/>
    <w:rsid w:val="00DB198A"/>
    <w:rsid w:val="00DB1DCE"/>
    <w:rsid w:val="00DB1EE4"/>
    <w:rsid w:val="00DB261C"/>
    <w:rsid w:val="00DB2810"/>
    <w:rsid w:val="00DB31DB"/>
    <w:rsid w:val="00DB3213"/>
    <w:rsid w:val="00DB387C"/>
    <w:rsid w:val="00DB41A7"/>
    <w:rsid w:val="00DB42F5"/>
    <w:rsid w:val="00DB4353"/>
    <w:rsid w:val="00DB43F8"/>
    <w:rsid w:val="00DB4688"/>
    <w:rsid w:val="00DB46DA"/>
    <w:rsid w:val="00DB5186"/>
    <w:rsid w:val="00DB5A23"/>
    <w:rsid w:val="00DB5A7F"/>
    <w:rsid w:val="00DB640B"/>
    <w:rsid w:val="00DB656B"/>
    <w:rsid w:val="00DB6A23"/>
    <w:rsid w:val="00DB75BE"/>
    <w:rsid w:val="00DB7945"/>
    <w:rsid w:val="00DB7CD6"/>
    <w:rsid w:val="00DB7D6B"/>
    <w:rsid w:val="00DC00C2"/>
    <w:rsid w:val="00DC01DD"/>
    <w:rsid w:val="00DC13DF"/>
    <w:rsid w:val="00DC198F"/>
    <w:rsid w:val="00DC29D6"/>
    <w:rsid w:val="00DC2DA2"/>
    <w:rsid w:val="00DC2E62"/>
    <w:rsid w:val="00DC2F60"/>
    <w:rsid w:val="00DC2FFF"/>
    <w:rsid w:val="00DC3149"/>
    <w:rsid w:val="00DC317B"/>
    <w:rsid w:val="00DC3FB4"/>
    <w:rsid w:val="00DC3FCB"/>
    <w:rsid w:val="00DC430F"/>
    <w:rsid w:val="00DC43B0"/>
    <w:rsid w:val="00DC478C"/>
    <w:rsid w:val="00DC47BF"/>
    <w:rsid w:val="00DC4CEC"/>
    <w:rsid w:val="00DC5F0A"/>
    <w:rsid w:val="00DC6348"/>
    <w:rsid w:val="00DC6447"/>
    <w:rsid w:val="00DC6D0D"/>
    <w:rsid w:val="00DC6F43"/>
    <w:rsid w:val="00DC7686"/>
    <w:rsid w:val="00DD06D7"/>
    <w:rsid w:val="00DD086B"/>
    <w:rsid w:val="00DD0C80"/>
    <w:rsid w:val="00DD1091"/>
    <w:rsid w:val="00DD145B"/>
    <w:rsid w:val="00DD1ACD"/>
    <w:rsid w:val="00DD2409"/>
    <w:rsid w:val="00DD2798"/>
    <w:rsid w:val="00DD2A6B"/>
    <w:rsid w:val="00DD2DB6"/>
    <w:rsid w:val="00DD2FB3"/>
    <w:rsid w:val="00DD3217"/>
    <w:rsid w:val="00DD3A79"/>
    <w:rsid w:val="00DD4174"/>
    <w:rsid w:val="00DD418A"/>
    <w:rsid w:val="00DD452E"/>
    <w:rsid w:val="00DD45CC"/>
    <w:rsid w:val="00DD4929"/>
    <w:rsid w:val="00DD4EA1"/>
    <w:rsid w:val="00DD5A5B"/>
    <w:rsid w:val="00DD6998"/>
    <w:rsid w:val="00DD720F"/>
    <w:rsid w:val="00DD7217"/>
    <w:rsid w:val="00DD7C32"/>
    <w:rsid w:val="00DD7D9D"/>
    <w:rsid w:val="00DE00A7"/>
    <w:rsid w:val="00DE0A7D"/>
    <w:rsid w:val="00DE0DC9"/>
    <w:rsid w:val="00DE12EF"/>
    <w:rsid w:val="00DE19AA"/>
    <w:rsid w:val="00DE1BFE"/>
    <w:rsid w:val="00DE2156"/>
    <w:rsid w:val="00DE367F"/>
    <w:rsid w:val="00DE3E2A"/>
    <w:rsid w:val="00DE4014"/>
    <w:rsid w:val="00DE4973"/>
    <w:rsid w:val="00DE4F7F"/>
    <w:rsid w:val="00DE53D0"/>
    <w:rsid w:val="00DE5469"/>
    <w:rsid w:val="00DE54CA"/>
    <w:rsid w:val="00DE5D83"/>
    <w:rsid w:val="00DE5E44"/>
    <w:rsid w:val="00DE6EC6"/>
    <w:rsid w:val="00DE704F"/>
    <w:rsid w:val="00DE7DBA"/>
    <w:rsid w:val="00DE7FB5"/>
    <w:rsid w:val="00DF02A0"/>
    <w:rsid w:val="00DF04DF"/>
    <w:rsid w:val="00DF0953"/>
    <w:rsid w:val="00DF1273"/>
    <w:rsid w:val="00DF322D"/>
    <w:rsid w:val="00DF354D"/>
    <w:rsid w:val="00DF3B05"/>
    <w:rsid w:val="00DF44BC"/>
    <w:rsid w:val="00DF46D2"/>
    <w:rsid w:val="00DF46F0"/>
    <w:rsid w:val="00DF4D9D"/>
    <w:rsid w:val="00DF4F63"/>
    <w:rsid w:val="00DF5209"/>
    <w:rsid w:val="00DF5300"/>
    <w:rsid w:val="00DF6443"/>
    <w:rsid w:val="00DF649D"/>
    <w:rsid w:val="00DF64D4"/>
    <w:rsid w:val="00DF6D56"/>
    <w:rsid w:val="00E00733"/>
    <w:rsid w:val="00E00948"/>
    <w:rsid w:val="00E00C13"/>
    <w:rsid w:val="00E00C41"/>
    <w:rsid w:val="00E00C46"/>
    <w:rsid w:val="00E01D40"/>
    <w:rsid w:val="00E024F6"/>
    <w:rsid w:val="00E0287E"/>
    <w:rsid w:val="00E02D84"/>
    <w:rsid w:val="00E037FD"/>
    <w:rsid w:val="00E040AB"/>
    <w:rsid w:val="00E04271"/>
    <w:rsid w:val="00E04F0C"/>
    <w:rsid w:val="00E04F96"/>
    <w:rsid w:val="00E053BA"/>
    <w:rsid w:val="00E05420"/>
    <w:rsid w:val="00E0562D"/>
    <w:rsid w:val="00E05C05"/>
    <w:rsid w:val="00E0606D"/>
    <w:rsid w:val="00E06510"/>
    <w:rsid w:val="00E0676D"/>
    <w:rsid w:val="00E06FE5"/>
    <w:rsid w:val="00E072B0"/>
    <w:rsid w:val="00E07619"/>
    <w:rsid w:val="00E07C90"/>
    <w:rsid w:val="00E111E7"/>
    <w:rsid w:val="00E111F8"/>
    <w:rsid w:val="00E11DB5"/>
    <w:rsid w:val="00E12041"/>
    <w:rsid w:val="00E12618"/>
    <w:rsid w:val="00E1288F"/>
    <w:rsid w:val="00E128D7"/>
    <w:rsid w:val="00E129DF"/>
    <w:rsid w:val="00E12B5D"/>
    <w:rsid w:val="00E12C2E"/>
    <w:rsid w:val="00E13435"/>
    <w:rsid w:val="00E13A9C"/>
    <w:rsid w:val="00E13F23"/>
    <w:rsid w:val="00E143D4"/>
    <w:rsid w:val="00E14773"/>
    <w:rsid w:val="00E14E75"/>
    <w:rsid w:val="00E14EC6"/>
    <w:rsid w:val="00E1521D"/>
    <w:rsid w:val="00E154D2"/>
    <w:rsid w:val="00E155E5"/>
    <w:rsid w:val="00E16633"/>
    <w:rsid w:val="00E16C08"/>
    <w:rsid w:val="00E16E19"/>
    <w:rsid w:val="00E1752F"/>
    <w:rsid w:val="00E1769F"/>
    <w:rsid w:val="00E17930"/>
    <w:rsid w:val="00E20164"/>
    <w:rsid w:val="00E2136F"/>
    <w:rsid w:val="00E21AA6"/>
    <w:rsid w:val="00E223DC"/>
    <w:rsid w:val="00E2304B"/>
    <w:rsid w:val="00E2320D"/>
    <w:rsid w:val="00E23447"/>
    <w:rsid w:val="00E23F6C"/>
    <w:rsid w:val="00E23FBF"/>
    <w:rsid w:val="00E24712"/>
    <w:rsid w:val="00E24A35"/>
    <w:rsid w:val="00E24B3E"/>
    <w:rsid w:val="00E24B61"/>
    <w:rsid w:val="00E24E2E"/>
    <w:rsid w:val="00E2523E"/>
    <w:rsid w:val="00E25549"/>
    <w:rsid w:val="00E2575D"/>
    <w:rsid w:val="00E25CC3"/>
    <w:rsid w:val="00E25ECA"/>
    <w:rsid w:val="00E264B9"/>
    <w:rsid w:val="00E26859"/>
    <w:rsid w:val="00E26DB9"/>
    <w:rsid w:val="00E26E41"/>
    <w:rsid w:val="00E26EF2"/>
    <w:rsid w:val="00E27441"/>
    <w:rsid w:val="00E274C1"/>
    <w:rsid w:val="00E277E0"/>
    <w:rsid w:val="00E30920"/>
    <w:rsid w:val="00E309C7"/>
    <w:rsid w:val="00E30A90"/>
    <w:rsid w:val="00E30D47"/>
    <w:rsid w:val="00E30F4F"/>
    <w:rsid w:val="00E31008"/>
    <w:rsid w:val="00E31068"/>
    <w:rsid w:val="00E3123A"/>
    <w:rsid w:val="00E312E5"/>
    <w:rsid w:val="00E31699"/>
    <w:rsid w:val="00E31B79"/>
    <w:rsid w:val="00E31CB7"/>
    <w:rsid w:val="00E32715"/>
    <w:rsid w:val="00E32844"/>
    <w:rsid w:val="00E32C72"/>
    <w:rsid w:val="00E32D36"/>
    <w:rsid w:val="00E32E13"/>
    <w:rsid w:val="00E32E22"/>
    <w:rsid w:val="00E334B8"/>
    <w:rsid w:val="00E33C3F"/>
    <w:rsid w:val="00E33C76"/>
    <w:rsid w:val="00E34523"/>
    <w:rsid w:val="00E35105"/>
    <w:rsid w:val="00E3511E"/>
    <w:rsid w:val="00E35FC8"/>
    <w:rsid w:val="00E36754"/>
    <w:rsid w:val="00E36F8A"/>
    <w:rsid w:val="00E37394"/>
    <w:rsid w:val="00E37482"/>
    <w:rsid w:val="00E37A6A"/>
    <w:rsid w:val="00E37CC3"/>
    <w:rsid w:val="00E40479"/>
    <w:rsid w:val="00E405ED"/>
    <w:rsid w:val="00E408F2"/>
    <w:rsid w:val="00E40A1D"/>
    <w:rsid w:val="00E40B38"/>
    <w:rsid w:val="00E40FB5"/>
    <w:rsid w:val="00E41884"/>
    <w:rsid w:val="00E4192C"/>
    <w:rsid w:val="00E41DF6"/>
    <w:rsid w:val="00E420CB"/>
    <w:rsid w:val="00E4281D"/>
    <w:rsid w:val="00E42BB9"/>
    <w:rsid w:val="00E42FB9"/>
    <w:rsid w:val="00E44142"/>
    <w:rsid w:val="00E44577"/>
    <w:rsid w:val="00E446FD"/>
    <w:rsid w:val="00E451B6"/>
    <w:rsid w:val="00E454AD"/>
    <w:rsid w:val="00E455C8"/>
    <w:rsid w:val="00E458B2"/>
    <w:rsid w:val="00E46089"/>
    <w:rsid w:val="00E4671A"/>
    <w:rsid w:val="00E47016"/>
    <w:rsid w:val="00E474DE"/>
    <w:rsid w:val="00E47920"/>
    <w:rsid w:val="00E5019C"/>
    <w:rsid w:val="00E51311"/>
    <w:rsid w:val="00E51D11"/>
    <w:rsid w:val="00E52056"/>
    <w:rsid w:val="00E52222"/>
    <w:rsid w:val="00E522E3"/>
    <w:rsid w:val="00E52725"/>
    <w:rsid w:val="00E52841"/>
    <w:rsid w:val="00E52FF6"/>
    <w:rsid w:val="00E530E1"/>
    <w:rsid w:val="00E532BD"/>
    <w:rsid w:val="00E53412"/>
    <w:rsid w:val="00E53D9D"/>
    <w:rsid w:val="00E53F98"/>
    <w:rsid w:val="00E54446"/>
    <w:rsid w:val="00E54704"/>
    <w:rsid w:val="00E55623"/>
    <w:rsid w:val="00E55753"/>
    <w:rsid w:val="00E55CB7"/>
    <w:rsid w:val="00E55DC8"/>
    <w:rsid w:val="00E56479"/>
    <w:rsid w:val="00E567C7"/>
    <w:rsid w:val="00E56821"/>
    <w:rsid w:val="00E569DE"/>
    <w:rsid w:val="00E56F73"/>
    <w:rsid w:val="00E57111"/>
    <w:rsid w:val="00E574A7"/>
    <w:rsid w:val="00E577CB"/>
    <w:rsid w:val="00E57BEF"/>
    <w:rsid w:val="00E6019E"/>
    <w:rsid w:val="00E603AF"/>
    <w:rsid w:val="00E604FA"/>
    <w:rsid w:val="00E60FAB"/>
    <w:rsid w:val="00E6133F"/>
    <w:rsid w:val="00E615BD"/>
    <w:rsid w:val="00E61F48"/>
    <w:rsid w:val="00E62433"/>
    <w:rsid w:val="00E625AF"/>
    <w:rsid w:val="00E62A1B"/>
    <w:rsid w:val="00E62A47"/>
    <w:rsid w:val="00E62B98"/>
    <w:rsid w:val="00E62C01"/>
    <w:rsid w:val="00E62F16"/>
    <w:rsid w:val="00E631E5"/>
    <w:rsid w:val="00E6329E"/>
    <w:rsid w:val="00E6390E"/>
    <w:rsid w:val="00E63980"/>
    <w:rsid w:val="00E63D56"/>
    <w:rsid w:val="00E64FA9"/>
    <w:rsid w:val="00E65018"/>
    <w:rsid w:val="00E65948"/>
    <w:rsid w:val="00E659F9"/>
    <w:rsid w:val="00E664A4"/>
    <w:rsid w:val="00E66BBD"/>
    <w:rsid w:val="00E66CF4"/>
    <w:rsid w:val="00E66EAB"/>
    <w:rsid w:val="00E670E6"/>
    <w:rsid w:val="00E67339"/>
    <w:rsid w:val="00E6734C"/>
    <w:rsid w:val="00E67560"/>
    <w:rsid w:val="00E67B4D"/>
    <w:rsid w:val="00E67B50"/>
    <w:rsid w:val="00E67EF0"/>
    <w:rsid w:val="00E705EE"/>
    <w:rsid w:val="00E70B72"/>
    <w:rsid w:val="00E70E52"/>
    <w:rsid w:val="00E70FDA"/>
    <w:rsid w:val="00E7132D"/>
    <w:rsid w:val="00E713BF"/>
    <w:rsid w:val="00E71F04"/>
    <w:rsid w:val="00E721F6"/>
    <w:rsid w:val="00E722A2"/>
    <w:rsid w:val="00E729B9"/>
    <w:rsid w:val="00E72A0F"/>
    <w:rsid w:val="00E730FA"/>
    <w:rsid w:val="00E730FF"/>
    <w:rsid w:val="00E742E4"/>
    <w:rsid w:val="00E746A4"/>
    <w:rsid w:val="00E74A37"/>
    <w:rsid w:val="00E74F8A"/>
    <w:rsid w:val="00E752A9"/>
    <w:rsid w:val="00E75529"/>
    <w:rsid w:val="00E75D96"/>
    <w:rsid w:val="00E75DC3"/>
    <w:rsid w:val="00E76B6E"/>
    <w:rsid w:val="00E76D6E"/>
    <w:rsid w:val="00E76DCC"/>
    <w:rsid w:val="00E7757E"/>
    <w:rsid w:val="00E7789E"/>
    <w:rsid w:val="00E77A75"/>
    <w:rsid w:val="00E77B23"/>
    <w:rsid w:val="00E77B96"/>
    <w:rsid w:val="00E77D56"/>
    <w:rsid w:val="00E80364"/>
    <w:rsid w:val="00E80511"/>
    <w:rsid w:val="00E80C27"/>
    <w:rsid w:val="00E8108F"/>
    <w:rsid w:val="00E81C1A"/>
    <w:rsid w:val="00E81C1F"/>
    <w:rsid w:val="00E822F5"/>
    <w:rsid w:val="00E82AA4"/>
    <w:rsid w:val="00E82F03"/>
    <w:rsid w:val="00E832CF"/>
    <w:rsid w:val="00E83C04"/>
    <w:rsid w:val="00E83F2F"/>
    <w:rsid w:val="00E843F7"/>
    <w:rsid w:val="00E846F7"/>
    <w:rsid w:val="00E84FD5"/>
    <w:rsid w:val="00E850D4"/>
    <w:rsid w:val="00E8551B"/>
    <w:rsid w:val="00E85DE8"/>
    <w:rsid w:val="00E86E7A"/>
    <w:rsid w:val="00E87263"/>
    <w:rsid w:val="00E878A3"/>
    <w:rsid w:val="00E900A4"/>
    <w:rsid w:val="00E902E8"/>
    <w:rsid w:val="00E9033D"/>
    <w:rsid w:val="00E9041B"/>
    <w:rsid w:val="00E9076C"/>
    <w:rsid w:val="00E90F41"/>
    <w:rsid w:val="00E91398"/>
    <w:rsid w:val="00E9159F"/>
    <w:rsid w:val="00E91768"/>
    <w:rsid w:val="00E91897"/>
    <w:rsid w:val="00E91BF4"/>
    <w:rsid w:val="00E91E02"/>
    <w:rsid w:val="00E92398"/>
    <w:rsid w:val="00E924C1"/>
    <w:rsid w:val="00E92777"/>
    <w:rsid w:val="00E92CBF"/>
    <w:rsid w:val="00E92E0A"/>
    <w:rsid w:val="00E935F5"/>
    <w:rsid w:val="00E9381C"/>
    <w:rsid w:val="00E93CFD"/>
    <w:rsid w:val="00E94584"/>
    <w:rsid w:val="00E94D45"/>
    <w:rsid w:val="00E94EC8"/>
    <w:rsid w:val="00E95C26"/>
    <w:rsid w:val="00E95CEA"/>
    <w:rsid w:val="00E962EC"/>
    <w:rsid w:val="00E963CD"/>
    <w:rsid w:val="00E967F1"/>
    <w:rsid w:val="00E976D8"/>
    <w:rsid w:val="00E97FE2"/>
    <w:rsid w:val="00EA08E8"/>
    <w:rsid w:val="00EA0F7E"/>
    <w:rsid w:val="00EA13BF"/>
    <w:rsid w:val="00EA1457"/>
    <w:rsid w:val="00EA1903"/>
    <w:rsid w:val="00EA19A5"/>
    <w:rsid w:val="00EA1A5A"/>
    <w:rsid w:val="00EA1B3C"/>
    <w:rsid w:val="00EA24AE"/>
    <w:rsid w:val="00EA258D"/>
    <w:rsid w:val="00EA2FC0"/>
    <w:rsid w:val="00EA3085"/>
    <w:rsid w:val="00EA3446"/>
    <w:rsid w:val="00EA3CD8"/>
    <w:rsid w:val="00EA3F5C"/>
    <w:rsid w:val="00EA4397"/>
    <w:rsid w:val="00EA4816"/>
    <w:rsid w:val="00EA48E1"/>
    <w:rsid w:val="00EA499D"/>
    <w:rsid w:val="00EA4E8E"/>
    <w:rsid w:val="00EA4F02"/>
    <w:rsid w:val="00EA4FFF"/>
    <w:rsid w:val="00EA53F7"/>
    <w:rsid w:val="00EA54AD"/>
    <w:rsid w:val="00EA58A0"/>
    <w:rsid w:val="00EA5AE3"/>
    <w:rsid w:val="00EA5C8C"/>
    <w:rsid w:val="00EA5ECB"/>
    <w:rsid w:val="00EA5F70"/>
    <w:rsid w:val="00EA62F8"/>
    <w:rsid w:val="00EA6B56"/>
    <w:rsid w:val="00EA6D49"/>
    <w:rsid w:val="00EA7D0C"/>
    <w:rsid w:val="00EA7F0B"/>
    <w:rsid w:val="00EB0CCF"/>
    <w:rsid w:val="00EB0DA5"/>
    <w:rsid w:val="00EB0DAE"/>
    <w:rsid w:val="00EB114C"/>
    <w:rsid w:val="00EB1720"/>
    <w:rsid w:val="00EB18C0"/>
    <w:rsid w:val="00EB1B2E"/>
    <w:rsid w:val="00EB20F4"/>
    <w:rsid w:val="00EB2447"/>
    <w:rsid w:val="00EB2490"/>
    <w:rsid w:val="00EB2737"/>
    <w:rsid w:val="00EB2952"/>
    <w:rsid w:val="00EB3F05"/>
    <w:rsid w:val="00EB4207"/>
    <w:rsid w:val="00EB506D"/>
    <w:rsid w:val="00EB53CC"/>
    <w:rsid w:val="00EB56C4"/>
    <w:rsid w:val="00EB5955"/>
    <w:rsid w:val="00EB626F"/>
    <w:rsid w:val="00EB6662"/>
    <w:rsid w:val="00EB6903"/>
    <w:rsid w:val="00EB6B3E"/>
    <w:rsid w:val="00EB6E71"/>
    <w:rsid w:val="00EB7749"/>
    <w:rsid w:val="00EC05E1"/>
    <w:rsid w:val="00EC07BA"/>
    <w:rsid w:val="00EC08E4"/>
    <w:rsid w:val="00EC1186"/>
    <w:rsid w:val="00EC184E"/>
    <w:rsid w:val="00EC1D37"/>
    <w:rsid w:val="00EC23D8"/>
    <w:rsid w:val="00EC25BB"/>
    <w:rsid w:val="00EC2FAC"/>
    <w:rsid w:val="00EC3785"/>
    <w:rsid w:val="00EC3B2D"/>
    <w:rsid w:val="00EC3E5A"/>
    <w:rsid w:val="00EC453E"/>
    <w:rsid w:val="00EC458A"/>
    <w:rsid w:val="00EC4DE4"/>
    <w:rsid w:val="00EC51A1"/>
    <w:rsid w:val="00EC531B"/>
    <w:rsid w:val="00EC6178"/>
    <w:rsid w:val="00EC6288"/>
    <w:rsid w:val="00EC6320"/>
    <w:rsid w:val="00EC65DD"/>
    <w:rsid w:val="00EC6A56"/>
    <w:rsid w:val="00EC7166"/>
    <w:rsid w:val="00EC75D3"/>
    <w:rsid w:val="00EC7E78"/>
    <w:rsid w:val="00ED06AD"/>
    <w:rsid w:val="00ED0BED"/>
    <w:rsid w:val="00ED1232"/>
    <w:rsid w:val="00ED1A7F"/>
    <w:rsid w:val="00ED1C5D"/>
    <w:rsid w:val="00ED20BB"/>
    <w:rsid w:val="00ED22C5"/>
    <w:rsid w:val="00ED307B"/>
    <w:rsid w:val="00ED3503"/>
    <w:rsid w:val="00ED40E1"/>
    <w:rsid w:val="00ED4A2E"/>
    <w:rsid w:val="00ED4DFC"/>
    <w:rsid w:val="00ED4E42"/>
    <w:rsid w:val="00ED54D7"/>
    <w:rsid w:val="00ED5E54"/>
    <w:rsid w:val="00ED69D8"/>
    <w:rsid w:val="00ED6CFE"/>
    <w:rsid w:val="00ED7786"/>
    <w:rsid w:val="00ED7EA9"/>
    <w:rsid w:val="00EE00E5"/>
    <w:rsid w:val="00EE014A"/>
    <w:rsid w:val="00EE0B31"/>
    <w:rsid w:val="00EE1E9C"/>
    <w:rsid w:val="00EE200B"/>
    <w:rsid w:val="00EE2083"/>
    <w:rsid w:val="00EE20A8"/>
    <w:rsid w:val="00EE23BC"/>
    <w:rsid w:val="00EE25D9"/>
    <w:rsid w:val="00EE2876"/>
    <w:rsid w:val="00EE36D8"/>
    <w:rsid w:val="00EE37BA"/>
    <w:rsid w:val="00EE3E87"/>
    <w:rsid w:val="00EE433B"/>
    <w:rsid w:val="00EE434D"/>
    <w:rsid w:val="00EE46D0"/>
    <w:rsid w:val="00EE476D"/>
    <w:rsid w:val="00EE49A6"/>
    <w:rsid w:val="00EE4C73"/>
    <w:rsid w:val="00EE4F2E"/>
    <w:rsid w:val="00EE5562"/>
    <w:rsid w:val="00EE59FC"/>
    <w:rsid w:val="00EE5ACC"/>
    <w:rsid w:val="00EE5C23"/>
    <w:rsid w:val="00EE6462"/>
    <w:rsid w:val="00EE67FE"/>
    <w:rsid w:val="00EE6BDD"/>
    <w:rsid w:val="00EE703E"/>
    <w:rsid w:val="00EE7105"/>
    <w:rsid w:val="00EE76F0"/>
    <w:rsid w:val="00EE795F"/>
    <w:rsid w:val="00EE7B1C"/>
    <w:rsid w:val="00EF02BD"/>
    <w:rsid w:val="00EF0965"/>
    <w:rsid w:val="00EF0986"/>
    <w:rsid w:val="00EF1350"/>
    <w:rsid w:val="00EF13A5"/>
    <w:rsid w:val="00EF17B9"/>
    <w:rsid w:val="00EF1EB9"/>
    <w:rsid w:val="00EF2028"/>
    <w:rsid w:val="00EF274D"/>
    <w:rsid w:val="00EF2A0D"/>
    <w:rsid w:val="00EF3436"/>
    <w:rsid w:val="00EF34F6"/>
    <w:rsid w:val="00EF355D"/>
    <w:rsid w:val="00EF3725"/>
    <w:rsid w:val="00EF37B5"/>
    <w:rsid w:val="00EF388A"/>
    <w:rsid w:val="00EF3B9C"/>
    <w:rsid w:val="00EF3CFD"/>
    <w:rsid w:val="00EF3D14"/>
    <w:rsid w:val="00EF3EEE"/>
    <w:rsid w:val="00EF3F88"/>
    <w:rsid w:val="00EF499A"/>
    <w:rsid w:val="00EF4E97"/>
    <w:rsid w:val="00EF61FC"/>
    <w:rsid w:val="00EF7388"/>
    <w:rsid w:val="00EF75A6"/>
    <w:rsid w:val="00EF76F8"/>
    <w:rsid w:val="00EF795C"/>
    <w:rsid w:val="00EF7C48"/>
    <w:rsid w:val="00F00315"/>
    <w:rsid w:val="00F0045E"/>
    <w:rsid w:val="00F006D2"/>
    <w:rsid w:val="00F00724"/>
    <w:rsid w:val="00F00774"/>
    <w:rsid w:val="00F0081B"/>
    <w:rsid w:val="00F00A70"/>
    <w:rsid w:val="00F00B7A"/>
    <w:rsid w:val="00F01298"/>
    <w:rsid w:val="00F012A0"/>
    <w:rsid w:val="00F01968"/>
    <w:rsid w:val="00F01B3E"/>
    <w:rsid w:val="00F01F95"/>
    <w:rsid w:val="00F0256E"/>
    <w:rsid w:val="00F030DD"/>
    <w:rsid w:val="00F03408"/>
    <w:rsid w:val="00F03681"/>
    <w:rsid w:val="00F03E2F"/>
    <w:rsid w:val="00F04555"/>
    <w:rsid w:val="00F0481B"/>
    <w:rsid w:val="00F04D9B"/>
    <w:rsid w:val="00F05533"/>
    <w:rsid w:val="00F0588E"/>
    <w:rsid w:val="00F05AB2"/>
    <w:rsid w:val="00F05AB5"/>
    <w:rsid w:val="00F05BC9"/>
    <w:rsid w:val="00F0608B"/>
    <w:rsid w:val="00F0659C"/>
    <w:rsid w:val="00F065FA"/>
    <w:rsid w:val="00F06776"/>
    <w:rsid w:val="00F06CDD"/>
    <w:rsid w:val="00F06D5D"/>
    <w:rsid w:val="00F10A31"/>
    <w:rsid w:val="00F1139F"/>
    <w:rsid w:val="00F116E1"/>
    <w:rsid w:val="00F11AA5"/>
    <w:rsid w:val="00F11E55"/>
    <w:rsid w:val="00F1210C"/>
    <w:rsid w:val="00F128DE"/>
    <w:rsid w:val="00F12AF2"/>
    <w:rsid w:val="00F12B5D"/>
    <w:rsid w:val="00F12DF4"/>
    <w:rsid w:val="00F13400"/>
    <w:rsid w:val="00F13708"/>
    <w:rsid w:val="00F1411B"/>
    <w:rsid w:val="00F148AE"/>
    <w:rsid w:val="00F149A9"/>
    <w:rsid w:val="00F14C07"/>
    <w:rsid w:val="00F14C0C"/>
    <w:rsid w:val="00F14CD6"/>
    <w:rsid w:val="00F14CF7"/>
    <w:rsid w:val="00F14EB1"/>
    <w:rsid w:val="00F154D7"/>
    <w:rsid w:val="00F1585C"/>
    <w:rsid w:val="00F15FFE"/>
    <w:rsid w:val="00F16901"/>
    <w:rsid w:val="00F16B69"/>
    <w:rsid w:val="00F16FA4"/>
    <w:rsid w:val="00F170D8"/>
    <w:rsid w:val="00F17267"/>
    <w:rsid w:val="00F211C9"/>
    <w:rsid w:val="00F21448"/>
    <w:rsid w:val="00F215D1"/>
    <w:rsid w:val="00F2210C"/>
    <w:rsid w:val="00F22F2A"/>
    <w:rsid w:val="00F231FB"/>
    <w:rsid w:val="00F2407D"/>
    <w:rsid w:val="00F243C4"/>
    <w:rsid w:val="00F243FF"/>
    <w:rsid w:val="00F24FF2"/>
    <w:rsid w:val="00F2515E"/>
    <w:rsid w:val="00F25199"/>
    <w:rsid w:val="00F251C3"/>
    <w:rsid w:val="00F254D8"/>
    <w:rsid w:val="00F25953"/>
    <w:rsid w:val="00F25CD3"/>
    <w:rsid w:val="00F26A46"/>
    <w:rsid w:val="00F26F86"/>
    <w:rsid w:val="00F2780A"/>
    <w:rsid w:val="00F304A4"/>
    <w:rsid w:val="00F30B28"/>
    <w:rsid w:val="00F314EF"/>
    <w:rsid w:val="00F3167E"/>
    <w:rsid w:val="00F320E3"/>
    <w:rsid w:val="00F3265E"/>
    <w:rsid w:val="00F332B2"/>
    <w:rsid w:val="00F33C57"/>
    <w:rsid w:val="00F33DD2"/>
    <w:rsid w:val="00F33E94"/>
    <w:rsid w:val="00F33F0D"/>
    <w:rsid w:val="00F34D2E"/>
    <w:rsid w:val="00F352BD"/>
    <w:rsid w:val="00F357B7"/>
    <w:rsid w:val="00F3589E"/>
    <w:rsid w:val="00F35DAE"/>
    <w:rsid w:val="00F35E2B"/>
    <w:rsid w:val="00F368F2"/>
    <w:rsid w:val="00F36FB5"/>
    <w:rsid w:val="00F3715D"/>
    <w:rsid w:val="00F374F7"/>
    <w:rsid w:val="00F37A09"/>
    <w:rsid w:val="00F404BF"/>
    <w:rsid w:val="00F404D3"/>
    <w:rsid w:val="00F405B4"/>
    <w:rsid w:val="00F40EB5"/>
    <w:rsid w:val="00F40F31"/>
    <w:rsid w:val="00F41380"/>
    <w:rsid w:val="00F41421"/>
    <w:rsid w:val="00F4174A"/>
    <w:rsid w:val="00F41886"/>
    <w:rsid w:val="00F419C3"/>
    <w:rsid w:val="00F41A80"/>
    <w:rsid w:val="00F41C4B"/>
    <w:rsid w:val="00F42207"/>
    <w:rsid w:val="00F42798"/>
    <w:rsid w:val="00F4311B"/>
    <w:rsid w:val="00F43206"/>
    <w:rsid w:val="00F4322A"/>
    <w:rsid w:val="00F4343F"/>
    <w:rsid w:val="00F435B6"/>
    <w:rsid w:val="00F43849"/>
    <w:rsid w:val="00F4392C"/>
    <w:rsid w:val="00F4452C"/>
    <w:rsid w:val="00F448F9"/>
    <w:rsid w:val="00F44EC7"/>
    <w:rsid w:val="00F452E7"/>
    <w:rsid w:val="00F45E3F"/>
    <w:rsid w:val="00F4670C"/>
    <w:rsid w:val="00F467C0"/>
    <w:rsid w:val="00F47C6B"/>
    <w:rsid w:val="00F5002C"/>
    <w:rsid w:val="00F503D2"/>
    <w:rsid w:val="00F505AC"/>
    <w:rsid w:val="00F50603"/>
    <w:rsid w:val="00F50C03"/>
    <w:rsid w:val="00F50E6A"/>
    <w:rsid w:val="00F50F47"/>
    <w:rsid w:val="00F5154E"/>
    <w:rsid w:val="00F51899"/>
    <w:rsid w:val="00F51E43"/>
    <w:rsid w:val="00F51F74"/>
    <w:rsid w:val="00F52068"/>
    <w:rsid w:val="00F523D3"/>
    <w:rsid w:val="00F5253A"/>
    <w:rsid w:val="00F5325B"/>
    <w:rsid w:val="00F53585"/>
    <w:rsid w:val="00F53AF0"/>
    <w:rsid w:val="00F53C00"/>
    <w:rsid w:val="00F544DD"/>
    <w:rsid w:val="00F552F9"/>
    <w:rsid w:val="00F55337"/>
    <w:rsid w:val="00F55BB0"/>
    <w:rsid w:val="00F55F0A"/>
    <w:rsid w:val="00F560C8"/>
    <w:rsid w:val="00F562DF"/>
    <w:rsid w:val="00F5636E"/>
    <w:rsid w:val="00F5652C"/>
    <w:rsid w:val="00F568F6"/>
    <w:rsid w:val="00F56BEF"/>
    <w:rsid w:val="00F57843"/>
    <w:rsid w:val="00F578D7"/>
    <w:rsid w:val="00F57C49"/>
    <w:rsid w:val="00F57D6B"/>
    <w:rsid w:val="00F608A9"/>
    <w:rsid w:val="00F609BF"/>
    <w:rsid w:val="00F60A98"/>
    <w:rsid w:val="00F618C5"/>
    <w:rsid w:val="00F619E0"/>
    <w:rsid w:val="00F61A38"/>
    <w:rsid w:val="00F61B4D"/>
    <w:rsid w:val="00F61B54"/>
    <w:rsid w:val="00F622E5"/>
    <w:rsid w:val="00F626FF"/>
    <w:rsid w:val="00F62A13"/>
    <w:rsid w:val="00F63036"/>
    <w:rsid w:val="00F6380C"/>
    <w:rsid w:val="00F63E23"/>
    <w:rsid w:val="00F64675"/>
    <w:rsid w:val="00F647C8"/>
    <w:rsid w:val="00F64E0F"/>
    <w:rsid w:val="00F65102"/>
    <w:rsid w:val="00F652AD"/>
    <w:rsid w:val="00F652B8"/>
    <w:rsid w:val="00F65D31"/>
    <w:rsid w:val="00F666A7"/>
    <w:rsid w:val="00F66A2E"/>
    <w:rsid w:val="00F66D0C"/>
    <w:rsid w:val="00F66D58"/>
    <w:rsid w:val="00F67F09"/>
    <w:rsid w:val="00F706A0"/>
    <w:rsid w:val="00F709F5"/>
    <w:rsid w:val="00F717BF"/>
    <w:rsid w:val="00F717CC"/>
    <w:rsid w:val="00F720A0"/>
    <w:rsid w:val="00F720B7"/>
    <w:rsid w:val="00F72139"/>
    <w:rsid w:val="00F724F5"/>
    <w:rsid w:val="00F726D4"/>
    <w:rsid w:val="00F72F11"/>
    <w:rsid w:val="00F72F51"/>
    <w:rsid w:val="00F733A2"/>
    <w:rsid w:val="00F73999"/>
    <w:rsid w:val="00F73AB3"/>
    <w:rsid w:val="00F73AB7"/>
    <w:rsid w:val="00F7566A"/>
    <w:rsid w:val="00F76268"/>
    <w:rsid w:val="00F76CF3"/>
    <w:rsid w:val="00F76CF4"/>
    <w:rsid w:val="00F76DA3"/>
    <w:rsid w:val="00F7718B"/>
    <w:rsid w:val="00F77BCA"/>
    <w:rsid w:val="00F80519"/>
    <w:rsid w:val="00F805CA"/>
    <w:rsid w:val="00F807A4"/>
    <w:rsid w:val="00F8099E"/>
    <w:rsid w:val="00F809ED"/>
    <w:rsid w:val="00F80DD8"/>
    <w:rsid w:val="00F81914"/>
    <w:rsid w:val="00F81B7D"/>
    <w:rsid w:val="00F8215F"/>
    <w:rsid w:val="00F824D5"/>
    <w:rsid w:val="00F82628"/>
    <w:rsid w:val="00F82BC6"/>
    <w:rsid w:val="00F82D8E"/>
    <w:rsid w:val="00F8321D"/>
    <w:rsid w:val="00F83461"/>
    <w:rsid w:val="00F83883"/>
    <w:rsid w:val="00F83F7C"/>
    <w:rsid w:val="00F84162"/>
    <w:rsid w:val="00F8457A"/>
    <w:rsid w:val="00F85156"/>
    <w:rsid w:val="00F85165"/>
    <w:rsid w:val="00F8517B"/>
    <w:rsid w:val="00F853BE"/>
    <w:rsid w:val="00F8675D"/>
    <w:rsid w:val="00F86E2D"/>
    <w:rsid w:val="00F870B7"/>
    <w:rsid w:val="00F875EE"/>
    <w:rsid w:val="00F87B71"/>
    <w:rsid w:val="00F87EB0"/>
    <w:rsid w:val="00F9052C"/>
    <w:rsid w:val="00F90EBF"/>
    <w:rsid w:val="00F9135D"/>
    <w:rsid w:val="00F915BE"/>
    <w:rsid w:val="00F9176D"/>
    <w:rsid w:val="00F91AD8"/>
    <w:rsid w:val="00F91B71"/>
    <w:rsid w:val="00F91BA8"/>
    <w:rsid w:val="00F9207A"/>
    <w:rsid w:val="00F920DB"/>
    <w:rsid w:val="00F922F2"/>
    <w:rsid w:val="00F9260F"/>
    <w:rsid w:val="00F9308E"/>
    <w:rsid w:val="00F93740"/>
    <w:rsid w:val="00F938D1"/>
    <w:rsid w:val="00F9404B"/>
    <w:rsid w:val="00F9493C"/>
    <w:rsid w:val="00F95091"/>
    <w:rsid w:val="00F95B4E"/>
    <w:rsid w:val="00F95D20"/>
    <w:rsid w:val="00F95E64"/>
    <w:rsid w:val="00F960B8"/>
    <w:rsid w:val="00F9649D"/>
    <w:rsid w:val="00F967C4"/>
    <w:rsid w:val="00F96A46"/>
    <w:rsid w:val="00F96BB8"/>
    <w:rsid w:val="00F97647"/>
    <w:rsid w:val="00F97724"/>
    <w:rsid w:val="00F97A19"/>
    <w:rsid w:val="00FA068B"/>
    <w:rsid w:val="00FA1973"/>
    <w:rsid w:val="00FA1B1B"/>
    <w:rsid w:val="00FA20F0"/>
    <w:rsid w:val="00FA2534"/>
    <w:rsid w:val="00FA25D7"/>
    <w:rsid w:val="00FA2BC2"/>
    <w:rsid w:val="00FA2D57"/>
    <w:rsid w:val="00FA313D"/>
    <w:rsid w:val="00FA37EA"/>
    <w:rsid w:val="00FA381E"/>
    <w:rsid w:val="00FA3DE3"/>
    <w:rsid w:val="00FA3F50"/>
    <w:rsid w:val="00FA46AF"/>
    <w:rsid w:val="00FA4826"/>
    <w:rsid w:val="00FA4A25"/>
    <w:rsid w:val="00FA4C5D"/>
    <w:rsid w:val="00FA52C8"/>
    <w:rsid w:val="00FA54B2"/>
    <w:rsid w:val="00FA5642"/>
    <w:rsid w:val="00FA5812"/>
    <w:rsid w:val="00FA59CD"/>
    <w:rsid w:val="00FA73E4"/>
    <w:rsid w:val="00FA7990"/>
    <w:rsid w:val="00FA79FD"/>
    <w:rsid w:val="00FA7A7E"/>
    <w:rsid w:val="00FA7CB7"/>
    <w:rsid w:val="00FA7E50"/>
    <w:rsid w:val="00FB07FC"/>
    <w:rsid w:val="00FB1180"/>
    <w:rsid w:val="00FB15B5"/>
    <w:rsid w:val="00FB174F"/>
    <w:rsid w:val="00FB1FEB"/>
    <w:rsid w:val="00FB22AB"/>
    <w:rsid w:val="00FB2BD9"/>
    <w:rsid w:val="00FB2C51"/>
    <w:rsid w:val="00FB3935"/>
    <w:rsid w:val="00FB4250"/>
    <w:rsid w:val="00FB440D"/>
    <w:rsid w:val="00FB47E8"/>
    <w:rsid w:val="00FB4E05"/>
    <w:rsid w:val="00FB50F4"/>
    <w:rsid w:val="00FB531B"/>
    <w:rsid w:val="00FB5638"/>
    <w:rsid w:val="00FB59AB"/>
    <w:rsid w:val="00FB5A8D"/>
    <w:rsid w:val="00FB603D"/>
    <w:rsid w:val="00FB6627"/>
    <w:rsid w:val="00FB6721"/>
    <w:rsid w:val="00FB69FF"/>
    <w:rsid w:val="00FB7318"/>
    <w:rsid w:val="00FB77DE"/>
    <w:rsid w:val="00FC0251"/>
    <w:rsid w:val="00FC05D8"/>
    <w:rsid w:val="00FC1102"/>
    <w:rsid w:val="00FC16AD"/>
    <w:rsid w:val="00FC1F94"/>
    <w:rsid w:val="00FC2E23"/>
    <w:rsid w:val="00FC3241"/>
    <w:rsid w:val="00FC374E"/>
    <w:rsid w:val="00FC3BB3"/>
    <w:rsid w:val="00FC3ED9"/>
    <w:rsid w:val="00FC4018"/>
    <w:rsid w:val="00FC48E6"/>
    <w:rsid w:val="00FC501B"/>
    <w:rsid w:val="00FC54D5"/>
    <w:rsid w:val="00FC664D"/>
    <w:rsid w:val="00FC737A"/>
    <w:rsid w:val="00FC7844"/>
    <w:rsid w:val="00FC78E5"/>
    <w:rsid w:val="00FC7EA9"/>
    <w:rsid w:val="00FD0189"/>
    <w:rsid w:val="00FD05FF"/>
    <w:rsid w:val="00FD0A8B"/>
    <w:rsid w:val="00FD0CE5"/>
    <w:rsid w:val="00FD126A"/>
    <w:rsid w:val="00FD14E5"/>
    <w:rsid w:val="00FD1512"/>
    <w:rsid w:val="00FD1AB4"/>
    <w:rsid w:val="00FD1DDF"/>
    <w:rsid w:val="00FD20B7"/>
    <w:rsid w:val="00FD2217"/>
    <w:rsid w:val="00FD28E8"/>
    <w:rsid w:val="00FD30D5"/>
    <w:rsid w:val="00FD3330"/>
    <w:rsid w:val="00FD3355"/>
    <w:rsid w:val="00FD3CF7"/>
    <w:rsid w:val="00FD472A"/>
    <w:rsid w:val="00FD4FCC"/>
    <w:rsid w:val="00FD522F"/>
    <w:rsid w:val="00FD55AE"/>
    <w:rsid w:val="00FD5690"/>
    <w:rsid w:val="00FD5A00"/>
    <w:rsid w:val="00FD5F89"/>
    <w:rsid w:val="00FD620A"/>
    <w:rsid w:val="00FD6307"/>
    <w:rsid w:val="00FD6570"/>
    <w:rsid w:val="00FD66E5"/>
    <w:rsid w:val="00FD6EA4"/>
    <w:rsid w:val="00FD6FCC"/>
    <w:rsid w:val="00FD70CB"/>
    <w:rsid w:val="00FD79A7"/>
    <w:rsid w:val="00FD7DB9"/>
    <w:rsid w:val="00FD7E42"/>
    <w:rsid w:val="00FE0841"/>
    <w:rsid w:val="00FE08FD"/>
    <w:rsid w:val="00FE12A5"/>
    <w:rsid w:val="00FE1352"/>
    <w:rsid w:val="00FE1B58"/>
    <w:rsid w:val="00FE1DFA"/>
    <w:rsid w:val="00FE1EDA"/>
    <w:rsid w:val="00FE1F3B"/>
    <w:rsid w:val="00FE22CB"/>
    <w:rsid w:val="00FE25F1"/>
    <w:rsid w:val="00FE2859"/>
    <w:rsid w:val="00FE2A81"/>
    <w:rsid w:val="00FE2F6A"/>
    <w:rsid w:val="00FE303A"/>
    <w:rsid w:val="00FE324D"/>
    <w:rsid w:val="00FE345D"/>
    <w:rsid w:val="00FE486C"/>
    <w:rsid w:val="00FE4890"/>
    <w:rsid w:val="00FE4E00"/>
    <w:rsid w:val="00FE5194"/>
    <w:rsid w:val="00FE53F2"/>
    <w:rsid w:val="00FE544E"/>
    <w:rsid w:val="00FE5A35"/>
    <w:rsid w:val="00FE5D77"/>
    <w:rsid w:val="00FE64A9"/>
    <w:rsid w:val="00FE66CC"/>
    <w:rsid w:val="00FE6BD7"/>
    <w:rsid w:val="00FE6C8F"/>
    <w:rsid w:val="00FE6E86"/>
    <w:rsid w:val="00FE6F0F"/>
    <w:rsid w:val="00FF0644"/>
    <w:rsid w:val="00FF0776"/>
    <w:rsid w:val="00FF094E"/>
    <w:rsid w:val="00FF0A66"/>
    <w:rsid w:val="00FF1FCE"/>
    <w:rsid w:val="00FF2234"/>
    <w:rsid w:val="00FF290B"/>
    <w:rsid w:val="00FF2B9E"/>
    <w:rsid w:val="00FF320D"/>
    <w:rsid w:val="00FF33BD"/>
    <w:rsid w:val="00FF39CB"/>
    <w:rsid w:val="00FF3B8C"/>
    <w:rsid w:val="00FF3C13"/>
    <w:rsid w:val="00FF3CEA"/>
    <w:rsid w:val="00FF3F18"/>
    <w:rsid w:val="00FF3F6C"/>
    <w:rsid w:val="00FF4169"/>
    <w:rsid w:val="00FF42CC"/>
    <w:rsid w:val="00FF4B56"/>
    <w:rsid w:val="00FF4D79"/>
    <w:rsid w:val="00FF4FD5"/>
    <w:rsid w:val="00FF57C0"/>
    <w:rsid w:val="00FF582B"/>
    <w:rsid w:val="00FF6702"/>
    <w:rsid w:val="00FF6822"/>
    <w:rsid w:val="00FF7188"/>
    <w:rsid w:val="00FF729A"/>
    <w:rsid w:val="00FF72DC"/>
    <w:rsid w:val="00FF750F"/>
    <w:rsid w:val="00FF76DE"/>
    <w:rsid w:val="00FF7785"/>
    <w:rsid w:val="00FF79FE"/>
    <w:rsid w:val="014B5628"/>
    <w:rsid w:val="01F16DA1"/>
    <w:rsid w:val="0333E670"/>
    <w:rsid w:val="041D209C"/>
    <w:rsid w:val="043C57EC"/>
    <w:rsid w:val="04BB11A1"/>
    <w:rsid w:val="058FA7A4"/>
    <w:rsid w:val="06005FEE"/>
    <w:rsid w:val="078BE711"/>
    <w:rsid w:val="07F78205"/>
    <w:rsid w:val="0854CC19"/>
    <w:rsid w:val="09543A32"/>
    <w:rsid w:val="0A4C4ABD"/>
    <w:rsid w:val="0A4FC3FF"/>
    <w:rsid w:val="0B3925A0"/>
    <w:rsid w:val="0B73118C"/>
    <w:rsid w:val="0D8DE997"/>
    <w:rsid w:val="0D8F4292"/>
    <w:rsid w:val="0DEB1C25"/>
    <w:rsid w:val="0E36405D"/>
    <w:rsid w:val="0F54049D"/>
    <w:rsid w:val="0FEBE1A2"/>
    <w:rsid w:val="100FD4F8"/>
    <w:rsid w:val="102748D8"/>
    <w:rsid w:val="1043C596"/>
    <w:rsid w:val="1126EF65"/>
    <w:rsid w:val="118A7D25"/>
    <w:rsid w:val="11953AA7"/>
    <w:rsid w:val="11AA3635"/>
    <w:rsid w:val="11E22C4A"/>
    <w:rsid w:val="11F337C5"/>
    <w:rsid w:val="12747E9C"/>
    <w:rsid w:val="12BE8D48"/>
    <w:rsid w:val="12CBA767"/>
    <w:rsid w:val="12F1B601"/>
    <w:rsid w:val="132442E3"/>
    <w:rsid w:val="1371CC57"/>
    <w:rsid w:val="137294F2"/>
    <w:rsid w:val="13DB5ACD"/>
    <w:rsid w:val="145ED399"/>
    <w:rsid w:val="149E8BF7"/>
    <w:rsid w:val="14D2DB3D"/>
    <w:rsid w:val="14DB3CE6"/>
    <w:rsid w:val="1511856E"/>
    <w:rsid w:val="15181428"/>
    <w:rsid w:val="15AB04A8"/>
    <w:rsid w:val="15DA2B62"/>
    <w:rsid w:val="15F26844"/>
    <w:rsid w:val="15FD60EE"/>
    <w:rsid w:val="162DD8EC"/>
    <w:rsid w:val="1720DF57"/>
    <w:rsid w:val="17E8631C"/>
    <w:rsid w:val="186859BF"/>
    <w:rsid w:val="18743E28"/>
    <w:rsid w:val="187CB7B4"/>
    <w:rsid w:val="190FEA78"/>
    <w:rsid w:val="194B8983"/>
    <w:rsid w:val="194C367B"/>
    <w:rsid w:val="1A5914A4"/>
    <w:rsid w:val="1A83843F"/>
    <w:rsid w:val="1AAC271D"/>
    <w:rsid w:val="1AB06A44"/>
    <w:rsid w:val="1B32D066"/>
    <w:rsid w:val="1B5A43D5"/>
    <w:rsid w:val="1B6359C2"/>
    <w:rsid w:val="1BA1AD39"/>
    <w:rsid w:val="1C068079"/>
    <w:rsid w:val="1C4C4731"/>
    <w:rsid w:val="1CB5B124"/>
    <w:rsid w:val="1CF22A58"/>
    <w:rsid w:val="1CFA6938"/>
    <w:rsid w:val="1D99E2DB"/>
    <w:rsid w:val="1DED22E3"/>
    <w:rsid w:val="1F3DEE6A"/>
    <w:rsid w:val="1FED51E6"/>
    <w:rsid w:val="1FFB7100"/>
    <w:rsid w:val="20381F86"/>
    <w:rsid w:val="2060D9EE"/>
    <w:rsid w:val="211FB854"/>
    <w:rsid w:val="2238F720"/>
    <w:rsid w:val="22E8F60B"/>
    <w:rsid w:val="24F34C19"/>
    <w:rsid w:val="251C9BC1"/>
    <w:rsid w:val="253E6860"/>
    <w:rsid w:val="259608BA"/>
    <w:rsid w:val="25C6C36D"/>
    <w:rsid w:val="264A2EC2"/>
    <w:rsid w:val="270E0195"/>
    <w:rsid w:val="271192AC"/>
    <w:rsid w:val="276293CE"/>
    <w:rsid w:val="28B91B91"/>
    <w:rsid w:val="2A606745"/>
    <w:rsid w:val="2AFC99F6"/>
    <w:rsid w:val="2B6CF0CE"/>
    <w:rsid w:val="2B8D988F"/>
    <w:rsid w:val="2BCA8575"/>
    <w:rsid w:val="2BCBBC29"/>
    <w:rsid w:val="2C1EC6F0"/>
    <w:rsid w:val="2C2F3ED9"/>
    <w:rsid w:val="2C9CF068"/>
    <w:rsid w:val="2CAA50C7"/>
    <w:rsid w:val="2CABE52F"/>
    <w:rsid w:val="2D655325"/>
    <w:rsid w:val="2D6B8B6E"/>
    <w:rsid w:val="2DFA494D"/>
    <w:rsid w:val="2E199EFD"/>
    <w:rsid w:val="2EA350B3"/>
    <w:rsid w:val="2EF0BA70"/>
    <w:rsid w:val="2F7B3708"/>
    <w:rsid w:val="308A5FD7"/>
    <w:rsid w:val="310175D0"/>
    <w:rsid w:val="31AE206B"/>
    <w:rsid w:val="31D37B44"/>
    <w:rsid w:val="328C3F19"/>
    <w:rsid w:val="32A1397B"/>
    <w:rsid w:val="343A7F00"/>
    <w:rsid w:val="343D9B3A"/>
    <w:rsid w:val="344F9BD2"/>
    <w:rsid w:val="34A95211"/>
    <w:rsid w:val="36977FDB"/>
    <w:rsid w:val="369F1C3E"/>
    <w:rsid w:val="372C27B2"/>
    <w:rsid w:val="375EF10E"/>
    <w:rsid w:val="386A6ABE"/>
    <w:rsid w:val="38EEFBB7"/>
    <w:rsid w:val="3A07EE03"/>
    <w:rsid w:val="3A6AC0FB"/>
    <w:rsid w:val="3B23B98C"/>
    <w:rsid w:val="3B89C63E"/>
    <w:rsid w:val="3BB13E8F"/>
    <w:rsid w:val="3BD54CE3"/>
    <w:rsid w:val="3C193C93"/>
    <w:rsid w:val="3CF62062"/>
    <w:rsid w:val="3E948AA2"/>
    <w:rsid w:val="3F4CDCA8"/>
    <w:rsid w:val="3F8E8B61"/>
    <w:rsid w:val="40642A80"/>
    <w:rsid w:val="417E8D10"/>
    <w:rsid w:val="429E3092"/>
    <w:rsid w:val="42AA2F68"/>
    <w:rsid w:val="42F67F0F"/>
    <w:rsid w:val="4314B946"/>
    <w:rsid w:val="435EC6A6"/>
    <w:rsid w:val="43BF5569"/>
    <w:rsid w:val="44AE419C"/>
    <w:rsid w:val="44D24BC4"/>
    <w:rsid w:val="45A20E61"/>
    <w:rsid w:val="45DD257C"/>
    <w:rsid w:val="4603E187"/>
    <w:rsid w:val="46239B8F"/>
    <w:rsid w:val="4628920D"/>
    <w:rsid w:val="46B52D7A"/>
    <w:rsid w:val="471D71A3"/>
    <w:rsid w:val="476912DF"/>
    <w:rsid w:val="47BFF314"/>
    <w:rsid w:val="48CC0DEA"/>
    <w:rsid w:val="4A9E199E"/>
    <w:rsid w:val="4AA38B5B"/>
    <w:rsid w:val="4AB66DCB"/>
    <w:rsid w:val="4BD863BF"/>
    <w:rsid w:val="4C7F750E"/>
    <w:rsid w:val="4D38DFA3"/>
    <w:rsid w:val="4D6CD31E"/>
    <w:rsid w:val="4D980A94"/>
    <w:rsid w:val="4DF01BA3"/>
    <w:rsid w:val="4FDC6D1C"/>
    <w:rsid w:val="5091482E"/>
    <w:rsid w:val="5194121D"/>
    <w:rsid w:val="525BADD2"/>
    <w:rsid w:val="52B6A45C"/>
    <w:rsid w:val="54261B88"/>
    <w:rsid w:val="5489C485"/>
    <w:rsid w:val="54CE23F9"/>
    <w:rsid w:val="5522D7EC"/>
    <w:rsid w:val="5528AEB3"/>
    <w:rsid w:val="552EBAE8"/>
    <w:rsid w:val="5557A13B"/>
    <w:rsid w:val="56B992B3"/>
    <w:rsid w:val="56D4E2DE"/>
    <w:rsid w:val="570814CE"/>
    <w:rsid w:val="5720733B"/>
    <w:rsid w:val="576A3131"/>
    <w:rsid w:val="57988337"/>
    <w:rsid w:val="57BE458E"/>
    <w:rsid w:val="580E4A0F"/>
    <w:rsid w:val="588FA029"/>
    <w:rsid w:val="58BC439C"/>
    <w:rsid w:val="58E56FDD"/>
    <w:rsid w:val="598AF337"/>
    <w:rsid w:val="5A8D3DD8"/>
    <w:rsid w:val="5BAC3085"/>
    <w:rsid w:val="5BEA6AB7"/>
    <w:rsid w:val="5BEF4AD4"/>
    <w:rsid w:val="5C4E152B"/>
    <w:rsid w:val="5DF968B5"/>
    <w:rsid w:val="5E9774F5"/>
    <w:rsid w:val="5EAB35D7"/>
    <w:rsid w:val="5F073073"/>
    <w:rsid w:val="5F21F596"/>
    <w:rsid w:val="5F82A812"/>
    <w:rsid w:val="607BA8A2"/>
    <w:rsid w:val="60A075E6"/>
    <w:rsid w:val="60B0D04D"/>
    <w:rsid w:val="61C73CB1"/>
    <w:rsid w:val="61E3F242"/>
    <w:rsid w:val="6205B612"/>
    <w:rsid w:val="62154131"/>
    <w:rsid w:val="6281EA96"/>
    <w:rsid w:val="62E3A98D"/>
    <w:rsid w:val="635D0810"/>
    <w:rsid w:val="6451865E"/>
    <w:rsid w:val="649329CF"/>
    <w:rsid w:val="64EC2FDB"/>
    <w:rsid w:val="653AA482"/>
    <w:rsid w:val="65D0483C"/>
    <w:rsid w:val="65E46482"/>
    <w:rsid w:val="664E0730"/>
    <w:rsid w:val="666D0AF0"/>
    <w:rsid w:val="66E35CE6"/>
    <w:rsid w:val="6706DB5C"/>
    <w:rsid w:val="67114A1F"/>
    <w:rsid w:val="677D78A3"/>
    <w:rsid w:val="67CA1772"/>
    <w:rsid w:val="680C6DEA"/>
    <w:rsid w:val="68262080"/>
    <w:rsid w:val="68FFBEF7"/>
    <w:rsid w:val="6A1CF0C0"/>
    <w:rsid w:val="6AFE24E1"/>
    <w:rsid w:val="6B0564DD"/>
    <w:rsid w:val="6B2C8731"/>
    <w:rsid w:val="6BB325B0"/>
    <w:rsid w:val="6C4337E0"/>
    <w:rsid w:val="6D5B450C"/>
    <w:rsid w:val="6DCBD055"/>
    <w:rsid w:val="6F1BAC1F"/>
    <w:rsid w:val="6F394EDD"/>
    <w:rsid w:val="6F70DD60"/>
    <w:rsid w:val="7025477E"/>
    <w:rsid w:val="7080CA85"/>
    <w:rsid w:val="715189D9"/>
    <w:rsid w:val="71C85260"/>
    <w:rsid w:val="71EB8FAF"/>
    <w:rsid w:val="7465E67C"/>
    <w:rsid w:val="75B0C150"/>
    <w:rsid w:val="75CE02CB"/>
    <w:rsid w:val="76D9581C"/>
    <w:rsid w:val="7755DE95"/>
    <w:rsid w:val="790B7E0C"/>
    <w:rsid w:val="7971D3A5"/>
    <w:rsid w:val="7A2694D6"/>
    <w:rsid w:val="7AE6442B"/>
    <w:rsid w:val="7B667373"/>
    <w:rsid w:val="7B74C485"/>
    <w:rsid w:val="7B75FA7E"/>
    <w:rsid w:val="7BCAB92A"/>
    <w:rsid w:val="7C75D6B7"/>
    <w:rsid w:val="7CA6067A"/>
    <w:rsid w:val="7D6B94DB"/>
    <w:rsid w:val="7E0CF8FB"/>
    <w:rsid w:val="7F2D2D07"/>
    <w:rsid w:val="7F4506B7"/>
    <w:rsid w:val="7FEB23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509"/>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A055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uiPriority w:val="20"/>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rsid w:val="005C311F"/>
    <w:pPr>
      <w:spacing w:line="256" w:lineRule="auto"/>
      <w:jc w:val="both"/>
    </w:pPr>
    <w:rPr>
      <w:rFonts w:ascii="Arial" w:hAnsi="Arial"/>
      <w:u w:val="single"/>
    </w:rPr>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1E35D6"/>
    <w:rPr>
      <w:rFonts w:eastAsia="SimSun"/>
      <w:sz w:val="24"/>
      <w:szCs w:val="24"/>
    </w:rPr>
  </w:style>
  <w:style w:type="character" w:customStyle="1" w:styleId="CommentTextChar">
    <w:name w:val="Comment Text Char"/>
    <w:basedOn w:val="DefaultParagraphFont"/>
    <w:link w:val="CommentText"/>
    <w:uiPriority w:val="99"/>
    <w:rsid w:val="00377360"/>
  </w:style>
  <w:style w:type="paragraph" w:styleId="Revision">
    <w:name w:val="Revision"/>
    <w:hidden/>
    <w:uiPriority w:val="99"/>
    <w:semiHidden/>
    <w:rsid w:val="00DA7044"/>
  </w:style>
  <w:style w:type="character" w:customStyle="1" w:styleId="FooterChar">
    <w:name w:val="Footer Char"/>
    <w:link w:val="Footer"/>
    <w:rsid w:val="00035622"/>
  </w:style>
  <w:style w:type="paragraph" w:customStyle="1" w:styleId="3Bodytext">
    <w:name w:val="3. Body text"/>
    <w:basedOn w:val="ListParagraph"/>
    <w:link w:val="3BodytextChar"/>
    <w:qFormat/>
    <w:rsid w:val="00155809"/>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155809"/>
    <w:rPr>
      <w:rFonts w:asciiTheme="minorHAnsi" w:eastAsiaTheme="minorHAnsi" w:hAnsiTheme="minorHAnsi" w:cstheme="minorBidi"/>
      <w:sz w:val="24"/>
      <w:szCs w:val="22"/>
      <w:lang w:eastAsia="en-US"/>
    </w:rPr>
  </w:style>
  <w:style w:type="paragraph" w:customStyle="1" w:styleId="2-SectionHeading">
    <w:name w:val="2-Section Heading"/>
    <w:qFormat/>
    <w:rsid w:val="00A35BF0"/>
    <w:pPr>
      <w:keepNext/>
      <w:numPr>
        <w:numId w:val="9"/>
      </w:numPr>
      <w:snapToGrid w:val="0"/>
      <w:spacing w:before="240" w:after="120"/>
      <w:outlineLvl w:val="0"/>
    </w:pPr>
    <w:rPr>
      <w:rFonts w:asciiTheme="minorHAnsi" w:hAnsiTheme="minorHAnsi" w:cs="Arial"/>
      <w:b/>
      <w:sz w:val="32"/>
      <w:szCs w:val="32"/>
    </w:rPr>
  </w:style>
  <w:style w:type="character" w:customStyle="1" w:styleId="ExecSumBodyTextChar">
    <w:name w:val="Exec Sum Body Text Char"/>
    <w:basedOn w:val="DefaultParagraphFont"/>
    <w:link w:val="ExecSumBodyText"/>
    <w:uiPriority w:val="99"/>
    <w:locked/>
    <w:rsid w:val="00A35BF0"/>
    <w:rPr>
      <w:rFonts w:asciiTheme="minorHAnsi" w:hAnsiTheme="minorHAnsi" w:cs="Arial"/>
    </w:rPr>
  </w:style>
  <w:style w:type="paragraph" w:customStyle="1" w:styleId="ExecSumBodyText">
    <w:name w:val="Exec Sum Body Text"/>
    <w:basedOn w:val="Normal"/>
    <w:link w:val="ExecSumBodyTextChar"/>
    <w:uiPriority w:val="99"/>
    <w:qFormat/>
    <w:rsid w:val="00A35BF0"/>
    <w:pPr>
      <w:numPr>
        <w:ilvl w:val="1"/>
        <w:numId w:val="9"/>
      </w:numPr>
      <w:snapToGrid w:val="0"/>
      <w:spacing w:after="120"/>
      <w:jc w:val="both"/>
    </w:pPr>
    <w:rPr>
      <w:rFonts w:asciiTheme="minorHAnsi" w:hAnsiTheme="minorHAnsi" w:cs="Arial"/>
    </w:rPr>
  </w:style>
  <w:style w:type="character" w:styleId="FollowedHyperlink">
    <w:name w:val="FollowedHyperlink"/>
    <w:basedOn w:val="DefaultParagraphFont"/>
    <w:semiHidden/>
    <w:unhideWhenUsed/>
    <w:rsid w:val="00642B51"/>
    <w:rPr>
      <w:color w:val="800080" w:themeColor="followedHyperlink"/>
      <w:u w:val="single"/>
    </w:rPr>
  </w:style>
  <w:style w:type="paragraph" w:styleId="Quote">
    <w:name w:val="Quote"/>
    <w:basedOn w:val="Normal"/>
    <w:next w:val="Normal"/>
    <w:link w:val="QuoteChar"/>
    <w:uiPriority w:val="29"/>
    <w:qFormat/>
    <w:rsid w:val="001D30A0"/>
    <w:pPr>
      <w:spacing w:before="240" w:after="60"/>
      <w:ind w:left="142" w:right="-663" w:hanging="142"/>
    </w:pPr>
    <w:rPr>
      <w:i/>
      <w:iCs/>
      <w:color w:val="000000" w:themeColor="text1"/>
      <w:sz w:val="24"/>
      <w:szCs w:val="24"/>
      <w:lang w:eastAsia="en-US"/>
    </w:rPr>
  </w:style>
  <w:style w:type="character" w:customStyle="1" w:styleId="QuoteChar">
    <w:name w:val="Quote Char"/>
    <w:basedOn w:val="DefaultParagraphFont"/>
    <w:link w:val="Quote"/>
    <w:uiPriority w:val="29"/>
    <w:rsid w:val="001D30A0"/>
    <w:rPr>
      <w:i/>
      <w:iCs/>
      <w:color w:val="000000" w:themeColor="text1"/>
      <w:sz w:val="24"/>
      <w:szCs w:val="24"/>
      <w:lang w:eastAsia="en-US"/>
    </w:rPr>
  </w:style>
  <w:style w:type="paragraph" w:styleId="NoSpacing">
    <w:name w:val="No Spacing"/>
    <w:basedOn w:val="Normal"/>
    <w:link w:val="NoSpacingChar"/>
    <w:uiPriority w:val="1"/>
    <w:qFormat/>
    <w:rsid w:val="008D62B4"/>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8D62B4"/>
    <w:rPr>
      <w:rFonts w:asciiTheme="minorHAnsi" w:hAnsiTheme="minorHAnsi" w:cstheme="minorHAnsi"/>
      <w:sz w:val="24"/>
      <w:szCs w:val="24"/>
      <w:lang w:eastAsia="en-US"/>
    </w:rPr>
  </w:style>
  <w:style w:type="paragraph" w:customStyle="1" w:styleId="2Sections">
    <w:name w:val="2. Sections"/>
    <w:qFormat/>
    <w:rsid w:val="0061444C"/>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61444C"/>
    <w:pPr>
      <w:spacing w:after="120"/>
      <w:ind w:hanging="720"/>
      <w:contextualSpacing w:val="0"/>
      <w:jc w:val="both"/>
    </w:pPr>
    <w:rPr>
      <w:rFonts w:asciiTheme="minorHAnsi" w:eastAsiaTheme="minorHAnsi" w:hAnsiTheme="minorHAnsi" w:cstheme="minorBidi"/>
      <w:szCs w:val="22"/>
      <w:lang w:eastAsia="en-US"/>
    </w:rPr>
  </w:style>
  <w:style w:type="paragraph" w:customStyle="1" w:styleId="Tablewriting">
    <w:name w:val="Table writing"/>
    <w:basedOn w:val="Normal"/>
    <w:qFormat/>
    <w:rsid w:val="003A37BF"/>
    <w:pPr>
      <w:autoSpaceDE w:val="0"/>
      <w:autoSpaceDN w:val="0"/>
      <w:adjustRightInd w:val="0"/>
      <w:spacing w:before="60" w:after="60"/>
    </w:pPr>
    <w:rPr>
      <w:rFonts w:asciiTheme="minorHAnsi" w:eastAsiaTheme="minorEastAsia" w:hAnsiTheme="minorHAnsi" w:cs="Calibri"/>
      <w:color w:val="000000"/>
    </w:rPr>
  </w:style>
  <w:style w:type="character" w:styleId="UnresolvedMention">
    <w:name w:val="Unresolved Mention"/>
    <w:basedOn w:val="DefaultParagraphFont"/>
    <w:uiPriority w:val="99"/>
    <w:semiHidden/>
    <w:unhideWhenUsed/>
    <w:rsid w:val="00427E91"/>
    <w:rPr>
      <w:color w:val="605E5C"/>
      <w:shd w:val="clear" w:color="auto" w:fill="E1DFDD"/>
    </w:rPr>
  </w:style>
  <w:style w:type="paragraph" w:customStyle="1" w:styleId="3-BodyText">
    <w:name w:val="3-Body Text"/>
    <w:basedOn w:val="ListParagraph"/>
    <w:link w:val="3-BodyTextChar"/>
    <w:qFormat/>
    <w:rsid w:val="00120070"/>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120070"/>
    <w:rPr>
      <w:rFonts w:asciiTheme="minorHAnsi" w:hAnsiTheme="minorHAnsi" w:cs="Arial"/>
      <w:snapToGrid w:val="0"/>
      <w:sz w:val="24"/>
      <w:szCs w:val="24"/>
    </w:rPr>
  </w:style>
  <w:style w:type="character" w:styleId="FootnoteReference">
    <w:name w:val="footnote reference"/>
    <w:basedOn w:val="DefaultParagraphFont"/>
    <w:uiPriority w:val="99"/>
    <w:semiHidden/>
    <w:unhideWhenUsed/>
    <w:rsid w:val="00273042"/>
    <w:rPr>
      <w:vertAlign w:val="superscript"/>
    </w:rPr>
  </w:style>
  <w:style w:type="character" w:customStyle="1" w:styleId="normaltextrun">
    <w:name w:val="normaltextrun"/>
    <w:basedOn w:val="DefaultParagraphFont"/>
    <w:rsid w:val="003D4AED"/>
  </w:style>
  <w:style w:type="paragraph" w:customStyle="1" w:styleId="commentcontentpara">
    <w:name w:val="commentcontentpara"/>
    <w:basedOn w:val="Normal"/>
    <w:rsid w:val="001C41DA"/>
    <w:pPr>
      <w:spacing w:before="100" w:beforeAutospacing="1" w:after="100" w:afterAutospacing="1"/>
    </w:pPr>
    <w:rPr>
      <w:sz w:val="24"/>
      <w:szCs w:val="24"/>
    </w:rPr>
  </w:style>
  <w:style w:type="character" w:customStyle="1" w:styleId="cf01">
    <w:name w:val="cf01"/>
    <w:basedOn w:val="DefaultParagraphFont"/>
    <w:rsid w:val="009B3BC3"/>
    <w:rPr>
      <w:rFonts w:ascii="Segoe UI" w:hAnsi="Segoe UI" w:cs="Segoe UI" w:hint="default"/>
      <w:color w:val="FF0000"/>
      <w:sz w:val="18"/>
      <w:szCs w:val="18"/>
    </w:rPr>
  </w:style>
  <w:style w:type="character" w:customStyle="1" w:styleId="Heading2Char">
    <w:name w:val="Heading 2 Char"/>
    <w:basedOn w:val="DefaultParagraphFont"/>
    <w:link w:val="Heading2"/>
    <w:semiHidden/>
    <w:rsid w:val="00A0551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4904">
      <w:bodyDiv w:val="1"/>
      <w:marLeft w:val="0"/>
      <w:marRight w:val="0"/>
      <w:marTop w:val="0"/>
      <w:marBottom w:val="0"/>
      <w:divBdr>
        <w:top w:val="none" w:sz="0" w:space="0" w:color="auto"/>
        <w:left w:val="none" w:sz="0" w:space="0" w:color="auto"/>
        <w:bottom w:val="none" w:sz="0" w:space="0" w:color="auto"/>
        <w:right w:val="none" w:sz="0" w:space="0" w:color="auto"/>
      </w:divBdr>
    </w:div>
    <w:div w:id="12726310">
      <w:bodyDiv w:val="1"/>
      <w:marLeft w:val="0"/>
      <w:marRight w:val="0"/>
      <w:marTop w:val="0"/>
      <w:marBottom w:val="0"/>
      <w:divBdr>
        <w:top w:val="none" w:sz="0" w:space="0" w:color="auto"/>
        <w:left w:val="none" w:sz="0" w:space="0" w:color="auto"/>
        <w:bottom w:val="none" w:sz="0" w:space="0" w:color="auto"/>
        <w:right w:val="none" w:sz="0" w:space="0" w:color="auto"/>
      </w:divBdr>
    </w:div>
    <w:div w:id="17506909">
      <w:bodyDiv w:val="1"/>
      <w:marLeft w:val="0"/>
      <w:marRight w:val="0"/>
      <w:marTop w:val="0"/>
      <w:marBottom w:val="0"/>
      <w:divBdr>
        <w:top w:val="none" w:sz="0" w:space="0" w:color="auto"/>
        <w:left w:val="none" w:sz="0" w:space="0" w:color="auto"/>
        <w:bottom w:val="none" w:sz="0" w:space="0" w:color="auto"/>
        <w:right w:val="none" w:sz="0" w:space="0" w:color="auto"/>
      </w:divBdr>
    </w:div>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2370317">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0419117">
      <w:bodyDiv w:val="1"/>
      <w:marLeft w:val="0"/>
      <w:marRight w:val="0"/>
      <w:marTop w:val="0"/>
      <w:marBottom w:val="0"/>
      <w:divBdr>
        <w:top w:val="none" w:sz="0" w:space="0" w:color="auto"/>
        <w:left w:val="none" w:sz="0" w:space="0" w:color="auto"/>
        <w:bottom w:val="none" w:sz="0" w:space="0" w:color="auto"/>
        <w:right w:val="none" w:sz="0" w:space="0" w:color="auto"/>
      </w:divBdr>
    </w:div>
    <w:div w:id="30618514">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3932716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44527400">
      <w:bodyDiv w:val="1"/>
      <w:marLeft w:val="0"/>
      <w:marRight w:val="0"/>
      <w:marTop w:val="0"/>
      <w:marBottom w:val="0"/>
      <w:divBdr>
        <w:top w:val="none" w:sz="0" w:space="0" w:color="auto"/>
        <w:left w:val="none" w:sz="0" w:space="0" w:color="auto"/>
        <w:bottom w:val="none" w:sz="0" w:space="0" w:color="auto"/>
        <w:right w:val="none" w:sz="0" w:space="0" w:color="auto"/>
      </w:divBdr>
    </w:div>
    <w:div w:id="47262100">
      <w:bodyDiv w:val="1"/>
      <w:marLeft w:val="0"/>
      <w:marRight w:val="0"/>
      <w:marTop w:val="0"/>
      <w:marBottom w:val="0"/>
      <w:divBdr>
        <w:top w:val="none" w:sz="0" w:space="0" w:color="auto"/>
        <w:left w:val="none" w:sz="0" w:space="0" w:color="auto"/>
        <w:bottom w:val="none" w:sz="0" w:space="0" w:color="auto"/>
        <w:right w:val="none" w:sz="0" w:space="0" w:color="auto"/>
      </w:divBdr>
    </w:div>
    <w:div w:id="49698225">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61490532">
      <w:bodyDiv w:val="1"/>
      <w:marLeft w:val="0"/>
      <w:marRight w:val="0"/>
      <w:marTop w:val="0"/>
      <w:marBottom w:val="0"/>
      <w:divBdr>
        <w:top w:val="none" w:sz="0" w:space="0" w:color="auto"/>
        <w:left w:val="none" w:sz="0" w:space="0" w:color="auto"/>
        <w:bottom w:val="none" w:sz="0" w:space="0" w:color="auto"/>
        <w:right w:val="none" w:sz="0" w:space="0" w:color="auto"/>
      </w:divBdr>
    </w:div>
    <w:div w:id="65959251">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260771">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6199920">
      <w:bodyDiv w:val="1"/>
      <w:marLeft w:val="0"/>
      <w:marRight w:val="0"/>
      <w:marTop w:val="0"/>
      <w:marBottom w:val="0"/>
      <w:divBdr>
        <w:top w:val="none" w:sz="0" w:space="0" w:color="auto"/>
        <w:left w:val="none" w:sz="0" w:space="0" w:color="auto"/>
        <w:bottom w:val="none" w:sz="0" w:space="0" w:color="auto"/>
        <w:right w:val="none" w:sz="0" w:space="0" w:color="auto"/>
      </w:divBdr>
    </w:div>
    <w:div w:id="90321237">
      <w:bodyDiv w:val="1"/>
      <w:marLeft w:val="0"/>
      <w:marRight w:val="0"/>
      <w:marTop w:val="0"/>
      <w:marBottom w:val="0"/>
      <w:divBdr>
        <w:top w:val="none" w:sz="0" w:space="0" w:color="auto"/>
        <w:left w:val="none" w:sz="0" w:space="0" w:color="auto"/>
        <w:bottom w:val="none" w:sz="0" w:space="0" w:color="auto"/>
        <w:right w:val="none" w:sz="0" w:space="0" w:color="auto"/>
      </w:divBdr>
    </w:div>
    <w:div w:id="93676734">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09008514">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7360831">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7481653">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1679611">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873735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62205467">
      <w:bodyDiv w:val="1"/>
      <w:marLeft w:val="0"/>
      <w:marRight w:val="0"/>
      <w:marTop w:val="0"/>
      <w:marBottom w:val="0"/>
      <w:divBdr>
        <w:top w:val="none" w:sz="0" w:space="0" w:color="auto"/>
        <w:left w:val="none" w:sz="0" w:space="0" w:color="auto"/>
        <w:bottom w:val="none" w:sz="0" w:space="0" w:color="auto"/>
        <w:right w:val="none" w:sz="0" w:space="0" w:color="auto"/>
      </w:divBdr>
    </w:div>
    <w:div w:id="17041301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77548251">
      <w:bodyDiv w:val="1"/>
      <w:marLeft w:val="0"/>
      <w:marRight w:val="0"/>
      <w:marTop w:val="0"/>
      <w:marBottom w:val="0"/>
      <w:divBdr>
        <w:top w:val="none" w:sz="0" w:space="0" w:color="auto"/>
        <w:left w:val="none" w:sz="0" w:space="0" w:color="auto"/>
        <w:bottom w:val="none" w:sz="0" w:space="0" w:color="auto"/>
        <w:right w:val="none" w:sz="0" w:space="0" w:color="auto"/>
      </w:divBdr>
    </w:div>
    <w:div w:id="178197588">
      <w:bodyDiv w:val="1"/>
      <w:marLeft w:val="0"/>
      <w:marRight w:val="0"/>
      <w:marTop w:val="0"/>
      <w:marBottom w:val="0"/>
      <w:divBdr>
        <w:top w:val="none" w:sz="0" w:space="0" w:color="auto"/>
        <w:left w:val="none" w:sz="0" w:space="0" w:color="auto"/>
        <w:bottom w:val="none" w:sz="0" w:space="0" w:color="auto"/>
        <w:right w:val="none" w:sz="0" w:space="0" w:color="auto"/>
      </w:divBdr>
    </w:div>
    <w:div w:id="185142543">
      <w:bodyDiv w:val="1"/>
      <w:marLeft w:val="0"/>
      <w:marRight w:val="0"/>
      <w:marTop w:val="0"/>
      <w:marBottom w:val="0"/>
      <w:divBdr>
        <w:top w:val="none" w:sz="0" w:space="0" w:color="auto"/>
        <w:left w:val="none" w:sz="0" w:space="0" w:color="auto"/>
        <w:bottom w:val="none" w:sz="0" w:space="0" w:color="auto"/>
        <w:right w:val="none" w:sz="0" w:space="0" w:color="auto"/>
      </w:divBdr>
    </w:div>
    <w:div w:id="188179665">
      <w:bodyDiv w:val="1"/>
      <w:marLeft w:val="0"/>
      <w:marRight w:val="0"/>
      <w:marTop w:val="0"/>
      <w:marBottom w:val="0"/>
      <w:divBdr>
        <w:top w:val="none" w:sz="0" w:space="0" w:color="auto"/>
        <w:left w:val="none" w:sz="0" w:space="0" w:color="auto"/>
        <w:bottom w:val="none" w:sz="0" w:space="0" w:color="auto"/>
        <w:right w:val="none" w:sz="0" w:space="0" w:color="auto"/>
      </w:divBdr>
      <w:divsChild>
        <w:div w:id="653336248">
          <w:marLeft w:val="0"/>
          <w:marRight w:val="0"/>
          <w:marTop w:val="0"/>
          <w:marBottom w:val="0"/>
          <w:divBdr>
            <w:top w:val="none" w:sz="0" w:space="0" w:color="auto"/>
            <w:left w:val="none" w:sz="0" w:space="0" w:color="auto"/>
            <w:bottom w:val="none" w:sz="0" w:space="0" w:color="auto"/>
            <w:right w:val="none" w:sz="0" w:space="0" w:color="auto"/>
          </w:divBdr>
        </w:div>
      </w:divsChild>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5308846">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2148266">
      <w:bodyDiv w:val="1"/>
      <w:marLeft w:val="0"/>
      <w:marRight w:val="0"/>
      <w:marTop w:val="0"/>
      <w:marBottom w:val="0"/>
      <w:divBdr>
        <w:top w:val="none" w:sz="0" w:space="0" w:color="auto"/>
        <w:left w:val="none" w:sz="0" w:space="0" w:color="auto"/>
        <w:bottom w:val="none" w:sz="0" w:space="0" w:color="auto"/>
        <w:right w:val="none" w:sz="0" w:space="0" w:color="auto"/>
      </w:divBdr>
    </w:div>
    <w:div w:id="266550285">
      <w:bodyDiv w:val="1"/>
      <w:marLeft w:val="0"/>
      <w:marRight w:val="0"/>
      <w:marTop w:val="0"/>
      <w:marBottom w:val="0"/>
      <w:divBdr>
        <w:top w:val="none" w:sz="0" w:space="0" w:color="auto"/>
        <w:left w:val="none" w:sz="0" w:space="0" w:color="auto"/>
        <w:bottom w:val="none" w:sz="0" w:space="0" w:color="auto"/>
        <w:right w:val="none" w:sz="0" w:space="0" w:color="auto"/>
      </w:divBdr>
    </w:div>
    <w:div w:id="267275745">
      <w:bodyDiv w:val="1"/>
      <w:marLeft w:val="0"/>
      <w:marRight w:val="0"/>
      <w:marTop w:val="0"/>
      <w:marBottom w:val="0"/>
      <w:divBdr>
        <w:top w:val="none" w:sz="0" w:space="0" w:color="auto"/>
        <w:left w:val="none" w:sz="0" w:space="0" w:color="auto"/>
        <w:bottom w:val="none" w:sz="0" w:space="0" w:color="auto"/>
        <w:right w:val="none" w:sz="0" w:space="0" w:color="auto"/>
      </w:divBdr>
    </w:div>
    <w:div w:id="269170932">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78028945">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4431974">
      <w:bodyDiv w:val="1"/>
      <w:marLeft w:val="0"/>
      <w:marRight w:val="0"/>
      <w:marTop w:val="0"/>
      <w:marBottom w:val="0"/>
      <w:divBdr>
        <w:top w:val="none" w:sz="0" w:space="0" w:color="auto"/>
        <w:left w:val="none" w:sz="0" w:space="0" w:color="auto"/>
        <w:bottom w:val="none" w:sz="0" w:space="0" w:color="auto"/>
        <w:right w:val="none" w:sz="0" w:space="0" w:color="auto"/>
      </w:divBdr>
    </w:div>
    <w:div w:id="287012127">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290595589">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12804607">
      <w:bodyDiv w:val="1"/>
      <w:marLeft w:val="0"/>
      <w:marRight w:val="0"/>
      <w:marTop w:val="0"/>
      <w:marBottom w:val="0"/>
      <w:divBdr>
        <w:top w:val="none" w:sz="0" w:space="0" w:color="auto"/>
        <w:left w:val="none" w:sz="0" w:space="0" w:color="auto"/>
        <w:bottom w:val="none" w:sz="0" w:space="0" w:color="auto"/>
        <w:right w:val="none" w:sz="0" w:space="0" w:color="auto"/>
      </w:divBdr>
    </w:div>
    <w:div w:id="331102701">
      <w:bodyDiv w:val="1"/>
      <w:marLeft w:val="0"/>
      <w:marRight w:val="0"/>
      <w:marTop w:val="0"/>
      <w:marBottom w:val="0"/>
      <w:divBdr>
        <w:top w:val="none" w:sz="0" w:space="0" w:color="auto"/>
        <w:left w:val="none" w:sz="0" w:space="0" w:color="auto"/>
        <w:bottom w:val="none" w:sz="0" w:space="0" w:color="auto"/>
        <w:right w:val="none" w:sz="0" w:space="0" w:color="auto"/>
      </w:divBdr>
    </w:div>
    <w:div w:id="336275597">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44793966">
      <w:bodyDiv w:val="1"/>
      <w:marLeft w:val="0"/>
      <w:marRight w:val="0"/>
      <w:marTop w:val="0"/>
      <w:marBottom w:val="0"/>
      <w:divBdr>
        <w:top w:val="none" w:sz="0" w:space="0" w:color="auto"/>
        <w:left w:val="none" w:sz="0" w:space="0" w:color="auto"/>
        <w:bottom w:val="none" w:sz="0" w:space="0" w:color="auto"/>
        <w:right w:val="none" w:sz="0" w:space="0" w:color="auto"/>
      </w:divBdr>
    </w:div>
    <w:div w:id="350028983">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0813506">
      <w:bodyDiv w:val="1"/>
      <w:marLeft w:val="0"/>
      <w:marRight w:val="0"/>
      <w:marTop w:val="0"/>
      <w:marBottom w:val="0"/>
      <w:divBdr>
        <w:top w:val="none" w:sz="0" w:space="0" w:color="auto"/>
        <w:left w:val="none" w:sz="0" w:space="0" w:color="auto"/>
        <w:bottom w:val="none" w:sz="0" w:space="0" w:color="auto"/>
        <w:right w:val="none" w:sz="0" w:space="0" w:color="auto"/>
      </w:divBdr>
    </w:div>
    <w:div w:id="373621871">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381639027">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09607">
      <w:bodyDiv w:val="1"/>
      <w:marLeft w:val="0"/>
      <w:marRight w:val="0"/>
      <w:marTop w:val="0"/>
      <w:marBottom w:val="0"/>
      <w:divBdr>
        <w:top w:val="none" w:sz="0" w:space="0" w:color="auto"/>
        <w:left w:val="none" w:sz="0" w:space="0" w:color="auto"/>
        <w:bottom w:val="none" w:sz="0" w:space="0" w:color="auto"/>
        <w:right w:val="none" w:sz="0" w:space="0" w:color="auto"/>
      </w:divBdr>
    </w:div>
    <w:div w:id="428045846">
      <w:bodyDiv w:val="1"/>
      <w:marLeft w:val="0"/>
      <w:marRight w:val="0"/>
      <w:marTop w:val="0"/>
      <w:marBottom w:val="0"/>
      <w:divBdr>
        <w:top w:val="none" w:sz="0" w:space="0" w:color="auto"/>
        <w:left w:val="none" w:sz="0" w:space="0" w:color="auto"/>
        <w:bottom w:val="none" w:sz="0" w:space="0" w:color="auto"/>
        <w:right w:val="none" w:sz="0" w:space="0" w:color="auto"/>
      </w:divBdr>
    </w:div>
    <w:div w:id="429351912">
      <w:bodyDiv w:val="1"/>
      <w:marLeft w:val="0"/>
      <w:marRight w:val="0"/>
      <w:marTop w:val="0"/>
      <w:marBottom w:val="0"/>
      <w:divBdr>
        <w:top w:val="none" w:sz="0" w:space="0" w:color="auto"/>
        <w:left w:val="none" w:sz="0" w:space="0" w:color="auto"/>
        <w:bottom w:val="none" w:sz="0" w:space="0" w:color="auto"/>
        <w:right w:val="none" w:sz="0" w:space="0" w:color="auto"/>
      </w:divBdr>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37986911">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5339772">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496389213">
      <w:bodyDiv w:val="1"/>
      <w:marLeft w:val="0"/>
      <w:marRight w:val="0"/>
      <w:marTop w:val="0"/>
      <w:marBottom w:val="0"/>
      <w:divBdr>
        <w:top w:val="none" w:sz="0" w:space="0" w:color="auto"/>
        <w:left w:val="none" w:sz="0" w:space="0" w:color="auto"/>
        <w:bottom w:val="none" w:sz="0" w:space="0" w:color="auto"/>
        <w:right w:val="none" w:sz="0" w:space="0" w:color="auto"/>
      </w:divBdr>
    </w:div>
    <w:div w:id="497691024">
      <w:bodyDiv w:val="1"/>
      <w:marLeft w:val="0"/>
      <w:marRight w:val="0"/>
      <w:marTop w:val="0"/>
      <w:marBottom w:val="0"/>
      <w:divBdr>
        <w:top w:val="none" w:sz="0" w:space="0" w:color="auto"/>
        <w:left w:val="none" w:sz="0" w:space="0" w:color="auto"/>
        <w:bottom w:val="none" w:sz="0" w:space="0" w:color="auto"/>
        <w:right w:val="none" w:sz="0" w:space="0" w:color="auto"/>
      </w:divBdr>
    </w:div>
    <w:div w:id="499538310">
      <w:bodyDiv w:val="1"/>
      <w:marLeft w:val="0"/>
      <w:marRight w:val="0"/>
      <w:marTop w:val="0"/>
      <w:marBottom w:val="0"/>
      <w:divBdr>
        <w:top w:val="none" w:sz="0" w:space="0" w:color="auto"/>
        <w:left w:val="none" w:sz="0" w:space="0" w:color="auto"/>
        <w:bottom w:val="none" w:sz="0" w:space="0" w:color="auto"/>
        <w:right w:val="none" w:sz="0" w:space="0" w:color="auto"/>
      </w:divBdr>
    </w:div>
    <w:div w:id="499543481">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9370300">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651021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184318">
      <w:bodyDiv w:val="1"/>
      <w:marLeft w:val="0"/>
      <w:marRight w:val="0"/>
      <w:marTop w:val="0"/>
      <w:marBottom w:val="0"/>
      <w:divBdr>
        <w:top w:val="none" w:sz="0" w:space="0" w:color="auto"/>
        <w:left w:val="none" w:sz="0" w:space="0" w:color="auto"/>
        <w:bottom w:val="none" w:sz="0" w:space="0" w:color="auto"/>
        <w:right w:val="none" w:sz="0" w:space="0" w:color="auto"/>
      </w:divBdr>
    </w:div>
    <w:div w:id="546334289">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49875918">
      <w:bodyDiv w:val="1"/>
      <w:marLeft w:val="0"/>
      <w:marRight w:val="0"/>
      <w:marTop w:val="0"/>
      <w:marBottom w:val="0"/>
      <w:divBdr>
        <w:top w:val="none" w:sz="0" w:space="0" w:color="auto"/>
        <w:left w:val="none" w:sz="0" w:space="0" w:color="auto"/>
        <w:bottom w:val="none" w:sz="0" w:space="0" w:color="auto"/>
        <w:right w:val="none" w:sz="0" w:space="0" w:color="auto"/>
      </w:divBdr>
    </w:div>
    <w:div w:id="553007000">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4995703">
      <w:bodyDiv w:val="1"/>
      <w:marLeft w:val="0"/>
      <w:marRight w:val="0"/>
      <w:marTop w:val="0"/>
      <w:marBottom w:val="0"/>
      <w:divBdr>
        <w:top w:val="none" w:sz="0" w:space="0" w:color="auto"/>
        <w:left w:val="none" w:sz="0" w:space="0" w:color="auto"/>
        <w:bottom w:val="none" w:sz="0" w:space="0" w:color="auto"/>
        <w:right w:val="none" w:sz="0" w:space="0" w:color="auto"/>
      </w:divBdr>
      <w:divsChild>
        <w:div w:id="1814787995">
          <w:marLeft w:val="0"/>
          <w:marRight w:val="0"/>
          <w:marTop w:val="0"/>
          <w:marBottom w:val="0"/>
          <w:divBdr>
            <w:top w:val="none" w:sz="0" w:space="0" w:color="auto"/>
            <w:left w:val="none" w:sz="0" w:space="0" w:color="auto"/>
            <w:bottom w:val="none" w:sz="0" w:space="0" w:color="auto"/>
            <w:right w:val="none" w:sz="0" w:space="0" w:color="auto"/>
          </w:divBdr>
        </w:div>
      </w:divsChild>
    </w:div>
    <w:div w:id="566259580">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572588604">
      <w:bodyDiv w:val="1"/>
      <w:marLeft w:val="0"/>
      <w:marRight w:val="0"/>
      <w:marTop w:val="0"/>
      <w:marBottom w:val="0"/>
      <w:divBdr>
        <w:top w:val="none" w:sz="0" w:space="0" w:color="auto"/>
        <w:left w:val="none" w:sz="0" w:space="0" w:color="auto"/>
        <w:bottom w:val="none" w:sz="0" w:space="0" w:color="auto"/>
        <w:right w:val="none" w:sz="0" w:space="0" w:color="auto"/>
      </w:divBdr>
    </w:div>
    <w:div w:id="580217483">
      <w:bodyDiv w:val="1"/>
      <w:marLeft w:val="0"/>
      <w:marRight w:val="0"/>
      <w:marTop w:val="0"/>
      <w:marBottom w:val="0"/>
      <w:divBdr>
        <w:top w:val="none" w:sz="0" w:space="0" w:color="auto"/>
        <w:left w:val="none" w:sz="0" w:space="0" w:color="auto"/>
        <w:bottom w:val="none" w:sz="0" w:space="0" w:color="auto"/>
        <w:right w:val="none" w:sz="0" w:space="0" w:color="auto"/>
      </w:divBdr>
    </w:div>
    <w:div w:id="59771622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0404414">
      <w:bodyDiv w:val="1"/>
      <w:marLeft w:val="0"/>
      <w:marRight w:val="0"/>
      <w:marTop w:val="0"/>
      <w:marBottom w:val="0"/>
      <w:divBdr>
        <w:top w:val="none" w:sz="0" w:space="0" w:color="auto"/>
        <w:left w:val="none" w:sz="0" w:space="0" w:color="auto"/>
        <w:bottom w:val="none" w:sz="0" w:space="0" w:color="auto"/>
        <w:right w:val="none" w:sz="0" w:space="0" w:color="auto"/>
      </w:divBdr>
      <w:divsChild>
        <w:div w:id="1329358222">
          <w:marLeft w:val="0"/>
          <w:marRight w:val="0"/>
          <w:marTop w:val="0"/>
          <w:marBottom w:val="0"/>
          <w:divBdr>
            <w:top w:val="none" w:sz="0" w:space="0" w:color="auto"/>
            <w:left w:val="none" w:sz="0" w:space="0" w:color="auto"/>
            <w:bottom w:val="none" w:sz="0" w:space="0" w:color="auto"/>
            <w:right w:val="none" w:sz="0" w:space="0" w:color="auto"/>
          </w:divBdr>
        </w:div>
      </w:divsChild>
    </w:div>
    <w:div w:id="622736795">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9169519">
      <w:bodyDiv w:val="1"/>
      <w:marLeft w:val="0"/>
      <w:marRight w:val="0"/>
      <w:marTop w:val="0"/>
      <w:marBottom w:val="0"/>
      <w:divBdr>
        <w:top w:val="none" w:sz="0" w:space="0" w:color="auto"/>
        <w:left w:val="none" w:sz="0" w:space="0" w:color="auto"/>
        <w:bottom w:val="none" w:sz="0" w:space="0" w:color="auto"/>
        <w:right w:val="none" w:sz="0" w:space="0" w:color="auto"/>
      </w:divBdr>
    </w:div>
    <w:div w:id="641345040">
      <w:bodyDiv w:val="1"/>
      <w:marLeft w:val="0"/>
      <w:marRight w:val="0"/>
      <w:marTop w:val="0"/>
      <w:marBottom w:val="0"/>
      <w:divBdr>
        <w:top w:val="none" w:sz="0" w:space="0" w:color="auto"/>
        <w:left w:val="none" w:sz="0" w:space="0" w:color="auto"/>
        <w:bottom w:val="none" w:sz="0" w:space="0" w:color="auto"/>
        <w:right w:val="none" w:sz="0" w:space="0" w:color="auto"/>
      </w:divBdr>
    </w:div>
    <w:div w:id="653946561">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667750685">
      <w:bodyDiv w:val="1"/>
      <w:marLeft w:val="0"/>
      <w:marRight w:val="0"/>
      <w:marTop w:val="0"/>
      <w:marBottom w:val="0"/>
      <w:divBdr>
        <w:top w:val="none" w:sz="0" w:space="0" w:color="auto"/>
        <w:left w:val="none" w:sz="0" w:space="0" w:color="auto"/>
        <w:bottom w:val="none" w:sz="0" w:space="0" w:color="auto"/>
        <w:right w:val="none" w:sz="0" w:space="0" w:color="auto"/>
      </w:divBdr>
    </w:div>
    <w:div w:id="689454014">
      <w:bodyDiv w:val="1"/>
      <w:marLeft w:val="0"/>
      <w:marRight w:val="0"/>
      <w:marTop w:val="0"/>
      <w:marBottom w:val="0"/>
      <w:divBdr>
        <w:top w:val="none" w:sz="0" w:space="0" w:color="auto"/>
        <w:left w:val="none" w:sz="0" w:space="0" w:color="auto"/>
        <w:bottom w:val="none" w:sz="0" w:space="0" w:color="auto"/>
        <w:right w:val="none" w:sz="0" w:space="0" w:color="auto"/>
      </w:divBdr>
    </w:div>
    <w:div w:id="689768108">
      <w:bodyDiv w:val="1"/>
      <w:marLeft w:val="0"/>
      <w:marRight w:val="0"/>
      <w:marTop w:val="0"/>
      <w:marBottom w:val="0"/>
      <w:divBdr>
        <w:top w:val="none" w:sz="0" w:space="0" w:color="auto"/>
        <w:left w:val="none" w:sz="0" w:space="0" w:color="auto"/>
        <w:bottom w:val="none" w:sz="0" w:space="0" w:color="auto"/>
        <w:right w:val="none" w:sz="0" w:space="0" w:color="auto"/>
      </w:divBdr>
    </w:div>
    <w:div w:id="695156804">
      <w:bodyDiv w:val="1"/>
      <w:marLeft w:val="0"/>
      <w:marRight w:val="0"/>
      <w:marTop w:val="0"/>
      <w:marBottom w:val="0"/>
      <w:divBdr>
        <w:top w:val="none" w:sz="0" w:space="0" w:color="auto"/>
        <w:left w:val="none" w:sz="0" w:space="0" w:color="auto"/>
        <w:bottom w:val="none" w:sz="0" w:space="0" w:color="auto"/>
        <w:right w:val="none" w:sz="0" w:space="0" w:color="auto"/>
      </w:divBdr>
    </w:div>
    <w:div w:id="710883354">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9232485">
      <w:bodyDiv w:val="1"/>
      <w:marLeft w:val="0"/>
      <w:marRight w:val="0"/>
      <w:marTop w:val="0"/>
      <w:marBottom w:val="0"/>
      <w:divBdr>
        <w:top w:val="none" w:sz="0" w:space="0" w:color="auto"/>
        <w:left w:val="none" w:sz="0" w:space="0" w:color="auto"/>
        <w:bottom w:val="none" w:sz="0" w:space="0" w:color="auto"/>
        <w:right w:val="none" w:sz="0" w:space="0" w:color="auto"/>
      </w:divBdr>
    </w:div>
    <w:div w:id="754671093">
      <w:bodyDiv w:val="1"/>
      <w:marLeft w:val="0"/>
      <w:marRight w:val="0"/>
      <w:marTop w:val="0"/>
      <w:marBottom w:val="0"/>
      <w:divBdr>
        <w:top w:val="none" w:sz="0" w:space="0" w:color="auto"/>
        <w:left w:val="none" w:sz="0" w:space="0" w:color="auto"/>
        <w:bottom w:val="none" w:sz="0" w:space="0" w:color="auto"/>
        <w:right w:val="none" w:sz="0" w:space="0" w:color="auto"/>
      </w:divBdr>
      <w:divsChild>
        <w:div w:id="377634354">
          <w:marLeft w:val="0"/>
          <w:marRight w:val="0"/>
          <w:marTop w:val="0"/>
          <w:marBottom w:val="0"/>
          <w:divBdr>
            <w:top w:val="none" w:sz="0" w:space="0" w:color="auto"/>
            <w:left w:val="none" w:sz="0" w:space="0" w:color="auto"/>
            <w:bottom w:val="none" w:sz="0" w:space="0" w:color="auto"/>
            <w:right w:val="none" w:sz="0" w:space="0" w:color="auto"/>
          </w:divBdr>
        </w:div>
      </w:divsChild>
    </w:div>
    <w:div w:id="755983056">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69590192">
      <w:bodyDiv w:val="1"/>
      <w:marLeft w:val="0"/>
      <w:marRight w:val="0"/>
      <w:marTop w:val="0"/>
      <w:marBottom w:val="0"/>
      <w:divBdr>
        <w:top w:val="none" w:sz="0" w:space="0" w:color="auto"/>
        <w:left w:val="none" w:sz="0" w:space="0" w:color="auto"/>
        <w:bottom w:val="none" w:sz="0" w:space="0" w:color="auto"/>
        <w:right w:val="none" w:sz="0" w:space="0" w:color="auto"/>
      </w:divBdr>
      <w:divsChild>
        <w:div w:id="1436365972">
          <w:marLeft w:val="0"/>
          <w:marRight w:val="0"/>
          <w:marTop w:val="0"/>
          <w:marBottom w:val="0"/>
          <w:divBdr>
            <w:top w:val="none" w:sz="0" w:space="0" w:color="auto"/>
            <w:left w:val="none" w:sz="0" w:space="0" w:color="auto"/>
            <w:bottom w:val="none" w:sz="0" w:space="0" w:color="auto"/>
            <w:right w:val="none" w:sz="0" w:space="0" w:color="auto"/>
          </w:divBdr>
        </w:div>
      </w:divsChild>
    </w:div>
    <w:div w:id="77486078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81610647">
      <w:bodyDiv w:val="1"/>
      <w:marLeft w:val="0"/>
      <w:marRight w:val="0"/>
      <w:marTop w:val="0"/>
      <w:marBottom w:val="0"/>
      <w:divBdr>
        <w:top w:val="none" w:sz="0" w:space="0" w:color="auto"/>
        <w:left w:val="none" w:sz="0" w:space="0" w:color="auto"/>
        <w:bottom w:val="none" w:sz="0" w:space="0" w:color="auto"/>
        <w:right w:val="none" w:sz="0" w:space="0" w:color="auto"/>
      </w:divBdr>
    </w:div>
    <w:div w:id="791091114">
      <w:bodyDiv w:val="1"/>
      <w:marLeft w:val="0"/>
      <w:marRight w:val="0"/>
      <w:marTop w:val="0"/>
      <w:marBottom w:val="0"/>
      <w:divBdr>
        <w:top w:val="none" w:sz="0" w:space="0" w:color="auto"/>
        <w:left w:val="none" w:sz="0" w:space="0" w:color="auto"/>
        <w:bottom w:val="none" w:sz="0" w:space="0" w:color="auto"/>
        <w:right w:val="none" w:sz="0" w:space="0" w:color="auto"/>
      </w:divBdr>
    </w:div>
    <w:div w:id="80112000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3858419">
      <w:bodyDiv w:val="1"/>
      <w:marLeft w:val="0"/>
      <w:marRight w:val="0"/>
      <w:marTop w:val="0"/>
      <w:marBottom w:val="0"/>
      <w:divBdr>
        <w:top w:val="none" w:sz="0" w:space="0" w:color="auto"/>
        <w:left w:val="none" w:sz="0" w:space="0" w:color="auto"/>
        <w:bottom w:val="none" w:sz="0" w:space="0" w:color="auto"/>
        <w:right w:val="none" w:sz="0" w:space="0" w:color="auto"/>
      </w:divBdr>
    </w:div>
    <w:div w:id="831214157">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6384040">
      <w:bodyDiv w:val="1"/>
      <w:marLeft w:val="0"/>
      <w:marRight w:val="0"/>
      <w:marTop w:val="0"/>
      <w:marBottom w:val="0"/>
      <w:divBdr>
        <w:top w:val="none" w:sz="0" w:space="0" w:color="auto"/>
        <w:left w:val="none" w:sz="0" w:space="0" w:color="auto"/>
        <w:bottom w:val="none" w:sz="0" w:space="0" w:color="auto"/>
        <w:right w:val="none" w:sz="0" w:space="0" w:color="auto"/>
      </w:divBdr>
    </w:div>
    <w:div w:id="836699564">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7187936">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892739765">
      <w:bodyDiv w:val="1"/>
      <w:marLeft w:val="0"/>
      <w:marRight w:val="0"/>
      <w:marTop w:val="0"/>
      <w:marBottom w:val="0"/>
      <w:divBdr>
        <w:top w:val="none" w:sz="0" w:space="0" w:color="auto"/>
        <w:left w:val="none" w:sz="0" w:space="0" w:color="auto"/>
        <w:bottom w:val="none" w:sz="0" w:space="0" w:color="auto"/>
        <w:right w:val="none" w:sz="0" w:space="0" w:color="auto"/>
      </w:divBdr>
    </w:div>
    <w:div w:id="895311044">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26185447">
      <w:bodyDiv w:val="1"/>
      <w:marLeft w:val="0"/>
      <w:marRight w:val="0"/>
      <w:marTop w:val="0"/>
      <w:marBottom w:val="0"/>
      <w:divBdr>
        <w:top w:val="none" w:sz="0" w:space="0" w:color="auto"/>
        <w:left w:val="none" w:sz="0" w:space="0" w:color="auto"/>
        <w:bottom w:val="none" w:sz="0" w:space="0" w:color="auto"/>
        <w:right w:val="none" w:sz="0" w:space="0" w:color="auto"/>
      </w:divBdr>
    </w:div>
    <w:div w:id="928776361">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38878083">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0430577">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4556088">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57567863">
      <w:bodyDiv w:val="1"/>
      <w:marLeft w:val="0"/>
      <w:marRight w:val="0"/>
      <w:marTop w:val="0"/>
      <w:marBottom w:val="0"/>
      <w:divBdr>
        <w:top w:val="none" w:sz="0" w:space="0" w:color="auto"/>
        <w:left w:val="none" w:sz="0" w:space="0" w:color="auto"/>
        <w:bottom w:val="none" w:sz="0" w:space="0" w:color="auto"/>
        <w:right w:val="none" w:sz="0" w:space="0" w:color="auto"/>
      </w:divBdr>
    </w:div>
    <w:div w:id="965085253">
      <w:bodyDiv w:val="1"/>
      <w:marLeft w:val="0"/>
      <w:marRight w:val="0"/>
      <w:marTop w:val="0"/>
      <w:marBottom w:val="0"/>
      <w:divBdr>
        <w:top w:val="none" w:sz="0" w:space="0" w:color="auto"/>
        <w:left w:val="none" w:sz="0" w:space="0" w:color="auto"/>
        <w:bottom w:val="none" w:sz="0" w:space="0" w:color="auto"/>
        <w:right w:val="none" w:sz="0" w:space="0" w:color="auto"/>
      </w:divBdr>
    </w:div>
    <w:div w:id="967248649">
      <w:bodyDiv w:val="1"/>
      <w:marLeft w:val="0"/>
      <w:marRight w:val="0"/>
      <w:marTop w:val="0"/>
      <w:marBottom w:val="0"/>
      <w:divBdr>
        <w:top w:val="none" w:sz="0" w:space="0" w:color="auto"/>
        <w:left w:val="none" w:sz="0" w:space="0" w:color="auto"/>
        <w:bottom w:val="none" w:sz="0" w:space="0" w:color="auto"/>
        <w:right w:val="none" w:sz="0" w:space="0" w:color="auto"/>
      </w:divBdr>
    </w:div>
    <w:div w:id="97001918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79773119">
      <w:bodyDiv w:val="1"/>
      <w:marLeft w:val="0"/>
      <w:marRight w:val="0"/>
      <w:marTop w:val="0"/>
      <w:marBottom w:val="0"/>
      <w:divBdr>
        <w:top w:val="none" w:sz="0" w:space="0" w:color="auto"/>
        <w:left w:val="none" w:sz="0" w:space="0" w:color="auto"/>
        <w:bottom w:val="none" w:sz="0" w:space="0" w:color="auto"/>
        <w:right w:val="none" w:sz="0" w:space="0" w:color="auto"/>
      </w:divBdr>
    </w:div>
    <w:div w:id="980497923">
      <w:bodyDiv w:val="1"/>
      <w:marLeft w:val="0"/>
      <w:marRight w:val="0"/>
      <w:marTop w:val="0"/>
      <w:marBottom w:val="0"/>
      <w:divBdr>
        <w:top w:val="none" w:sz="0" w:space="0" w:color="auto"/>
        <w:left w:val="none" w:sz="0" w:space="0" w:color="auto"/>
        <w:bottom w:val="none" w:sz="0" w:space="0" w:color="auto"/>
        <w:right w:val="none" w:sz="0" w:space="0" w:color="auto"/>
      </w:divBdr>
    </w:div>
    <w:div w:id="985013797">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5182791">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999770621">
      <w:bodyDiv w:val="1"/>
      <w:marLeft w:val="0"/>
      <w:marRight w:val="0"/>
      <w:marTop w:val="0"/>
      <w:marBottom w:val="0"/>
      <w:divBdr>
        <w:top w:val="none" w:sz="0" w:space="0" w:color="auto"/>
        <w:left w:val="none" w:sz="0" w:space="0" w:color="auto"/>
        <w:bottom w:val="none" w:sz="0" w:space="0" w:color="auto"/>
        <w:right w:val="none" w:sz="0" w:space="0" w:color="auto"/>
      </w:divBdr>
    </w:div>
    <w:div w:id="1002244106">
      <w:bodyDiv w:val="1"/>
      <w:marLeft w:val="0"/>
      <w:marRight w:val="0"/>
      <w:marTop w:val="0"/>
      <w:marBottom w:val="0"/>
      <w:divBdr>
        <w:top w:val="none" w:sz="0" w:space="0" w:color="auto"/>
        <w:left w:val="none" w:sz="0" w:space="0" w:color="auto"/>
        <w:bottom w:val="none" w:sz="0" w:space="0" w:color="auto"/>
        <w:right w:val="none" w:sz="0" w:space="0" w:color="auto"/>
      </w:divBdr>
    </w:div>
    <w:div w:id="1002969706">
      <w:bodyDiv w:val="1"/>
      <w:marLeft w:val="0"/>
      <w:marRight w:val="0"/>
      <w:marTop w:val="0"/>
      <w:marBottom w:val="0"/>
      <w:divBdr>
        <w:top w:val="none" w:sz="0" w:space="0" w:color="auto"/>
        <w:left w:val="none" w:sz="0" w:space="0" w:color="auto"/>
        <w:bottom w:val="none" w:sz="0" w:space="0" w:color="auto"/>
        <w:right w:val="none" w:sz="0" w:space="0" w:color="auto"/>
      </w:divBdr>
    </w:div>
    <w:div w:id="1008945452">
      <w:bodyDiv w:val="1"/>
      <w:marLeft w:val="0"/>
      <w:marRight w:val="0"/>
      <w:marTop w:val="0"/>
      <w:marBottom w:val="0"/>
      <w:divBdr>
        <w:top w:val="none" w:sz="0" w:space="0" w:color="auto"/>
        <w:left w:val="none" w:sz="0" w:space="0" w:color="auto"/>
        <w:bottom w:val="none" w:sz="0" w:space="0" w:color="auto"/>
        <w:right w:val="none" w:sz="0" w:space="0" w:color="auto"/>
      </w:divBdr>
      <w:divsChild>
        <w:div w:id="1783377881">
          <w:marLeft w:val="0"/>
          <w:marRight w:val="0"/>
          <w:marTop w:val="0"/>
          <w:marBottom w:val="0"/>
          <w:divBdr>
            <w:top w:val="none" w:sz="0" w:space="0" w:color="auto"/>
            <w:left w:val="none" w:sz="0" w:space="0" w:color="auto"/>
            <w:bottom w:val="none" w:sz="0" w:space="0" w:color="auto"/>
            <w:right w:val="none" w:sz="0" w:space="0" w:color="auto"/>
          </w:divBdr>
        </w:div>
      </w:divsChild>
    </w:div>
    <w:div w:id="1010523143">
      <w:bodyDiv w:val="1"/>
      <w:marLeft w:val="0"/>
      <w:marRight w:val="0"/>
      <w:marTop w:val="0"/>
      <w:marBottom w:val="0"/>
      <w:divBdr>
        <w:top w:val="none" w:sz="0" w:space="0" w:color="auto"/>
        <w:left w:val="none" w:sz="0" w:space="0" w:color="auto"/>
        <w:bottom w:val="none" w:sz="0" w:space="0" w:color="auto"/>
        <w:right w:val="none" w:sz="0" w:space="0" w:color="auto"/>
      </w:divBdr>
    </w:div>
    <w:div w:id="1017805340">
      <w:bodyDiv w:val="1"/>
      <w:marLeft w:val="0"/>
      <w:marRight w:val="0"/>
      <w:marTop w:val="0"/>
      <w:marBottom w:val="0"/>
      <w:divBdr>
        <w:top w:val="none" w:sz="0" w:space="0" w:color="auto"/>
        <w:left w:val="none" w:sz="0" w:space="0" w:color="auto"/>
        <w:bottom w:val="none" w:sz="0" w:space="0" w:color="auto"/>
        <w:right w:val="none" w:sz="0" w:space="0" w:color="auto"/>
      </w:divBdr>
    </w:div>
    <w:div w:id="1022049353">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29843593">
      <w:bodyDiv w:val="1"/>
      <w:marLeft w:val="0"/>
      <w:marRight w:val="0"/>
      <w:marTop w:val="0"/>
      <w:marBottom w:val="0"/>
      <w:divBdr>
        <w:top w:val="none" w:sz="0" w:space="0" w:color="auto"/>
        <w:left w:val="none" w:sz="0" w:space="0" w:color="auto"/>
        <w:bottom w:val="none" w:sz="0" w:space="0" w:color="auto"/>
        <w:right w:val="none" w:sz="0" w:space="0" w:color="auto"/>
      </w:divBdr>
    </w:div>
    <w:div w:id="1036270014">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2509078">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743956">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5442808">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1360562">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19571050">
      <w:bodyDiv w:val="1"/>
      <w:marLeft w:val="0"/>
      <w:marRight w:val="0"/>
      <w:marTop w:val="0"/>
      <w:marBottom w:val="0"/>
      <w:divBdr>
        <w:top w:val="none" w:sz="0" w:space="0" w:color="auto"/>
        <w:left w:val="none" w:sz="0" w:space="0" w:color="auto"/>
        <w:bottom w:val="none" w:sz="0" w:space="0" w:color="auto"/>
        <w:right w:val="none" w:sz="0" w:space="0" w:color="auto"/>
      </w:divBdr>
    </w:div>
    <w:div w:id="11248834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43734990">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869307">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101674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3422993">
      <w:bodyDiv w:val="1"/>
      <w:marLeft w:val="0"/>
      <w:marRight w:val="0"/>
      <w:marTop w:val="0"/>
      <w:marBottom w:val="0"/>
      <w:divBdr>
        <w:top w:val="none" w:sz="0" w:space="0" w:color="auto"/>
        <w:left w:val="none" w:sz="0" w:space="0" w:color="auto"/>
        <w:bottom w:val="none" w:sz="0" w:space="0" w:color="auto"/>
        <w:right w:val="none" w:sz="0" w:space="0" w:color="auto"/>
      </w:divBdr>
    </w:div>
    <w:div w:id="1217857677">
      <w:bodyDiv w:val="1"/>
      <w:marLeft w:val="0"/>
      <w:marRight w:val="0"/>
      <w:marTop w:val="0"/>
      <w:marBottom w:val="0"/>
      <w:divBdr>
        <w:top w:val="none" w:sz="0" w:space="0" w:color="auto"/>
        <w:left w:val="none" w:sz="0" w:space="0" w:color="auto"/>
        <w:bottom w:val="none" w:sz="0" w:space="0" w:color="auto"/>
        <w:right w:val="none" w:sz="0" w:space="0" w:color="auto"/>
      </w:divBdr>
    </w:div>
    <w:div w:id="1219977032">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1818598">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41450925">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1083430">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78681942">
      <w:bodyDiv w:val="1"/>
      <w:marLeft w:val="0"/>
      <w:marRight w:val="0"/>
      <w:marTop w:val="0"/>
      <w:marBottom w:val="0"/>
      <w:divBdr>
        <w:top w:val="none" w:sz="0" w:space="0" w:color="auto"/>
        <w:left w:val="none" w:sz="0" w:space="0" w:color="auto"/>
        <w:bottom w:val="none" w:sz="0" w:space="0" w:color="auto"/>
        <w:right w:val="none" w:sz="0" w:space="0" w:color="auto"/>
      </w:divBdr>
    </w:div>
    <w:div w:id="1281381875">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7250469">
      <w:bodyDiv w:val="1"/>
      <w:marLeft w:val="0"/>
      <w:marRight w:val="0"/>
      <w:marTop w:val="0"/>
      <w:marBottom w:val="0"/>
      <w:divBdr>
        <w:top w:val="none" w:sz="0" w:space="0" w:color="auto"/>
        <w:left w:val="none" w:sz="0" w:space="0" w:color="auto"/>
        <w:bottom w:val="none" w:sz="0" w:space="0" w:color="auto"/>
        <w:right w:val="none" w:sz="0" w:space="0" w:color="auto"/>
      </w:divBdr>
    </w:div>
    <w:div w:id="1304433169">
      <w:bodyDiv w:val="1"/>
      <w:marLeft w:val="0"/>
      <w:marRight w:val="0"/>
      <w:marTop w:val="0"/>
      <w:marBottom w:val="0"/>
      <w:divBdr>
        <w:top w:val="none" w:sz="0" w:space="0" w:color="auto"/>
        <w:left w:val="none" w:sz="0" w:space="0" w:color="auto"/>
        <w:bottom w:val="none" w:sz="0" w:space="0" w:color="auto"/>
        <w:right w:val="none" w:sz="0" w:space="0" w:color="auto"/>
      </w:divBdr>
    </w:div>
    <w:div w:id="1308054223">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7786564">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1172823">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40429973">
      <w:bodyDiv w:val="1"/>
      <w:marLeft w:val="0"/>
      <w:marRight w:val="0"/>
      <w:marTop w:val="0"/>
      <w:marBottom w:val="0"/>
      <w:divBdr>
        <w:top w:val="none" w:sz="0" w:space="0" w:color="auto"/>
        <w:left w:val="none" w:sz="0" w:space="0" w:color="auto"/>
        <w:bottom w:val="none" w:sz="0" w:space="0" w:color="auto"/>
        <w:right w:val="none" w:sz="0" w:space="0" w:color="auto"/>
      </w:divBdr>
    </w:div>
    <w:div w:id="1345791376">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638386">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226431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77582857">
      <w:bodyDiv w:val="1"/>
      <w:marLeft w:val="0"/>
      <w:marRight w:val="0"/>
      <w:marTop w:val="0"/>
      <w:marBottom w:val="0"/>
      <w:divBdr>
        <w:top w:val="none" w:sz="0" w:space="0" w:color="auto"/>
        <w:left w:val="none" w:sz="0" w:space="0" w:color="auto"/>
        <w:bottom w:val="none" w:sz="0" w:space="0" w:color="auto"/>
        <w:right w:val="none" w:sz="0" w:space="0" w:color="auto"/>
      </w:divBdr>
    </w:div>
    <w:div w:id="1380205011">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951965">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5028425">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233360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7576084">
      <w:bodyDiv w:val="1"/>
      <w:marLeft w:val="0"/>
      <w:marRight w:val="0"/>
      <w:marTop w:val="0"/>
      <w:marBottom w:val="0"/>
      <w:divBdr>
        <w:top w:val="none" w:sz="0" w:space="0" w:color="auto"/>
        <w:left w:val="none" w:sz="0" w:space="0" w:color="auto"/>
        <w:bottom w:val="none" w:sz="0" w:space="0" w:color="auto"/>
        <w:right w:val="none" w:sz="0" w:space="0" w:color="auto"/>
      </w:divBdr>
    </w:div>
    <w:div w:id="1452282243">
      <w:bodyDiv w:val="1"/>
      <w:marLeft w:val="0"/>
      <w:marRight w:val="0"/>
      <w:marTop w:val="0"/>
      <w:marBottom w:val="0"/>
      <w:divBdr>
        <w:top w:val="none" w:sz="0" w:space="0" w:color="auto"/>
        <w:left w:val="none" w:sz="0" w:space="0" w:color="auto"/>
        <w:bottom w:val="none" w:sz="0" w:space="0" w:color="auto"/>
        <w:right w:val="none" w:sz="0" w:space="0" w:color="auto"/>
      </w:divBdr>
    </w:div>
    <w:div w:id="1455637831">
      <w:bodyDiv w:val="1"/>
      <w:marLeft w:val="0"/>
      <w:marRight w:val="0"/>
      <w:marTop w:val="0"/>
      <w:marBottom w:val="0"/>
      <w:divBdr>
        <w:top w:val="none" w:sz="0" w:space="0" w:color="auto"/>
        <w:left w:val="none" w:sz="0" w:space="0" w:color="auto"/>
        <w:bottom w:val="none" w:sz="0" w:space="0" w:color="auto"/>
        <w:right w:val="none" w:sz="0" w:space="0" w:color="auto"/>
      </w:divBdr>
      <w:divsChild>
        <w:div w:id="776564052">
          <w:marLeft w:val="0"/>
          <w:marRight w:val="0"/>
          <w:marTop w:val="0"/>
          <w:marBottom w:val="0"/>
          <w:divBdr>
            <w:top w:val="none" w:sz="0" w:space="0" w:color="auto"/>
            <w:left w:val="none" w:sz="0" w:space="0" w:color="auto"/>
            <w:bottom w:val="none" w:sz="0" w:space="0" w:color="auto"/>
            <w:right w:val="none" w:sz="0" w:space="0" w:color="auto"/>
          </w:divBdr>
        </w:div>
      </w:divsChild>
    </w:div>
    <w:div w:id="1457720304">
      <w:bodyDiv w:val="1"/>
      <w:marLeft w:val="0"/>
      <w:marRight w:val="0"/>
      <w:marTop w:val="0"/>
      <w:marBottom w:val="0"/>
      <w:divBdr>
        <w:top w:val="none" w:sz="0" w:space="0" w:color="auto"/>
        <w:left w:val="none" w:sz="0" w:space="0" w:color="auto"/>
        <w:bottom w:val="none" w:sz="0" w:space="0" w:color="auto"/>
        <w:right w:val="none" w:sz="0" w:space="0" w:color="auto"/>
      </w:divBdr>
    </w:div>
    <w:div w:id="146573563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5536029">
      <w:bodyDiv w:val="1"/>
      <w:marLeft w:val="0"/>
      <w:marRight w:val="0"/>
      <w:marTop w:val="0"/>
      <w:marBottom w:val="0"/>
      <w:divBdr>
        <w:top w:val="none" w:sz="0" w:space="0" w:color="auto"/>
        <w:left w:val="none" w:sz="0" w:space="0" w:color="auto"/>
        <w:bottom w:val="none" w:sz="0" w:space="0" w:color="auto"/>
        <w:right w:val="none" w:sz="0" w:space="0" w:color="auto"/>
      </w:divBdr>
    </w:div>
    <w:div w:id="1538666204">
      <w:bodyDiv w:val="1"/>
      <w:marLeft w:val="0"/>
      <w:marRight w:val="0"/>
      <w:marTop w:val="0"/>
      <w:marBottom w:val="0"/>
      <w:divBdr>
        <w:top w:val="none" w:sz="0" w:space="0" w:color="auto"/>
        <w:left w:val="none" w:sz="0" w:space="0" w:color="auto"/>
        <w:bottom w:val="none" w:sz="0" w:space="0" w:color="auto"/>
        <w:right w:val="none" w:sz="0" w:space="0" w:color="auto"/>
      </w:divBdr>
    </w:div>
    <w:div w:id="1539783615">
      <w:bodyDiv w:val="1"/>
      <w:marLeft w:val="0"/>
      <w:marRight w:val="0"/>
      <w:marTop w:val="0"/>
      <w:marBottom w:val="0"/>
      <w:divBdr>
        <w:top w:val="none" w:sz="0" w:space="0" w:color="auto"/>
        <w:left w:val="none" w:sz="0" w:space="0" w:color="auto"/>
        <w:bottom w:val="none" w:sz="0" w:space="0" w:color="auto"/>
        <w:right w:val="none" w:sz="0" w:space="0" w:color="auto"/>
      </w:divBdr>
    </w:div>
    <w:div w:id="1542400679">
      <w:bodyDiv w:val="1"/>
      <w:marLeft w:val="0"/>
      <w:marRight w:val="0"/>
      <w:marTop w:val="0"/>
      <w:marBottom w:val="0"/>
      <w:divBdr>
        <w:top w:val="none" w:sz="0" w:space="0" w:color="auto"/>
        <w:left w:val="none" w:sz="0" w:space="0" w:color="auto"/>
        <w:bottom w:val="none" w:sz="0" w:space="0" w:color="auto"/>
        <w:right w:val="none" w:sz="0" w:space="0" w:color="auto"/>
      </w:divBdr>
      <w:divsChild>
        <w:div w:id="821657204">
          <w:marLeft w:val="0"/>
          <w:marRight w:val="0"/>
          <w:marTop w:val="0"/>
          <w:marBottom w:val="0"/>
          <w:divBdr>
            <w:top w:val="none" w:sz="0" w:space="0" w:color="auto"/>
            <w:left w:val="none" w:sz="0" w:space="0" w:color="auto"/>
            <w:bottom w:val="none" w:sz="0" w:space="0" w:color="auto"/>
            <w:right w:val="none" w:sz="0" w:space="0" w:color="auto"/>
          </w:divBdr>
        </w:div>
      </w:divsChild>
    </w:div>
    <w:div w:id="1550414460">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55967347">
      <w:bodyDiv w:val="1"/>
      <w:marLeft w:val="0"/>
      <w:marRight w:val="0"/>
      <w:marTop w:val="0"/>
      <w:marBottom w:val="0"/>
      <w:divBdr>
        <w:top w:val="none" w:sz="0" w:space="0" w:color="auto"/>
        <w:left w:val="none" w:sz="0" w:space="0" w:color="auto"/>
        <w:bottom w:val="none" w:sz="0" w:space="0" w:color="auto"/>
        <w:right w:val="none" w:sz="0" w:space="0" w:color="auto"/>
      </w:divBdr>
    </w:div>
    <w:div w:id="1561939067">
      <w:bodyDiv w:val="1"/>
      <w:marLeft w:val="0"/>
      <w:marRight w:val="0"/>
      <w:marTop w:val="0"/>
      <w:marBottom w:val="0"/>
      <w:divBdr>
        <w:top w:val="none" w:sz="0" w:space="0" w:color="auto"/>
        <w:left w:val="none" w:sz="0" w:space="0" w:color="auto"/>
        <w:bottom w:val="none" w:sz="0" w:space="0" w:color="auto"/>
        <w:right w:val="none" w:sz="0" w:space="0" w:color="auto"/>
      </w:divBdr>
    </w:div>
    <w:div w:id="157319954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4075503">
      <w:bodyDiv w:val="1"/>
      <w:marLeft w:val="0"/>
      <w:marRight w:val="0"/>
      <w:marTop w:val="0"/>
      <w:marBottom w:val="0"/>
      <w:divBdr>
        <w:top w:val="none" w:sz="0" w:space="0" w:color="auto"/>
        <w:left w:val="none" w:sz="0" w:space="0" w:color="auto"/>
        <w:bottom w:val="none" w:sz="0" w:space="0" w:color="auto"/>
        <w:right w:val="none" w:sz="0" w:space="0" w:color="auto"/>
      </w:divBdr>
    </w:div>
    <w:div w:id="1605184751">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0258799">
      <w:bodyDiv w:val="1"/>
      <w:marLeft w:val="0"/>
      <w:marRight w:val="0"/>
      <w:marTop w:val="0"/>
      <w:marBottom w:val="0"/>
      <w:divBdr>
        <w:top w:val="none" w:sz="0" w:space="0" w:color="auto"/>
        <w:left w:val="none" w:sz="0" w:space="0" w:color="auto"/>
        <w:bottom w:val="none" w:sz="0" w:space="0" w:color="auto"/>
        <w:right w:val="none" w:sz="0" w:space="0" w:color="auto"/>
      </w:divBdr>
    </w:div>
    <w:div w:id="1648314831">
      <w:bodyDiv w:val="1"/>
      <w:marLeft w:val="0"/>
      <w:marRight w:val="0"/>
      <w:marTop w:val="0"/>
      <w:marBottom w:val="0"/>
      <w:divBdr>
        <w:top w:val="none" w:sz="0" w:space="0" w:color="auto"/>
        <w:left w:val="none" w:sz="0" w:space="0" w:color="auto"/>
        <w:bottom w:val="none" w:sz="0" w:space="0" w:color="auto"/>
        <w:right w:val="none" w:sz="0" w:space="0" w:color="auto"/>
      </w:divBdr>
    </w:div>
    <w:div w:id="1649823297">
      <w:bodyDiv w:val="1"/>
      <w:marLeft w:val="0"/>
      <w:marRight w:val="0"/>
      <w:marTop w:val="0"/>
      <w:marBottom w:val="0"/>
      <w:divBdr>
        <w:top w:val="none" w:sz="0" w:space="0" w:color="auto"/>
        <w:left w:val="none" w:sz="0" w:space="0" w:color="auto"/>
        <w:bottom w:val="none" w:sz="0" w:space="0" w:color="auto"/>
        <w:right w:val="none" w:sz="0" w:space="0" w:color="auto"/>
      </w:divBdr>
    </w:div>
    <w:div w:id="1650983473">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85790773">
      <w:bodyDiv w:val="1"/>
      <w:marLeft w:val="0"/>
      <w:marRight w:val="0"/>
      <w:marTop w:val="0"/>
      <w:marBottom w:val="0"/>
      <w:divBdr>
        <w:top w:val="none" w:sz="0" w:space="0" w:color="auto"/>
        <w:left w:val="none" w:sz="0" w:space="0" w:color="auto"/>
        <w:bottom w:val="none" w:sz="0" w:space="0" w:color="auto"/>
        <w:right w:val="none" w:sz="0" w:space="0" w:color="auto"/>
      </w:divBdr>
    </w:div>
    <w:div w:id="1686442675">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23863432">
      <w:bodyDiv w:val="1"/>
      <w:marLeft w:val="0"/>
      <w:marRight w:val="0"/>
      <w:marTop w:val="0"/>
      <w:marBottom w:val="0"/>
      <w:divBdr>
        <w:top w:val="none" w:sz="0" w:space="0" w:color="auto"/>
        <w:left w:val="none" w:sz="0" w:space="0" w:color="auto"/>
        <w:bottom w:val="none" w:sz="0" w:space="0" w:color="auto"/>
        <w:right w:val="none" w:sz="0" w:space="0" w:color="auto"/>
      </w:divBdr>
    </w:div>
    <w:div w:id="1725786491">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43063244">
      <w:bodyDiv w:val="1"/>
      <w:marLeft w:val="0"/>
      <w:marRight w:val="0"/>
      <w:marTop w:val="0"/>
      <w:marBottom w:val="0"/>
      <w:divBdr>
        <w:top w:val="none" w:sz="0" w:space="0" w:color="auto"/>
        <w:left w:val="none" w:sz="0" w:space="0" w:color="auto"/>
        <w:bottom w:val="none" w:sz="0" w:space="0" w:color="auto"/>
        <w:right w:val="none" w:sz="0" w:space="0" w:color="auto"/>
      </w:divBdr>
    </w:div>
    <w:div w:id="1747456718">
      <w:bodyDiv w:val="1"/>
      <w:marLeft w:val="0"/>
      <w:marRight w:val="0"/>
      <w:marTop w:val="0"/>
      <w:marBottom w:val="0"/>
      <w:divBdr>
        <w:top w:val="none" w:sz="0" w:space="0" w:color="auto"/>
        <w:left w:val="none" w:sz="0" w:space="0" w:color="auto"/>
        <w:bottom w:val="none" w:sz="0" w:space="0" w:color="auto"/>
        <w:right w:val="none" w:sz="0" w:space="0" w:color="auto"/>
      </w:divBdr>
    </w:div>
    <w:div w:id="1748960952">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74982457">
      <w:bodyDiv w:val="1"/>
      <w:marLeft w:val="0"/>
      <w:marRight w:val="0"/>
      <w:marTop w:val="0"/>
      <w:marBottom w:val="0"/>
      <w:divBdr>
        <w:top w:val="none" w:sz="0" w:space="0" w:color="auto"/>
        <w:left w:val="none" w:sz="0" w:space="0" w:color="auto"/>
        <w:bottom w:val="none" w:sz="0" w:space="0" w:color="auto"/>
        <w:right w:val="none" w:sz="0" w:space="0" w:color="auto"/>
      </w:divBdr>
      <w:divsChild>
        <w:div w:id="1404913118">
          <w:marLeft w:val="0"/>
          <w:marRight w:val="0"/>
          <w:marTop w:val="0"/>
          <w:marBottom w:val="0"/>
          <w:divBdr>
            <w:top w:val="none" w:sz="0" w:space="0" w:color="auto"/>
            <w:left w:val="none" w:sz="0" w:space="0" w:color="auto"/>
            <w:bottom w:val="none" w:sz="0" w:space="0" w:color="auto"/>
            <w:right w:val="none" w:sz="0" w:space="0" w:color="auto"/>
          </w:divBdr>
        </w:div>
      </w:divsChild>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0897913">
      <w:bodyDiv w:val="1"/>
      <w:marLeft w:val="0"/>
      <w:marRight w:val="0"/>
      <w:marTop w:val="0"/>
      <w:marBottom w:val="0"/>
      <w:divBdr>
        <w:top w:val="none" w:sz="0" w:space="0" w:color="auto"/>
        <w:left w:val="none" w:sz="0" w:space="0" w:color="auto"/>
        <w:bottom w:val="none" w:sz="0" w:space="0" w:color="auto"/>
        <w:right w:val="none" w:sz="0" w:space="0" w:color="auto"/>
      </w:divBdr>
      <w:divsChild>
        <w:div w:id="719205686">
          <w:marLeft w:val="0"/>
          <w:marRight w:val="0"/>
          <w:marTop w:val="0"/>
          <w:marBottom w:val="0"/>
          <w:divBdr>
            <w:top w:val="none" w:sz="0" w:space="0" w:color="auto"/>
            <w:left w:val="none" w:sz="0" w:space="0" w:color="auto"/>
            <w:bottom w:val="none" w:sz="0" w:space="0" w:color="auto"/>
            <w:right w:val="none" w:sz="0" w:space="0" w:color="auto"/>
          </w:divBdr>
        </w:div>
      </w:divsChild>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196039">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4837318">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616538">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48863711">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6782">
      <w:bodyDiv w:val="1"/>
      <w:marLeft w:val="0"/>
      <w:marRight w:val="0"/>
      <w:marTop w:val="0"/>
      <w:marBottom w:val="0"/>
      <w:divBdr>
        <w:top w:val="none" w:sz="0" w:space="0" w:color="auto"/>
        <w:left w:val="none" w:sz="0" w:space="0" w:color="auto"/>
        <w:bottom w:val="none" w:sz="0" w:space="0" w:color="auto"/>
        <w:right w:val="none" w:sz="0" w:space="0" w:color="auto"/>
      </w:divBdr>
    </w:div>
    <w:div w:id="1876380239">
      <w:bodyDiv w:val="1"/>
      <w:marLeft w:val="0"/>
      <w:marRight w:val="0"/>
      <w:marTop w:val="0"/>
      <w:marBottom w:val="0"/>
      <w:divBdr>
        <w:top w:val="none" w:sz="0" w:space="0" w:color="auto"/>
        <w:left w:val="none" w:sz="0" w:space="0" w:color="auto"/>
        <w:bottom w:val="none" w:sz="0" w:space="0" w:color="auto"/>
        <w:right w:val="none" w:sz="0" w:space="0" w:color="auto"/>
      </w:divBdr>
    </w:div>
    <w:div w:id="1876891272">
      <w:bodyDiv w:val="1"/>
      <w:marLeft w:val="0"/>
      <w:marRight w:val="0"/>
      <w:marTop w:val="0"/>
      <w:marBottom w:val="0"/>
      <w:divBdr>
        <w:top w:val="none" w:sz="0" w:space="0" w:color="auto"/>
        <w:left w:val="none" w:sz="0" w:space="0" w:color="auto"/>
        <w:bottom w:val="none" w:sz="0" w:space="0" w:color="auto"/>
        <w:right w:val="none" w:sz="0" w:space="0" w:color="auto"/>
      </w:divBdr>
      <w:divsChild>
        <w:div w:id="299917231">
          <w:marLeft w:val="0"/>
          <w:marRight w:val="0"/>
          <w:marTop w:val="0"/>
          <w:marBottom w:val="0"/>
          <w:divBdr>
            <w:top w:val="none" w:sz="0" w:space="0" w:color="auto"/>
            <w:left w:val="none" w:sz="0" w:space="0" w:color="auto"/>
            <w:bottom w:val="none" w:sz="0" w:space="0" w:color="auto"/>
            <w:right w:val="none" w:sz="0" w:space="0" w:color="auto"/>
          </w:divBdr>
        </w:div>
      </w:divsChild>
    </w:div>
    <w:div w:id="1877305247">
      <w:bodyDiv w:val="1"/>
      <w:marLeft w:val="0"/>
      <w:marRight w:val="0"/>
      <w:marTop w:val="0"/>
      <w:marBottom w:val="0"/>
      <w:divBdr>
        <w:top w:val="none" w:sz="0" w:space="0" w:color="auto"/>
        <w:left w:val="none" w:sz="0" w:space="0" w:color="auto"/>
        <w:bottom w:val="none" w:sz="0" w:space="0" w:color="auto"/>
        <w:right w:val="none" w:sz="0" w:space="0" w:color="auto"/>
      </w:divBdr>
    </w:div>
    <w:div w:id="1886793692">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5967562">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04295893">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29268773">
      <w:bodyDiv w:val="1"/>
      <w:marLeft w:val="0"/>
      <w:marRight w:val="0"/>
      <w:marTop w:val="0"/>
      <w:marBottom w:val="0"/>
      <w:divBdr>
        <w:top w:val="none" w:sz="0" w:space="0" w:color="auto"/>
        <w:left w:val="none" w:sz="0" w:space="0" w:color="auto"/>
        <w:bottom w:val="none" w:sz="0" w:space="0" w:color="auto"/>
        <w:right w:val="none" w:sz="0" w:space="0" w:color="auto"/>
      </w:divBdr>
    </w:div>
    <w:div w:id="1932004456">
      <w:bodyDiv w:val="1"/>
      <w:marLeft w:val="0"/>
      <w:marRight w:val="0"/>
      <w:marTop w:val="0"/>
      <w:marBottom w:val="0"/>
      <w:divBdr>
        <w:top w:val="none" w:sz="0" w:space="0" w:color="auto"/>
        <w:left w:val="none" w:sz="0" w:space="0" w:color="auto"/>
        <w:bottom w:val="none" w:sz="0" w:space="0" w:color="auto"/>
        <w:right w:val="none" w:sz="0" w:space="0" w:color="auto"/>
      </w:divBdr>
    </w:div>
    <w:div w:id="1937203323">
      <w:bodyDiv w:val="1"/>
      <w:marLeft w:val="0"/>
      <w:marRight w:val="0"/>
      <w:marTop w:val="0"/>
      <w:marBottom w:val="0"/>
      <w:divBdr>
        <w:top w:val="none" w:sz="0" w:space="0" w:color="auto"/>
        <w:left w:val="none" w:sz="0" w:space="0" w:color="auto"/>
        <w:bottom w:val="none" w:sz="0" w:space="0" w:color="auto"/>
        <w:right w:val="none" w:sz="0" w:space="0" w:color="auto"/>
      </w:divBdr>
    </w:div>
    <w:div w:id="1937978242">
      <w:bodyDiv w:val="1"/>
      <w:marLeft w:val="0"/>
      <w:marRight w:val="0"/>
      <w:marTop w:val="0"/>
      <w:marBottom w:val="0"/>
      <w:divBdr>
        <w:top w:val="none" w:sz="0" w:space="0" w:color="auto"/>
        <w:left w:val="none" w:sz="0" w:space="0" w:color="auto"/>
        <w:bottom w:val="none" w:sz="0" w:space="0" w:color="auto"/>
        <w:right w:val="none" w:sz="0" w:space="0" w:color="auto"/>
      </w:divBdr>
    </w:div>
    <w:div w:id="1940986434">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0971545">
      <w:bodyDiv w:val="1"/>
      <w:marLeft w:val="0"/>
      <w:marRight w:val="0"/>
      <w:marTop w:val="0"/>
      <w:marBottom w:val="0"/>
      <w:divBdr>
        <w:top w:val="none" w:sz="0" w:space="0" w:color="auto"/>
        <w:left w:val="none" w:sz="0" w:space="0" w:color="auto"/>
        <w:bottom w:val="none" w:sz="0" w:space="0" w:color="auto"/>
        <w:right w:val="none" w:sz="0" w:space="0" w:color="auto"/>
      </w:divBdr>
    </w:div>
    <w:div w:id="1981694127">
      <w:bodyDiv w:val="1"/>
      <w:marLeft w:val="0"/>
      <w:marRight w:val="0"/>
      <w:marTop w:val="0"/>
      <w:marBottom w:val="0"/>
      <w:divBdr>
        <w:top w:val="none" w:sz="0" w:space="0" w:color="auto"/>
        <w:left w:val="none" w:sz="0" w:space="0" w:color="auto"/>
        <w:bottom w:val="none" w:sz="0" w:space="0" w:color="auto"/>
        <w:right w:val="none" w:sz="0" w:space="0" w:color="auto"/>
      </w:divBdr>
    </w:div>
    <w:div w:id="1986929905">
      <w:bodyDiv w:val="1"/>
      <w:marLeft w:val="0"/>
      <w:marRight w:val="0"/>
      <w:marTop w:val="0"/>
      <w:marBottom w:val="0"/>
      <w:divBdr>
        <w:top w:val="none" w:sz="0" w:space="0" w:color="auto"/>
        <w:left w:val="none" w:sz="0" w:space="0" w:color="auto"/>
        <w:bottom w:val="none" w:sz="0" w:space="0" w:color="auto"/>
        <w:right w:val="none" w:sz="0" w:space="0" w:color="auto"/>
      </w:divBdr>
    </w:div>
    <w:div w:id="198851093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29599754">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48291655">
      <w:bodyDiv w:val="1"/>
      <w:marLeft w:val="0"/>
      <w:marRight w:val="0"/>
      <w:marTop w:val="0"/>
      <w:marBottom w:val="0"/>
      <w:divBdr>
        <w:top w:val="none" w:sz="0" w:space="0" w:color="auto"/>
        <w:left w:val="none" w:sz="0" w:space="0" w:color="auto"/>
        <w:bottom w:val="none" w:sz="0" w:space="0" w:color="auto"/>
        <w:right w:val="none" w:sz="0" w:space="0" w:color="auto"/>
      </w:divBdr>
    </w:div>
    <w:div w:id="2052266418">
      <w:bodyDiv w:val="1"/>
      <w:marLeft w:val="0"/>
      <w:marRight w:val="0"/>
      <w:marTop w:val="0"/>
      <w:marBottom w:val="0"/>
      <w:divBdr>
        <w:top w:val="none" w:sz="0" w:space="0" w:color="auto"/>
        <w:left w:val="none" w:sz="0" w:space="0" w:color="auto"/>
        <w:bottom w:val="none" w:sz="0" w:space="0" w:color="auto"/>
        <w:right w:val="none" w:sz="0" w:space="0" w:color="auto"/>
      </w:divBdr>
      <w:divsChild>
        <w:div w:id="1944531965">
          <w:marLeft w:val="0"/>
          <w:marRight w:val="0"/>
          <w:marTop w:val="0"/>
          <w:marBottom w:val="0"/>
          <w:divBdr>
            <w:top w:val="none" w:sz="0" w:space="0" w:color="auto"/>
            <w:left w:val="none" w:sz="0" w:space="0" w:color="auto"/>
            <w:bottom w:val="none" w:sz="0" w:space="0" w:color="auto"/>
            <w:right w:val="none" w:sz="0" w:space="0" w:color="auto"/>
          </w:divBdr>
        </w:div>
      </w:divsChild>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64987747">
      <w:bodyDiv w:val="1"/>
      <w:marLeft w:val="0"/>
      <w:marRight w:val="0"/>
      <w:marTop w:val="0"/>
      <w:marBottom w:val="0"/>
      <w:divBdr>
        <w:top w:val="none" w:sz="0" w:space="0" w:color="auto"/>
        <w:left w:val="none" w:sz="0" w:space="0" w:color="auto"/>
        <w:bottom w:val="none" w:sz="0" w:space="0" w:color="auto"/>
        <w:right w:val="none" w:sz="0" w:space="0" w:color="auto"/>
      </w:divBdr>
    </w:div>
    <w:div w:id="2065446484">
      <w:bodyDiv w:val="1"/>
      <w:marLeft w:val="0"/>
      <w:marRight w:val="0"/>
      <w:marTop w:val="0"/>
      <w:marBottom w:val="0"/>
      <w:divBdr>
        <w:top w:val="none" w:sz="0" w:space="0" w:color="auto"/>
        <w:left w:val="none" w:sz="0" w:space="0" w:color="auto"/>
        <w:bottom w:val="none" w:sz="0" w:space="0" w:color="auto"/>
        <w:right w:val="none" w:sz="0" w:space="0" w:color="auto"/>
      </w:divBdr>
    </w:div>
    <w:div w:id="2068064230">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090342078">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76769">
      <w:bodyDiv w:val="1"/>
      <w:marLeft w:val="0"/>
      <w:marRight w:val="0"/>
      <w:marTop w:val="0"/>
      <w:marBottom w:val="0"/>
      <w:divBdr>
        <w:top w:val="none" w:sz="0" w:space="0" w:color="auto"/>
        <w:left w:val="none" w:sz="0" w:space="0" w:color="auto"/>
        <w:bottom w:val="none" w:sz="0" w:space="0" w:color="auto"/>
        <w:right w:val="none" w:sz="0" w:space="0" w:color="auto"/>
      </w:divBdr>
    </w:div>
    <w:div w:id="2132236234">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1758-publi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6C467-907A-4F8E-A6C2-57DB6BAC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10648</Words>
  <Characters>61147</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71652</CharactersWithSpaces>
  <SharedDoc>false</SharedDoc>
  <HLinks>
    <vt:vector size="6" baseType="variant">
      <vt:variant>
        <vt:i4>2687085</vt:i4>
      </vt:variant>
      <vt:variant>
        <vt:i4>0</vt:i4>
      </vt:variant>
      <vt:variant>
        <vt:i4>0</vt:i4>
      </vt:variant>
      <vt:variant>
        <vt:i4>5</vt:i4>
      </vt:variant>
      <vt:variant>
        <vt:lpwstr>http://www.msac.gov.au/internet/msac/publishing.nsf/Content/1758-public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2024-11-13T21:59:00Z</dcterms:created>
  <dcterms:modified xsi:type="dcterms:W3CDTF">2025-01-07T04:01:00Z</dcterms:modified>
</cp:coreProperties>
</file>