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CDB471C" w:rsidR="00D7136A" w:rsidRPr="007628ED" w:rsidRDefault="00464DA0" w:rsidP="00052897">
      <w:pPr>
        <w:contextualSpacing/>
        <w:jc w:val="both"/>
        <w:rPr>
          <w:rFonts w:asciiTheme="minorHAnsi" w:hAnsiTheme="minorHAnsi" w:cstheme="minorHAnsi"/>
          <w:b/>
          <w:szCs w:val="20"/>
          <w:lang w:eastAsia="en-AU"/>
        </w:rPr>
      </w:pPr>
      <w:r w:rsidRPr="007628ED">
        <w:rPr>
          <w:rFonts w:asciiTheme="minorHAnsi" w:hAnsiTheme="minorHAnsi" w:cstheme="minorHAnsi"/>
          <w:b/>
          <w:sz w:val="28"/>
          <w:lang w:eastAsia="en-AU"/>
        </w:rPr>
        <w:t xml:space="preserve">PBAC CONSIDERATION OF THE </w:t>
      </w:r>
      <w:r w:rsidR="00D7136A" w:rsidRPr="007628ED">
        <w:rPr>
          <w:rFonts w:asciiTheme="minorHAnsi" w:hAnsiTheme="minorHAnsi" w:cstheme="minorHAnsi"/>
          <w:b/>
          <w:sz w:val="28"/>
          <w:lang w:eastAsia="en-AU"/>
        </w:rPr>
        <w:t>REPORT</w:t>
      </w:r>
      <w:r w:rsidR="00267A9D" w:rsidRPr="007628ED">
        <w:rPr>
          <w:rFonts w:asciiTheme="minorHAnsi" w:hAnsiTheme="minorHAnsi" w:cstheme="minorHAnsi"/>
          <w:b/>
          <w:sz w:val="28"/>
          <w:lang w:eastAsia="en-AU"/>
        </w:rPr>
        <w:t xml:space="preserve"> OF THE DRUG </w:t>
      </w:r>
      <w:r w:rsidR="00D7136A" w:rsidRPr="007628ED">
        <w:rPr>
          <w:rFonts w:asciiTheme="minorHAnsi" w:hAnsiTheme="minorHAnsi" w:cstheme="minorHAnsi"/>
          <w:b/>
          <w:sz w:val="28"/>
          <w:lang w:eastAsia="en-AU"/>
        </w:rPr>
        <w:t>UTILISATION SUB-COMMITTEE</w:t>
      </w:r>
    </w:p>
    <w:p w14:paraId="7F124E9C" w14:textId="77777777" w:rsidR="00D7136A" w:rsidRPr="007628ED" w:rsidRDefault="00D7136A" w:rsidP="00052897">
      <w:pPr>
        <w:jc w:val="both"/>
        <w:rPr>
          <w:rFonts w:asciiTheme="minorHAnsi" w:hAnsiTheme="minorHAnsi" w:cstheme="minorHAnsi"/>
          <w:b/>
          <w:lang w:eastAsia="en-AU"/>
        </w:rPr>
      </w:pPr>
    </w:p>
    <w:p w14:paraId="2BEF9007" w14:textId="0EBF3E45" w:rsidR="005616CC" w:rsidRPr="007628ED" w:rsidRDefault="00D7136A" w:rsidP="00052897">
      <w:pPr>
        <w:contextualSpacing/>
        <w:jc w:val="both"/>
        <w:rPr>
          <w:rFonts w:asciiTheme="minorHAnsi" w:hAnsiTheme="minorHAnsi" w:cstheme="minorHAnsi"/>
          <w:lang w:eastAsia="en-AU"/>
        </w:rPr>
      </w:pPr>
      <w:r w:rsidRPr="007628ED">
        <w:rPr>
          <w:rFonts w:asciiTheme="minorHAnsi" w:hAnsiTheme="minorHAnsi" w:cstheme="minorHAnsi"/>
          <w:lang w:eastAsia="en-AU"/>
        </w:rPr>
        <w:t xml:space="preserve">The PBAC noted reports with associated stakeholder responses from the </w:t>
      </w:r>
      <w:r w:rsidR="004E3D28" w:rsidRPr="007628ED">
        <w:rPr>
          <w:rFonts w:asciiTheme="minorHAnsi" w:hAnsiTheme="minorHAnsi" w:cstheme="minorHAnsi"/>
          <w:lang w:eastAsia="en-AU"/>
        </w:rPr>
        <w:t>June</w:t>
      </w:r>
      <w:r w:rsidR="00C71A4B" w:rsidRPr="007628ED">
        <w:rPr>
          <w:rFonts w:asciiTheme="minorHAnsi" w:hAnsiTheme="minorHAnsi" w:cstheme="minorHAnsi"/>
          <w:lang w:eastAsia="en-AU"/>
        </w:rPr>
        <w:t xml:space="preserve"> 2024</w:t>
      </w:r>
      <w:r w:rsidR="00DB4B4C" w:rsidRPr="007628ED">
        <w:rPr>
          <w:rFonts w:asciiTheme="minorHAnsi" w:hAnsiTheme="minorHAnsi" w:cstheme="minorHAnsi"/>
          <w:lang w:eastAsia="en-AU"/>
        </w:rPr>
        <w:t xml:space="preserve"> </w:t>
      </w:r>
      <w:r w:rsidR="00A31269" w:rsidRPr="007628ED">
        <w:rPr>
          <w:rFonts w:asciiTheme="minorHAnsi" w:hAnsiTheme="minorHAnsi" w:cstheme="minorHAnsi"/>
          <w:lang w:eastAsia="en-AU"/>
        </w:rPr>
        <w:t xml:space="preserve">Drug Utilisation Sub-Committee (DUSC) </w:t>
      </w:r>
      <w:r w:rsidRPr="007628ED">
        <w:rPr>
          <w:rFonts w:asciiTheme="minorHAnsi" w:hAnsiTheme="minorHAnsi" w:cstheme="minorHAnsi"/>
          <w:lang w:eastAsia="en-AU"/>
        </w:rPr>
        <w:t>meeting, which were provided in Item</w:t>
      </w:r>
      <w:r w:rsidR="00A31269" w:rsidRPr="007628ED">
        <w:rPr>
          <w:rFonts w:asciiTheme="minorHAnsi" w:hAnsiTheme="minorHAnsi" w:cstheme="minorHAnsi"/>
          <w:lang w:eastAsia="en-AU"/>
        </w:rPr>
        <w:t>s</w:t>
      </w:r>
      <w:r w:rsidR="008621E7" w:rsidRPr="007628ED">
        <w:rPr>
          <w:rFonts w:asciiTheme="minorHAnsi" w:hAnsiTheme="minorHAnsi" w:cstheme="minorHAnsi"/>
          <w:lang w:eastAsia="en-AU"/>
        </w:rPr>
        <w:t xml:space="preserve"> </w:t>
      </w:r>
      <w:r w:rsidR="006354AB" w:rsidRPr="007628ED">
        <w:rPr>
          <w:rFonts w:asciiTheme="minorHAnsi" w:hAnsiTheme="minorHAnsi" w:cstheme="minorHAnsi"/>
          <w:lang w:eastAsia="en-AU"/>
        </w:rPr>
        <w:t>10.</w:t>
      </w:r>
      <w:r w:rsidR="008621E7" w:rsidRPr="007628ED">
        <w:rPr>
          <w:rFonts w:asciiTheme="minorHAnsi" w:hAnsiTheme="minorHAnsi" w:cstheme="minorHAnsi"/>
          <w:lang w:eastAsia="en-AU"/>
        </w:rPr>
        <w:t>0</w:t>
      </w:r>
      <w:r w:rsidR="002754CF" w:rsidRPr="007628ED">
        <w:rPr>
          <w:rFonts w:asciiTheme="minorHAnsi" w:hAnsiTheme="minorHAnsi" w:cstheme="minorHAnsi"/>
          <w:lang w:eastAsia="en-AU"/>
        </w:rPr>
        <w:t>4</w:t>
      </w:r>
      <w:r w:rsidR="00C9267A" w:rsidRPr="007628ED">
        <w:rPr>
          <w:rFonts w:asciiTheme="minorHAnsi" w:hAnsiTheme="minorHAnsi" w:cstheme="minorHAnsi"/>
          <w:lang w:eastAsia="en-AU"/>
        </w:rPr>
        <w:t xml:space="preserve">, 10.05, </w:t>
      </w:r>
      <w:r w:rsidR="007F2CE8" w:rsidRPr="007628ED">
        <w:rPr>
          <w:rFonts w:asciiTheme="minorHAnsi" w:hAnsiTheme="minorHAnsi" w:cstheme="minorHAnsi"/>
          <w:lang w:eastAsia="en-AU"/>
        </w:rPr>
        <w:t xml:space="preserve">and </w:t>
      </w:r>
      <w:r w:rsidR="00C9267A" w:rsidRPr="007628ED">
        <w:rPr>
          <w:rFonts w:asciiTheme="minorHAnsi" w:hAnsiTheme="minorHAnsi" w:cstheme="minorHAnsi"/>
          <w:lang w:eastAsia="en-AU"/>
        </w:rPr>
        <w:t>10</w:t>
      </w:r>
      <w:r w:rsidR="00053A39" w:rsidRPr="007628ED">
        <w:rPr>
          <w:rFonts w:asciiTheme="minorHAnsi" w:hAnsiTheme="minorHAnsi" w:cstheme="minorHAnsi"/>
          <w:lang w:eastAsia="en-AU"/>
        </w:rPr>
        <w:t>.06</w:t>
      </w:r>
      <w:r w:rsidR="00C229C3" w:rsidRPr="007628ED">
        <w:rPr>
          <w:rFonts w:asciiTheme="minorHAnsi" w:hAnsiTheme="minorHAnsi" w:cstheme="minorHAnsi"/>
          <w:lang w:eastAsia="en-AU"/>
        </w:rPr>
        <w:t xml:space="preserve"> </w:t>
      </w:r>
      <w:r w:rsidRPr="007628ED">
        <w:rPr>
          <w:rFonts w:asciiTheme="minorHAnsi" w:hAnsiTheme="minorHAnsi" w:cstheme="minorHAnsi"/>
          <w:lang w:eastAsia="en-AU"/>
        </w:rPr>
        <w:t xml:space="preserve">of the PBAC Agenda. </w:t>
      </w:r>
      <w:r w:rsidR="00A31269" w:rsidRPr="007628ED">
        <w:rPr>
          <w:rFonts w:asciiTheme="minorHAnsi" w:hAnsiTheme="minorHAnsi" w:cstheme="minorHAnsi"/>
          <w:lang w:eastAsia="en-AU"/>
        </w:rPr>
        <w:t>DUSC minutes relating to these items were provided to the PBAC</w:t>
      </w:r>
      <w:r w:rsidR="00F8213A" w:rsidRPr="007628ED">
        <w:rPr>
          <w:rFonts w:asciiTheme="minorHAnsi" w:hAnsiTheme="minorHAnsi" w:cstheme="minorHAnsi"/>
          <w:lang w:eastAsia="en-AU"/>
        </w:rPr>
        <w:t>. The outcomes of the DUSC consideration of these items are available in</w:t>
      </w:r>
      <w:r w:rsidR="00CB6BC5" w:rsidRPr="007628ED">
        <w:rPr>
          <w:rFonts w:asciiTheme="minorHAnsi" w:hAnsiTheme="minorHAnsi" w:cstheme="minorHAnsi"/>
          <w:lang w:eastAsia="en-AU"/>
        </w:rPr>
        <w:t xml:space="preserve"> the</w:t>
      </w:r>
      <w:r w:rsidR="00BD0BA3" w:rsidRPr="007628ED">
        <w:rPr>
          <w:rFonts w:asciiTheme="minorHAnsi" w:hAnsiTheme="minorHAnsi" w:cstheme="minorHAnsi"/>
          <w:lang w:eastAsia="en-AU"/>
        </w:rPr>
        <w:t xml:space="preserve"> </w:t>
      </w:r>
      <w:hyperlink r:id="rId11" w:history="1">
        <w:r w:rsidR="00921543" w:rsidRPr="007628ED">
          <w:rPr>
            <w:rStyle w:val="Hyperlink"/>
            <w:rFonts w:asciiTheme="minorHAnsi" w:hAnsiTheme="minorHAnsi" w:cstheme="minorHAnsi"/>
            <w:lang w:eastAsia="en-AU"/>
          </w:rPr>
          <w:t>June</w:t>
        </w:r>
        <w:r w:rsidR="00854810" w:rsidRPr="007628ED">
          <w:rPr>
            <w:rStyle w:val="Hyperlink"/>
            <w:rFonts w:asciiTheme="minorHAnsi" w:hAnsiTheme="minorHAnsi" w:cstheme="minorHAnsi"/>
            <w:lang w:eastAsia="en-AU"/>
          </w:rPr>
          <w:t xml:space="preserve"> 2024 DUSC outcome statement</w:t>
        </w:r>
      </w:hyperlink>
      <w:r w:rsidR="00BD0BA3" w:rsidRPr="007628ED">
        <w:rPr>
          <w:rFonts w:asciiTheme="minorHAnsi" w:hAnsiTheme="minorHAnsi" w:cstheme="minorHAnsi"/>
          <w:lang w:eastAsia="en-AU"/>
        </w:rPr>
        <w:t>.</w:t>
      </w:r>
    </w:p>
    <w:p w14:paraId="7E1B6F48" w14:textId="77777777" w:rsidR="00B139EF" w:rsidRPr="007628ED" w:rsidRDefault="00B139EF" w:rsidP="00052897">
      <w:pPr>
        <w:contextualSpacing/>
        <w:jc w:val="both"/>
        <w:rPr>
          <w:rFonts w:asciiTheme="minorHAnsi" w:hAnsiTheme="minorHAnsi" w:cstheme="minorHAnsi"/>
          <w:lang w:eastAsia="en-AU"/>
        </w:rPr>
      </w:pPr>
    </w:p>
    <w:p w14:paraId="58C02B28" w14:textId="77777777" w:rsidR="00B139EF" w:rsidRPr="007628ED" w:rsidRDefault="00B139EF" w:rsidP="00B139EF">
      <w:pPr>
        <w:rPr>
          <w:rFonts w:asciiTheme="minorHAnsi" w:eastAsia="Calibri" w:hAnsiTheme="minorHAnsi" w:cstheme="minorHAnsi"/>
          <w:b/>
          <w:caps/>
          <w:sz w:val="28"/>
          <w:szCs w:val="28"/>
        </w:rPr>
      </w:pPr>
      <w:r w:rsidRPr="007628ED">
        <w:rPr>
          <w:rFonts w:asciiTheme="minorHAnsi" w:eastAsia="Calibri" w:hAnsiTheme="minorHAnsi" w:cstheme="minorHAnsi"/>
          <w:b/>
          <w:caps/>
          <w:sz w:val="28"/>
          <w:szCs w:val="28"/>
        </w:rPr>
        <w:t>Brentuximab vedotin for CD30 positive cutaneous and peripheral T-cell lymphoma</w:t>
      </w:r>
    </w:p>
    <w:p w14:paraId="010A71E5" w14:textId="77777777" w:rsidR="00FE3BDD" w:rsidRPr="007628ED" w:rsidRDefault="00FE3BDD" w:rsidP="00B139EF">
      <w:pPr>
        <w:rPr>
          <w:rFonts w:asciiTheme="minorHAnsi" w:eastAsia="Calibri" w:hAnsiTheme="minorHAnsi" w:cstheme="minorHAnsi"/>
          <w:b/>
          <w:caps/>
        </w:rPr>
      </w:pPr>
    </w:p>
    <w:p w14:paraId="137DAE18" w14:textId="6683FE5D" w:rsidR="00250D4C" w:rsidRPr="007628ED" w:rsidRDefault="00FE3BDD" w:rsidP="00250D4C">
      <w:pPr>
        <w:contextualSpacing/>
        <w:jc w:val="both"/>
        <w:rPr>
          <w:rFonts w:asciiTheme="minorHAnsi" w:hAnsiTheme="minorHAnsi" w:cstheme="minorHAnsi"/>
          <w:i/>
          <w:iCs/>
          <w:lang w:eastAsia="en-AU"/>
        </w:rPr>
      </w:pPr>
      <w:r w:rsidRPr="007628ED">
        <w:rPr>
          <w:rFonts w:asciiTheme="minorHAnsi" w:hAnsiTheme="minorHAnsi" w:cstheme="minorHAnsi"/>
          <w:i/>
          <w:iCs/>
          <w:lang w:eastAsia="en-AU"/>
        </w:rPr>
        <w:t>Outcome</w:t>
      </w:r>
    </w:p>
    <w:p w14:paraId="62D23CC8" w14:textId="77777777" w:rsidR="00250D4C" w:rsidRPr="007628ED" w:rsidRDefault="00250D4C" w:rsidP="00250D4C">
      <w:pPr>
        <w:contextualSpacing/>
        <w:jc w:val="both"/>
        <w:rPr>
          <w:rFonts w:asciiTheme="minorHAnsi" w:hAnsiTheme="minorHAnsi" w:cstheme="minorHAnsi"/>
          <w:i/>
          <w:iCs/>
          <w:lang w:eastAsia="en-AU"/>
        </w:rPr>
      </w:pPr>
    </w:p>
    <w:p w14:paraId="4506C2DA" w14:textId="715B22F4" w:rsidR="00250D4C" w:rsidRPr="007628ED" w:rsidRDefault="00250D4C" w:rsidP="00FE3BDD">
      <w:pPr>
        <w:spacing w:before="120" w:after="120"/>
        <w:jc w:val="both"/>
        <w:rPr>
          <w:rFonts w:asciiTheme="minorHAnsi" w:hAnsiTheme="minorHAnsi" w:cstheme="minorHAnsi"/>
        </w:rPr>
      </w:pPr>
      <w:r w:rsidRPr="007628ED">
        <w:rPr>
          <w:rFonts w:asciiTheme="minorHAnsi" w:hAnsiTheme="minorHAnsi" w:cstheme="minorHAnsi"/>
        </w:rPr>
        <w:t>The PBAC noted in the 2022-23 financial year, 36 patients were supplied 207 prescriptions for brentuximab vedotin for CD30 positive CTCL. In the 2022-23 financial year, 113 patients were supplied 428 prescriptions for brentuximab vedotin for CD 30 positive PTCL. The PBAC noted utilisation of brentuximab vedotin for CD30 positive PTCL had increased over time.</w:t>
      </w:r>
    </w:p>
    <w:p w14:paraId="104C4357" w14:textId="77777777" w:rsidR="00B139EF" w:rsidRPr="007628ED" w:rsidRDefault="00B139EF" w:rsidP="00052897">
      <w:pPr>
        <w:contextualSpacing/>
        <w:jc w:val="both"/>
        <w:rPr>
          <w:rFonts w:asciiTheme="minorHAnsi" w:hAnsiTheme="minorHAnsi" w:cstheme="minorHAnsi"/>
          <w:lang w:eastAsia="en-AU"/>
        </w:rPr>
      </w:pPr>
    </w:p>
    <w:p w14:paraId="1767BB48" w14:textId="0D8CD2D0" w:rsidR="00B139EF" w:rsidRPr="007628ED" w:rsidRDefault="00B139EF" w:rsidP="00052897">
      <w:pPr>
        <w:contextualSpacing/>
        <w:jc w:val="both"/>
        <w:rPr>
          <w:rFonts w:asciiTheme="minorHAnsi" w:hAnsiTheme="minorHAnsi" w:cstheme="minorHAnsi"/>
          <w:b/>
          <w:bCs/>
          <w:caps/>
          <w:sz w:val="28"/>
          <w:szCs w:val="28"/>
          <w:lang w:eastAsia="en-AU"/>
        </w:rPr>
      </w:pPr>
      <w:r w:rsidRPr="007628ED">
        <w:rPr>
          <w:rFonts w:asciiTheme="minorHAnsi" w:hAnsiTheme="minorHAnsi" w:cstheme="minorHAnsi"/>
          <w:b/>
          <w:bCs/>
          <w:caps/>
          <w:sz w:val="28"/>
          <w:szCs w:val="28"/>
          <w:lang w:eastAsia="en-AU"/>
        </w:rPr>
        <w:t>Galcanezumab and fremanezumab for chronic migraine</w:t>
      </w:r>
    </w:p>
    <w:p w14:paraId="4F702688" w14:textId="77777777" w:rsidR="007B7F4C" w:rsidRPr="007628ED" w:rsidRDefault="007B7F4C" w:rsidP="00052897">
      <w:pPr>
        <w:contextualSpacing/>
        <w:jc w:val="both"/>
        <w:rPr>
          <w:rFonts w:asciiTheme="minorHAnsi" w:hAnsiTheme="minorHAnsi" w:cstheme="minorHAnsi"/>
          <w:b/>
          <w:bCs/>
          <w:caps/>
          <w:sz w:val="22"/>
          <w:szCs w:val="22"/>
          <w:lang w:eastAsia="en-AU"/>
        </w:rPr>
      </w:pPr>
    </w:p>
    <w:p w14:paraId="6A798262" w14:textId="12ABA4F6" w:rsidR="007B7F4C" w:rsidRPr="007628ED" w:rsidRDefault="007B7F4C" w:rsidP="00052897">
      <w:pPr>
        <w:contextualSpacing/>
        <w:jc w:val="both"/>
        <w:rPr>
          <w:rFonts w:asciiTheme="minorHAnsi" w:hAnsiTheme="minorHAnsi" w:cstheme="minorHAnsi"/>
          <w:i/>
          <w:iCs/>
          <w:lang w:eastAsia="en-AU"/>
        </w:rPr>
      </w:pPr>
      <w:r w:rsidRPr="007628ED">
        <w:rPr>
          <w:rFonts w:asciiTheme="minorHAnsi" w:hAnsiTheme="minorHAnsi" w:cstheme="minorHAnsi"/>
          <w:i/>
          <w:iCs/>
          <w:lang w:eastAsia="en-AU"/>
        </w:rPr>
        <w:t>Outcome</w:t>
      </w:r>
    </w:p>
    <w:p w14:paraId="1696CAED" w14:textId="77777777" w:rsidR="007B7F4C" w:rsidRPr="007628ED" w:rsidRDefault="007B7F4C" w:rsidP="00052897">
      <w:pPr>
        <w:contextualSpacing/>
        <w:jc w:val="both"/>
        <w:rPr>
          <w:rFonts w:asciiTheme="minorHAnsi" w:hAnsiTheme="minorHAnsi" w:cstheme="minorHAnsi"/>
          <w:i/>
          <w:iCs/>
          <w:lang w:eastAsia="en-AU"/>
        </w:rPr>
      </w:pPr>
    </w:p>
    <w:p w14:paraId="58529168" w14:textId="07C19401" w:rsidR="002879B4" w:rsidRPr="007628ED" w:rsidRDefault="00857B3B" w:rsidP="002879B4">
      <w:pPr>
        <w:contextualSpacing/>
        <w:jc w:val="both"/>
        <w:rPr>
          <w:rFonts w:asciiTheme="minorHAnsi" w:hAnsiTheme="minorHAnsi" w:cstheme="minorHAnsi"/>
          <w:lang w:eastAsia="en-AU"/>
        </w:rPr>
      </w:pPr>
      <w:r w:rsidRPr="007628ED">
        <w:rPr>
          <w:rFonts w:asciiTheme="minorHAnsi" w:hAnsiTheme="minorHAnsi" w:cstheme="minorHAnsi"/>
          <w:lang w:eastAsia="en-AU"/>
        </w:rPr>
        <w:t xml:space="preserve">The PBAC recommended that for both galcanezumab for chronic migraine and fremanezumab for treatment resistant migraine, the treatment criteria in the current restrictions for the initial treatment phase should be altered from ‘Must be treated by a neurologist’ to ‘Must be treated by a neurologist; OR </w:t>
      </w:r>
      <w:r w:rsidR="00695695">
        <w:rPr>
          <w:rFonts w:asciiTheme="minorHAnsi" w:hAnsiTheme="minorHAnsi" w:cstheme="minorHAnsi"/>
          <w:lang w:eastAsia="en-AU"/>
        </w:rPr>
        <w:t>‘</w:t>
      </w:r>
      <w:r w:rsidRPr="007628ED">
        <w:rPr>
          <w:rFonts w:asciiTheme="minorHAnsi" w:hAnsiTheme="minorHAnsi" w:cstheme="minorHAnsi"/>
          <w:lang w:eastAsia="en-AU"/>
        </w:rPr>
        <w:t>Must be treated by a general practitioner in consultation with a neurologist’.</w:t>
      </w:r>
    </w:p>
    <w:p w14:paraId="02B58791" w14:textId="77777777" w:rsidR="002879B4" w:rsidRPr="007628ED" w:rsidRDefault="002879B4" w:rsidP="002879B4">
      <w:pPr>
        <w:contextualSpacing/>
        <w:jc w:val="both"/>
        <w:rPr>
          <w:rFonts w:asciiTheme="minorHAnsi" w:hAnsiTheme="minorHAnsi" w:cstheme="minorHAnsi"/>
          <w:lang w:eastAsia="en-AU"/>
        </w:rPr>
      </w:pPr>
    </w:p>
    <w:p w14:paraId="6B2151B2" w14:textId="1DABD602" w:rsidR="00B139EF" w:rsidRPr="007628ED" w:rsidRDefault="002879B4" w:rsidP="002879B4">
      <w:pPr>
        <w:contextualSpacing/>
        <w:jc w:val="both"/>
        <w:rPr>
          <w:rFonts w:asciiTheme="minorHAnsi" w:hAnsiTheme="minorHAnsi" w:cstheme="minorHAnsi"/>
          <w:lang w:eastAsia="en-AU"/>
        </w:rPr>
      </w:pPr>
      <w:r w:rsidRPr="007628ED">
        <w:rPr>
          <w:rFonts w:asciiTheme="minorHAnsi" w:hAnsiTheme="minorHAnsi" w:cstheme="minorHAnsi"/>
          <w:lang w:eastAsia="en-AU"/>
        </w:rPr>
        <w:t xml:space="preserve">The PBAC noted that it </w:t>
      </w:r>
      <w:r w:rsidR="00BD6B3E" w:rsidRPr="007628ED">
        <w:rPr>
          <w:rFonts w:asciiTheme="minorHAnsi" w:hAnsiTheme="minorHAnsi" w:cstheme="minorHAnsi"/>
          <w:lang w:eastAsia="en-AU"/>
        </w:rPr>
        <w:t>may</w:t>
      </w:r>
      <w:r w:rsidRPr="007628ED">
        <w:rPr>
          <w:rFonts w:asciiTheme="minorHAnsi" w:hAnsiTheme="minorHAnsi" w:cstheme="minorHAnsi"/>
          <w:lang w:eastAsia="en-AU"/>
        </w:rPr>
        <w:t xml:space="preserve"> not </w:t>
      </w:r>
      <w:r w:rsidR="005A209F" w:rsidRPr="007628ED">
        <w:rPr>
          <w:rFonts w:asciiTheme="minorHAnsi" w:hAnsiTheme="minorHAnsi" w:cstheme="minorHAnsi"/>
          <w:lang w:eastAsia="en-AU"/>
        </w:rPr>
        <w:t xml:space="preserve">be </w:t>
      </w:r>
      <w:r w:rsidRPr="007628ED">
        <w:rPr>
          <w:rFonts w:asciiTheme="minorHAnsi" w:hAnsiTheme="minorHAnsi" w:cstheme="minorHAnsi"/>
          <w:lang w:eastAsia="en-AU"/>
        </w:rPr>
        <w:t>good clinical practice to use those medications currently listed in the restrictions for galcanezumab and fremanezumab as ‘Prophylactic migraine medications’ as</w:t>
      </w:r>
      <w:r w:rsidR="006D50A0" w:rsidRPr="007628ED">
        <w:rPr>
          <w:rFonts w:asciiTheme="minorHAnsi" w:hAnsiTheme="minorHAnsi" w:cstheme="minorHAnsi"/>
          <w:lang w:eastAsia="en-AU"/>
        </w:rPr>
        <w:t xml:space="preserve"> </w:t>
      </w:r>
      <w:r w:rsidR="004566CA" w:rsidRPr="007628ED">
        <w:rPr>
          <w:rFonts w:asciiTheme="minorHAnsi" w:hAnsiTheme="minorHAnsi" w:cstheme="minorHAnsi"/>
          <w:lang w:eastAsia="en-AU"/>
        </w:rPr>
        <w:t xml:space="preserve">excessive </w:t>
      </w:r>
      <w:r w:rsidR="006D50A0" w:rsidRPr="007628ED">
        <w:rPr>
          <w:rFonts w:asciiTheme="minorHAnsi" w:hAnsiTheme="minorHAnsi" w:cstheme="minorHAnsi"/>
          <w:lang w:eastAsia="en-AU"/>
        </w:rPr>
        <w:t>use could</w:t>
      </w:r>
      <w:r w:rsidRPr="007628ED">
        <w:rPr>
          <w:rFonts w:asciiTheme="minorHAnsi" w:hAnsiTheme="minorHAnsi" w:cstheme="minorHAnsi"/>
          <w:lang w:eastAsia="en-AU"/>
        </w:rPr>
        <w:t xml:space="preserve"> lead to over-use headache.</w:t>
      </w:r>
    </w:p>
    <w:p w14:paraId="452F2031" w14:textId="77777777" w:rsidR="002879B4" w:rsidRPr="007628ED" w:rsidRDefault="002879B4" w:rsidP="002879B4">
      <w:pPr>
        <w:contextualSpacing/>
        <w:jc w:val="both"/>
        <w:rPr>
          <w:rFonts w:asciiTheme="minorHAnsi" w:hAnsiTheme="minorHAnsi" w:cstheme="minorHAnsi"/>
          <w:sz w:val="22"/>
          <w:szCs w:val="22"/>
          <w:lang w:eastAsia="en-AU"/>
        </w:rPr>
      </w:pPr>
    </w:p>
    <w:p w14:paraId="4BCFCDA9" w14:textId="77777777" w:rsidR="00B139EF" w:rsidRPr="007628ED" w:rsidRDefault="00B139EF" w:rsidP="00B139EF">
      <w:pPr>
        <w:rPr>
          <w:rFonts w:asciiTheme="minorHAnsi" w:hAnsiTheme="minorHAnsi" w:cstheme="minorHAnsi"/>
          <w:b/>
          <w:bCs/>
          <w:caps/>
          <w:sz w:val="28"/>
          <w:szCs w:val="28"/>
        </w:rPr>
      </w:pPr>
      <w:r w:rsidRPr="007628ED">
        <w:rPr>
          <w:rFonts w:asciiTheme="minorHAnsi" w:hAnsiTheme="minorHAnsi" w:cstheme="minorHAnsi"/>
          <w:b/>
          <w:bCs/>
          <w:caps/>
          <w:sz w:val="28"/>
          <w:szCs w:val="28"/>
        </w:rPr>
        <w:t>Semaglutide for the treatment of type 2 diabetes mellitus</w:t>
      </w:r>
    </w:p>
    <w:p w14:paraId="7FADDBA2" w14:textId="77777777" w:rsidR="00B139EF" w:rsidRPr="007628ED" w:rsidRDefault="00B139EF" w:rsidP="00052897">
      <w:pPr>
        <w:contextualSpacing/>
        <w:jc w:val="both"/>
        <w:rPr>
          <w:rFonts w:asciiTheme="minorHAnsi" w:hAnsiTheme="minorHAnsi" w:cstheme="minorHAnsi"/>
          <w:lang w:eastAsia="en-AU"/>
        </w:rPr>
      </w:pPr>
    </w:p>
    <w:p w14:paraId="5DB2DFD8" w14:textId="2EA54174" w:rsidR="001E1951" w:rsidRPr="007628ED" w:rsidRDefault="008F5977" w:rsidP="00973009">
      <w:pPr>
        <w:contextualSpacing/>
        <w:jc w:val="both"/>
        <w:rPr>
          <w:rFonts w:asciiTheme="minorHAnsi" w:hAnsiTheme="minorHAnsi" w:cstheme="minorHAnsi"/>
          <w:bCs/>
          <w:i/>
          <w:iCs/>
          <w:lang w:eastAsia="en-AU"/>
        </w:rPr>
      </w:pPr>
      <w:r w:rsidRPr="007628ED">
        <w:rPr>
          <w:rFonts w:asciiTheme="minorHAnsi" w:hAnsiTheme="minorHAnsi" w:cstheme="minorHAnsi"/>
          <w:bCs/>
          <w:i/>
          <w:iCs/>
          <w:lang w:eastAsia="en-AU"/>
        </w:rPr>
        <w:t>Outcome</w:t>
      </w:r>
    </w:p>
    <w:p w14:paraId="291DF105" w14:textId="77777777" w:rsidR="00921543" w:rsidRPr="007628ED" w:rsidRDefault="00921543" w:rsidP="00973009">
      <w:pPr>
        <w:contextualSpacing/>
        <w:jc w:val="both"/>
        <w:rPr>
          <w:rFonts w:asciiTheme="minorHAnsi" w:hAnsiTheme="minorHAnsi" w:cstheme="minorHAnsi"/>
          <w:bCs/>
          <w:lang w:eastAsia="en-AU"/>
        </w:rPr>
      </w:pPr>
    </w:p>
    <w:p w14:paraId="0D689801" w14:textId="0F636C1E" w:rsidR="008F5977" w:rsidRPr="007628ED" w:rsidRDefault="008F5977" w:rsidP="008F5977">
      <w:pPr>
        <w:contextualSpacing/>
        <w:jc w:val="both"/>
        <w:rPr>
          <w:rFonts w:asciiTheme="minorHAnsi" w:hAnsiTheme="minorHAnsi" w:cstheme="minorHAnsi"/>
          <w:bCs/>
          <w:lang w:eastAsia="en-AU"/>
        </w:rPr>
      </w:pPr>
      <w:r w:rsidRPr="007628ED">
        <w:rPr>
          <w:rFonts w:asciiTheme="minorHAnsi" w:hAnsiTheme="minorHAnsi" w:cstheme="minorHAnsi"/>
          <w:bCs/>
          <w:lang w:eastAsia="en-AU"/>
        </w:rPr>
        <w:t xml:space="preserve">The PBAC noted that semaglutide had a majority of the market share of </w:t>
      </w:r>
      <w:r w:rsidR="00C6535C" w:rsidRPr="007628ED">
        <w:rPr>
          <w:rFonts w:asciiTheme="minorHAnsi" w:hAnsiTheme="minorHAnsi" w:cstheme="minorHAnsi"/>
          <w:bCs/>
          <w:lang w:eastAsia="en-AU"/>
        </w:rPr>
        <w:t>glucagon-like peptide 1</w:t>
      </w:r>
      <w:r w:rsidR="00C6535C" w:rsidRPr="007628ED">
        <w:rPr>
          <w:rFonts w:asciiTheme="minorHAnsi" w:hAnsiTheme="minorHAnsi" w:cstheme="minorHAnsi"/>
        </w:rPr>
        <w:t xml:space="preserve"> (</w:t>
      </w:r>
      <w:r w:rsidRPr="007628ED">
        <w:rPr>
          <w:rFonts w:asciiTheme="minorHAnsi" w:hAnsiTheme="minorHAnsi" w:cstheme="minorHAnsi"/>
          <w:bCs/>
          <w:lang w:eastAsia="en-AU"/>
        </w:rPr>
        <w:t>GLP-1</w:t>
      </w:r>
      <w:r w:rsidR="00C6535C" w:rsidRPr="007628ED">
        <w:rPr>
          <w:rFonts w:asciiTheme="minorHAnsi" w:hAnsiTheme="minorHAnsi" w:cstheme="minorHAnsi"/>
          <w:bCs/>
          <w:lang w:eastAsia="en-AU"/>
        </w:rPr>
        <w:t>) medicines</w:t>
      </w:r>
      <w:r w:rsidRPr="007628ED">
        <w:rPr>
          <w:rFonts w:asciiTheme="minorHAnsi" w:hAnsiTheme="minorHAnsi" w:cstheme="minorHAnsi"/>
          <w:bCs/>
          <w:lang w:eastAsia="en-AU"/>
        </w:rPr>
        <w:t xml:space="preserve"> as there were approximately two million prescriptions of semaglutide supplied in 2023, and approximately 400,000 supplied prescriptions of </w:t>
      </w:r>
      <w:r w:rsidRPr="007628ED">
        <w:rPr>
          <w:rFonts w:asciiTheme="minorHAnsi" w:hAnsiTheme="minorHAnsi" w:cstheme="minorHAnsi"/>
          <w:bCs/>
          <w:lang w:eastAsia="en-AU"/>
        </w:rPr>
        <w:lastRenderedPageBreak/>
        <w:t>dulaglutide. The PBAC considered that this market share was growing as 94% of the patients supplied semaglutide or dulaglutide for the first time in 2023 were supplied semaglutide. The PBAC noted that the proportion of patients younger than 40 years old supplied semaglutide or dulaglutide for the first time increased from 6.0% in 2018 to 10.2% in 2023.</w:t>
      </w:r>
    </w:p>
    <w:sectPr w:rsidR="008F5977" w:rsidRPr="007628ED" w:rsidSect="007A2421">
      <w:headerReference w:type="default" r:id="rId12"/>
      <w:footerReference w:type="default" r:id="rId13"/>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48D9" w14:textId="77777777" w:rsidR="009370F4" w:rsidRDefault="009370F4">
      <w:r>
        <w:separator/>
      </w:r>
    </w:p>
  </w:endnote>
  <w:endnote w:type="continuationSeparator" w:id="0">
    <w:p w14:paraId="380C008E" w14:textId="77777777" w:rsidR="009370F4" w:rsidRDefault="0093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A1D4" w14:textId="77777777" w:rsidR="009370F4" w:rsidRDefault="009370F4">
      <w:r>
        <w:separator/>
      </w:r>
    </w:p>
  </w:footnote>
  <w:footnote w:type="continuationSeparator" w:id="0">
    <w:p w14:paraId="0A71C971" w14:textId="77777777" w:rsidR="009370F4" w:rsidRDefault="0093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0A83954B" w:rsidR="001F312C" w:rsidRPr="00520B6E" w:rsidRDefault="00922279" w:rsidP="004630FE">
    <w:pPr>
      <w:tabs>
        <w:tab w:val="center" w:pos="4153"/>
        <w:tab w:val="right" w:pos="8306"/>
      </w:tabs>
      <w:jc w:val="center"/>
      <w:rPr>
        <w:rFonts w:ascii="Arial" w:hAnsi="Arial" w:cs="Arial"/>
        <w:b/>
        <w:sz w:val="20"/>
      </w:rPr>
    </w:pPr>
    <w:r>
      <w:rPr>
        <w:rFonts w:ascii="Arial" w:hAnsi="Arial" w:cs="Arial"/>
        <w:b/>
        <w:caps/>
        <w:sz w:val="20"/>
      </w:rPr>
      <w:t>JULY</w:t>
    </w:r>
    <w:r w:rsidR="0055669D">
      <w:rPr>
        <w:rFonts w:ascii="Arial" w:hAnsi="Arial" w:cs="Arial"/>
        <w:b/>
        <w:caps/>
        <w:sz w:val="20"/>
      </w:rPr>
      <w:t xml:space="preserve"> 2024</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60536"/>
    <w:multiLevelType w:val="multilevel"/>
    <w:tmpl w:val="2A8A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DD1D32"/>
    <w:multiLevelType w:val="hybridMultilevel"/>
    <w:tmpl w:val="97CE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2"/>
  </w:num>
  <w:num w:numId="2" w16cid:durableId="1589389630">
    <w:abstractNumId w:val="7"/>
  </w:num>
  <w:num w:numId="3" w16cid:durableId="1547256440">
    <w:abstractNumId w:val="3"/>
  </w:num>
  <w:num w:numId="4" w16cid:durableId="405959758">
    <w:abstractNumId w:val="8"/>
  </w:num>
  <w:num w:numId="5" w16cid:durableId="95175730">
    <w:abstractNumId w:val="5"/>
  </w:num>
  <w:num w:numId="6" w16cid:durableId="1082995549">
    <w:abstractNumId w:val="10"/>
  </w:num>
  <w:num w:numId="7" w16cid:durableId="1388995512">
    <w:abstractNumId w:val="2"/>
  </w:num>
  <w:num w:numId="8" w16cid:durableId="2034452257">
    <w:abstractNumId w:val="4"/>
  </w:num>
  <w:num w:numId="9" w16cid:durableId="2011633779">
    <w:abstractNumId w:val="11"/>
  </w:num>
  <w:num w:numId="10" w16cid:durableId="1838376336">
    <w:abstractNumId w:val="9"/>
  </w:num>
  <w:num w:numId="11" w16cid:durableId="301230094">
    <w:abstractNumId w:val="0"/>
  </w:num>
  <w:num w:numId="12" w16cid:durableId="763184617">
    <w:abstractNumId w:val="6"/>
  </w:num>
  <w:num w:numId="13" w16cid:durableId="19057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5D78"/>
    <w:rsid w:val="00016CBD"/>
    <w:rsid w:val="0002143A"/>
    <w:rsid w:val="00022BF9"/>
    <w:rsid w:val="00027CEB"/>
    <w:rsid w:val="00034F16"/>
    <w:rsid w:val="0003556F"/>
    <w:rsid w:val="000413ED"/>
    <w:rsid w:val="000437B9"/>
    <w:rsid w:val="00046F5C"/>
    <w:rsid w:val="00050E03"/>
    <w:rsid w:val="000510DE"/>
    <w:rsid w:val="00052897"/>
    <w:rsid w:val="00053A39"/>
    <w:rsid w:val="00053F80"/>
    <w:rsid w:val="0006056A"/>
    <w:rsid w:val="00060A45"/>
    <w:rsid w:val="0007306F"/>
    <w:rsid w:val="00080336"/>
    <w:rsid w:val="00084B66"/>
    <w:rsid w:val="00092D31"/>
    <w:rsid w:val="00095F78"/>
    <w:rsid w:val="000A160F"/>
    <w:rsid w:val="000A2CDC"/>
    <w:rsid w:val="000A37FB"/>
    <w:rsid w:val="000B2DD0"/>
    <w:rsid w:val="000C5770"/>
    <w:rsid w:val="000C6902"/>
    <w:rsid w:val="000E4B3A"/>
    <w:rsid w:val="000F1997"/>
    <w:rsid w:val="000F1D2B"/>
    <w:rsid w:val="0010257C"/>
    <w:rsid w:val="00132A6A"/>
    <w:rsid w:val="0014056F"/>
    <w:rsid w:val="001416A4"/>
    <w:rsid w:val="00150970"/>
    <w:rsid w:val="00156D69"/>
    <w:rsid w:val="00164CD2"/>
    <w:rsid w:val="00171A7A"/>
    <w:rsid w:val="00176F11"/>
    <w:rsid w:val="0018016B"/>
    <w:rsid w:val="00180E7D"/>
    <w:rsid w:val="001B5725"/>
    <w:rsid w:val="001B5726"/>
    <w:rsid w:val="001B648D"/>
    <w:rsid w:val="001C658A"/>
    <w:rsid w:val="001D0ACE"/>
    <w:rsid w:val="001D0B69"/>
    <w:rsid w:val="001D38C7"/>
    <w:rsid w:val="001D45AF"/>
    <w:rsid w:val="001E1951"/>
    <w:rsid w:val="001E7E86"/>
    <w:rsid w:val="001F0355"/>
    <w:rsid w:val="001F312C"/>
    <w:rsid w:val="001F4B84"/>
    <w:rsid w:val="00215203"/>
    <w:rsid w:val="00215DE5"/>
    <w:rsid w:val="0022150A"/>
    <w:rsid w:val="00222E8B"/>
    <w:rsid w:val="002374AC"/>
    <w:rsid w:val="00244B20"/>
    <w:rsid w:val="00250A1C"/>
    <w:rsid w:val="00250D4C"/>
    <w:rsid w:val="00251848"/>
    <w:rsid w:val="00265781"/>
    <w:rsid w:val="00267A9D"/>
    <w:rsid w:val="002754CF"/>
    <w:rsid w:val="002756E4"/>
    <w:rsid w:val="0028590B"/>
    <w:rsid w:val="002879B4"/>
    <w:rsid w:val="002A0EF1"/>
    <w:rsid w:val="002D4006"/>
    <w:rsid w:val="002D7178"/>
    <w:rsid w:val="002E7273"/>
    <w:rsid w:val="002F3398"/>
    <w:rsid w:val="002F7591"/>
    <w:rsid w:val="002F775E"/>
    <w:rsid w:val="00301E55"/>
    <w:rsid w:val="00310423"/>
    <w:rsid w:val="0031133D"/>
    <w:rsid w:val="003172AB"/>
    <w:rsid w:val="003211BA"/>
    <w:rsid w:val="003232E1"/>
    <w:rsid w:val="00326328"/>
    <w:rsid w:val="00332BA2"/>
    <w:rsid w:val="0034025C"/>
    <w:rsid w:val="00341334"/>
    <w:rsid w:val="00341E66"/>
    <w:rsid w:val="00347C95"/>
    <w:rsid w:val="003603AD"/>
    <w:rsid w:val="00362AC3"/>
    <w:rsid w:val="003637C8"/>
    <w:rsid w:val="00385940"/>
    <w:rsid w:val="00397836"/>
    <w:rsid w:val="003A0382"/>
    <w:rsid w:val="003A5212"/>
    <w:rsid w:val="003B0BEA"/>
    <w:rsid w:val="003B695E"/>
    <w:rsid w:val="003B79EE"/>
    <w:rsid w:val="003C2B83"/>
    <w:rsid w:val="003E4F94"/>
    <w:rsid w:val="003E55CB"/>
    <w:rsid w:val="003F07CB"/>
    <w:rsid w:val="00400159"/>
    <w:rsid w:val="0040140B"/>
    <w:rsid w:val="004048D8"/>
    <w:rsid w:val="00407FAA"/>
    <w:rsid w:val="00425CC6"/>
    <w:rsid w:val="00433DFA"/>
    <w:rsid w:val="00446CF7"/>
    <w:rsid w:val="004566CA"/>
    <w:rsid w:val="004630FE"/>
    <w:rsid w:val="00464B70"/>
    <w:rsid w:val="00464DA0"/>
    <w:rsid w:val="004669DB"/>
    <w:rsid w:val="00486875"/>
    <w:rsid w:val="004A1627"/>
    <w:rsid w:val="004B2A39"/>
    <w:rsid w:val="004C295B"/>
    <w:rsid w:val="004C435C"/>
    <w:rsid w:val="004C4C12"/>
    <w:rsid w:val="004D4DEE"/>
    <w:rsid w:val="004E3D28"/>
    <w:rsid w:val="004E76AE"/>
    <w:rsid w:val="004F2C21"/>
    <w:rsid w:val="005018C1"/>
    <w:rsid w:val="00504298"/>
    <w:rsid w:val="00507F23"/>
    <w:rsid w:val="00514593"/>
    <w:rsid w:val="005166A6"/>
    <w:rsid w:val="00520024"/>
    <w:rsid w:val="00533BC7"/>
    <w:rsid w:val="0054217F"/>
    <w:rsid w:val="005433E2"/>
    <w:rsid w:val="00550F01"/>
    <w:rsid w:val="0055106A"/>
    <w:rsid w:val="00553E58"/>
    <w:rsid w:val="0055669D"/>
    <w:rsid w:val="005616CC"/>
    <w:rsid w:val="005639BA"/>
    <w:rsid w:val="005642B3"/>
    <w:rsid w:val="00565336"/>
    <w:rsid w:val="005732A3"/>
    <w:rsid w:val="00575B2C"/>
    <w:rsid w:val="00582F85"/>
    <w:rsid w:val="00593867"/>
    <w:rsid w:val="00597564"/>
    <w:rsid w:val="005A209F"/>
    <w:rsid w:val="005A71CE"/>
    <w:rsid w:val="005B0BA9"/>
    <w:rsid w:val="005C202C"/>
    <w:rsid w:val="005D081A"/>
    <w:rsid w:val="005D1506"/>
    <w:rsid w:val="005D774C"/>
    <w:rsid w:val="005E2846"/>
    <w:rsid w:val="005F2273"/>
    <w:rsid w:val="005F5574"/>
    <w:rsid w:val="006102C6"/>
    <w:rsid w:val="00614F10"/>
    <w:rsid w:val="006354AB"/>
    <w:rsid w:val="00641F0C"/>
    <w:rsid w:val="00647788"/>
    <w:rsid w:val="00652D57"/>
    <w:rsid w:val="00664A75"/>
    <w:rsid w:val="00666863"/>
    <w:rsid w:val="00666881"/>
    <w:rsid w:val="0067208B"/>
    <w:rsid w:val="00677683"/>
    <w:rsid w:val="00677983"/>
    <w:rsid w:val="00683251"/>
    <w:rsid w:val="006847AC"/>
    <w:rsid w:val="006951BF"/>
    <w:rsid w:val="00695695"/>
    <w:rsid w:val="006A0F20"/>
    <w:rsid w:val="006A2EB2"/>
    <w:rsid w:val="006A5F26"/>
    <w:rsid w:val="006C41DA"/>
    <w:rsid w:val="006D0A58"/>
    <w:rsid w:val="006D316F"/>
    <w:rsid w:val="006D36DC"/>
    <w:rsid w:val="006D4C23"/>
    <w:rsid w:val="006D4F54"/>
    <w:rsid w:val="006D50A0"/>
    <w:rsid w:val="006D593A"/>
    <w:rsid w:val="006D7E0B"/>
    <w:rsid w:val="006E57A3"/>
    <w:rsid w:val="006F6F34"/>
    <w:rsid w:val="0070348A"/>
    <w:rsid w:val="007178BA"/>
    <w:rsid w:val="0073297F"/>
    <w:rsid w:val="0074603E"/>
    <w:rsid w:val="0075366B"/>
    <w:rsid w:val="007628ED"/>
    <w:rsid w:val="00793AF0"/>
    <w:rsid w:val="007A2421"/>
    <w:rsid w:val="007A4968"/>
    <w:rsid w:val="007B7F4C"/>
    <w:rsid w:val="007C1098"/>
    <w:rsid w:val="007C758A"/>
    <w:rsid w:val="007C75EE"/>
    <w:rsid w:val="007D7263"/>
    <w:rsid w:val="007E275C"/>
    <w:rsid w:val="007F2CE8"/>
    <w:rsid w:val="007F4E20"/>
    <w:rsid w:val="00801B19"/>
    <w:rsid w:val="00816A6C"/>
    <w:rsid w:val="008177B6"/>
    <w:rsid w:val="00821B15"/>
    <w:rsid w:val="0082288D"/>
    <w:rsid w:val="0083210F"/>
    <w:rsid w:val="008361CD"/>
    <w:rsid w:val="008479A0"/>
    <w:rsid w:val="008545D1"/>
    <w:rsid w:val="00854810"/>
    <w:rsid w:val="008571DE"/>
    <w:rsid w:val="00857B3B"/>
    <w:rsid w:val="008613B3"/>
    <w:rsid w:val="008621E7"/>
    <w:rsid w:val="00866D71"/>
    <w:rsid w:val="00871936"/>
    <w:rsid w:val="008842CE"/>
    <w:rsid w:val="008866E8"/>
    <w:rsid w:val="00890D53"/>
    <w:rsid w:val="0089331D"/>
    <w:rsid w:val="008934F5"/>
    <w:rsid w:val="008A4311"/>
    <w:rsid w:val="008A4B6F"/>
    <w:rsid w:val="008A651A"/>
    <w:rsid w:val="008B279B"/>
    <w:rsid w:val="008B4388"/>
    <w:rsid w:val="008B6009"/>
    <w:rsid w:val="008B69CF"/>
    <w:rsid w:val="008C2EAD"/>
    <w:rsid w:val="008D020C"/>
    <w:rsid w:val="008E354F"/>
    <w:rsid w:val="008F5691"/>
    <w:rsid w:val="008F5977"/>
    <w:rsid w:val="009203A6"/>
    <w:rsid w:val="00921543"/>
    <w:rsid w:val="00922279"/>
    <w:rsid w:val="00922E47"/>
    <w:rsid w:val="00925E21"/>
    <w:rsid w:val="00933952"/>
    <w:rsid w:val="009370F4"/>
    <w:rsid w:val="00940D5C"/>
    <w:rsid w:val="00964E5C"/>
    <w:rsid w:val="00973009"/>
    <w:rsid w:val="00984270"/>
    <w:rsid w:val="00997EA7"/>
    <w:rsid w:val="009A1ACC"/>
    <w:rsid w:val="009B339D"/>
    <w:rsid w:val="009E121B"/>
    <w:rsid w:val="009E143F"/>
    <w:rsid w:val="009E20A4"/>
    <w:rsid w:val="009E60AF"/>
    <w:rsid w:val="009E6EA9"/>
    <w:rsid w:val="009E7E00"/>
    <w:rsid w:val="009F55CE"/>
    <w:rsid w:val="009F5908"/>
    <w:rsid w:val="009F5FE2"/>
    <w:rsid w:val="00A03E25"/>
    <w:rsid w:val="00A0539F"/>
    <w:rsid w:val="00A101AB"/>
    <w:rsid w:val="00A152EE"/>
    <w:rsid w:val="00A1560D"/>
    <w:rsid w:val="00A25973"/>
    <w:rsid w:val="00A31269"/>
    <w:rsid w:val="00A32269"/>
    <w:rsid w:val="00A3346B"/>
    <w:rsid w:val="00A4098E"/>
    <w:rsid w:val="00A425E5"/>
    <w:rsid w:val="00A45D82"/>
    <w:rsid w:val="00A47E2F"/>
    <w:rsid w:val="00A50253"/>
    <w:rsid w:val="00A56266"/>
    <w:rsid w:val="00A570BF"/>
    <w:rsid w:val="00A70179"/>
    <w:rsid w:val="00A71C64"/>
    <w:rsid w:val="00A74CCD"/>
    <w:rsid w:val="00A76D1B"/>
    <w:rsid w:val="00A9331B"/>
    <w:rsid w:val="00A93361"/>
    <w:rsid w:val="00AA5E4E"/>
    <w:rsid w:val="00AB23B4"/>
    <w:rsid w:val="00AB5403"/>
    <w:rsid w:val="00AC0FFB"/>
    <w:rsid w:val="00AC2CB7"/>
    <w:rsid w:val="00AC3B55"/>
    <w:rsid w:val="00AC4352"/>
    <w:rsid w:val="00AD2551"/>
    <w:rsid w:val="00AD3542"/>
    <w:rsid w:val="00AD37E5"/>
    <w:rsid w:val="00AD4267"/>
    <w:rsid w:val="00AE5FF1"/>
    <w:rsid w:val="00AE77DB"/>
    <w:rsid w:val="00AF144F"/>
    <w:rsid w:val="00AF2F79"/>
    <w:rsid w:val="00AF3B3E"/>
    <w:rsid w:val="00AF6DA0"/>
    <w:rsid w:val="00B03643"/>
    <w:rsid w:val="00B06BB8"/>
    <w:rsid w:val="00B139EF"/>
    <w:rsid w:val="00B13AD3"/>
    <w:rsid w:val="00B1491D"/>
    <w:rsid w:val="00B1693A"/>
    <w:rsid w:val="00B170F6"/>
    <w:rsid w:val="00B20C0D"/>
    <w:rsid w:val="00B26B58"/>
    <w:rsid w:val="00B27383"/>
    <w:rsid w:val="00B31433"/>
    <w:rsid w:val="00B35E96"/>
    <w:rsid w:val="00B36F4A"/>
    <w:rsid w:val="00B445D9"/>
    <w:rsid w:val="00B50A69"/>
    <w:rsid w:val="00B532C3"/>
    <w:rsid w:val="00B60CCA"/>
    <w:rsid w:val="00B62228"/>
    <w:rsid w:val="00B725E4"/>
    <w:rsid w:val="00B74C7C"/>
    <w:rsid w:val="00B754AD"/>
    <w:rsid w:val="00B8335A"/>
    <w:rsid w:val="00B84143"/>
    <w:rsid w:val="00B860B5"/>
    <w:rsid w:val="00B94AFC"/>
    <w:rsid w:val="00B95F3B"/>
    <w:rsid w:val="00B96629"/>
    <w:rsid w:val="00BA0860"/>
    <w:rsid w:val="00BA4D95"/>
    <w:rsid w:val="00BA5A6C"/>
    <w:rsid w:val="00BB24D0"/>
    <w:rsid w:val="00BB5497"/>
    <w:rsid w:val="00BC3BE5"/>
    <w:rsid w:val="00BD0BA3"/>
    <w:rsid w:val="00BD4745"/>
    <w:rsid w:val="00BD6B3E"/>
    <w:rsid w:val="00BE182E"/>
    <w:rsid w:val="00BE4405"/>
    <w:rsid w:val="00BF5B32"/>
    <w:rsid w:val="00C06010"/>
    <w:rsid w:val="00C22340"/>
    <w:rsid w:val="00C229C3"/>
    <w:rsid w:val="00C22AB9"/>
    <w:rsid w:val="00C375F9"/>
    <w:rsid w:val="00C411AA"/>
    <w:rsid w:val="00C636C2"/>
    <w:rsid w:val="00C6535C"/>
    <w:rsid w:val="00C71A4B"/>
    <w:rsid w:val="00C87A6B"/>
    <w:rsid w:val="00C9267A"/>
    <w:rsid w:val="00CB56CD"/>
    <w:rsid w:val="00CB6BC5"/>
    <w:rsid w:val="00CC0C6D"/>
    <w:rsid w:val="00CD04DF"/>
    <w:rsid w:val="00CD2ADF"/>
    <w:rsid w:val="00CD3BA9"/>
    <w:rsid w:val="00CD4158"/>
    <w:rsid w:val="00D03290"/>
    <w:rsid w:val="00D04F41"/>
    <w:rsid w:val="00D068D4"/>
    <w:rsid w:val="00D108DB"/>
    <w:rsid w:val="00D14FAD"/>
    <w:rsid w:val="00D43DA6"/>
    <w:rsid w:val="00D47451"/>
    <w:rsid w:val="00D51F57"/>
    <w:rsid w:val="00D60E82"/>
    <w:rsid w:val="00D61A27"/>
    <w:rsid w:val="00D7136A"/>
    <w:rsid w:val="00D72D36"/>
    <w:rsid w:val="00D82194"/>
    <w:rsid w:val="00D82D67"/>
    <w:rsid w:val="00D943D6"/>
    <w:rsid w:val="00DA25F6"/>
    <w:rsid w:val="00DA2A81"/>
    <w:rsid w:val="00DA2C46"/>
    <w:rsid w:val="00DB4B4C"/>
    <w:rsid w:val="00DB58B1"/>
    <w:rsid w:val="00DC0E0A"/>
    <w:rsid w:val="00DC7A41"/>
    <w:rsid w:val="00DD315C"/>
    <w:rsid w:val="00DE22A0"/>
    <w:rsid w:val="00DE6CA5"/>
    <w:rsid w:val="00DE7389"/>
    <w:rsid w:val="00E11B1E"/>
    <w:rsid w:val="00E14009"/>
    <w:rsid w:val="00E149F0"/>
    <w:rsid w:val="00E16015"/>
    <w:rsid w:val="00E24412"/>
    <w:rsid w:val="00E25A33"/>
    <w:rsid w:val="00E37984"/>
    <w:rsid w:val="00E37FD3"/>
    <w:rsid w:val="00E474DF"/>
    <w:rsid w:val="00E51B48"/>
    <w:rsid w:val="00E64B09"/>
    <w:rsid w:val="00E659DB"/>
    <w:rsid w:val="00E65BFD"/>
    <w:rsid w:val="00E74222"/>
    <w:rsid w:val="00E75D86"/>
    <w:rsid w:val="00E86AE7"/>
    <w:rsid w:val="00E91EAD"/>
    <w:rsid w:val="00E92B64"/>
    <w:rsid w:val="00E96DB2"/>
    <w:rsid w:val="00EA1C83"/>
    <w:rsid w:val="00EA43F8"/>
    <w:rsid w:val="00EA6A0A"/>
    <w:rsid w:val="00EB38E2"/>
    <w:rsid w:val="00EC18FC"/>
    <w:rsid w:val="00EC37B4"/>
    <w:rsid w:val="00ED0E5B"/>
    <w:rsid w:val="00ED1C3D"/>
    <w:rsid w:val="00ED66F3"/>
    <w:rsid w:val="00ED7A68"/>
    <w:rsid w:val="00EE12C0"/>
    <w:rsid w:val="00EE523C"/>
    <w:rsid w:val="00EE6509"/>
    <w:rsid w:val="00EE68E4"/>
    <w:rsid w:val="00EF3FE6"/>
    <w:rsid w:val="00EF7DF2"/>
    <w:rsid w:val="00F046B8"/>
    <w:rsid w:val="00F04ECB"/>
    <w:rsid w:val="00F159FC"/>
    <w:rsid w:val="00F2009D"/>
    <w:rsid w:val="00F32FEB"/>
    <w:rsid w:val="00F514E4"/>
    <w:rsid w:val="00F53FA7"/>
    <w:rsid w:val="00F55E20"/>
    <w:rsid w:val="00F628C7"/>
    <w:rsid w:val="00F66E50"/>
    <w:rsid w:val="00F67C46"/>
    <w:rsid w:val="00F71F01"/>
    <w:rsid w:val="00F73897"/>
    <w:rsid w:val="00F77445"/>
    <w:rsid w:val="00F8213A"/>
    <w:rsid w:val="00F85F30"/>
    <w:rsid w:val="00F87883"/>
    <w:rsid w:val="00FA12CB"/>
    <w:rsid w:val="00FA20C0"/>
    <w:rsid w:val="00FA4D8A"/>
    <w:rsid w:val="00FB1FCA"/>
    <w:rsid w:val="00FB34DE"/>
    <w:rsid w:val="00FB5E27"/>
    <w:rsid w:val="00FC15A2"/>
    <w:rsid w:val="00FC2585"/>
    <w:rsid w:val="00FD0680"/>
    <w:rsid w:val="00FD3A6D"/>
    <w:rsid w:val="00FD4A60"/>
    <w:rsid w:val="00FE3BDD"/>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dusc-meetings/d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0" ma:contentTypeDescription="Create a new document." ma:contentTypeScope="" ma:versionID="df663873d4b5de0b56bc9ef44fe92492">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0925af273652a8d688500e4eec682305"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20794-E53E-444B-A76C-725875AB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customXml/itemProps3.xml><?xml version="1.0" encoding="utf-8"?>
<ds:datastoreItem xmlns:ds="http://schemas.openxmlformats.org/officeDocument/2006/customXml" ds:itemID="{D3320DF4-14F1-4F2F-A09A-020D53A375FE}">
  <ds:schemaRefs>
    <ds:schemaRef ds:uri="http://schemas.microsoft.com/office/2006/metadata/properties"/>
    <ds:schemaRef ds:uri="http://schemas.microsoft.com/office/infopath/2007/PartnerControls"/>
    <ds:schemaRef ds:uri="826ad85a-3479-4e4f-9f4e-f321c89067be"/>
  </ds:schemaRefs>
</ds:datastoreItem>
</file>

<file path=customXml/itemProps4.xml><?xml version="1.0" encoding="utf-8"?>
<ds:datastoreItem xmlns:ds="http://schemas.openxmlformats.org/officeDocument/2006/customXml" ds:itemID="{153F3DFB-81AB-44A9-A2AD-7C92EA7C8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2023-11-05T21:42:00Z</dcterms:created>
  <dcterms:modified xsi:type="dcterms:W3CDTF">2024-08-22T12:16:00Z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0x010100C4BA0F854552C1439E0B5A69FC45307D</vt:lpwstr>
  </property>
</Properties>
</file>