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AB0EE" w14:textId="7CDB471C" w:rsidR="00D7136A" w:rsidRDefault="00464DA0" w:rsidP="00052897">
      <w:pPr>
        <w:contextualSpacing/>
        <w:jc w:val="both"/>
        <w:rPr>
          <w:rFonts w:ascii="Arial" w:hAnsi="Arial" w:cs="Arial"/>
          <w:b/>
          <w:szCs w:val="20"/>
          <w:lang w:eastAsia="en-AU"/>
        </w:rPr>
      </w:pPr>
      <w:r>
        <w:rPr>
          <w:rFonts w:ascii="Arial" w:hAnsi="Arial" w:cs="Arial"/>
          <w:b/>
          <w:sz w:val="28"/>
          <w:lang w:eastAsia="en-AU"/>
        </w:rPr>
        <w:t xml:space="preserve">PBAC CONSIDERATION OF THE </w:t>
      </w:r>
      <w:r w:rsidR="00D7136A">
        <w:rPr>
          <w:rFonts w:ascii="Arial" w:hAnsi="Arial" w:cs="Arial"/>
          <w:b/>
          <w:sz w:val="28"/>
          <w:lang w:eastAsia="en-AU"/>
        </w:rPr>
        <w:t>REPORT</w:t>
      </w:r>
      <w:r w:rsidR="00267A9D">
        <w:rPr>
          <w:rFonts w:ascii="Arial" w:hAnsi="Arial" w:cs="Arial"/>
          <w:b/>
          <w:sz w:val="28"/>
          <w:lang w:eastAsia="en-AU"/>
        </w:rPr>
        <w:t xml:space="preserve"> OF THE DRUG </w:t>
      </w:r>
      <w:r w:rsidR="00D7136A" w:rsidRPr="00B94022">
        <w:rPr>
          <w:rFonts w:ascii="Arial" w:hAnsi="Arial" w:cs="Arial"/>
          <w:b/>
          <w:sz w:val="28"/>
          <w:lang w:eastAsia="en-AU"/>
        </w:rPr>
        <w:t>UTILISATION SUB-COMMITTEE</w:t>
      </w:r>
    </w:p>
    <w:p w14:paraId="7F124E9C" w14:textId="77777777" w:rsidR="00D7136A" w:rsidRPr="006951BF" w:rsidRDefault="00D7136A" w:rsidP="00052897">
      <w:pPr>
        <w:jc w:val="both"/>
        <w:rPr>
          <w:rFonts w:ascii="Arial" w:hAnsi="Arial" w:cs="Arial"/>
          <w:b/>
          <w:sz w:val="28"/>
          <w:szCs w:val="20"/>
          <w:lang w:eastAsia="en-AU"/>
        </w:rPr>
      </w:pPr>
    </w:p>
    <w:p w14:paraId="2BEF9007" w14:textId="1FE3BFB2" w:rsidR="005616CC" w:rsidRPr="009E20A4" w:rsidRDefault="00D7136A" w:rsidP="00052897">
      <w:pPr>
        <w:contextualSpacing/>
        <w:jc w:val="both"/>
        <w:rPr>
          <w:rFonts w:ascii="Arial" w:hAnsi="Arial" w:cs="Arial"/>
          <w:color w:val="A6A6A6"/>
          <w:sz w:val="22"/>
          <w:lang w:eastAsia="en-AU"/>
        </w:rPr>
      </w:pPr>
      <w:r w:rsidRPr="006951BF">
        <w:rPr>
          <w:rFonts w:ascii="Arial" w:hAnsi="Arial" w:cs="Arial"/>
          <w:sz w:val="22"/>
          <w:lang w:eastAsia="en-AU"/>
        </w:rPr>
        <w:t xml:space="preserve">The PBAC noted reports with associated stakeholder responses from the </w:t>
      </w:r>
      <w:r w:rsidR="00C71A4B">
        <w:rPr>
          <w:rFonts w:ascii="Arial" w:hAnsi="Arial" w:cs="Arial"/>
          <w:sz w:val="22"/>
          <w:lang w:eastAsia="en-AU"/>
        </w:rPr>
        <w:t>February</w:t>
      </w:r>
      <w:r w:rsidR="00BD02B3">
        <w:rPr>
          <w:rFonts w:ascii="Arial" w:hAnsi="Arial" w:cs="Arial"/>
          <w:sz w:val="22"/>
          <w:lang w:eastAsia="en-AU"/>
        </w:rPr>
        <w:t> </w:t>
      </w:r>
      <w:r w:rsidR="00C71A4B">
        <w:rPr>
          <w:rFonts w:ascii="Arial" w:hAnsi="Arial" w:cs="Arial"/>
          <w:sz w:val="22"/>
          <w:lang w:eastAsia="en-AU"/>
        </w:rPr>
        <w:t>2024</w:t>
      </w:r>
      <w:r w:rsidR="00DB4B4C">
        <w:rPr>
          <w:rFonts w:ascii="Arial" w:hAnsi="Arial" w:cs="Arial"/>
          <w:sz w:val="22"/>
          <w:lang w:eastAsia="en-AU"/>
        </w:rPr>
        <w:t xml:space="preserve"> </w:t>
      </w:r>
      <w:r w:rsidR="00A31269" w:rsidRPr="006951BF">
        <w:rPr>
          <w:rFonts w:ascii="Arial" w:hAnsi="Arial" w:cs="Arial"/>
          <w:sz w:val="22"/>
          <w:lang w:eastAsia="en-AU"/>
        </w:rPr>
        <w:t xml:space="preserve">Drug Utilisation Sub-Committee (DUSC) </w:t>
      </w:r>
      <w:r w:rsidRPr="006951BF">
        <w:rPr>
          <w:rFonts w:ascii="Arial" w:hAnsi="Arial" w:cs="Arial"/>
          <w:sz w:val="22"/>
          <w:lang w:eastAsia="en-AU"/>
        </w:rPr>
        <w:t>meeting, which were provided in Item</w:t>
      </w:r>
      <w:r w:rsidR="00A31269" w:rsidRPr="006951BF">
        <w:rPr>
          <w:rFonts w:ascii="Arial" w:hAnsi="Arial" w:cs="Arial"/>
          <w:sz w:val="22"/>
          <w:lang w:eastAsia="en-AU"/>
        </w:rPr>
        <w:t xml:space="preserve">s </w:t>
      </w:r>
      <w:r w:rsidR="006354AB">
        <w:rPr>
          <w:rFonts w:ascii="Arial" w:hAnsi="Arial" w:cs="Arial"/>
          <w:sz w:val="22"/>
          <w:lang w:eastAsia="en-AU"/>
        </w:rPr>
        <w:t>10.</w:t>
      </w:r>
      <w:r w:rsidR="008621E7">
        <w:rPr>
          <w:rFonts w:ascii="Arial" w:hAnsi="Arial" w:cs="Arial"/>
          <w:sz w:val="22"/>
          <w:lang w:eastAsia="en-AU"/>
        </w:rPr>
        <w:t>0</w:t>
      </w:r>
      <w:r w:rsidR="00C9267A">
        <w:rPr>
          <w:rFonts w:ascii="Arial" w:hAnsi="Arial" w:cs="Arial"/>
          <w:sz w:val="22"/>
          <w:lang w:eastAsia="en-AU"/>
        </w:rPr>
        <w:t>4, 10.05, 10</w:t>
      </w:r>
      <w:r w:rsidR="00053A39">
        <w:rPr>
          <w:rFonts w:ascii="Arial" w:hAnsi="Arial" w:cs="Arial"/>
          <w:sz w:val="22"/>
          <w:lang w:eastAsia="en-AU"/>
        </w:rPr>
        <w:t>.06</w:t>
      </w:r>
      <w:r w:rsidR="00D943D6">
        <w:rPr>
          <w:rFonts w:ascii="Arial" w:hAnsi="Arial" w:cs="Arial"/>
          <w:sz w:val="22"/>
          <w:lang w:eastAsia="en-AU"/>
        </w:rPr>
        <w:t>, and 10.07</w:t>
      </w:r>
      <w:r w:rsidR="00C229C3">
        <w:rPr>
          <w:rFonts w:ascii="Arial" w:hAnsi="Arial" w:cs="Arial"/>
          <w:sz w:val="22"/>
          <w:lang w:eastAsia="en-AU"/>
        </w:rPr>
        <w:t xml:space="preserve"> </w:t>
      </w:r>
      <w:r w:rsidRPr="006951BF">
        <w:rPr>
          <w:rFonts w:ascii="Arial" w:hAnsi="Arial" w:cs="Arial"/>
          <w:sz w:val="22"/>
          <w:lang w:eastAsia="en-AU"/>
        </w:rPr>
        <w:t xml:space="preserve">of the PBAC Agenda. </w:t>
      </w:r>
      <w:r w:rsidR="00A31269" w:rsidRPr="006951BF">
        <w:rPr>
          <w:rFonts w:ascii="Arial" w:hAnsi="Arial" w:cs="Arial"/>
          <w:sz w:val="22"/>
          <w:lang w:eastAsia="en-AU"/>
        </w:rPr>
        <w:t>DUSC minutes relating to these items were provided to the PBAC</w:t>
      </w:r>
      <w:r w:rsidR="00F8213A">
        <w:rPr>
          <w:rFonts w:ascii="Arial" w:hAnsi="Arial" w:cs="Arial"/>
          <w:sz w:val="22"/>
          <w:lang w:eastAsia="en-AU"/>
        </w:rPr>
        <w:t>. The outcomes of the DUSC consideration of these items are available in</w:t>
      </w:r>
      <w:r w:rsidR="00CB6BC5">
        <w:rPr>
          <w:rFonts w:ascii="Arial" w:hAnsi="Arial" w:cs="Arial"/>
          <w:sz w:val="22"/>
          <w:lang w:eastAsia="en-AU"/>
        </w:rPr>
        <w:t xml:space="preserve"> the</w:t>
      </w:r>
      <w:r w:rsidR="00BD0BA3">
        <w:rPr>
          <w:rFonts w:ascii="Arial" w:hAnsi="Arial" w:cs="Arial"/>
          <w:sz w:val="22"/>
          <w:lang w:eastAsia="en-AU"/>
        </w:rPr>
        <w:t xml:space="preserve"> </w:t>
      </w:r>
      <w:hyperlink r:id="rId11" w:history="1">
        <w:r w:rsidR="00854810">
          <w:rPr>
            <w:rStyle w:val="Hyperlink"/>
            <w:rFonts w:ascii="Arial" w:hAnsi="Arial" w:cs="Arial"/>
            <w:sz w:val="22"/>
            <w:lang w:eastAsia="en-AU"/>
          </w:rPr>
          <w:t>February 2024 DUSC outcome statement</w:t>
        </w:r>
      </w:hyperlink>
      <w:r w:rsidR="00BD0BA3">
        <w:rPr>
          <w:rFonts w:ascii="Arial" w:hAnsi="Arial" w:cs="Arial"/>
          <w:sz w:val="22"/>
          <w:lang w:eastAsia="en-AU"/>
        </w:rPr>
        <w:t>.</w:t>
      </w:r>
    </w:p>
    <w:p w14:paraId="5DB2DFD8" w14:textId="77777777" w:rsidR="001E1951" w:rsidRPr="006951BF" w:rsidRDefault="001E1951" w:rsidP="00973009">
      <w:pPr>
        <w:contextualSpacing/>
        <w:jc w:val="both"/>
        <w:rPr>
          <w:rFonts w:ascii="Arial" w:hAnsi="Arial" w:cs="Arial"/>
          <w:b/>
          <w:sz w:val="22"/>
          <w:lang w:eastAsia="en-AU"/>
        </w:rPr>
      </w:pPr>
    </w:p>
    <w:p w14:paraId="116C07DB" w14:textId="77777777" w:rsidR="00053F80" w:rsidRPr="00DA2C46" w:rsidRDefault="00053F80" w:rsidP="00486875">
      <w:pPr>
        <w:spacing w:after="120"/>
        <w:jc w:val="both"/>
        <w:rPr>
          <w:rFonts w:ascii="Arial" w:hAnsi="Arial" w:cs="Arial"/>
          <w:i/>
          <w:sz w:val="22"/>
          <w:szCs w:val="22"/>
        </w:rPr>
      </w:pPr>
      <w:r w:rsidRPr="00DA2C46">
        <w:rPr>
          <w:rFonts w:ascii="Arial" w:hAnsi="Arial" w:cs="Arial"/>
          <w:b/>
          <w:caps/>
          <w:sz w:val="22"/>
          <w:szCs w:val="22"/>
          <w:lang w:eastAsia="en-AU"/>
        </w:rPr>
        <w:t>DUPILUMAB FOR SEVERE ASTHMA</w:t>
      </w:r>
      <w:r w:rsidRPr="00DA2C46">
        <w:rPr>
          <w:rFonts w:ascii="Arial" w:hAnsi="Arial" w:cs="Arial"/>
          <w:i/>
          <w:sz w:val="22"/>
          <w:szCs w:val="22"/>
        </w:rPr>
        <w:t xml:space="preserve"> </w:t>
      </w:r>
    </w:p>
    <w:p w14:paraId="73441F07" w14:textId="3763F99F" w:rsidR="00ED66F3" w:rsidRPr="00DA2C46" w:rsidRDefault="00ED66F3" w:rsidP="00ED66F3">
      <w:pPr>
        <w:spacing w:after="120"/>
        <w:jc w:val="both"/>
        <w:rPr>
          <w:rFonts w:ascii="Arial" w:hAnsi="Arial" w:cs="Arial"/>
          <w:i/>
          <w:sz w:val="22"/>
          <w:szCs w:val="22"/>
        </w:rPr>
      </w:pPr>
      <w:r w:rsidRPr="00DA2C46">
        <w:rPr>
          <w:rFonts w:ascii="Arial" w:hAnsi="Arial" w:cs="Arial"/>
          <w:i/>
          <w:sz w:val="22"/>
          <w:szCs w:val="22"/>
        </w:rPr>
        <w:t>Outcome</w:t>
      </w:r>
    </w:p>
    <w:p w14:paraId="503E640D" w14:textId="263B81B1" w:rsidR="002756E4" w:rsidRDefault="00B170F6" w:rsidP="008571DE">
      <w:pPr>
        <w:spacing w:after="120"/>
        <w:jc w:val="both"/>
        <w:rPr>
          <w:rFonts w:ascii="Arial" w:hAnsi="Arial" w:cs="Arial"/>
          <w:iCs/>
          <w:sz w:val="22"/>
          <w:szCs w:val="22"/>
        </w:rPr>
      </w:pPr>
      <w:r w:rsidRPr="00DA2C46">
        <w:rPr>
          <w:rFonts w:ascii="Arial" w:hAnsi="Arial" w:cs="Arial"/>
          <w:iCs/>
          <w:sz w:val="22"/>
          <w:szCs w:val="22"/>
        </w:rPr>
        <w:t xml:space="preserve">The PBAC noted that the submission had assumed market growth would not be affected by the listing of </w:t>
      </w:r>
      <w:proofErr w:type="gramStart"/>
      <w:r w:rsidRPr="00DA2C46">
        <w:rPr>
          <w:rFonts w:ascii="Arial" w:hAnsi="Arial" w:cs="Arial"/>
          <w:iCs/>
          <w:sz w:val="22"/>
          <w:szCs w:val="22"/>
        </w:rPr>
        <w:t>dupilumab, but</w:t>
      </w:r>
      <w:proofErr w:type="gramEnd"/>
      <w:r w:rsidRPr="00DA2C46">
        <w:rPr>
          <w:rFonts w:ascii="Arial" w:hAnsi="Arial" w:cs="Arial"/>
          <w:iCs/>
          <w:sz w:val="22"/>
          <w:szCs w:val="22"/>
        </w:rPr>
        <w:t xml:space="preserve"> noted that there was an increase in the number of treated patients.</w:t>
      </w:r>
      <w:r w:rsidR="001C658A" w:rsidRPr="00DA2C46">
        <w:rPr>
          <w:rFonts w:ascii="Arial" w:hAnsi="Arial" w:cs="Arial"/>
          <w:iCs/>
          <w:sz w:val="22"/>
          <w:szCs w:val="22"/>
        </w:rPr>
        <w:t xml:space="preserve"> </w:t>
      </w:r>
      <w:r w:rsidR="008571DE" w:rsidRPr="00DA2C46">
        <w:rPr>
          <w:rFonts w:ascii="Arial" w:hAnsi="Arial" w:cs="Arial"/>
          <w:iCs/>
          <w:sz w:val="22"/>
          <w:szCs w:val="22"/>
        </w:rPr>
        <w:t xml:space="preserve">The PBAC noted that the predicted versus actual </w:t>
      </w:r>
      <w:r w:rsidR="001F4B84" w:rsidRPr="00DA2C46">
        <w:rPr>
          <w:rFonts w:ascii="Arial" w:hAnsi="Arial" w:cs="Arial"/>
          <w:iCs/>
          <w:sz w:val="22"/>
          <w:szCs w:val="22"/>
        </w:rPr>
        <w:t xml:space="preserve">utilisation </w:t>
      </w:r>
      <w:r w:rsidR="008571DE" w:rsidRPr="00DA2C46">
        <w:rPr>
          <w:rFonts w:ascii="Arial" w:hAnsi="Arial" w:cs="Arial"/>
          <w:iCs/>
          <w:sz w:val="22"/>
          <w:szCs w:val="22"/>
        </w:rPr>
        <w:t>was</w:t>
      </w:r>
      <w:r w:rsidR="001F4B84" w:rsidRPr="00DA2C46">
        <w:rPr>
          <w:rFonts w:ascii="Arial" w:hAnsi="Arial" w:cs="Arial"/>
          <w:iCs/>
          <w:sz w:val="22"/>
          <w:szCs w:val="22"/>
        </w:rPr>
        <w:t xml:space="preserve"> different.</w:t>
      </w:r>
      <w:r w:rsidR="008571DE" w:rsidRPr="00DA2C46">
        <w:rPr>
          <w:rFonts w:ascii="Arial" w:hAnsi="Arial" w:cs="Arial"/>
          <w:iCs/>
          <w:sz w:val="22"/>
          <w:szCs w:val="22"/>
        </w:rPr>
        <w:t xml:space="preserve"> The PBAC noted th</w:t>
      </w:r>
      <w:r w:rsidR="001F4B84" w:rsidRPr="00DA2C46">
        <w:rPr>
          <w:rFonts w:ascii="Arial" w:hAnsi="Arial" w:cs="Arial"/>
          <w:iCs/>
          <w:sz w:val="22"/>
          <w:szCs w:val="22"/>
        </w:rPr>
        <w:t>at</w:t>
      </w:r>
      <w:r w:rsidR="008571DE" w:rsidRPr="00DA2C46">
        <w:rPr>
          <w:rFonts w:ascii="Arial" w:hAnsi="Arial" w:cs="Arial"/>
          <w:iCs/>
          <w:sz w:val="22"/>
          <w:szCs w:val="22"/>
        </w:rPr>
        <w:t xml:space="preserve"> in the second quarter of 2020 </w:t>
      </w:r>
      <w:r w:rsidR="001F4B84" w:rsidRPr="00DA2C46">
        <w:rPr>
          <w:rFonts w:ascii="Arial" w:hAnsi="Arial" w:cs="Arial"/>
          <w:iCs/>
          <w:sz w:val="22"/>
          <w:szCs w:val="22"/>
        </w:rPr>
        <w:t xml:space="preserve">there were </w:t>
      </w:r>
      <w:r w:rsidR="008571DE" w:rsidRPr="00DA2C46">
        <w:rPr>
          <w:rFonts w:ascii="Arial" w:hAnsi="Arial" w:cs="Arial"/>
          <w:iCs/>
          <w:sz w:val="22"/>
          <w:szCs w:val="22"/>
        </w:rPr>
        <w:t>prescriptions supplied that were prescribed by clinicians who were not Respiratory and Sleep Medicine, Internal Medicine or Immunology and Allergy specialists. The PBAC noted this was likely because there was higher prescribing by GPs in this quarter as patients had issues accessing specialists due to the start of the COVID-19 pandemic.</w:t>
      </w:r>
      <w:r w:rsidR="00027CEB" w:rsidRPr="00DA2C46">
        <w:rPr>
          <w:rFonts w:ascii="Arial" w:hAnsi="Arial" w:cs="Arial"/>
          <w:iCs/>
          <w:sz w:val="22"/>
          <w:szCs w:val="22"/>
        </w:rPr>
        <w:t xml:space="preserve"> </w:t>
      </w:r>
      <w:r w:rsidR="008571DE" w:rsidRPr="00DA2C46">
        <w:rPr>
          <w:rFonts w:ascii="Arial" w:hAnsi="Arial" w:cs="Arial"/>
          <w:iCs/>
          <w:sz w:val="22"/>
          <w:szCs w:val="22"/>
        </w:rPr>
        <w:t>The PBAC noted that there was variability in use across Australia, as the standardised number of initiating patients from Tasmania was almost double the number from Western Australia.</w:t>
      </w:r>
    </w:p>
    <w:p w14:paraId="67CDAEAD" w14:textId="77777777" w:rsidR="00A80D1E" w:rsidRPr="00DA2C46" w:rsidRDefault="00A80D1E" w:rsidP="008571DE">
      <w:pPr>
        <w:spacing w:after="120"/>
        <w:jc w:val="both"/>
        <w:rPr>
          <w:rFonts w:ascii="Arial" w:hAnsi="Arial" w:cs="Arial"/>
          <w:iCs/>
          <w:sz w:val="22"/>
          <w:szCs w:val="22"/>
        </w:rPr>
      </w:pPr>
    </w:p>
    <w:p w14:paraId="575FBE2A" w14:textId="6D8A2E8D" w:rsidR="00FA20C0" w:rsidRPr="00DA2C46" w:rsidRDefault="00FA20C0" w:rsidP="00A80D1E">
      <w:pPr>
        <w:keepNext/>
        <w:spacing w:after="120"/>
        <w:jc w:val="both"/>
        <w:rPr>
          <w:rFonts w:ascii="Arial" w:hAnsi="Arial" w:cs="Arial"/>
          <w:b/>
          <w:caps/>
          <w:sz w:val="22"/>
          <w:szCs w:val="22"/>
          <w:lang w:eastAsia="en-AU"/>
        </w:rPr>
      </w:pPr>
      <w:r w:rsidRPr="00DA2C46">
        <w:rPr>
          <w:rFonts w:ascii="Arial" w:hAnsi="Arial" w:cs="Arial"/>
          <w:b/>
          <w:caps/>
          <w:sz w:val="22"/>
          <w:szCs w:val="22"/>
          <w:lang w:eastAsia="en-AU"/>
        </w:rPr>
        <w:t>nivolumab and ipilimumab for unresectable malignant mesothelioma</w:t>
      </w:r>
    </w:p>
    <w:p w14:paraId="545A7FD4" w14:textId="54B8FA1B" w:rsidR="002756E4" w:rsidRPr="00DA2C46" w:rsidRDefault="002756E4" w:rsidP="00A80D1E">
      <w:pPr>
        <w:keepNext/>
        <w:spacing w:after="120"/>
        <w:jc w:val="both"/>
        <w:rPr>
          <w:rFonts w:ascii="Arial" w:hAnsi="Arial" w:cs="Arial"/>
          <w:i/>
          <w:sz w:val="22"/>
          <w:szCs w:val="22"/>
        </w:rPr>
      </w:pPr>
      <w:r w:rsidRPr="00DA2C46">
        <w:rPr>
          <w:rFonts w:ascii="Arial" w:hAnsi="Arial" w:cs="Arial"/>
          <w:i/>
          <w:sz w:val="22"/>
          <w:szCs w:val="22"/>
        </w:rPr>
        <w:t>Outcome</w:t>
      </w:r>
    </w:p>
    <w:p w14:paraId="6A51E891" w14:textId="5DEEE222" w:rsidR="00821B15" w:rsidRPr="00DA2C46" w:rsidRDefault="00821B15" w:rsidP="00821B15">
      <w:pPr>
        <w:spacing w:before="120" w:after="120"/>
        <w:jc w:val="both"/>
        <w:rPr>
          <w:rFonts w:ascii="Arial" w:hAnsi="Arial" w:cs="Arial"/>
          <w:sz w:val="22"/>
          <w:szCs w:val="22"/>
        </w:rPr>
      </w:pPr>
      <w:r w:rsidRPr="00DA2C46">
        <w:rPr>
          <w:rFonts w:ascii="Arial" w:hAnsi="Arial" w:cs="Arial"/>
          <w:sz w:val="22"/>
          <w:szCs w:val="22"/>
        </w:rPr>
        <w:t xml:space="preserve">The PBAC considered that the increasing incidence of mesothelioma that was noted by the PBAC and DUSC in March 2021, </w:t>
      </w:r>
      <w:r w:rsidR="0018016B" w:rsidRPr="00DA2C46">
        <w:rPr>
          <w:rFonts w:ascii="Arial" w:hAnsi="Arial" w:cs="Arial"/>
          <w:sz w:val="22"/>
          <w:szCs w:val="22"/>
        </w:rPr>
        <w:t>wa</w:t>
      </w:r>
      <w:r w:rsidRPr="00DA2C46">
        <w:rPr>
          <w:rFonts w:ascii="Arial" w:hAnsi="Arial" w:cs="Arial"/>
          <w:sz w:val="22"/>
          <w:szCs w:val="22"/>
        </w:rPr>
        <w:t>s likely contributing to the slight increase in initiating patients per quarter</w:t>
      </w:r>
      <w:r w:rsidR="0018016B" w:rsidRPr="00DA2C46">
        <w:rPr>
          <w:rFonts w:ascii="Arial" w:hAnsi="Arial" w:cs="Arial"/>
          <w:sz w:val="22"/>
          <w:szCs w:val="22"/>
        </w:rPr>
        <w:t>.</w:t>
      </w:r>
    </w:p>
    <w:p w14:paraId="54662CAF" w14:textId="48585323" w:rsidR="00F04ECB" w:rsidRDefault="00821B15" w:rsidP="00DA2C46">
      <w:pPr>
        <w:spacing w:before="120" w:after="120"/>
        <w:jc w:val="both"/>
        <w:rPr>
          <w:rFonts w:ascii="Arial" w:hAnsi="Arial" w:cs="Arial"/>
          <w:sz w:val="22"/>
          <w:szCs w:val="22"/>
        </w:rPr>
      </w:pPr>
      <w:r w:rsidRPr="00DA2C46">
        <w:rPr>
          <w:rFonts w:ascii="Arial" w:hAnsi="Arial" w:cs="Arial"/>
          <w:sz w:val="22"/>
          <w:szCs w:val="22"/>
        </w:rPr>
        <w:t>The PBAC noted dosing of nivolumab was primarily three-weekly flat-dosing with approximately 47% of prescriptions dispensed as 360</w:t>
      </w:r>
      <w:r w:rsidR="00A80D1E">
        <w:rPr>
          <w:rFonts w:ascii="Arial" w:hAnsi="Arial" w:cs="Arial"/>
          <w:sz w:val="22"/>
          <w:szCs w:val="22"/>
        </w:rPr>
        <w:t> </w:t>
      </w:r>
      <w:r w:rsidRPr="00DA2C46">
        <w:rPr>
          <w:rFonts w:ascii="Arial" w:hAnsi="Arial" w:cs="Arial"/>
          <w:sz w:val="22"/>
          <w:szCs w:val="22"/>
        </w:rPr>
        <w:t>mg.</w:t>
      </w:r>
      <w:r w:rsidR="00332BA2" w:rsidRPr="00DA2C46">
        <w:rPr>
          <w:rFonts w:ascii="Arial" w:hAnsi="Arial" w:cs="Arial"/>
          <w:sz w:val="22"/>
          <w:szCs w:val="22"/>
        </w:rPr>
        <w:t xml:space="preserve"> </w:t>
      </w:r>
      <w:r w:rsidRPr="00DA2C46">
        <w:rPr>
          <w:rFonts w:ascii="Arial" w:hAnsi="Arial" w:cs="Arial"/>
          <w:sz w:val="22"/>
          <w:szCs w:val="22"/>
        </w:rPr>
        <w:t xml:space="preserve">The submission based the cost per infusion on the </w:t>
      </w:r>
      <w:r w:rsidR="002F3398" w:rsidRPr="00DA2C46">
        <w:rPr>
          <w:rFonts w:ascii="Arial" w:hAnsi="Arial" w:cs="Arial"/>
          <w:sz w:val="22"/>
          <w:szCs w:val="22"/>
        </w:rPr>
        <w:t xml:space="preserve">Checkmate 743 protocol </w:t>
      </w:r>
      <w:r w:rsidRPr="00DA2C46">
        <w:rPr>
          <w:rFonts w:ascii="Arial" w:hAnsi="Arial" w:cs="Arial"/>
          <w:sz w:val="22"/>
          <w:szCs w:val="22"/>
        </w:rPr>
        <w:t xml:space="preserve">of </w:t>
      </w:r>
      <w:r w:rsidR="002F3398" w:rsidRPr="00DA2C46">
        <w:rPr>
          <w:rFonts w:ascii="Arial" w:hAnsi="Arial" w:cs="Arial"/>
          <w:sz w:val="22"/>
          <w:szCs w:val="22"/>
        </w:rPr>
        <w:t>3</w:t>
      </w:r>
      <w:r w:rsidR="00A80D1E">
        <w:rPr>
          <w:rFonts w:ascii="Arial" w:hAnsi="Arial" w:cs="Arial"/>
          <w:sz w:val="22"/>
          <w:szCs w:val="22"/>
        </w:rPr>
        <w:t> </w:t>
      </w:r>
      <w:r w:rsidR="002F3398" w:rsidRPr="00DA2C46">
        <w:rPr>
          <w:rFonts w:ascii="Arial" w:hAnsi="Arial" w:cs="Arial"/>
          <w:sz w:val="22"/>
          <w:szCs w:val="22"/>
        </w:rPr>
        <w:t xml:space="preserve">mg/kg </w:t>
      </w:r>
      <w:r w:rsidRPr="00DA2C46">
        <w:rPr>
          <w:rFonts w:ascii="Arial" w:hAnsi="Arial" w:cs="Arial"/>
          <w:sz w:val="22"/>
          <w:szCs w:val="22"/>
        </w:rPr>
        <w:t xml:space="preserve">and an average patient weight of </w:t>
      </w:r>
      <w:r w:rsidR="002F3398" w:rsidRPr="00DA2C46">
        <w:rPr>
          <w:rFonts w:ascii="Arial" w:hAnsi="Arial" w:cs="Arial"/>
          <w:sz w:val="22"/>
          <w:szCs w:val="22"/>
        </w:rPr>
        <w:t>72.75</w:t>
      </w:r>
      <w:r w:rsidR="00A80D1E">
        <w:rPr>
          <w:rFonts w:ascii="Arial" w:hAnsi="Arial" w:cs="Arial"/>
          <w:sz w:val="22"/>
          <w:szCs w:val="22"/>
        </w:rPr>
        <w:t> </w:t>
      </w:r>
      <w:r w:rsidRPr="00DA2C46">
        <w:rPr>
          <w:rFonts w:ascii="Arial" w:hAnsi="Arial" w:cs="Arial"/>
          <w:sz w:val="22"/>
          <w:szCs w:val="22"/>
        </w:rPr>
        <w:t xml:space="preserve">kg. The PBAC and DUSC in March 2021 considered that this would </w:t>
      </w:r>
      <w:r w:rsidR="00E92B64" w:rsidRPr="00DA2C46">
        <w:rPr>
          <w:rFonts w:ascii="Arial" w:hAnsi="Arial" w:cs="Arial"/>
          <w:sz w:val="22"/>
          <w:szCs w:val="22"/>
        </w:rPr>
        <w:t xml:space="preserve">underestimate </w:t>
      </w:r>
      <w:r w:rsidRPr="00DA2C46">
        <w:rPr>
          <w:rFonts w:ascii="Arial" w:hAnsi="Arial" w:cs="Arial"/>
          <w:sz w:val="22"/>
          <w:szCs w:val="22"/>
        </w:rPr>
        <w:t xml:space="preserve">utilisation as patients in the trial would likely be fitter than the general Australian population which would also have a higher proportion of males. The increased actual cost to the PBS/RPBS seen in Year 2 </w:t>
      </w:r>
      <w:r w:rsidR="00FB34DE" w:rsidRPr="00DA2C46">
        <w:rPr>
          <w:rFonts w:ascii="Arial" w:hAnsi="Arial" w:cs="Arial"/>
          <w:sz w:val="22"/>
          <w:szCs w:val="22"/>
        </w:rPr>
        <w:t>was</w:t>
      </w:r>
      <w:r w:rsidRPr="00DA2C46">
        <w:rPr>
          <w:rFonts w:ascii="Arial" w:hAnsi="Arial" w:cs="Arial"/>
          <w:sz w:val="22"/>
          <w:szCs w:val="22"/>
        </w:rPr>
        <w:t xml:space="preserve"> illustrative of these higher doses being used.</w:t>
      </w:r>
    </w:p>
    <w:p w14:paraId="350273DD" w14:textId="77777777" w:rsidR="00A80D1E" w:rsidRPr="00DA2C46" w:rsidRDefault="00A80D1E" w:rsidP="00DA2C46">
      <w:pPr>
        <w:spacing w:before="120" w:after="120"/>
        <w:jc w:val="both"/>
        <w:rPr>
          <w:rFonts w:ascii="Arial" w:hAnsi="Arial" w:cs="Arial"/>
          <w:sz w:val="22"/>
          <w:szCs w:val="22"/>
        </w:rPr>
      </w:pPr>
    </w:p>
    <w:p w14:paraId="583487AA" w14:textId="77777777" w:rsidR="00B27383" w:rsidRPr="00DA2C46" w:rsidRDefault="00B27383" w:rsidP="00347C95">
      <w:pPr>
        <w:spacing w:after="120"/>
        <w:jc w:val="both"/>
        <w:rPr>
          <w:rFonts w:ascii="Arial" w:hAnsi="Arial" w:cs="Arial"/>
          <w:i/>
          <w:sz w:val="22"/>
          <w:szCs w:val="22"/>
        </w:rPr>
      </w:pPr>
      <w:r w:rsidRPr="00DA2C46">
        <w:rPr>
          <w:rFonts w:ascii="Arial" w:hAnsi="Arial" w:cs="Arial"/>
          <w:b/>
          <w:sz w:val="22"/>
          <w:szCs w:val="22"/>
          <w:lang w:eastAsia="en-AU"/>
        </w:rPr>
        <w:t>PROGESTERONE FOR PREVENTION OF PRETERM BIRTH</w:t>
      </w:r>
      <w:r w:rsidRPr="00DA2C46">
        <w:rPr>
          <w:rFonts w:ascii="Arial" w:hAnsi="Arial" w:cs="Arial"/>
          <w:i/>
          <w:sz w:val="22"/>
          <w:szCs w:val="22"/>
        </w:rPr>
        <w:t xml:space="preserve"> </w:t>
      </w:r>
    </w:p>
    <w:p w14:paraId="235B1E64" w14:textId="023C23C2" w:rsidR="00AF144F" w:rsidRPr="00DA2C46" w:rsidRDefault="00DE22A0" w:rsidP="00347C95">
      <w:pPr>
        <w:spacing w:after="120"/>
        <w:jc w:val="both"/>
        <w:rPr>
          <w:rFonts w:ascii="Arial" w:hAnsi="Arial" w:cs="Arial"/>
          <w:i/>
          <w:sz w:val="22"/>
          <w:szCs w:val="22"/>
        </w:rPr>
      </w:pPr>
      <w:r w:rsidRPr="00DA2C46">
        <w:rPr>
          <w:rFonts w:ascii="Arial" w:hAnsi="Arial" w:cs="Arial"/>
          <w:i/>
          <w:sz w:val="22"/>
          <w:szCs w:val="22"/>
        </w:rPr>
        <w:t>Outcome</w:t>
      </w:r>
    </w:p>
    <w:p w14:paraId="4A9FAA86" w14:textId="4AB91290" w:rsidR="00222E8B" w:rsidRPr="00DA2C46" w:rsidRDefault="00222E8B" w:rsidP="00A80D1E">
      <w:pPr>
        <w:spacing w:before="120" w:after="120"/>
        <w:jc w:val="both"/>
        <w:rPr>
          <w:rFonts w:ascii="Arial" w:hAnsi="Arial" w:cs="Arial"/>
          <w:sz w:val="22"/>
          <w:szCs w:val="22"/>
        </w:rPr>
      </w:pPr>
      <w:r w:rsidRPr="00DA2C46">
        <w:rPr>
          <w:rFonts w:ascii="Arial" w:hAnsi="Arial" w:cs="Arial"/>
          <w:sz w:val="22"/>
          <w:szCs w:val="22"/>
        </w:rPr>
        <w:t>The PBAC noted that the mean number of scripts suggest</w:t>
      </w:r>
      <w:r w:rsidR="00AB5403" w:rsidRPr="00DA2C46">
        <w:rPr>
          <w:rFonts w:ascii="Arial" w:hAnsi="Arial" w:cs="Arial"/>
          <w:sz w:val="22"/>
          <w:szCs w:val="22"/>
        </w:rPr>
        <w:t>ed</w:t>
      </w:r>
      <w:r w:rsidRPr="00DA2C46">
        <w:rPr>
          <w:rFonts w:ascii="Arial" w:hAnsi="Arial" w:cs="Arial"/>
          <w:sz w:val="22"/>
          <w:szCs w:val="22"/>
        </w:rPr>
        <w:t xml:space="preserve"> that the treatment duration for progesterone was</w:t>
      </w:r>
      <w:r w:rsidR="00D43DA6" w:rsidRPr="00DA2C46">
        <w:rPr>
          <w:rFonts w:ascii="Arial" w:hAnsi="Arial" w:cs="Arial"/>
          <w:sz w:val="22"/>
          <w:szCs w:val="22"/>
        </w:rPr>
        <w:t xml:space="preserve"> different to what was anticipated</w:t>
      </w:r>
      <w:r w:rsidRPr="00DA2C46">
        <w:rPr>
          <w:rFonts w:ascii="Arial" w:hAnsi="Arial" w:cs="Arial"/>
          <w:sz w:val="22"/>
          <w:szCs w:val="22"/>
        </w:rPr>
        <w:t xml:space="preserve">. </w:t>
      </w:r>
      <w:r w:rsidR="00D43DA6" w:rsidRPr="00DA2C46">
        <w:rPr>
          <w:rFonts w:ascii="Arial" w:hAnsi="Arial" w:cs="Arial"/>
          <w:sz w:val="22"/>
          <w:szCs w:val="22"/>
        </w:rPr>
        <w:t xml:space="preserve">The PBAC noted </w:t>
      </w:r>
      <w:r w:rsidRPr="00DA2C46">
        <w:rPr>
          <w:rFonts w:ascii="Arial" w:hAnsi="Arial" w:cs="Arial"/>
          <w:sz w:val="22"/>
          <w:szCs w:val="22"/>
        </w:rPr>
        <w:t>DUSC</w:t>
      </w:r>
      <w:r w:rsidR="00D43DA6" w:rsidRPr="00DA2C46">
        <w:rPr>
          <w:rFonts w:ascii="Arial" w:hAnsi="Arial" w:cs="Arial"/>
          <w:sz w:val="22"/>
          <w:szCs w:val="22"/>
        </w:rPr>
        <w:t>’s</w:t>
      </w:r>
      <w:r w:rsidRPr="00DA2C46">
        <w:rPr>
          <w:rFonts w:ascii="Arial" w:hAnsi="Arial" w:cs="Arial"/>
          <w:sz w:val="22"/>
          <w:szCs w:val="22"/>
        </w:rPr>
        <w:t xml:space="preserve"> </w:t>
      </w:r>
      <w:r w:rsidR="00D43DA6" w:rsidRPr="00DA2C46">
        <w:rPr>
          <w:rFonts w:ascii="Arial" w:hAnsi="Arial" w:cs="Arial"/>
          <w:sz w:val="22"/>
          <w:szCs w:val="22"/>
        </w:rPr>
        <w:t>advice</w:t>
      </w:r>
      <w:r w:rsidR="00332BA2" w:rsidRPr="00DA2C46">
        <w:rPr>
          <w:rFonts w:ascii="Arial" w:hAnsi="Arial" w:cs="Arial"/>
          <w:sz w:val="22"/>
          <w:szCs w:val="22"/>
        </w:rPr>
        <w:t xml:space="preserve"> </w:t>
      </w:r>
      <w:r w:rsidRPr="00DA2C46">
        <w:rPr>
          <w:rFonts w:ascii="Arial" w:hAnsi="Arial" w:cs="Arial"/>
          <w:sz w:val="22"/>
          <w:szCs w:val="22"/>
        </w:rPr>
        <w:t>that t</w:t>
      </w:r>
      <w:r w:rsidR="000F1D2B" w:rsidRPr="00DA2C46">
        <w:rPr>
          <w:rFonts w:ascii="Arial" w:hAnsi="Arial" w:cs="Arial"/>
          <w:sz w:val="22"/>
          <w:szCs w:val="22"/>
        </w:rPr>
        <w:t>reatment</w:t>
      </w:r>
      <w:r w:rsidRPr="00DA2C46">
        <w:rPr>
          <w:rFonts w:ascii="Arial" w:hAnsi="Arial" w:cs="Arial"/>
          <w:sz w:val="22"/>
          <w:szCs w:val="22"/>
        </w:rPr>
        <w:t xml:space="preserve"> guidelines recommend starting treatment at </w:t>
      </w:r>
      <w:r w:rsidR="00E26044">
        <w:rPr>
          <w:rFonts w:ascii="Arial" w:hAnsi="Arial" w:cs="Arial"/>
          <w:sz w:val="22"/>
          <w:szCs w:val="22"/>
        </w:rPr>
        <w:br/>
      </w:r>
      <w:r w:rsidRPr="00DA2C46">
        <w:rPr>
          <w:rFonts w:ascii="Arial" w:hAnsi="Arial" w:cs="Arial"/>
          <w:sz w:val="22"/>
          <w:szCs w:val="22"/>
        </w:rPr>
        <w:lastRenderedPageBreak/>
        <w:t>20-24</w:t>
      </w:r>
      <w:r w:rsidR="00A80D1E">
        <w:rPr>
          <w:rFonts w:ascii="Arial" w:hAnsi="Arial" w:cs="Arial"/>
          <w:sz w:val="22"/>
          <w:szCs w:val="22"/>
        </w:rPr>
        <w:t> </w:t>
      </w:r>
      <w:r w:rsidRPr="00DA2C46">
        <w:rPr>
          <w:rFonts w:ascii="Arial" w:hAnsi="Arial" w:cs="Arial"/>
          <w:sz w:val="22"/>
          <w:szCs w:val="22"/>
        </w:rPr>
        <w:t xml:space="preserve">weeks compared to the </w:t>
      </w:r>
      <w:r w:rsidR="00D43DA6" w:rsidRPr="00DA2C46">
        <w:rPr>
          <w:rFonts w:ascii="Arial" w:hAnsi="Arial" w:cs="Arial"/>
          <w:sz w:val="22"/>
          <w:szCs w:val="22"/>
        </w:rPr>
        <w:t>restriction where progesterone can be administered at</w:t>
      </w:r>
      <w:r w:rsidR="00332BA2" w:rsidRPr="00DA2C46">
        <w:rPr>
          <w:rFonts w:ascii="Arial" w:hAnsi="Arial" w:cs="Arial"/>
          <w:sz w:val="22"/>
          <w:szCs w:val="22"/>
        </w:rPr>
        <w:t xml:space="preserve"> </w:t>
      </w:r>
      <w:r w:rsidRPr="00DA2C46">
        <w:rPr>
          <w:rFonts w:ascii="Arial" w:hAnsi="Arial" w:cs="Arial"/>
          <w:sz w:val="22"/>
          <w:szCs w:val="22"/>
        </w:rPr>
        <w:t>16</w:t>
      </w:r>
      <w:r w:rsidR="00A80D1E">
        <w:rPr>
          <w:rFonts w:ascii="Arial" w:hAnsi="Arial" w:cs="Arial"/>
          <w:sz w:val="22"/>
          <w:szCs w:val="22"/>
        </w:rPr>
        <w:t> </w:t>
      </w:r>
      <w:r w:rsidRPr="00DA2C46">
        <w:rPr>
          <w:rFonts w:ascii="Arial" w:hAnsi="Arial" w:cs="Arial"/>
          <w:sz w:val="22"/>
          <w:szCs w:val="22"/>
        </w:rPr>
        <w:t xml:space="preserve">weeks of </w:t>
      </w:r>
      <w:r w:rsidR="00D43DA6" w:rsidRPr="00DA2C46">
        <w:rPr>
          <w:rFonts w:ascii="Arial" w:hAnsi="Arial" w:cs="Arial"/>
          <w:sz w:val="22"/>
          <w:szCs w:val="22"/>
        </w:rPr>
        <w:t>gestation</w:t>
      </w:r>
      <w:r w:rsidRPr="00DA2C46">
        <w:rPr>
          <w:rFonts w:ascii="Arial" w:hAnsi="Arial" w:cs="Arial"/>
          <w:sz w:val="22"/>
          <w:szCs w:val="22"/>
        </w:rPr>
        <w:t>.</w:t>
      </w:r>
    </w:p>
    <w:p w14:paraId="6A5DAAAC" w14:textId="233F55EE" w:rsidR="00222E8B" w:rsidRPr="00DA2C46" w:rsidRDefault="00222E8B" w:rsidP="00A80D1E">
      <w:pPr>
        <w:spacing w:before="120" w:after="120"/>
        <w:jc w:val="both"/>
        <w:rPr>
          <w:rFonts w:ascii="Arial" w:hAnsi="Arial" w:cs="Arial"/>
          <w:sz w:val="22"/>
          <w:szCs w:val="22"/>
        </w:rPr>
      </w:pPr>
      <w:r w:rsidRPr="00DA2C46">
        <w:rPr>
          <w:rFonts w:ascii="Arial" w:hAnsi="Arial" w:cs="Arial"/>
          <w:sz w:val="22"/>
          <w:szCs w:val="22"/>
        </w:rPr>
        <w:t xml:space="preserve">The PBAC noted that pregnancy care standards </w:t>
      </w:r>
      <w:r w:rsidR="00B31433" w:rsidRPr="00DA2C46">
        <w:rPr>
          <w:rFonts w:ascii="Arial" w:hAnsi="Arial" w:cs="Arial"/>
          <w:sz w:val="22"/>
          <w:szCs w:val="22"/>
        </w:rPr>
        <w:t>we</w:t>
      </w:r>
      <w:r w:rsidRPr="00DA2C46">
        <w:rPr>
          <w:rFonts w:ascii="Arial" w:hAnsi="Arial" w:cs="Arial"/>
          <w:sz w:val="22"/>
          <w:szCs w:val="22"/>
        </w:rPr>
        <w:t xml:space="preserve">re evolving. DUSC commented that </w:t>
      </w:r>
      <w:proofErr w:type="gramStart"/>
      <w:r w:rsidRPr="00DA2C46">
        <w:rPr>
          <w:rFonts w:ascii="Arial" w:hAnsi="Arial" w:cs="Arial"/>
          <w:sz w:val="22"/>
          <w:szCs w:val="22"/>
        </w:rPr>
        <w:t>in the near future</w:t>
      </w:r>
      <w:proofErr w:type="gramEnd"/>
      <w:r w:rsidRPr="00DA2C46">
        <w:rPr>
          <w:rFonts w:ascii="Arial" w:hAnsi="Arial" w:cs="Arial"/>
          <w:sz w:val="22"/>
          <w:szCs w:val="22"/>
        </w:rPr>
        <w:t>, detection of early cervical shortening (through cervical length measurement) w</w:t>
      </w:r>
      <w:r w:rsidR="00B31433" w:rsidRPr="00DA2C46">
        <w:rPr>
          <w:rFonts w:ascii="Arial" w:hAnsi="Arial" w:cs="Arial"/>
          <w:sz w:val="22"/>
          <w:szCs w:val="22"/>
        </w:rPr>
        <w:t>ould</w:t>
      </w:r>
      <w:r w:rsidRPr="00DA2C46">
        <w:rPr>
          <w:rFonts w:ascii="Arial" w:hAnsi="Arial" w:cs="Arial"/>
          <w:sz w:val="22"/>
          <w:szCs w:val="22"/>
        </w:rPr>
        <w:t xml:space="preserve"> form part of routine care for pregnant women. The PBAC considered that utilisation of progesterone for the prevention of preterm birth may increase as part of this change.</w:t>
      </w:r>
    </w:p>
    <w:p w14:paraId="377D12D4" w14:textId="6B777773" w:rsidR="00222E8B" w:rsidRPr="00DA2C46" w:rsidRDefault="00222E8B" w:rsidP="00A80D1E">
      <w:pPr>
        <w:spacing w:before="120" w:after="120"/>
        <w:jc w:val="both"/>
        <w:rPr>
          <w:rFonts w:ascii="Arial" w:hAnsi="Arial" w:cs="Arial"/>
          <w:sz w:val="22"/>
          <w:szCs w:val="22"/>
        </w:rPr>
      </w:pPr>
      <w:r w:rsidRPr="00DA2C46">
        <w:rPr>
          <w:rFonts w:ascii="Arial" w:hAnsi="Arial" w:cs="Arial"/>
          <w:sz w:val="22"/>
          <w:szCs w:val="22"/>
        </w:rPr>
        <w:t xml:space="preserve">The PBAC considered that future reviews of use in high-risk population groups </w:t>
      </w:r>
      <w:r w:rsidR="00E26044">
        <w:rPr>
          <w:rFonts w:ascii="Arial" w:hAnsi="Arial" w:cs="Arial"/>
          <w:sz w:val="22"/>
          <w:szCs w:val="22"/>
        </w:rPr>
        <w:br/>
      </w:r>
      <w:r w:rsidRPr="00DA2C46">
        <w:rPr>
          <w:rFonts w:ascii="Arial" w:hAnsi="Arial" w:cs="Arial"/>
          <w:sz w:val="22"/>
          <w:szCs w:val="22"/>
        </w:rPr>
        <w:t>(</w:t>
      </w:r>
      <w:r w:rsidR="00A80D1E" w:rsidRPr="00DA2C46">
        <w:rPr>
          <w:rFonts w:ascii="Arial" w:hAnsi="Arial" w:cs="Arial"/>
          <w:sz w:val="22"/>
          <w:szCs w:val="22"/>
        </w:rPr>
        <w:t>i.e.,</w:t>
      </w:r>
      <w:r w:rsidRPr="00DA2C46">
        <w:rPr>
          <w:rFonts w:ascii="Arial" w:hAnsi="Arial" w:cs="Arial"/>
          <w:sz w:val="22"/>
          <w:szCs w:val="22"/>
        </w:rPr>
        <w:t xml:space="preserve"> smokers, via linking with smoking cessation medicines) and Indigenous populations through the S100</w:t>
      </w:r>
      <w:r w:rsidR="005E2846" w:rsidRPr="00DA2C46">
        <w:rPr>
          <w:rFonts w:ascii="Arial" w:hAnsi="Arial" w:cs="Arial"/>
          <w:sz w:val="22"/>
          <w:szCs w:val="22"/>
        </w:rPr>
        <w:t xml:space="preserve"> Remote Area Aboriginal Health Services</w:t>
      </w:r>
      <w:r w:rsidRPr="00DA2C46">
        <w:rPr>
          <w:rFonts w:ascii="Arial" w:hAnsi="Arial" w:cs="Arial"/>
          <w:sz w:val="22"/>
          <w:szCs w:val="22"/>
        </w:rPr>
        <w:t xml:space="preserve"> </w:t>
      </w:r>
      <w:r w:rsidR="005E2846" w:rsidRPr="00DA2C46">
        <w:rPr>
          <w:rFonts w:ascii="Arial" w:hAnsi="Arial" w:cs="Arial"/>
          <w:sz w:val="22"/>
          <w:szCs w:val="22"/>
        </w:rPr>
        <w:t>(</w:t>
      </w:r>
      <w:r w:rsidRPr="00DA2C46">
        <w:rPr>
          <w:rFonts w:ascii="Arial" w:hAnsi="Arial" w:cs="Arial"/>
          <w:sz w:val="22"/>
          <w:szCs w:val="22"/>
        </w:rPr>
        <w:t>RAAHS</w:t>
      </w:r>
      <w:r w:rsidR="005E2846" w:rsidRPr="00DA2C46">
        <w:rPr>
          <w:rFonts w:ascii="Arial" w:hAnsi="Arial" w:cs="Arial"/>
          <w:sz w:val="22"/>
          <w:szCs w:val="22"/>
        </w:rPr>
        <w:t>)</w:t>
      </w:r>
      <w:r w:rsidRPr="00DA2C46">
        <w:rPr>
          <w:rFonts w:ascii="Arial" w:hAnsi="Arial" w:cs="Arial"/>
          <w:sz w:val="22"/>
          <w:szCs w:val="22"/>
        </w:rPr>
        <w:t xml:space="preserve"> program would be useful.</w:t>
      </w:r>
      <w:r w:rsidR="008C2EAD" w:rsidRPr="00DA2C46">
        <w:rPr>
          <w:rFonts w:ascii="Arial" w:hAnsi="Arial" w:cs="Arial"/>
          <w:sz w:val="22"/>
          <w:szCs w:val="22"/>
        </w:rPr>
        <w:t xml:space="preserve"> </w:t>
      </w:r>
      <w:r w:rsidRPr="00DA2C46">
        <w:rPr>
          <w:rFonts w:ascii="Arial" w:hAnsi="Arial" w:cs="Arial"/>
          <w:sz w:val="22"/>
          <w:szCs w:val="22"/>
        </w:rPr>
        <w:t xml:space="preserve">PBAC noted that there might be leakage into the </w:t>
      </w:r>
      <w:r w:rsidR="005E2846" w:rsidRPr="00DA2C46">
        <w:rPr>
          <w:rFonts w:ascii="Arial" w:hAnsi="Arial" w:cs="Arial"/>
          <w:sz w:val="22"/>
          <w:szCs w:val="22"/>
        </w:rPr>
        <w:t>in vitro fertilisation (</w:t>
      </w:r>
      <w:r w:rsidRPr="00DA2C46">
        <w:rPr>
          <w:rFonts w:ascii="Arial" w:hAnsi="Arial" w:cs="Arial"/>
          <w:sz w:val="22"/>
          <w:szCs w:val="22"/>
        </w:rPr>
        <w:t>IVF</w:t>
      </w:r>
      <w:r w:rsidR="005E2846" w:rsidRPr="00DA2C46">
        <w:rPr>
          <w:rFonts w:ascii="Arial" w:hAnsi="Arial" w:cs="Arial"/>
          <w:sz w:val="22"/>
          <w:szCs w:val="22"/>
        </w:rPr>
        <w:t>)</w:t>
      </w:r>
      <w:r w:rsidRPr="00DA2C46">
        <w:rPr>
          <w:rFonts w:ascii="Arial" w:hAnsi="Arial" w:cs="Arial"/>
          <w:sz w:val="22"/>
          <w:szCs w:val="22"/>
        </w:rPr>
        <w:t xml:space="preserve"> market for women who have increased numbers of scripts or are using higher doses.</w:t>
      </w:r>
    </w:p>
    <w:p w14:paraId="5DD2774A" w14:textId="750A039C" w:rsidR="00D14FAD" w:rsidRDefault="00222E8B" w:rsidP="00A80D1E">
      <w:pPr>
        <w:spacing w:before="120" w:after="120"/>
        <w:jc w:val="both"/>
        <w:rPr>
          <w:rFonts w:ascii="Arial" w:hAnsi="Arial" w:cs="Arial"/>
          <w:sz w:val="22"/>
          <w:szCs w:val="22"/>
        </w:rPr>
      </w:pPr>
      <w:r w:rsidRPr="00DA2C46">
        <w:rPr>
          <w:rFonts w:ascii="Arial" w:hAnsi="Arial" w:cs="Arial"/>
          <w:sz w:val="22"/>
          <w:szCs w:val="22"/>
        </w:rPr>
        <w:t>PBAC suggested that a future review should only be undertaken once the data has had time to mature, and changes in birthing practices and patient care models have had time to flow through to be represented in the data.</w:t>
      </w:r>
      <w:r w:rsidR="00AD4267" w:rsidRPr="00DA2C46">
        <w:rPr>
          <w:rFonts w:ascii="Arial" w:hAnsi="Arial" w:cs="Arial"/>
          <w:sz w:val="22"/>
          <w:szCs w:val="22"/>
        </w:rPr>
        <w:t xml:space="preserve"> </w:t>
      </w:r>
      <w:r w:rsidRPr="00DA2C46">
        <w:rPr>
          <w:rFonts w:ascii="Arial" w:hAnsi="Arial" w:cs="Arial"/>
          <w:sz w:val="22"/>
          <w:szCs w:val="22"/>
        </w:rPr>
        <w:t>PBAC suggested incorporating geographical data in future analyses.</w:t>
      </w:r>
    </w:p>
    <w:p w14:paraId="0DABD5DE" w14:textId="77777777" w:rsidR="00A80D1E" w:rsidRPr="00DA2C46" w:rsidRDefault="00A80D1E" w:rsidP="00AD4267">
      <w:pPr>
        <w:spacing w:before="120" w:after="120"/>
        <w:rPr>
          <w:rFonts w:ascii="Arial" w:hAnsi="Arial" w:cs="Arial"/>
          <w:sz w:val="22"/>
          <w:szCs w:val="22"/>
        </w:rPr>
      </w:pPr>
    </w:p>
    <w:p w14:paraId="5766D4ED" w14:textId="1F03786B" w:rsidR="00D14FAD" w:rsidRPr="00DA2C46" w:rsidRDefault="00D14FAD" w:rsidP="00AD4267">
      <w:pPr>
        <w:spacing w:before="120" w:after="120"/>
        <w:rPr>
          <w:rFonts w:ascii="Arial" w:hAnsi="Arial" w:cs="Arial"/>
          <w:b/>
          <w:caps/>
          <w:sz w:val="22"/>
          <w:szCs w:val="22"/>
          <w:lang w:eastAsia="en-AU"/>
        </w:rPr>
      </w:pPr>
      <w:r w:rsidRPr="00DA2C46">
        <w:rPr>
          <w:rFonts w:ascii="Arial" w:hAnsi="Arial" w:cs="Arial"/>
          <w:b/>
          <w:caps/>
          <w:sz w:val="22"/>
          <w:szCs w:val="22"/>
          <w:lang w:eastAsia="en-AU"/>
        </w:rPr>
        <w:t>Romosozumab for osteoporosis</w:t>
      </w:r>
    </w:p>
    <w:p w14:paraId="477676D7" w14:textId="521DFF57" w:rsidR="00D14FAD" w:rsidRPr="00DA2C46" w:rsidRDefault="00D14FAD" w:rsidP="00AD4267">
      <w:pPr>
        <w:spacing w:before="120" w:after="120"/>
        <w:rPr>
          <w:rFonts w:ascii="Arial" w:hAnsi="Arial" w:cs="Arial"/>
          <w:bCs/>
          <w:i/>
          <w:iCs/>
          <w:sz w:val="22"/>
          <w:szCs w:val="22"/>
          <w:lang w:eastAsia="en-AU"/>
        </w:rPr>
      </w:pPr>
      <w:r w:rsidRPr="00DA2C46">
        <w:rPr>
          <w:rFonts w:ascii="Arial" w:hAnsi="Arial" w:cs="Arial"/>
          <w:bCs/>
          <w:i/>
          <w:iCs/>
          <w:sz w:val="22"/>
          <w:szCs w:val="22"/>
          <w:lang w:eastAsia="en-AU"/>
        </w:rPr>
        <w:t>Outcome</w:t>
      </w:r>
    </w:p>
    <w:p w14:paraId="055E5222" w14:textId="03B2075D" w:rsidR="00433DFA" w:rsidRPr="00DA2C46" w:rsidRDefault="00433DFA" w:rsidP="00433DFA">
      <w:pPr>
        <w:spacing w:before="120" w:after="120"/>
        <w:jc w:val="both"/>
        <w:rPr>
          <w:rFonts w:ascii="Arial" w:hAnsi="Arial" w:cs="Arial"/>
          <w:sz w:val="22"/>
          <w:szCs w:val="22"/>
        </w:rPr>
      </w:pPr>
      <w:r w:rsidRPr="00DA2C46">
        <w:rPr>
          <w:rFonts w:ascii="Arial" w:hAnsi="Arial" w:cs="Arial"/>
          <w:sz w:val="22"/>
          <w:szCs w:val="22"/>
        </w:rPr>
        <w:t xml:space="preserve">The PBAC noted that the utilisation of anti-resorptive medication after stopping treatment with romosozumab was </w:t>
      </w:r>
      <w:r w:rsidR="00EF3FE6" w:rsidRPr="00DA2C46">
        <w:rPr>
          <w:rFonts w:ascii="Arial" w:hAnsi="Arial" w:cs="Arial"/>
          <w:sz w:val="22"/>
          <w:szCs w:val="22"/>
        </w:rPr>
        <w:t xml:space="preserve">less </w:t>
      </w:r>
      <w:r w:rsidRPr="00DA2C46">
        <w:rPr>
          <w:rFonts w:ascii="Arial" w:hAnsi="Arial" w:cs="Arial"/>
          <w:sz w:val="22"/>
          <w:szCs w:val="22"/>
        </w:rPr>
        <w:t>than expected and that this could be a Quality Use of Medicines issue. The PBAC noted the slight increase in GP prescribing after the PBS listing change to allow GPs to prescribe continuing treatment with romosozumab.</w:t>
      </w:r>
    </w:p>
    <w:p w14:paraId="0E818F16" w14:textId="74D66260" w:rsidR="00433DFA" w:rsidRPr="00DA2C46" w:rsidRDefault="00433DFA" w:rsidP="00433DFA">
      <w:pPr>
        <w:spacing w:before="120" w:after="120"/>
        <w:jc w:val="both"/>
        <w:rPr>
          <w:rFonts w:ascii="Arial" w:hAnsi="Arial" w:cs="Arial"/>
          <w:sz w:val="22"/>
          <w:szCs w:val="22"/>
        </w:rPr>
      </w:pPr>
      <w:r w:rsidRPr="00DA2C46">
        <w:rPr>
          <w:rFonts w:ascii="Arial" w:hAnsi="Arial" w:cs="Arial"/>
          <w:sz w:val="22"/>
          <w:szCs w:val="22"/>
        </w:rPr>
        <w:t>The PBAC noted</w:t>
      </w:r>
      <w:r w:rsidR="005018C1" w:rsidRPr="00DA2C46">
        <w:rPr>
          <w:rFonts w:ascii="Arial" w:hAnsi="Arial" w:cs="Arial"/>
          <w:sz w:val="22"/>
          <w:szCs w:val="22"/>
        </w:rPr>
        <w:t xml:space="preserve"> that</w:t>
      </w:r>
      <w:r w:rsidRPr="00DA2C46">
        <w:rPr>
          <w:rFonts w:ascii="Arial" w:hAnsi="Arial" w:cs="Arial"/>
          <w:sz w:val="22"/>
          <w:szCs w:val="22"/>
        </w:rPr>
        <w:t xml:space="preserve"> </w:t>
      </w:r>
      <w:r w:rsidR="00ED7A68" w:rsidRPr="00DA2C46">
        <w:rPr>
          <w:rFonts w:ascii="Arial" w:hAnsi="Arial" w:cs="Arial"/>
          <w:sz w:val="22"/>
          <w:szCs w:val="22"/>
        </w:rPr>
        <w:t xml:space="preserve">in 2022, 1,336 patients were supplied 8,199 prescriptions. </w:t>
      </w:r>
    </w:p>
    <w:p w14:paraId="211EB547" w14:textId="4A2B46B2" w:rsidR="00B27383" w:rsidRPr="00A80D1E" w:rsidRDefault="00433DFA" w:rsidP="00A80D1E">
      <w:pPr>
        <w:spacing w:before="120" w:after="120"/>
        <w:jc w:val="both"/>
        <w:rPr>
          <w:rFonts w:ascii="Arial" w:hAnsi="Arial" w:cs="Arial"/>
          <w:sz w:val="22"/>
          <w:szCs w:val="22"/>
        </w:rPr>
      </w:pPr>
      <w:r w:rsidRPr="00DA2C46">
        <w:rPr>
          <w:rFonts w:ascii="Arial" w:hAnsi="Arial" w:cs="Arial"/>
          <w:sz w:val="22"/>
          <w:szCs w:val="22"/>
        </w:rPr>
        <w:t xml:space="preserve">The PBAC </w:t>
      </w:r>
      <w:r w:rsidR="00ED7A68" w:rsidRPr="00DA2C46">
        <w:rPr>
          <w:rFonts w:ascii="Arial" w:hAnsi="Arial" w:cs="Arial"/>
          <w:sz w:val="22"/>
          <w:szCs w:val="22"/>
        </w:rPr>
        <w:t xml:space="preserve">further </w:t>
      </w:r>
      <w:r w:rsidRPr="00DA2C46">
        <w:rPr>
          <w:rFonts w:ascii="Arial" w:hAnsi="Arial" w:cs="Arial"/>
          <w:sz w:val="22"/>
          <w:szCs w:val="22"/>
        </w:rPr>
        <w:t xml:space="preserve">noted that on 7 December 2023, the TGA provided a safety update regarding romosozumab treatment. The TGA noted its “investigation into the risk of myocardial infarction and stroke in patients taking </w:t>
      </w:r>
      <w:proofErr w:type="spellStart"/>
      <w:r w:rsidRPr="00DA2C46">
        <w:rPr>
          <w:rFonts w:ascii="Arial" w:hAnsi="Arial" w:cs="Arial"/>
          <w:sz w:val="22"/>
          <w:szCs w:val="22"/>
        </w:rPr>
        <w:t>romosozumab</w:t>
      </w:r>
      <w:proofErr w:type="spellEnd"/>
      <w:r w:rsidRPr="00DA2C46">
        <w:rPr>
          <w:rFonts w:ascii="Arial" w:hAnsi="Arial" w:cs="Arial"/>
          <w:sz w:val="22"/>
          <w:szCs w:val="22"/>
        </w:rPr>
        <w:t xml:space="preserve"> (</w:t>
      </w:r>
      <w:proofErr w:type="spellStart"/>
      <w:r w:rsidRPr="00DA2C46">
        <w:rPr>
          <w:rFonts w:ascii="Arial" w:hAnsi="Arial" w:cs="Arial"/>
          <w:sz w:val="22"/>
          <w:szCs w:val="22"/>
        </w:rPr>
        <w:t>Evenity</w:t>
      </w:r>
      <w:proofErr w:type="spellEnd"/>
      <w:r w:rsidRPr="00DA2C46">
        <w:rPr>
          <w:rFonts w:ascii="Arial" w:hAnsi="Arial" w:cs="Arial"/>
          <w:sz w:val="22"/>
          <w:szCs w:val="22"/>
        </w:rPr>
        <w:t xml:space="preserve">) found that stronger warnings regarding these risks were needed in the Product Information (PI) and Consumer Medicine Information. Romosozumab use is now also contraindicated in patients with a history of myocardial infarction or stroke.” </w:t>
      </w:r>
    </w:p>
    <w:sectPr w:rsidR="00B27383" w:rsidRPr="00A80D1E" w:rsidSect="007A2421">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9F1" w14:textId="77777777" w:rsidR="00BA4D95" w:rsidRDefault="00BA4D95">
      <w:r>
        <w:separator/>
      </w:r>
    </w:p>
  </w:endnote>
  <w:endnote w:type="continuationSeparator" w:id="0">
    <w:p w14:paraId="0E19B5CB" w14:textId="77777777" w:rsidR="00BA4D95" w:rsidRDefault="00BA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BA6D" w14:textId="77777777" w:rsidR="00150970" w:rsidRDefault="001509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7F5BA" w14:textId="77777777" w:rsidR="001F312C" w:rsidRPr="004630FE" w:rsidRDefault="001F312C">
    <w:pPr>
      <w:pStyle w:val="Footer"/>
      <w:jc w:val="center"/>
      <w:rPr>
        <w:rFonts w:ascii="Arial" w:hAnsi="Arial" w:cs="Arial"/>
        <w:sz w:val="22"/>
      </w:rPr>
    </w:pPr>
  </w:p>
  <w:p w14:paraId="0A6D77EE" w14:textId="1328933C" w:rsidR="001F312C" w:rsidRPr="00EC37B4" w:rsidRDefault="001F312C" w:rsidP="00EC37B4">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B84143">
      <w:rPr>
        <w:rFonts w:ascii="Arial" w:hAnsi="Arial" w:cs="Arial"/>
        <w:noProof/>
        <w:sz w:val="22"/>
      </w:rPr>
      <w:t>3</w:t>
    </w:r>
    <w:r w:rsidRPr="004630FE">
      <w:rPr>
        <w:rFonts w:ascii="Arial" w:hAnsi="Arial" w:cs="Arial"/>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A3D26" w14:textId="77777777" w:rsidR="00150970" w:rsidRDefault="0015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381C" w14:textId="77777777" w:rsidR="00BA4D95" w:rsidRDefault="00BA4D95">
      <w:r>
        <w:separator/>
      </w:r>
    </w:p>
  </w:footnote>
  <w:footnote w:type="continuationSeparator" w:id="0">
    <w:p w14:paraId="2E7268F2" w14:textId="77777777" w:rsidR="00BA4D95" w:rsidRDefault="00BA4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72D0" w14:textId="77777777" w:rsidR="00150970" w:rsidRDefault="001509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87D6" w14:textId="75D10D4B" w:rsidR="001F312C" w:rsidRPr="00520B6E" w:rsidRDefault="0055669D" w:rsidP="004630FE">
    <w:pPr>
      <w:tabs>
        <w:tab w:val="center" w:pos="4153"/>
        <w:tab w:val="right" w:pos="8306"/>
      </w:tabs>
      <w:jc w:val="center"/>
      <w:rPr>
        <w:rFonts w:ascii="Arial" w:hAnsi="Arial" w:cs="Arial"/>
        <w:b/>
        <w:sz w:val="20"/>
      </w:rPr>
    </w:pPr>
    <w:r>
      <w:rPr>
        <w:rFonts w:ascii="Arial" w:hAnsi="Arial" w:cs="Arial"/>
        <w:b/>
        <w:caps/>
        <w:sz w:val="20"/>
      </w:rPr>
      <w:t>March 2024</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0668D" w14:textId="77777777" w:rsidR="00150970" w:rsidRDefault="0015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8FEA9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60536"/>
    <w:multiLevelType w:val="multilevel"/>
    <w:tmpl w:val="2A8A66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48DD1D32"/>
    <w:multiLevelType w:val="hybridMultilevel"/>
    <w:tmpl w:val="97CE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678199203">
    <w:abstractNumId w:val="12"/>
  </w:num>
  <w:num w:numId="2" w16cid:durableId="1589389630">
    <w:abstractNumId w:val="7"/>
  </w:num>
  <w:num w:numId="3" w16cid:durableId="1547256440">
    <w:abstractNumId w:val="3"/>
  </w:num>
  <w:num w:numId="4" w16cid:durableId="405959758">
    <w:abstractNumId w:val="8"/>
  </w:num>
  <w:num w:numId="5" w16cid:durableId="95175730">
    <w:abstractNumId w:val="5"/>
  </w:num>
  <w:num w:numId="6" w16cid:durableId="1082995549">
    <w:abstractNumId w:val="10"/>
  </w:num>
  <w:num w:numId="7" w16cid:durableId="1388995512">
    <w:abstractNumId w:val="2"/>
  </w:num>
  <w:num w:numId="8" w16cid:durableId="2034452257">
    <w:abstractNumId w:val="4"/>
  </w:num>
  <w:num w:numId="9" w16cid:durableId="2011633779">
    <w:abstractNumId w:val="11"/>
  </w:num>
  <w:num w:numId="10" w16cid:durableId="1838376336">
    <w:abstractNumId w:val="9"/>
  </w:num>
  <w:num w:numId="11" w16cid:durableId="301230094">
    <w:abstractNumId w:val="0"/>
  </w:num>
  <w:num w:numId="12" w16cid:durableId="763184617">
    <w:abstractNumId w:val="6"/>
  </w:num>
  <w:num w:numId="13" w16cid:durableId="1905749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36A"/>
    <w:rsid w:val="0000028F"/>
    <w:rsid w:val="00015D78"/>
    <w:rsid w:val="00016CBD"/>
    <w:rsid w:val="0002143A"/>
    <w:rsid w:val="00022BF9"/>
    <w:rsid w:val="00027CEB"/>
    <w:rsid w:val="00034F16"/>
    <w:rsid w:val="000413ED"/>
    <w:rsid w:val="000437B9"/>
    <w:rsid w:val="00046F5C"/>
    <w:rsid w:val="00050E03"/>
    <w:rsid w:val="00052897"/>
    <w:rsid w:val="00053A39"/>
    <w:rsid w:val="00053F80"/>
    <w:rsid w:val="0006056A"/>
    <w:rsid w:val="00060A45"/>
    <w:rsid w:val="0007306F"/>
    <w:rsid w:val="00080336"/>
    <w:rsid w:val="00084B66"/>
    <w:rsid w:val="00090D23"/>
    <w:rsid w:val="00092D31"/>
    <w:rsid w:val="00095F78"/>
    <w:rsid w:val="000A160F"/>
    <w:rsid w:val="000A2CDC"/>
    <w:rsid w:val="000A37FB"/>
    <w:rsid w:val="000B2DD0"/>
    <w:rsid w:val="000B7182"/>
    <w:rsid w:val="000C5770"/>
    <w:rsid w:val="000C6902"/>
    <w:rsid w:val="000E4B3A"/>
    <w:rsid w:val="000F1997"/>
    <w:rsid w:val="000F1D2B"/>
    <w:rsid w:val="00132A6A"/>
    <w:rsid w:val="0014056F"/>
    <w:rsid w:val="001416A4"/>
    <w:rsid w:val="00150970"/>
    <w:rsid w:val="00156D69"/>
    <w:rsid w:val="00171A7A"/>
    <w:rsid w:val="00176F11"/>
    <w:rsid w:val="0018016B"/>
    <w:rsid w:val="00180E7D"/>
    <w:rsid w:val="001B5725"/>
    <w:rsid w:val="001B5726"/>
    <w:rsid w:val="001B648D"/>
    <w:rsid w:val="001C658A"/>
    <w:rsid w:val="001D0ACE"/>
    <w:rsid w:val="001D0B69"/>
    <w:rsid w:val="001D38C7"/>
    <w:rsid w:val="001D45AF"/>
    <w:rsid w:val="001E1951"/>
    <w:rsid w:val="001E7E86"/>
    <w:rsid w:val="001F0355"/>
    <w:rsid w:val="001F312C"/>
    <w:rsid w:val="001F4B84"/>
    <w:rsid w:val="00215DE5"/>
    <w:rsid w:val="0022150A"/>
    <w:rsid w:val="00222E8B"/>
    <w:rsid w:val="002374AC"/>
    <w:rsid w:val="00244B20"/>
    <w:rsid w:val="00250A1C"/>
    <w:rsid w:val="00251848"/>
    <w:rsid w:val="00265781"/>
    <w:rsid w:val="00267A9D"/>
    <w:rsid w:val="002756E4"/>
    <w:rsid w:val="0028590B"/>
    <w:rsid w:val="002A0EF1"/>
    <w:rsid w:val="002D4006"/>
    <w:rsid w:val="002D7178"/>
    <w:rsid w:val="002E7273"/>
    <w:rsid w:val="002F3398"/>
    <w:rsid w:val="002F7591"/>
    <w:rsid w:val="002F775E"/>
    <w:rsid w:val="00301E55"/>
    <w:rsid w:val="00310423"/>
    <w:rsid w:val="0031133D"/>
    <w:rsid w:val="003172AB"/>
    <w:rsid w:val="003211BA"/>
    <w:rsid w:val="003232E1"/>
    <w:rsid w:val="00326328"/>
    <w:rsid w:val="00332BA2"/>
    <w:rsid w:val="0034025C"/>
    <w:rsid w:val="00341334"/>
    <w:rsid w:val="00341E66"/>
    <w:rsid w:val="00347C95"/>
    <w:rsid w:val="003603AD"/>
    <w:rsid w:val="00362AC3"/>
    <w:rsid w:val="003637C8"/>
    <w:rsid w:val="00385940"/>
    <w:rsid w:val="00397836"/>
    <w:rsid w:val="003A0382"/>
    <w:rsid w:val="003B0BEA"/>
    <w:rsid w:val="003B695E"/>
    <w:rsid w:val="003B79EE"/>
    <w:rsid w:val="003C2B83"/>
    <w:rsid w:val="003E4F94"/>
    <w:rsid w:val="003E55CB"/>
    <w:rsid w:val="003F07CB"/>
    <w:rsid w:val="00400159"/>
    <w:rsid w:val="0040140B"/>
    <w:rsid w:val="004048D8"/>
    <w:rsid w:val="00407FAA"/>
    <w:rsid w:val="00421895"/>
    <w:rsid w:val="00433DFA"/>
    <w:rsid w:val="00446CF7"/>
    <w:rsid w:val="004630FE"/>
    <w:rsid w:val="00464B70"/>
    <w:rsid w:val="00464DA0"/>
    <w:rsid w:val="004669DB"/>
    <w:rsid w:val="00486875"/>
    <w:rsid w:val="004A1627"/>
    <w:rsid w:val="004B2A39"/>
    <w:rsid w:val="004C295B"/>
    <w:rsid w:val="004C435C"/>
    <w:rsid w:val="004C4C12"/>
    <w:rsid w:val="004D4DEE"/>
    <w:rsid w:val="004E76AE"/>
    <w:rsid w:val="004F2C21"/>
    <w:rsid w:val="005018C1"/>
    <w:rsid w:val="00504298"/>
    <w:rsid w:val="00507F23"/>
    <w:rsid w:val="00514593"/>
    <w:rsid w:val="005166A6"/>
    <w:rsid w:val="00520024"/>
    <w:rsid w:val="00533BC7"/>
    <w:rsid w:val="0054217F"/>
    <w:rsid w:val="00550F01"/>
    <w:rsid w:val="0055106A"/>
    <w:rsid w:val="00553E58"/>
    <w:rsid w:val="0055669D"/>
    <w:rsid w:val="005616CC"/>
    <w:rsid w:val="005639BA"/>
    <w:rsid w:val="005642B3"/>
    <w:rsid w:val="00565336"/>
    <w:rsid w:val="005732A3"/>
    <w:rsid w:val="00575B2C"/>
    <w:rsid w:val="00582F85"/>
    <w:rsid w:val="00593867"/>
    <w:rsid w:val="00597564"/>
    <w:rsid w:val="005A71CE"/>
    <w:rsid w:val="005C202C"/>
    <w:rsid w:val="005D081A"/>
    <w:rsid w:val="005D1506"/>
    <w:rsid w:val="005D774C"/>
    <w:rsid w:val="005E2846"/>
    <w:rsid w:val="005F2273"/>
    <w:rsid w:val="005F5574"/>
    <w:rsid w:val="006102C6"/>
    <w:rsid w:val="00614F10"/>
    <w:rsid w:val="006354AB"/>
    <w:rsid w:val="00641F0C"/>
    <w:rsid w:val="00647788"/>
    <w:rsid w:val="00652D57"/>
    <w:rsid w:val="00664A75"/>
    <w:rsid w:val="00666863"/>
    <w:rsid w:val="00666881"/>
    <w:rsid w:val="0067208B"/>
    <w:rsid w:val="00677683"/>
    <w:rsid w:val="00677983"/>
    <w:rsid w:val="00683251"/>
    <w:rsid w:val="006847AC"/>
    <w:rsid w:val="006951BF"/>
    <w:rsid w:val="006A0F20"/>
    <w:rsid w:val="006A2EB2"/>
    <w:rsid w:val="006A5F26"/>
    <w:rsid w:val="006C41DA"/>
    <w:rsid w:val="006D0A58"/>
    <w:rsid w:val="006D316F"/>
    <w:rsid w:val="006D36DC"/>
    <w:rsid w:val="006D4C23"/>
    <w:rsid w:val="006D4F54"/>
    <w:rsid w:val="006D593A"/>
    <w:rsid w:val="006E57A3"/>
    <w:rsid w:val="006F6F34"/>
    <w:rsid w:val="0070348A"/>
    <w:rsid w:val="007178BA"/>
    <w:rsid w:val="0073297F"/>
    <w:rsid w:val="0074603E"/>
    <w:rsid w:val="0075366B"/>
    <w:rsid w:val="00793AF0"/>
    <w:rsid w:val="007A2421"/>
    <w:rsid w:val="007C1098"/>
    <w:rsid w:val="007C758A"/>
    <w:rsid w:val="007C75EE"/>
    <w:rsid w:val="007D7263"/>
    <w:rsid w:val="007E275C"/>
    <w:rsid w:val="007F4E20"/>
    <w:rsid w:val="00801B19"/>
    <w:rsid w:val="00816A6C"/>
    <w:rsid w:val="008177B6"/>
    <w:rsid w:val="00821B15"/>
    <w:rsid w:val="0082288D"/>
    <w:rsid w:val="0083210F"/>
    <w:rsid w:val="008361CD"/>
    <w:rsid w:val="008479A0"/>
    <w:rsid w:val="008545D1"/>
    <w:rsid w:val="00854810"/>
    <w:rsid w:val="008571DE"/>
    <w:rsid w:val="008613B3"/>
    <w:rsid w:val="008621E7"/>
    <w:rsid w:val="00866D71"/>
    <w:rsid w:val="00871936"/>
    <w:rsid w:val="008842CE"/>
    <w:rsid w:val="008866E8"/>
    <w:rsid w:val="00890D53"/>
    <w:rsid w:val="0089331D"/>
    <w:rsid w:val="008934F5"/>
    <w:rsid w:val="008A4311"/>
    <w:rsid w:val="008A4B6F"/>
    <w:rsid w:val="008A651A"/>
    <w:rsid w:val="008B279B"/>
    <w:rsid w:val="008B4388"/>
    <w:rsid w:val="008B6009"/>
    <w:rsid w:val="008B69CF"/>
    <w:rsid w:val="008C2EAD"/>
    <w:rsid w:val="008D020C"/>
    <w:rsid w:val="008E354F"/>
    <w:rsid w:val="008F5691"/>
    <w:rsid w:val="009203A6"/>
    <w:rsid w:val="00922E47"/>
    <w:rsid w:val="00925E21"/>
    <w:rsid w:val="00933952"/>
    <w:rsid w:val="00964E5C"/>
    <w:rsid w:val="00973009"/>
    <w:rsid w:val="00984270"/>
    <w:rsid w:val="00997EA7"/>
    <w:rsid w:val="009A1ACC"/>
    <w:rsid w:val="009B339D"/>
    <w:rsid w:val="009E121B"/>
    <w:rsid w:val="009E143F"/>
    <w:rsid w:val="009E20A4"/>
    <w:rsid w:val="009E60AF"/>
    <w:rsid w:val="009E6EA9"/>
    <w:rsid w:val="009E7E00"/>
    <w:rsid w:val="009F55CE"/>
    <w:rsid w:val="009F5908"/>
    <w:rsid w:val="009F5FE2"/>
    <w:rsid w:val="00A03E25"/>
    <w:rsid w:val="00A0539F"/>
    <w:rsid w:val="00A101AB"/>
    <w:rsid w:val="00A152EE"/>
    <w:rsid w:val="00A1560D"/>
    <w:rsid w:val="00A25973"/>
    <w:rsid w:val="00A31269"/>
    <w:rsid w:val="00A32269"/>
    <w:rsid w:val="00A3346B"/>
    <w:rsid w:val="00A4098E"/>
    <w:rsid w:val="00A425E5"/>
    <w:rsid w:val="00A45D82"/>
    <w:rsid w:val="00A47E2F"/>
    <w:rsid w:val="00A50253"/>
    <w:rsid w:val="00A56266"/>
    <w:rsid w:val="00A570BF"/>
    <w:rsid w:val="00A70179"/>
    <w:rsid w:val="00A71C64"/>
    <w:rsid w:val="00A74CCD"/>
    <w:rsid w:val="00A76D1B"/>
    <w:rsid w:val="00A80D1E"/>
    <w:rsid w:val="00A9331B"/>
    <w:rsid w:val="00A93361"/>
    <w:rsid w:val="00AA5E4E"/>
    <w:rsid w:val="00AB23B4"/>
    <w:rsid w:val="00AB5403"/>
    <w:rsid w:val="00AC0FFB"/>
    <w:rsid w:val="00AC2CB7"/>
    <w:rsid w:val="00AC3B55"/>
    <w:rsid w:val="00AC4352"/>
    <w:rsid w:val="00AD2551"/>
    <w:rsid w:val="00AD3542"/>
    <w:rsid w:val="00AD37E5"/>
    <w:rsid w:val="00AD4267"/>
    <w:rsid w:val="00AE5FF1"/>
    <w:rsid w:val="00AE77DB"/>
    <w:rsid w:val="00AF144F"/>
    <w:rsid w:val="00AF2F79"/>
    <w:rsid w:val="00AF3B3E"/>
    <w:rsid w:val="00AF6DA0"/>
    <w:rsid w:val="00B03643"/>
    <w:rsid w:val="00B06BB8"/>
    <w:rsid w:val="00B13AD3"/>
    <w:rsid w:val="00B1491D"/>
    <w:rsid w:val="00B1693A"/>
    <w:rsid w:val="00B170F6"/>
    <w:rsid w:val="00B20C0D"/>
    <w:rsid w:val="00B26B58"/>
    <w:rsid w:val="00B27383"/>
    <w:rsid w:val="00B31433"/>
    <w:rsid w:val="00B35E96"/>
    <w:rsid w:val="00B36F4A"/>
    <w:rsid w:val="00B445D9"/>
    <w:rsid w:val="00B50A69"/>
    <w:rsid w:val="00B532C3"/>
    <w:rsid w:val="00B60CCA"/>
    <w:rsid w:val="00B62228"/>
    <w:rsid w:val="00B74C7C"/>
    <w:rsid w:val="00B754AD"/>
    <w:rsid w:val="00B8335A"/>
    <w:rsid w:val="00B84143"/>
    <w:rsid w:val="00B860B5"/>
    <w:rsid w:val="00B94AFC"/>
    <w:rsid w:val="00B95F3B"/>
    <w:rsid w:val="00B96629"/>
    <w:rsid w:val="00BA0860"/>
    <w:rsid w:val="00BA4D95"/>
    <w:rsid w:val="00BA5A6C"/>
    <w:rsid w:val="00BB24D0"/>
    <w:rsid w:val="00BB5497"/>
    <w:rsid w:val="00BC3BE5"/>
    <w:rsid w:val="00BD02B3"/>
    <w:rsid w:val="00BD0BA3"/>
    <w:rsid w:val="00BD4745"/>
    <w:rsid w:val="00BE182E"/>
    <w:rsid w:val="00BE4405"/>
    <w:rsid w:val="00BF5B32"/>
    <w:rsid w:val="00C06010"/>
    <w:rsid w:val="00C22340"/>
    <w:rsid w:val="00C229C3"/>
    <w:rsid w:val="00C22AB9"/>
    <w:rsid w:val="00C375F9"/>
    <w:rsid w:val="00C636C2"/>
    <w:rsid w:val="00C71A4B"/>
    <w:rsid w:val="00C87A6B"/>
    <w:rsid w:val="00C9267A"/>
    <w:rsid w:val="00CB56CD"/>
    <w:rsid w:val="00CB6BC5"/>
    <w:rsid w:val="00CC0C6D"/>
    <w:rsid w:val="00CD04DF"/>
    <w:rsid w:val="00CD2ADF"/>
    <w:rsid w:val="00CD3BA9"/>
    <w:rsid w:val="00CD4158"/>
    <w:rsid w:val="00D03290"/>
    <w:rsid w:val="00D04F41"/>
    <w:rsid w:val="00D068D4"/>
    <w:rsid w:val="00D108DB"/>
    <w:rsid w:val="00D14FAD"/>
    <w:rsid w:val="00D43DA6"/>
    <w:rsid w:val="00D47451"/>
    <w:rsid w:val="00D51F57"/>
    <w:rsid w:val="00D60E82"/>
    <w:rsid w:val="00D61A27"/>
    <w:rsid w:val="00D7136A"/>
    <w:rsid w:val="00D72D36"/>
    <w:rsid w:val="00D82194"/>
    <w:rsid w:val="00D82D67"/>
    <w:rsid w:val="00D943D6"/>
    <w:rsid w:val="00DA25F6"/>
    <w:rsid w:val="00DA2A81"/>
    <w:rsid w:val="00DA2C46"/>
    <w:rsid w:val="00DB4B4C"/>
    <w:rsid w:val="00DC0E0A"/>
    <w:rsid w:val="00DC7A41"/>
    <w:rsid w:val="00DD315C"/>
    <w:rsid w:val="00DE22A0"/>
    <w:rsid w:val="00DE6CA5"/>
    <w:rsid w:val="00DE7389"/>
    <w:rsid w:val="00E11B1E"/>
    <w:rsid w:val="00E149F0"/>
    <w:rsid w:val="00E16015"/>
    <w:rsid w:val="00E24412"/>
    <w:rsid w:val="00E25A33"/>
    <w:rsid w:val="00E26044"/>
    <w:rsid w:val="00E37984"/>
    <w:rsid w:val="00E37FD3"/>
    <w:rsid w:val="00E474DF"/>
    <w:rsid w:val="00E51B48"/>
    <w:rsid w:val="00E572F1"/>
    <w:rsid w:val="00E64B09"/>
    <w:rsid w:val="00E659DB"/>
    <w:rsid w:val="00E65BFD"/>
    <w:rsid w:val="00E74222"/>
    <w:rsid w:val="00E75D86"/>
    <w:rsid w:val="00E86AE7"/>
    <w:rsid w:val="00E91EAD"/>
    <w:rsid w:val="00E92B64"/>
    <w:rsid w:val="00E96DB2"/>
    <w:rsid w:val="00EA43F8"/>
    <w:rsid w:val="00EA6A0A"/>
    <w:rsid w:val="00EB38E2"/>
    <w:rsid w:val="00EC18FC"/>
    <w:rsid w:val="00EC37B4"/>
    <w:rsid w:val="00ED0E5B"/>
    <w:rsid w:val="00ED1C3D"/>
    <w:rsid w:val="00ED66F3"/>
    <w:rsid w:val="00ED7A68"/>
    <w:rsid w:val="00EE12C0"/>
    <w:rsid w:val="00EE523C"/>
    <w:rsid w:val="00EE6509"/>
    <w:rsid w:val="00EE68E4"/>
    <w:rsid w:val="00EF3FE6"/>
    <w:rsid w:val="00EF7DF2"/>
    <w:rsid w:val="00F046B8"/>
    <w:rsid w:val="00F04ECB"/>
    <w:rsid w:val="00F159FC"/>
    <w:rsid w:val="00F2009D"/>
    <w:rsid w:val="00F32FEB"/>
    <w:rsid w:val="00F514E4"/>
    <w:rsid w:val="00F53FA7"/>
    <w:rsid w:val="00F55E20"/>
    <w:rsid w:val="00F628C7"/>
    <w:rsid w:val="00F66E50"/>
    <w:rsid w:val="00F67C46"/>
    <w:rsid w:val="00F71F01"/>
    <w:rsid w:val="00F73897"/>
    <w:rsid w:val="00F77445"/>
    <w:rsid w:val="00F8213A"/>
    <w:rsid w:val="00F85F30"/>
    <w:rsid w:val="00F87883"/>
    <w:rsid w:val="00FA12CB"/>
    <w:rsid w:val="00FA20C0"/>
    <w:rsid w:val="00FA4D8A"/>
    <w:rsid w:val="00FB1FCA"/>
    <w:rsid w:val="00FB34DE"/>
    <w:rsid w:val="00FB5E27"/>
    <w:rsid w:val="00FC15A2"/>
    <w:rsid w:val="00FC2585"/>
    <w:rsid w:val="00FD0680"/>
    <w:rsid w:val="00FD3A6D"/>
    <w:rsid w:val="00FD4A60"/>
    <w:rsid w:val="00FF7990"/>
    <w:rsid w:val="00FF7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36A"/>
    <w:rPr>
      <w:rFonts w:eastAsia="Times New Roman"/>
      <w:sz w:val="24"/>
      <w:szCs w:val="24"/>
      <w:lang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 w:type="paragraph" w:styleId="Revision">
    <w:name w:val="Revision"/>
    <w:hidden/>
    <w:uiPriority w:val="99"/>
    <w:semiHidden/>
    <w:rsid w:val="00084B66"/>
    <w:rPr>
      <w:rFonts w:eastAsia="Times New Roman"/>
      <w:sz w:val="24"/>
      <w:szCs w:val="24"/>
      <w:lang w:val="en-US" w:eastAsia="en-US"/>
    </w:rPr>
  </w:style>
  <w:style w:type="paragraph" w:styleId="NormalWeb">
    <w:name w:val="Normal (Web)"/>
    <w:basedOn w:val="Normal"/>
    <w:uiPriority w:val="99"/>
    <w:unhideWhenUsed/>
    <w:rsid w:val="007E275C"/>
    <w:pPr>
      <w:spacing w:before="100" w:beforeAutospacing="1" w:after="100" w:afterAutospacing="1"/>
    </w:pPr>
    <w:rPr>
      <w:lang w:eastAsia="en-AU"/>
    </w:rPr>
  </w:style>
  <w:style w:type="paragraph" w:styleId="FootnoteText">
    <w:name w:val="footnote text"/>
    <w:basedOn w:val="Normal"/>
    <w:link w:val="FootnoteTextChar"/>
    <w:uiPriority w:val="99"/>
    <w:unhideWhenUsed/>
    <w:rsid w:val="00ED1C3D"/>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rsid w:val="00ED1C3D"/>
    <w:rPr>
      <w:rFonts w:ascii="Calibri" w:eastAsiaTheme="minorHAnsi" w:hAnsi="Calibri" w:cs="Calibri"/>
      <w:lang w:eastAsia="en-US"/>
    </w:rPr>
  </w:style>
  <w:style w:type="character" w:styleId="FootnoteReference">
    <w:name w:val="footnote reference"/>
    <w:basedOn w:val="DefaultParagraphFont"/>
    <w:uiPriority w:val="99"/>
    <w:unhideWhenUsed/>
    <w:rsid w:val="00ED1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480707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dusc-meetings/d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4BA0F854552C1439E0B5A69FC45307D" ma:contentTypeVersion="10" ma:contentTypeDescription="Create a new document." ma:contentTypeScope="" ma:versionID="df663873d4b5de0b56bc9ef44fe92492">
  <xsd:schema xmlns:xsd="http://www.w3.org/2001/XMLSchema" xmlns:xs="http://www.w3.org/2001/XMLSchema" xmlns:p="http://schemas.microsoft.com/office/2006/metadata/properties" xmlns:ns3="826ad85a-3479-4e4f-9f4e-f321c89067be" xmlns:ns4="21ce80b3-1f63-49b7-8601-3a2dfef1c99a" targetNamespace="http://schemas.microsoft.com/office/2006/metadata/properties" ma:root="true" ma:fieldsID="0925af273652a8d688500e4eec682305" ns3:_="" ns4:_="">
    <xsd:import namespace="826ad85a-3479-4e4f-9f4e-f321c89067be"/>
    <xsd:import namespace="21ce80b3-1f63-49b7-8601-3a2dfef1c99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ad85a-3479-4e4f-9f4e-f321c8906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e80b3-1f63-49b7-8601-3a2dfef1c9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26ad85a-3479-4e4f-9f4e-f321c89067be" xsi:nil="true"/>
  </documentManagement>
</p:properties>
</file>

<file path=customXml/itemProps1.xml><?xml version="1.0" encoding="utf-8"?>
<ds:datastoreItem xmlns:ds="http://schemas.openxmlformats.org/officeDocument/2006/customXml" ds:itemID="{7450BE58-614A-4570-82B5-5A52B7B89B18}">
  <ds:schemaRefs>
    <ds:schemaRef ds:uri="http://schemas.openxmlformats.org/officeDocument/2006/bibliography"/>
  </ds:schemaRefs>
</ds:datastoreItem>
</file>

<file path=customXml/itemProps2.xml><?xml version="1.0" encoding="utf-8"?>
<ds:datastoreItem xmlns:ds="http://schemas.openxmlformats.org/officeDocument/2006/customXml" ds:itemID="{B6320794-E53E-444B-A76C-725875AB8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ad85a-3479-4e4f-9f4e-f321c89067be"/>
    <ds:schemaRef ds:uri="21ce80b3-1f63-49b7-8601-3a2dfef1c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F3DFB-81AB-44A9-A2AD-7C92EA7C8A3C}">
  <ds:schemaRefs>
    <ds:schemaRef ds:uri="http://schemas.microsoft.com/sharepoint/v3/contenttype/forms"/>
  </ds:schemaRefs>
</ds:datastoreItem>
</file>

<file path=customXml/itemProps4.xml><?xml version="1.0" encoding="utf-8"?>
<ds:datastoreItem xmlns:ds="http://schemas.openxmlformats.org/officeDocument/2006/customXml" ds:itemID="{D3320DF4-14F1-4F2F-A09A-020D53A375FE}">
  <ds:schemaRefs>
    <ds:schemaRef ds:uri="http://schemas.microsoft.com/office/2006/metadata/properties"/>
    <ds:schemaRef ds:uri="http://schemas.microsoft.com/office/infopath/2007/PartnerControls"/>
    <ds:schemaRef ds:uri="826ad85a-3479-4e4f-9f4e-f321c89067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2024-04-17T03:41:00Z</dcterms:created>
  <dcterms:modified xsi:type="dcterms:W3CDTF">2024-04-24T07:46:00Z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0x010100C4BA0F854552C1439E0B5A69FC45307D</vt:lpwstr>
  </property>
</Properties>
</file>