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0904A" w14:textId="32703C2D" w:rsidR="007567D2" w:rsidRDefault="007567D2" w:rsidP="00ED6AE3">
      <w:pPr>
        <w:pStyle w:val="Default"/>
        <w:ind w:right="656"/>
        <w:rPr>
          <w:rFonts w:ascii="Arial" w:hAnsi="Arial" w:cs="Arial"/>
          <w:sz w:val="18"/>
          <w:szCs w:val="18"/>
        </w:rPr>
      </w:pPr>
      <w:r w:rsidRPr="00153C15">
        <w:rPr>
          <w:rFonts w:ascii="Arial" w:hAnsi="Arial" w:cs="Arial"/>
          <w:sz w:val="18"/>
          <w:szCs w:val="18"/>
        </w:rPr>
        <w:t xml:space="preserve">The </w:t>
      </w:r>
      <w:r w:rsidR="009E648E" w:rsidRPr="00153C15">
        <w:rPr>
          <w:rFonts w:ascii="Arial" w:hAnsi="Arial" w:cs="Arial"/>
          <w:sz w:val="18"/>
          <w:szCs w:val="18"/>
        </w:rPr>
        <w:t>PBAC outcomes and recommendations are presented</w:t>
      </w:r>
      <w:r w:rsidRPr="00153C15">
        <w:rPr>
          <w:rFonts w:ascii="Arial" w:hAnsi="Arial" w:cs="Arial"/>
          <w:sz w:val="18"/>
          <w:szCs w:val="18"/>
        </w:rPr>
        <w:t xml:space="preserve"> in alphabetical order by drug name.</w:t>
      </w:r>
    </w:p>
    <w:p w14:paraId="16C149F7" w14:textId="103F4460" w:rsidR="00C47960" w:rsidRDefault="00C47960" w:rsidP="00ED6AE3">
      <w:pPr>
        <w:pStyle w:val="Default"/>
        <w:ind w:right="656"/>
        <w:rPr>
          <w:rFonts w:ascii="Arial" w:hAnsi="Arial" w:cs="Arial"/>
          <w:sz w:val="18"/>
          <w:szCs w:val="18"/>
        </w:rPr>
      </w:pPr>
    </w:p>
    <w:p w14:paraId="662EE0D4" w14:textId="4A2D9AFD" w:rsidR="00C47960" w:rsidRPr="00153C15" w:rsidRDefault="00C47960" w:rsidP="00ED6AE3">
      <w:pPr>
        <w:pStyle w:val="Default"/>
        <w:ind w:right="656"/>
        <w:rPr>
          <w:rFonts w:ascii="Arial" w:hAnsi="Arial" w:cs="Arial"/>
          <w:sz w:val="18"/>
          <w:szCs w:val="18"/>
        </w:rPr>
      </w:pPr>
      <w:r w:rsidRPr="00ED6AE3">
        <w:rPr>
          <w:rFonts w:ascii="Arial" w:hAnsi="Arial" w:cs="Arial"/>
          <w:i/>
          <w:iCs/>
          <w:sz w:val="18"/>
          <w:szCs w:val="18"/>
        </w:rPr>
        <w:t>Submission items</w:t>
      </w:r>
    </w:p>
    <w:p w14:paraId="498951C4" w14:textId="211A8FF8" w:rsidR="007567D2" w:rsidRPr="00153C15" w:rsidRDefault="007567D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Submission items"/>
      </w:tblPr>
      <w:tblGrid>
        <w:gridCol w:w="2689"/>
        <w:gridCol w:w="2127"/>
        <w:gridCol w:w="2268"/>
        <w:gridCol w:w="1699"/>
        <w:gridCol w:w="6605"/>
      </w:tblGrid>
      <w:tr w:rsidR="00DE5E85" w:rsidRPr="00687774" w14:paraId="2F780D8A" w14:textId="77777777" w:rsidTr="009330B0">
        <w:trPr>
          <w:tblHeader/>
        </w:trPr>
        <w:tc>
          <w:tcPr>
            <w:tcW w:w="874" w:type="pct"/>
            <w:tcBorders>
              <w:bottom w:val="single" w:sz="4" w:space="0" w:color="auto"/>
            </w:tcBorders>
            <w:shd w:val="clear" w:color="auto" w:fill="auto"/>
            <w:tcMar>
              <w:top w:w="28" w:type="dxa"/>
              <w:bottom w:w="28" w:type="dxa"/>
            </w:tcMar>
          </w:tcPr>
          <w:p w14:paraId="58BB41E5" w14:textId="46F847AB" w:rsidR="00DE5E85" w:rsidRPr="003E3EC0" w:rsidRDefault="00DE5E85" w:rsidP="00F82BC6">
            <w:pPr>
              <w:widowControl w:val="0"/>
              <w:ind w:right="-106"/>
              <w:jc w:val="center"/>
              <w:rPr>
                <w:rFonts w:ascii="Arial" w:hAnsi="Arial" w:cs="Arial"/>
                <w:b/>
                <w:sz w:val="18"/>
                <w:szCs w:val="18"/>
              </w:rPr>
            </w:pPr>
            <w:r w:rsidRPr="003E3EC0">
              <w:rPr>
                <w:rFonts w:ascii="Arial" w:hAnsi="Arial" w:cs="Arial"/>
                <w:b/>
                <w:sz w:val="18"/>
                <w:szCs w:val="18"/>
              </w:rPr>
              <w:t>DRUG NAME, FORM(S), STRENGTH(S), SPONSOR, TYPE OF SUBMISSION</w:t>
            </w:r>
          </w:p>
        </w:tc>
        <w:tc>
          <w:tcPr>
            <w:tcW w:w="691" w:type="pct"/>
            <w:tcBorders>
              <w:bottom w:val="single" w:sz="4" w:space="0" w:color="auto"/>
            </w:tcBorders>
            <w:shd w:val="clear" w:color="auto" w:fill="auto"/>
            <w:tcMar>
              <w:top w:w="28" w:type="dxa"/>
              <w:bottom w:w="28" w:type="dxa"/>
            </w:tcMar>
          </w:tcPr>
          <w:p w14:paraId="22DBCABB"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DRUG TYPE AND USE</w:t>
            </w:r>
          </w:p>
          <w:p w14:paraId="64FD3362" w14:textId="77777777" w:rsidR="00DE5E85" w:rsidRPr="003E3EC0" w:rsidRDefault="00DE5E85" w:rsidP="002A659A">
            <w:pPr>
              <w:widowControl w:val="0"/>
              <w:jc w:val="center"/>
              <w:rPr>
                <w:rFonts w:ascii="Arial" w:hAnsi="Arial" w:cs="Arial"/>
                <w:b/>
                <w:snapToGrid w:val="0"/>
                <w:sz w:val="18"/>
                <w:szCs w:val="18"/>
                <w:lang w:eastAsia="en-US"/>
              </w:rPr>
            </w:pPr>
          </w:p>
        </w:tc>
        <w:tc>
          <w:tcPr>
            <w:tcW w:w="737" w:type="pct"/>
            <w:tcBorders>
              <w:bottom w:val="single" w:sz="4" w:space="0" w:color="auto"/>
            </w:tcBorders>
            <w:shd w:val="clear" w:color="auto" w:fill="auto"/>
            <w:tcMar>
              <w:top w:w="28" w:type="dxa"/>
              <w:bottom w:w="28" w:type="dxa"/>
            </w:tcMar>
          </w:tcPr>
          <w:p w14:paraId="60A9336E" w14:textId="77777777" w:rsidR="00DE5E85" w:rsidRPr="003E3EC0" w:rsidRDefault="00DE5E85" w:rsidP="002A659A">
            <w:pPr>
              <w:widowControl w:val="0"/>
              <w:jc w:val="center"/>
              <w:rPr>
                <w:rFonts w:ascii="Arial" w:hAnsi="Arial" w:cs="Arial"/>
                <w:b/>
                <w:snapToGrid w:val="0"/>
                <w:sz w:val="18"/>
                <w:szCs w:val="18"/>
                <w:lang w:eastAsia="en-US"/>
              </w:rPr>
            </w:pPr>
            <w:r w:rsidRPr="003E3EC0">
              <w:rPr>
                <w:rFonts w:ascii="Arial" w:hAnsi="Arial" w:cs="Arial"/>
                <w:b/>
                <w:snapToGrid w:val="0"/>
                <w:sz w:val="18"/>
                <w:szCs w:val="18"/>
                <w:lang w:eastAsia="en-US"/>
              </w:rPr>
              <w:t>LISTING REQUESTED BY SPONSOR / PURPOSE OF SUBMISSION</w:t>
            </w:r>
          </w:p>
        </w:tc>
        <w:tc>
          <w:tcPr>
            <w:tcW w:w="2698" w:type="pct"/>
            <w:gridSpan w:val="2"/>
            <w:tcBorders>
              <w:bottom w:val="single" w:sz="4" w:space="0" w:color="auto"/>
            </w:tcBorders>
            <w:shd w:val="clear" w:color="auto" w:fill="auto"/>
          </w:tcPr>
          <w:p w14:paraId="5626F454" w14:textId="5D0E1C48" w:rsidR="00DE5E85" w:rsidRPr="003E3EC0" w:rsidRDefault="00DE5E85" w:rsidP="00AD3477">
            <w:pPr>
              <w:pStyle w:val="Header"/>
              <w:jc w:val="center"/>
              <w:rPr>
                <w:rFonts w:ascii="Arial" w:hAnsi="Arial" w:cs="Arial"/>
                <w:b/>
                <w:snapToGrid w:val="0"/>
                <w:sz w:val="18"/>
                <w:szCs w:val="18"/>
                <w:lang w:eastAsia="en-US"/>
              </w:rPr>
            </w:pPr>
            <w:r w:rsidRPr="003E3EC0">
              <w:rPr>
                <w:rFonts w:ascii="Arial" w:hAnsi="Arial" w:cs="Arial"/>
                <w:b/>
                <w:snapToGrid w:val="0"/>
                <w:sz w:val="18"/>
                <w:szCs w:val="18"/>
                <w:lang w:eastAsia="en-US"/>
              </w:rPr>
              <w:t xml:space="preserve">PBAC </w:t>
            </w:r>
            <w:r>
              <w:rPr>
                <w:rFonts w:ascii="Arial" w:hAnsi="Arial" w:cs="Arial"/>
                <w:b/>
                <w:snapToGrid w:val="0"/>
                <w:sz w:val="18"/>
                <w:szCs w:val="18"/>
                <w:lang w:eastAsia="en-US"/>
              </w:rPr>
              <w:t>OUTCOME</w:t>
            </w:r>
          </w:p>
        </w:tc>
      </w:tr>
      <w:tr w:rsidR="00391AB6" w:rsidRPr="00092F66" w14:paraId="6111200E" w14:textId="77777777" w:rsidTr="009330B0">
        <w:trPr>
          <w:cantSplit/>
          <w:trHeight w:val="857"/>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vAlign w:val="center"/>
          </w:tcPr>
          <w:p w14:paraId="36D061B8" w14:textId="30549A15" w:rsidR="00391AB6" w:rsidRPr="00405F1B" w:rsidRDefault="00391AB6" w:rsidP="00A662E7">
            <w:pPr>
              <w:jc w:val="center"/>
              <w:rPr>
                <w:rFonts w:asciiTheme="minorHAnsi" w:hAnsiTheme="minorHAnsi" w:cstheme="minorHAnsi"/>
                <w:sz w:val="18"/>
                <w:szCs w:val="18"/>
              </w:rPr>
            </w:pPr>
            <w:r w:rsidRPr="0064128C">
              <w:rPr>
                <w:rFonts w:asciiTheme="minorHAnsi" w:hAnsiTheme="minorHAnsi" w:cstheme="minorHAnsi"/>
                <w:color w:val="000000"/>
                <w:sz w:val="18"/>
                <w:szCs w:val="18"/>
              </w:rPr>
              <w:t>PATISIRAN</w:t>
            </w:r>
            <w:r w:rsidRPr="0064128C">
              <w:rPr>
                <w:rFonts w:asciiTheme="minorHAnsi" w:hAnsiTheme="minorHAnsi" w:cstheme="minorHAnsi"/>
                <w:color w:val="000000"/>
                <w:sz w:val="18"/>
                <w:szCs w:val="18"/>
              </w:rPr>
              <w:br/>
            </w:r>
            <w:r w:rsidRPr="0064128C">
              <w:rPr>
                <w:rFonts w:asciiTheme="minorHAnsi" w:hAnsiTheme="minorHAnsi" w:cstheme="minorHAnsi"/>
                <w:color w:val="000000"/>
                <w:sz w:val="18"/>
                <w:szCs w:val="18"/>
              </w:rPr>
              <w:br/>
              <w:t>Solution concentrate for I.V. infusion 10 mg in 5 mL</w:t>
            </w:r>
            <w:r w:rsidRPr="0064128C">
              <w:rPr>
                <w:rFonts w:asciiTheme="minorHAnsi" w:hAnsiTheme="minorHAnsi" w:cstheme="minorHAnsi"/>
                <w:color w:val="000000"/>
                <w:sz w:val="18"/>
                <w:szCs w:val="18"/>
              </w:rPr>
              <w:br/>
            </w:r>
            <w:r w:rsidRPr="0064128C">
              <w:rPr>
                <w:rFonts w:asciiTheme="minorHAnsi" w:hAnsiTheme="minorHAnsi" w:cstheme="minorHAnsi"/>
                <w:color w:val="000000"/>
                <w:sz w:val="18"/>
                <w:szCs w:val="18"/>
              </w:rPr>
              <w:br/>
              <w:t>Onpattro</w:t>
            </w:r>
            <w:r w:rsidRPr="006065E7">
              <w:rPr>
                <w:rFonts w:asciiTheme="minorHAnsi" w:hAnsiTheme="minorHAnsi" w:cstheme="minorHAnsi"/>
                <w:color w:val="000000"/>
                <w:sz w:val="18"/>
                <w:szCs w:val="18"/>
              </w:rPr>
              <w:t>®</w:t>
            </w:r>
            <w:r w:rsidRPr="0064128C">
              <w:rPr>
                <w:rFonts w:asciiTheme="minorHAnsi" w:hAnsiTheme="minorHAnsi" w:cstheme="minorHAnsi"/>
                <w:color w:val="000000"/>
                <w:sz w:val="18"/>
                <w:szCs w:val="18"/>
              </w:rPr>
              <w:br/>
            </w:r>
            <w:r w:rsidRPr="0064128C">
              <w:rPr>
                <w:rFonts w:asciiTheme="minorHAnsi" w:hAnsiTheme="minorHAnsi" w:cstheme="minorHAnsi"/>
                <w:color w:val="000000"/>
                <w:sz w:val="18"/>
                <w:szCs w:val="18"/>
              </w:rPr>
              <w:br/>
              <w:t>Alnylam Australia Pty Ltd</w:t>
            </w:r>
            <w:r w:rsidRPr="0064128C">
              <w:rPr>
                <w:rFonts w:asciiTheme="minorHAnsi" w:hAnsiTheme="minorHAnsi" w:cstheme="minorHAnsi"/>
                <w:color w:val="000000"/>
                <w:sz w:val="18"/>
                <w:szCs w:val="18"/>
              </w:rPr>
              <w:br/>
            </w:r>
            <w:r w:rsidRPr="0064128C">
              <w:rPr>
                <w:rFonts w:asciiTheme="minorHAnsi" w:hAnsiTheme="minorHAnsi" w:cstheme="minorHAnsi"/>
                <w:color w:val="000000"/>
                <w:sz w:val="18"/>
                <w:szCs w:val="18"/>
              </w:rPr>
              <w:br/>
              <w:t>(New PBS listing)</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7341B392" w14:textId="38A7E03C" w:rsidR="00391AB6" w:rsidRPr="0064128C" w:rsidRDefault="00391AB6" w:rsidP="00A662E7">
            <w:pPr>
              <w:widowControl w:val="0"/>
              <w:jc w:val="center"/>
              <w:rPr>
                <w:rFonts w:asciiTheme="minorHAnsi" w:hAnsiTheme="minorHAnsi" w:cstheme="minorHAnsi"/>
                <w:sz w:val="18"/>
                <w:szCs w:val="18"/>
              </w:rPr>
            </w:pPr>
            <w:r w:rsidRPr="0064128C">
              <w:rPr>
                <w:rFonts w:asciiTheme="minorHAnsi" w:hAnsiTheme="minorHAnsi" w:cstheme="minorHAnsi"/>
                <w:sz w:val="18"/>
                <w:szCs w:val="18"/>
              </w:rPr>
              <w:t>Hereditary transthyretin-mediated amyloidosis (hATTR amyloidosis)</w:t>
            </w:r>
          </w:p>
        </w:tc>
        <w:tc>
          <w:tcPr>
            <w:tcW w:w="737"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3A92DF2D" w14:textId="1B523803" w:rsidR="00391AB6" w:rsidRPr="0064128C" w:rsidRDefault="00391AB6" w:rsidP="00A662E7">
            <w:pPr>
              <w:pStyle w:val="ListParagraph"/>
              <w:ind w:left="0"/>
              <w:jc w:val="center"/>
              <w:rPr>
                <w:rFonts w:asciiTheme="minorHAnsi" w:eastAsia="Times New Roman" w:hAnsiTheme="minorHAnsi" w:cstheme="minorHAnsi"/>
                <w:sz w:val="18"/>
                <w:szCs w:val="18"/>
              </w:rPr>
            </w:pPr>
            <w:r w:rsidRPr="0064128C">
              <w:rPr>
                <w:rFonts w:asciiTheme="minorHAnsi" w:eastAsia="Times New Roman" w:hAnsiTheme="minorHAnsi" w:cstheme="minorHAnsi"/>
                <w:sz w:val="18"/>
                <w:szCs w:val="18"/>
              </w:rPr>
              <w:t>To consider a resubmission requesting the listing of patisiran for the treatment of hATTR amyloidosis with polyneuropathy.</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F8893FF" w14:textId="53EACFAE" w:rsidR="00391AB6" w:rsidRPr="0064128C" w:rsidRDefault="00391AB6" w:rsidP="00A662E7">
            <w:pPr>
              <w:pStyle w:val="ListParagraph"/>
              <w:ind w:left="0"/>
              <w:jc w:val="center"/>
              <w:rPr>
                <w:rFonts w:asciiTheme="minorHAnsi" w:eastAsia="Times New Roman" w:hAnsiTheme="minorHAnsi" w:cstheme="minorHAnsi"/>
                <w:sz w:val="18"/>
                <w:szCs w:val="18"/>
              </w:rPr>
            </w:pPr>
            <w:r w:rsidRPr="0064128C">
              <w:rPr>
                <w:rFonts w:asciiTheme="minorHAnsi" w:eastAsia="Times New Roman" w:hAnsiTheme="minorHAnsi" w:cstheme="minorHAnsi"/>
                <w:sz w:val="18"/>
                <w:szCs w:val="18"/>
              </w:rPr>
              <w:t>Recommended</w:t>
            </w:r>
          </w:p>
        </w:tc>
        <w:tc>
          <w:tcPr>
            <w:tcW w:w="2146" w:type="pct"/>
            <w:tcBorders>
              <w:top w:val="single" w:sz="4" w:space="0" w:color="auto"/>
              <w:bottom w:val="single" w:sz="4" w:space="0" w:color="auto"/>
            </w:tcBorders>
            <w:shd w:val="clear" w:color="auto" w:fill="auto"/>
            <w:vAlign w:val="center"/>
          </w:tcPr>
          <w:p w14:paraId="0CE3A4FC" w14:textId="499BB626" w:rsidR="001A5CB3" w:rsidRDefault="00391AB6">
            <w:pPr>
              <w:spacing w:after="120"/>
              <w:rPr>
                <w:rFonts w:asciiTheme="minorHAnsi" w:hAnsiTheme="minorHAnsi" w:cstheme="minorHAnsi"/>
                <w:sz w:val="18"/>
                <w:szCs w:val="18"/>
              </w:rPr>
            </w:pPr>
            <w:r w:rsidRPr="0064128C">
              <w:rPr>
                <w:rFonts w:asciiTheme="minorHAnsi" w:hAnsiTheme="minorHAnsi" w:cstheme="minorHAnsi"/>
                <w:sz w:val="18"/>
                <w:szCs w:val="18"/>
              </w:rPr>
              <w:t>The PBAC recommended patisiran for the treatment of patients with hATTR</w:t>
            </w:r>
            <w:r w:rsidR="004136FF">
              <w:rPr>
                <w:rFonts w:asciiTheme="minorHAnsi" w:hAnsiTheme="minorHAnsi" w:cstheme="minorHAnsi"/>
                <w:sz w:val="18"/>
                <w:szCs w:val="18"/>
              </w:rPr>
              <w:t xml:space="preserve"> amyloidosis </w:t>
            </w:r>
            <w:r w:rsidRPr="0064128C">
              <w:rPr>
                <w:rFonts w:asciiTheme="minorHAnsi" w:hAnsiTheme="minorHAnsi" w:cstheme="minorHAnsi"/>
                <w:sz w:val="18"/>
                <w:szCs w:val="18"/>
              </w:rPr>
              <w:t xml:space="preserve">with polyneuropathy. The PBAC noted there was a high clinical need for effective treatment in this population. The PBAC noted the clinical benefits of patisiran in terms of delaying disease progression, reducing neuropathy symptoms, and improving health-related quality of life compared to placebo, based on the primary and secondary outcomes in the APOLLO trial over its 18-month trial period. </w:t>
            </w:r>
          </w:p>
          <w:p w14:paraId="25A25E87" w14:textId="30C0AC69" w:rsidR="00391AB6" w:rsidRPr="0064128C" w:rsidRDefault="00391AB6" w:rsidP="0064128C">
            <w:pPr>
              <w:spacing w:after="120"/>
              <w:rPr>
                <w:rFonts w:asciiTheme="minorHAnsi" w:hAnsiTheme="minorHAnsi" w:cstheme="minorHAnsi"/>
                <w:sz w:val="18"/>
                <w:szCs w:val="18"/>
              </w:rPr>
            </w:pPr>
            <w:r w:rsidRPr="0064128C">
              <w:rPr>
                <w:rFonts w:asciiTheme="minorHAnsi" w:hAnsiTheme="minorHAnsi" w:cstheme="minorHAnsi"/>
                <w:sz w:val="18"/>
                <w:szCs w:val="18"/>
              </w:rPr>
              <w:t>The PBAC recalled that in September</w:t>
            </w:r>
            <w:r w:rsidR="001A5CB3">
              <w:rPr>
                <w:rFonts w:asciiTheme="minorHAnsi" w:hAnsiTheme="minorHAnsi" w:cstheme="minorHAnsi"/>
                <w:sz w:val="18"/>
                <w:szCs w:val="18"/>
              </w:rPr>
              <w:t> </w:t>
            </w:r>
            <w:r w:rsidRPr="0064128C">
              <w:rPr>
                <w:rFonts w:asciiTheme="minorHAnsi" w:hAnsiTheme="minorHAnsi" w:cstheme="minorHAnsi"/>
                <w:sz w:val="18"/>
                <w:szCs w:val="18"/>
              </w:rPr>
              <w:t>2023 it had advised that revisions were required to the economic model and that concerns remained regarding uncertainty of the cost-effectiveness estimates and the financial estimates. The PBAC considered that the outstanding issues regarding the economic model had been satisfactorily resolved by the revised proposal provided by the sponsor, which included a commitment for reassessment of the data after three years. The PBAC advised that further amendments to the financial estimates were necessary to reflect the anticipated discontinuation rate.</w:t>
            </w:r>
          </w:p>
        </w:tc>
      </w:tr>
      <w:tr w:rsidR="00391AB6" w:rsidRPr="00092F66" w14:paraId="31D72A5C" w14:textId="77777777" w:rsidTr="009330B0">
        <w:trPr>
          <w:cantSplit/>
          <w:trHeight w:val="857"/>
        </w:trPr>
        <w:tc>
          <w:tcPr>
            <w:tcW w:w="874" w:type="pct"/>
            <w:tcBorders>
              <w:top w:val="single" w:sz="4" w:space="0" w:color="auto"/>
              <w:left w:val="single" w:sz="4" w:space="0" w:color="auto"/>
              <w:bottom w:val="single" w:sz="4" w:space="0" w:color="auto"/>
              <w:right w:val="nil"/>
            </w:tcBorders>
            <w:shd w:val="clear" w:color="auto" w:fill="auto"/>
            <w:tcMar>
              <w:top w:w="28" w:type="dxa"/>
              <w:bottom w:w="28" w:type="dxa"/>
            </w:tcMar>
            <w:vAlign w:val="center"/>
          </w:tcPr>
          <w:p w14:paraId="3651145B" w14:textId="47B087C7" w:rsidR="00391AB6" w:rsidRPr="00405F1B" w:rsidRDefault="00391AB6" w:rsidP="00A662E7">
            <w:pPr>
              <w:jc w:val="center"/>
              <w:rPr>
                <w:rFonts w:asciiTheme="minorHAnsi" w:hAnsiTheme="minorHAnsi" w:cstheme="minorHAnsi"/>
                <w:color w:val="000000"/>
                <w:sz w:val="18"/>
                <w:szCs w:val="18"/>
              </w:rPr>
            </w:pPr>
            <w:r w:rsidRPr="00405F1B">
              <w:rPr>
                <w:rFonts w:asciiTheme="minorHAnsi" w:hAnsiTheme="minorHAnsi" w:cstheme="minorHAnsi"/>
                <w:color w:val="000000"/>
                <w:sz w:val="18"/>
                <w:szCs w:val="18"/>
              </w:rPr>
              <w:t>UPADACITINIB</w:t>
            </w:r>
            <w:r w:rsidRPr="00405F1B">
              <w:rPr>
                <w:rFonts w:asciiTheme="minorHAnsi" w:hAnsiTheme="minorHAnsi" w:cstheme="minorHAnsi"/>
                <w:color w:val="000000"/>
                <w:sz w:val="18"/>
                <w:szCs w:val="18"/>
              </w:rPr>
              <w:br/>
            </w:r>
            <w:r w:rsidRPr="00405F1B">
              <w:rPr>
                <w:rFonts w:asciiTheme="minorHAnsi" w:hAnsiTheme="minorHAnsi" w:cstheme="minorHAnsi"/>
                <w:color w:val="000000"/>
                <w:sz w:val="18"/>
                <w:szCs w:val="18"/>
              </w:rPr>
              <w:br/>
              <w:t xml:space="preserve">Tablet 15 mg </w:t>
            </w:r>
            <w:r w:rsidRPr="00405F1B">
              <w:rPr>
                <w:rFonts w:asciiTheme="minorHAnsi" w:hAnsiTheme="minorHAnsi" w:cstheme="minorHAnsi"/>
                <w:color w:val="000000"/>
                <w:sz w:val="18"/>
                <w:szCs w:val="18"/>
              </w:rPr>
              <w:br/>
            </w:r>
            <w:r w:rsidRPr="00405F1B">
              <w:rPr>
                <w:rFonts w:asciiTheme="minorHAnsi" w:hAnsiTheme="minorHAnsi" w:cstheme="minorHAnsi"/>
                <w:color w:val="000000"/>
                <w:sz w:val="18"/>
                <w:szCs w:val="18"/>
                <w:highlight w:val="yellow"/>
              </w:rPr>
              <w:br/>
            </w:r>
            <w:r w:rsidRPr="00405F1B">
              <w:rPr>
                <w:rFonts w:asciiTheme="minorHAnsi" w:hAnsiTheme="minorHAnsi" w:cstheme="minorHAnsi"/>
                <w:color w:val="000000"/>
                <w:sz w:val="18"/>
                <w:szCs w:val="18"/>
              </w:rPr>
              <w:t>Rinvoq®</w:t>
            </w:r>
            <w:r w:rsidRPr="00405F1B">
              <w:rPr>
                <w:rFonts w:asciiTheme="minorHAnsi" w:hAnsiTheme="minorHAnsi" w:cstheme="minorHAnsi"/>
                <w:color w:val="000000"/>
                <w:sz w:val="18"/>
                <w:szCs w:val="18"/>
                <w:highlight w:val="yellow"/>
              </w:rPr>
              <w:br/>
            </w:r>
            <w:r w:rsidRPr="00405F1B">
              <w:rPr>
                <w:rFonts w:asciiTheme="minorHAnsi" w:hAnsiTheme="minorHAnsi" w:cstheme="minorHAnsi"/>
                <w:color w:val="000000"/>
                <w:sz w:val="18"/>
                <w:szCs w:val="18"/>
                <w:highlight w:val="yellow"/>
              </w:rPr>
              <w:br/>
            </w:r>
            <w:r w:rsidR="00CC6301" w:rsidRPr="00405F1B">
              <w:rPr>
                <w:rFonts w:asciiTheme="minorHAnsi" w:hAnsiTheme="minorHAnsi" w:cstheme="minorHAnsi"/>
                <w:color w:val="000000"/>
                <w:sz w:val="18"/>
                <w:szCs w:val="18"/>
              </w:rPr>
              <w:t>AbbVie</w:t>
            </w:r>
            <w:r w:rsidRPr="00405F1B">
              <w:rPr>
                <w:rFonts w:asciiTheme="minorHAnsi" w:hAnsiTheme="minorHAnsi" w:cstheme="minorHAnsi"/>
                <w:color w:val="000000"/>
                <w:sz w:val="18"/>
                <w:szCs w:val="18"/>
              </w:rPr>
              <w:t xml:space="preserve"> Pty Ltd</w:t>
            </w:r>
            <w:r w:rsidRPr="00405F1B">
              <w:rPr>
                <w:rFonts w:asciiTheme="minorHAnsi" w:hAnsiTheme="minorHAnsi" w:cstheme="minorHAnsi"/>
                <w:color w:val="000000"/>
                <w:sz w:val="18"/>
                <w:szCs w:val="18"/>
                <w:highlight w:val="yellow"/>
              </w:rPr>
              <w:br/>
            </w:r>
            <w:r w:rsidRPr="00405F1B">
              <w:rPr>
                <w:rFonts w:asciiTheme="minorHAnsi" w:hAnsiTheme="minorHAnsi" w:cstheme="minorHAnsi"/>
                <w:color w:val="000000"/>
                <w:sz w:val="18"/>
                <w:szCs w:val="18"/>
                <w:highlight w:val="yellow"/>
              </w:rPr>
              <w:br/>
            </w:r>
            <w:r w:rsidRPr="00405F1B">
              <w:rPr>
                <w:rFonts w:asciiTheme="minorHAnsi" w:hAnsiTheme="minorHAnsi" w:cstheme="minorHAnsi"/>
                <w:color w:val="000000"/>
                <w:sz w:val="18"/>
                <w:szCs w:val="18"/>
              </w:rPr>
              <w:t>(Change to listing)</w:t>
            </w:r>
          </w:p>
        </w:tc>
        <w:tc>
          <w:tcPr>
            <w:tcW w:w="691" w:type="pct"/>
            <w:tcBorders>
              <w:top w:val="single" w:sz="4" w:space="0" w:color="auto"/>
              <w:left w:val="single" w:sz="4" w:space="0" w:color="auto"/>
              <w:bottom w:val="single" w:sz="4" w:space="0" w:color="auto"/>
              <w:right w:val="single" w:sz="4" w:space="0" w:color="auto"/>
            </w:tcBorders>
            <w:shd w:val="clear" w:color="auto" w:fill="auto"/>
            <w:vAlign w:val="center"/>
          </w:tcPr>
          <w:p w14:paraId="5F86A4A6" w14:textId="0D019866" w:rsidR="00391AB6" w:rsidRPr="00405F1B" w:rsidRDefault="00391AB6" w:rsidP="00A662E7">
            <w:pPr>
              <w:widowControl w:val="0"/>
              <w:jc w:val="center"/>
              <w:rPr>
                <w:rFonts w:asciiTheme="minorHAnsi" w:hAnsiTheme="minorHAnsi" w:cstheme="minorHAnsi"/>
                <w:sz w:val="18"/>
                <w:szCs w:val="18"/>
              </w:rPr>
            </w:pPr>
            <w:r w:rsidRPr="00405F1B">
              <w:rPr>
                <w:rFonts w:asciiTheme="minorHAnsi" w:hAnsiTheme="minorHAnsi" w:cstheme="minorHAnsi"/>
                <w:color w:val="000000"/>
                <w:sz w:val="18"/>
                <w:szCs w:val="18"/>
              </w:rPr>
              <w:t>Severe active rheumatoid arthritis (RA)</w:t>
            </w:r>
          </w:p>
        </w:tc>
        <w:tc>
          <w:tcPr>
            <w:tcW w:w="737" w:type="pct"/>
            <w:tcBorders>
              <w:top w:val="single" w:sz="4" w:space="0" w:color="auto"/>
              <w:left w:val="nil"/>
              <w:bottom w:val="single" w:sz="4" w:space="0" w:color="auto"/>
              <w:right w:val="single" w:sz="4" w:space="0" w:color="auto"/>
            </w:tcBorders>
            <w:shd w:val="clear" w:color="auto" w:fill="auto"/>
            <w:tcMar>
              <w:top w:w="28" w:type="dxa"/>
              <w:bottom w:w="28" w:type="dxa"/>
            </w:tcMar>
            <w:vAlign w:val="center"/>
          </w:tcPr>
          <w:p w14:paraId="4B6759FB" w14:textId="11404983" w:rsidR="00391AB6" w:rsidRPr="00405F1B" w:rsidRDefault="00391AB6" w:rsidP="00A662E7">
            <w:pPr>
              <w:pStyle w:val="ListParagraph"/>
              <w:ind w:left="0"/>
              <w:jc w:val="center"/>
              <w:rPr>
                <w:rFonts w:asciiTheme="minorHAnsi" w:eastAsia="Times New Roman" w:hAnsiTheme="minorHAnsi" w:cstheme="minorHAnsi"/>
                <w:sz w:val="18"/>
                <w:szCs w:val="18"/>
              </w:rPr>
            </w:pPr>
            <w:r w:rsidRPr="00405F1B">
              <w:rPr>
                <w:rFonts w:asciiTheme="minorHAnsi" w:hAnsiTheme="minorHAnsi" w:cstheme="minorHAnsi"/>
                <w:sz w:val="18"/>
                <w:szCs w:val="18"/>
              </w:rPr>
              <w:t>A resubmission to request a change to the restriction level of upadacitinib in the subsequent continuing treatment of RA from Authority Required (Written) to Authority Required (STREAMLINED).</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6F3DEAE" w14:textId="48C47230" w:rsidR="00391AB6" w:rsidRPr="00405F1B" w:rsidRDefault="00391AB6" w:rsidP="00A662E7">
            <w:pPr>
              <w:pStyle w:val="ListParagraph"/>
              <w:ind w:left="0"/>
              <w:jc w:val="center"/>
              <w:rPr>
                <w:rFonts w:asciiTheme="minorHAnsi" w:hAnsiTheme="minorHAnsi" w:cstheme="minorHAnsi"/>
                <w:sz w:val="18"/>
                <w:szCs w:val="18"/>
              </w:rPr>
            </w:pPr>
            <w:r w:rsidRPr="00405F1B">
              <w:rPr>
                <w:rFonts w:asciiTheme="minorHAnsi" w:hAnsiTheme="minorHAnsi" w:cstheme="minorHAnsi"/>
                <w:sz w:val="18"/>
                <w:szCs w:val="18"/>
              </w:rPr>
              <w:t>Recommended</w:t>
            </w:r>
          </w:p>
        </w:tc>
        <w:tc>
          <w:tcPr>
            <w:tcW w:w="2146" w:type="pct"/>
            <w:tcBorders>
              <w:top w:val="single" w:sz="4" w:space="0" w:color="auto"/>
              <w:bottom w:val="single" w:sz="4" w:space="0" w:color="auto"/>
            </w:tcBorders>
            <w:shd w:val="clear" w:color="auto" w:fill="auto"/>
            <w:vAlign w:val="center"/>
          </w:tcPr>
          <w:p w14:paraId="64B293A6" w14:textId="705987F7" w:rsidR="00391AB6" w:rsidRPr="00405F1B" w:rsidRDefault="00391AB6" w:rsidP="00405F1B">
            <w:pPr>
              <w:spacing w:after="120"/>
              <w:rPr>
                <w:rFonts w:asciiTheme="minorHAnsi" w:eastAsia="SimSun" w:hAnsiTheme="minorHAnsi" w:cstheme="minorHAnsi"/>
                <w:sz w:val="18"/>
                <w:szCs w:val="18"/>
              </w:rPr>
            </w:pPr>
            <w:r w:rsidRPr="00405F1B">
              <w:rPr>
                <w:rFonts w:asciiTheme="minorHAnsi" w:eastAsia="SimSun" w:hAnsiTheme="minorHAnsi" w:cstheme="minorHAnsi"/>
                <w:sz w:val="18"/>
                <w:szCs w:val="18"/>
              </w:rPr>
              <w:t>The PBAC recommended an amendment to the written authority levels of upadacitinib for the treatment of severe active RA to Authority Required (Written) for first continuing treatment and Authority Required (STREAMLINED) for subsequent continuing treatment. The PBAC noted the market of upadacitinib was mature and upadacitinib initiations had stabilised</w:t>
            </w:r>
            <w:r w:rsidR="00FD492D">
              <w:rPr>
                <w:rFonts w:asciiTheme="minorHAnsi" w:eastAsia="SimSun" w:hAnsiTheme="minorHAnsi" w:cstheme="minorHAnsi"/>
                <w:sz w:val="18"/>
                <w:szCs w:val="18"/>
              </w:rPr>
              <w:t>.</w:t>
            </w:r>
            <w:r w:rsidRPr="00405F1B">
              <w:rPr>
                <w:rFonts w:asciiTheme="minorHAnsi" w:eastAsia="SimSun" w:hAnsiTheme="minorHAnsi" w:cstheme="minorHAnsi"/>
                <w:sz w:val="18"/>
                <w:szCs w:val="18"/>
              </w:rPr>
              <w:t xml:space="preserve"> </w:t>
            </w:r>
            <w:r w:rsidR="00FD492D">
              <w:rPr>
                <w:rFonts w:asciiTheme="minorHAnsi" w:eastAsia="SimSun" w:hAnsiTheme="minorHAnsi" w:cstheme="minorHAnsi"/>
                <w:sz w:val="18"/>
                <w:szCs w:val="18"/>
              </w:rPr>
              <w:t>It</w:t>
            </w:r>
            <w:r w:rsidR="00FD492D" w:rsidRPr="00405F1B">
              <w:rPr>
                <w:rFonts w:asciiTheme="minorHAnsi" w:eastAsia="SimSun" w:hAnsiTheme="minorHAnsi" w:cstheme="minorHAnsi"/>
                <w:sz w:val="18"/>
                <w:szCs w:val="18"/>
              </w:rPr>
              <w:t xml:space="preserve"> </w:t>
            </w:r>
            <w:r w:rsidRPr="00405F1B">
              <w:rPr>
                <w:rFonts w:asciiTheme="minorHAnsi" w:eastAsia="SimSun" w:hAnsiTheme="minorHAnsi" w:cstheme="minorHAnsi"/>
                <w:sz w:val="18"/>
                <w:szCs w:val="18"/>
              </w:rPr>
              <w:t>therefore considered that upadacitinib would not drive growth in the RA market. The PBAC considered it was appropriate to align the restriction level</w:t>
            </w:r>
            <w:r w:rsidR="00FD492D">
              <w:rPr>
                <w:rFonts w:asciiTheme="minorHAnsi" w:eastAsia="SimSun" w:hAnsiTheme="minorHAnsi" w:cstheme="minorHAnsi"/>
                <w:sz w:val="18"/>
                <w:szCs w:val="18"/>
              </w:rPr>
              <w:t>s</w:t>
            </w:r>
            <w:r w:rsidRPr="00405F1B">
              <w:rPr>
                <w:rFonts w:asciiTheme="minorHAnsi" w:eastAsia="SimSun" w:hAnsiTheme="minorHAnsi" w:cstheme="minorHAnsi"/>
                <w:sz w:val="18"/>
                <w:szCs w:val="18"/>
              </w:rPr>
              <w:t xml:space="preserve"> of upadacitinib with its March 2022 PBAC meeting recommendation for RA medicines.</w:t>
            </w:r>
          </w:p>
        </w:tc>
      </w:tr>
    </w:tbl>
    <w:p w14:paraId="50C821D7" w14:textId="014BE326" w:rsidR="00405F1B" w:rsidRDefault="00405F1B" w:rsidP="00A662E7">
      <w:pPr>
        <w:jc w:val="center"/>
        <w:rPr>
          <w:rFonts w:asciiTheme="minorHAnsi" w:hAnsiTheme="minorHAnsi" w:cstheme="minorHAnsi"/>
          <w:sz w:val="18"/>
          <w:szCs w:val="18"/>
          <w:lang w:val="en-US"/>
        </w:rPr>
      </w:pPr>
    </w:p>
    <w:p w14:paraId="5755EB44" w14:textId="77777777" w:rsidR="00405F1B" w:rsidRDefault="00405F1B">
      <w:pPr>
        <w:rPr>
          <w:rFonts w:asciiTheme="minorHAnsi" w:hAnsiTheme="minorHAnsi" w:cstheme="minorHAnsi"/>
          <w:sz w:val="18"/>
          <w:szCs w:val="18"/>
          <w:lang w:val="en-US"/>
        </w:rPr>
      </w:pPr>
      <w:r>
        <w:rPr>
          <w:rFonts w:asciiTheme="minorHAnsi" w:hAnsiTheme="minorHAnsi" w:cstheme="minorHAnsi"/>
          <w:sz w:val="18"/>
          <w:szCs w:val="18"/>
          <w:lang w:val="en-US"/>
        </w:rPr>
        <w:br w:type="page"/>
      </w:r>
    </w:p>
    <w:p w14:paraId="2E8A0E1B" w14:textId="77777777" w:rsidR="003835EB" w:rsidRPr="00092F66" w:rsidRDefault="003835EB" w:rsidP="00A662E7">
      <w:pPr>
        <w:jc w:val="center"/>
        <w:rPr>
          <w:rFonts w:asciiTheme="minorHAnsi" w:hAnsiTheme="minorHAnsi" w:cstheme="minorHAnsi"/>
          <w:sz w:val="18"/>
          <w:szCs w:val="18"/>
          <w:lang w:val="en-US"/>
        </w:rPr>
      </w:pPr>
    </w:p>
    <w:p w14:paraId="3DCF312E" w14:textId="51DED862" w:rsidR="00ED6AE3" w:rsidRPr="00FD492D" w:rsidRDefault="00ED6AE3" w:rsidP="00405F1B">
      <w:pPr>
        <w:rPr>
          <w:rFonts w:ascii="Arial" w:hAnsi="Arial" w:cs="Arial"/>
          <w:i/>
          <w:iCs/>
          <w:sz w:val="18"/>
          <w:szCs w:val="18"/>
        </w:rPr>
      </w:pPr>
      <w:r w:rsidRPr="00FD492D">
        <w:rPr>
          <w:rFonts w:ascii="Arial" w:hAnsi="Arial" w:cs="Arial"/>
          <w:i/>
          <w:iCs/>
          <w:sz w:val="18"/>
          <w:szCs w:val="18"/>
        </w:rPr>
        <w:t>Non-submission items</w:t>
      </w:r>
    </w:p>
    <w:p w14:paraId="305BBCEA" w14:textId="77777777" w:rsidR="00ED6AE3" w:rsidRPr="00092F66" w:rsidRDefault="00ED6AE3" w:rsidP="00A662E7">
      <w:pPr>
        <w:jc w:val="center"/>
        <w:rPr>
          <w:rFonts w:asciiTheme="minorHAnsi" w:hAnsiTheme="minorHAnsi" w:cstheme="minorHAnsi"/>
          <w:sz w:val="18"/>
          <w:szCs w:val="18"/>
          <w:lang w:val="en-US"/>
        </w:rPr>
      </w:pPr>
    </w:p>
    <w:tbl>
      <w:tblPr>
        <w:tblW w:w="5003" w:type="pct"/>
        <w:tblLayout w:type="fixed"/>
        <w:tblLook w:val="04A0" w:firstRow="1" w:lastRow="0" w:firstColumn="1" w:lastColumn="0" w:noHBand="0" w:noVBand="1"/>
        <w:tblCaption w:val="Non-submission items"/>
      </w:tblPr>
      <w:tblGrid>
        <w:gridCol w:w="2688"/>
        <w:gridCol w:w="1700"/>
        <w:gridCol w:w="2691"/>
        <w:gridCol w:w="1703"/>
        <w:gridCol w:w="6615"/>
      </w:tblGrid>
      <w:tr w:rsidR="003835EB" w:rsidRPr="00092F66" w14:paraId="6ADE83BF" w14:textId="77777777" w:rsidTr="00EF74BA">
        <w:trPr>
          <w:cantSplit/>
          <w:trHeight w:val="58"/>
          <w:tblHeader/>
        </w:trPr>
        <w:tc>
          <w:tcPr>
            <w:tcW w:w="873" w:type="pct"/>
            <w:tcBorders>
              <w:top w:val="single" w:sz="4" w:space="0" w:color="auto"/>
              <w:left w:val="single" w:sz="4" w:space="0" w:color="auto"/>
              <w:bottom w:val="single" w:sz="4" w:space="0" w:color="auto"/>
              <w:right w:val="single" w:sz="4" w:space="0" w:color="auto"/>
            </w:tcBorders>
            <w:shd w:val="clear" w:color="auto" w:fill="auto"/>
          </w:tcPr>
          <w:p w14:paraId="5E0B65F2" w14:textId="77777777" w:rsidR="003835EB" w:rsidRPr="00B23C2C" w:rsidRDefault="003835EB" w:rsidP="00A662E7">
            <w:pPr>
              <w:keepLines/>
              <w:widowControl w:val="0"/>
              <w:spacing w:after="120"/>
              <w:jc w:val="center"/>
              <w:rPr>
                <w:rFonts w:asciiTheme="minorHAnsi" w:hAnsiTheme="minorHAnsi" w:cstheme="minorHAnsi"/>
                <w:b/>
                <w:sz w:val="18"/>
                <w:szCs w:val="18"/>
              </w:rPr>
            </w:pPr>
            <w:bookmarkStart w:id="0" w:name="_Hlk84500855"/>
            <w:r w:rsidRPr="00B23C2C">
              <w:rPr>
                <w:rFonts w:asciiTheme="minorHAnsi" w:hAnsiTheme="minorHAnsi" w:cstheme="minorHAnsi"/>
                <w:b/>
                <w:sz w:val="18"/>
                <w:szCs w:val="18"/>
              </w:rPr>
              <w:t>DRUG NAME, FORM(S), STRENGTH(S), SPONSOR, TYPE OF SUBMISSION</w:t>
            </w:r>
          </w:p>
        </w:tc>
        <w:tc>
          <w:tcPr>
            <w:tcW w:w="552" w:type="pct"/>
            <w:tcBorders>
              <w:top w:val="single" w:sz="4" w:space="0" w:color="auto"/>
              <w:left w:val="single" w:sz="4" w:space="0" w:color="auto"/>
              <w:bottom w:val="single" w:sz="4" w:space="0" w:color="auto"/>
              <w:right w:val="single" w:sz="4" w:space="0" w:color="auto"/>
            </w:tcBorders>
            <w:shd w:val="clear" w:color="auto" w:fill="auto"/>
          </w:tcPr>
          <w:p w14:paraId="7652D7AB" w14:textId="77777777" w:rsidR="003835EB" w:rsidRPr="00B23C2C" w:rsidRDefault="003835EB" w:rsidP="00A662E7">
            <w:pPr>
              <w:keepLines/>
              <w:widowControl w:val="0"/>
              <w:spacing w:after="120"/>
              <w:jc w:val="center"/>
              <w:rPr>
                <w:rFonts w:asciiTheme="minorHAnsi" w:hAnsiTheme="minorHAnsi" w:cstheme="minorHAnsi"/>
                <w:b/>
                <w:sz w:val="18"/>
                <w:szCs w:val="18"/>
              </w:rPr>
            </w:pPr>
            <w:r w:rsidRPr="00B23C2C">
              <w:rPr>
                <w:rFonts w:asciiTheme="minorHAnsi" w:hAnsiTheme="minorHAnsi" w:cstheme="minorHAnsi"/>
                <w:b/>
                <w:sz w:val="18"/>
                <w:szCs w:val="18"/>
              </w:rPr>
              <w:t>DRUG TYPE AND USE</w:t>
            </w:r>
          </w:p>
          <w:p w14:paraId="6328A465" w14:textId="77777777" w:rsidR="003835EB" w:rsidRPr="00B23C2C" w:rsidRDefault="003835EB" w:rsidP="00A662E7">
            <w:pPr>
              <w:keepLines/>
              <w:widowControl w:val="0"/>
              <w:spacing w:after="120"/>
              <w:jc w:val="center"/>
              <w:rPr>
                <w:rFonts w:asciiTheme="minorHAnsi" w:hAnsiTheme="minorHAnsi" w:cstheme="minorHAnsi"/>
                <w:b/>
                <w:sz w:val="18"/>
                <w:szCs w:val="18"/>
              </w:rPr>
            </w:pPr>
          </w:p>
        </w:tc>
        <w:tc>
          <w:tcPr>
            <w:tcW w:w="874" w:type="pct"/>
            <w:tcBorders>
              <w:top w:val="single" w:sz="4" w:space="0" w:color="auto"/>
              <w:left w:val="single" w:sz="4" w:space="0" w:color="auto"/>
              <w:bottom w:val="single" w:sz="4" w:space="0" w:color="auto"/>
              <w:right w:val="single" w:sz="4" w:space="0" w:color="auto"/>
            </w:tcBorders>
            <w:shd w:val="clear" w:color="auto" w:fill="auto"/>
          </w:tcPr>
          <w:p w14:paraId="29379879" w14:textId="77777777" w:rsidR="003835EB" w:rsidRPr="00B23C2C" w:rsidRDefault="003835EB" w:rsidP="00A662E7">
            <w:pPr>
              <w:keepLines/>
              <w:widowControl w:val="0"/>
              <w:spacing w:after="120"/>
              <w:jc w:val="center"/>
              <w:rPr>
                <w:rFonts w:asciiTheme="minorHAnsi" w:hAnsiTheme="minorHAnsi" w:cstheme="minorHAnsi"/>
                <w:b/>
                <w:sz w:val="18"/>
                <w:szCs w:val="18"/>
              </w:rPr>
            </w:pPr>
            <w:r w:rsidRPr="00B23C2C">
              <w:rPr>
                <w:rFonts w:asciiTheme="minorHAnsi" w:hAnsiTheme="minorHAnsi" w:cstheme="minorHAnsi"/>
                <w:b/>
                <w:sz w:val="18"/>
                <w:szCs w:val="18"/>
              </w:rPr>
              <w:t>LISTING REQUESTED BY SPONSOR / PURPOSE OF SUBMISSION</w:t>
            </w:r>
          </w:p>
        </w:tc>
        <w:tc>
          <w:tcPr>
            <w:tcW w:w="2701" w:type="pct"/>
            <w:gridSpan w:val="2"/>
            <w:tcBorders>
              <w:top w:val="single" w:sz="4" w:space="0" w:color="auto"/>
              <w:left w:val="single" w:sz="4" w:space="0" w:color="auto"/>
              <w:bottom w:val="single" w:sz="4" w:space="0" w:color="auto"/>
              <w:right w:val="single" w:sz="4" w:space="0" w:color="auto"/>
            </w:tcBorders>
            <w:shd w:val="clear" w:color="auto" w:fill="auto"/>
          </w:tcPr>
          <w:p w14:paraId="54E1355E" w14:textId="77777777" w:rsidR="003835EB" w:rsidRPr="00B23C2C" w:rsidRDefault="003835EB" w:rsidP="00A662E7">
            <w:pPr>
              <w:keepLines/>
              <w:spacing w:after="120"/>
              <w:jc w:val="center"/>
              <w:rPr>
                <w:rFonts w:asciiTheme="minorHAnsi" w:hAnsiTheme="minorHAnsi" w:cstheme="minorHAnsi"/>
                <w:b/>
                <w:sz w:val="18"/>
                <w:szCs w:val="18"/>
              </w:rPr>
            </w:pPr>
            <w:r w:rsidRPr="00B23C2C">
              <w:rPr>
                <w:rFonts w:asciiTheme="minorHAnsi" w:hAnsiTheme="minorHAnsi" w:cstheme="minorHAnsi"/>
                <w:b/>
                <w:sz w:val="18"/>
                <w:szCs w:val="18"/>
              </w:rPr>
              <w:t>PBAC OUTCOME</w:t>
            </w:r>
          </w:p>
          <w:p w14:paraId="5EC94810" w14:textId="77777777" w:rsidR="003835EB" w:rsidRPr="00B23C2C" w:rsidRDefault="003835EB" w:rsidP="00A662E7">
            <w:pPr>
              <w:keepLines/>
              <w:spacing w:after="120"/>
              <w:jc w:val="center"/>
              <w:rPr>
                <w:rFonts w:asciiTheme="minorHAnsi" w:hAnsiTheme="minorHAnsi" w:cstheme="minorHAnsi"/>
                <w:b/>
                <w:sz w:val="18"/>
                <w:szCs w:val="18"/>
              </w:rPr>
            </w:pPr>
          </w:p>
        </w:tc>
      </w:tr>
      <w:bookmarkEnd w:id="0"/>
      <w:tr w:rsidR="00FB047E" w:rsidRPr="00092F66" w14:paraId="2AFCA73A" w14:textId="77777777" w:rsidTr="00F82E86">
        <w:trPr>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BCCEDF5" w14:textId="77777777" w:rsidR="00FB047E" w:rsidRPr="00B23C2C" w:rsidRDefault="00FB047E" w:rsidP="00A662E7">
            <w:pPr>
              <w:jc w:val="center"/>
              <w:rPr>
                <w:rFonts w:asciiTheme="minorHAnsi" w:hAnsiTheme="minorHAnsi" w:cstheme="minorHAnsi"/>
                <w:sz w:val="18"/>
                <w:szCs w:val="18"/>
              </w:rPr>
            </w:pPr>
            <w:r w:rsidRPr="00B23C2C">
              <w:rPr>
                <w:rFonts w:asciiTheme="minorHAnsi" w:hAnsiTheme="minorHAnsi" w:cstheme="minorHAnsi"/>
                <w:sz w:val="18"/>
                <w:szCs w:val="18"/>
              </w:rPr>
              <w:t>ALECTINIB, BRIGATINIB, CERITINIB, CRIZOTINIB, ENTRECTINIB, AND LORLATINIB</w:t>
            </w:r>
          </w:p>
          <w:p w14:paraId="7FD1BCF2" w14:textId="77777777" w:rsidR="00FB047E" w:rsidRPr="00B23C2C" w:rsidRDefault="00FB047E" w:rsidP="00A662E7">
            <w:pPr>
              <w:jc w:val="center"/>
              <w:rPr>
                <w:rFonts w:asciiTheme="minorHAnsi" w:hAnsiTheme="minorHAnsi" w:cstheme="minorHAnsi"/>
                <w:sz w:val="18"/>
                <w:szCs w:val="18"/>
              </w:rPr>
            </w:pPr>
            <w:r w:rsidRPr="00B23C2C">
              <w:rPr>
                <w:rFonts w:asciiTheme="minorHAnsi" w:hAnsiTheme="minorHAnsi" w:cstheme="minorHAnsi"/>
                <w:sz w:val="18"/>
                <w:szCs w:val="18"/>
              </w:rPr>
              <w:br/>
              <w:t>All forms and strengths</w:t>
            </w:r>
          </w:p>
          <w:p w14:paraId="2C4A9450" w14:textId="77777777" w:rsidR="00FB047E" w:rsidRPr="00B23C2C" w:rsidRDefault="00FB047E" w:rsidP="00A662E7">
            <w:pPr>
              <w:jc w:val="center"/>
              <w:rPr>
                <w:rFonts w:asciiTheme="minorHAnsi" w:hAnsiTheme="minorHAnsi" w:cstheme="minorHAnsi"/>
                <w:sz w:val="18"/>
                <w:szCs w:val="18"/>
              </w:rPr>
            </w:pPr>
          </w:p>
          <w:p w14:paraId="44289967" w14:textId="013C6ACF" w:rsidR="00FB047E" w:rsidRPr="00B23C2C" w:rsidRDefault="00FB047E" w:rsidP="00A662E7">
            <w:pPr>
              <w:jc w:val="center"/>
              <w:rPr>
                <w:rFonts w:asciiTheme="minorHAnsi" w:hAnsiTheme="minorHAnsi" w:cstheme="minorHAnsi"/>
                <w:sz w:val="18"/>
                <w:szCs w:val="18"/>
              </w:rPr>
            </w:pPr>
            <w:r w:rsidRPr="00B23C2C">
              <w:rPr>
                <w:rFonts w:asciiTheme="minorHAnsi" w:hAnsiTheme="minorHAnsi" w:cstheme="minorHAnsi"/>
                <w:sz w:val="18"/>
                <w:szCs w:val="18"/>
              </w:rPr>
              <w:t>Various brands</w:t>
            </w:r>
          </w:p>
          <w:p w14:paraId="6491E42D" w14:textId="77777777" w:rsidR="00FB047E" w:rsidRPr="00B23C2C" w:rsidRDefault="00FB047E" w:rsidP="00A662E7">
            <w:pPr>
              <w:jc w:val="center"/>
              <w:rPr>
                <w:rFonts w:asciiTheme="minorHAnsi" w:hAnsiTheme="minorHAnsi" w:cstheme="minorHAnsi"/>
                <w:sz w:val="18"/>
                <w:szCs w:val="18"/>
              </w:rPr>
            </w:pPr>
          </w:p>
          <w:p w14:paraId="203621E2" w14:textId="4BEB716E" w:rsidR="00FB047E" w:rsidRPr="00B23C2C" w:rsidRDefault="00FB047E" w:rsidP="00A662E7">
            <w:pPr>
              <w:jc w:val="center"/>
              <w:rPr>
                <w:rFonts w:asciiTheme="minorHAnsi" w:hAnsiTheme="minorHAnsi" w:cstheme="minorHAnsi"/>
                <w:sz w:val="18"/>
                <w:szCs w:val="18"/>
              </w:rPr>
            </w:pPr>
            <w:r w:rsidRPr="00B23C2C">
              <w:rPr>
                <w:rFonts w:asciiTheme="minorHAnsi" w:hAnsiTheme="minorHAnsi" w:cstheme="minorHAnsi"/>
                <w:sz w:val="18"/>
                <w:szCs w:val="18"/>
              </w:rPr>
              <w:t>Various sponsors</w:t>
            </w:r>
            <w:r w:rsidRPr="00B23C2C">
              <w:rPr>
                <w:rFonts w:asciiTheme="minorHAnsi" w:hAnsiTheme="minorHAnsi" w:cstheme="minorHAnsi"/>
                <w:sz w:val="18"/>
                <w:szCs w:val="18"/>
              </w:rPr>
              <w:br/>
            </w:r>
            <w:r w:rsidRPr="00B23C2C">
              <w:rPr>
                <w:rFonts w:asciiTheme="minorHAnsi" w:hAnsiTheme="minorHAnsi" w:cstheme="minorHAnsi"/>
                <w:sz w:val="18"/>
                <w:szCs w:val="18"/>
              </w:rPr>
              <w:br/>
              <w:t>(Change to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57BE90C0" w14:textId="05DA2639" w:rsidR="00FB047E" w:rsidRPr="00B23C2C" w:rsidRDefault="00FB047E" w:rsidP="00A662E7">
            <w:pPr>
              <w:keepLines/>
              <w:widowControl w:val="0"/>
              <w:spacing w:after="120"/>
              <w:jc w:val="center"/>
              <w:rPr>
                <w:rFonts w:asciiTheme="minorHAnsi" w:hAnsiTheme="minorHAnsi" w:cstheme="minorHAnsi"/>
                <w:sz w:val="18"/>
                <w:szCs w:val="18"/>
              </w:rPr>
            </w:pPr>
            <w:r w:rsidRPr="00B23C2C">
              <w:rPr>
                <w:rFonts w:asciiTheme="minorHAnsi" w:hAnsiTheme="minorHAnsi" w:cstheme="minorHAnsi"/>
                <w:sz w:val="18"/>
                <w:szCs w:val="18"/>
              </w:rPr>
              <w:t>Non-small cell lung cancer (NSCLC)</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4C3F1B0" w14:textId="7BD014F1" w:rsidR="00FB047E" w:rsidRPr="00B23C2C" w:rsidRDefault="00FB047E" w:rsidP="00A662E7">
            <w:pPr>
              <w:keepLines/>
              <w:widowControl w:val="0"/>
              <w:spacing w:after="120"/>
              <w:jc w:val="center"/>
              <w:rPr>
                <w:rFonts w:asciiTheme="minorHAnsi" w:hAnsiTheme="minorHAnsi" w:cstheme="minorHAnsi"/>
                <w:sz w:val="18"/>
                <w:szCs w:val="18"/>
              </w:rPr>
            </w:pPr>
            <w:r w:rsidRPr="00B23C2C">
              <w:rPr>
                <w:rFonts w:asciiTheme="minorHAnsi" w:hAnsiTheme="minorHAnsi" w:cstheme="minorHAnsi"/>
                <w:sz w:val="18"/>
                <w:szCs w:val="18"/>
              </w:rPr>
              <w:t>To consider a proposed change to the restriction criteria to amend testing requirements for identification of anaplastic lymphoma kinase (ALK) or c-ROS proto-oncogene 1 (ROS1) gene rearrangement in tumour material to include next generation sequencing gene panel testing for NSCLC as an eligible testing method for PBS subsidy in addition to fluorescence in situ hybridisation (FISH) testing, following the 1</w:t>
            </w:r>
            <w:r w:rsidR="00AE1210">
              <w:rPr>
                <w:rFonts w:asciiTheme="minorHAnsi" w:hAnsiTheme="minorHAnsi" w:cstheme="minorHAnsi"/>
                <w:sz w:val="18"/>
                <w:szCs w:val="18"/>
              </w:rPr>
              <w:t> </w:t>
            </w:r>
            <w:r w:rsidRPr="00B23C2C">
              <w:rPr>
                <w:rFonts w:asciiTheme="minorHAnsi" w:hAnsiTheme="minorHAnsi" w:cstheme="minorHAnsi"/>
                <w:sz w:val="18"/>
                <w:szCs w:val="18"/>
              </w:rPr>
              <w:t>November</w:t>
            </w:r>
            <w:r w:rsidR="00AE1210">
              <w:rPr>
                <w:rFonts w:asciiTheme="minorHAnsi" w:hAnsiTheme="minorHAnsi" w:cstheme="minorHAnsi"/>
                <w:sz w:val="18"/>
                <w:szCs w:val="18"/>
              </w:rPr>
              <w:t> </w:t>
            </w:r>
            <w:r w:rsidRPr="00B23C2C">
              <w:rPr>
                <w:rFonts w:asciiTheme="minorHAnsi" w:hAnsiTheme="minorHAnsi" w:cstheme="minorHAnsi"/>
                <w:sz w:val="18"/>
                <w:szCs w:val="18"/>
              </w:rPr>
              <w:t xml:space="preserve">2023 listing of </w:t>
            </w:r>
            <w:r w:rsidR="002E3222">
              <w:rPr>
                <w:rFonts w:asciiTheme="minorHAnsi" w:hAnsiTheme="minorHAnsi" w:cstheme="minorHAnsi"/>
                <w:sz w:val="18"/>
                <w:szCs w:val="18"/>
              </w:rPr>
              <w:t>next generation sequencing (</w:t>
            </w:r>
            <w:r w:rsidRPr="00B23C2C">
              <w:rPr>
                <w:rFonts w:asciiTheme="minorHAnsi" w:hAnsiTheme="minorHAnsi" w:cstheme="minorHAnsi"/>
                <w:sz w:val="18"/>
                <w:szCs w:val="18"/>
              </w:rPr>
              <w:t>NGS</w:t>
            </w:r>
            <w:r w:rsidR="002E3222">
              <w:rPr>
                <w:rFonts w:asciiTheme="minorHAnsi" w:hAnsiTheme="minorHAnsi" w:cstheme="minorHAnsi"/>
                <w:sz w:val="18"/>
                <w:szCs w:val="18"/>
              </w:rPr>
              <w:t>)</w:t>
            </w:r>
            <w:r w:rsidRPr="00B23C2C">
              <w:rPr>
                <w:rFonts w:asciiTheme="minorHAnsi" w:hAnsiTheme="minorHAnsi" w:cstheme="minorHAnsi"/>
                <w:sz w:val="18"/>
                <w:szCs w:val="18"/>
              </w:rPr>
              <w:t xml:space="preserve"> gene panel testing for NSCLC on the Medicare Benefits Schedule.</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2C1BC1E8" w14:textId="10B9C6BC" w:rsidR="00FB047E" w:rsidRPr="00B23C2C" w:rsidRDefault="00FB047E" w:rsidP="00A662E7">
            <w:pPr>
              <w:keepLines/>
              <w:spacing w:after="120"/>
              <w:jc w:val="center"/>
              <w:rPr>
                <w:rFonts w:asciiTheme="minorHAnsi" w:hAnsiTheme="minorHAnsi" w:cstheme="minorHAnsi"/>
                <w:sz w:val="18"/>
                <w:szCs w:val="18"/>
              </w:rPr>
            </w:pPr>
            <w:r w:rsidRPr="00B23C2C">
              <w:rPr>
                <w:rFonts w:asciiTheme="minorHAnsi" w:hAnsiTheme="minorHAnsi" w:cstheme="minorHAnsi"/>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FEABA5F" w14:textId="6E084FDB" w:rsidR="00FB047E" w:rsidRPr="00B23C2C" w:rsidRDefault="00FB047E" w:rsidP="00B23C2C">
            <w:pPr>
              <w:keepLines/>
              <w:spacing w:after="120"/>
              <w:rPr>
                <w:rFonts w:asciiTheme="minorHAnsi" w:hAnsiTheme="minorHAnsi" w:cstheme="minorHAnsi"/>
                <w:sz w:val="18"/>
                <w:szCs w:val="18"/>
              </w:rPr>
            </w:pPr>
            <w:r w:rsidRPr="00B23C2C">
              <w:rPr>
                <w:rFonts w:asciiTheme="minorHAnsi" w:hAnsiTheme="minorHAnsi" w:cstheme="minorHAnsi"/>
                <w:sz w:val="18"/>
                <w:szCs w:val="18"/>
              </w:rPr>
              <w:t xml:space="preserve">The PBAC recommended changes to the restriction criteria for alectinib, brigatinib, ceritinib, crizotinib, entrectinib and lorlatinib (medicines that require evidence of the presence of </w:t>
            </w:r>
            <w:r w:rsidR="008B2192" w:rsidRPr="00B23C2C">
              <w:rPr>
                <w:rFonts w:asciiTheme="minorHAnsi" w:hAnsiTheme="minorHAnsi" w:cstheme="minorHAnsi"/>
                <w:sz w:val="18"/>
                <w:szCs w:val="18"/>
              </w:rPr>
              <w:t>ALK</w:t>
            </w:r>
            <w:r w:rsidRPr="00B23C2C">
              <w:rPr>
                <w:rFonts w:asciiTheme="minorHAnsi" w:hAnsiTheme="minorHAnsi" w:cstheme="minorHAnsi"/>
                <w:sz w:val="18"/>
                <w:szCs w:val="18"/>
              </w:rPr>
              <w:t xml:space="preserve"> or </w:t>
            </w:r>
            <w:r w:rsidR="008B2192" w:rsidRPr="00B23C2C">
              <w:rPr>
                <w:rFonts w:asciiTheme="minorHAnsi" w:hAnsiTheme="minorHAnsi" w:cstheme="minorHAnsi"/>
                <w:sz w:val="18"/>
                <w:szCs w:val="18"/>
              </w:rPr>
              <w:t>ROS1</w:t>
            </w:r>
            <w:r w:rsidRPr="00B23C2C">
              <w:rPr>
                <w:rFonts w:asciiTheme="minorHAnsi" w:hAnsiTheme="minorHAnsi" w:cstheme="minorHAnsi"/>
                <w:sz w:val="18"/>
                <w:szCs w:val="18"/>
              </w:rPr>
              <w:t xml:space="preserve"> gene rearrangement), to include small NGS gene panel biomarker testing as an eligible testing method for PBS subsidy in addition to FISH biomarker testing.</w:t>
            </w:r>
          </w:p>
        </w:tc>
      </w:tr>
      <w:tr w:rsidR="00FB047E" w:rsidRPr="00092F66" w14:paraId="14967140" w14:textId="77777777" w:rsidTr="00276113">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4CF47325" w14:textId="77777777" w:rsidR="00FB047E" w:rsidRPr="00B23C2C" w:rsidRDefault="00FB047E" w:rsidP="00A662E7">
            <w:pPr>
              <w:jc w:val="center"/>
              <w:rPr>
                <w:rFonts w:asciiTheme="minorHAnsi" w:hAnsiTheme="minorHAnsi" w:cstheme="minorHAnsi"/>
                <w:sz w:val="18"/>
                <w:szCs w:val="18"/>
              </w:rPr>
            </w:pPr>
            <w:r w:rsidRPr="00B23C2C">
              <w:rPr>
                <w:rFonts w:asciiTheme="minorHAnsi" w:hAnsiTheme="minorHAnsi" w:cstheme="minorHAnsi"/>
                <w:sz w:val="18"/>
                <w:szCs w:val="18"/>
              </w:rPr>
              <w:lastRenderedPageBreak/>
              <w:t>ASCIMINIB, DASATINIB, IMATINIB, NILOTINIB, AND PONATINIB</w:t>
            </w:r>
            <w:r w:rsidRPr="00B23C2C">
              <w:rPr>
                <w:rFonts w:asciiTheme="minorHAnsi" w:hAnsiTheme="minorHAnsi" w:cstheme="minorHAnsi"/>
                <w:sz w:val="18"/>
                <w:szCs w:val="18"/>
              </w:rPr>
              <w:br/>
            </w:r>
          </w:p>
          <w:p w14:paraId="58F239D7" w14:textId="77777777" w:rsidR="00FB047E" w:rsidRPr="00B23C2C" w:rsidRDefault="00FB047E" w:rsidP="00A662E7">
            <w:pPr>
              <w:jc w:val="center"/>
              <w:rPr>
                <w:rFonts w:asciiTheme="minorHAnsi" w:hAnsiTheme="minorHAnsi" w:cstheme="minorHAnsi"/>
                <w:sz w:val="18"/>
                <w:szCs w:val="18"/>
              </w:rPr>
            </w:pPr>
            <w:r w:rsidRPr="00B23C2C">
              <w:rPr>
                <w:rFonts w:asciiTheme="minorHAnsi" w:hAnsiTheme="minorHAnsi" w:cstheme="minorHAnsi"/>
                <w:sz w:val="18"/>
                <w:szCs w:val="18"/>
              </w:rPr>
              <w:t>All forms and strengths</w:t>
            </w:r>
          </w:p>
          <w:p w14:paraId="5FA1E06B" w14:textId="77777777" w:rsidR="00FB047E" w:rsidRPr="00B23C2C" w:rsidRDefault="00FB047E" w:rsidP="00A662E7">
            <w:pPr>
              <w:jc w:val="center"/>
              <w:rPr>
                <w:rFonts w:asciiTheme="minorHAnsi" w:hAnsiTheme="minorHAnsi" w:cstheme="minorHAnsi"/>
                <w:sz w:val="18"/>
                <w:szCs w:val="18"/>
              </w:rPr>
            </w:pPr>
          </w:p>
          <w:p w14:paraId="602B579D" w14:textId="1CF913D4" w:rsidR="00FB047E" w:rsidRPr="00B23C2C" w:rsidRDefault="00FB047E" w:rsidP="00A662E7">
            <w:pPr>
              <w:jc w:val="center"/>
              <w:rPr>
                <w:rFonts w:asciiTheme="minorHAnsi" w:hAnsiTheme="minorHAnsi" w:cstheme="minorHAnsi"/>
                <w:sz w:val="18"/>
                <w:szCs w:val="18"/>
              </w:rPr>
            </w:pPr>
            <w:r w:rsidRPr="00B23C2C">
              <w:rPr>
                <w:rFonts w:asciiTheme="minorHAnsi" w:hAnsiTheme="minorHAnsi" w:cstheme="minorHAnsi"/>
                <w:sz w:val="18"/>
                <w:szCs w:val="18"/>
              </w:rPr>
              <w:t>Various brands</w:t>
            </w:r>
          </w:p>
          <w:p w14:paraId="79CD0DB4" w14:textId="77777777" w:rsidR="00FB047E" w:rsidRPr="00B23C2C" w:rsidRDefault="00FB047E" w:rsidP="00A662E7">
            <w:pPr>
              <w:jc w:val="center"/>
              <w:rPr>
                <w:rFonts w:asciiTheme="minorHAnsi" w:hAnsiTheme="minorHAnsi" w:cstheme="minorHAnsi"/>
                <w:sz w:val="18"/>
                <w:szCs w:val="18"/>
              </w:rPr>
            </w:pPr>
          </w:p>
          <w:p w14:paraId="5B9F2380" w14:textId="4A93B344" w:rsidR="00FB047E" w:rsidRPr="00B23C2C" w:rsidRDefault="00FB047E" w:rsidP="00A662E7">
            <w:pPr>
              <w:jc w:val="center"/>
              <w:rPr>
                <w:rFonts w:asciiTheme="minorHAnsi" w:hAnsiTheme="minorHAnsi" w:cstheme="minorHAnsi"/>
                <w:sz w:val="18"/>
                <w:szCs w:val="18"/>
              </w:rPr>
            </w:pPr>
            <w:r w:rsidRPr="00B23C2C">
              <w:rPr>
                <w:rFonts w:asciiTheme="minorHAnsi" w:hAnsiTheme="minorHAnsi" w:cstheme="minorHAnsi"/>
                <w:sz w:val="18"/>
                <w:szCs w:val="18"/>
              </w:rPr>
              <w:t>Various sponsors</w:t>
            </w:r>
            <w:r w:rsidRPr="00B23C2C">
              <w:rPr>
                <w:rFonts w:asciiTheme="minorHAnsi" w:hAnsiTheme="minorHAnsi" w:cstheme="minorHAnsi"/>
                <w:sz w:val="18"/>
                <w:szCs w:val="18"/>
              </w:rPr>
              <w:br/>
            </w:r>
            <w:r w:rsidRPr="00B23C2C">
              <w:rPr>
                <w:rFonts w:asciiTheme="minorHAnsi" w:hAnsiTheme="minorHAnsi" w:cstheme="minorHAnsi"/>
                <w:sz w:val="18"/>
                <w:szCs w:val="18"/>
              </w:rPr>
              <w:br/>
              <w:t>(Change to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0321D991" w14:textId="1F5121BB" w:rsidR="00FB047E" w:rsidRPr="00B23C2C" w:rsidRDefault="00FB047E" w:rsidP="00A662E7">
            <w:pPr>
              <w:keepLines/>
              <w:widowControl w:val="0"/>
              <w:spacing w:after="120"/>
              <w:jc w:val="center"/>
              <w:rPr>
                <w:rFonts w:asciiTheme="minorHAnsi" w:hAnsiTheme="minorHAnsi" w:cstheme="minorHAnsi"/>
                <w:sz w:val="18"/>
                <w:szCs w:val="18"/>
              </w:rPr>
            </w:pPr>
            <w:r w:rsidRPr="00B23C2C">
              <w:rPr>
                <w:rFonts w:asciiTheme="minorHAnsi" w:hAnsiTheme="minorHAnsi" w:cstheme="minorHAnsi"/>
                <w:sz w:val="18"/>
                <w:szCs w:val="18"/>
              </w:rPr>
              <w:t>Chronic myeloid leukaemia (CML)</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4A45103" w14:textId="33D67F29" w:rsidR="00FB047E" w:rsidRPr="00B23C2C" w:rsidRDefault="00FB047E" w:rsidP="00A662E7">
            <w:pPr>
              <w:keepLines/>
              <w:widowControl w:val="0"/>
              <w:spacing w:after="120"/>
              <w:jc w:val="center"/>
              <w:rPr>
                <w:rFonts w:asciiTheme="minorHAnsi" w:hAnsiTheme="minorHAnsi" w:cstheme="minorHAnsi"/>
                <w:sz w:val="18"/>
                <w:szCs w:val="18"/>
              </w:rPr>
            </w:pPr>
            <w:r w:rsidRPr="00B23C2C">
              <w:rPr>
                <w:rFonts w:asciiTheme="minorHAnsi" w:hAnsiTheme="minorHAnsi" w:cstheme="minorHAnsi"/>
                <w:sz w:val="18"/>
                <w:szCs w:val="18"/>
              </w:rPr>
              <w:t xml:space="preserve">To consider updates to the restrictions of tyrosine kinase inhibitors </w:t>
            </w:r>
            <w:r w:rsidR="00D618E4">
              <w:rPr>
                <w:rFonts w:asciiTheme="minorHAnsi" w:hAnsiTheme="minorHAnsi" w:cstheme="minorHAnsi"/>
                <w:sz w:val="18"/>
                <w:szCs w:val="18"/>
              </w:rPr>
              <w:t xml:space="preserve">(TKIs) </w:t>
            </w:r>
            <w:r w:rsidRPr="00B23C2C">
              <w:rPr>
                <w:rFonts w:asciiTheme="minorHAnsi" w:hAnsiTheme="minorHAnsi" w:cstheme="minorHAnsi"/>
                <w:sz w:val="18"/>
                <w:szCs w:val="18"/>
              </w:rPr>
              <w:t>for the treatment of CML to align with current clinical practice.</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6EC4C8EA" w14:textId="1F8D4A65" w:rsidR="00FB047E" w:rsidRPr="00B23C2C" w:rsidRDefault="00FB047E" w:rsidP="00A662E7">
            <w:pPr>
              <w:keepLines/>
              <w:spacing w:after="120"/>
              <w:jc w:val="center"/>
              <w:rPr>
                <w:rFonts w:asciiTheme="minorHAnsi" w:hAnsiTheme="minorHAnsi" w:cstheme="minorHAnsi"/>
                <w:sz w:val="18"/>
                <w:szCs w:val="18"/>
              </w:rPr>
            </w:pPr>
            <w:r w:rsidRPr="00B23C2C">
              <w:rPr>
                <w:rFonts w:asciiTheme="minorHAnsi" w:hAnsiTheme="minorHAnsi" w:cstheme="minorHAnsi"/>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63D9399A" w14:textId="0C6FF7D5" w:rsidR="00B01D0A" w:rsidRDefault="00FB047E">
            <w:pPr>
              <w:keepLines/>
              <w:spacing w:after="120"/>
              <w:rPr>
                <w:rFonts w:asciiTheme="minorHAnsi" w:hAnsiTheme="minorHAnsi" w:cstheme="minorHAnsi"/>
                <w:sz w:val="18"/>
                <w:szCs w:val="18"/>
              </w:rPr>
            </w:pPr>
            <w:r w:rsidRPr="00B23C2C">
              <w:rPr>
                <w:rFonts w:asciiTheme="minorHAnsi" w:hAnsiTheme="minorHAnsi" w:cstheme="minorHAnsi"/>
                <w:sz w:val="18"/>
                <w:szCs w:val="18"/>
              </w:rPr>
              <w:t>The PBAC recommended the following changes to the PBS restriction criteria for the imatinib, dasatinib and nilotinib listings for CML:</w:t>
            </w:r>
            <w:r w:rsidRPr="00B23C2C">
              <w:rPr>
                <w:rFonts w:asciiTheme="minorHAnsi" w:hAnsiTheme="minorHAnsi" w:cstheme="minorHAnsi"/>
                <w:sz w:val="18"/>
                <w:szCs w:val="18"/>
              </w:rPr>
              <w:br/>
              <w:t>• remove specification of line of treatment and phase</w:t>
            </w:r>
            <w:r w:rsidRPr="00B23C2C">
              <w:rPr>
                <w:rFonts w:asciiTheme="minorHAnsi" w:hAnsiTheme="minorHAnsi" w:cstheme="minorHAnsi"/>
                <w:sz w:val="18"/>
                <w:szCs w:val="18"/>
              </w:rPr>
              <w:br/>
              <w:t>• allow all strengths of nilotinib to be available for dose titration regardless of line of therapy.</w:t>
            </w:r>
          </w:p>
          <w:p w14:paraId="0E5CAE46" w14:textId="5BEFD506" w:rsidR="00FB047E" w:rsidRPr="00B23C2C" w:rsidRDefault="00FB047E" w:rsidP="00B23C2C">
            <w:pPr>
              <w:keepLines/>
              <w:spacing w:after="120"/>
              <w:rPr>
                <w:rFonts w:asciiTheme="minorHAnsi" w:hAnsiTheme="minorHAnsi" w:cstheme="minorHAnsi"/>
                <w:sz w:val="18"/>
                <w:szCs w:val="18"/>
              </w:rPr>
            </w:pPr>
            <w:r w:rsidRPr="00B23C2C">
              <w:rPr>
                <w:rFonts w:asciiTheme="minorHAnsi" w:hAnsiTheme="minorHAnsi" w:cstheme="minorHAnsi"/>
                <w:sz w:val="18"/>
                <w:szCs w:val="18"/>
              </w:rPr>
              <w:t xml:space="preserve">The PBAC recommended removing ‘accelerated phase’ from the PBS restriction criteria for all five </w:t>
            </w:r>
            <w:r w:rsidR="00D618E4">
              <w:rPr>
                <w:rFonts w:asciiTheme="minorHAnsi" w:hAnsiTheme="minorHAnsi" w:cstheme="minorHAnsi"/>
                <w:sz w:val="18"/>
                <w:szCs w:val="18"/>
              </w:rPr>
              <w:t>TKIs</w:t>
            </w:r>
            <w:r w:rsidRPr="00B23C2C">
              <w:rPr>
                <w:rFonts w:asciiTheme="minorHAnsi" w:hAnsiTheme="minorHAnsi" w:cstheme="minorHAnsi"/>
                <w:sz w:val="18"/>
                <w:szCs w:val="18"/>
              </w:rPr>
              <w:t xml:space="preserve"> to align with the latest World Health Organization (WHO) classification. The PBAC advised that ‘not blast phase (BP)’ continue to be included in the restriction criteria for asciminib, and that prescribers should be referred to the WHO website for the current definition of BP. The PBAC recommended the following wording be removed from the ponatinib PBS restriction criteria: ‘Patient must not be eligible for PBS-subsidised treatment with nilotinib because the patient has a blast crisis.’ The PBAC recommended that the prescribing/administrative advice around diagnosis, definition of response, and definition of nonresponse be removed from the PBS restriction criteria, as a select group of clinicians prescribe these targeted therapies for CML (i.e., specialist haematologists). The PBAC considered these changes would not result in any material changes to the patient population eligible for TKIs listed on the PBS for CML and therefore</w:t>
            </w:r>
            <w:r w:rsidR="00D618E4">
              <w:rPr>
                <w:rFonts w:asciiTheme="minorHAnsi" w:hAnsiTheme="minorHAnsi" w:cstheme="minorHAnsi"/>
                <w:sz w:val="18"/>
                <w:szCs w:val="18"/>
              </w:rPr>
              <w:t xml:space="preserve"> would</w:t>
            </w:r>
            <w:r w:rsidRPr="00B23C2C">
              <w:rPr>
                <w:rFonts w:asciiTheme="minorHAnsi" w:hAnsiTheme="minorHAnsi" w:cstheme="minorHAnsi"/>
                <w:sz w:val="18"/>
                <w:szCs w:val="18"/>
              </w:rPr>
              <w:t xml:space="preserve"> not result in increased costs to the PBS.</w:t>
            </w:r>
          </w:p>
        </w:tc>
      </w:tr>
      <w:tr w:rsidR="006C2A48" w:rsidRPr="00092F66" w14:paraId="104B2152" w14:textId="77777777" w:rsidTr="008327A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6D46C046" w14:textId="77777777" w:rsidR="006C2A48" w:rsidRPr="00B23C2C" w:rsidRDefault="006C2A48" w:rsidP="006C2A48">
            <w:pPr>
              <w:jc w:val="center"/>
              <w:rPr>
                <w:rFonts w:asciiTheme="minorHAnsi" w:hAnsiTheme="minorHAnsi" w:cstheme="minorHAnsi"/>
                <w:sz w:val="18"/>
                <w:szCs w:val="18"/>
              </w:rPr>
            </w:pPr>
            <w:r w:rsidRPr="00B23C2C">
              <w:rPr>
                <w:rFonts w:asciiTheme="minorHAnsi" w:hAnsiTheme="minorHAnsi" w:cstheme="minorHAnsi"/>
                <w:sz w:val="18"/>
                <w:szCs w:val="18"/>
              </w:rPr>
              <w:t>MELATONIN</w:t>
            </w:r>
          </w:p>
          <w:p w14:paraId="4E4B38E9" w14:textId="77777777" w:rsidR="006C2A48" w:rsidRPr="00B23C2C" w:rsidRDefault="006C2A48" w:rsidP="006C2A48">
            <w:pPr>
              <w:jc w:val="center"/>
              <w:rPr>
                <w:rFonts w:asciiTheme="minorHAnsi" w:hAnsiTheme="minorHAnsi" w:cstheme="minorHAnsi"/>
                <w:sz w:val="18"/>
                <w:szCs w:val="18"/>
              </w:rPr>
            </w:pPr>
          </w:p>
          <w:p w14:paraId="36D329AC" w14:textId="77777777" w:rsidR="006C2A48" w:rsidRPr="00B23C2C" w:rsidRDefault="006C2A48" w:rsidP="006C2A48">
            <w:pPr>
              <w:jc w:val="center"/>
              <w:rPr>
                <w:rFonts w:asciiTheme="minorHAnsi" w:hAnsiTheme="minorHAnsi" w:cstheme="minorHAnsi"/>
                <w:sz w:val="18"/>
                <w:szCs w:val="18"/>
              </w:rPr>
            </w:pPr>
            <w:r w:rsidRPr="00B23C2C">
              <w:rPr>
                <w:rFonts w:asciiTheme="minorHAnsi" w:hAnsiTheme="minorHAnsi" w:cstheme="minorHAnsi"/>
                <w:sz w:val="18"/>
                <w:szCs w:val="18"/>
              </w:rPr>
              <w:t>Tablet 1 mg</w:t>
            </w:r>
          </w:p>
          <w:p w14:paraId="5DF27BF5" w14:textId="77777777" w:rsidR="006C2A48" w:rsidRPr="00B23C2C" w:rsidRDefault="006C2A48" w:rsidP="006C2A48">
            <w:pPr>
              <w:jc w:val="center"/>
              <w:rPr>
                <w:rFonts w:asciiTheme="minorHAnsi" w:hAnsiTheme="minorHAnsi" w:cstheme="minorHAnsi"/>
                <w:sz w:val="18"/>
                <w:szCs w:val="18"/>
              </w:rPr>
            </w:pPr>
            <w:r w:rsidRPr="00B23C2C">
              <w:rPr>
                <w:rFonts w:asciiTheme="minorHAnsi" w:hAnsiTheme="minorHAnsi" w:cstheme="minorHAnsi"/>
                <w:sz w:val="18"/>
                <w:szCs w:val="18"/>
              </w:rPr>
              <w:t>Tablet 5 mg</w:t>
            </w:r>
          </w:p>
          <w:p w14:paraId="3A8A42FE" w14:textId="77777777" w:rsidR="006C2A48" w:rsidRPr="00B23C2C" w:rsidRDefault="006C2A48" w:rsidP="006C2A48">
            <w:pPr>
              <w:jc w:val="center"/>
              <w:rPr>
                <w:rFonts w:asciiTheme="minorHAnsi" w:hAnsiTheme="minorHAnsi" w:cstheme="minorHAnsi"/>
                <w:sz w:val="18"/>
                <w:szCs w:val="18"/>
              </w:rPr>
            </w:pPr>
          </w:p>
          <w:p w14:paraId="6538CDB5" w14:textId="77777777" w:rsidR="006C2A48" w:rsidRPr="00B23C2C" w:rsidRDefault="006C2A48" w:rsidP="006C2A48">
            <w:pPr>
              <w:jc w:val="center"/>
              <w:rPr>
                <w:rFonts w:asciiTheme="minorHAnsi" w:hAnsiTheme="minorHAnsi" w:cstheme="minorHAnsi"/>
                <w:sz w:val="18"/>
                <w:szCs w:val="18"/>
              </w:rPr>
            </w:pPr>
            <w:r w:rsidRPr="00B23C2C">
              <w:rPr>
                <w:rFonts w:asciiTheme="minorHAnsi" w:hAnsiTheme="minorHAnsi" w:cstheme="minorHAnsi"/>
                <w:sz w:val="18"/>
                <w:szCs w:val="18"/>
              </w:rPr>
              <w:t>Slenyto®</w:t>
            </w:r>
          </w:p>
          <w:p w14:paraId="4F3884E0" w14:textId="77777777" w:rsidR="006C2A48" w:rsidRPr="00B23C2C" w:rsidRDefault="006C2A48" w:rsidP="006C2A48">
            <w:pPr>
              <w:jc w:val="center"/>
              <w:rPr>
                <w:rFonts w:asciiTheme="minorHAnsi" w:hAnsiTheme="minorHAnsi" w:cstheme="minorHAnsi"/>
                <w:sz w:val="18"/>
                <w:szCs w:val="18"/>
              </w:rPr>
            </w:pPr>
          </w:p>
          <w:p w14:paraId="464E6356" w14:textId="77777777" w:rsidR="006C2A48" w:rsidRPr="00B23C2C" w:rsidRDefault="006C2A48" w:rsidP="006C2A48">
            <w:pPr>
              <w:jc w:val="center"/>
              <w:rPr>
                <w:rFonts w:asciiTheme="minorHAnsi" w:hAnsiTheme="minorHAnsi" w:cstheme="minorHAnsi"/>
                <w:sz w:val="18"/>
                <w:szCs w:val="18"/>
              </w:rPr>
            </w:pPr>
            <w:r w:rsidRPr="00B23C2C">
              <w:rPr>
                <w:rFonts w:asciiTheme="minorHAnsi" w:hAnsiTheme="minorHAnsi" w:cstheme="minorHAnsi"/>
                <w:sz w:val="18"/>
                <w:szCs w:val="18"/>
              </w:rPr>
              <w:t>Aspen Pharmacare Australia Pty Ltd</w:t>
            </w:r>
          </w:p>
          <w:p w14:paraId="4845AB8A" w14:textId="77777777" w:rsidR="006C2A48" w:rsidRPr="00B23C2C" w:rsidRDefault="006C2A48" w:rsidP="006C2A48">
            <w:pPr>
              <w:jc w:val="center"/>
              <w:rPr>
                <w:rFonts w:asciiTheme="minorHAnsi" w:hAnsiTheme="minorHAnsi" w:cstheme="minorHAnsi"/>
                <w:sz w:val="18"/>
                <w:szCs w:val="18"/>
              </w:rPr>
            </w:pPr>
          </w:p>
          <w:p w14:paraId="179DE8C8" w14:textId="33D2AA0C" w:rsidR="006C2A48" w:rsidRPr="00B23C2C" w:rsidRDefault="006C2A48" w:rsidP="006C2A48">
            <w:pPr>
              <w:jc w:val="center"/>
              <w:rPr>
                <w:rFonts w:asciiTheme="minorHAnsi" w:hAnsiTheme="minorHAnsi" w:cstheme="minorHAnsi"/>
                <w:sz w:val="18"/>
                <w:szCs w:val="18"/>
              </w:rPr>
            </w:pPr>
            <w:r w:rsidRPr="00B23C2C">
              <w:rPr>
                <w:rFonts w:asciiTheme="minorHAnsi" w:hAnsiTheme="minorHAnsi" w:cstheme="minorHAnsi"/>
                <w:sz w:val="18"/>
                <w:szCs w:val="18"/>
              </w:rPr>
              <w:t>(Matters arising)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1FF811F5" w14:textId="33D24AD4" w:rsidR="006C2A48" w:rsidRPr="00B23C2C" w:rsidRDefault="006C2A48" w:rsidP="006C2A48">
            <w:pPr>
              <w:keepLines/>
              <w:widowControl w:val="0"/>
              <w:spacing w:after="120"/>
              <w:jc w:val="center"/>
              <w:rPr>
                <w:rFonts w:asciiTheme="minorHAnsi" w:hAnsiTheme="minorHAnsi" w:cstheme="minorHAnsi"/>
                <w:sz w:val="18"/>
                <w:szCs w:val="18"/>
              </w:rPr>
            </w:pPr>
            <w:r w:rsidRPr="00B23C2C">
              <w:rPr>
                <w:rFonts w:asciiTheme="minorHAnsi" w:hAnsiTheme="minorHAnsi" w:cstheme="minorHAnsi"/>
                <w:sz w:val="18"/>
                <w:szCs w:val="18"/>
              </w:rPr>
              <w:t>Insomnia in patients between the ages of 2 to 18 with Smith-Magenis syndrome (SMS)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AD59A8E" w14:textId="78C06738" w:rsidR="006C2A48" w:rsidRPr="00B23C2C" w:rsidRDefault="006C2A48" w:rsidP="006C2A48">
            <w:pPr>
              <w:keepLines/>
              <w:widowControl w:val="0"/>
              <w:spacing w:after="120"/>
              <w:jc w:val="center"/>
              <w:rPr>
                <w:rFonts w:asciiTheme="minorHAnsi" w:hAnsiTheme="minorHAnsi" w:cstheme="minorHAnsi"/>
                <w:sz w:val="18"/>
                <w:szCs w:val="18"/>
              </w:rPr>
            </w:pPr>
            <w:r w:rsidRPr="00B23C2C">
              <w:rPr>
                <w:rFonts w:asciiTheme="minorHAnsi" w:hAnsiTheme="minorHAnsi" w:cstheme="minorHAnsi"/>
                <w:sz w:val="18"/>
                <w:szCs w:val="18"/>
              </w:rPr>
              <w:t xml:space="preserve">To consider whether to </w:t>
            </w:r>
            <w:r>
              <w:rPr>
                <w:rFonts w:asciiTheme="minorHAnsi" w:hAnsiTheme="minorHAnsi" w:cstheme="minorHAnsi"/>
                <w:sz w:val="18"/>
                <w:szCs w:val="18"/>
              </w:rPr>
              <w:t xml:space="preserve">amend, </w:t>
            </w:r>
            <w:r w:rsidRPr="00B23C2C">
              <w:rPr>
                <w:rFonts w:asciiTheme="minorHAnsi" w:hAnsiTheme="minorHAnsi" w:cstheme="minorHAnsi"/>
                <w:sz w:val="18"/>
                <w:szCs w:val="18"/>
              </w:rPr>
              <w:t xml:space="preserve">rescind </w:t>
            </w:r>
            <w:r>
              <w:rPr>
                <w:rFonts w:asciiTheme="minorHAnsi" w:hAnsiTheme="minorHAnsi" w:cstheme="minorHAnsi"/>
                <w:sz w:val="18"/>
                <w:szCs w:val="18"/>
              </w:rPr>
              <w:t xml:space="preserve">or </w:t>
            </w:r>
            <w:r w:rsidRPr="00B23C2C">
              <w:rPr>
                <w:rFonts w:asciiTheme="minorHAnsi" w:hAnsiTheme="minorHAnsi" w:cstheme="minorHAnsi"/>
                <w:sz w:val="18"/>
                <w:szCs w:val="18"/>
              </w:rPr>
              <w:t>extend</w:t>
            </w:r>
            <w:r>
              <w:rPr>
                <w:rFonts w:asciiTheme="minorHAnsi" w:hAnsiTheme="minorHAnsi" w:cstheme="minorHAnsi"/>
                <w:sz w:val="18"/>
                <w:szCs w:val="18"/>
              </w:rPr>
              <w:t xml:space="preserve"> the PBAC’s previous recommendation in November 2021 to list Slentyo 1 mg and 5 mg tablets on the PBS for the treatment of insomnia in patients with SMS.</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F96F60E" w14:textId="4B2016A0" w:rsidR="006C2A48" w:rsidRPr="00B23C2C" w:rsidRDefault="006C2A48" w:rsidP="006C2A48">
            <w:pPr>
              <w:keepLines/>
              <w:spacing w:after="120"/>
              <w:jc w:val="center"/>
              <w:rPr>
                <w:rFonts w:asciiTheme="minorHAnsi" w:hAnsiTheme="minorHAnsi" w:cstheme="minorHAnsi"/>
                <w:sz w:val="18"/>
                <w:szCs w:val="18"/>
              </w:rPr>
            </w:pPr>
            <w:r w:rsidRPr="00B23C2C">
              <w:rPr>
                <w:rFonts w:asciiTheme="minorHAnsi" w:hAnsiTheme="minorHAnsi" w:cstheme="minorHAnsi"/>
                <w:color w:val="000000"/>
                <w:sz w:val="18"/>
                <w:szCs w:val="18"/>
              </w:rPr>
              <w:t>Recommended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1D6A40F8" w14:textId="2910C407" w:rsidR="006C2A48" w:rsidRPr="00B23C2C" w:rsidRDefault="006C2A48" w:rsidP="006C2A48">
            <w:pPr>
              <w:keepLines/>
              <w:spacing w:after="120"/>
              <w:rPr>
                <w:rFonts w:asciiTheme="minorHAnsi" w:hAnsiTheme="minorHAnsi" w:cstheme="minorHAnsi"/>
                <w:sz w:val="18"/>
                <w:szCs w:val="18"/>
              </w:rPr>
            </w:pPr>
            <w:r w:rsidRPr="00B23C2C">
              <w:rPr>
                <w:rFonts w:asciiTheme="minorHAnsi" w:hAnsiTheme="minorHAnsi" w:cstheme="minorHAnsi"/>
                <w:color w:val="000000"/>
                <w:sz w:val="18"/>
                <w:szCs w:val="18"/>
              </w:rPr>
              <w:t>The PBAC amended the November 2021 recommended listing of melatonin for the treatment of insomnia in patients with SMS. The PBAC considered that the requirement for a Risk Sharing Arrangement could be removed if the restriction included a criterion that required patients to undergo genetic testing to confirm diagnosis of SMS.</w:t>
            </w:r>
          </w:p>
        </w:tc>
      </w:tr>
      <w:tr w:rsidR="00CD2F57" w:rsidRPr="00092F66" w14:paraId="5D287238" w14:textId="77777777" w:rsidTr="008327A1">
        <w:trPr>
          <w:cantSplit/>
          <w:trHeight w:val="4834"/>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7C0FE9D4" w14:textId="77777777" w:rsidR="00CD2F57" w:rsidRDefault="00CD2F57" w:rsidP="00B822FE">
            <w:pPr>
              <w:jc w:val="center"/>
              <w:rPr>
                <w:rFonts w:asciiTheme="minorHAnsi" w:hAnsiTheme="minorHAnsi" w:cstheme="minorHAnsi"/>
                <w:sz w:val="18"/>
                <w:szCs w:val="18"/>
              </w:rPr>
            </w:pPr>
            <w:r w:rsidRPr="00197ECB">
              <w:rPr>
                <w:rFonts w:asciiTheme="minorHAnsi" w:hAnsiTheme="minorHAnsi" w:cstheme="minorHAnsi"/>
                <w:sz w:val="18"/>
                <w:szCs w:val="18"/>
              </w:rPr>
              <w:lastRenderedPageBreak/>
              <w:t>NIVOLUMAB plus IPILIMUMAB</w:t>
            </w:r>
            <w:r w:rsidRPr="00197ECB">
              <w:rPr>
                <w:rFonts w:asciiTheme="minorHAnsi" w:hAnsiTheme="minorHAnsi" w:cstheme="minorHAnsi"/>
                <w:sz w:val="18"/>
                <w:szCs w:val="18"/>
              </w:rPr>
              <w:br/>
            </w:r>
          </w:p>
          <w:p w14:paraId="626BA25E" w14:textId="37CFA2A4" w:rsidR="00CD2F57" w:rsidRDefault="00CD2F57" w:rsidP="007A50C1">
            <w:pPr>
              <w:jc w:val="center"/>
              <w:rPr>
                <w:rFonts w:asciiTheme="minorHAnsi" w:hAnsiTheme="minorHAnsi" w:cstheme="minorHAnsi"/>
                <w:sz w:val="18"/>
                <w:szCs w:val="18"/>
              </w:rPr>
            </w:pPr>
            <w:r>
              <w:rPr>
                <w:rFonts w:asciiTheme="minorHAnsi" w:hAnsiTheme="minorHAnsi" w:cstheme="minorHAnsi"/>
                <w:sz w:val="18"/>
                <w:szCs w:val="18"/>
              </w:rPr>
              <w:t>Nivolumab:</w:t>
            </w:r>
            <w:r w:rsidRPr="00197ECB">
              <w:rPr>
                <w:rFonts w:asciiTheme="minorHAnsi" w:hAnsiTheme="minorHAnsi" w:cstheme="minorHAnsi"/>
                <w:sz w:val="18"/>
                <w:szCs w:val="18"/>
              </w:rPr>
              <w:br/>
            </w:r>
            <w:r>
              <w:rPr>
                <w:rFonts w:asciiTheme="minorHAnsi" w:hAnsiTheme="minorHAnsi" w:cstheme="minorHAnsi"/>
                <w:sz w:val="18"/>
                <w:szCs w:val="18"/>
              </w:rPr>
              <w:t xml:space="preserve">Injection concentrate for I.V. infusion </w:t>
            </w:r>
            <w:r w:rsidRPr="00197ECB">
              <w:rPr>
                <w:rFonts w:asciiTheme="minorHAnsi" w:hAnsiTheme="minorHAnsi" w:cstheme="minorHAnsi"/>
                <w:sz w:val="18"/>
                <w:szCs w:val="18"/>
              </w:rPr>
              <w:t>40 mg</w:t>
            </w:r>
            <w:r>
              <w:rPr>
                <w:rFonts w:asciiTheme="minorHAnsi" w:hAnsiTheme="minorHAnsi" w:cstheme="minorHAnsi"/>
                <w:sz w:val="18"/>
                <w:szCs w:val="18"/>
              </w:rPr>
              <w:t xml:space="preserve"> in </w:t>
            </w:r>
            <w:r w:rsidRPr="00197ECB">
              <w:rPr>
                <w:rFonts w:asciiTheme="minorHAnsi" w:hAnsiTheme="minorHAnsi" w:cstheme="minorHAnsi"/>
                <w:sz w:val="18"/>
                <w:szCs w:val="18"/>
              </w:rPr>
              <w:t xml:space="preserve">4 mL </w:t>
            </w:r>
            <w:r w:rsidRPr="00197ECB">
              <w:rPr>
                <w:rFonts w:asciiTheme="minorHAnsi" w:hAnsiTheme="minorHAnsi" w:cstheme="minorHAnsi"/>
                <w:sz w:val="18"/>
                <w:szCs w:val="18"/>
              </w:rPr>
              <w:br/>
            </w:r>
            <w:r>
              <w:rPr>
                <w:rFonts w:asciiTheme="minorHAnsi" w:hAnsiTheme="minorHAnsi" w:cstheme="minorHAnsi"/>
                <w:sz w:val="18"/>
                <w:szCs w:val="18"/>
              </w:rPr>
              <w:t xml:space="preserve">Injection concentrate for I.V. infusion </w:t>
            </w:r>
            <w:r w:rsidRPr="00197ECB">
              <w:rPr>
                <w:rFonts w:asciiTheme="minorHAnsi" w:hAnsiTheme="minorHAnsi" w:cstheme="minorHAnsi"/>
                <w:sz w:val="18"/>
                <w:szCs w:val="18"/>
              </w:rPr>
              <w:t>100 mg</w:t>
            </w:r>
            <w:r>
              <w:rPr>
                <w:rFonts w:asciiTheme="minorHAnsi" w:hAnsiTheme="minorHAnsi" w:cstheme="minorHAnsi"/>
                <w:sz w:val="18"/>
                <w:szCs w:val="18"/>
              </w:rPr>
              <w:t xml:space="preserve"> in </w:t>
            </w:r>
            <w:r w:rsidRPr="00197ECB">
              <w:rPr>
                <w:rFonts w:asciiTheme="minorHAnsi" w:hAnsiTheme="minorHAnsi" w:cstheme="minorHAnsi"/>
                <w:sz w:val="18"/>
                <w:szCs w:val="18"/>
              </w:rPr>
              <w:t>10 mL</w:t>
            </w:r>
          </w:p>
          <w:p w14:paraId="7A6F647C" w14:textId="77777777" w:rsidR="00CD2F57" w:rsidRDefault="00CD2F57" w:rsidP="00B822FE">
            <w:pPr>
              <w:jc w:val="center"/>
              <w:rPr>
                <w:rFonts w:asciiTheme="minorHAnsi" w:hAnsiTheme="minorHAnsi" w:cstheme="minorHAnsi"/>
                <w:sz w:val="18"/>
                <w:szCs w:val="18"/>
              </w:rPr>
            </w:pPr>
          </w:p>
          <w:p w14:paraId="305AAD11" w14:textId="42921D00" w:rsidR="00CD2F57" w:rsidRPr="00197ECB" w:rsidRDefault="00CD2F57" w:rsidP="00B822FE">
            <w:pPr>
              <w:jc w:val="center"/>
              <w:rPr>
                <w:rFonts w:asciiTheme="minorHAnsi" w:hAnsiTheme="minorHAnsi" w:cstheme="minorHAnsi"/>
                <w:sz w:val="18"/>
                <w:szCs w:val="18"/>
              </w:rPr>
            </w:pPr>
            <w:r w:rsidRPr="00197ECB">
              <w:rPr>
                <w:rFonts w:asciiTheme="minorHAnsi" w:hAnsiTheme="minorHAnsi" w:cstheme="minorHAnsi"/>
                <w:sz w:val="18"/>
                <w:szCs w:val="18"/>
              </w:rPr>
              <w:t>Opdivo®</w:t>
            </w:r>
          </w:p>
          <w:p w14:paraId="21AE3953" w14:textId="77777777" w:rsidR="00CD2F57" w:rsidRPr="00197ECB" w:rsidRDefault="00CD2F57" w:rsidP="00B822FE">
            <w:pPr>
              <w:jc w:val="center"/>
              <w:rPr>
                <w:rFonts w:asciiTheme="minorHAnsi" w:hAnsiTheme="minorHAnsi" w:cstheme="minorHAnsi"/>
                <w:sz w:val="18"/>
                <w:szCs w:val="18"/>
              </w:rPr>
            </w:pPr>
          </w:p>
          <w:p w14:paraId="367F3DF8" w14:textId="66F739A5" w:rsidR="00CD2F57" w:rsidRDefault="00CD2F57" w:rsidP="007A50C1">
            <w:pPr>
              <w:jc w:val="center"/>
              <w:rPr>
                <w:rFonts w:asciiTheme="minorHAnsi" w:hAnsiTheme="minorHAnsi" w:cstheme="minorHAnsi"/>
                <w:sz w:val="18"/>
                <w:szCs w:val="18"/>
              </w:rPr>
            </w:pPr>
            <w:r>
              <w:rPr>
                <w:rFonts w:asciiTheme="minorHAnsi" w:hAnsiTheme="minorHAnsi" w:cstheme="minorHAnsi"/>
                <w:sz w:val="18"/>
                <w:szCs w:val="18"/>
              </w:rPr>
              <w:t>Ipilimumab:</w:t>
            </w:r>
          </w:p>
          <w:p w14:paraId="33D9D7F4" w14:textId="1DCDA58D" w:rsidR="00CD2F57" w:rsidRPr="00197ECB" w:rsidRDefault="00CD2F57" w:rsidP="007A50C1">
            <w:pPr>
              <w:jc w:val="center"/>
              <w:rPr>
                <w:rFonts w:asciiTheme="minorHAnsi" w:hAnsiTheme="minorHAnsi" w:cstheme="minorHAnsi"/>
                <w:sz w:val="18"/>
                <w:szCs w:val="18"/>
              </w:rPr>
            </w:pPr>
            <w:r>
              <w:rPr>
                <w:rFonts w:asciiTheme="minorHAnsi" w:hAnsiTheme="minorHAnsi" w:cstheme="minorHAnsi"/>
                <w:sz w:val="18"/>
                <w:szCs w:val="18"/>
              </w:rPr>
              <w:t>Injection concentrate for I.V. infusion</w:t>
            </w:r>
            <w:r w:rsidRPr="00197ECB">
              <w:rPr>
                <w:rFonts w:asciiTheme="minorHAnsi" w:hAnsiTheme="minorHAnsi" w:cstheme="minorHAnsi"/>
                <w:sz w:val="18"/>
                <w:szCs w:val="18"/>
              </w:rPr>
              <w:t xml:space="preserve"> 50 mg</w:t>
            </w:r>
            <w:r>
              <w:rPr>
                <w:rFonts w:asciiTheme="minorHAnsi" w:hAnsiTheme="minorHAnsi" w:cstheme="minorHAnsi"/>
                <w:sz w:val="18"/>
                <w:szCs w:val="18"/>
              </w:rPr>
              <w:t xml:space="preserve"> in </w:t>
            </w:r>
            <w:r w:rsidRPr="00197ECB">
              <w:rPr>
                <w:rFonts w:asciiTheme="minorHAnsi" w:hAnsiTheme="minorHAnsi" w:cstheme="minorHAnsi"/>
                <w:sz w:val="18"/>
                <w:szCs w:val="18"/>
              </w:rPr>
              <w:t>10 mL</w:t>
            </w:r>
          </w:p>
          <w:p w14:paraId="473E8B53" w14:textId="7554DEA6" w:rsidR="00CD2F57" w:rsidRPr="00197ECB" w:rsidRDefault="00CD2F57" w:rsidP="007A50C1">
            <w:pPr>
              <w:jc w:val="center"/>
              <w:rPr>
                <w:rFonts w:asciiTheme="minorHAnsi" w:hAnsiTheme="minorHAnsi" w:cstheme="minorHAnsi"/>
                <w:sz w:val="18"/>
                <w:szCs w:val="18"/>
              </w:rPr>
            </w:pPr>
            <w:r>
              <w:rPr>
                <w:rFonts w:asciiTheme="minorHAnsi" w:hAnsiTheme="minorHAnsi" w:cstheme="minorHAnsi"/>
                <w:sz w:val="18"/>
                <w:szCs w:val="18"/>
              </w:rPr>
              <w:t>Injection concentrate for I.V. infusion</w:t>
            </w:r>
            <w:r w:rsidRPr="00197ECB">
              <w:rPr>
                <w:rFonts w:asciiTheme="minorHAnsi" w:hAnsiTheme="minorHAnsi" w:cstheme="minorHAnsi"/>
                <w:sz w:val="18"/>
                <w:szCs w:val="18"/>
              </w:rPr>
              <w:t xml:space="preserve"> 200 mg</w:t>
            </w:r>
            <w:r>
              <w:rPr>
                <w:rFonts w:asciiTheme="minorHAnsi" w:hAnsiTheme="minorHAnsi" w:cstheme="minorHAnsi"/>
                <w:sz w:val="18"/>
                <w:szCs w:val="18"/>
              </w:rPr>
              <w:t xml:space="preserve"> in </w:t>
            </w:r>
            <w:r w:rsidRPr="00197ECB">
              <w:rPr>
                <w:rFonts w:asciiTheme="minorHAnsi" w:hAnsiTheme="minorHAnsi" w:cstheme="minorHAnsi"/>
                <w:sz w:val="18"/>
                <w:szCs w:val="18"/>
              </w:rPr>
              <w:t>40 mL</w:t>
            </w:r>
          </w:p>
          <w:p w14:paraId="4573C745" w14:textId="77777777" w:rsidR="00CD2F57" w:rsidRPr="00197ECB" w:rsidRDefault="00CD2F57" w:rsidP="00B822FE">
            <w:pPr>
              <w:jc w:val="center"/>
              <w:rPr>
                <w:rFonts w:asciiTheme="minorHAnsi" w:hAnsiTheme="minorHAnsi" w:cstheme="minorHAnsi"/>
                <w:sz w:val="18"/>
                <w:szCs w:val="18"/>
              </w:rPr>
            </w:pPr>
          </w:p>
          <w:p w14:paraId="454A1D94" w14:textId="05B06CEC" w:rsidR="00CD2F57" w:rsidRPr="00B23C2C" w:rsidRDefault="00CD2F57" w:rsidP="00B822FE">
            <w:pPr>
              <w:jc w:val="center"/>
              <w:rPr>
                <w:rFonts w:asciiTheme="minorHAnsi" w:hAnsiTheme="minorHAnsi" w:cstheme="minorHAnsi"/>
                <w:sz w:val="18"/>
                <w:szCs w:val="18"/>
              </w:rPr>
            </w:pPr>
            <w:r w:rsidRPr="00197ECB">
              <w:rPr>
                <w:rFonts w:asciiTheme="minorHAnsi" w:hAnsiTheme="minorHAnsi" w:cstheme="minorHAnsi"/>
                <w:sz w:val="18"/>
                <w:szCs w:val="18"/>
              </w:rPr>
              <w:t>Yervoy®</w:t>
            </w:r>
            <w:r w:rsidRPr="00197ECB">
              <w:rPr>
                <w:rFonts w:asciiTheme="minorHAnsi" w:hAnsiTheme="minorHAnsi" w:cstheme="minorHAnsi"/>
                <w:sz w:val="18"/>
                <w:szCs w:val="18"/>
              </w:rPr>
              <w:br/>
            </w:r>
            <w:r w:rsidRPr="00197ECB">
              <w:rPr>
                <w:rFonts w:asciiTheme="minorHAnsi" w:hAnsiTheme="minorHAnsi" w:cstheme="minorHAnsi"/>
                <w:sz w:val="18"/>
                <w:szCs w:val="18"/>
              </w:rPr>
              <w:br/>
              <w:t>Bristol-Myers Squibb Australia Pty Ltd</w:t>
            </w:r>
            <w:r w:rsidRPr="00197ECB">
              <w:rPr>
                <w:rFonts w:asciiTheme="minorHAnsi" w:hAnsiTheme="minorHAnsi" w:cstheme="minorHAnsi"/>
                <w:sz w:val="18"/>
                <w:szCs w:val="18"/>
              </w:rPr>
              <w:br/>
            </w:r>
            <w:r w:rsidRPr="00197ECB">
              <w:rPr>
                <w:rFonts w:asciiTheme="minorHAnsi" w:hAnsiTheme="minorHAnsi" w:cstheme="minorHAnsi"/>
                <w:sz w:val="18"/>
                <w:szCs w:val="18"/>
              </w:rPr>
              <w:br/>
              <w:t>(Change to listing)</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475D9ED7" w14:textId="5C4F5ED1" w:rsidR="00CD2F57" w:rsidRPr="00B23C2C" w:rsidRDefault="00CD2F57" w:rsidP="00B822FE">
            <w:pPr>
              <w:keepLines/>
              <w:widowControl w:val="0"/>
              <w:spacing w:after="120"/>
              <w:jc w:val="center"/>
              <w:rPr>
                <w:rFonts w:asciiTheme="minorHAnsi" w:hAnsiTheme="minorHAnsi" w:cstheme="minorHAnsi"/>
                <w:sz w:val="18"/>
                <w:szCs w:val="18"/>
              </w:rPr>
            </w:pPr>
            <w:r w:rsidRPr="00197ECB">
              <w:rPr>
                <w:rFonts w:asciiTheme="minorHAnsi" w:hAnsiTheme="minorHAnsi" w:cstheme="minorHAnsi"/>
                <w:sz w:val="18"/>
                <w:szCs w:val="18"/>
              </w:rPr>
              <w:t>Multiple indications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DA38368" w14:textId="4A2C19A0" w:rsidR="00CD2F57" w:rsidRPr="00B23C2C" w:rsidRDefault="00CD2F57" w:rsidP="00B822FE">
            <w:pPr>
              <w:keepLines/>
              <w:widowControl w:val="0"/>
              <w:spacing w:after="120"/>
              <w:jc w:val="center"/>
              <w:rPr>
                <w:rFonts w:asciiTheme="minorHAnsi" w:hAnsiTheme="minorHAnsi" w:cstheme="minorHAnsi"/>
                <w:sz w:val="18"/>
                <w:szCs w:val="18"/>
              </w:rPr>
            </w:pPr>
            <w:r w:rsidRPr="00197ECB">
              <w:rPr>
                <w:rFonts w:asciiTheme="minorHAnsi" w:hAnsiTheme="minorHAnsi" w:cstheme="minorHAnsi"/>
                <w:sz w:val="18"/>
                <w:szCs w:val="18"/>
              </w:rPr>
              <w:t xml:space="preserve">To consider a proposal for an expanded listing to facilitate broad access to indications with current or future Therapeutic Goods Administration </w:t>
            </w:r>
            <w:r>
              <w:rPr>
                <w:rFonts w:asciiTheme="minorHAnsi" w:hAnsiTheme="minorHAnsi" w:cstheme="minorHAnsi"/>
                <w:sz w:val="18"/>
                <w:szCs w:val="18"/>
              </w:rPr>
              <w:t xml:space="preserve">(TGA) </w:t>
            </w:r>
            <w:r w:rsidRPr="00197ECB">
              <w:rPr>
                <w:rFonts w:asciiTheme="minorHAnsi" w:hAnsiTheme="minorHAnsi" w:cstheme="minorHAnsi"/>
                <w:sz w:val="18"/>
                <w:szCs w:val="18"/>
              </w:rPr>
              <w:t>registration.</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34F51CCD" w14:textId="7842F758" w:rsidR="00CD2F57" w:rsidRPr="00B23C2C" w:rsidRDefault="00CD2F57" w:rsidP="00B822FE">
            <w:pPr>
              <w:keepLines/>
              <w:spacing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Deferred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3EA9FC41" w14:textId="77777777" w:rsidR="00CD2F57" w:rsidRPr="006643F7" w:rsidRDefault="00CD2F57" w:rsidP="006643F7">
            <w:pPr>
              <w:pStyle w:val="3-BodyText"/>
              <w:ind w:left="0" w:firstLine="0"/>
              <w:rPr>
                <w:sz w:val="18"/>
                <w:szCs w:val="18"/>
              </w:rPr>
            </w:pPr>
            <w:r w:rsidRPr="006643F7">
              <w:rPr>
                <w:sz w:val="18"/>
                <w:szCs w:val="18"/>
              </w:rPr>
              <w:t xml:space="preserve">The PBAC deferred making a recommendation for an expanded listing of nivolumab and ipilimumab, which would encompass all indications with current or future </w:t>
            </w:r>
            <w:r>
              <w:rPr>
                <w:sz w:val="18"/>
                <w:szCs w:val="18"/>
              </w:rPr>
              <w:t>TGA</w:t>
            </w:r>
            <w:r w:rsidRPr="006643F7">
              <w:rPr>
                <w:sz w:val="18"/>
                <w:szCs w:val="18"/>
              </w:rPr>
              <w:t xml:space="preserve"> registration. The PBAC considered, in the context of the extensive experience with applications for PD-(L)1 inhibitors, that it would be appropriate and desirable to have a simplified process for listing future indications. The PBAC considered a broad listing for nivolumab would be appropriate with a Risk Sharing Arrangement (RSA) that provided confidence regarding total cost to Government and cost-effectiveness of a broad listing, and that a substantial price reduction versus the current PBS prices would likely be required. The PBAC considered further consultation was required with the sponsor and the Department regarding the restriction, the price at which nivolumab is likely to be cost-effective, the financial forecasts and parameters for the RSA. </w:t>
            </w:r>
          </w:p>
          <w:p w14:paraId="1A3F1F1C" w14:textId="58595CAF" w:rsidR="00CD2F57" w:rsidRDefault="00CD2F57" w:rsidP="006643F7">
            <w:pPr>
              <w:pStyle w:val="3-BodyText"/>
              <w:ind w:left="0" w:firstLine="0"/>
              <w:rPr>
                <w:sz w:val="18"/>
                <w:szCs w:val="18"/>
                <w:u w:val="single"/>
              </w:rPr>
            </w:pPr>
            <w:r>
              <w:rPr>
                <w:sz w:val="18"/>
                <w:szCs w:val="18"/>
                <w:u w:val="single"/>
              </w:rPr>
              <w:t>Sponsor’s comment:</w:t>
            </w:r>
          </w:p>
          <w:p w14:paraId="77458987" w14:textId="55A1714A" w:rsidR="00CD2F57" w:rsidRPr="00CD2F57" w:rsidRDefault="00CD2F57" w:rsidP="00CD2F57">
            <w:pPr>
              <w:rPr>
                <w:rFonts w:eastAsiaTheme="minorHAnsi"/>
                <w:i/>
                <w:iCs/>
                <w:sz w:val="22"/>
                <w:szCs w:val="22"/>
                <w:lang w:val="en-US"/>
              </w:rPr>
            </w:pPr>
            <w:r>
              <w:rPr>
                <w:rFonts w:asciiTheme="minorHAnsi" w:eastAsiaTheme="minorHAnsi" w:hAnsiTheme="minorHAnsi" w:cstheme="minorHAnsi"/>
                <w:sz w:val="18"/>
                <w:szCs w:val="18"/>
                <w:lang w:val="en-US"/>
              </w:rPr>
              <w:t>Bristol-Myers Squibb Australia (</w:t>
            </w:r>
            <w:r w:rsidRPr="00CD2F57">
              <w:rPr>
                <w:rFonts w:asciiTheme="minorHAnsi" w:eastAsiaTheme="minorHAnsi" w:hAnsiTheme="minorHAnsi" w:cstheme="minorHAnsi"/>
                <w:sz w:val="18"/>
                <w:szCs w:val="18"/>
                <w:lang w:val="en-US"/>
              </w:rPr>
              <w:t>BMSA</w:t>
            </w:r>
            <w:r>
              <w:rPr>
                <w:rFonts w:asciiTheme="minorHAnsi" w:eastAsiaTheme="minorHAnsi" w:hAnsiTheme="minorHAnsi" w:cstheme="minorHAnsi"/>
                <w:sz w:val="18"/>
                <w:szCs w:val="18"/>
                <w:lang w:val="en-US"/>
              </w:rPr>
              <w:t>)</w:t>
            </w:r>
            <w:r w:rsidRPr="00CD2F57">
              <w:rPr>
                <w:rFonts w:asciiTheme="minorHAnsi" w:eastAsiaTheme="minorHAnsi" w:hAnsiTheme="minorHAnsi" w:cstheme="minorHAnsi"/>
                <w:sz w:val="18"/>
                <w:szCs w:val="18"/>
                <w:lang w:val="en-US"/>
              </w:rPr>
              <w:t xml:space="preserve"> appreciates the opportunity to partner with the PBAC in seeking innovative ways for patients to gain early and broad access to life saving medicines. BMSA are committed to working with the PBAC to explore the potential for an expanded listing for nivolumab +/- ipilimumab in line with current and future TGA registrations and are hopeful that additional consultation may lead to such access</w:t>
            </w:r>
            <w:r>
              <w:rPr>
                <w:rFonts w:eastAsiaTheme="minorHAnsi"/>
                <w:i/>
                <w:iCs/>
                <w:sz w:val="22"/>
                <w:szCs w:val="22"/>
                <w:lang w:val="en-US"/>
              </w:rPr>
              <w:t>.</w:t>
            </w:r>
          </w:p>
          <w:p w14:paraId="3A5EAD3B" w14:textId="3EC7767A" w:rsidR="00CD2F57" w:rsidRPr="006643F7" w:rsidRDefault="00CD2F57" w:rsidP="006643F7">
            <w:pPr>
              <w:pStyle w:val="3-BodyText"/>
              <w:ind w:left="0"/>
              <w:rPr>
                <w:sz w:val="18"/>
                <w:szCs w:val="18"/>
              </w:rPr>
            </w:pPr>
          </w:p>
        </w:tc>
      </w:tr>
      <w:tr w:rsidR="005C5400" w:rsidRPr="00092F66" w14:paraId="77BB353A" w14:textId="77777777" w:rsidTr="008327A1">
        <w:trPr>
          <w:cantSplit/>
          <w:trHeight w:val="3780"/>
        </w:trPr>
        <w:tc>
          <w:tcPr>
            <w:tcW w:w="873" w:type="pct"/>
            <w:tcBorders>
              <w:top w:val="single" w:sz="4" w:space="0" w:color="auto"/>
              <w:left w:val="single" w:sz="4" w:space="0" w:color="auto"/>
              <w:right w:val="single" w:sz="4" w:space="0" w:color="auto"/>
            </w:tcBorders>
            <w:shd w:val="clear" w:color="auto" w:fill="auto"/>
            <w:vAlign w:val="center"/>
          </w:tcPr>
          <w:p w14:paraId="3FB2B40B" w14:textId="77777777" w:rsidR="005C5400" w:rsidRDefault="005C5400" w:rsidP="00B822FE">
            <w:pPr>
              <w:jc w:val="center"/>
              <w:rPr>
                <w:rFonts w:asciiTheme="minorHAnsi" w:hAnsiTheme="minorHAnsi" w:cstheme="minorHAnsi"/>
                <w:sz w:val="18"/>
                <w:szCs w:val="18"/>
              </w:rPr>
            </w:pPr>
            <w:r w:rsidRPr="00197ECB">
              <w:rPr>
                <w:rFonts w:asciiTheme="minorHAnsi" w:hAnsiTheme="minorHAnsi" w:cstheme="minorHAnsi"/>
                <w:sz w:val="18"/>
                <w:szCs w:val="18"/>
              </w:rPr>
              <w:lastRenderedPageBreak/>
              <w:t>PEMBROLIZUMAB</w:t>
            </w:r>
            <w:r w:rsidRPr="00197ECB">
              <w:rPr>
                <w:rFonts w:asciiTheme="minorHAnsi" w:hAnsiTheme="minorHAnsi" w:cstheme="minorHAnsi"/>
                <w:sz w:val="18"/>
                <w:szCs w:val="18"/>
              </w:rPr>
              <w:br/>
            </w:r>
            <w:r w:rsidRPr="00197ECB">
              <w:rPr>
                <w:rFonts w:asciiTheme="minorHAnsi" w:hAnsiTheme="minorHAnsi" w:cstheme="minorHAnsi"/>
                <w:sz w:val="18"/>
                <w:szCs w:val="18"/>
              </w:rPr>
              <w:br/>
            </w:r>
            <w:r>
              <w:rPr>
                <w:rFonts w:asciiTheme="minorHAnsi" w:hAnsiTheme="minorHAnsi" w:cstheme="minorHAnsi"/>
                <w:sz w:val="18"/>
                <w:szCs w:val="18"/>
              </w:rPr>
              <w:t xml:space="preserve">Solution concentrate for I.V. infusion </w:t>
            </w:r>
            <w:r w:rsidRPr="00197ECB">
              <w:rPr>
                <w:rFonts w:asciiTheme="minorHAnsi" w:hAnsiTheme="minorHAnsi" w:cstheme="minorHAnsi"/>
                <w:sz w:val="18"/>
                <w:szCs w:val="18"/>
              </w:rPr>
              <w:t>100</w:t>
            </w:r>
            <w:r>
              <w:rPr>
                <w:rFonts w:asciiTheme="minorHAnsi" w:hAnsiTheme="minorHAnsi" w:cstheme="minorHAnsi"/>
                <w:sz w:val="18"/>
                <w:szCs w:val="18"/>
              </w:rPr>
              <w:t> </w:t>
            </w:r>
            <w:r w:rsidRPr="00197ECB">
              <w:rPr>
                <w:rFonts w:asciiTheme="minorHAnsi" w:hAnsiTheme="minorHAnsi" w:cstheme="minorHAnsi"/>
                <w:sz w:val="18"/>
                <w:szCs w:val="18"/>
              </w:rPr>
              <w:t>mg</w:t>
            </w:r>
            <w:r>
              <w:rPr>
                <w:rFonts w:asciiTheme="minorHAnsi" w:hAnsiTheme="minorHAnsi" w:cstheme="minorHAnsi"/>
                <w:sz w:val="18"/>
                <w:szCs w:val="18"/>
              </w:rPr>
              <w:t xml:space="preserve"> in </w:t>
            </w:r>
            <w:r w:rsidRPr="00197ECB">
              <w:rPr>
                <w:rFonts w:asciiTheme="minorHAnsi" w:hAnsiTheme="minorHAnsi" w:cstheme="minorHAnsi"/>
                <w:sz w:val="18"/>
                <w:szCs w:val="18"/>
              </w:rPr>
              <w:t xml:space="preserve">4 mL </w:t>
            </w:r>
            <w:r w:rsidRPr="00197ECB">
              <w:rPr>
                <w:rFonts w:asciiTheme="minorHAnsi" w:hAnsiTheme="minorHAnsi" w:cstheme="minorHAnsi"/>
                <w:sz w:val="18"/>
                <w:szCs w:val="18"/>
              </w:rPr>
              <w:br/>
            </w:r>
          </w:p>
          <w:p w14:paraId="2F8B8745" w14:textId="0F300168" w:rsidR="005C5400" w:rsidRPr="00B23C2C" w:rsidRDefault="005C5400" w:rsidP="00B822FE">
            <w:pPr>
              <w:jc w:val="center"/>
              <w:rPr>
                <w:rFonts w:asciiTheme="minorHAnsi" w:hAnsiTheme="minorHAnsi" w:cstheme="minorHAnsi"/>
                <w:sz w:val="18"/>
                <w:szCs w:val="18"/>
              </w:rPr>
            </w:pPr>
            <w:r w:rsidRPr="00197ECB">
              <w:rPr>
                <w:rFonts w:asciiTheme="minorHAnsi" w:hAnsiTheme="minorHAnsi" w:cstheme="minorHAnsi"/>
                <w:sz w:val="18"/>
                <w:szCs w:val="18"/>
              </w:rPr>
              <w:t>Keytruda®</w:t>
            </w:r>
            <w:r w:rsidRPr="00197ECB">
              <w:rPr>
                <w:rFonts w:asciiTheme="minorHAnsi" w:hAnsiTheme="minorHAnsi" w:cstheme="minorHAnsi"/>
                <w:sz w:val="18"/>
                <w:szCs w:val="18"/>
              </w:rPr>
              <w:br/>
            </w:r>
            <w:r w:rsidRPr="00197ECB">
              <w:rPr>
                <w:rFonts w:asciiTheme="minorHAnsi" w:hAnsiTheme="minorHAnsi" w:cstheme="minorHAnsi"/>
                <w:sz w:val="18"/>
                <w:szCs w:val="18"/>
              </w:rPr>
              <w:br/>
              <w:t>Merck Sharp &amp; Dohme (Australia) Pty Ltd</w:t>
            </w:r>
            <w:r w:rsidRPr="00197ECB">
              <w:rPr>
                <w:rFonts w:asciiTheme="minorHAnsi" w:hAnsiTheme="minorHAnsi" w:cstheme="minorHAnsi"/>
                <w:sz w:val="18"/>
                <w:szCs w:val="18"/>
              </w:rPr>
              <w:br/>
            </w:r>
            <w:r w:rsidRPr="00197ECB">
              <w:rPr>
                <w:rFonts w:asciiTheme="minorHAnsi" w:hAnsiTheme="minorHAnsi" w:cstheme="minorHAnsi"/>
                <w:sz w:val="18"/>
                <w:szCs w:val="18"/>
              </w:rPr>
              <w:br/>
              <w:t>(Change to listing)</w:t>
            </w:r>
          </w:p>
        </w:tc>
        <w:tc>
          <w:tcPr>
            <w:tcW w:w="552" w:type="pct"/>
            <w:tcBorders>
              <w:top w:val="single" w:sz="4" w:space="0" w:color="auto"/>
              <w:left w:val="single" w:sz="4" w:space="0" w:color="auto"/>
              <w:right w:val="single" w:sz="4" w:space="0" w:color="auto"/>
            </w:tcBorders>
            <w:shd w:val="clear" w:color="auto" w:fill="auto"/>
            <w:vAlign w:val="center"/>
          </w:tcPr>
          <w:p w14:paraId="16D12A13" w14:textId="1F4AE10F" w:rsidR="005C5400" w:rsidRPr="00B23C2C" w:rsidRDefault="005C5400" w:rsidP="00B822FE">
            <w:pPr>
              <w:keepLines/>
              <w:widowControl w:val="0"/>
              <w:spacing w:after="120"/>
              <w:jc w:val="center"/>
              <w:rPr>
                <w:rFonts w:asciiTheme="minorHAnsi" w:hAnsiTheme="minorHAnsi" w:cstheme="minorHAnsi"/>
                <w:sz w:val="18"/>
                <w:szCs w:val="18"/>
              </w:rPr>
            </w:pPr>
            <w:r w:rsidRPr="00197ECB">
              <w:rPr>
                <w:rFonts w:asciiTheme="minorHAnsi" w:hAnsiTheme="minorHAnsi" w:cstheme="minorHAnsi"/>
                <w:sz w:val="18"/>
                <w:szCs w:val="18"/>
              </w:rPr>
              <w:t>Multiple indications</w:t>
            </w:r>
          </w:p>
        </w:tc>
        <w:tc>
          <w:tcPr>
            <w:tcW w:w="874" w:type="pct"/>
            <w:tcBorders>
              <w:top w:val="single" w:sz="4" w:space="0" w:color="auto"/>
              <w:left w:val="single" w:sz="4" w:space="0" w:color="auto"/>
              <w:right w:val="single" w:sz="4" w:space="0" w:color="auto"/>
            </w:tcBorders>
            <w:shd w:val="clear" w:color="auto" w:fill="auto"/>
            <w:vAlign w:val="center"/>
          </w:tcPr>
          <w:p w14:paraId="7147E3BB" w14:textId="4BA81934" w:rsidR="005C5400" w:rsidRPr="00B23C2C" w:rsidRDefault="005C5400" w:rsidP="00B822FE">
            <w:pPr>
              <w:keepLines/>
              <w:widowControl w:val="0"/>
              <w:spacing w:after="120"/>
              <w:jc w:val="center"/>
              <w:rPr>
                <w:rFonts w:asciiTheme="minorHAnsi" w:hAnsiTheme="minorHAnsi" w:cstheme="minorHAnsi"/>
                <w:sz w:val="18"/>
                <w:szCs w:val="18"/>
              </w:rPr>
            </w:pPr>
            <w:r w:rsidRPr="00197ECB">
              <w:rPr>
                <w:rFonts w:asciiTheme="minorHAnsi" w:hAnsiTheme="minorHAnsi" w:cstheme="minorHAnsi"/>
                <w:sz w:val="18"/>
                <w:szCs w:val="18"/>
              </w:rPr>
              <w:t xml:space="preserve">To consider a proposal for an expanded listing to facilitate broad access to indications with current or future </w:t>
            </w:r>
            <w:r>
              <w:rPr>
                <w:rFonts w:asciiTheme="minorHAnsi" w:hAnsiTheme="minorHAnsi" w:cstheme="minorHAnsi"/>
                <w:sz w:val="18"/>
                <w:szCs w:val="18"/>
              </w:rPr>
              <w:t>TGA</w:t>
            </w:r>
            <w:r w:rsidRPr="00197ECB">
              <w:rPr>
                <w:rFonts w:asciiTheme="minorHAnsi" w:hAnsiTheme="minorHAnsi" w:cstheme="minorHAnsi"/>
                <w:sz w:val="18"/>
                <w:szCs w:val="18"/>
              </w:rPr>
              <w:t xml:space="preserve"> registration.</w:t>
            </w:r>
          </w:p>
        </w:tc>
        <w:tc>
          <w:tcPr>
            <w:tcW w:w="553" w:type="pct"/>
            <w:tcBorders>
              <w:top w:val="single" w:sz="4" w:space="0" w:color="auto"/>
              <w:left w:val="single" w:sz="4" w:space="0" w:color="auto"/>
              <w:right w:val="single" w:sz="4" w:space="0" w:color="auto"/>
            </w:tcBorders>
            <w:shd w:val="clear" w:color="auto" w:fill="auto"/>
            <w:vAlign w:val="center"/>
          </w:tcPr>
          <w:p w14:paraId="6DF86C0D" w14:textId="7F20DDAC" w:rsidR="005C5400" w:rsidRPr="00B23C2C" w:rsidRDefault="005C5400" w:rsidP="00B822FE">
            <w:pPr>
              <w:keepLines/>
              <w:spacing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Deferred</w:t>
            </w:r>
          </w:p>
        </w:tc>
        <w:tc>
          <w:tcPr>
            <w:tcW w:w="2148" w:type="pct"/>
            <w:tcBorders>
              <w:top w:val="single" w:sz="4" w:space="0" w:color="auto"/>
              <w:left w:val="single" w:sz="4" w:space="0" w:color="auto"/>
              <w:right w:val="single" w:sz="4" w:space="0" w:color="auto"/>
            </w:tcBorders>
            <w:shd w:val="clear" w:color="auto" w:fill="auto"/>
            <w:vAlign w:val="center"/>
          </w:tcPr>
          <w:p w14:paraId="65978B80" w14:textId="77777777" w:rsidR="005C5400" w:rsidRPr="006643F7" w:rsidRDefault="005C5400" w:rsidP="006643F7">
            <w:pPr>
              <w:pStyle w:val="3-BodyText"/>
              <w:ind w:left="0" w:firstLine="0"/>
              <w:rPr>
                <w:sz w:val="18"/>
                <w:szCs w:val="18"/>
              </w:rPr>
            </w:pPr>
            <w:r w:rsidRPr="006643F7">
              <w:rPr>
                <w:sz w:val="18"/>
                <w:szCs w:val="18"/>
              </w:rPr>
              <w:t>The PBAC deferred making a recommendation for an expanded listing of pembrolizumab which would encompass all indications with current or future TGA registration. The PBAC considered, in the context of the extensive experience with applications for PD-(L)1 inhibitors, that it would be appropriate and desirable to have a simplified process for listing future indications. The PBAC considered a broad listing for pembrolizumab would be appropriate with a</w:t>
            </w:r>
            <w:r>
              <w:rPr>
                <w:sz w:val="18"/>
                <w:szCs w:val="18"/>
              </w:rPr>
              <w:t xml:space="preserve">n </w:t>
            </w:r>
            <w:r w:rsidRPr="006643F7">
              <w:rPr>
                <w:sz w:val="18"/>
                <w:szCs w:val="18"/>
              </w:rPr>
              <w:t xml:space="preserve">RSA that provided confidence regarding total cost to Government, and cost-effectiveness of a broad listing, and that a substantial price reduction versus the current PBS prices would likely be required. The PBAC considered further consultation was required with the sponsor and the Department regarding the restriction, the price at which pembrolizumab is likely to be cost-effective, the financial forecasts and parameters for the RSA. </w:t>
            </w:r>
          </w:p>
          <w:p w14:paraId="01CF9069" w14:textId="57466E7C" w:rsidR="005C5400" w:rsidRDefault="005C5400" w:rsidP="006643F7">
            <w:pPr>
              <w:pStyle w:val="3-BodyText"/>
              <w:ind w:left="0" w:firstLine="0"/>
              <w:rPr>
                <w:sz w:val="18"/>
                <w:szCs w:val="18"/>
                <w:u w:val="single"/>
              </w:rPr>
            </w:pPr>
            <w:r>
              <w:rPr>
                <w:sz w:val="18"/>
                <w:szCs w:val="18"/>
                <w:u w:val="single"/>
              </w:rPr>
              <w:t>Sponsor’s comment:</w:t>
            </w:r>
          </w:p>
          <w:p w14:paraId="12E3B6A2" w14:textId="31424077" w:rsidR="005C5400" w:rsidRPr="00055F3E" w:rsidRDefault="00C659C4" w:rsidP="00BD2674">
            <w:pPr>
              <w:pStyle w:val="3-BodyText"/>
              <w:ind w:left="0" w:firstLine="0"/>
              <w:rPr>
                <w:sz w:val="18"/>
                <w:szCs w:val="18"/>
              </w:rPr>
            </w:pPr>
            <w:r>
              <w:rPr>
                <w:rFonts w:cstheme="minorHAnsi"/>
                <w:sz w:val="18"/>
                <w:szCs w:val="18"/>
              </w:rPr>
              <w:t>Merck Sharp &amp; Dohme (MSD)</w:t>
            </w:r>
            <w:r w:rsidR="005C5400" w:rsidRPr="00055F3E">
              <w:rPr>
                <w:sz w:val="18"/>
                <w:szCs w:val="18"/>
              </w:rPr>
              <w:t xml:space="preserve"> looks forward to working with the PBAC and the Department of Health</w:t>
            </w:r>
            <w:r w:rsidR="00BB689F">
              <w:rPr>
                <w:sz w:val="18"/>
                <w:szCs w:val="18"/>
              </w:rPr>
              <w:t xml:space="preserve"> and Aged Care</w:t>
            </w:r>
            <w:r w:rsidR="005C5400" w:rsidRPr="00055F3E">
              <w:rPr>
                <w:sz w:val="18"/>
                <w:szCs w:val="18"/>
              </w:rPr>
              <w:t xml:space="preserve"> to resolve the outstanding issues so that a broad PBS listing for </w:t>
            </w:r>
            <w:r w:rsidR="00BB689F" w:rsidRPr="00055F3E">
              <w:rPr>
                <w:sz w:val="18"/>
                <w:szCs w:val="18"/>
              </w:rPr>
              <w:t>K</w:t>
            </w:r>
            <w:r w:rsidR="00BB689F">
              <w:rPr>
                <w:sz w:val="18"/>
                <w:szCs w:val="18"/>
              </w:rPr>
              <w:t>eytruda</w:t>
            </w:r>
            <w:r w:rsidR="00BB689F" w:rsidRPr="00055F3E">
              <w:rPr>
                <w:sz w:val="18"/>
                <w:szCs w:val="18"/>
              </w:rPr>
              <w:t xml:space="preserve"> </w:t>
            </w:r>
            <w:r w:rsidR="005C5400" w:rsidRPr="00055F3E">
              <w:rPr>
                <w:sz w:val="18"/>
                <w:szCs w:val="18"/>
              </w:rPr>
              <w:t>can become a reality for Australian cancer patients as soon as possible.</w:t>
            </w:r>
          </w:p>
          <w:p w14:paraId="6E5616F2" w14:textId="3CA516AF" w:rsidR="005C5400" w:rsidRPr="006643F7" w:rsidRDefault="005C5400" w:rsidP="006643F7">
            <w:pPr>
              <w:pStyle w:val="3-BodyText"/>
              <w:ind w:left="0"/>
              <w:rPr>
                <w:sz w:val="18"/>
                <w:szCs w:val="18"/>
              </w:rPr>
            </w:pPr>
          </w:p>
        </w:tc>
      </w:tr>
      <w:tr w:rsidR="004F5910" w:rsidRPr="00092F66" w14:paraId="4694E156"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325A3055" w14:textId="3976E48B" w:rsidR="004F5910" w:rsidRPr="00B23C2C" w:rsidRDefault="004F5910" w:rsidP="004F5910">
            <w:pPr>
              <w:jc w:val="center"/>
              <w:rPr>
                <w:rFonts w:asciiTheme="minorHAnsi" w:hAnsiTheme="minorHAnsi" w:cstheme="minorHAnsi"/>
                <w:sz w:val="18"/>
                <w:szCs w:val="18"/>
              </w:rPr>
            </w:pPr>
            <w:r w:rsidRPr="00B23C2C">
              <w:rPr>
                <w:rFonts w:asciiTheme="minorHAnsi" w:hAnsiTheme="minorHAnsi" w:cstheme="minorHAnsi"/>
                <w:sz w:val="18"/>
                <w:szCs w:val="18"/>
              </w:rPr>
              <w:t>Review of PBS prescribing for nurse practitioners</w:t>
            </w:r>
            <w:r w:rsidR="00140082">
              <w:rPr>
                <w:rFonts w:asciiTheme="minorHAnsi" w:hAnsiTheme="minorHAnsi" w:cstheme="minorHAnsi"/>
                <w:sz w:val="18"/>
                <w:szCs w:val="18"/>
              </w:rPr>
              <w:t xml:space="preserve"> (NP)</w:t>
            </w:r>
            <w:r w:rsidRPr="00B23C2C">
              <w:rPr>
                <w:rFonts w:asciiTheme="minorHAnsi" w:hAnsiTheme="minorHAnsi" w:cstheme="minorHAnsi"/>
                <w:sz w:val="18"/>
                <w:szCs w:val="18"/>
              </w:rPr>
              <w:t xml:space="preserve"> </w:t>
            </w:r>
            <w:r w:rsidR="00140082">
              <w:rPr>
                <w:rFonts w:asciiTheme="minorHAnsi" w:hAnsiTheme="minorHAnsi" w:cstheme="minorHAnsi"/>
                <w:sz w:val="18"/>
                <w:szCs w:val="18"/>
              </w:rPr>
              <w:t>and endorsed</w:t>
            </w:r>
            <w:r w:rsidRPr="00B23C2C">
              <w:rPr>
                <w:rFonts w:asciiTheme="minorHAnsi" w:hAnsiTheme="minorHAnsi" w:cstheme="minorHAnsi"/>
                <w:sz w:val="18"/>
                <w:szCs w:val="18"/>
              </w:rPr>
              <w:t xml:space="preserve"> midwives</w:t>
            </w:r>
            <w:r w:rsidR="00140082">
              <w:rPr>
                <w:rFonts w:asciiTheme="minorHAnsi" w:hAnsiTheme="minorHAnsi" w:cstheme="minorHAnsi"/>
                <w:sz w:val="18"/>
                <w:szCs w:val="18"/>
              </w:rPr>
              <w:t xml:space="preserve"> (EM) </w:t>
            </w:r>
            <w:r w:rsidR="00795D4A">
              <w:rPr>
                <w:rFonts w:asciiTheme="minorHAnsi" w:hAnsiTheme="minorHAnsi" w:cstheme="minorHAnsi"/>
                <w:sz w:val="18"/>
                <w:szCs w:val="18"/>
              </w:rPr>
              <w:t>on the PBS</w:t>
            </w:r>
          </w:p>
          <w:p w14:paraId="2A31BDF9" w14:textId="77777777" w:rsidR="004F5910" w:rsidRPr="00B23C2C" w:rsidRDefault="004F5910" w:rsidP="004F5910">
            <w:pPr>
              <w:jc w:val="center"/>
              <w:rPr>
                <w:rFonts w:asciiTheme="minorHAnsi" w:hAnsiTheme="minorHAnsi" w:cstheme="minorHAnsi"/>
                <w:color w:val="000000"/>
                <w:sz w:val="18"/>
                <w:szCs w:val="18"/>
              </w:rPr>
            </w:pPr>
          </w:p>
          <w:p w14:paraId="7E4E92CE" w14:textId="179BFFF1" w:rsidR="004F5910" w:rsidRPr="00B23C2C" w:rsidRDefault="004F5910" w:rsidP="004F5910">
            <w:pPr>
              <w:jc w:val="center"/>
              <w:rPr>
                <w:rFonts w:asciiTheme="minorHAnsi" w:hAnsiTheme="minorHAnsi" w:cstheme="minorHAnsi"/>
                <w:color w:val="000000"/>
                <w:sz w:val="18"/>
                <w:szCs w:val="18"/>
              </w:rPr>
            </w:pPr>
            <w:r w:rsidRPr="00B23C2C">
              <w:rPr>
                <w:rFonts w:asciiTheme="minorHAnsi" w:hAnsiTheme="minorHAnsi" w:cstheme="minorHAnsi"/>
                <w:color w:val="000000"/>
                <w:sz w:val="18"/>
                <w:szCs w:val="18"/>
              </w:rPr>
              <w:t>(PBS review)</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2762DC4D" w14:textId="0C3B0A6F" w:rsidR="004F5910" w:rsidRPr="00B23C2C" w:rsidRDefault="004F5910" w:rsidP="004F5910">
            <w:pPr>
              <w:keepLines/>
              <w:widowControl w:val="0"/>
              <w:spacing w:after="120"/>
              <w:jc w:val="center"/>
              <w:rPr>
                <w:rFonts w:asciiTheme="minorHAnsi" w:hAnsiTheme="minorHAnsi" w:cstheme="minorHAnsi"/>
                <w:color w:val="000000"/>
                <w:sz w:val="18"/>
                <w:szCs w:val="18"/>
              </w:rPr>
            </w:pPr>
            <w:r w:rsidRPr="00B23C2C">
              <w:rPr>
                <w:rFonts w:asciiTheme="minorHAnsi" w:hAnsiTheme="minorHAnsi" w:cstheme="minorHAnsi"/>
                <w:color w:val="000000"/>
                <w:sz w:val="18"/>
                <w:szCs w:val="18"/>
              </w:rPr>
              <w:t>Various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A6671AE" w14:textId="4AF96EC4" w:rsidR="004F5910" w:rsidRPr="00B23C2C" w:rsidRDefault="004F5910" w:rsidP="00B23C2C">
            <w:pPr>
              <w:keepLines/>
              <w:widowControl w:val="0"/>
              <w:spacing w:after="120"/>
              <w:jc w:val="center"/>
              <w:rPr>
                <w:rFonts w:asciiTheme="minorHAnsi" w:hAnsiTheme="minorHAnsi" w:cstheme="minorHAnsi"/>
                <w:sz w:val="18"/>
                <w:szCs w:val="18"/>
              </w:rPr>
            </w:pPr>
            <w:r w:rsidRPr="00B23C2C">
              <w:rPr>
                <w:rFonts w:asciiTheme="minorHAnsi" w:hAnsiTheme="minorHAnsi" w:cstheme="minorHAnsi"/>
                <w:sz w:val="18"/>
                <w:szCs w:val="18"/>
              </w:rPr>
              <w:t xml:space="preserve">To provide the PBAC with an update on the </w:t>
            </w:r>
            <w:r w:rsidR="00DA5B19">
              <w:rPr>
                <w:rFonts w:asciiTheme="minorHAnsi" w:hAnsiTheme="minorHAnsi" w:cstheme="minorHAnsi"/>
                <w:sz w:val="18"/>
                <w:szCs w:val="18"/>
              </w:rPr>
              <w:t>progress of the review</w:t>
            </w:r>
            <w:r w:rsidRPr="00B23C2C">
              <w:rPr>
                <w:rFonts w:asciiTheme="minorHAnsi" w:hAnsiTheme="minorHAnsi" w:cstheme="minorHAnsi"/>
                <w:sz w:val="18"/>
                <w:szCs w:val="18"/>
              </w:rPr>
              <w:t>.</w:t>
            </w:r>
          </w:p>
          <w:p w14:paraId="16AA4C5E" w14:textId="40AA3C02" w:rsidR="004F5910" w:rsidRPr="00B23C2C" w:rsidRDefault="004F5910" w:rsidP="004F5910">
            <w:pPr>
              <w:keepLines/>
              <w:widowControl w:val="0"/>
              <w:spacing w:after="120"/>
              <w:jc w:val="center"/>
              <w:rPr>
                <w:rFonts w:asciiTheme="minorHAnsi" w:hAnsiTheme="minorHAnsi" w:cstheme="minorHAnsi"/>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E407630" w14:textId="3FEC1DB1" w:rsidR="004F5910" w:rsidRPr="00B23C2C" w:rsidRDefault="004F5910" w:rsidP="004F5910">
            <w:pPr>
              <w:keepLines/>
              <w:spacing w:after="120"/>
              <w:jc w:val="center"/>
              <w:rPr>
                <w:rFonts w:asciiTheme="minorHAnsi" w:hAnsiTheme="minorHAnsi" w:cstheme="minorHAnsi"/>
                <w:color w:val="000000"/>
                <w:sz w:val="18"/>
                <w:szCs w:val="18"/>
                <w:shd w:val="clear" w:color="auto" w:fill="FFFFFF"/>
              </w:rPr>
            </w:pPr>
            <w:r w:rsidRPr="00B01D0A">
              <w:rPr>
                <w:rFonts w:asciiTheme="minorHAnsi" w:hAnsiTheme="minorHAnsi" w:cstheme="minorHAnsi"/>
                <w:color w:val="000000"/>
                <w:sz w:val="18"/>
                <w:szCs w:val="18"/>
                <w:shd w:val="clear" w:color="auto" w:fill="FFFFFF"/>
              </w:rPr>
              <w:t>Advice provided</w:t>
            </w: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4C007627" w14:textId="5D901814" w:rsidR="004F5910" w:rsidRPr="00B23C2C" w:rsidRDefault="004F5910" w:rsidP="004F5910">
            <w:pPr>
              <w:widowControl w:val="0"/>
              <w:spacing w:after="120"/>
              <w:rPr>
                <w:rFonts w:asciiTheme="minorHAnsi" w:hAnsiTheme="minorHAnsi" w:cstheme="minorHAnsi"/>
                <w:snapToGrid w:val="0"/>
                <w:sz w:val="18"/>
                <w:szCs w:val="18"/>
              </w:rPr>
            </w:pPr>
            <w:r w:rsidRPr="00B23C2C">
              <w:rPr>
                <w:rFonts w:asciiTheme="minorHAnsi" w:hAnsiTheme="minorHAnsi" w:cstheme="minorHAnsi"/>
                <w:snapToGrid w:val="0"/>
                <w:sz w:val="18"/>
                <w:szCs w:val="18"/>
              </w:rPr>
              <w:t>The PBAC noted that a review is being undertaken by the Department on PBS-listed medicines that may be appropriate for NP or EM prescribing. The PBAC noted the Department’s intent to undertake an open consultation on the review of NP and EM prescribing in early 2024. The findings of the consultation and a consolidated list of medicines identified as priorities for NP and EM prescribing on the PBS are to be considered by the PBAC at a subsequent meeting. The PBAC advised that supportive reasons for each identified medicine, specifically addressing prescriber competency and clinical settings in which prescribing would occur, would assist the Committee in recommending any changes to the eligible prescriber types and/or the circumstances of listing of the identified medicines.</w:t>
            </w:r>
          </w:p>
          <w:p w14:paraId="2A02C038" w14:textId="48C1A630" w:rsidR="004F5910" w:rsidRPr="00B23C2C" w:rsidRDefault="004F5910" w:rsidP="00B23C2C">
            <w:pPr>
              <w:keepLines/>
              <w:spacing w:after="120"/>
              <w:rPr>
                <w:rFonts w:asciiTheme="minorHAnsi" w:hAnsiTheme="minorHAnsi" w:cstheme="minorHAnsi"/>
                <w:color w:val="000000"/>
                <w:sz w:val="18"/>
                <w:szCs w:val="18"/>
                <w:shd w:val="clear" w:color="auto" w:fill="FFFFFF"/>
              </w:rPr>
            </w:pPr>
            <w:r w:rsidRPr="00B23C2C">
              <w:rPr>
                <w:rFonts w:asciiTheme="minorHAnsi" w:hAnsiTheme="minorHAnsi" w:cstheme="minorHAnsi"/>
                <w:snapToGrid w:val="0"/>
                <w:sz w:val="18"/>
                <w:szCs w:val="18"/>
              </w:rPr>
              <w:t>The PBAC and Department plan to consult with health professional groups in the development of general principles for determining prescriber types for PBS listings. The PBAC indicated that it would give further consideration to the guidance principles for determining PBS prescriber eligibility at a future meeting.</w:t>
            </w:r>
          </w:p>
        </w:tc>
      </w:tr>
      <w:tr w:rsidR="009E1EB7" w:rsidRPr="00092F66" w14:paraId="525606B5" w14:textId="77777777" w:rsidTr="002C77D1">
        <w:trPr>
          <w:cantSplit/>
          <w:trHeight w:val="58"/>
        </w:trPr>
        <w:tc>
          <w:tcPr>
            <w:tcW w:w="873" w:type="pct"/>
            <w:tcBorders>
              <w:top w:val="single" w:sz="4" w:space="0" w:color="auto"/>
              <w:left w:val="single" w:sz="4" w:space="0" w:color="auto"/>
              <w:bottom w:val="single" w:sz="4" w:space="0" w:color="auto"/>
              <w:right w:val="single" w:sz="4" w:space="0" w:color="auto"/>
            </w:tcBorders>
            <w:shd w:val="clear" w:color="auto" w:fill="auto"/>
            <w:vAlign w:val="center"/>
          </w:tcPr>
          <w:p w14:paraId="2CEF5DB3" w14:textId="77777777" w:rsidR="009E1EB7" w:rsidRPr="009E1EB7" w:rsidRDefault="009E1EB7" w:rsidP="009E1EB7">
            <w:pPr>
              <w:jc w:val="center"/>
              <w:rPr>
                <w:rFonts w:asciiTheme="minorHAnsi" w:hAnsiTheme="minorHAnsi" w:cstheme="minorHAnsi"/>
                <w:color w:val="000000"/>
                <w:sz w:val="18"/>
                <w:szCs w:val="18"/>
              </w:rPr>
            </w:pPr>
            <w:bookmarkStart w:id="1" w:name="_Hlk157510882"/>
            <w:bookmarkStart w:id="2" w:name="_Hlk157510404"/>
            <w:r w:rsidRPr="009E1EB7">
              <w:rPr>
                <w:rFonts w:asciiTheme="minorHAnsi" w:hAnsiTheme="minorHAnsi" w:cstheme="minorHAnsi"/>
                <w:color w:val="000000"/>
                <w:sz w:val="18"/>
                <w:szCs w:val="18"/>
              </w:rPr>
              <w:lastRenderedPageBreak/>
              <w:t>Update on the revised Post-market Review (PMR) Framework</w:t>
            </w:r>
          </w:p>
          <w:bookmarkEnd w:id="1"/>
          <w:p w14:paraId="75EA5ABD" w14:textId="77777777" w:rsidR="009E1EB7" w:rsidRPr="009E1EB7" w:rsidRDefault="009E1EB7" w:rsidP="009E1EB7">
            <w:pPr>
              <w:jc w:val="center"/>
              <w:rPr>
                <w:rFonts w:asciiTheme="minorHAnsi" w:hAnsiTheme="minorHAnsi" w:cstheme="minorHAnsi"/>
                <w:color w:val="000000"/>
                <w:sz w:val="18"/>
                <w:szCs w:val="18"/>
              </w:rPr>
            </w:pPr>
          </w:p>
          <w:p w14:paraId="1BE4BB4D" w14:textId="3AA80623" w:rsidR="009E1EB7" w:rsidRPr="009E1EB7" w:rsidRDefault="009E1EB7" w:rsidP="009E1EB7">
            <w:pPr>
              <w:jc w:val="center"/>
              <w:rPr>
                <w:rFonts w:asciiTheme="minorHAnsi" w:hAnsiTheme="minorHAnsi" w:cstheme="minorHAnsi"/>
                <w:color w:val="000000"/>
                <w:sz w:val="18"/>
                <w:szCs w:val="18"/>
              </w:rPr>
            </w:pPr>
            <w:r w:rsidRPr="009E1EB7">
              <w:rPr>
                <w:rFonts w:asciiTheme="minorHAnsi" w:hAnsiTheme="minorHAnsi" w:cstheme="minorHAnsi"/>
                <w:color w:val="000000"/>
                <w:sz w:val="18"/>
                <w:szCs w:val="18"/>
              </w:rPr>
              <w:t>(PBS Review)</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14:paraId="30F235D1" w14:textId="5B0041C2" w:rsidR="009E1EB7" w:rsidRPr="00B23C2C" w:rsidRDefault="009E1EB7" w:rsidP="009E1EB7">
            <w:pPr>
              <w:keepLines/>
              <w:widowControl w:val="0"/>
              <w:spacing w:after="120"/>
              <w:jc w:val="center"/>
              <w:rPr>
                <w:rFonts w:asciiTheme="minorHAnsi" w:hAnsiTheme="minorHAnsi" w:cstheme="minorHAnsi"/>
                <w:color w:val="000000"/>
                <w:sz w:val="18"/>
                <w:szCs w:val="18"/>
              </w:rPr>
            </w:pPr>
            <w:r>
              <w:rPr>
                <w:rFonts w:asciiTheme="minorHAnsi" w:hAnsiTheme="minorHAnsi" w:cstheme="minorHAnsi"/>
                <w:color w:val="000000"/>
                <w:sz w:val="18"/>
                <w:szCs w:val="18"/>
              </w:rPr>
              <w:t>Various indications</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3E78F89" w14:textId="77777777" w:rsidR="009E1EB7" w:rsidRPr="009E1EB7" w:rsidRDefault="009E1EB7" w:rsidP="009E1EB7">
            <w:pPr>
              <w:jc w:val="center"/>
              <w:rPr>
                <w:rFonts w:asciiTheme="minorHAnsi" w:hAnsiTheme="minorHAnsi" w:cstheme="minorHAnsi"/>
                <w:color w:val="000000"/>
                <w:sz w:val="18"/>
                <w:szCs w:val="18"/>
              </w:rPr>
            </w:pPr>
            <w:r w:rsidRPr="009E1EB7">
              <w:rPr>
                <w:rFonts w:asciiTheme="minorHAnsi" w:hAnsiTheme="minorHAnsi" w:cstheme="minorHAnsi"/>
                <w:color w:val="000000"/>
                <w:sz w:val="18"/>
                <w:szCs w:val="18"/>
              </w:rPr>
              <w:t>To update the PBAC on the revised PMR Framework prior to Ministerial approval.</w:t>
            </w:r>
          </w:p>
          <w:p w14:paraId="57075948" w14:textId="77777777" w:rsidR="009E1EB7" w:rsidRPr="009E1EB7" w:rsidRDefault="009E1EB7" w:rsidP="009E1EB7">
            <w:pPr>
              <w:keepLines/>
              <w:widowControl w:val="0"/>
              <w:spacing w:after="120"/>
              <w:jc w:val="center"/>
              <w:rPr>
                <w:rFonts w:asciiTheme="minorHAnsi" w:hAnsiTheme="minorHAnsi" w:cstheme="minorHAnsi"/>
                <w:color w:val="000000"/>
                <w:sz w:val="18"/>
                <w:szCs w:val="18"/>
              </w:rPr>
            </w:pP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557A4F5D" w14:textId="77777777" w:rsidR="009E1EB7" w:rsidRPr="009E1EB7" w:rsidRDefault="009E1EB7" w:rsidP="009E1EB7">
            <w:pPr>
              <w:jc w:val="center"/>
              <w:rPr>
                <w:rFonts w:asciiTheme="minorHAnsi" w:hAnsiTheme="minorHAnsi" w:cstheme="minorHAnsi"/>
                <w:color w:val="000000"/>
                <w:sz w:val="18"/>
                <w:szCs w:val="18"/>
              </w:rPr>
            </w:pPr>
            <w:r w:rsidRPr="009E1EB7">
              <w:rPr>
                <w:rFonts w:asciiTheme="minorHAnsi" w:hAnsiTheme="minorHAnsi" w:cstheme="minorHAnsi"/>
                <w:color w:val="000000"/>
                <w:sz w:val="18"/>
                <w:szCs w:val="18"/>
              </w:rPr>
              <w:t>Endorsed</w:t>
            </w:r>
          </w:p>
          <w:p w14:paraId="4FF90E80" w14:textId="77777777" w:rsidR="009E1EB7" w:rsidRPr="009E1EB7" w:rsidRDefault="009E1EB7" w:rsidP="009E1EB7">
            <w:pPr>
              <w:keepLines/>
              <w:spacing w:after="120"/>
              <w:jc w:val="center"/>
              <w:rPr>
                <w:rFonts w:asciiTheme="minorHAnsi" w:hAnsiTheme="minorHAnsi" w:cstheme="minorHAnsi"/>
                <w:color w:val="000000"/>
                <w:sz w:val="18"/>
                <w:szCs w:val="18"/>
              </w:rPr>
            </w:pPr>
          </w:p>
        </w:tc>
        <w:tc>
          <w:tcPr>
            <w:tcW w:w="2148" w:type="pct"/>
            <w:tcBorders>
              <w:top w:val="single" w:sz="4" w:space="0" w:color="auto"/>
              <w:left w:val="single" w:sz="4" w:space="0" w:color="auto"/>
              <w:bottom w:val="single" w:sz="4" w:space="0" w:color="auto"/>
              <w:right w:val="single" w:sz="4" w:space="0" w:color="auto"/>
            </w:tcBorders>
            <w:shd w:val="clear" w:color="auto" w:fill="auto"/>
            <w:vAlign w:val="center"/>
          </w:tcPr>
          <w:p w14:paraId="50437F65" w14:textId="77777777" w:rsidR="009E1EB7" w:rsidRPr="009E1EB7" w:rsidRDefault="009E1EB7" w:rsidP="009E1EB7">
            <w:pPr>
              <w:widowControl w:val="0"/>
              <w:spacing w:after="120"/>
              <w:rPr>
                <w:rFonts w:asciiTheme="minorHAnsi" w:hAnsiTheme="minorHAnsi" w:cstheme="minorHAnsi"/>
                <w:snapToGrid w:val="0"/>
                <w:sz w:val="18"/>
                <w:szCs w:val="18"/>
              </w:rPr>
            </w:pPr>
            <w:r w:rsidRPr="009E1EB7">
              <w:rPr>
                <w:rFonts w:asciiTheme="minorHAnsi" w:hAnsiTheme="minorHAnsi" w:cstheme="minorHAnsi"/>
                <w:snapToGrid w:val="0"/>
                <w:sz w:val="18"/>
                <w:szCs w:val="18"/>
              </w:rPr>
              <w:t>The PBAC recalled that in 2022, the 2015 PMR Framework was reconsidered in the context of the new Strategic Agreement between the Commonwealth and Medicines Australia (MA).</w:t>
            </w:r>
            <w:r w:rsidRPr="009E1EB7">
              <w:rPr>
                <w:rFonts w:asciiTheme="minorHAnsi" w:hAnsiTheme="minorHAnsi" w:cstheme="minorHAnsi"/>
                <w:snapToGrid w:val="0"/>
                <w:sz w:val="18"/>
                <w:szCs w:val="18"/>
              </w:rPr>
              <w:br/>
            </w:r>
          </w:p>
          <w:p w14:paraId="487B3303" w14:textId="77777777" w:rsidR="009E1EB7" w:rsidRDefault="009E1EB7" w:rsidP="009E1EB7">
            <w:pPr>
              <w:widowControl w:val="0"/>
              <w:spacing w:after="120"/>
              <w:rPr>
                <w:rFonts w:asciiTheme="minorHAnsi" w:hAnsiTheme="minorHAnsi" w:cstheme="minorHAnsi"/>
                <w:snapToGrid w:val="0"/>
                <w:sz w:val="18"/>
                <w:szCs w:val="18"/>
              </w:rPr>
            </w:pPr>
            <w:r w:rsidRPr="009E1EB7">
              <w:rPr>
                <w:rFonts w:asciiTheme="minorHAnsi" w:hAnsiTheme="minorHAnsi" w:cstheme="minorHAnsi"/>
                <w:snapToGrid w:val="0"/>
                <w:sz w:val="18"/>
                <w:szCs w:val="18"/>
              </w:rPr>
              <w:t>The PBAC considered the key changes between the 2015 PMR Framework and the 2024 PMR Framework which included: improved transparency of new PMR topics and the status of ongoing Reviews through periodic publication of a PMR workplan; standardised Review Terms of Reference (ToRs); and the formation of a Review Reference Group only when requested by the PBAC.</w:t>
            </w:r>
            <w:r w:rsidRPr="009E1EB7">
              <w:rPr>
                <w:rFonts w:asciiTheme="minorHAnsi" w:hAnsiTheme="minorHAnsi" w:cstheme="minorHAnsi"/>
                <w:snapToGrid w:val="0"/>
                <w:sz w:val="18"/>
                <w:szCs w:val="18"/>
              </w:rPr>
              <w:br/>
            </w:r>
          </w:p>
          <w:p w14:paraId="3960D474" w14:textId="77777777" w:rsidR="009E1EB7" w:rsidRPr="009E1EB7" w:rsidRDefault="009E1EB7" w:rsidP="009E1EB7">
            <w:pPr>
              <w:widowControl w:val="0"/>
              <w:spacing w:after="120"/>
              <w:rPr>
                <w:rFonts w:asciiTheme="minorHAnsi" w:hAnsiTheme="minorHAnsi" w:cstheme="minorHAnsi"/>
                <w:snapToGrid w:val="0"/>
                <w:sz w:val="18"/>
                <w:szCs w:val="18"/>
              </w:rPr>
            </w:pPr>
            <w:r w:rsidRPr="009E1EB7">
              <w:rPr>
                <w:rFonts w:asciiTheme="minorHAnsi" w:hAnsiTheme="minorHAnsi" w:cstheme="minorHAnsi"/>
                <w:snapToGrid w:val="0"/>
                <w:sz w:val="18"/>
                <w:szCs w:val="18"/>
              </w:rPr>
              <w:t xml:space="preserve">The PBAC noted that under the 2024 PMR Framework the PBAC Executive would approve the final Review ToRs in most cases unless there was the need for a significant departure from the standardised ToRs; as opposed to the 2015 PMR Framework in which the final ToRs are approved by the full Committee and the Minister. </w:t>
            </w:r>
            <w:r w:rsidRPr="009E1EB7">
              <w:rPr>
                <w:rFonts w:asciiTheme="minorHAnsi" w:hAnsiTheme="minorHAnsi" w:cstheme="minorHAnsi"/>
                <w:snapToGrid w:val="0"/>
                <w:sz w:val="18"/>
                <w:szCs w:val="18"/>
              </w:rPr>
              <w:br/>
            </w:r>
          </w:p>
          <w:p w14:paraId="52C3423A" w14:textId="77777777" w:rsidR="009E1EB7" w:rsidRDefault="009E1EB7" w:rsidP="009E1EB7">
            <w:pPr>
              <w:widowControl w:val="0"/>
              <w:spacing w:after="120"/>
              <w:rPr>
                <w:rFonts w:asciiTheme="minorHAnsi" w:hAnsiTheme="minorHAnsi" w:cstheme="minorHAnsi"/>
                <w:snapToGrid w:val="0"/>
                <w:sz w:val="18"/>
                <w:szCs w:val="18"/>
              </w:rPr>
            </w:pPr>
            <w:r w:rsidRPr="009E1EB7">
              <w:rPr>
                <w:rFonts w:asciiTheme="minorHAnsi" w:hAnsiTheme="minorHAnsi" w:cstheme="minorHAnsi"/>
                <w:snapToGrid w:val="0"/>
                <w:sz w:val="18"/>
                <w:szCs w:val="18"/>
              </w:rPr>
              <w:t>The PBAC noted that the 2024 PMR Framework was developed in consultation with MA and considered feedback from stakeholders received as part of a public consultation process from 20 October 2022 to 16 December 2022.</w:t>
            </w:r>
            <w:r w:rsidRPr="009E1EB7">
              <w:rPr>
                <w:rFonts w:asciiTheme="minorHAnsi" w:hAnsiTheme="minorHAnsi" w:cstheme="minorHAnsi"/>
                <w:snapToGrid w:val="0"/>
                <w:sz w:val="18"/>
                <w:szCs w:val="18"/>
              </w:rPr>
              <w:br/>
            </w:r>
          </w:p>
          <w:p w14:paraId="20AE1B32" w14:textId="27D08DFA" w:rsidR="009E1EB7" w:rsidRPr="00DF3A84" w:rsidRDefault="009E1EB7" w:rsidP="009E1EB7">
            <w:pPr>
              <w:widowControl w:val="0"/>
              <w:spacing w:after="120"/>
              <w:rPr>
                <w:rFonts w:ascii="Calibri" w:hAnsi="Calibri" w:cs="Calibri"/>
                <w:color w:val="000000"/>
              </w:rPr>
            </w:pPr>
            <w:r w:rsidRPr="009E1EB7">
              <w:rPr>
                <w:rFonts w:asciiTheme="minorHAnsi" w:hAnsiTheme="minorHAnsi" w:cstheme="minorHAnsi"/>
                <w:snapToGrid w:val="0"/>
                <w:sz w:val="18"/>
                <w:szCs w:val="18"/>
              </w:rPr>
              <w:t>The PBAC endorsed the changes made in the 2024 PMR Framework and noted that the revised Framework would be published on the PBS website following Ministerial approval in early 2024. The PBAC noted that following approval of the revised process by the Minister, and not limiting the Committee’s independence, all Committee requests for a PMR of PBS-listed medicines would follow the process outlined in the 2024 PMR Framework.</w:t>
            </w:r>
          </w:p>
        </w:tc>
      </w:tr>
      <w:bookmarkEnd w:id="2"/>
    </w:tbl>
    <w:p w14:paraId="1A6F57A9" w14:textId="77777777" w:rsidR="00712C57" w:rsidRPr="009E1EB7" w:rsidRDefault="00712C57" w:rsidP="00A662E7">
      <w:pPr>
        <w:jc w:val="center"/>
        <w:rPr>
          <w:rFonts w:ascii="Arial" w:hAnsi="Arial" w:cs="Arial"/>
          <w:bCs/>
          <w:sz w:val="18"/>
          <w:szCs w:val="18"/>
          <w:lang w:val="en-US"/>
        </w:rPr>
      </w:pPr>
    </w:p>
    <w:p w14:paraId="50DDE00C" w14:textId="45F6BC28" w:rsidR="00BC4EFD" w:rsidRPr="00725251" w:rsidRDefault="009E1EB7" w:rsidP="00725251">
      <w:pPr>
        <w:rPr>
          <w:rFonts w:asciiTheme="minorHAnsi" w:hAnsiTheme="minorHAnsi" w:cstheme="minorHAnsi"/>
          <w:color w:val="000000"/>
          <w:sz w:val="18"/>
          <w:szCs w:val="18"/>
        </w:rPr>
      </w:pPr>
      <w:r w:rsidRPr="00725251">
        <w:rPr>
          <w:rFonts w:asciiTheme="minorHAnsi" w:hAnsiTheme="minorHAnsi" w:cstheme="minorHAnsi"/>
          <w:color w:val="000000"/>
          <w:sz w:val="18"/>
          <w:szCs w:val="18"/>
        </w:rPr>
        <w:t>Version 2</w:t>
      </w:r>
    </w:p>
    <w:p w14:paraId="288751AF" w14:textId="703027DC" w:rsidR="009E1EB7" w:rsidRPr="009E1EB7" w:rsidRDefault="009E1EB7" w:rsidP="00CC6301">
      <w:pPr>
        <w:pStyle w:val="ListParagraph"/>
        <w:numPr>
          <w:ilvl w:val="0"/>
          <w:numId w:val="3"/>
        </w:numPr>
        <w:rPr>
          <w:rFonts w:asciiTheme="minorHAnsi" w:hAnsiTheme="minorHAnsi" w:cstheme="minorHAnsi"/>
          <w:color w:val="000000"/>
          <w:sz w:val="18"/>
          <w:szCs w:val="18"/>
        </w:rPr>
      </w:pPr>
      <w:r w:rsidRPr="009E1EB7">
        <w:rPr>
          <w:rFonts w:asciiTheme="minorHAnsi" w:hAnsiTheme="minorHAnsi" w:cstheme="minorHAnsi"/>
          <w:color w:val="000000"/>
          <w:sz w:val="18"/>
          <w:szCs w:val="18"/>
        </w:rPr>
        <w:t>Update on the revised Post-market Review (PMR) Framework</w:t>
      </w:r>
      <w:r>
        <w:rPr>
          <w:rFonts w:asciiTheme="minorHAnsi" w:hAnsiTheme="minorHAnsi" w:cstheme="minorHAnsi"/>
          <w:color w:val="000000"/>
          <w:sz w:val="18"/>
          <w:szCs w:val="18"/>
        </w:rPr>
        <w:t xml:space="preserve"> – web outcome added.</w:t>
      </w:r>
    </w:p>
    <w:p w14:paraId="6802AF7F" w14:textId="343394A0" w:rsidR="009E1EB7" w:rsidRPr="009E1EB7" w:rsidRDefault="009E1EB7" w:rsidP="009E1EB7">
      <w:pPr>
        <w:rPr>
          <w:rFonts w:ascii="Arial" w:hAnsi="Arial" w:cs="Arial"/>
          <w:b/>
          <w:sz w:val="18"/>
          <w:szCs w:val="18"/>
          <w:lang w:val="en-US"/>
        </w:rPr>
      </w:pPr>
    </w:p>
    <w:p w14:paraId="5CA84EE0" w14:textId="77777777" w:rsidR="009E1EB7" w:rsidRDefault="009E1EB7">
      <w:pPr>
        <w:rPr>
          <w:rFonts w:ascii="Arial" w:hAnsi="Arial" w:cs="Arial"/>
          <w:b/>
          <w:sz w:val="18"/>
          <w:szCs w:val="18"/>
          <w:lang w:val="en-US"/>
        </w:rPr>
      </w:pPr>
      <w:r>
        <w:rPr>
          <w:rFonts w:ascii="Arial" w:hAnsi="Arial" w:cs="Arial"/>
          <w:b/>
          <w:sz w:val="18"/>
          <w:szCs w:val="18"/>
          <w:lang w:val="en-US"/>
        </w:rPr>
        <w:br w:type="page"/>
      </w:r>
    </w:p>
    <w:p w14:paraId="6CE3C41E" w14:textId="77FA6958" w:rsidR="00640C80" w:rsidRPr="001D4E5E" w:rsidRDefault="005A0A21" w:rsidP="00EF3B9C">
      <w:pPr>
        <w:rPr>
          <w:rFonts w:ascii="Arial" w:hAnsi="Arial" w:cs="Arial"/>
          <w:b/>
          <w:sz w:val="18"/>
          <w:szCs w:val="18"/>
          <w:lang w:val="en-US"/>
        </w:rPr>
      </w:pPr>
      <w:r w:rsidRPr="001D4E5E">
        <w:rPr>
          <w:rFonts w:ascii="Arial" w:hAnsi="Arial" w:cs="Arial"/>
          <w:b/>
          <w:sz w:val="18"/>
          <w:szCs w:val="18"/>
          <w:lang w:val="en-US"/>
        </w:rPr>
        <w:lastRenderedPageBreak/>
        <w:t>Resubmission pathways</w:t>
      </w:r>
    </w:p>
    <w:p w14:paraId="025CE011" w14:textId="77777777" w:rsidR="005A0A21" w:rsidRPr="001D4E5E" w:rsidRDefault="005A0A21" w:rsidP="00640C80">
      <w:pPr>
        <w:tabs>
          <w:tab w:val="left" w:pos="5210"/>
        </w:tabs>
        <w:rPr>
          <w:rFonts w:asciiTheme="minorHAnsi" w:hAnsiTheme="minorHAnsi" w:cstheme="minorHAnsi"/>
          <w:b/>
          <w:sz w:val="18"/>
          <w:szCs w:val="18"/>
          <w:lang w:val="en-US"/>
        </w:rPr>
      </w:pPr>
    </w:p>
    <w:tbl>
      <w:tblPr>
        <w:tblW w:w="4701" w:type="pct"/>
        <w:tblInd w:w="416" w:type="dxa"/>
        <w:tblCellMar>
          <w:left w:w="0" w:type="dxa"/>
          <w:right w:w="0" w:type="dxa"/>
        </w:tblCellMar>
        <w:tblLook w:val="04A0" w:firstRow="1" w:lastRow="0" w:firstColumn="1" w:lastColumn="0" w:noHBand="0" w:noVBand="1"/>
        <w:tblCaption w:val="Resubmission pathways"/>
      </w:tblPr>
      <w:tblGrid>
        <w:gridCol w:w="2068"/>
        <w:gridCol w:w="12390"/>
      </w:tblGrid>
      <w:tr w:rsidR="004A3371" w:rsidRPr="00687774" w14:paraId="1B32CA1F" w14:textId="77777777" w:rsidTr="004A3371">
        <w:tc>
          <w:tcPr>
            <w:tcW w:w="14458" w:type="dxa"/>
            <w:gridSpan w:val="2"/>
            <w:tcBorders>
              <w:top w:val="single" w:sz="8" w:space="0" w:color="000000"/>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16822E31" w14:textId="77777777" w:rsidR="004A3371" w:rsidRPr="001D4E5E" w:rsidRDefault="004A3371">
            <w:pPr>
              <w:rPr>
                <w:rFonts w:ascii="Arial" w:hAnsi="Arial" w:cs="Arial"/>
                <w:sz w:val="18"/>
                <w:szCs w:val="18"/>
              </w:rPr>
            </w:pPr>
            <w:r w:rsidRPr="001D4E5E">
              <w:rPr>
                <w:rFonts w:ascii="Arial" w:hAnsi="Arial" w:cs="Arial"/>
                <w:color w:val="333333"/>
                <w:sz w:val="18"/>
                <w:szCs w:val="18"/>
              </w:rPr>
              <w:t xml:space="preserve">*There are four different resubmission pathways available to applicants following a ‘not recommended’ PBAC outcome. Resubmission pathways are not available for submissions that receive a positive recommendation from the PBAC. </w:t>
            </w:r>
            <w:r w:rsidRPr="001D4E5E">
              <w:rPr>
                <w:rFonts w:ascii="Arial" w:hAnsi="Arial" w:cs="Arial"/>
                <w:sz w:val="18"/>
                <w:szCs w:val="18"/>
              </w:rPr>
              <w:t>The resubmission pathways are classified into the following categories:</w:t>
            </w:r>
          </w:p>
        </w:tc>
      </w:tr>
      <w:tr w:rsidR="004A3371" w:rsidRPr="00687774" w14:paraId="5A78A628"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680C335" w14:textId="77777777" w:rsidR="004A3371" w:rsidRPr="001D4E5E" w:rsidRDefault="004A3371">
            <w:pPr>
              <w:spacing w:after="160" w:line="252" w:lineRule="auto"/>
              <w:contextualSpacing/>
              <w:rPr>
                <w:rFonts w:ascii="Arial" w:hAnsi="Arial" w:cs="Arial"/>
                <w:b/>
                <w:bCs/>
                <w:sz w:val="18"/>
                <w:szCs w:val="18"/>
              </w:rPr>
            </w:pPr>
            <w:r w:rsidRPr="001D4E5E">
              <w:rPr>
                <w:rFonts w:ascii="Arial" w:hAnsi="Arial" w:cs="Arial"/>
                <w:b/>
                <w:bCs/>
                <w:sz w:val="18"/>
                <w:szCs w:val="18"/>
              </w:rPr>
              <w:t>Standard re-entry</w:t>
            </w:r>
          </w:p>
          <w:p w14:paraId="14CD87B9" w14:textId="77777777" w:rsidR="004A3371" w:rsidRPr="001D4E5E" w:rsidRDefault="004A3371">
            <w:pPr>
              <w:spacing w:line="252" w:lineRule="auto"/>
              <w:rPr>
                <w:rFonts w:ascii="Arial" w:hAnsi="Arial" w:cs="Arial"/>
                <w:b/>
                <w:bCs/>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2BDC71EA" w14:textId="77777777"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The Standard Re-entry Pathway is the default pathway for resubmissions and also applies where: </w:t>
            </w:r>
          </w:p>
          <w:p w14:paraId="430AF034" w14:textId="77777777" w:rsidR="004A3371" w:rsidRPr="001D4E5E" w:rsidRDefault="004A3371" w:rsidP="00CC6301">
            <w:pPr>
              <w:pStyle w:val="ListParagraph"/>
              <w:numPr>
                <w:ilvl w:val="0"/>
                <w:numId w:val="1"/>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chooses not to accept the PBAC nominated resubmission pathway; or </w:t>
            </w:r>
          </w:p>
          <w:p w14:paraId="15ADDEB3" w14:textId="3C3608FE" w:rsidR="004A3371" w:rsidRPr="001D4E5E" w:rsidRDefault="004A3371" w:rsidP="00CC6301">
            <w:pPr>
              <w:pStyle w:val="ListParagraph"/>
              <w:numPr>
                <w:ilvl w:val="0"/>
                <w:numId w:val="1"/>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Early Re-entry or Early Resolution Pathway has been nominated by the PBAC and an applicant decides to address issues other than those identified by the PBAC (including a subset of issues); or </w:t>
            </w:r>
          </w:p>
          <w:p w14:paraId="4A452A68" w14:textId="4740DC48" w:rsidR="004A3371" w:rsidRPr="001D4E5E" w:rsidRDefault="004A3371" w:rsidP="00CC6301">
            <w:pPr>
              <w:pStyle w:val="ListParagraph"/>
              <w:numPr>
                <w:ilvl w:val="0"/>
                <w:numId w:val="1"/>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an applicant decides to lodge later than the allowable timelines for the other pathways. </w:t>
            </w:r>
          </w:p>
        </w:tc>
      </w:tr>
      <w:tr w:rsidR="004A3371" w:rsidRPr="00687774" w14:paraId="46BDFCAF"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618B2638" w14:textId="77777777" w:rsidR="004A3371" w:rsidRPr="001D4E5E" w:rsidRDefault="004A3371">
            <w:pPr>
              <w:spacing w:after="160" w:line="252" w:lineRule="auto"/>
              <w:contextualSpacing/>
              <w:rPr>
                <w:rFonts w:ascii="Arial" w:hAnsi="Arial" w:cs="Arial"/>
                <w:b/>
                <w:bCs/>
                <w:sz w:val="18"/>
                <w:szCs w:val="18"/>
                <w:lang w:eastAsia="en-US"/>
              </w:rPr>
            </w:pPr>
            <w:r w:rsidRPr="001D4E5E">
              <w:rPr>
                <w:rFonts w:ascii="Arial" w:hAnsi="Arial" w:cs="Arial"/>
                <w:b/>
                <w:bCs/>
                <w:sz w:val="18"/>
                <w:szCs w:val="18"/>
              </w:rPr>
              <w:t>Early re-entry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32461C72" w14:textId="50B52A57" w:rsidR="004A3371" w:rsidRPr="001D4E5E" w:rsidRDefault="004A3371">
            <w:pPr>
              <w:spacing w:after="160" w:line="252" w:lineRule="auto"/>
              <w:contextualSpacing/>
              <w:rPr>
                <w:rFonts w:ascii="Arial" w:hAnsi="Arial" w:cs="Arial"/>
                <w:color w:val="000000"/>
                <w:sz w:val="18"/>
                <w:szCs w:val="18"/>
              </w:rPr>
            </w:pPr>
            <w:r w:rsidRPr="001D4E5E">
              <w:rPr>
                <w:rFonts w:ascii="Arial" w:hAnsi="Arial" w:cs="Arial"/>
                <w:sz w:val="18"/>
                <w:szCs w:val="18"/>
              </w:rPr>
              <w:t>An Early Re-entry Pathway may be nominated by the PBAC where the PBAC considers that the remaining issues could be easily resolved and the medicine or vaccine does not represent</w:t>
            </w:r>
            <w:r w:rsidR="00BB0CE9">
              <w:t xml:space="preserve"> </w:t>
            </w:r>
            <w:r w:rsidR="00BB0CE9" w:rsidRPr="00BB0CE9">
              <w:rPr>
                <w:rFonts w:ascii="Arial" w:hAnsi="Arial" w:cs="Arial"/>
                <w:sz w:val="18"/>
                <w:szCs w:val="18"/>
              </w:rPr>
              <w:t>High Added Therapeutic Value</w:t>
            </w:r>
            <w:r w:rsidRPr="001D4E5E">
              <w:rPr>
                <w:rFonts w:ascii="Arial" w:hAnsi="Arial" w:cs="Arial"/>
                <w:sz w:val="18"/>
                <w:szCs w:val="18"/>
              </w:rPr>
              <w:t xml:space="preserve"> </w:t>
            </w:r>
            <w:r w:rsidR="00BB0CE9">
              <w:rPr>
                <w:rFonts w:ascii="Arial" w:hAnsi="Arial" w:cs="Arial"/>
                <w:sz w:val="18"/>
                <w:szCs w:val="18"/>
              </w:rPr>
              <w:t>(</w:t>
            </w:r>
            <w:r w:rsidRPr="001D4E5E">
              <w:rPr>
                <w:rFonts w:ascii="Arial" w:hAnsi="Arial" w:cs="Arial"/>
                <w:sz w:val="18"/>
                <w:szCs w:val="18"/>
              </w:rPr>
              <w:t>HATV</w:t>
            </w:r>
            <w:r w:rsidR="00BB0CE9">
              <w:rPr>
                <w:rFonts w:ascii="Arial" w:hAnsi="Arial" w:cs="Arial"/>
                <w:sz w:val="18"/>
                <w:szCs w:val="18"/>
              </w:rPr>
              <w:t>)</w:t>
            </w:r>
            <w:r w:rsidRPr="001D4E5E">
              <w:rPr>
                <w:rFonts w:ascii="Arial" w:hAnsi="Arial" w:cs="Arial"/>
                <w:sz w:val="18"/>
                <w:szCs w:val="18"/>
              </w:rPr>
              <w:t xml:space="preserve"> for the proposed population. Applicants who accept this pathway are eligible for PBAC consideration at the immediate next meeting.</w:t>
            </w:r>
          </w:p>
        </w:tc>
      </w:tr>
      <w:tr w:rsidR="004A3371" w:rsidRPr="00687774" w14:paraId="1A2475F2"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tcPr>
          <w:p w14:paraId="0193930E" w14:textId="77777777" w:rsidR="004A3371" w:rsidRPr="001D4E5E" w:rsidRDefault="004A3371">
            <w:pPr>
              <w:spacing w:line="252" w:lineRule="auto"/>
              <w:rPr>
                <w:rFonts w:ascii="Arial" w:hAnsi="Arial" w:cs="Arial"/>
                <w:b/>
                <w:bCs/>
                <w:sz w:val="18"/>
                <w:szCs w:val="18"/>
                <w:lang w:eastAsia="en-US"/>
              </w:rPr>
            </w:pPr>
            <w:r w:rsidRPr="001D4E5E">
              <w:rPr>
                <w:rFonts w:ascii="Arial" w:hAnsi="Arial" w:cs="Arial"/>
                <w:b/>
                <w:bCs/>
                <w:sz w:val="18"/>
                <w:szCs w:val="18"/>
              </w:rPr>
              <w:t>Early resolution pathway</w:t>
            </w:r>
          </w:p>
          <w:p w14:paraId="157D2C85" w14:textId="77777777" w:rsidR="004A3371" w:rsidRPr="001D4E5E" w:rsidRDefault="004A3371">
            <w:pPr>
              <w:rPr>
                <w:rFonts w:ascii="Arial" w:hAnsi="Arial" w:cs="Arial"/>
                <w:sz w:val="18"/>
                <w:szCs w:val="18"/>
              </w:rPr>
            </w:pP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21B924" w14:textId="4276D58E" w:rsidR="004A3371" w:rsidRPr="001D4E5E" w:rsidRDefault="004A3371">
            <w:pPr>
              <w:autoSpaceDE w:val="0"/>
              <w:autoSpaceDN w:val="0"/>
              <w:rPr>
                <w:rFonts w:ascii="Arial" w:hAnsi="Arial" w:cs="Arial"/>
                <w:color w:val="000000"/>
                <w:sz w:val="18"/>
                <w:szCs w:val="18"/>
              </w:rPr>
            </w:pPr>
            <w:r w:rsidRPr="001D4E5E">
              <w:rPr>
                <w:rFonts w:ascii="Arial" w:hAnsi="Arial" w:cs="Arial"/>
                <w:color w:val="000000"/>
                <w:sz w:val="18"/>
                <w:szCs w:val="18"/>
              </w:rPr>
              <w:t xml:space="preserve">For medicines or vaccines deemed by the PBAC to represent HATV AND where the PBAC considers that the remaining issues could be easily resolved, including when: </w:t>
            </w:r>
          </w:p>
          <w:p w14:paraId="6EC882B7" w14:textId="77777777" w:rsidR="004A3371" w:rsidRPr="001D4E5E" w:rsidRDefault="004A3371" w:rsidP="00CC6301">
            <w:pPr>
              <w:pStyle w:val="ListParagraph"/>
              <w:numPr>
                <w:ilvl w:val="0"/>
                <w:numId w:val="2"/>
              </w:numPr>
              <w:autoSpaceDE w:val="0"/>
              <w:autoSpaceDN w:val="0"/>
              <w:contextualSpacing w:val="0"/>
              <w:rPr>
                <w:rFonts w:ascii="Arial" w:hAnsi="Arial" w:cs="Arial"/>
                <w:color w:val="000000"/>
                <w:sz w:val="18"/>
                <w:szCs w:val="18"/>
              </w:rPr>
            </w:pPr>
            <w:r w:rsidRPr="001D4E5E">
              <w:rPr>
                <w:rFonts w:ascii="Arial" w:hAnsi="Arial" w:cs="Arial"/>
                <w:color w:val="000000"/>
                <w:sz w:val="18"/>
                <w:szCs w:val="18"/>
              </w:rPr>
              <w:t xml:space="preserve">new clinical study data requiring evaluation is not considered necessary by the PBAC to support new clinical claims to be made in the resubmission; and </w:t>
            </w:r>
          </w:p>
          <w:p w14:paraId="1D4B869E" w14:textId="77777777" w:rsidR="004A3371" w:rsidRPr="001D4E5E" w:rsidRDefault="004A3371" w:rsidP="00CC6301">
            <w:pPr>
              <w:pStyle w:val="ListParagraph"/>
              <w:numPr>
                <w:ilvl w:val="0"/>
                <w:numId w:val="2"/>
              </w:numPr>
              <w:autoSpaceDE w:val="0"/>
              <w:autoSpaceDN w:val="0"/>
              <w:spacing w:after="120"/>
              <w:contextualSpacing w:val="0"/>
              <w:rPr>
                <w:rFonts w:ascii="Arial" w:hAnsi="Arial" w:cs="Arial"/>
                <w:color w:val="000000"/>
                <w:sz w:val="18"/>
                <w:szCs w:val="18"/>
              </w:rPr>
            </w:pPr>
            <w:r w:rsidRPr="001D4E5E">
              <w:rPr>
                <w:rFonts w:ascii="Arial" w:hAnsi="Arial" w:cs="Arial"/>
                <w:color w:val="000000"/>
                <w:sz w:val="18"/>
                <w:szCs w:val="18"/>
              </w:rPr>
              <w:t xml:space="preserve">a revised model structure or input variable changes (beyond those specified by the PBAC) are not necessary to support any new economic claims, or to estimate the utilisation and financial impacts to be made in the resubmission. </w:t>
            </w:r>
          </w:p>
          <w:p w14:paraId="757810AB" w14:textId="77777777" w:rsidR="004A3371" w:rsidRPr="001D4E5E" w:rsidRDefault="004A3371">
            <w:pPr>
              <w:pStyle w:val="NormalWeb"/>
              <w:spacing w:before="0" w:beforeAutospacing="0" w:after="0" w:afterAutospacing="0"/>
              <w:rPr>
                <w:rFonts w:ascii="Arial" w:hAnsi="Arial" w:cs="Arial"/>
                <w:sz w:val="18"/>
                <w:szCs w:val="18"/>
              </w:rPr>
            </w:pPr>
            <w:r w:rsidRPr="001D4E5E">
              <w:rPr>
                <w:rFonts w:ascii="Arial" w:hAnsi="Arial" w:cs="Arial"/>
                <w:sz w:val="18"/>
                <w:szCs w:val="18"/>
              </w:rPr>
              <w:t xml:space="preserve">Applicants who accept this pathway are eligible for PBAC consideration out-of-session (before the main meeting), unless the department, in consultation with the PBAC Chair, identifies an unexpected issue such that the resubmission needs consideration at the next main PBAC meeting. </w:t>
            </w:r>
          </w:p>
        </w:tc>
      </w:tr>
      <w:tr w:rsidR="004A3371" w:rsidRPr="00687774" w14:paraId="1CF59836" w14:textId="77777777" w:rsidTr="004A3371">
        <w:tc>
          <w:tcPr>
            <w:tcW w:w="2068" w:type="dxa"/>
            <w:tcBorders>
              <w:top w:val="nil"/>
              <w:left w:val="single" w:sz="8" w:space="0" w:color="000000"/>
              <w:bottom w:val="single" w:sz="8" w:space="0" w:color="000000"/>
              <w:right w:val="single" w:sz="8" w:space="0" w:color="000000"/>
            </w:tcBorders>
            <w:tcMar>
              <w:top w:w="57" w:type="dxa"/>
              <w:left w:w="57" w:type="dxa"/>
              <w:bottom w:w="57" w:type="dxa"/>
              <w:right w:w="57" w:type="dxa"/>
            </w:tcMar>
            <w:vAlign w:val="center"/>
            <w:hideMark/>
          </w:tcPr>
          <w:p w14:paraId="03CD8847" w14:textId="77777777" w:rsidR="004A3371" w:rsidRPr="001D4E5E" w:rsidRDefault="004A3371">
            <w:pPr>
              <w:rPr>
                <w:rFonts w:ascii="Arial" w:hAnsi="Arial" w:cs="Arial"/>
                <w:sz w:val="18"/>
                <w:szCs w:val="18"/>
              </w:rPr>
            </w:pPr>
            <w:r w:rsidRPr="001D4E5E">
              <w:rPr>
                <w:rFonts w:ascii="Arial" w:hAnsi="Arial" w:cs="Arial"/>
                <w:b/>
                <w:bCs/>
                <w:sz w:val="18"/>
                <w:szCs w:val="18"/>
              </w:rPr>
              <w:t>Facilitated resolution pathway</w:t>
            </w:r>
          </w:p>
        </w:tc>
        <w:tc>
          <w:tcPr>
            <w:tcW w:w="12390" w:type="dxa"/>
            <w:tcBorders>
              <w:top w:val="nil"/>
              <w:left w:val="nil"/>
              <w:bottom w:val="single" w:sz="8" w:space="0" w:color="000000"/>
              <w:right w:val="single" w:sz="8" w:space="0" w:color="000000"/>
            </w:tcBorders>
            <w:tcMar>
              <w:top w:w="57" w:type="dxa"/>
              <w:left w:w="57" w:type="dxa"/>
              <w:bottom w:w="57" w:type="dxa"/>
              <w:right w:w="57" w:type="dxa"/>
            </w:tcMar>
            <w:vAlign w:val="center"/>
            <w:hideMark/>
          </w:tcPr>
          <w:p w14:paraId="7EF1CA94" w14:textId="77777777" w:rsidR="004A3371" w:rsidRPr="001D4E5E" w:rsidRDefault="004A3371">
            <w:pPr>
              <w:autoSpaceDE w:val="0"/>
              <w:autoSpaceDN w:val="0"/>
              <w:rPr>
                <w:rFonts w:ascii="Arial" w:hAnsi="Arial" w:cs="Arial"/>
                <w:b/>
                <w:bCs/>
                <w:sz w:val="18"/>
                <w:szCs w:val="18"/>
                <w:highlight w:val="green"/>
              </w:rPr>
            </w:pPr>
            <w:r w:rsidRPr="001D4E5E">
              <w:rPr>
                <w:rFonts w:ascii="Arial" w:hAnsi="Arial" w:cs="Arial"/>
                <w:color w:val="000000"/>
                <w:sz w:val="18"/>
                <w:szCs w:val="18"/>
              </w:rPr>
              <w:t>A Facilitated Resolution Pathway may be nominated by the PBAC where the PBAC considers the issues for resolution could be explored through a workshop AND where the medicine or vaccine meets the HATV criteria. Applicants who accept this pathway are eligible for a solution-focussed workshop with one or more members of the PBAC. The workshop agenda will be based on the issues for resolution outlined in the PBAC Minutes. This can be further clarified during the post-PBAC meeting with the Chair.</w:t>
            </w:r>
          </w:p>
        </w:tc>
      </w:tr>
    </w:tbl>
    <w:p w14:paraId="4455E1A3" w14:textId="1C843216" w:rsidR="00AD3477" w:rsidRPr="001D4E5E" w:rsidRDefault="00AD3477" w:rsidP="004A3371">
      <w:pPr>
        <w:tabs>
          <w:tab w:val="left" w:pos="5210"/>
        </w:tabs>
        <w:rPr>
          <w:rFonts w:asciiTheme="minorHAnsi" w:hAnsiTheme="minorHAnsi" w:cstheme="minorHAnsi"/>
          <w:sz w:val="18"/>
          <w:szCs w:val="18"/>
          <w:lang w:val="en-US"/>
        </w:rPr>
      </w:pPr>
    </w:p>
    <w:sectPr w:rsidR="00AD3477" w:rsidRPr="001D4E5E" w:rsidSect="00257615">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F910F" w14:textId="77777777" w:rsidR="00762FCA" w:rsidRDefault="00762FCA">
      <w:r>
        <w:separator/>
      </w:r>
    </w:p>
  </w:endnote>
  <w:endnote w:type="continuationSeparator" w:id="0">
    <w:p w14:paraId="0B94B43F" w14:textId="77777777" w:rsidR="00762FCA" w:rsidRDefault="00762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67BCB" w14:textId="77777777" w:rsidR="00762FCA" w:rsidRDefault="00762FCA"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762FCA" w:rsidRDefault="00762FCA"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9180A" w14:textId="5187CDB7" w:rsidR="00762FCA" w:rsidRPr="00287C89" w:rsidRDefault="00762FCA"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3E3EC0">
      <w:rPr>
        <w:rStyle w:val="PageNumber"/>
        <w:rFonts w:ascii="Arial" w:hAnsi="Arial" w:cs="Arial"/>
        <w:noProof/>
      </w:rPr>
      <w:t>5</w:t>
    </w:r>
    <w:r w:rsidRPr="00287C89">
      <w:rPr>
        <w:rStyle w:val="PageNumber"/>
        <w:rFonts w:ascii="Arial" w:hAnsi="Arial" w:cs="Arial"/>
      </w:rPr>
      <w:fldChar w:fldCharType="end"/>
    </w:r>
  </w:p>
  <w:p w14:paraId="5DEC0542" w14:textId="77777777" w:rsidR="00762FCA" w:rsidRDefault="00762FCA" w:rsidP="00FE2A81">
    <w:pPr>
      <w:pStyle w:val="Footer"/>
      <w:ind w:right="360"/>
    </w:pPr>
  </w:p>
  <w:p w14:paraId="429295B6" w14:textId="77777777" w:rsidR="00762FCA" w:rsidRDefault="00762FCA"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1756D" w14:textId="77777777" w:rsidR="00CC6301" w:rsidRDefault="00CC63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AF80" w14:textId="77777777" w:rsidR="00762FCA" w:rsidRDefault="00762FCA">
      <w:r>
        <w:separator/>
      </w:r>
    </w:p>
  </w:footnote>
  <w:footnote w:type="continuationSeparator" w:id="0">
    <w:p w14:paraId="7F846E8F" w14:textId="77777777" w:rsidR="00762FCA" w:rsidRDefault="00762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D6B7" w14:textId="77777777" w:rsidR="00CC6301" w:rsidRDefault="00CC6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86D89" w14:textId="77777777" w:rsidR="00762FCA" w:rsidRPr="00571206" w:rsidRDefault="00762FCA" w:rsidP="00571206">
    <w:pPr>
      <w:autoSpaceDE w:val="0"/>
      <w:autoSpaceDN w:val="0"/>
      <w:adjustRightInd w:val="0"/>
      <w:rPr>
        <w:rFonts w:ascii="Arial" w:hAnsi="Arial" w:cs="Arial"/>
        <w:color w:val="000000"/>
        <w:sz w:val="24"/>
        <w:szCs w:val="24"/>
      </w:rPr>
    </w:pPr>
  </w:p>
  <w:p w14:paraId="117035EF" w14:textId="1E14CCFB" w:rsidR="00762FCA" w:rsidRDefault="00762FCA" w:rsidP="00571206">
    <w:pPr>
      <w:pStyle w:val="Header"/>
      <w:jc w:val="center"/>
      <w:rPr>
        <w:rFonts w:ascii="Arial" w:hAnsi="Arial" w:cs="Arial"/>
        <w:b/>
      </w:rPr>
    </w:pPr>
    <w:r w:rsidRPr="00571206">
      <w:rPr>
        <w:rFonts w:ascii="Arial" w:hAnsi="Arial" w:cs="Arial"/>
        <w:color w:val="000000"/>
        <w:sz w:val="24"/>
        <w:szCs w:val="24"/>
      </w:rPr>
      <w:t xml:space="preserve"> </w:t>
    </w:r>
    <w:r w:rsidRPr="00571206">
      <w:rPr>
        <w:rFonts w:ascii="Arial" w:hAnsi="Arial" w:cs="Arial"/>
        <w:b/>
        <w:bCs/>
        <w:color w:val="000000"/>
      </w:rPr>
      <w:t xml:space="preserve">PHARMACEUTICAL BENEFITS ADVISORY COMMITTEE (PBAC) MEETING </w:t>
    </w:r>
    <w:r w:rsidRPr="0071356F">
      <w:rPr>
        <w:rFonts w:ascii="Arial" w:hAnsi="Arial" w:cs="Arial"/>
        <w:b/>
      </w:rPr>
      <w:t>OUTCOMES</w:t>
    </w:r>
  </w:p>
  <w:p w14:paraId="69737A53" w14:textId="08B9C56A" w:rsidR="00762FCA" w:rsidRDefault="00B75121" w:rsidP="00571206">
    <w:pPr>
      <w:pStyle w:val="Header"/>
      <w:jc w:val="center"/>
      <w:rPr>
        <w:rFonts w:ascii="Arial" w:hAnsi="Arial" w:cs="Arial"/>
        <w:b/>
      </w:rPr>
    </w:pPr>
    <w:r>
      <w:rPr>
        <w:rFonts w:ascii="Arial" w:hAnsi="Arial" w:cs="Arial"/>
        <w:b/>
      </w:rPr>
      <w:t xml:space="preserve">DECEMBER </w:t>
    </w:r>
    <w:r w:rsidR="00762FCA">
      <w:rPr>
        <w:rFonts w:ascii="Arial" w:hAnsi="Arial" w:cs="Arial"/>
        <w:b/>
      </w:rPr>
      <w:t>202</w:t>
    </w:r>
    <w:r w:rsidR="00476EBB">
      <w:rPr>
        <w:rFonts w:ascii="Arial" w:hAnsi="Arial" w:cs="Arial"/>
        <w:b/>
      </w:rPr>
      <w:t>3</w:t>
    </w:r>
    <w:r w:rsidR="00762FCA">
      <w:rPr>
        <w:rFonts w:ascii="Arial" w:hAnsi="Arial" w:cs="Arial"/>
        <w:b/>
      </w:rPr>
      <w:t xml:space="preserve"> PBAC MEETING</w:t>
    </w:r>
  </w:p>
  <w:p w14:paraId="0E28AC1B" w14:textId="77777777" w:rsidR="00762FCA" w:rsidRPr="0071356F" w:rsidRDefault="00762FCA" w:rsidP="0071356F">
    <w:pPr>
      <w:pStyle w:val="Header"/>
      <w:jc w:val="center"/>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C12E" w14:textId="77777777" w:rsidR="00CC6301" w:rsidRDefault="00CC6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31766"/>
    <w:multiLevelType w:val="hybridMultilevel"/>
    <w:tmpl w:val="C3B6DA5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92B2D4C"/>
    <w:multiLevelType w:val="multilevel"/>
    <w:tmpl w:val="34F04474"/>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 w15:restartNumberingAfterBreak="0">
    <w:nsid w:val="4DA92195"/>
    <w:multiLevelType w:val="multilevel"/>
    <w:tmpl w:val="E1CE3240"/>
    <w:lvl w:ilvl="0">
      <w:start w:val="1"/>
      <w:numFmt w:val="bullet"/>
      <w:lvlText w:val=""/>
      <w:lvlJc w:val="left"/>
      <w:pPr>
        <w:ind w:left="369" w:hanging="369"/>
      </w:pPr>
      <w:rPr>
        <w:rFonts w:ascii="Symbol" w:hAnsi="Symbol" w:hint="default"/>
        <w:i w:val="0"/>
        <w:color w:val="auto"/>
        <w:sz w:val="24"/>
        <w:szCs w:val="24"/>
      </w:rPr>
    </w:lvl>
    <w:lvl w:ilvl="1">
      <w:start w:val="1"/>
      <w:numFmt w:val="bullet"/>
      <w:lvlText w:val=""/>
      <w:lvlJc w:val="left"/>
      <w:pPr>
        <w:ind w:left="738" w:hanging="369"/>
      </w:pPr>
      <w:rPr>
        <w:rFonts w:ascii="Symbol" w:hAnsi="Symbol" w:hint="default"/>
      </w:rPr>
    </w:lvl>
    <w:lvl w:ilvl="2">
      <w:start w:val="1"/>
      <w:numFmt w:val="bullet"/>
      <w:lvlText w:val=""/>
      <w:lvlJc w:val="left"/>
      <w:pPr>
        <w:ind w:left="1107" w:hanging="369"/>
      </w:pPr>
      <w:rPr>
        <w:rFonts w:ascii="Symbol" w:hAnsi="Symbol" w:hint="default"/>
      </w:r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num w:numId="1" w16cid:durableId="1316912136">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12804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360326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C2B"/>
    <w:rsid w:val="0000162D"/>
    <w:rsid w:val="00002E16"/>
    <w:rsid w:val="00002E17"/>
    <w:rsid w:val="000034C3"/>
    <w:rsid w:val="00003584"/>
    <w:rsid w:val="00004628"/>
    <w:rsid w:val="0000462B"/>
    <w:rsid w:val="00004D33"/>
    <w:rsid w:val="00004D75"/>
    <w:rsid w:val="00004F9D"/>
    <w:rsid w:val="00005F17"/>
    <w:rsid w:val="00005FA7"/>
    <w:rsid w:val="000063DB"/>
    <w:rsid w:val="00006BB1"/>
    <w:rsid w:val="0000733C"/>
    <w:rsid w:val="000074BD"/>
    <w:rsid w:val="00007D69"/>
    <w:rsid w:val="000102AF"/>
    <w:rsid w:val="00010379"/>
    <w:rsid w:val="00010886"/>
    <w:rsid w:val="00010920"/>
    <w:rsid w:val="0001152D"/>
    <w:rsid w:val="000118E3"/>
    <w:rsid w:val="00011EA7"/>
    <w:rsid w:val="000120D3"/>
    <w:rsid w:val="00012806"/>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DB"/>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369"/>
    <w:rsid w:val="00030A49"/>
    <w:rsid w:val="0003174F"/>
    <w:rsid w:val="00031946"/>
    <w:rsid w:val="000322EC"/>
    <w:rsid w:val="00032AB9"/>
    <w:rsid w:val="00033D0B"/>
    <w:rsid w:val="00034086"/>
    <w:rsid w:val="00034121"/>
    <w:rsid w:val="000350A9"/>
    <w:rsid w:val="00035472"/>
    <w:rsid w:val="000365B0"/>
    <w:rsid w:val="00036CF7"/>
    <w:rsid w:val="00037175"/>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50B"/>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B98"/>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0B77"/>
    <w:rsid w:val="00081153"/>
    <w:rsid w:val="0008136C"/>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1269"/>
    <w:rsid w:val="00092523"/>
    <w:rsid w:val="00092F66"/>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350"/>
    <w:rsid w:val="000B2F97"/>
    <w:rsid w:val="000B3004"/>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A94"/>
    <w:rsid w:val="000C1BA1"/>
    <w:rsid w:val="000C219D"/>
    <w:rsid w:val="000C22B0"/>
    <w:rsid w:val="000C2786"/>
    <w:rsid w:val="000C2E72"/>
    <w:rsid w:val="000C2FFA"/>
    <w:rsid w:val="000C3369"/>
    <w:rsid w:val="000C3CAA"/>
    <w:rsid w:val="000C45E3"/>
    <w:rsid w:val="000C56B4"/>
    <w:rsid w:val="000C586F"/>
    <w:rsid w:val="000C5B48"/>
    <w:rsid w:val="000C661A"/>
    <w:rsid w:val="000C77A9"/>
    <w:rsid w:val="000D0D8B"/>
    <w:rsid w:val="000D14F1"/>
    <w:rsid w:val="000D1B6B"/>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360"/>
    <w:rsid w:val="000E25CA"/>
    <w:rsid w:val="000E2C73"/>
    <w:rsid w:val="000E2C8F"/>
    <w:rsid w:val="000E2EA3"/>
    <w:rsid w:val="000E31F7"/>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1665"/>
    <w:rsid w:val="001024BD"/>
    <w:rsid w:val="001025E7"/>
    <w:rsid w:val="0010275F"/>
    <w:rsid w:val="0010316E"/>
    <w:rsid w:val="001038BB"/>
    <w:rsid w:val="00103F76"/>
    <w:rsid w:val="00105880"/>
    <w:rsid w:val="00107038"/>
    <w:rsid w:val="00107219"/>
    <w:rsid w:val="001074AC"/>
    <w:rsid w:val="001101E1"/>
    <w:rsid w:val="00110379"/>
    <w:rsid w:val="001103CF"/>
    <w:rsid w:val="00111F4C"/>
    <w:rsid w:val="00112561"/>
    <w:rsid w:val="001129E8"/>
    <w:rsid w:val="00112BA9"/>
    <w:rsid w:val="0011385A"/>
    <w:rsid w:val="00113C76"/>
    <w:rsid w:val="00114588"/>
    <w:rsid w:val="001149B9"/>
    <w:rsid w:val="00114A58"/>
    <w:rsid w:val="00114D12"/>
    <w:rsid w:val="001155E4"/>
    <w:rsid w:val="00115629"/>
    <w:rsid w:val="001158B6"/>
    <w:rsid w:val="00115B67"/>
    <w:rsid w:val="001171CB"/>
    <w:rsid w:val="00117210"/>
    <w:rsid w:val="0011744C"/>
    <w:rsid w:val="00120FAC"/>
    <w:rsid w:val="00121311"/>
    <w:rsid w:val="00121A8E"/>
    <w:rsid w:val="00121BF6"/>
    <w:rsid w:val="00124D80"/>
    <w:rsid w:val="001267DB"/>
    <w:rsid w:val="001275A6"/>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15A"/>
    <w:rsid w:val="001357A1"/>
    <w:rsid w:val="001362A6"/>
    <w:rsid w:val="00136B3F"/>
    <w:rsid w:val="00136DF8"/>
    <w:rsid w:val="0013745F"/>
    <w:rsid w:val="00137894"/>
    <w:rsid w:val="00137CB8"/>
    <w:rsid w:val="00140035"/>
    <w:rsid w:val="00140082"/>
    <w:rsid w:val="00140465"/>
    <w:rsid w:val="00140E09"/>
    <w:rsid w:val="0014101A"/>
    <w:rsid w:val="0014142D"/>
    <w:rsid w:val="0014148A"/>
    <w:rsid w:val="00141FEB"/>
    <w:rsid w:val="00142EED"/>
    <w:rsid w:val="00143743"/>
    <w:rsid w:val="001437D5"/>
    <w:rsid w:val="00143E66"/>
    <w:rsid w:val="00145D66"/>
    <w:rsid w:val="00146059"/>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C15"/>
    <w:rsid w:val="00153EE1"/>
    <w:rsid w:val="0015402E"/>
    <w:rsid w:val="001546E8"/>
    <w:rsid w:val="00154828"/>
    <w:rsid w:val="00155698"/>
    <w:rsid w:val="00155BC9"/>
    <w:rsid w:val="00155C11"/>
    <w:rsid w:val="00157D22"/>
    <w:rsid w:val="00157F62"/>
    <w:rsid w:val="001600EB"/>
    <w:rsid w:val="0016039F"/>
    <w:rsid w:val="00160423"/>
    <w:rsid w:val="00161C25"/>
    <w:rsid w:val="00161CD7"/>
    <w:rsid w:val="0016312E"/>
    <w:rsid w:val="00163182"/>
    <w:rsid w:val="0016341E"/>
    <w:rsid w:val="00164E2E"/>
    <w:rsid w:val="001654A9"/>
    <w:rsid w:val="00165A05"/>
    <w:rsid w:val="00165E5D"/>
    <w:rsid w:val="00166297"/>
    <w:rsid w:val="001663D5"/>
    <w:rsid w:val="0016683E"/>
    <w:rsid w:val="00167277"/>
    <w:rsid w:val="001703EE"/>
    <w:rsid w:val="00170573"/>
    <w:rsid w:val="001707C4"/>
    <w:rsid w:val="00170912"/>
    <w:rsid w:val="001712DE"/>
    <w:rsid w:val="00171470"/>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2E7E"/>
    <w:rsid w:val="00193C35"/>
    <w:rsid w:val="0019441C"/>
    <w:rsid w:val="001950D9"/>
    <w:rsid w:val="00195379"/>
    <w:rsid w:val="00196144"/>
    <w:rsid w:val="001971B1"/>
    <w:rsid w:val="001971EA"/>
    <w:rsid w:val="00197975"/>
    <w:rsid w:val="00197D0D"/>
    <w:rsid w:val="001A0DC8"/>
    <w:rsid w:val="001A14F5"/>
    <w:rsid w:val="001A1777"/>
    <w:rsid w:val="001A1A8A"/>
    <w:rsid w:val="001A2649"/>
    <w:rsid w:val="001A307D"/>
    <w:rsid w:val="001A3986"/>
    <w:rsid w:val="001A3E19"/>
    <w:rsid w:val="001A4242"/>
    <w:rsid w:val="001A48FD"/>
    <w:rsid w:val="001A5CB3"/>
    <w:rsid w:val="001A6DEF"/>
    <w:rsid w:val="001A776D"/>
    <w:rsid w:val="001A7A6A"/>
    <w:rsid w:val="001A7A87"/>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5DCE"/>
    <w:rsid w:val="001B6AAD"/>
    <w:rsid w:val="001B71B5"/>
    <w:rsid w:val="001B78E2"/>
    <w:rsid w:val="001B7BF2"/>
    <w:rsid w:val="001B7EED"/>
    <w:rsid w:val="001C0289"/>
    <w:rsid w:val="001C098D"/>
    <w:rsid w:val="001C181C"/>
    <w:rsid w:val="001C27AF"/>
    <w:rsid w:val="001C3033"/>
    <w:rsid w:val="001C30BA"/>
    <w:rsid w:val="001C3403"/>
    <w:rsid w:val="001C3AAA"/>
    <w:rsid w:val="001C43B3"/>
    <w:rsid w:val="001C4834"/>
    <w:rsid w:val="001C4C95"/>
    <w:rsid w:val="001C5BA6"/>
    <w:rsid w:val="001C7597"/>
    <w:rsid w:val="001D0229"/>
    <w:rsid w:val="001D028A"/>
    <w:rsid w:val="001D0868"/>
    <w:rsid w:val="001D1636"/>
    <w:rsid w:val="001D181F"/>
    <w:rsid w:val="001D1F9C"/>
    <w:rsid w:val="001D2755"/>
    <w:rsid w:val="001D2F4D"/>
    <w:rsid w:val="001D39E8"/>
    <w:rsid w:val="001D4075"/>
    <w:rsid w:val="001D4E5E"/>
    <w:rsid w:val="001D600F"/>
    <w:rsid w:val="001D6843"/>
    <w:rsid w:val="001D79BC"/>
    <w:rsid w:val="001E092F"/>
    <w:rsid w:val="001E0947"/>
    <w:rsid w:val="001E152C"/>
    <w:rsid w:val="001E17F9"/>
    <w:rsid w:val="001E24EA"/>
    <w:rsid w:val="001E25FF"/>
    <w:rsid w:val="001E35D6"/>
    <w:rsid w:val="001E411C"/>
    <w:rsid w:val="001E4693"/>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7E3"/>
    <w:rsid w:val="00201885"/>
    <w:rsid w:val="002028FF"/>
    <w:rsid w:val="0020322B"/>
    <w:rsid w:val="002032C8"/>
    <w:rsid w:val="00203A75"/>
    <w:rsid w:val="0020409B"/>
    <w:rsid w:val="00205901"/>
    <w:rsid w:val="00205C7C"/>
    <w:rsid w:val="002060A5"/>
    <w:rsid w:val="002068F5"/>
    <w:rsid w:val="002070E4"/>
    <w:rsid w:val="0020721C"/>
    <w:rsid w:val="002072C3"/>
    <w:rsid w:val="00207813"/>
    <w:rsid w:val="0020790A"/>
    <w:rsid w:val="00207E86"/>
    <w:rsid w:val="00210594"/>
    <w:rsid w:val="00210F65"/>
    <w:rsid w:val="002114F0"/>
    <w:rsid w:val="0021261D"/>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0F49"/>
    <w:rsid w:val="00221057"/>
    <w:rsid w:val="002212CB"/>
    <w:rsid w:val="00221B4C"/>
    <w:rsid w:val="00222225"/>
    <w:rsid w:val="002226A9"/>
    <w:rsid w:val="0022277E"/>
    <w:rsid w:val="00223034"/>
    <w:rsid w:val="00223614"/>
    <w:rsid w:val="002238E6"/>
    <w:rsid w:val="00225CB8"/>
    <w:rsid w:val="00226E88"/>
    <w:rsid w:val="00226F8B"/>
    <w:rsid w:val="0022715D"/>
    <w:rsid w:val="00230AF7"/>
    <w:rsid w:val="00230B76"/>
    <w:rsid w:val="00231068"/>
    <w:rsid w:val="00231F8F"/>
    <w:rsid w:val="00234DBA"/>
    <w:rsid w:val="00234FCD"/>
    <w:rsid w:val="00234FD9"/>
    <w:rsid w:val="00236374"/>
    <w:rsid w:val="00236F49"/>
    <w:rsid w:val="00237E07"/>
    <w:rsid w:val="00237F8D"/>
    <w:rsid w:val="002400A1"/>
    <w:rsid w:val="00240222"/>
    <w:rsid w:val="002411C9"/>
    <w:rsid w:val="0024218B"/>
    <w:rsid w:val="002425FE"/>
    <w:rsid w:val="00242CD9"/>
    <w:rsid w:val="0024349D"/>
    <w:rsid w:val="00243967"/>
    <w:rsid w:val="0024424C"/>
    <w:rsid w:val="002444C2"/>
    <w:rsid w:val="00244BE9"/>
    <w:rsid w:val="0024530D"/>
    <w:rsid w:val="00245A74"/>
    <w:rsid w:val="00246797"/>
    <w:rsid w:val="00246A8F"/>
    <w:rsid w:val="0024727D"/>
    <w:rsid w:val="00247783"/>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7E9"/>
    <w:rsid w:val="00263EF4"/>
    <w:rsid w:val="00264A64"/>
    <w:rsid w:val="00265FE9"/>
    <w:rsid w:val="0026773E"/>
    <w:rsid w:val="00267F1F"/>
    <w:rsid w:val="0027218C"/>
    <w:rsid w:val="002723FD"/>
    <w:rsid w:val="00272E01"/>
    <w:rsid w:val="00273015"/>
    <w:rsid w:val="0027463A"/>
    <w:rsid w:val="0027487A"/>
    <w:rsid w:val="00274D0D"/>
    <w:rsid w:val="00274D8B"/>
    <w:rsid w:val="00275318"/>
    <w:rsid w:val="00275927"/>
    <w:rsid w:val="00276113"/>
    <w:rsid w:val="002766B0"/>
    <w:rsid w:val="00277572"/>
    <w:rsid w:val="00277812"/>
    <w:rsid w:val="002802A1"/>
    <w:rsid w:val="002803B8"/>
    <w:rsid w:val="002808CA"/>
    <w:rsid w:val="00280926"/>
    <w:rsid w:val="00281922"/>
    <w:rsid w:val="00281B0A"/>
    <w:rsid w:val="00282CDE"/>
    <w:rsid w:val="00283073"/>
    <w:rsid w:val="0028348A"/>
    <w:rsid w:val="00283D2B"/>
    <w:rsid w:val="00285478"/>
    <w:rsid w:val="00285A53"/>
    <w:rsid w:val="0028663C"/>
    <w:rsid w:val="00287C89"/>
    <w:rsid w:val="002905B5"/>
    <w:rsid w:val="002911D8"/>
    <w:rsid w:val="00293203"/>
    <w:rsid w:val="0029329A"/>
    <w:rsid w:val="00293366"/>
    <w:rsid w:val="00293A15"/>
    <w:rsid w:val="00295693"/>
    <w:rsid w:val="002960C3"/>
    <w:rsid w:val="002969C0"/>
    <w:rsid w:val="002972D4"/>
    <w:rsid w:val="00297AEF"/>
    <w:rsid w:val="00297F02"/>
    <w:rsid w:val="002A06E1"/>
    <w:rsid w:val="002A21E8"/>
    <w:rsid w:val="002A3220"/>
    <w:rsid w:val="002A3596"/>
    <w:rsid w:val="002A37BE"/>
    <w:rsid w:val="002A3AA9"/>
    <w:rsid w:val="002A58F4"/>
    <w:rsid w:val="002A5AA2"/>
    <w:rsid w:val="002A5C85"/>
    <w:rsid w:val="002A5C87"/>
    <w:rsid w:val="002A5D50"/>
    <w:rsid w:val="002A5DE5"/>
    <w:rsid w:val="002A6503"/>
    <w:rsid w:val="002A659A"/>
    <w:rsid w:val="002A6CB7"/>
    <w:rsid w:val="002A7542"/>
    <w:rsid w:val="002A7BE8"/>
    <w:rsid w:val="002B09C6"/>
    <w:rsid w:val="002B0F52"/>
    <w:rsid w:val="002B1071"/>
    <w:rsid w:val="002B129B"/>
    <w:rsid w:val="002B29E2"/>
    <w:rsid w:val="002B3708"/>
    <w:rsid w:val="002B4D46"/>
    <w:rsid w:val="002B4F19"/>
    <w:rsid w:val="002B5625"/>
    <w:rsid w:val="002B5F9C"/>
    <w:rsid w:val="002B6147"/>
    <w:rsid w:val="002C0170"/>
    <w:rsid w:val="002C0E18"/>
    <w:rsid w:val="002C2427"/>
    <w:rsid w:val="002C2773"/>
    <w:rsid w:val="002C2A4F"/>
    <w:rsid w:val="002C3502"/>
    <w:rsid w:val="002C397B"/>
    <w:rsid w:val="002C3BA0"/>
    <w:rsid w:val="002C436C"/>
    <w:rsid w:val="002C47C4"/>
    <w:rsid w:val="002C51AF"/>
    <w:rsid w:val="002C6E41"/>
    <w:rsid w:val="002C748E"/>
    <w:rsid w:val="002C77D1"/>
    <w:rsid w:val="002C7D3C"/>
    <w:rsid w:val="002D04DB"/>
    <w:rsid w:val="002D0DDF"/>
    <w:rsid w:val="002D17A5"/>
    <w:rsid w:val="002D1AC7"/>
    <w:rsid w:val="002D347E"/>
    <w:rsid w:val="002D3D17"/>
    <w:rsid w:val="002D42A0"/>
    <w:rsid w:val="002D440D"/>
    <w:rsid w:val="002D4C8C"/>
    <w:rsid w:val="002D4EF6"/>
    <w:rsid w:val="002D545A"/>
    <w:rsid w:val="002D550B"/>
    <w:rsid w:val="002D59E5"/>
    <w:rsid w:val="002D5C23"/>
    <w:rsid w:val="002D5CBC"/>
    <w:rsid w:val="002D5DC3"/>
    <w:rsid w:val="002D6B4D"/>
    <w:rsid w:val="002E0FD6"/>
    <w:rsid w:val="002E1388"/>
    <w:rsid w:val="002E16E6"/>
    <w:rsid w:val="002E1B83"/>
    <w:rsid w:val="002E1C1F"/>
    <w:rsid w:val="002E2688"/>
    <w:rsid w:val="002E307D"/>
    <w:rsid w:val="002E3222"/>
    <w:rsid w:val="002E34A3"/>
    <w:rsid w:val="002E36E1"/>
    <w:rsid w:val="002E3E6F"/>
    <w:rsid w:val="002E3F75"/>
    <w:rsid w:val="002E45B7"/>
    <w:rsid w:val="002E4721"/>
    <w:rsid w:val="002E486A"/>
    <w:rsid w:val="002E4DB5"/>
    <w:rsid w:val="002E4DC4"/>
    <w:rsid w:val="002E5281"/>
    <w:rsid w:val="002E5E0E"/>
    <w:rsid w:val="002E5E2F"/>
    <w:rsid w:val="002E5F1C"/>
    <w:rsid w:val="002E5F3E"/>
    <w:rsid w:val="002E736D"/>
    <w:rsid w:val="002F0875"/>
    <w:rsid w:val="002F0884"/>
    <w:rsid w:val="002F1A5B"/>
    <w:rsid w:val="002F1B87"/>
    <w:rsid w:val="002F3470"/>
    <w:rsid w:val="002F4CA2"/>
    <w:rsid w:val="002F51B3"/>
    <w:rsid w:val="002F527B"/>
    <w:rsid w:val="002F5306"/>
    <w:rsid w:val="002F5570"/>
    <w:rsid w:val="002F5792"/>
    <w:rsid w:val="002F5C9A"/>
    <w:rsid w:val="002F6254"/>
    <w:rsid w:val="002F6432"/>
    <w:rsid w:val="002F64A0"/>
    <w:rsid w:val="002F69EB"/>
    <w:rsid w:val="002F6D11"/>
    <w:rsid w:val="002F6D5A"/>
    <w:rsid w:val="002F6FC4"/>
    <w:rsid w:val="002F7255"/>
    <w:rsid w:val="002F7D6F"/>
    <w:rsid w:val="00300450"/>
    <w:rsid w:val="003005AA"/>
    <w:rsid w:val="00300E4E"/>
    <w:rsid w:val="00300EA5"/>
    <w:rsid w:val="003022B8"/>
    <w:rsid w:val="003023C4"/>
    <w:rsid w:val="003023EB"/>
    <w:rsid w:val="003026B9"/>
    <w:rsid w:val="00302C73"/>
    <w:rsid w:val="003035B2"/>
    <w:rsid w:val="00303733"/>
    <w:rsid w:val="00303A2F"/>
    <w:rsid w:val="00303C94"/>
    <w:rsid w:val="00304BF7"/>
    <w:rsid w:val="00304F0A"/>
    <w:rsid w:val="00304FE8"/>
    <w:rsid w:val="0030527B"/>
    <w:rsid w:val="00305FA4"/>
    <w:rsid w:val="00310015"/>
    <w:rsid w:val="00310992"/>
    <w:rsid w:val="00311387"/>
    <w:rsid w:val="00311EEA"/>
    <w:rsid w:val="0031351E"/>
    <w:rsid w:val="00313537"/>
    <w:rsid w:val="003135CD"/>
    <w:rsid w:val="003138AC"/>
    <w:rsid w:val="00313C59"/>
    <w:rsid w:val="00314373"/>
    <w:rsid w:val="00314425"/>
    <w:rsid w:val="003146EE"/>
    <w:rsid w:val="003153EA"/>
    <w:rsid w:val="00316745"/>
    <w:rsid w:val="00316D1E"/>
    <w:rsid w:val="00320015"/>
    <w:rsid w:val="00320263"/>
    <w:rsid w:val="003209C7"/>
    <w:rsid w:val="00320AB2"/>
    <w:rsid w:val="003219EA"/>
    <w:rsid w:val="003225D5"/>
    <w:rsid w:val="0032271E"/>
    <w:rsid w:val="003229A0"/>
    <w:rsid w:val="003232F1"/>
    <w:rsid w:val="0032378E"/>
    <w:rsid w:val="00323C12"/>
    <w:rsid w:val="00323D04"/>
    <w:rsid w:val="003243CB"/>
    <w:rsid w:val="003245FB"/>
    <w:rsid w:val="003250E2"/>
    <w:rsid w:val="0032569E"/>
    <w:rsid w:val="00326522"/>
    <w:rsid w:val="003270BF"/>
    <w:rsid w:val="0032768B"/>
    <w:rsid w:val="00327A0C"/>
    <w:rsid w:val="003301A3"/>
    <w:rsid w:val="00330353"/>
    <w:rsid w:val="0033063D"/>
    <w:rsid w:val="00331DCA"/>
    <w:rsid w:val="00332129"/>
    <w:rsid w:val="0033322F"/>
    <w:rsid w:val="00334912"/>
    <w:rsid w:val="00335779"/>
    <w:rsid w:val="00336FF2"/>
    <w:rsid w:val="003376B5"/>
    <w:rsid w:val="003376DF"/>
    <w:rsid w:val="003402DF"/>
    <w:rsid w:val="00340A09"/>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51"/>
    <w:rsid w:val="00362461"/>
    <w:rsid w:val="003628AA"/>
    <w:rsid w:val="00362D37"/>
    <w:rsid w:val="00363DA3"/>
    <w:rsid w:val="00364D63"/>
    <w:rsid w:val="00365105"/>
    <w:rsid w:val="0036579C"/>
    <w:rsid w:val="003657E7"/>
    <w:rsid w:val="00365E78"/>
    <w:rsid w:val="00366857"/>
    <w:rsid w:val="00370449"/>
    <w:rsid w:val="003708DD"/>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21D7"/>
    <w:rsid w:val="003832C3"/>
    <w:rsid w:val="003835EB"/>
    <w:rsid w:val="00383FF3"/>
    <w:rsid w:val="00384485"/>
    <w:rsid w:val="00384833"/>
    <w:rsid w:val="00384B1C"/>
    <w:rsid w:val="00384EA5"/>
    <w:rsid w:val="0038505C"/>
    <w:rsid w:val="00385BBE"/>
    <w:rsid w:val="00385D5C"/>
    <w:rsid w:val="00386843"/>
    <w:rsid w:val="00386C4E"/>
    <w:rsid w:val="00386E5D"/>
    <w:rsid w:val="00387BC6"/>
    <w:rsid w:val="00387E97"/>
    <w:rsid w:val="003901EF"/>
    <w:rsid w:val="003902C1"/>
    <w:rsid w:val="00390919"/>
    <w:rsid w:val="00390A7C"/>
    <w:rsid w:val="00390A91"/>
    <w:rsid w:val="00390AFB"/>
    <w:rsid w:val="0039142B"/>
    <w:rsid w:val="00391A35"/>
    <w:rsid w:val="00391AB6"/>
    <w:rsid w:val="00391E07"/>
    <w:rsid w:val="00393110"/>
    <w:rsid w:val="00393DD4"/>
    <w:rsid w:val="003946AC"/>
    <w:rsid w:val="0039530C"/>
    <w:rsid w:val="00395338"/>
    <w:rsid w:val="00395600"/>
    <w:rsid w:val="00395B97"/>
    <w:rsid w:val="00397340"/>
    <w:rsid w:val="00397572"/>
    <w:rsid w:val="003A074E"/>
    <w:rsid w:val="003A1CFF"/>
    <w:rsid w:val="003A2BB7"/>
    <w:rsid w:val="003A312D"/>
    <w:rsid w:val="003A3C93"/>
    <w:rsid w:val="003A4AB4"/>
    <w:rsid w:val="003A4C61"/>
    <w:rsid w:val="003A546F"/>
    <w:rsid w:val="003A565B"/>
    <w:rsid w:val="003A5C29"/>
    <w:rsid w:val="003A5DEB"/>
    <w:rsid w:val="003A5F75"/>
    <w:rsid w:val="003A61D4"/>
    <w:rsid w:val="003A6240"/>
    <w:rsid w:val="003A648B"/>
    <w:rsid w:val="003A6A14"/>
    <w:rsid w:val="003A72E4"/>
    <w:rsid w:val="003A7535"/>
    <w:rsid w:val="003A7616"/>
    <w:rsid w:val="003A799B"/>
    <w:rsid w:val="003A7D18"/>
    <w:rsid w:val="003B00C2"/>
    <w:rsid w:val="003B07D1"/>
    <w:rsid w:val="003B0A3B"/>
    <w:rsid w:val="003B1AF6"/>
    <w:rsid w:val="003B1B75"/>
    <w:rsid w:val="003B2FBC"/>
    <w:rsid w:val="003B32CC"/>
    <w:rsid w:val="003B35CB"/>
    <w:rsid w:val="003B4DA2"/>
    <w:rsid w:val="003B4DDF"/>
    <w:rsid w:val="003B4E68"/>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983"/>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3EC0"/>
    <w:rsid w:val="003E4136"/>
    <w:rsid w:val="003E4E45"/>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811"/>
    <w:rsid w:val="00400D40"/>
    <w:rsid w:val="004014C9"/>
    <w:rsid w:val="00401DDB"/>
    <w:rsid w:val="00402B5F"/>
    <w:rsid w:val="00402C3D"/>
    <w:rsid w:val="00403087"/>
    <w:rsid w:val="00403EDA"/>
    <w:rsid w:val="00403F44"/>
    <w:rsid w:val="0040409C"/>
    <w:rsid w:val="00404A45"/>
    <w:rsid w:val="00405576"/>
    <w:rsid w:val="004058B8"/>
    <w:rsid w:val="00405B3F"/>
    <w:rsid w:val="00405F1B"/>
    <w:rsid w:val="00406113"/>
    <w:rsid w:val="004063C4"/>
    <w:rsid w:val="004072FC"/>
    <w:rsid w:val="004074CB"/>
    <w:rsid w:val="00407D7D"/>
    <w:rsid w:val="00407EDD"/>
    <w:rsid w:val="00410247"/>
    <w:rsid w:val="00410B00"/>
    <w:rsid w:val="00410B24"/>
    <w:rsid w:val="00410E12"/>
    <w:rsid w:val="00410E3B"/>
    <w:rsid w:val="00410E7B"/>
    <w:rsid w:val="004115C8"/>
    <w:rsid w:val="00411A4D"/>
    <w:rsid w:val="004136FF"/>
    <w:rsid w:val="00413BE9"/>
    <w:rsid w:val="00413E03"/>
    <w:rsid w:val="00414E73"/>
    <w:rsid w:val="00414FB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3964"/>
    <w:rsid w:val="004349D9"/>
    <w:rsid w:val="00434C48"/>
    <w:rsid w:val="0043544F"/>
    <w:rsid w:val="004362C0"/>
    <w:rsid w:val="00436425"/>
    <w:rsid w:val="004364E6"/>
    <w:rsid w:val="00436B27"/>
    <w:rsid w:val="0043712E"/>
    <w:rsid w:val="00437EFF"/>
    <w:rsid w:val="004400BC"/>
    <w:rsid w:val="004412E8"/>
    <w:rsid w:val="00441947"/>
    <w:rsid w:val="00443331"/>
    <w:rsid w:val="00443561"/>
    <w:rsid w:val="00443591"/>
    <w:rsid w:val="00443A4B"/>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471"/>
    <w:rsid w:val="00454D4D"/>
    <w:rsid w:val="00454F1D"/>
    <w:rsid w:val="00455817"/>
    <w:rsid w:val="00455982"/>
    <w:rsid w:val="00455AE4"/>
    <w:rsid w:val="00457034"/>
    <w:rsid w:val="00457BAA"/>
    <w:rsid w:val="00460981"/>
    <w:rsid w:val="004609DE"/>
    <w:rsid w:val="00461DC0"/>
    <w:rsid w:val="00462787"/>
    <w:rsid w:val="004628F0"/>
    <w:rsid w:val="00462D54"/>
    <w:rsid w:val="00462D63"/>
    <w:rsid w:val="00463886"/>
    <w:rsid w:val="00464E03"/>
    <w:rsid w:val="00464F36"/>
    <w:rsid w:val="0046568B"/>
    <w:rsid w:val="00466121"/>
    <w:rsid w:val="00466912"/>
    <w:rsid w:val="004670C3"/>
    <w:rsid w:val="00467686"/>
    <w:rsid w:val="00467792"/>
    <w:rsid w:val="004679AB"/>
    <w:rsid w:val="00471665"/>
    <w:rsid w:val="0047195F"/>
    <w:rsid w:val="00471A9E"/>
    <w:rsid w:val="00471B86"/>
    <w:rsid w:val="00472227"/>
    <w:rsid w:val="00472E9C"/>
    <w:rsid w:val="004732E6"/>
    <w:rsid w:val="00474927"/>
    <w:rsid w:val="00474FBE"/>
    <w:rsid w:val="0047540F"/>
    <w:rsid w:val="00475B4D"/>
    <w:rsid w:val="00476EBB"/>
    <w:rsid w:val="00476F8F"/>
    <w:rsid w:val="004772FF"/>
    <w:rsid w:val="00480310"/>
    <w:rsid w:val="0048048A"/>
    <w:rsid w:val="00481705"/>
    <w:rsid w:val="00481966"/>
    <w:rsid w:val="00482044"/>
    <w:rsid w:val="00482254"/>
    <w:rsid w:val="004823C6"/>
    <w:rsid w:val="00482F51"/>
    <w:rsid w:val="00483166"/>
    <w:rsid w:val="0048365C"/>
    <w:rsid w:val="004837B4"/>
    <w:rsid w:val="00484915"/>
    <w:rsid w:val="00484EEF"/>
    <w:rsid w:val="004853D8"/>
    <w:rsid w:val="0048589F"/>
    <w:rsid w:val="00486552"/>
    <w:rsid w:val="00486AEA"/>
    <w:rsid w:val="00486EEE"/>
    <w:rsid w:val="0048735B"/>
    <w:rsid w:val="004875E6"/>
    <w:rsid w:val="00487AD4"/>
    <w:rsid w:val="00490275"/>
    <w:rsid w:val="00490628"/>
    <w:rsid w:val="0049071D"/>
    <w:rsid w:val="0049103F"/>
    <w:rsid w:val="00491532"/>
    <w:rsid w:val="00491F80"/>
    <w:rsid w:val="0049239D"/>
    <w:rsid w:val="004925C9"/>
    <w:rsid w:val="00493263"/>
    <w:rsid w:val="00493577"/>
    <w:rsid w:val="0049362A"/>
    <w:rsid w:val="004942A0"/>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71"/>
    <w:rsid w:val="004A3391"/>
    <w:rsid w:val="004A3C39"/>
    <w:rsid w:val="004A3FAE"/>
    <w:rsid w:val="004A4291"/>
    <w:rsid w:val="004A4D02"/>
    <w:rsid w:val="004A4F2D"/>
    <w:rsid w:val="004A535B"/>
    <w:rsid w:val="004A5AFA"/>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0A2"/>
    <w:rsid w:val="004C13F1"/>
    <w:rsid w:val="004C1552"/>
    <w:rsid w:val="004C16F5"/>
    <w:rsid w:val="004C33E8"/>
    <w:rsid w:val="004C4A96"/>
    <w:rsid w:val="004C4E5F"/>
    <w:rsid w:val="004C5875"/>
    <w:rsid w:val="004C5F28"/>
    <w:rsid w:val="004C6997"/>
    <w:rsid w:val="004C6CDB"/>
    <w:rsid w:val="004C723F"/>
    <w:rsid w:val="004C7C36"/>
    <w:rsid w:val="004C7D16"/>
    <w:rsid w:val="004D0132"/>
    <w:rsid w:val="004D080F"/>
    <w:rsid w:val="004D138E"/>
    <w:rsid w:val="004D185E"/>
    <w:rsid w:val="004D2556"/>
    <w:rsid w:val="004D29F9"/>
    <w:rsid w:val="004D4230"/>
    <w:rsid w:val="004D4ABE"/>
    <w:rsid w:val="004D4B61"/>
    <w:rsid w:val="004D606D"/>
    <w:rsid w:val="004D6B20"/>
    <w:rsid w:val="004D6C2F"/>
    <w:rsid w:val="004D71FE"/>
    <w:rsid w:val="004D72CE"/>
    <w:rsid w:val="004D7A80"/>
    <w:rsid w:val="004D7CA3"/>
    <w:rsid w:val="004E0388"/>
    <w:rsid w:val="004E04C7"/>
    <w:rsid w:val="004E0894"/>
    <w:rsid w:val="004E135A"/>
    <w:rsid w:val="004E1C50"/>
    <w:rsid w:val="004E20EE"/>
    <w:rsid w:val="004E23BB"/>
    <w:rsid w:val="004E251F"/>
    <w:rsid w:val="004E2B23"/>
    <w:rsid w:val="004E3390"/>
    <w:rsid w:val="004E416F"/>
    <w:rsid w:val="004E424D"/>
    <w:rsid w:val="004E5D7B"/>
    <w:rsid w:val="004E5F45"/>
    <w:rsid w:val="004E64DC"/>
    <w:rsid w:val="004E6F86"/>
    <w:rsid w:val="004E706A"/>
    <w:rsid w:val="004F0671"/>
    <w:rsid w:val="004F0C01"/>
    <w:rsid w:val="004F126D"/>
    <w:rsid w:val="004F24B5"/>
    <w:rsid w:val="004F2B02"/>
    <w:rsid w:val="004F2D1B"/>
    <w:rsid w:val="004F2E11"/>
    <w:rsid w:val="004F31BD"/>
    <w:rsid w:val="004F378C"/>
    <w:rsid w:val="004F3B34"/>
    <w:rsid w:val="004F3E23"/>
    <w:rsid w:val="004F4767"/>
    <w:rsid w:val="004F498A"/>
    <w:rsid w:val="004F51B2"/>
    <w:rsid w:val="004F5910"/>
    <w:rsid w:val="004F59C4"/>
    <w:rsid w:val="004F5D65"/>
    <w:rsid w:val="004F6C3C"/>
    <w:rsid w:val="004F70F8"/>
    <w:rsid w:val="004F7230"/>
    <w:rsid w:val="004F7D65"/>
    <w:rsid w:val="004F7D7B"/>
    <w:rsid w:val="00501659"/>
    <w:rsid w:val="00501733"/>
    <w:rsid w:val="00501B75"/>
    <w:rsid w:val="00501C39"/>
    <w:rsid w:val="00502203"/>
    <w:rsid w:val="005027B8"/>
    <w:rsid w:val="00503286"/>
    <w:rsid w:val="00503F42"/>
    <w:rsid w:val="00505378"/>
    <w:rsid w:val="00505A66"/>
    <w:rsid w:val="00506576"/>
    <w:rsid w:val="00506710"/>
    <w:rsid w:val="00506E86"/>
    <w:rsid w:val="0050702C"/>
    <w:rsid w:val="0050723E"/>
    <w:rsid w:val="005072DD"/>
    <w:rsid w:val="00507403"/>
    <w:rsid w:val="00507430"/>
    <w:rsid w:val="005101E5"/>
    <w:rsid w:val="00511D75"/>
    <w:rsid w:val="00511FF2"/>
    <w:rsid w:val="00512232"/>
    <w:rsid w:val="00513B7E"/>
    <w:rsid w:val="00514597"/>
    <w:rsid w:val="005150AB"/>
    <w:rsid w:val="0051520F"/>
    <w:rsid w:val="005159F9"/>
    <w:rsid w:val="0051769B"/>
    <w:rsid w:val="0052052F"/>
    <w:rsid w:val="00520571"/>
    <w:rsid w:val="00522C8A"/>
    <w:rsid w:val="00523AF8"/>
    <w:rsid w:val="00523F57"/>
    <w:rsid w:val="00523F8F"/>
    <w:rsid w:val="005248F8"/>
    <w:rsid w:val="00524E1E"/>
    <w:rsid w:val="00525141"/>
    <w:rsid w:val="0052565F"/>
    <w:rsid w:val="0052654A"/>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4AF9"/>
    <w:rsid w:val="00535189"/>
    <w:rsid w:val="005356B6"/>
    <w:rsid w:val="00535D75"/>
    <w:rsid w:val="00535FF9"/>
    <w:rsid w:val="0053609B"/>
    <w:rsid w:val="0053655A"/>
    <w:rsid w:val="00536ECF"/>
    <w:rsid w:val="0053740F"/>
    <w:rsid w:val="00537BDF"/>
    <w:rsid w:val="00540D9E"/>
    <w:rsid w:val="0054171A"/>
    <w:rsid w:val="005420CF"/>
    <w:rsid w:val="00542C2A"/>
    <w:rsid w:val="0054337D"/>
    <w:rsid w:val="005438E3"/>
    <w:rsid w:val="00543CAC"/>
    <w:rsid w:val="005440E4"/>
    <w:rsid w:val="0054438F"/>
    <w:rsid w:val="00545BEC"/>
    <w:rsid w:val="00545F52"/>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169"/>
    <w:rsid w:val="00564643"/>
    <w:rsid w:val="00564772"/>
    <w:rsid w:val="00566518"/>
    <w:rsid w:val="005667C6"/>
    <w:rsid w:val="005669DA"/>
    <w:rsid w:val="00567613"/>
    <w:rsid w:val="00571206"/>
    <w:rsid w:val="00571640"/>
    <w:rsid w:val="00571902"/>
    <w:rsid w:val="0057194C"/>
    <w:rsid w:val="005720AF"/>
    <w:rsid w:val="00572283"/>
    <w:rsid w:val="00572F6B"/>
    <w:rsid w:val="00573604"/>
    <w:rsid w:val="00573DE2"/>
    <w:rsid w:val="00573F29"/>
    <w:rsid w:val="00574949"/>
    <w:rsid w:val="00574AD1"/>
    <w:rsid w:val="00575DDE"/>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2FA1"/>
    <w:rsid w:val="005843DF"/>
    <w:rsid w:val="005860BC"/>
    <w:rsid w:val="00587129"/>
    <w:rsid w:val="0058725A"/>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050E"/>
    <w:rsid w:val="005A0A21"/>
    <w:rsid w:val="005A118A"/>
    <w:rsid w:val="005A1897"/>
    <w:rsid w:val="005A252B"/>
    <w:rsid w:val="005A3B97"/>
    <w:rsid w:val="005A45EC"/>
    <w:rsid w:val="005A4A89"/>
    <w:rsid w:val="005A55F6"/>
    <w:rsid w:val="005A57D4"/>
    <w:rsid w:val="005A5C31"/>
    <w:rsid w:val="005A5DB4"/>
    <w:rsid w:val="005A600A"/>
    <w:rsid w:val="005A7266"/>
    <w:rsid w:val="005A74D9"/>
    <w:rsid w:val="005A7E88"/>
    <w:rsid w:val="005B01F4"/>
    <w:rsid w:val="005B05BE"/>
    <w:rsid w:val="005B0692"/>
    <w:rsid w:val="005B07C7"/>
    <w:rsid w:val="005B1B4F"/>
    <w:rsid w:val="005B207C"/>
    <w:rsid w:val="005B2564"/>
    <w:rsid w:val="005B2E53"/>
    <w:rsid w:val="005B2F26"/>
    <w:rsid w:val="005B3076"/>
    <w:rsid w:val="005B389B"/>
    <w:rsid w:val="005B4B88"/>
    <w:rsid w:val="005B4C25"/>
    <w:rsid w:val="005B52D8"/>
    <w:rsid w:val="005B57E9"/>
    <w:rsid w:val="005B5DAD"/>
    <w:rsid w:val="005B659A"/>
    <w:rsid w:val="005B65CA"/>
    <w:rsid w:val="005B79C6"/>
    <w:rsid w:val="005C04C0"/>
    <w:rsid w:val="005C0912"/>
    <w:rsid w:val="005C0DE9"/>
    <w:rsid w:val="005C1B46"/>
    <w:rsid w:val="005C1F7E"/>
    <w:rsid w:val="005C2057"/>
    <w:rsid w:val="005C20A0"/>
    <w:rsid w:val="005C2EF2"/>
    <w:rsid w:val="005C3AE2"/>
    <w:rsid w:val="005C5258"/>
    <w:rsid w:val="005C5400"/>
    <w:rsid w:val="005C57F7"/>
    <w:rsid w:val="005C76FD"/>
    <w:rsid w:val="005C7A6D"/>
    <w:rsid w:val="005C7D6C"/>
    <w:rsid w:val="005C7DC3"/>
    <w:rsid w:val="005D0DAF"/>
    <w:rsid w:val="005D0E2B"/>
    <w:rsid w:val="005D14A4"/>
    <w:rsid w:val="005D1D83"/>
    <w:rsid w:val="005D2E2B"/>
    <w:rsid w:val="005D3D10"/>
    <w:rsid w:val="005D441C"/>
    <w:rsid w:val="005D63D9"/>
    <w:rsid w:val="005D6652"/>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3C"/>
    <w:rsid w:val="00603A6B"/>
    <w:rsid w:val="006040F2"/>
    <w:rsid w:val="0060449A"/>
    <w:rsid w:val="00604805"/>
    <w:rsid w:val="0060529E"/>
    <w:rsid w:val="00605384"/>
    <w:rsid w:val="00605D25"/>
    <w:rsid w:val="0060615A"/>
    <w:rsid w:val="006065E7"/>
    <w:rsid w:val="006072E8"/>
    <w:rsid w:val="006079DC"/>
    <w:rsid w:val="00607C2D"/>
    <w:rsid w:val="006103A4"/>
    <w:rsid w:val="00610922"/>
    <w:rsid w:val="00611250"/>
    <w:rsid w:val="00611D8D"/>
    <w:rsid w:val="006122E2"/>
    <w:rsid w:val="006125AA"/>
    <w:rsid w:val="00613E9D"/>
    <w:rsid w:val="0061423C"/>
    <w:rsid w:val="0061427C"/>
    <w:rsid w:val="00615DED"/>
    <w:rsid w:val="00615FAB"/>
    <w:rsid w:val="00616705"/>
    <w:rsid w:val="006169BB"/>
    <w:rsid w:val="00616F11"/>
    <w:rsid w:val="006177F0"/>
    <w:rsid w:val="0062005F"/>
    <w:rsid w:val="00620165"/>
    <w:rsid w:val="006201DC"/>
    <w:rsid w:val="00620985"/>
    <w:rsid w:val="00620BD5"/>
    <w:rsid w:val="00621B17"/>
    <w:rsid w:val="00622289"/>
    <w:rsid w:val="00622543"/>
    <w:rsid w:val="0062261D"/>
    <w:rsid w:val="00622643"/>
    <w:rsid w:val="00623312"/>
    <w:rsid w:val="0062351E"/>
    <w:rsid w:val="00623E92"/>
    <w:rsid w:val="00623E93"/>
    <w:rsid w:val="00624322"/>
    <w:rsid w:val="006243BE"/>
    <w:rsid w:val="00624406"/>
    <w:rsid w:val="006248E3"/>
    <w:rsid w:val="00625D3D"/>
    <w:rsid w:val="00625DB6"/>
    <w:rsid w:val="00626280"/>
    <w:rsid w:val="00626CAC"/>
    <w:rsid w:val="00627AD4"/>
    <w:rsid w:val="00630D54"/>
    <w:rsid w:val="00630F33"/>
    <w:rsid w:val="006312A4"/>
    <w:rsid w:val="006312F8"/>
    <w:rsid w:val="006313C9"/>
    <w:rsid w:val="006317D2"/>
    <w:rsid w:val="00631C0F"/>
    <w:rsid w:val="006337EA"/>
    <w:rsid w:val="006348ED"/>
    <w:rsid w:val="00635314"/>
    <w:rsid w:val="006355E6"/>
    <w:rsid w:val="00635EFB"/>
    <w:rsid w:val="00636A18"/>
    <w:rsid w:val="00636C52"/>
    <w:rsid w:val="0063771E"/>
    <w:rsid w:val="006406A6"/>
    <w:rsid w:val="00640A5A"/>
    <w:rsid w:val="00640C80"/>
    <w:rsid w:val="00640E6C"/>
    <w:rsid w:val="0064128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3F7"/>
    <w:rsid w:val="00664A30"/>
    <w:rsid w:val="00664B40"/>
    <w:rsid w:val="006652FD"/>
    <w:rsid w:val="00665679"/>
    <w:rsid w:val="0066568C"/>
    <w:rsid w:val="0066590A"/>
    <w:rsid w:val="00665DB7"/>
    <w:rsid w:val="00666370"/>
    <w:rsid w:val="0066646F"/>
    <w:rsid w:val="00666775"/>
    <w:rsid w:val="00666A5B"/>
    <w:rsid w:val="00667ACC"/>
    <w:rsid w:val="00670EFB"/>
    <w:rsid w:val="00671380"/>
    <w:rsid w:val="006713F9"/>
    <w:rsid w:val="006729B8"/>
    <w:rsid w:val="00672F3E"/>
    <w:rsid w:val="00673BF2"/>
    <w:rsid w:val="00673C58"/>
    <w:rsid w:val="0067494B"/>
    <w:rsid w:val="00674DB0"/>
    <w:rsid w:val="00675296"/>
    <w:rsid w:val="0067649E"/>
    <w:rsid w:val="006766B8"/>
    <w:rsid w:val="00677143"/>
    <w:rsid w:val="006807E1"/>
    <w:rsid w:val="00680DE4"/>
    <w:rsid w:val="0068116A"/>
    <w:rsid w:val="006823D9"/>
    <w:rsid w:val="00682434"/>
    <w:rsid w:val="00683367"/>
    <w:rsid w:val="00683B8F"/>
    <w:rsid w:val="006841B1"/>
    <w:rsid w:val="0068436A"/>
    <w:rsid w:val="0068523F"/>
    <w:rsid w:val="00685586"/>
    <w:rsid w:val="006855A0"/>
    <w:rsid w:val="006861C4"/>
    <w:rsid w:val="00686C23"/>
    <w:rsid w:val="00687033"/>
    <w:rsid w:val="00687774"/>
    <w:rsid w:val="00687D28"/>
    <w:rsid w:val="00687EC6"/>
    <w:rsid w:val="00690AC8"/>
    <w:rsid w:val="00690CCF"/>
    <w:rsid w:val="00690E24"/>
    <w:rsid w:val="00691626"/>
    <w:rsid w:val="006936CD"/>
    <w:rsid w:val="0069391C"/>
    <w:rsid w:val="00693EA8"/>
    <w:rsid w:val="0069493D"/>
    <w:rsid w:val="00694C13"/>
    <w:rsid w:val="00694FF9"/>
    <w:rsid w:val="006961DC"/>
    <w:rsid w:val="0069620B"/>
    <w:rsid w:val="0069659F"/>
    <w:rsid w:val="00696801"/>
    <w:rsid w:val="0069758F"/>
    <w:rsid w:val="006978DB"/>
    <w:rsid w:val="00697989"/>
    <w:rsid w:val="006979EF"/>
    <w:rsid w:val="006A049D"/>
    <w:rsid w:val="006A0623"/>
    <w:rsid w:val="006A12AE"/>
    <w:rsid w:val="006A12E9"/>
    <w:rsid w:val="006A1809"/>
    <w:rsid w:val="006A1BC6"/>
    <w:rsid w:val="006A272F"/>
    <w:rsid w:val="006A393F"/>
    <w:rsid w:val="006A54EF"/>
    <w:rsid w:val="006A56EC"/>
    <w:rsid w:val="006A58A2"/>
    <w:rsid w:val="006A5A39"/>
    <w:rsid w:val="006A5C7F"/>
    <w:rsid w:val="006A6263"/>
    <w:rsid w:val="006A6484"/>
    <w:rsid w:val="006A652E"/>
    <w:rsid w:val="006A6C28"/>
    <w:rsid w:val="006A7EA3"/>
    <w:rsid w:val="006B022C"/>
    <w:rsid w:val="006B07D8"/>
    <w:rsid w:val="006B0CEB"/>
    <w:rsid w:val="006B13C1"/>
    <w:rsid w:val="006B1707"/>
    <w:rsid w:val="006B2489"/>
    <w:rsid w:val="006B3215"/>
    <w:rsid w:val="006B3348"/>
    <w:rsid w:val="006B3448"/>
    <w:rsid w:val="006B386D"/>
    <w:rsid w:val="006B4F5C"/>
    <w:rsid w:val="006B5062"/>
    <w:rsid w:val="006B50A3"/>
    <w:rsid w:val="006B5725"/>
    <w:rsid w:val="006B6BDE"/>
    <w:rsid w:val="006B6CBE"/>
    <w:rsid w:val="006B71E4"/>
    <w:rsid w:val="006B721D"/>
    <w:rsid w:val="006C00B5"/>
    <w:rsid w:val="006C1170"/>
    <w:rsid w:val="006C2506"/>
    <w:rsid w:val="006C2952"/>
    <w:rsid w:val="006C2A48"/>
    <w:rsid w:val="006C348B"/>
    <w:rsid w:val="006C34C1"/>
    <w:rsid w:val="006C374C"/>
    <w:rsid w:val="006C4E73"/>
    <w:rsid w:val="006C4EB7"/>
    <w:rsid w:val="006C5014"/>
    <w:rsid w:val="006C565B"/>
    <w:rsid w:val="006C5C34"/>
    <w:rsid w:val="006C5D35"/>
    <w:rsid w:val="006C6470"/>
    <w:rsid w:val="006C75FA"/>
    <w:rsid w:val="006C7FAC"/>
    <w:rsid w:val="006D002D"/>
    <w:rsid w:val="006D0421"/>
    <w:rsid w:val="006D047B"/>
    <w:rsid w:val="006D1D18"/>
    <w:rsid w:val="006D20CB"/>
    <w:rsid w:val="006D2594"/>
    <w:rsid w:val="006D2BD4"/>
    <w:rsid w:val="006D3530"/>
    <w:rsid w:val="006D3BF4"/>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533D"/>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2C57"/>
    <w:rsid w:val="0071320C"/>
    <w:rsid w:val="0071356F"/>
    <w:rsid w:val="00714166"/>
    <w:rsid w:val="007153F0"/>
    <w:rsid w:val="007154CF"/>
    <w:rsid w:val="007159A1"/>
    <w:rsid w:val="00716812"/>
    <w:rsid w:val="007171DB"/>
    <w:rsid w:val="00717651"/>
    <w:rsid w:val="0071796A"/>
    <w:rsid w:val="00717A8D"/>
    <w:rsid w:val="00717BF6"/>
    <w:rsid w:val="00717C21"/>
    <w:rsid w:val="00717F9F"/>
    <w:rsid w:val="00720493"/>
    <w:rsid w:val="00720B9E"/>
    <w:rsid w:val="00721887"/>
    <w:rsid w:val="00721CC5"/>
    <w:rsid w:val="007224ED"/>
    <w:rsid w:val="00722FD8"/>
    <w:rsid w:val="0072366C"/>
    <w:rsid w:val="00724291"/>
    <w:rsid w:val="00724D0C"/>
    <w:rsid w:val="00725251"/>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4B9"/>
    <w:rsid w:val="00741968"/>
    <w:rsid w:val="00741BDD"/>
    <w:rsid w:val="00741F62"/>
    <w:rsid w:val="007423E9"/>
    <w:rsid w:val="00742D75"/>
    <w:rsid w:val="00743A58"/>
    <w:rsid w:val="00743D1C"/>
    <w:rsid w:val="00743D29"/>
    <w:rsid w:val="0074406C"/>
    <w:rsid w:val="00744146"/>
    <w:rsid w:val="00744B1B"/>
    <w:rsid w:val="00745153"/>
    <w:rsid w:val="00745844"/>
    <w:rsid w:val="007460ED"/>
    <w:rsid w:val="0074661C"/>
    <w:rsid w:val="00746A2F"/>
    <w:rsid w:val="007472EF"/>
    <w:rsid w:val="00747669"/>
    <w:rsid w:val="0074771E"/>
    <w:rsid w:val="00747FBF"/>
    <w:rsid w:val="00751097"/>
    <w:rsid w:val="00751E1F"/>
    <w:rsid w:val="0075296E"/>
    <w:rsid w:val="00752F33"/>
    <w:rsid w:val="0075319C"/>
    <w:rsid w:val="007531A5"/>
    <w:rsid w:val="007535E3"/>
    <w:rsid w:val="00753FCB"/>
    <w:rsid w:val="007542B1"/>
    <w:rsid w:val="0075488D"/>
    <w:rsid w:val="007550FE"/>
    <w:rsid w:val="00755EE8"/>
    <w:rsid w:val="00756609"/>
    <w:rsid w:val="007566A7"/>
    <w:rsid w:val="007567D2"/>
    <w:rsid w:val="00756E30"/>
    <w:rsid w:val="0075707E"/>
    <w:rsid w:val="00757941"/>
    <w:rsid w:val="00762FCA"/>
    <w:rsid w:val="007639A5"/>
    <w:rsid w:val="00763CC7"/>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4C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3F00"/>
    <w:rsid w:val="00794795"/>
    <w:rsid w:val="007949E6"/>
    <w:rsid w:val="00794CC2"/>
    <w:rsid w:val="00794D98"/>
    <w:rsid w:val="00794F29"/>
    <w:rsid w:val="00795A2A"/>
    <w:rsid w:val="00795D4A"/>
    <w:rsid w:val="007964B5"/>
    <w:rsid w:val="007972FB"/>
    <w:rsid w:val="007977AD"/>
    <w:rsid w:val="007A02BC"/>
    <w:rsid w:val="007A099F"/>
    <w:rsid w:val="007A0ADA"/>
    <w:rsid w:val="007A0F0F"/>
    <w:rsid w:val="007A16EB"/>
    <w:rsid w:val="007A26C4"/>
    <w:rsid w:val="007A2742"/>
    <w:rsid w:val="007A2F96"/>
    <w:rsid w:val="007A33C4"/>
    <w:rsid w:val="007A49D9"/>
    <w:rsid w:val="007A50C1"/>
    <w:rsid w:val="007A5620"/>
    <w:rsid w:val="007B01E7"/>
    <w:rsid w:val="007B0810"/>
    <w:rsid w:val="007B104F"/>
    <w:rsid w:val="007B1418"/>
    <w:rsid w:val="007B1C29"/>
    <w:rsid w:val="007B2177"/>
    <w:rsid w:val="007B2FF1"/>
    <w:rsid w:val="007B3F86"/>
    <w:rsid w:val="007B56E1"/>
    <w:rsid w:val="007B7BB1"/>
    <w:rsid w:val="007C0B47"/>
    <w:rsid w:val="007C1229"/>
    <w:rsid w:val="007C17AB"/>
    <w:rsid w:val="007C1DFF"/>
    <w:rsid w:val="007C1E1D"/>
    <w:rsid w:val="007C2145"/>
    <w:rsid w:val="007C2349"/>
    <w:rsid w:val="007C377C"/>
    <w:rsid w:val="007C3815"/>
    <w:rsid w:val="007C3B7F"/>
    <w:rsid w:val="007C3C93"/>
    <w:rsid w:val="007C5B20"/>
    <w:rsid w:val="007C65FA"/>
    <w:rsid w:val="007C685F"/>
    <w:rsid w:val="007D069C"/>
    <w:rsid w:val="007D1580"/>
    <w:rsid w:val="007D1AFD"/>
    <w:rsid w:val="007D1E73"/>
    <w:rsid w:val="007D23C4"/>
    <w:rsid w:val="007D2FC8"/>
    <w:rsid w:val="007D310A"/>
    <w:rsid w:val="007D408D"/>
    <w:rsid w:val="007D4CD5"/>
    <w:rsid w:val="007D52A7"/>
    <w:rsid w:val="007D619D"/>
    <w:rsid w:val="007D658F"/>
    <w:rsid w:val="007D6B04"/>
    <w:rsid w:val="007D6D6F"/>
    <w:rsid w:val="007D6E6D"/>
    <w:rsid w:val="007D6F5D"/>
    <w:rsid w:val="007D7604"/>
    <w:rsid w:val="007D7729"/>
    <w:rsid w:val="007D7AA9"/>
    <w:rsid w:val="007E075D"/>
    <w:rsid w:val="007E0D86"/>
    <w:rsid w:val="007E170B"/>
    <w:rsid w:val="007E18BA"/>
    <w:rsid w:val="007E18FA"/>
    <w:rsid w:val="007E1DF2"/>
    <w:rsid w:val="007E2888"/>
    <w:rsid w:val="007E2BA4"/>
    <w:rsid w:val="007E2CC3"/>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06F"/>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601"/>
    <w:rsid w:val="00821E84"/>
    <w:rsid w:val="00822005"/>
    <w:rsid w:val="0082256B"/>
    <w:rsid w:val="00822609"/>
    <w:rsid w:val="00822B0C"/>
    <w:rsid w:val="00822C45"/>
    <w:rsid w:val="0082377B"/>
    <w:rsid w:val="008241E4"/>
    <w:rsid w:val="00824394"/>
    <w:rsid w:val="00824912"/>
    <w:rsid w:val="00824F1A"/>
    <w:rsid w:val="00825B07"/>
    <w:rsid w:val="008265E8"/>
    <w:rsid w:val="00826634"/>
    <w:rsid w:val="00826C0C"/>
    <w:rsid w:val="00827175"/>
    <w:rsid w:val="00827E75"/>
    <w:rsid w:val="00830810"/>
    <w:rsid w:val="008309CF"/>
    <w:rsid w:val="00830AF8"/>
    <w:rsid w:val="00830B5F"/>
    <w:rsid w:val="00830DC0"/>
    <w:rsid w:val="00831427"/>
    <w:rsid w:val="00831C09"/>
    <w:rsid w:val="00831C68"/>
    <w:rsid w:val="008322FB"/>
    <w:rsid w:val="0083272D"/>
    <w:rsid w:val="008327A1"/>
    <w:rsid w:val="00832E6A"/>
    <w:rsid w:val="00833E4E"/>
    <w:rsid w:val="0083473D"/>
    <w:rsid w:val="00834AF4"/>
    <w:rsid w:val="00834BEC"/>
    <w:rsid w:val="00834D47"/>
    <w:rsid w:val="00834DC9"/>
    <w:rsid w:val="00835389"/>
    <w:rsid w:val="00835459"/>
    <w:rsid w:val="008356D1"/>
    <w:rsid w:val="008357B3"/>
    <w:rsid w:val="008358DA"/>
    <w:rsid w:val="008373F3"/>
    <w:rsid w:val="00837C5C"/>
    <w:rsid w:val="00840350"/>
    <w:rsid w:val="00840409"/>
    <w:rsid w:val="0084055F"/>
    <w:rsid w:val="0084098C"/>
    <w:rsid w:val="008411FD"/>
    <w:rsid w:val="0084138C"/>
    <w:rsid w:val="00842584"/>
    <w:rsid w:val="008429DB"/>
    <w:rsid w:val="00842BA8"/>
    <w:rsid w:val="0084324E"/>
    <w:rsid w:val="00844B2A"/>
    <w:rsid w:val="00844ED2"/>
    <w:rsid w:val="0084562E"/>
    <w:rsid w:val="00846BB8"/>
    <w:rsid w:val="008470E8"/>
    <w:rsid w:val="0084736D"/>
    <w:rsid w:val="008479BC"/>
    <w:rsid w:val="00847C79"/>
    <w:rsid w:val="00850A19"/>
    <w:rsid w:val="0085106C"/>
    <w:rsid w:val="008514EC"/>
    <w:rsid w:val="00851F31"/>
    <w:rsid w:val="0085233E"/>
    <w:rsid w:val="008524F7"/>
    <w:rsid w:val="00852A9A"/>
    <w:rsid w:val="00852F34"/>
    <w:rsid w:val="008534FA"/>
    <w:rsid w:val="00853616"/>
    <w:rsid w:val="00853704"/>
    <w:rsid w:val="00853C23"/>
    <w:rsid w:val="00853EFD"/>
    <w:rsid w:val="0085413E"/>
    <w:rsid w:val="00854674"/>
    <w:rsid w:val="00854784"/>
    <w:rsid w:val="00854C8E"/>
    <w:rsid w:val="00856542"/>
    <w:rsid w:val="0085729A"/>
    <w:rsid w:val="008575ED"/>
    <w:rsid w:val="00857F3D"/>
    <w:rsid w:val="00860C42"/>
    <w:rsid w:val="00860F08"/>
    <w:rsid w:val="008612F5"/>
    <w:rsid w:val="00861F9D"/>
    <w:rsid w:val="00862CED"/>
    <w:rsid w:val="0086307F"/>
    <w:rsid w:val="00863714"/>
    <w:rsid w:val="008639AD"/>
    <w:rsid w:val="00863C1F"/>
    <w:rsid w:val="00866BCC"/>
    <w:rsid w:val="00870856"/>
    <w:rsid w:val="0087157B"/>
    <w:rsid w:val="00872B3A"/>
    <w:rsid w:val="00873845"/>
    <w:rsid w:val="00876522"/>
    <w:rsid w:val="00876AE3"/>
    <w:rsid w:val="008775DB"/>
    <w:rsid w:val="0087764A"/>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6995"/>
    <w:rsid w:val="00887227"/>
    <w:rsid w:val="008900AA"/>
    <w:rsid w:val="00890427"/>
    <w:rsid w:val="008905B4"/>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A21"/>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2192"/>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598A"/>
    <w:rsid w:val="008D6375"/>
    <w:rsid w:val="008D7D36"/>
    <w:rsid w:val="008E02E0"/>
    <w:rsid w:val="008E0670"/>
    <w:rsid w:val="008E114F"/>
    <w:rsid w:val="008E1153"/>
    <w:rsid w:val="008E1D76"/>
    <w:rsid w:val="008E2594"/>
    <w:rsid w:val="008E2DD0"/>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55D1"/>
    <w:rsid w:val="008F6537"/>
    <w:rsid w:val="008F7FA3"/>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BAA"/>
    <w:rsid w:val="00927E94"/>
    <w:rsid w:val="00930743"/>
    <w:rsid w:val="00931282"/>
    <w:rsid w:val="00931457"/>
    <w:rsid w:val="009315B3"/>
    <w:rsid w:val="0093167B"/>
    <w:rsid w:val="0093175E"/>
    <w:rsid w:val="00932333"/>
    <w:rsid w:val="00932567"/>
    <w:rsid w:val="009326C6"/>
    <w:rsid w:val="009330B0"/>
    <w:rsid w:val="00933665"/>
    <w:rsid w:val="00933695"/>
    <w:rsid w:val="00933CF4"/>
    <w:rsid w:val="00933F52"/>
    <w:rsid w:val="00934513"/>
    <w:rsid w:val="0093661E"/>
    <w:rsid w:val="00936789"/>
    <w:rsid w:val="00936EF5"/>
    <w:rsid w:val="009372E1"/>
    <w:rsid w:val="00937FBA"/>
    <w:rsid w:val="009417AC"/>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2ADE"/>
    <w:rsid w:val="00953586"/>
    <w:rsid w:val="0095377C"/>
    <w:rsid w:val="00953A0D"/>
    <w:rsid w:val="00954532"/>
    <w:rsid w:val="009545F1"/>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3644"/>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6765"/>
    <w:rsid w:val="00987DF4"/>
    <w:rsid w:val="00987FDA"/>
    <w:rsid w:val="00990175"/>
    <w:rsid w:val="00990C1C"/>
    <w:rsid w:val="00991ED6"/>
    <w:rsid w:val="009920A0"/>
    <w:rsid w:val="00992E8A"/>
    <w:rsid w:val="00992E8D"/>
    <w:rsid w:val="009937FD"/>
    <w:rsid w:val="00994F4D"/>
    <w:rsid w:val="0099582B"/>
    <w:rsid w:val="00995C38"/>
    <w:rsid w:val="00995DAF"/>
    <w:rsid w:val="00995FC3"/>
    <w:rsid w:val="00996AA6"/>
    <w:rsid w:val="00997230"/>
    <w:rsid w:val="009A0274"/>
    <w:rsid w:val="009A035E"/>
    <w:rsid w:val="009A18AB"/>
    <w:rsid w:val="009A2D7C"/>
    <w:rsid w:val="009A30FE"/>
    <w:rsid w:val="009A4644"/>
    <w:rsid w:val="009A468E"/>
    <w:rsid w:val="009A48A4"/>
    <w:rsid w:val="009A4908"/>
    <w:rsid w:val="009A4A3E"/>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70"/>
    <w:rsid w:val="009C3AE8"/>
    <w:rsid w:val="009C4087"/>
    <w:rsid w:val="009C4959"/>
    <w:rsid w:val="009C4CFF"/>
    <w:rsid w:val="009C5961"/>
    <w:rsid w:val="009C76A3"/>
    <w:rsid w:val="009C79E5"/>
    <w:rsid w:val="009C7ACB"/>
    <w:rsid w:val="009C7C85"/>
    <w:rsid w:val="009D03F6"/>
    <w:rsid w:val="009D1578"/>
    <w:rsid w:val="009D6353"/>
    <w:rsid w:val="009D6CF0"/>
    <w:rsid w:val="009D6E22"/>
    <w:rsid w:val="009D75A9"/>
    <w:rsid w:val="009D7906"/>
    <w:rsid w:val="009E0A40"/>
    <w:rsid w:val="009E153F"/>
    <w:rsid w:val="009E19AE"/>
    <w:rsid w:val="009E1E60"/>
    <w:rsid w:val="009E1EB7"/>
    <w:rsid w:val="009E1F86"/>
    <w:rsid w:val="009E2D68"/>
    <w:rsid w:val="009E3112"/>
    <w:rsid w:val="009E34B7"/>
    <w:rsid w:val="009E434B"/>
    <w:rsid w:val="009E480B"/>
    <w:rsid w:val="009E4C2E"/>
    <w:rsid w:val="009E5BAE"/>
    <w:rsid w:val="009E5BF5"/>
    <w:rsid w:val="009E5D18"/>
    <w:rsid w:val="009E5F8E"/>
    <w:rsid w:val="009E648E"/>
    <w:rsid w:val="009E65CA"/>
    <w:rsid w:val="009E699D"/>
    <w:rsid w:val="009F1904"/>
    <w:rsid w:val="009F209E"/>
    <w:rsid w:val="009F2446"/>
    <w:rsid w:val="009F2450"/>
    <w:rsid w:val="009F2BF4"/>
    <w:rsid w:val="009F2C12"/>
    <w:rsid w:val="009F2F47"/>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1E64"/>
    <w:rsid w:val="00A035DE"/>
    <w:rsid w:val="00A035EA"/>
    <w:rsid w:val="00A04F59"/>
    <w:rsid w:val="00A05597"/>
    <w:rsid w:val="00A05B20"/>
    <w:rsid w:val="00A070DE"/>
    <w:rsid w:val="00A0718D"/>
    <w:rsid w:val="00A07468"/>
    <w:rsid w:val="00A0797A"/>
    <w:rsid w:val="00A07B6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87D"/>
    <w:rsid w:val="00A20573"/>
    <w:rsid w:val="00A205B6"/>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555"/>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99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0C15"/>
    <w:rsid w:val="00A6204A"/>
    <w:rsid w:val="00A62093"/>
    <w:rsid w:val="00A6310C"/>
    <w:rsid w:val="00A6316B"/>
    <w:rsid w:val="00A63679"/>
    <w:rsid w:val="00A63A8F"/>
    <w:rsid w:val="00A64389"/>
    <w:rsid w:val="00A64797"/>
    <w:rsid w:val="00A64817"/>
    <w:rsid w:val="00A662E7"/>
    <w:rsid w:val="00A67F2A"/>
    <w:rsid w:val="00A71CDE"/>
    <w:rsid w:val="00A7252E"/>
    <w:rsid w:val="00A72BBC"/>
    <w:rsid w:val="00A72E18"/>
    <w:rsid w:val="00A730F3"/>
    <w:rsid w:val="00A74BE6"/>
    <w:rsid w:val="00A7557C"/>
    <w:rsid w:val="00A758A4"/>
    <w:rsid w:val="00A75BA0"/>
    <w:rsid w:val="00A768A2"/>
    <w:rsid w:val="00A76A55"/>
    <w:rsid w:val="00A771E8"/>
    <w:rsid w:val="00A77380"/>
    <w:rsid w:val="00A773B4"/>
    <w:rsid w:val="00A80948"/>
    <w:rsid w:val="00A81811"/>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240B"/>
    <w:rsid w:val="00A93154"/>
    <w:rsid w:val="00A93214"/>
    <w:rsid w:val="00A93C27"/>
    <w:rsid w:val="00A93C2B"/>
    <w:rsid w:val="00A94D8C"/>
    <w:rsid w:val="00A95D27"/>
    <w:rsid w:val="00A96FC0"/>
    <w:rsid w:val="00A97BFA"/>
    <w:rsid w:val="00AA007C"/>
    <w:rsid w:val="00AA0B30"/>
    <w:rsid w:val="00AA0F27"/>
    <w:rsid w:val="00AA1053"/>
    <w:rsid w:val="00AA1A77"/>
    <w:rsid w:val="00AA25C9"/>
    <w:rsid w:val="00AA3676"/>
    <w:rsid w:val="00AA3726"/>
    <w:rsid w:val="00AA40AA"/>
    <w:rsid w:val="00AA4F09"/>
    <w:rsid w:val="00AA67F0"/>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316"/>
    <w:rsid w:val="00AB4B6A"/>
    <w:rsid w:val="00AB502F"/>
    <w:rsid w:val="00AB50C3"/>
    <w:rsid w:val="00AB57D9"/>
    <w:rsid w:val="00AB6F61"/>
    <w:rsid w:val="00AB71B1"/>
    <w:rsid w:val="00AB7601"/>
    <w:rsid w:val="00AB7957"/>
    <w:rsid w:val="00AB7A15"/>
    <w:rsid w:val="00AC0BD8"/>
    <w:rsid w:val="00AC1C40"/>
    <w:rsid w:val="00AC1E53"/>
    <w:rsid w:val="00AC2F56"/>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477"/>
    <w:rsid w:val="00AD3C49"/>
    <w:rsid w:val="00AD3D21"/>
    <w:rsid w:val="00AD68F8"/>
    <w:rsid w:val="00AD692B"/>
    <w:rsid w:val="00AE0B68"/>
    <w:rsid w:val="00AE0CA2"/>
    <w:rsid w:val="00AE10CD"/>
    <w:rsid w:val="00AE1210"/>
    <w:rsid w:val="00AE1499"/>
    <w:rsid w:val="00AE2D0A"/>
    <w:rsid w:val="00AE3725"/>
    <w:rsid w:val="00AE3AE0"/>
    <w:rsid w:val="00AE448F"/>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75D"/>
    <w:rsid w:val="00AF5D55"/>
    <w:rsid w:val="00AF605B"/>
    <w:rsid w:val="00AF741B"/>
    <w:rsid w:val="00AF7453"/>
    <w:rsid w:val="00AF7C3D"/>
    <w:rsid w:val="00AF7E72"/>
    <w:rsid w:val="00B00C97"/>
    <w:rsid w:val="00B0115C"/>
    <w:rsid w:val="00B01D0A"/>
    <w:rsid w:val="00B01F83"/>
    <w:rsid w:val="00B0338C"/>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0D"/>
    <w:rsid w:val="00B16D63"/>
    <w:rsid w:val="00B171E7"/>
    <w:rsid w:val="00B17629"/>
    <w:rsid w:val="00B21D6E"/>
    <w:rsid w:val="00B22C39"/>
    <w:rsid w:val="00B22DE0"/>
    <w:rsid w:val="00B23C2C"/>
    <w:rsid w:val="00B23D2D"/>
    <w:rsid w:val="00B24380"/>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097F"/>
    <w:rsid w:val="00B410B3"/>
    <w:rsid w:val="00B4190C"/>
    <w:rsid w:val="00B41956"/>
    <w:rsid w:val="00B42A22"/>
    <w:rsid w:val="00B43539"/>
    <w:rsid w:val="00B45535"/>
    <w:rsid w:val="00B4553C"/>
    <w:rsid w:val="00B4572C"/>
    <w:rsid w:val="00B459C8"/>
    <w:rsid w:val="00B45BAB"/>
    <w:rsid w:val="00B46975"/>
    <w:rsid w:val="00B472EC"/>
    <w:rsid w:val="00B52046"/>
    <w:rsid w:val="00B5259A"/>
    <w:rsid w:val="00B52CB1"/>
    <w:rsid w:val="00B53B6D"/>
    <w:rsid w:val="00B53C9A"/>
    <w:rsid w:val="00B53D31"/>
    <w:rsid w:val="00B54F0D"/>
    <w:rsid w:val="00B553DF"/>
    <w:rsid w:val="00B5563C"/>
    <w:rsid w:val="00B57D54"/>
    <w:rsid w:val="00B60946"/>
    <w:rsid w:val="00B609C3"/>
    <w:rsid w:val="00B609D4"/>
    <w:rsid w:val="00B60FB5"/>
    <w:rsid w:val="00B62014"/>
    <w:rsid w:val="00B629C9"/>
    <w:rsid w:val="00B63426"/>
    <w:rsid w:val="00B63656"/>
    <w:rsid w:val="00B63D2E"/>
    <w:rsid w:val="00B63F21"/>
    <w:rsid w:val="00B63FB6"/>
    <w:rsid w:val="00B64086"/>
    <w:rsid w:val="00B64519"/>
    <w:rsid w:val="00B64541"/>
    <w:rsid w:val="00B6456D"/>
    <w:rsid w:val="00B64BD0"/>
    <w:rsid w:val="00B64FCD"/>
    <w:rsid w:val="00B65C38"/>
    <w:rsid w:val="00B65CBD"/>
    <w:rsid w:val="00B66802"/>
    <w:rsid w:val="00B67453"/>
    <w:rsid w:val="00B675F7"/>
    <w:rsid w:val="00B677EA"/>
    <w:rsid w:val="00B67A78"/>
    <w:rsid w:val="00B7086A"/>
    <w:rsid w:val="00B70A5F"/>
    <w:rsid w:val="00B70C27"/>
    <w:rsid w:val="00B70E97"/>
    <w:rsid w:val="00B715DC"/>
    <w:rsid w:val="00B71ACD"/>
    <w:rsid w:val="00B722FE"/>
    <w:rsid w:val="00B729F1"/>
    <w:rsid w:val="00B7300C"/>
    <w:rsid w:val="00B73222"/>
    <w:rsid w:val="00B74D56"/>
    <w:rsid w:val="00B75121"/>
    <w:rsid w:val="00B75CCA"/>
    <w:rsid w:val="00B765CE"/>
    <w:rsid w:val="00B768A7"/>
    <w:rsid w:val="00B76970"/>
    <w:rsid w:val="00B76F65"/>
    <w:rsid w:val="00B7738B"/>
    <w:rsid w:val="00B77E9E"/>
    <w:rsid w:val="00B80406"/>
    <w:rsid w:val="00B80A5E"/>
    <w:rsid w:val="00B80F1F"/>
    <w:rsid w:val="00B813C8"/>
    <w:rsid w:val="00B8146F"/>
    <w:rsid w:val="00B8167D"/>
    <w:rsid w:val="00B822FE"/>
    <w:rsid w:val="00B82C49"/>
    <w:rsid w:val="00B82D90"/>
    <w:rsid w:val="00B82FB4"/>
    <w:rsid w:val="00B83B69"/>
    <w:rsid w:val="00B83DFC"/>
    <w:rsid w:val="00B86B7E"/>
    <w:rsid w:val="00B87DD5"/>
    <w:rsid w:val="00B90F96"/>
    <w:rsid w:val="00B91AC2"/>
    <w:rsid w:val="00B9219F"/>
    <w:rsid w:val="00B926CB"/>
    <w:rsid w:val="00B933B2"/>
    <w:rsid w:val="00B936CB"/>
    <w:rsid w:val="00B93CAF"/>
    <w:rsid w:val="00B941B6"/>
    <w:rsid w:val="00B94A06"/>
    <w:rsid w:val="00B94F32"/>
    <w:rsid w:val="00B952E7"/>
    <w:rsid w:val="00B95B2F"/>
    <w:rsid w:val="00B95E21"/>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0CE9"/>
    <w:rsid w:val="00BB17AD"/>
    <w:rsid w:val="00BB292D"/>
    <w:rsid w:val="00BB300F"/>
    <w:rsid w:val="00BB369B"/>
    <w:rsid w:val="00BB3919"/>
    <w:rsid w:val="00BB3A56"/>
    <w:rsid w:val="00BB3E2E"/>
    <w:rsid w:val="00BB49CB"/>
    <w:rsid w:val="00BB4CAE"/>
    <w:rsid w:val="00BB67F1"/>
    <w:rsid w:val="00BB689F"/>
    <w:rsid w:val="00BB79C2"/>
    <w:rsid w:val="00BB7F0F"/>
    <w:rsid w:val="00BC0EC7"/>
    <w:rsid w:val="00BC1722"/>
    <w:rsid w:val="00BC194A"/>
    <w:rsid w:val="00BC2214"/>
    <w:rsid w:val="00BC2825"/>
    <w:rsid w:val="00BC2E96"/>
    <w:rsid w:val="00BC365F"/>
    <w:rsid w:val="00BC3A31"/>
    <w:rsid w:val="00BC406F"/>
    <w:rsid w:val="00BC4C88"/>
    <w:rsid w:val="00BC4EFD"/>
    <w:rsid w:val="00BC59CA"/>
    <w:rsid w:val="00BC6687"/>
    <w:rsid w:val="00BC6970"/>
    <w:rsid w:val="00BC6BA8"/>
    <w:rsid w:val="00BC6BAC"/>
    <w:rsid w:val="00BC6D81"/>
    <w:rsid w:val="00BC6F87"/>
    <w:rsid w:val="00BC734E"/>
    <w:rsid w:val="00BC7713"/>
    <w:rsid w:val="00BC7C93"/>
    <w:rsid w:val="00BD0286"/>
    <w:rsid w:val="00BD0A29"/>
    <w:rsid w:val="00BD1B3F"/>
    <w:rsid w:val="00BD2674"/>
    <w:rsid w:val="00BD33A9"/>
    <w:rsid w:val="00BD33BE"/>
    <w:rsid w:val="00BD3792"/>
    <w:rsid w:val="00BD3C72"/>
    <w:rsid w:val="00BD4E12"/>
    <w:rsid w:val="00BD56F8"/>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D73"/>
    <w:rsid w:val="00BF1A87"/>
    <w:rsid w:val="00BF1D23"/>
    <w:rsid w:val="00BF1F82"/>
    <w:rsid w:val="00BF2520"/>
    <w:rsid w:val="00BF3470"/>
    <w:rsid w:val="00BF3B94"/>
    <w:rsid w:val="00BF3FF8"/>
    <w:rsid w:val="00BF4C53"/>
    <w:rsid w:val="00BF54DC"/>
    <w:rsid w:val="00BF5748"/>
    <w:rsid w:val="00BF6270"/>
    <w:rsid w:val="00BF67B7"/>
    <w:rsid w:val="00BF770B"/>
    <w:rsid w:val="00BF7802"/>
    <w:rsid w:val="00C01510"/>
    <w:rsid w:val="00C01CEB"/>
    <w:rsid w:val="00C01F6E"/>
    <w:rsid w:val="00C02C21"/>
    <w:rsid w:val="00C03249"/>
    <w:rsid w:val="00C04BAE"/>
    <w:rsid w:val="00C05896"/>
    <w:rsid w:val="00C0599A"/>
    <w:rsid w:val="00C06C42"/>
    <w:rsid w:val="00C06EB2"/>
    <w:rsid w:val="00C073DA"/>
    <w:rsid w:val="00C07C15"/>
    <w:rsid w:val="00C10B9B"/>
    <w:rsid w:val="00C10C30"/>
    <w:rsid w:val="00C1104C"/>
    <w:rsid w:val="00C11577"/>
    <w:rsid w:val="00C11DC5"/>
    <w:rsid w:val="00C11F13"/>
    <w:rsid w:val="00C11F39"/>
    <w:rsid w:val="00C11F55"/>
    <w:rsid w:val="00C12249"/>
    <w:rsid w:val="00C1250E"/>
    <w:rsid w:val="00C12A29"/>
    <w:rsid w:val="00C138E7"/>
    <w:rsid w:val="00C139A1"/>
    <w:rsid w:val="00C1448C"/>
    <w:rsid w:val="00C14D7A"/>
    <w:rsid w:val="00C16C4B"/>
    <w:rsid w:val="00C17059"/>
    <w:rsid w:val="00C17174"/>
    <w:rsid w:val="00C171C5"/>
    <w:rsid w:val="00C17B44"/>
    <w:rsid w:val="00C17B85"/>
    <w:rsid w:val="00C17F63"/>
    <w:rsid w:val="00C2041C"/>
    <w:rsid w:val="00C20869"/>
    <w:rsid w:val="00C20DC6"/>
    <w:rsid w:val="00C2113D"/>
    <w:rsid w:val="00C215D1"/>
    <w:rsid w:val="00C21AE1"/>
    <w:rsid w:val="00C223D1"/>
    <w:rsid w:val="00C227C6"/>
    <w:rsid w:val="00C230F6"/>
    <w:rsid w:val="00C23686"/>
    <w:rsid w:val="00C23F8A"/>
    <w:rsid w:val="00C24B05"/>
    <w:rsid w:val="00C25052"/>
    <w:rsid w:val="00C25D31"/>
    <w:rsid w:val="00C262C1"/>
    <w:rsid w:val="00C265D0"/>
    <w:rsid w:val="00C26FE5"/>
    <w:rsid w:val="00C3022B"/>
    <w:rsid w:val="00C30723"/>
    <w:rsid w:val="00C31756"/>
    <w:rsid w:val="00C31F7F"/>
    <w:rsid w:val="00C32186"/>
    <w:rsid w:val="00C335AE"/>
    <w:rsid w:val="00C3427B"/>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960"/>
    <w:rsid w:val="00C47CFC"/>
    <w:rsid w:val="00C50260"/>
    <w:rsid w:val="00C51395"/>
    <w:rsid w:val="00C51553"/>
    <w:rsid w:val="00C518A5"/>
    <w:rsid w:val="00C51A60"/>
    <w:rsid w:val="00C520E4"/>
    <w:rsid w:val="00C52334"/>
    <w:rsid w:val="00C52C65"/>
    <w:rsid w:val="00C53110"/>
    <w:rsid w:val="00C53B12"/>
    <w:rsid w:val="00C5406E"/>
    <w:rsid w:val="00C541B2"/>
    <w:rsid w:val="00C54928"/>
    <w:rsid w:val="00C54A44"/>
    <w:rsid w:val="00C54E2A"/>
    <w:rsid w:val="00C5661F"/>
    <w:rsid w:val="00C57085"/>
    <w:rsid w:val="00C575AF"/>
    <w:rsid w:val="00C576FC"/>
    <w:rsid w:val="00C60361"/>
    <w:rsid w:val="00C60738"/>
    <w:rsid w:val="00C608D7"/>
    <w:rsid w:val="00C60D9F"/>
    <w:rsid w:val="00C6171F"/>
    <w:rsid w:val="00C620BA"/>
    <w:rsid w:val="00C627C5"/>
    <w:rsid w:val="00C6395F"/>
    <w:rsid w:val="00C63C3D"/>
    <w:rsid w:val="00C644BF"/>
    <w:rsid w:val="00C65163"/>
    <w:rsid w:val="00C659C4"/>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778AB"/>
    <w:rsid w:val="00C816DF"/>
    <w:rsid w:val="00C81DB2"/>
    <w:rsid w:val="00C820EE"/>
    <w:rsid w:val="00C82CD4"/>
    <w:rsid w:val="00C84713"/>
    <w:rsid w:val="00C84758"/>
    <w:rsid w:val="00C853AB"/>
    <w:rsid w:val="00C85F72"/>
    <w:rsid w:val="00C86896"/>
    <w:rsid w:val="00C876E1"/>
    <w:rsid w:val="00C90162"/>
    <w:rsid w:val="00C908A9"/>
    <w:rsid w:val="00C908BE"/>
    <w:rsid w:val="00C90B93"/>
    <w:rsid w:val="00C91507"/>
    <w:rsid w:val="00C940C2"/>
    <w:rsid w:val="00C952E9"/>
    <w:rsid w:val="00C95AC8"/>
    <w:rsid w:val="00C95E95"/>
    <w:rsid w:val="00C9639C"/>
    <w:rsid w:val="00C9760B"/>
    <w:rsid w:val="00C976E0"/>
    <w:rsid w:val="00C9796B"/>
    <w:rsid w:val="00C97C19"/>
    <w:rsid w:val="00CA0174"/>
    <w:rsid w:val="00CA018B"/>
    <w:rsid w:val="00CA05EE"/>
    <w:rsid w:val="00CA0C53"/>
    <w:rsid w:val="00CA1AE4"/>
    <w:rsid w:val="00CA1BF5"/>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28B"/>
    <w:rsid w:val="00CB3318"/>
    <w:rsid w:val="00CB3628"/>
    <w:rsid w:val="00CB407C"/>
    <w:rsid w:val="00CB46B4"/>
    <w:rsid w:val="00CB4940"/>
    <w:rsid w:val="00CB5D5B"/>
    <w:rsid w:val="00CB6E94"/>
    <w:rsid w:val="00CB7060"/>
    <w:rsid w:val="00CB763C"/>
    <w:rsid w:val="00CB77F2"/>
    <w:rsid w:val="00CB7DD6"/>
    <w:rsid w:val="00CC0438"/>
    <w:rsid w:val="00CC0563"/>
    <w:rsid w:val="00CC140D"/>
    <w:rsid w:val="00CC1E56"/>
    <w:rsid w:val="00CC2270"/>
    <w:rsid w:val="00CC3277"/>
    <w:rsid w:val="00CC385B"/>
    <w:rsid w:val="00CC4207"/>
    <w:rsid w:val="00CC5222"/>
    <w:rsid w:val="00CC5451"/>
    <w:rsid w:val="00CC5775"/>
    <w:rsid w:val="00CC62CD"/>
    <w:rsid w:val="00CC6301"/>
    <w:rsid w:val="00CC6C6A"/>
    <w:rsid w:val="00CC7881"/>
    <w:rsid w:val="00CC7971"/>
    <w:rsid w:val="00CD0422"/>
    <w:rsid w:val="00CD083E"/>
    <w:rsid w:val="00CD0982"/>
    <w:rsid w:val="00CD124B"/>
    <w:rsid w:val="00CD14D2"/>
    <w:rsid w:val="00CD19CF"/>
    <w:rsid w:val="00CD2987"/>
    <w:rsid w:val="00CD2A22"/>
    <w:rsid w:val="00CD2A3D"/>
    <w:rsid w:val="00CD2EE0"/>
    <w:rsid w:val="00CD2F57"/>
    <w:rsid w:val="00CD3DD5"/>
    <w:rsid w:val="00CD400D"/>
    <w:rsid w:val="00CD40C7"/>
    <w:rsid w:val="00CD5885"/>
    <w:rsid w:val="00CD5D11"/>
    <w:rsid w:val="00CD63D3"/>
    <w:rsid w:val="00CD6924"/>
    <w:rsid w:val="00CD7055"/>
    <w:rsid w:val="00CD7340"/>
    <w:rsid w:val="00CD73E8"/>
    <w:rsid w:val="00CE06B1"/>
    <w:rsid w:val="00CE0944"/>
    <w:rsid w:val="00CE0A76"/>
    <w:rsid w:val="00CE3120"/>
    <w:rsid w:val="00CE3C60"/>
    <w:rsid w:val="00CE42DB"/>
    <w:rsid w:val="00CE4C6F"/>
    <w:rsid w:val="00CE52CC"/>
    <w:rsid w:val="00CE53F4"/>
    <w:rsid w:val="00CE5510"/>
    <w:rsid w:val="00CE563A"/>
    <w:rsid w:val="00CE5B5C"/>
    <w:rsid w:val="00CE5B69"/>
    <w:rsid w:val="00CE6071"/>
    <w:rsid w:val="00CE66E3"/>
    <w:rsid w:val="00CE6E72"/>
    <w:rsid w:val="00CE793F"/>
    <w:rsid w:val="00CE7E6F"/>
    <w:rsid w:val="00CF15DD"/>
    <w:rsid w:val="00CF223D"/>
    <w:rsid w:val="00CF2703"/>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045"/>
    <w:rsid w:val="00D0354D"/>
    <w:rsid w:val="00D0497C"/>
    <w:rsid w:val="00D04F45"/>
    <w:rsid w:val="00D04FAA"/>
    <w:rsid w:val="00D0548B"/>
    <w:rsid w:val="00D05AEE"/>
    <w:rsid w:val="00D05D6E"/>
    <w:rsid w:val="00D0648D"/>
    <w:rsid w:val="00D06EB9"/>
    <w:rsid w:val="00D1153F"/>
    <w:rsid w:val="00D11995"/>
    <w:rsid w:val="00D11CFD"/>
    <w:rsid w:val="00D12432"/>
    <w:rsid w:val="00D12AD9"/>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1356"/>
    <w:rsid w:val="00D216EE"/>
    <w:rsid w:val="00D220B5"/>
    <w:rsid w:val="00D232D8"/>
    <w:rsid w:val="00D233CD"/>
    <w:rsid w:val="00D23500"/>
    <w:rsid w:val="00D23AD3"/>
    <w:rsid w:val="00D23FC0"/>
    <w:rsid w:val="00D23FCE"/>
    <w:rsid w:val="00D24364"/>
    <w:rsid w:val="00D2469E"/>
    <w:rsid w:val="00D2649E"/>
    <w:rsid w:val="00D26742"/>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9BC"/>
    <w:rsid w:val="00D37093"/>
    <w:rsid w:val="00D40425"/>
    <w:rsid w:val="00D40BC3"/>
    <w:rsid w:val="00D40D6B"/>
    <w:rsid w:val="00D4129E"/>
    <w:rsid w:val="00D418A3"/>
    <w:rsid w:val="00D41AB6"/>
    <w:rsid w:val="00D42946"/>
    <w:rsid w:val="00D43984"/>
    <w:rsid w:val="00D4459D"/>
    <w:rsid w:val="00D459AF"/>
    <w:rsid w:val="00D45A14"/>
    <w:rsid w:val="00D46BE9"/>
    <w:rsid w:val="00D46FA2"/>
    <w:rsid w:val="00D47451"/>
    <w:rsid w:val="00D47564"/>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18E4"/>
    <w:rsid w:val="00D62320"/>
    <w:rsid w:val="00D6248B"/>
    <w:rsid w:val="00D62B5D"/>
    <w:rsid w:val="00D63379"/>
    <w:rsid w:val="00D635B1"/>
    <w:rsid w:val="00D639C5"/>
    <w:rsid w:val="00D63DB5"/>
    <w:rsid w:val="00D63E14"/>
    <w:rsid w:val="00D64155"/>
    <w:rsid w:val="00D649A1"/>
    <w:rsid w:val="00D64BEA"/>
    <w:rsid w:val="00D65C02"/>
    <w:rsid w:val="00D65CC7"/>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67AE"/>
    <w:rsid w:val="00D77AD8"/>
    <w:rsid w:val="00D80605"/>
    <w:rsid w:val="00D80973"/>
    <w:rsid w:val="00D80BD8"/>
    <w:rsid w:val="00D82A2B"/>
    <w:rsid w:val="00D8301D"/>
    <w:rsid w:val="00D8473E"/>
    <w:rsid w:val="00D86255"/>
    <w:rsid w:val="00D863D1"/>
    <w:rsid w:val="00D872B7"/>
    <w:rsid w:val="00D8798B"/>
    <w:rsid w:val="00D87DCF"/>
    <w:rsid w:val="00D87F5B"/>
    <w:rsid w:val="00D90125"/>
    <w:rsid w:val="00D9057B"/>
    <w:rsid w:val="00D9096B"/>
    <w:rsid w:val="00D90ED1"/>
    <w:rsid w:val="00D91C34"/>
    <w:rsid w:val="00D925C5"/>
    <w:rsid w:val="00D9279F"/>
    <w:rsid w:val="00D948F3"/>
    <w:rsid w:val="00D94E4C"/>
    <w:rsid w:val="00D95709"/>
    <w:rsid w:val="00D958D7"/>
    <w:rsid w:val="00D95D24"/>
    <w:rsid w:val="00D96B2B"/>
    <w:rsid w:val="00D96D46"/>
    <w:rsid w:val="00D97B72"/>
    <w:rsid w:val="00D97CF6"/>
    <w:rsid w:val="00DA0BBE"/>
    <w:rsid w:val="00DA11AE"/>
    <w:rsid w:val="00DA16E5"/>
    <w:rsid w:val="00DA1BE9"/>
    <w:rsid w:val="00DA283D"/>
    <w:rsid w:val="00DA3E12"/>
    <w:rsid w:val="00DA4141"/>
    <w:rsid w:val="00DA417B"/>
    <w:rsid w:val="00DA45BD"/>
    <w:rsid w:val="00DA4E0B"/>
    <w:rsid w:val="00DA5000"/>
    <w:rsid w:val="00DA52EB"/>
    <w:rsid w:val="00DA5B19"/>
    <w:rsid w:val="00DA5CD6"/>
    <w:rsid w:val="00DA6868"/>
    <w:rsid w:val="00DA7044"/>
    <w:rsid w:val="00DB0312"/>
    <w:rsid w:val="00DB115A"/>
    <w:rsid w:val="00DB31DB"/>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DA2"/>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1BFE"/>
    <w:rsid w:val="00DE367F"/>
    <w:rsid w:val="00DE3E2A"/>
    <w:rsid w:val="00DE4973"/>
    <w:rsid w:val="00DE5469"/>
    <w:rsid w:val="00DE5D83"/>
    <w:rsid w:val="00DE5E85"/>
    <w:rsid w:val="00DE704F"/>
    <w:rsid w:val="00DE7DBA"/>
    <w:rsid w:val="00DE7FB5"/>
    <w:rsid w:val="00DF0953"/>
    <w:rsid w:val="00DF354D"/>
    <w:rsid w:val="00DF3A84"/>
    <w:rsid w:val="00DF3B05"/>
    <w:rsid w:val="00DF44BC"/>
    <w:rsid w:val="00DF46D2"/>
    <w:rsid w:val="00DF5209"/>
    <w:rsid w:val="00DF5300"/>
    <w:rsid w:val="00DF5D59"/>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433"/>
    <w:rsid w:val="00E06510"/>
    <w:rsid w:val="00E072B0"/>
    <w:rsid w:val="00E074F2"/>
    <w:rsid w:val="00E07C90"/>
    <w:rsid w:val="00E111E7"/>
    <w:rsid w:val="00E111F8"/>
    <w:rsid w:val="00E12041"/>
    <w:rsid w:val="00E12618"/>
    <w:rsid w:val="00E129DF"/>
    <w:rsid w:val="00E12B5D"/>
    <w:rsid w:val="00E12C2E"/>
    <w:rsid w:val="00E13435"/>
    <w:rsid w:val="00E13F23"/>
    <w:rsid w:val="00E143D4"/>
    <w:rsid w:val="00E14773"/>
    <w:rsid w:val="00E14CC2"/>
    <w:rsid w:val="00E1521D"/>
    <w:rsid w:val="00E154D2"/>
    <w:rsid w:val="00E155E5"/>
    <w:rsid w:val="00E16C08"/>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08"/>
    <w:rsid w:val="00E31068"/>
    <w:rsid w:val="00E3123A"/>
    <w:rsid w:val="00E312E5"/>
    <w:rsid w:val="00E31699"/>
    <w:rsid w:val="00E31B79"/>
    <w:rsid w:val="00E32715"/>
    <w:rsid w:val="00E32D36"/>
    <w:rsid w:val="00E334B8"/>
    <w:rsid w:val="00E33C3F"/>
    <w:rsid w:val="00E3511E"/>
    <w:rsid w:val="00E36F8A"/>
    <w:rsid w:val="00E37394"/>
    <w:rsid w:val="00E37A6A"/>
    <w:rsid w:val="00E37CC3"/>
    <w:rsid w:val="00E40479"/>
    <w:rsid w:val="00E40FB5"/>
    <w:rsid w:val="00E41199"/>
    <w:rsid w:val="00E41884"/>
    <w:rsid w:val="00E4192C"/>
    <w:rsid w:val="00E41DF6"/>
    <w:rsid w:val="00E420CB"/>
    <w:rsid w:val="00E42BB9"/>
    <w:rsid w:val="00E42FB9"/>
    <w:rsid w:val="00E451B6"/>
    <w:rsid w:val="00E454AD"/>
    <w:rsid w:val="00E45F16"/>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CB7"/>
    <w:rsid w:val="00E55DC8"/>
    <w:rsid w:val="00E56479"/>
    <w:rsid w:val="00E567C7"/>
    <w:rsid w:val="00E56821"/>
    <w:rsid w:val="00E569DE"/>
    <w:rsid w:val="00E56F73"/>
    <w:rsid w:val="00E603AF"/>
    <w:rsid w:val="00E604FA"/>
    <w:rsid w:val="00E60FAB"/>
    <w:rsid w:val="00E6133F"/>
    <w:rsid w:val="00E615BD"/>
    <w:rsid w:val="00E61F48"/>
    <w:rsid w:val="00E62A1B"/>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132D"/>
    <w:rsid w:val="00E71E95"/>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0FEF"/>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9A5"/>
    <w:rsid w:val="00EA1A5A"/>
    <w:rsid w:val="00EA258D"/>
    <w:rsid w:val="00EA2FC0"/>
    <w:rsid w:val="00EA3F5C"/>
    <w:rsid w:val="00EA4397"/>
    <w:rsid w:val="00EA4816"/>
    <w:rsid w:val="00EA499D"/>
    <w:rsid w:val="00EA4FFF"/>
    <w:rsid w:val="00EA54AD"/>
    <w:rsid w:val="00EA58A0"/>
    <w:rsid w:val="00EA5AE3"/>
    <w:rsid w:val="00EA5C8C"/>
    <w:rsid w:val="00EA5ECB"/>
    <w:rsid w:val="00EA62F8"/>
    <w:rsid w:val="00EA6B56"/>
    <w:rsid w:val="00EA6D49"/>
    <w:rsid w:val="00EA7D0C"/>
    <w:rsid w:val="00EA7F0B"/>
    <w:rsid w:val="00EB00B5"/>
    <w:rsid w:val="00EB0CCF"/>
    <w:rsid w:val="00EB114C"/>
    <w:rsid w:val="00EB18C0"/>
    <w:rsid w:val="00EB20F4"/>
    <w:rsid w:val="00EB2490"/>
    <w:rsid w:val="00EB3C4F"/>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942"/>
    <w:rsid w:val="00ED1A7F"/>
    <w:rsid w:val="00ED22C5"/>
    <w:rsid w:val="00ED3503"/>
    <w:rsid w:val="00ED4DFC"/>
    <w:rsid w:val="00ED4E42"/>
    <w:rsid w:val="00ED5E54"/>
    <w:rsid w:val="00ED6AE3"/>
    <w:rsid w:val="00ED7786"/>
    <w:rsid w:val="00ED7EA9"/>
    <w:rsid w:val="00ED7EC6"/>
    <w:rsid w:val="00EE00E5"/>
    <w:rsid w:val="00EE0B31"/>
    <w:rsid w:val="00EE1E9C"/>
    <w:rsid w:val="00EE200B"/>
    <w:rsid w:val="00EE2083"/>
    <w:rsid w:val="00EE20A8"/>
    <w:rsid w:val="00EE2140"/>
    <w:rsid w:val="00EE23BC"/>
    <w:rsid w:val="00EE25D9"/>
    <w:rsid w:val="00EE2AFA"/>
    <w:rsid w:val="00EE433B"/>
    <w:rsid w:val="00EE46D0"/>
    <w:rsid w:val="00EE476D"/>
    <w:rsid w:val="00EE49A6"/>
    <w:rsid w:val="00EE4C73"/>
    <w:rsid w:val="00EE5ACC"/>
    <w:rsid w:val="00EE5C23"/>
    <w:rsid w:val="00EE67FE"/>
    <w:rsid w:val="00EE6BDD"/>
    <w:rsid w:val="00EE703E"/>
    <w:rsid w:val="00EE76F0"/>
    <w:rsid w:val="00EE7B1C"/>
    <w:rsid w:val="00EF02BD"/>
    <w:rsid w:val="00EF17B9"/>
    <w:rsid w:val="00EF1EB9"/>
    <w:rsid w:val="00EF274D"/>
    <w:rsid w:val="00EF2A0D"/>
    <w:rsid w:val="00EF3436"/>
    <w:rsid w:val="00EF34F6"/>
    <w:rsid w:val="00EF355D"/>
    <w:rsid w:val="00EF3725"/>
    <w:rsid w:val="00EF37B5"/>
    <w:rsid w:val="00EF388A"/>
    <w:rsid w:val="00EF3B9C"/>
    <w:rsid w:val="00EF3D14"/>
    <w:rsid w:val="00EF3EEE"/>
    <w:rsid w:val="00EF3F88"/>
    <w:rsid w:val="00EF74BA"/>
    <w:rsid w:val="00EF75A6"/>
    <w:rsid w:val="00F0045E"/>
    <w:rsid w:val="00F006D2"/>
    <w:rsid w:val="00F00724"/>
    <w:rsid w:val="00F00774"/>
    <w:rsid w:val="00F0081B"/>
    <w:rsid w:val="00F01968"/>
    <w:rsid w:val="00F01F95"/>
    <w:rsid w:val="00F0256E"/>
    <w:rsid w:val="00F03681"/>
    <w:rsid w:val="00F03E2F"/>
    <w:rsid w:val="00F04555"/>
    <w:rsid w:val="00F04D9B"/>
    <w:rsid w:val="00F05533"/>
    <w:rsid w:val="00F0588E"/>
    <w:rsid w:val="00F05AB5"/>
    <w:rsid w:val="00F05BC9"/>
    <w:rsid w:val="00F0608B"/>
    <w:rsid w:val="00F0659C"/>
    <w:rsid w:val="00F06776"/>
    <w:rsid w:val="00F06CDD"/>
    <w:rsid w:val="00F06D5D"/>
    <w:rsid w:val="00F10A31"/>
    <w:rsid w:val="00F11AA5"/>
    <w:rsid w:val="00F11E55"/>
    <w:rsid w:val="00F1210C"/>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1448"/>
    <w:rsid w:val="00F2210C"/>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285C"/>
    <w:rsid w:val="00F43206"/>
    <w:rsid w:val="00F435B6"/>
    <w:rsid w:val="00F43849"/>
    <w:rsid w:val="00F4392C"/>
    <w:rsid w:val="00F448F9"/>
    <w:rsid w:val="00F44EC7"/>
    <w:rsid w:val="00F452E7"/>
    <w:rsid w:val="00F4670C"/>
    <w:rsid w:val="00F467C0"/>
    <w:rsid w:val="00F47C6B"/>
    <w:rsid w:val="00F5002C"/>
    <w:rsid w:val="00F503D2"/>
    <w:rsid w:val="00F505AC"/>
    <w:rsid w:val="00F50603"/>
    <w:rsid w:val="00F50C03"/>
    <w:rsid w:val="00F50F47"/>
    <w:rsid w:val="00F51899"/>
    <w:rsid w:val="00F51E43"/>
    <w:rsid w:val="00F5253A"/>
    <w:rsid w:val="00F5325B"/>
    <w:rsid w:val="00F53AF0"/>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4675"/>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77BCA"/>
    <w:rsid w:val="00F805CA"/>
    <w:rsid w:val="00F807A4"/>
    <w:rsid w:val="00F809ED"/>
    <w:rsid w:val="00F80DD8"/>
    <w:rsid w:val="00F81914"/>
    <w:rsid w:val="00F81B7D"/>
    <w:rsid w:val="00F824D5"/>
    <w:rsid w:val="00F82628"/>
    <w:rsid w:val="00F82BC6"/>
    <w:rsid w:val="00F82D8E"/>
    <w:rsid w:val="00F82E86"/>
    <w:rsid w:val="00F8321D"/>
    <w:rsid w:val="00F83461"/>
    <w:rsid w:val="00F83883"/>
    <w:rsid w:val="00F8517B"/>
    <w:rsid w:val="00F853BE"/>
    <w:rsid w:val="00F87B71"/>
    <w:rsid w:val="00F87EB0"/>
    <w:rsid w:val="00F9052C"/>
    <w:rsid w:val="00F9135D"/>
    <w:rsid w:val="00F91B71"/>
    <w:rsid w:val="00F91BA8"/>
    <w:rsid w:val="00F9260F"/>
    <w:rsid w:val="00F92769"/>
    <w:rsid w:val="00F9308E"/>
    <w:rsid w:val="00F95E64"/>
    <w:rsid w:val="00F960B8"/>
    <w:rsid w:val="00F9649D"/>
    <w:rsid w:val="00F967C4"/>
    <w:rsid w:val="00F96A46"/>
    <w:rsid w:val="00F96BB8"/>
    <w:rsid w:val="00F97647"/>
    <w:rsid w:val="00F97A19"/>
    <w:rsid w:val="00FA068B"/>
    <w:rsid w:val="00FA1B1B"/>
    <w:rsid w:val="00FA2534"/>
    <w:rsid w:val="00FA2BC2"/>
    <w:rsid w:val="00FA37EA"/>
    <w:rsid w:val="00FA381E"/>
    <w:rsid w:val="00FA3DE3"/>
    <w:rsid w:val="00FA52C8"/>
    <w:rsid w:val="00FA54B2"/>
    <w:rsid w:val="00FA5812"/>
    <w:rsid w:val="00FA59CD"/>
    <w:rsid w:val="00FA7990"/>
    <w:rsid w:val="00FA7A7E"/>
    <w:rsid w:val="00FB016A"/>
    <w:rsid w:val="00FB047E"/>
    <w:rsid w:val="00FB07FC"/>
    <w:rsid w:val="00FB1180"/>
    <w:rsid w:val="00FB15B5"/>
    <w:rsid w:val="00FB174F"/>
    <w:rsid w:val="00FB1FEB"/>
    <w:rsid w:val="00FB22AB"/>
    <w:rsid w:val="00FB3EB1"/>
    <w:rsid w:val="00FB4250"/>
    <w:rsid w:val="00FB5638"/>
    <w:rsid w:val="00FB59AB"/>
    <w:rsid w:val="00FB5A8D"/>
    <w:rsid w:val="00FB60C6"/>
    <w:rsid w:val="00FB6627"/>
    <w:rsid w:val="00FB6721"/>
    <w:rsid w:val="00FB7318"/>
    <w:rsid w:val="00FB77DE"/>
    <w:rsid w:val="00FC0251"/>
    <w:rsid w:val="00FC1102"/>
    <w:rsid w:val="00FC16AD"/>
    <w:rsid w:val="00FC1F94"/>
    <w:rsid w:val="00FC2E23"/>
    <w:rsid w:val="00FC3241"/>
    <w:rsid w:val="00FC3935"/>
    <w:rsid w:val="00FC3BB3"/>
    <w:rsid w:val="00FC3ED9"/>
    <w:rsid w:val="00FC54D5"/>
    <w:rsid w:val="00FC664D"/>
    <w:rsid w:val="00FC737A"/>
    <w:rsid w:val="00FC7844"/>
    <w:rsid w:val="00FC7DBB"/>
    <w:rsid w:val="00FD0A8B"/>
    <w:rsid w:val="00FD1512"/>
    <w:rsid w:val="00FD1AB4"/>
    <w:rsid w:val="00FD1DDF"/>
    <w:rsid w:val="00FD28E8"/>
    <w:rsid w:val="00FD3330"/>
    <w:rsid w:val="00FD3355"/>
    <w:rsid w:val="00FD3CF7"/>
    <w:rsid w:val="00FD472A"/>
    <w:rsid w:val="00FD492D"/>
    <w:rsid w:val="00FD4FCC"/>
    <w:rsid w:val="00FD522F"/>
    <w:rsid w:val="00FD5A00"/>
    <w:rsid w:val="00FD5F89"/>
    <w:rsid w:val="00FD6570"/>
    <w:rsid w:val="00FD69ED"/>
    <w:rsid w:val="00FD6EA4"/>
    <w:rsid w:val="00FD6FCC"/>
    <w:rsid w:val="00FD79A7"/>
    <w:rsid w:val="00FD7DB9"/>
    <w:rsid w:val="00FE0841"/>
    <w:rsid w:val="00FE08FD"/>
    <w:rsid w:val="00FE12A5"/>
    <w:rsid w:val="00FE1B58"/>
    <w:rsid w:val="00FE1DFA"/>
    <w:rsid w:val="00FE1EDA"/>
    <w:rsid w:val="00FE1F3B"/>
    <w:rsid w:val="00FE20F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75"/>
    <w:rsid w:val="00FF33BD"/>
    <w:rsid w:val="00FF3C13"/>
    <w:rsid w:val="00FF3CEA"/>
    <w:rsid w:val="00FF3F18"/>
    <w:rsid w:val="00FF4169"/>
    <w:rsid w:val="00FF4B56"/>
    <w:rsid w:val="00FF4FD5"/>
    <w:rsid w:val="00FF582B"/>
    <w:rsid w:val="00FF6702"/>
    <w:rsid w:val="00FF7188"/>
    <w:rsid w:val="00FF72DC"/>
    <w:rsid w:val="00FF749F"/>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character" w:customStyle="1" w:styleId="CommentTextChar">
    <w:name w:val="Comment Text Char"/>
    <w:basedOn w:val="DefaultParagraphFont"/>
    <w:link w:val="CommentText"/>
    <w:rsid w:val="00377360"/>
  </w:style>
  <w:style w:type="paragraph" w:styleId="Revision">
    <w:name w:val="Revision"/>
    <w:hidden/>
    <w:uiPriority w:val="99"/>
    <w:semiHidden/>
    <w:rsid w:val="00DA7044"/>
  </w:style>
  <w:style w:type="paragraph" w:customStyle="1" w:styleId="3Bodytext">
    <w:name w:val="3. Body text"/>
    <w:basedOn w:val="ListParagraph"/>
    <w:link w:val="3BodytextChar"/>
    <w:qFormat/>
    <w:rsid w:val="00A205B6"/>
    <w:pPr>
      <w:spacing w:after="120"/>
      <w:ind w:hanging="720"/>
      <w:contextualSpacing w:val="0"/>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A205B6"/>
    <w:rPr>
      <w:rFonts w:asciiTheme="minorHAnsi" w:eastAsiaTheme="minorHAnsi" w:hAnsiTheme="minorHAnsi" w:cstheme="minorBidi"/>
      <w:sz w:val="24"/>
      <w:szCs w:val="22"/>
    </w:rPr>
  </w:style>
  <w:style w:type="paragraph" w:customStyle="1" w:styleId="2-SectionHeading">
    <w:name w:val="2-Section Heading"/>
    <w:qFormat/>
    <w:rsid w:val="00A205B6"/>
    <w:pPr>
      <w:keepNext/>
      <w:spacing w:before="240" w:after="120"/>
      <w:ind w:left="720" w:hanging="720"/>
      <w:outlineLvl w:val="0"/>
    </w:pPr>
    <w:rPr>
      <w:rFonts w:asciiTheme="minorHAnsi" w:hAnsiTheme="minorHAnsi" w:cs="Arial"/>
      <w:b/>
      <w:snapToGrid w:val="0"/>
      <w:sz w:val="32"/>
      <w:szCs w:val="32"/>
    </w:rPr>
  </w:style>
  <w:style w:type="paragraph" w:customStyle="1" w:styleId="3-BodyText">
    <w:name w:val="3-Body Text"/>
    <w:basedOn w:val="ListParagraph"/>
    <w:link w:val="3-BodyTextChar"/>
    <w:qFormat/>
    <w:rsid w:val="00C12A29"/>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C12A29"/>
    <w:rPr>
      <w:rFonts w:asciiTheme="minorHAnsi" w:hAnsiTheme="minorHAnsi" w:cs="Arial"/>
      <w:snapToGrid w:val="0"/>
      <w:sz w:val="24"/>
      <w:szCs w:val="24"/>
    </w:rPr>
  </w:style>
  <w:style w:type="paragraph" w:customStyle="1" w:styleId="4Bodytextnumbered">
    <w:name w:val="4. Body text numbered"/>
    <w:basedOn w:val="ListParagraph"/>
    <w:qFormat/>
    <w:rsid w:val="00952ADE"/>
    <w:pPr>
      <w:spacing w:after="120"/>
      <w:ind w:hanging="720"/>
      <w:contextualSpacing w:val="0"/>
      <w:jc w:val="both"/>
    </w:pPr>
    <w:rPr>
      <w:rFonts w:asciiTheme="minorHAnsi" w:eastAsiaTheme="minorHAnsi" w:hAnsiTheme="minorHAnsi" w:cstheme="minorBidi"/>
      <w:szCs w:val="22"/>
      <w:lang w:eastAsia="en-US"/>
    </w:rPr>
  </w:style>
  <w:style w:type="paragraph" w:styleId="NoSpacing">
    <w:name w:val="No Spacing"/>
    <w:basedOn w:val="Normal"/>
    <w:link w:val="NoSpacingChar"/>
    <w:uiPriority w:val="1"/>
    <w:qFormat/>
    <w:rsid w:val="00EE2AFA"/>
    <w:pPr>
      <w:jc w:val="both"/>
    </w:pPr>
    <w:rPr>
      <w:rFonts w:asciiTheme="minorHAnsi" w:hAnsiTheme="minorHAnsi" w:cstheme="minorHAnsi"/>
      <w:sz w:val="24"/>
      <w:szCs w:val="24"/>
      <w:lang w:eastAsia="en-US"/>
    </w:rPr>
  </w:style>
  <w:style w:type="character" w:customStyle="1" w:styleId="NoSpacingChar">
    <w:name w:val="No Spacing Char"/>
    <w:basedOn w:val="DefaultParagraphFont"/>
    <w:link w:val="NoSpacing"/>
    <w:uiPriority w:val="1"/>
    <w:rsid w:val="00EE2AFA"/>
    <w:rPr>
      <w:rFonts w:asciiTheme="minorHAnsi" w:hAnsiTheme="minorHAnsi" w:cstheme="minorHAnsi"/>
      <w:sz w:val="24"/>
      <w:szCs w:val="24"/>
      <w:lang w:eastAsia="en-US"/>
    </w:rPr>
  </w:style>
  <w:style w:type="paragraph" w:customStyle="1" w:styleId="2Sections">
    <w:name w:val="2. Sections"/>
    <w:qFormat/>
    <w:rsid w:val="000B2350"/>
    <w:pPr>
      <w:spacing w:before="240" w:after="120"/>
      <w:ind w:left="720" w:hanging="720"/>
      <w:outlineLvl w:val="0"/>
    </w:pPr>
    <w:rPr>
      <w:rFonts w:asciiTheme="minorHAnsi" w:hAnsiTheme="minorHAnsi" w:cs="Arial"/>
      <w:b/>
      <w:snapToGrid w:val="0"/>
      <w:sz w:val="32"/>
      <w:szCs w:val="32"/>
      <w:lang w:eastAsia="en-US"/>
    </w:rPr>
  </w:style>
  <w:style w:type="paragraph" w:customStyle="1" w:styleId="4Bodytext">
    <w:name w:val="4. Body text"/>
    <w:basedOn w:val="4Bodytextnumbered"/>
    <w:link w:val="4BodytextChar"/>
    <w:qFormat/>
    <w:rsid w:val="000B2350"/>
  </w:style>
  <w:style w:type="character" w:customStyle="1" w:styleId="4BodytextChar">
    <w:name w:val="4. Body text Char"/>
    <w:basedOn w:val="DefaultParagraphFont"/>
    <w:link w:val="4Bodytext"/>
    <w:rsid w:val="000B2350"/>
    <w:rPr>
      <w:rFonts w:asciiTheme="minorHAnsi" w:eastAsiaTheme="minorHAnsi" w:hAnsiTheme="minorHAnsi" w:cstheme="minorBidi"/>
      <w:sz w:val="24"/>
      <w:szCs w:val="22"/>
      <w:lang w:eastAsia="en-US"/>
    </w:rPr>
  </w:style>
  <w:style w:type="paragraph" w:customStyle="1" w:styleId="PBACHeading1">
    <w:name w:val="PBAC Heading 1"/>
    <w:qFormat/>
    <w:rsid w:val="0060615A"/>
    <w:pPr>
      <w:ind w:left="720" w:hanging="72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38482908">
      <w:bodyDiv w:val="1"/>
      <w:marLeft w:val="0"/>
      <w:marRight w:val="0"/>
      <w:marTop w:val="0"/>
      <w:marBottom w:val="0"/>
      <w:divBdr>
        <w:top w:val="none" w:sz="0" w:space="0" w:color="auto"/>
        <w:left w:val="none" w:sz="0" w:space="0" w:color="auto"/>
        <w:bottom w:val="none" w:sz="0" w:space="0" w:color="auto"/>
        <w:right w:val="none" w:sz="0" w:space="0" w:color="auto"/>
      </w:divBdr>
    </w:div>
    <w:div w:id="42606998">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035097">
      <w:bodyDiv w:val="1"/>
      <w:marLeft w:val="0"/>
      <w:marRight w:val="0"/>
      <w:marTop w:val="0"/>
      <w:marBottom w:val="0"/>
      <w:divBdr>
        <w:top w:val="none" w:sz="0" w:space="0" w:color="auto"/>
        <w:left w:val="none" w:sz="0" w:space="0" w:color="auto"/>
        <w:bottom w:val="none" w:sz="0" w:space="0" w:color="auto"/>
        <w:right w:val="none" w:sz="0" w:space="0" w:color="auto"/>
      </w:divBdr>
    </w:div>
    <w:div w:id="10223777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45815">
      <w:bodyDiv w:val="1"/>
      <w:marLeft w:val="0"/>
      <w:marRight w:val="0"/>
      <w:marTop w:val="0"/>
      <w:marBottom w:val="0"/>
      <w:divBdr>
        <w:top w:val="none" w:sz="0" w:space="0" w:color="auto"/>
        <w:left w:val="none" w:sz="0" w:space="0" w:color="auto"/>
        <w:bottom w:val="none" w:sz="0" w:space="0" w:color="auto"/>
        <w:right w:val="none" w:sz="0" w:space="0" w:color="auto"/>
      </w:divBdr>
    </w:div>
    <w:div w:id="149106779">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939099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198864661">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1452626">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77833250">
      <w:bodyDiv w:val="1"/>
      <w:marLeft w:val="0"/>
      <w:marRight w:val="0"/>
      <w:marTop w:val="0"/>
      <w:marBottom w:val="0"/>
      <w:divBdr>
        <w:top w:val="none" w:sz="0" w:space="0" w:color="auto"/>
        <w:left w:val="none" w:sz="0" w:space="0" w:color="auto"/>
        <w:bottom w:val="none" w:sz="0" w:space="0" w:color="auto"/>
        <w:right w:val="none" w:sz="0" w:space="0" w:color="auto"/>
      </w:divBdr>
    </w:div>
    <w:div w:id="283926532">
      <w:bodyDiv w:val="1"/>
      <w:marLeft w:val="0"/>
      <w:marRight w:val="0"/>
      <w:marTop w:val="0"/>
      <w:marBottom w:val="0"/>
      <w:divBdr>
        <w:top w:val="none" w:sz="0" w:space="0" w:color="auto"/>
        <w:left w:val="none" w:sz="0" w:space="0" w:color="auto"/>
        <w:bottom w:val="none" w:sz="0" w:space="0" w:color="auto"/>
        <w:right w:val="none" w:sz="0" w:space="0" w:color="auto"/>
      </w:divBdr>
    </w:div>
    <w:div w:id="287126852">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07396148">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205195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6244455">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4952081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66630068">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8497054">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4423005">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2499012">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7374723">
      <w:bodyDiv w:val="1"/>
      <w:marLeft w:val="0"/>
      <w:marRight w:val="0"/>
      <w:marTop w:val="0"/>
      <w:marBottom w:val="0"/>
      <w:divBdr>
        <w:top w:val="none" w:sz="0" w:space="0" w:color="auto"/>
        <w:left w:val="none" w:sz="0" w:space="0" w:color="auto"/>
        <w:bottom w:val="none" w:sz="0" w:space="0" w:color="auto"/>
        <w:right w:val="none" w:sz="0" w:space="0" w:color="auto"/>
      </w:divBdr>
    </w:div>
    <w:div w:id="561140185">
      <w:bodyDiv w:val="1"/>
      <w:marLeft w:val="0"/>
      <w:marRight w:val="0"/>
      <w:marTop w:val="0"/>
      <w:marBottom w:val="0"/>
      <w:divBdr>
        <w:top w:val="none" w:sz="0" w:space="0" w:color="auto"/>
        <w:left w:val="none" w:sz="0" w:space="0" w:color="auto"/>
        <w:bottom w:val="none" w:sz="0" w:space="0" w:color="auto"/>
        <w:right w:val="none" w:sz="0" w:space="0" w:color="auto"/>
      </w:divBdr>
    </w:div>
    <w:div w:id="564026402">
      <w:bodyDiv w:val="1"/>
      <w:marLeft w:val="0"/>
      <w:marRight w:val="0"/>
      <w:marTop w:val="0"/>
      <w:marBottom w:val="0"/>
      <w:divBdr>
        <w:top w:val="none" w:sz="0" w:space="0" w:color="auto"/>
        <w:left w:val="none" w:sz="0" w:space="0" w:color="auto"/>
        <w:bottom w:val="none" w:sz="0" w:space="0" w:color="auto"/>
        <w:right w:val="none" w:sz="0" w:space="0" w:color="auto"/>
      </w:divBdr>
    </w:div>
    <w:div w:id="569852536">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523594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4918750">
      <w:bodyDiv w:val="1"/>
      <w:marLeft w:val="0"/>
      <w:marRight w:val="0"/>
      <w:marTop w:val="0"/>
      <w:marBottom w:val="0"/>
      <w:divBdr>
        <w:top w:val="none" w:sz="0" w:space="0" w:color="auto"/>
        <w:left w:val="none" w:sz="0" w:space="0" w:color="auto"/>
        <w:bottom w:val="none" w:sz="0" w:space="0" w:color="auto"/>
        <w:right w:val="none" w:sz="0" w:space="0" w:color="auto"/>
      </w:divBdr>
    </w:div>
    <w:div w:id="659891731">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65345643">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3647241">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5824613">
      <w:bodyDiv w:val="1"/>
      <w:marLeft w:val="0"/>
      <w:marRight w:val="0"/>
      <w:marTop w:val="0"/>
      <w:marBottom w:val="0"/>
      <w:divBdr>
        <w:top w:val="none" w:sz="0" w:space="0" w:color="auto"/>
        <w:left w:val="none" w:sz="0" w:space="0" w:color="auto"/>
        <w:bottom w:val="none" w:sz="0" w:space="0" w:color="auto"/>
        <w:right w:val="none" w:sz="0" w:space="0" w:color="auto"/>
      </w:divBdr>
    </w:div>
    <w:div w:id="85284233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55195507">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29628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897321332">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11741290">
      <w:bodyDiv w:val="1"/>
      <w:marLeft w:val="0"/>
      <w:marRight w:val="0"/>
      <w:marTop w:val="0"/>
      <w:marBottom w:val="0"/>
      <w:divBdr>
        <w:top w:val="none" w:sz="0" w:space="0" w:color="auto"/>
        <w:left w:val="none" w:sz="0" w:space="0" w:color="auto"/>
        <w:bottom w:val="none" w:sz="0" w:space="0" w:color="auto"/>
        <w:right w:val="none" w:sz="0" w:space="0" w:color="auto"/>
      </w:divBdr>
    </w:div>
    <w:div w:id="922035327">
      <w:bodyDiv w:val="1"/>
      <w:marLeft w:val="0"/>
      <w:marRight w:val="0"/>
      <w:marTop w:val="0"/>
      <w:marBottom w:val="0"/>
      <w:divBdr>
        <w:top w:val="none" w:sz="0" w:space="0" w:color="auto"/>
        <w:left w:val="none" w:sz="0" w:space="0" w:color="auto"/>
        <w:bottom w:val="none" w:sz="0" w:space="0" w:color="auto"/>
        <w:right w:val="none" w:sz="0" w:space="0" w:color="auto"/>
      </w:divBdr>
    </w:div>
    <w:div w:id="937786799">
      <w:bodyDiv w:val="1"/>
      <w:marLeft w:val="0"/>
      <w:marRight w:val="0"/>
      <w:marTop w:val="0"/>
      <w:marBottom w:val="0"/>
      <w:divBdr>
        <w:top w:val="none" w:sz="0" w:space="0" w:color="auto"/>
        <w:left w:val="none" w:sz="0" w:space="0" w:color="auto"/>
        <w:bottom w:val="none" w:sz="0" w:space="0" w:color="auto"/>
        <w:right w:val="none" w:sz="0" w:space="0" w:color="auto"/>
      </w:divBdr>
    </w:div>
    <w:div w:id="941687883">
      <w:bodyDiv w:val="1"/>
      <w:marLeft w:val="0"/>
      <w:marRight w:val="0"/>
      <w:marTop w:val="0"/>
      <w:marBottom w:val="0"/>
      <w:divBdr>
        <w:top w:val="none" w:sz="0" w:space="0" w:color="auto"/>
        <w:left w:val="none" w:sz="0" w:space="0" w:color="auto"/>
        <w:bottom w:val="none" w:sz="0" w:space="0" w:color="auto"/>
        <w:right w:val="none" w:sz="0" w:space="0" w:color="auto"/>
      </w:divBdr>
    </w:div>
    <w:div w:id="94341450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256250">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6716762">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321038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49900717">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15721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168693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0520609">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828774">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5307723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28848946">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54217766">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07607399">
      <w:bodyDiv w:val="1"/>
      <w:marLeft w:val="0"/>
      <w:marRight w:val="0"/>
      <w:marTop w:val="0"/>
      <w:marBottom w:val="0"/>
      <w:divBdr>
        <w:top w:val="none" w:sz="0" w:space="0" w:color="auto"/>
        <w:left w:val="none" w:sz="0" w:space="0" w:color="auto"/>
        <w:bottom w:val="none" w:sz="0" w:space="0" w:color="auto"/>
        <w:right w:val="none" w:sz="0" w:space="0" w:color="auto"/>
      </w:divBdr>
    </w:div>
    <w:div w:id="1735858038">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95638705">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3911105">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897741001">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2506673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37121866">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6874022">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01442702">
      <w:bodyDiv w:val="1"/>
      <w:marLeft w:val="0"/>
      <w:marRight w:val="0"/>
      <w:marTop w:val="0"/>
      <w:marBottom w:val="0"/>
      <w:divBdr>
        <w:top w:val="none" w:sz="0" w:space="0" w:color="auto"/>
        <w:left w:val="none" w:sz="0" w:space="0" w:color="auto"/>
        <w:bottom w:val="none" w:sz="0" w:space="0" w:color="auto"/>
        <w:right w:val="none" w:sz="0" w:space="0" w:color="auto"/>
      </w:divBdr>
    </w:div>
    <w:div w:id="2110613540">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925945">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94AD9-CF87-4623-89D7-215FA1AAA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2291</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2024-01-30T01:28:00Z</dcterms:created>
  <dcterms:modified xsi:type="dcterms:W3CDTF">2024-01-30T21:42:00Z</dcterms:modified>
</cp:coreProperties>
</file>