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951C4" w14:textId="0E0FF772" w:rsidR="007567D2" w:rsidRPr="00E33C76" w:rsidRDefault="007567D2" w:rsidP="00BB57B7">
      <w:pPr>
        <w:pStyle w:val="Default"/>
        <w:ind w:right="656"/>
        <w:jc w:val="both"/>
        <w:rPr>
          <w:rFonts w:ascii="Arial" w:hAnsi="Arial" w:cs="Arial"/>
          <w:sz w:val="20"/>
          <w:szCs w:val="20"/>
        </w:rPr>
      </w:pPr>
      <w:r w:rsidRPr="00292120">
        <w:rPr>
          <w:rFonts w:ascii="Arial" w:hAnsi="Arial" w:cs="Arial"/>
          <w:sz w:val="20"/>
          <w:szCs w:val="20"/>
        </w:rPr>
        <w:t xml:space="preserve">The </w:t>
      </w:r>
      <w:r w:rsidR="009E648E" w:rsidRPr="00292120">
        <w:rPr>
          <w:rFonts w:ascii="Arial" w:hAnsi="Arial" w:cs="Arial"/>
          <w:sz w:val="20"/>
          <w:szCs w:val="20"/>
        </w:rPr>
        <w:t>PBAC outcomes and recommendations are presented</w:t>
      </w:r>
      <w:r w:rsidRPr="00292120">
        <w:rPr>
          <w:rFonts w:ascii="Arial" w:hAnsi="Arial" w:cs="Arial"/>
          <w:sz w:val="20"/>
          <w:szCs w:val="20"/>
        </w:rPr>
        <w:t xml:space="preserve"> in alphabetical order by drug 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1E0" w:firstRow="1" w:lastRow="1" w:firstColumn="1" w:lastColumn="1" w:noHBand="0" w:noVBand="0"/>
      </w:tblPr>
      <w:tblGrid>
        <w:gridCol w:w="3013"/>
        <w:gridCol w:w="2764"/>
        <w:gridCol w:w="2978"/>
        <w:gridCol w:w="1800"/>
        <w:gridCol w:w="4833"/>
      </w:tblGrid>
      <w:tr w:rsidR="00F374F7" w:rsidRPr="008059F4" w14:paraId="2F780D8A" w14:textId="77777777" w:rsidTr="003774E1">
        <w:trPr>
          <w:cantSplit/>
          <w:tblHeader/>
          <w:jc w:val="center"/>
        </w:trPr>
        <w:tc>
          <w:tcPr>
            <w:tcW w:w="3013" w:type="dxa"/>
            <w:shd w:val="clear" w:color="auto" w:fill="auto"/>
            <w:tcMar>
              <w:top w:w="28" w:type="dxa"/>
              <w:bottom w:w="28" w:type="dxa"/>
            </w:tcMar>
            <w:vAlign w:val="center"/>
          </w:tcPr>
          <w:p w14:paraId="58BB41E5" w14:textId="46F847AB" w:rsidR="00F374F7" w:rsidRPr="008059F4" w:rsidRDefault="00F374F7" w:rsidP="00BB57B7">
            <w:pPr>
              <w:keepLines/>
              <w:widowControl w:val="0"/>
              <w:ind w:right="-106"/>
              <w:jc w:val="center"/>
              <w:rPr>
                <w:rFonts w:asciiTheme="minorHAnsi" w:hAnsiTheme="minorHAnsi" w:cstheme="minorHAnsi"/>
                <w:b/>
                <w:sz w:val="18"/>
                <w:szCs w:val="18"/>
              </w:rPr>
            </w:pPr>
            <w:bookmarkStart w:id="0" w:name="_Hlk143070631"/>
            <w:r w:rsidRPr="008059F4">
              <w:rPr>
                <w:rFonts w:asciiTheme="minorHAnsi" w:hAnsiTheme="minorHAnsi" w:cstheme="minorHAnsi"/>
                <w:b/>
                <w:sz w:val="18"/>
                <w:szCs w:val="18"/>
              </w:rPr>
              <w:t>DRUG NAME, FORM(S), STRENGTH(S), SPONSOR, TYPE OF SUBMISSION</w:t>
            </w:r>
          </w:p>
        </w:tc>
        <w:tc>
          <w:tcPr>
            <w:tcW w:w="2764" w:type="dxa"/>
            <w:shd w:val="clear" w:color="auto" w:fill="auto"/>
            <w:tcMar>
              <w:top w:w="28" w:type="dxa"/>
              <w:bottom w:w="28" w:type="dxa"/>
            </w:tcMar>
            <w:vAlign w:val="center"/>
          </w:tcPr>
          <w:p w14:paraId="64FD3362" w14:textId="3DF64AED" w:rsidR="00F374F7" w:rsidRPr="008059F4" w:rsidRDefault="00F374F7" w:rsidP="00E27441">
            <w:pPr>
              <w:keepLines/>
              <w:widowControl w:val="0"/>
              <w:jc w:val="center"/>
              <w:rPr>
                <w:rFonts w:asciiTheme="minorHAnsi" w:hAnsiTheme="minorHAnsi" w:cstheme="minorHAnsi"/>
                <w:b/>
                <w:snapToGrid w:val="0"/>
                <w:sz w:val="18"/>
                <w:szCs w:val="18"/>
                <w:lang w:eastAsia="en-US"/>
              </w:rPr>
            </w:pPr>
            <w:r w:rsidRPr="008059F4">
              <w:rPr>
                <w:rFonts w:asciiTheme="minorHAnsi" w:hAnsiTheme="minorHAnsi" w:cstheme="minorHAnsi"/>
                <w:b/>
                <w:snapToGrid w:val="0"/>
                <w:sz w:val="18"/>
                <w:szCs w:val="18"/>
                <w:lang w:eastAsia="en-US"/>
              </w:rPr>
              <w:t>DRUG TYPE AND USE</w:t>
            </w:r>
          </w:p>
        </w:tc>
        <w:tc>
          <w:tcPr>
            <w:tcW w:w="2978" w:type="dxa"/>
            <w:shd w:val="clear" w:color="auto" w:fill="auto"/>
            <w:tcMar>
              <w:top w:w="28" w:type="dxa"/>
              <w:bottom w:w="28" w:type="dxa"/>
            </w:tcMar>
            <w:vAlign w:val="center"/>
          </w:tcPr>
          <w:p w14:paraId="60A9336E" w14:textId="77777777" w:rsidR="00F374F7" w:rsidRPr="008059F4" w:rsidRDefault="00F374F7" w:rsidP="00BB57B7">
            <w:pPr>
              <w:keepLines/>
              <w:widowControl w:val="0"/>
              <w:jc w:val="center"/>
              <w:rPr>
                <w:rFonts w:asciiTheme="minorHAnsi" w:hAnsiTheme="minorHAnsi" w:cstheme="minorHAnsi"/>
                <w:b/>
                <w:snapToGrid w:val="0"/>
                <w:sz w:val="18"/>
                <w:szCs w:val="18"/>
                <w:lang w:eastAsia="en-US"/>
              </w:rPr>
            </w:pPr>
            <w:r w:rsidRPr="008059F4">
              <w:rPr>
                <w:rFonts w:asciiTheme="minorHAnsi" w:hAnsiTheme="minorHAnsi" w:cstheme="minorHAnsi"/>
                <w:b/>
                <w:snapToGrid w:val="0"/>
                <w:sz w:val="18"/>
                <w:szCs w:val="18"/>
                <w:lang w:eastAsia="en-US"/>
              </w:rPr>
              <w:t>LISTING REQUESTED BY SPONSOR / PURPOSE OF SUBMISSION</w:t>
            </w:r>
          </w:p>
        </w:tc>
        <w:tc>
          <w:tcPr>
            <w:tcW w:w="6633" w:type="dxa"/>
            <w:gridSpan w:val="2"/>
            <w:shd w:val="clear" w:color="auto" w:fill="auto"/>
            <w:vAlign w:val="center"/>
          </w:tcPr>
          <w:p w14:paraId="5626F454" w14:textId="255B5DC5" w:rsidR="00F374F7" w:rsidRPr="00E27441" w:rsidRDefault="00F374F7" w:rsidP="00E27441">
            <w:pPr>
              <w:pStyle w:val="Header"/>
              <w:keepLines/>
              <w:jc w:val="center"/>
              <w:rPr>
                <w:rFonts w:asciiTheme="minorHAnsi" w:hAnsiTheme="minorHAnsi" w:cstheme="minorHAnsi"/>
                <w:b/>
                <w:bCs/>
                <w:snapToGrid w:val="0"/>
                <w:sz w:val="18"/>
                <w:szCs w:val="18"/>
                <w:lang w:eastAsia="en-US"/>
              </w:rPr>
            </w:pPr>
            <w:r w:rsidRPr="008059F4">
              <w:rPr>
                <w:rFonts w:asciiTheme="minorHAnsi" w:hAnsiTheme="minorHAnsi" w:cstheme="minorHAnsi"/>
                <w:b/>
                <w:bCs/>
                <w:snapToGrid w:val="0"/>
                <w:sz w:val="18"/>
                <w:szCs w:val="18"/>
                <w:lang w:eastAsia="en-US"/>
              </w:rPr>
              <w:t>PBAC OUTCOME</w:t>
            </w:r>
          </w:p>
        </w:tc>
      </w:tr>
      <w:tr w:rsidR="00E71F04" w:rsidRPr="008059F4" w14:paraId="1293704A" w14:textId="77777777" w:rsidTr="003774E1">
        <w:trPr>
          <w:cantSplit/>
          <w:trHeight w:val="2948"/>
          <w:jc w:val="center"/>
        </w:trPr>
        <w:tc>
          <w:tcPr>
            <w:tcW w:w="3013" w:type="dxa"/>
            <w:shd w:val="clear" w:color="auto" w:fill="auto"/>
            <w:tcMar>
              <w:top w:w="28" w:type="dxa"/>
              <w:bottom w:w="28" w:type="dxa"/>
            </w:tcMar>
            <w:vAlign w:val="center"/>
          </w:tcPr>
          <w:p w14:paraId="03BE52E3" w14:textId="7CCE884C" w:rsidR="00E71F04" w:rsidRPr="008059F4" w:rsidRDefault="00E71F04" w:rsidP="00BB57B7">
            <w:pPr>
              <w:keepLines/>
              <w:jc w:val="center"/>
              <w:rPr>
                <w:rFonts w:asciiTheme="minorHAnsi" w:hAnsiTheme="minorHAnsi" w:cstheme="minorHAnsi"/>
                <w:sz w:val="18"/>
                <w:szCs w:val="18"/>
              </w:rPr>
            </w:pPr>
            <w:bookmarkStart w:id="1" w:name="_Hlk156916436"/>
            <w:bookmarkEnd w:id="0"/>
            <w:r w:rsidRPr="008059F4">
              <w:rPr>
                <w:rFonts w:asciiTheme="minorHAnsi" w:hAnsiTheme="minorHAnsi" w:cstheme="minorHAnsi"/>
                <w:color w:val="000000"/>
                <w:sz w:val="18"/>
                <w:szCs w:val="18"/>
              </w:rPr>
              <w:t>ABEMACICLIB</w:t>
            </w:r>
            <w:bookmarkEnd w:id="1"/>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Tablet 50</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br/>
              <w:t>Tablet 100</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br/>
              <w:t>Tablet 150</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r>
            <w:bookmarkStart w:id="2" w:name="_Hlk156916631"/>
            <w:r w:rsidRPr="008059F4">
              <w:rPr>
                <w:rFonts w:asciiTheme="minorHAnsi" w:hAnsiTheme="minorHAnsi" w:cstheme="minorHAnsi"/>
                <w:color w:val="000000"/>
                <w:sz w:val="18"/>
                <w:szCs w:val="18"/>
              </w:rPr>
              <w:t>Verzenio®</w:t>
            </w:r>
            <w:bookmarkEnd w:id="2"/>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ELI LILLY AUSTRALIA PTY LTD</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Category 2</w:t>
            </w:r>
            <w:r w:rsidRPr="008059F4">
              <w:rPr>
                <w:rFonts w:asciiTheme="minorHAnsi" w:hAnsiTheme="minorHAnsi" w:cstheme="minorHAnsi"/>
                <w:color w:val="000000"/>
                <w:sz w:val="18"/>
                <w:szCs w:val="18"/>
              </w:rPr>
              <w:br/>
              <w:t>(Change to existing listing)</w:t>
            </w:r>
          </w:p>
        </w:tc>
        <w:tc>
          <w:tcPr>
            <w:tcW w:w="2764" w:type="dxa"/>
            <w:shd w:val="clear" w:color="auto" w:fill="auto"/>
            <w:vAlign w:val="center"/>
          </w:tcPr>
          <w:p w14:paraId="377E88FC" w14:textId="54753029" w:rsidR="00E71F04" w:rsidRPr="008059F4" w:rsidRDefault="00E71F04" w:rsidP="00BB57B7">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Hormone receptor positive (HR+) human epidermal growth factor receptor 2 negative (HER2-) breast cancer</w:t>
            </w:r>
          </w:p>
        </w:tc>
        <w:tc>
          <w:tcPr>
            <w:tcW w:w="2978" w:type="dxa"/>
            <w:shd w:val="clear" w:color="auto" w:fill="auto"/>
            <w:tcMar>
              <w:top w:w="28" w:type="dxa"/>
              <w:bottom w:w="28" w:type="dxa"/>
            </w:tcMar>
            <w:vAlign w:val="center"/>
          </w:tcPr>
          <w:p w14:paraId="0C5A0012" w14:textId="2EC57AB9" w:rsidR="00E71F04" w:rsidRPr="008059F4" w:rsidRDefault="00E71F0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To request a General Schedule Authority Required (Telephone/Online) listing for the treatment of HR+ HER2- lymph node positive, invasive, resected early breast cancer at high risk of disease recurrence.</w:t>
            </w:r>
          </w:p>
        </w:tc>
        <w:tc>
          <w:tcPr>
            <w:tcW w:w="1800" w:type="dxa"/>
            <w:shd w:val="clear" w:color="auto" w:fill="auto"/>
            <w:vAlign w:val="center"/>
          </w:tcPr>
          <w:p w14:paraId="73C161D1" w14:textId="6901DF46" w:rsidR="00E71F04" w:rsidRPr="008059F4" w:rsidRDefault="00E71F0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Recommended</w:t>
            </w:r>
          </w:p>
        </w:tc>
        <w:tc>
          <w:tcPr>
            <w:tcW w:w="4833" w:type="dxa"/>
            <w:shd w:val="clear" w:color="auto" w:fill="auto"/>
            <w:vAlign w:val="center"/>
          </w:tcPr>
          <w:p w14:paraId="1F43BF31" w14:textId="77777777" w:rsidR="00E71F04" w:rsidRDefault="00E71F04" w:rsidP="00692A7E">
            <w:pPr>
              <w:jc w:val="both"/>
              <w:rPr>
                <w:rFonts w:asciiTheme="minorHAnsi" w:hAnsiTheme="minorHAnsi" w:cstheme="minorHAnsi"/>
                <w:sz w:val="18"/>
                <w:szCs w:val="18"/>
              </w:rPr>
            </w:pPr>
            <w:r w:rsidRPr="008059F4">
              <w:rPr>
                <w:rFonts w:asciiTheme="minorHAnsi" w:hAnsiTheme="minorHAnsi" w:cstheme="minorHAnsi"/>
                <w:sz w:val="18"/>
                <w:szCs w:val="18"/>
              </w:rPr>
              <w:t xml:space="preserve">The PBAC recommended the listing of abemaciclib, in combination with standard adjuvant endocrine therapy (ET), for the treatment of HR+, HER2-, lymph node positive, invasive, resected early breast cancer at high risk of disease recurrence. The PBAC considered the evidence presented demonstrated an invasive disease-free survival benefit over the comparator (‘ET alone’) but noted that a benefit in terms of overall survival had not been demonstrated and therefore remained uncertain. The PBAC noted that changes to the economic evaluation and financial estimates had partially addressed the Committee’s previous concerns. </w:t>
            </w:r>
            <w:r w:rsidRPr="009E6485">
              <w:rPr>
                <w:rFonts w:asciiTheme="minorHAnsi" w:hAnsiTheme="minorHAnsi" w:cstheme="minorHAnsi"/>
                <w:sz w:val="18"/>
                <w:szCs w:val="18"/>
              </w:rPr>
              <w:t>The PBAC advised that revisions should be made to the duration of treatment effect and the patient age assumed in the economic model</w:t>
            </w:r>
            <w:r w:rsidR="004174CB" w:rsidRPr="009B3BC3">
              <w:rPr>
                <w:rFonts w:asciiTheme="minorHAnsi" w:hAnsiTheme="minorHAnsi" w:cstheme="minorHAnsi"/>
                <w:sz w:val="18"/>
                <w:szCs w:val="18"/>
              </w:rPr>
              <w:t>.</w:t>
            </w:r>
            <w:r w:rsidR="009E6485">
              <w:rPr>
                <w:rFonts w:asciiTheme="minorHAnsi" w:hAnsiTheme="minorHAnsi" w:cstheme="minorHAnsi"/>
                <w:sz w:val="18"/>
                <w:szCs w:val="18"/>
              </w:rPr>
              <w:t xml:space="preserve"> </w:t>
            </w:r>
            <w:r w:rsidR="004174CB" w:rsidRPr="009B3BC3">
              <w:rPr>
                <w:rFonts w:asciiTheme="minorHAnsi" w:hAnsiTheme="minorHAnsi" w:cstheme="minorHAnsi"/>
                <w:sz w:val="18"/>
                <w:szCs w:val="18"/>
              </w:rPr>
              <w:t xml:space="preserve">While the PBAC acknowledged the remaining uncertainties in the submission, the PBAC considered that with a price reduction abemaciclib would be acceptably </w:t>
            </w:r>
            <w:r w:rsidRPr="009E6485">
              <w:rPr>
                <w:rFonts w:asciiTheme="minorHAnsi" w:hAnsiTheme="minorHAnsi" w:cstheme="minorHAnsi"/>
                <w:sz w:val="18"/>
                <w:szCs w:val="18"/>
              </w:rPr>
              <w:t>cost-effective</w:t>
            </w:r>
            <w:r w:rsidR="004174CB" w:rsidRPr="009B3BC3">
              <w:rPr>
                <w:rFonts w:asciiTheme="minorHAnsi" w:hAnsiTheme="minorHAnsi" w:cstheme="minorHAnsi"/>
                <w:sz w:val="18"/>
                <w:szCs w:val="18"/>
              </w:rPr>
              <w:t>.</w:t>
            </w:r>
            <w:r w:rsidRPr="008059F4">
              <w:rPr>
                <w:rFonts w:asciiTheme="minorHAnsi" w:hAnsiTheme="minorHAnsi" w:cstheme="minorHAnsi"/>
                <w:sz w:val="18"/>
                <w:szCs w:val="18"/>
              </w:rPr>
              <w:t xml:space="preserve"> The PBAC also considered that the financial estimates remained overestimated and advised the assumed uptake rates should be reduced.</w:t>
            </w:r>
          </w:p>
          <w:p w14:paraId="411F85B5" w14:textId="77777777" w:rsidR="003A0C9D" w:rsidRDefault="003A0C9D" w:rsidP="00692A7E">
            <w:pPr>
              <w:jc w:val="both"/>
              <w:rPr>
                <w:rFonts w:asciiTheme="minorHAnsi" w:hAnsiTheme="minorHAnsi" w:cstheme="minorHAnsi"/>
                <w:sz w:val="18"/>
                <w:szCs w:val="18"/>
              </w:rPr>
            </w:pPr>
          </w:p>
          <w:p w14:paraId="5CD2805E" w14:textId="3FDFA04F" w:rsidR="00264745" w:rsidRPr="008059F4" w:rsidRDefault="00264745" w:rsidP="00264745">
            <w:pPr>
              <w:jc w:val="both"/>
              <w:rPr>
                <w:rFonts w:asciiTheme="minorHAnsi" w:hAnsiTheme="minorHAnsi" w:cstheme="minorHAnsi"/>
                <w:sz w:val="18"/>
                <w:szCs w:val="18"/>
              </w:rPr>
            </w:pPr>
            <w:r w:rsidRPr="003A0C9D">
              <w:rPr>
                <w:rFonts w:asciiTheme="minorHAnsi" w:hAnsiTheme="minorHAnsi" w:cstheme="minorHAnsi"/>
                <w:sz w:val="18"/>
                <w:szCs w:val="18"/>
              </w:rPr>
              <w:t xml:space="preserve">The PBAC </w:t>
            </w:r>
            <w:r w:rsidR="00931453" w:rsidRPr="003A0C9D">
              <w:rPr>
                <w:rFonts w:asciiTheme="minorHAnsi" w:hAnsiTheme="minorHAnsi" w:cstheme="minorHAnsi"/>
                <w:sz w:val="18"/>
                <w:szCs w:val="18"/>
              </w:rPr>
              <w:t xml:space="preserve">recommended </w:t>
            </w:r>
            <w:r w:rsidRPr="003A0C9D">
              <w:rPr>
                <w:rFonts w:asciiTheme="minorHAnsi" w:hAnsiTheme="minorHAnsi" w:cstheme="minorHAnsi"/>
                <w:sz w:val="18"/>
                <w:szCs w:val="18"/>
              </w:rPr>
              <w:t>flow on changes to limit subsidy of CDK4/6i therapy to once per lifetime, irrespective if prescribed for early disease or late stage disease</w:t>
            </w:r>
            <w:r w:rsidR="00931453" w:rsidRPr="003A0C9D">
              <w:rPr>
                <w:rFonts w:asciiTheme="minorHAnsi" w:hAnsiTheme="minorHAnsi" w:cstheme="minorHAnsi"/>
                <w:sz w:val="18"/>
                <w:szCs w:val="18"/>
              </w:rPr>
              <w:t xml:space="preserve"> to the current listings of a</w:t>
            </w:r>
            <w:r w:rsidRPr="003A0C9D">
              <w:rPr>
                <w:rFonts w:asciiTheme="minorHAnsi" w:hAnsiTheme="minorHAnsi" w:cstheme="minorHAnsi"/>
                <w:sz w:val="18"/>
                <w:szCs w:val="18"/>
              </w:rPr>
              <w:t>bemaciclib</w:t>
            </w:r>
            <w:r w:rsidR="00931453" w:rsidRPr="003A0C9D">
              <w:rPr>
                <w:rFonts w:asciiTheme="minorHAnsi" w:hAnsiTheme="minorHAnsi" w:cstheme="minorHAnsi"/>
                <w:sz w:val="18"/>
                <w:szCs w:val="18"/>
              </w:rPr>
              <w:t>, p</w:t>
            </w:r>
            <w:r w:rsidRPr="003A0C9D">
              <w:rPr>
                <w:rFonts w:asciiTheme="minorHAnsi" w:hAnsiTheme="minorHAnsi" w:cstheme="minorHAnsi"/>
                <w:sz w:val="18"/>
                <w:szCs w:val="18"/>
              </w:rPr>
              <w:t>albociclib</w:t>
            </w:r>
            <w:r w:rsidR="00931453" w:rsidRPr="003A0C9D">
              <w:rPr>
                <w:rFonts w:asciiTheme="minorHAnsi" w:hAnsiTheme="minorHAnsi" w:cstheme="minorHAnsi"/>
                <w:sz w:val="18"/>
                <w:szCs w:val="18"/>
              </w:rPr>
              <w:t xml:space="preserve"> and r</w:t>
            </w:r>
            <w:r w:rsidRPr="003A0C9D">
              <w:rPr>
                <w:rFonts w:asciiTheme="minorHAnsi" w:hAnsiTheme="minorHAnsi" w:cstheme="minorHAnsi"/>
                <w:sz w:val="18"/>
                <w:szCs w:val="18"/>
              </w:rPr>
              <w:t>ibociclib</w:t>
            </w:r>
            <w:r w:rsidR="00931453" w:rsidRPr="003A0C9D">
              <w:rPr>
                <w:rFonts w:asciiTheme="minorHAnsi" w:hAnsiTheme="minorHAnsi" w:cstheme="minorHAnsi"/>
                <w:sz w:val="18"/>
                <w:szCs w:val="18"/>
              </w:rPr>
              <w:t>.</w:t>
            </w:r>
          </w:p>
        </w:tc>
      </w:tr>
      <w:tr w:rsidR="00E71F04" w:rsidRPr="008059F4" w14:paraId="59456C9B" w14:textId="77777777" w:rsidTr="003774E1">
        <w:trPr>
          <w:cantSplit/>
          <w:trHeight w:val="2948"/>
          <w:jc w:val="center"/>
        </w:trPr>
        <w:tc>
          <w:tcPr>
            <w:tcW w:w="3013" w:type="dxa"/>
            <w:shd w:val="clear" w:color="auto" w:fill="auto"/>
            <w:tcMar>
              <w:top w:w="28" w:type="dxa"/>
              <w:bottom w:w="28" w:type="dxa"/>
            </w:tcMar>
            <w:vAlign w:val="center"/>
          </w:tcPr>
          <w:p w14:paraId="5074E5FF" w14:textId="1E8AF697" w:rsidR="00E71F04" w:rsidRPr="008059F4" w:rsidRDefault="00E71F04" w:rsidP="00BB57B7">
            <w:pPr>
              <w:keepLines/>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lastRenderedPageBreak/>
              <w:t>ADALIMUMAB</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Injection 40</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in 0.4</w:t>
            </w:r>
            <w:r w:rsidR="00C67D16">
              <w:rPr>
                <w:rFonts w:asciiTheme="minorHAnsi" w:hAnsiTheme="minorHAnsi" w:cstheme="minorHAnsi"/>
                <w:color w:val="000000"/>
                <w:sz w:val="18"/>
                <w:szCs w:val="18"/>
              </w:rPr>
              <w:t> mL</w:t>
            </w:r>
            <w:r w:rsidRPr="008059F4">
              <w:rPr>
                <w:rFonts w:asciiTheme="minorHAnsi" w:hAnsiTheme="minorHAnsi" w:cstheme="minorHAnsi"/>
                <w:color w:val="000000"/>
                <w:sz w:val="18"/>
                <w:szCs w:val="18"/>
              </w:rPr>
              <w:t xml:space="preserve"> pre-filled syringe</w:t>
            </w:r>
            <w:r w:rsidRPr="008059F4">
              <w:rPr>
                <w:rFonts w:asciiTheme="minorHAnsi" w:hAnsiTheme="minorHAnsi" w:cstheme="minorHAnsi"/>
                <w:color w:val="000000"/>
                <w:sz w:val="18"/>
                <w:szCs w:val="18"/>
              </w:rPr>
              <w:br/>
              <w:t>Injection 40</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in 0.4</w:t>
            </w:r>
            <w:r w:rsidR="00C67D16">
              <w:rPr>
                <w:rFonts w:asciiTheme="minorHAnsi" w:hAnsiTheme="minorHAnsi" w:cstheme="minorHAnsi"/>
                <w:color w:val="000000"/>
                <w:sz w:val="18"/>
                <w:szCs w:val="18"/>
              </w:rPr>
              <w:t> mL</w:t>
            </w:r>
            <w:r w:rsidRPr="008059F4">
              <w:rPr>
                <w:rFonts w:asciiTheme="minorHAnsi" w:hAnsiTheme="minorHAnsi" w:cstheme="minorHAnsi"/>
                <w:color w:val="000000"/>
                <w:sz w:val="18"/>
                <w:szCs w:val="18"/>
              </w:rPr>
              <w:t xml:space="preserve"> pre-filled pen</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Hadlima®</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ORGANON PHARMA PTY LTD</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Category 4</w:t>
            </w:r>
            <w:r w:rsidRPr="008059F4">
              <w:rPr>
                <w:rFonts w:asciiTheme="minorHAnsi" w:hAnsiTheme="minorHAnsi" w:cstheme="minorHAnsi"/>
                <w:color w:val="000000"/>
                <w:sz w:val="18"/>
                <w:szCs w:val="18"/>
              </w:rPr>
              <w:br/>
              <w:t>(New listing)</w:t>
            </w:r>
          </w:p>
        </w:tc>
        <w:tc>
          <w:tcPr>
            <w:tcW w:w="2764" w:type="dxa"/>
            <w:shd w:val="clear" w:color="auto" w:fill="auto"/>
            <w:vAlign w:val="center"/>
          </w:tcPr>
          <w:p w14:paraId="2FA85509" w14:textId="3917F539" w:rsidR="00E71F04" w:rsidRPr="008059F4" w:rsidRDefault="00E71F04" w:rsidP="00BB57B7">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Severe Crohn disease</w:t>
            </w:r>
            <w:r w:rsidRPr="008059F4">
              <w:rPr>
                <w:rFonts w:asciiTheme="minorHAnsi" w:hAnsiTheme="minorHAnsi" w:cstheme="minorHAnsi"/>
                <w:color w:val="000000"/>
                <w:sz w:val="18"/>
                <w:szCs w:val="18"/>
              </w:rPr>
              <w:br/>
              <w:t>Moderate to severe ulcerative colitis</w:t>
            </w:r>
            <w:r w:rsidRPr="008059F4">
              <w:rPr>
                <w:rFonts w:asciiTheme="minorHAnsi" w:hAnsiTheme="minorHAnsi" w:cstheme="minorHAnsi"/>
                <w:color w:val="000000"/>
                <w:sz w:val="18"/>
                <w:szCs w:val="18"/>
              </w:rPr>
              <w:br/>
              <w:t xml:space="preserve">Severe active juvenile idiopathic arthritis </w:t>
            </w:r>
            <w:r w:rsidRPr="008059F4">
              <w:rPr>
                <w:rFonts w:asciiTheme="minorHAnsi" w:hAnsiTheme="minorHAnsi" w:cstheme="minorHAnsi"/>
                <w:color w:val="000000"/>
                <w:sz w:val="18"/>
                <w:szCs w:val="18"/>
              </w:rPr>
              <w:br/>
              <w:t>Complex refractory fistulising Crohn disease</w:t>
            </w:r>
            <w:r w:rsidRPr="008059F4">
              <w:rPr>
                <w:rFonts w:asciiTheme="minorHAnsi" w:hAnsiTheme="minorHAnsi" w:cstheme="minorHAnsi"/>
                <w:color w:val="000000"/>
                <w:sz w:val="18"/>
                <w:szCs w:val="18"/>
              </w:rPr>
              <w:br/>
              <w:t>Severe active rheumatoid arthritis</w:t>
            </w:r>
            <w:r w:rsidRPr="008059F4">
              <w:rPr>
                <w:rFonts w:asciiTheme="minorHAnsi" w:hAnsiTheme="minorHAnsi" w:cstheme="minorHAnsi"/>
                <w:color w:val="000000"/>
                <w:sz w:val="18"/>
                <w:szCs w:val="18"/>
              </w:rPr>
              <w:br/>
              <w:t>Severe psoriatic arthritis</w:t>
            </w:r>
            <w:r w:rsidRPr="008059F4">
              <w:rPr>
                <w:rFonts w:asciiTheme="minorHAnsi" w:hAnsiTheme="minorHAnsi" w:cstheme="minorHAnsi"/>
                <w:color w:val="000000"/>
                <w:sz w:val="18"/>
                <w:szCs w:val="18"/>
              </w:rPr>
              <w:br/>
              <w:t xml:space="preserve">Ankylosing spondylitis </w:t>
            </w:r>
            <w:r w:rsidRPr="008059F4">
              <w:rPr>
                <w:rFonts w:asciiTheme="minorHAnsi" w:hAnsiTheme="minorHAnsi" w:cstheme="minorHAnsi"/>
                <w:color w:val="000000"/>
                <w:sz w:val="18"/>
                <w:szCs w:val="18"/>
              </w:rPr>
              <w:br/>
              <w:t>Severe chronic plaque psoriasis</w:t>
            </w:r>
            <w:r w:rsidRPr="008059F4">
              <w:rPr>
                <w:rFonts w:asciiTheme="minorHAnsi" w:hAnsiTheme="minorHAnsi" w:cstheme="minorHAnsi"/>
                <w:color w:val="000000"/>
                <w:sz w:val="18"/>
                <w:szCs w:val="18"/>
              </w:rPr>
              <w:br/>
              <w:t>Moderate to severe hidradenitis suppurativa</w:t>
            </w:r>
          </w:p>
        </w:tc>
        <w:tc>
          <w:tcPr>
            <w:tcW w:w="2978" w:type="dxa"/>
            <w:shd w:val="clear" w:color="auto" w:fill="auto"/>
            <w:tcMar>
              <w:top w:w="28" w:type="dxa"/>
              <w:bottom w:w="28" w:type="dxa"/>
            </w:tcMar>
            <w:vAlign w:val="center"/>
          </w:tcPr>
          <w:p w14:paraId="67D2F53C" w14:textId="0763A39B" w:rsidR="00E71F04" w:rsidRPr="008059F4" w:rsidRDefault="00E71F0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 xml:space="preserve">To request a General Schedule Authority Required (Written) listing of </w:t>
            </w:r>
            <w:r w:rsidR="004569E8" w:rsidRPr="008059F4">
              <w:rPr>
                <w:rFonts w:asciiTheme="minorHAnsi" w:hAnsiTheme="minorHAnsi" w:cstheme="minorHAnsi"/>
                <w:color w:val="000000"/>
                <w:sz w:val="18"/>
                <w:szCs w:val="18"/>
              </w:rPr>
              <w:t>Hadlima</w:t>
            </w:r>
            <w:r w:rsidRPr="008059F4">
              <w:rPr>
                <w:rFonts w:asciiTheme="minorHAnsi" w:hAnsiTheme="minorHAnsi" w:cstheme="minorHAnsi"/>
                <w:color w:val="000000"/>
                <w:sz w:val="18"/>
                <w:szCs w:val="18"/>
              </w:rPr>
              <w:t xml:space="preserve"> 40</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in 0.4</w:t>
            </w:r>
            <w:r w:rsidR="00C67D16">
              <w:rPr>
                <w:rFonts w:asciiTheme="minorHAnsi" w:hAnsiTheme="minorHAnsi" w:cstheme="minorHAnsi"/>
                <w:color w:val="000000"/>
                <w:sz w:val="18"/>
                <w:szCs w:val="18"/>
              </w:rPr>
              <w:t> mL</w:t>
            </w:r>
            <w:r w:rsidRPr="008059F4">
              <w:rPr>
                <w:rFonts w:asciiTheme="minorHAnsi" w:hAnsiTheme="minorHAnsi" w:cstheme="minorHAnsi"/>
                <w:color w:val="000000"/>
                <w:sz w:val="18"/>
                <w:szCs w:val="18"/>
              </w:rPr>
              <w:t xml:space="preserve"> pre-filled syringe and 40</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in 0.4</w:t>
            </w:r>
            <w:r w:rsidR="00C67D16">
              <w:rPr>
                <w:rFonts w:asciiTheme="minorHAnsi" w:hAnsiTheme="minorHAnsi" w:cstheme="minorHAnsi"/>
                <w:color w:val="000000"/>
                <w:sz w:val="18"/>
                <w:szCs w:val="18"/>
              </w:rPr>
              <w:t> mL</w:t>
            </w:r>
            <w:r w:rsidRPr="008059F4">
              <w:rPr>
                <w:rFonts w:asciiTheme="minorHAnsi" w:hAnsiTheme="minorHAnsi" w:cstheme="minorHAnsi"/>
                <w:color w:val="000000"/>
                <w:sz w:val="18"/>
                <w:szCs w:val="18"/>
              </w:rPr>
              <w:t xml:space="preserve"> pre-filled pen under the same circumstances as the PBS-listed reference biologic </w:t>
            </w:r>
            <w:r w:rsidR="004569E8" w:rsidRPr="008059F4">
              <w:rPr>
                <w:rFonts w:asciiTheme="minorHAnsi" w:hAnsiTheme="minorHAnsi" w:cstheme="minorHAnsi"/>
                <w:color w:val="000000"/>
                <w:sz w:val="18"/>
                <w:szCs w:val="18"/>
              </w:rPr>
              <w:t>Humira</w:t>
            </w:r>
            <w:r w:rsidRPr="008059F4">
              <w:rPr>
                <w:rFonts w:asciiTheme="minorHAnsi" w:hAnsiTheme="minorHAnsi" w:cstheme="minorHAnsi"/>
                <w:color w:val="000000"/>
                <w:sz w:val="18"/>
                <w:szCs w:val="18"/>
              </w:rPr>
              <w:t xml:space="preserve">® for all indications for which </w:t>
            </w:r>
            <w:r w:rsidR="004569E8" w:rsidRPr="008059F4">
              <w:rPr>
                <w:rFonts w:asciiTheme="minorHAnsi" w:hAnsiTheme="minorHAnsi" w:cstheme="minorHAnsi"/>
                <w:color w:val="000000"/>
                <w:sz w:val="18"/>
                <w:szCs w:val="18"/>
              </w:rPr>
              <w:t>Hadlima</w:t>
            </w:r>
            <w:r w:rsidRPr="008059F4">
              <w:rPr>
                <w:rFonts w:asciiTheme="minorHAnsi" w:hAnsiTheme="minorHAnsi" w:cstheme="minorHAnsi"/>
                <w:color w:val="000000"/>
                <w:sz w:val="18"/>
                <w:szCs w:val="18"/>
              </w:rPr>
              <w:t xml:space="preserve"> 40</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in 0.8</w:t>
            </w:r>
            <w:r w:rsidR="00C67D16">
              <w:rPr>
                <w:rFonts w:asciiTheme="minorHAnsi" w:hAnsiTheme="minorHAnsi" w:cstheme="minorHAnsi"/>
                <w:color w:val="000000"/>
                <w:sz w:val="18"/>
                <w:szCs w:val="18"/>
              </w:rPr>
              <w:t> mL</w:t>
            </w:r>
            <w:r w:rsidRPr="008059F4">
              <w:rPr>
                <w:rFonts w:asciiTheme="minorHAnsi" w:hAnsiTheme="minorHAnsi" w:cstheme="minorHAnsi"/>
                <w:color w:val="000000"/>
                <w:sz w:val="18"/>
                <w:szCs w:val="18"/>
              </w:rPr>
              <w:t xml:space="preserve"> pre-filled syringe and 40</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in 0.8</w:t>
            </w:r>
            <w:r w:rsidR="00C67D16">
              <w:rPr>
                <w:rFonts w:asciiTheme="minorHAnsi" w:hAnsiTheme="minorHAnsi" w:cstheme="minorHAnsi"/>
                <w:color w:val="000000"/>
                <w:sz w:val="18"/>
                <w:szCs w:val="18"/>
              </w:rPr>
              <w:t> mL</w:t>
            </w:r>
            <w:r w:rsidRPr="008059F4">
              <w:rPr>
                <w:rFonts w:asciiTheme="minorHAnsi" w:hAnsiTheme="minorHAnsi" w:cstheme="minorHAnsi"/>
                <w:color w:val="000000"/>
                <w:sz w:val="18"/>
                <w:szCs w:val="18"/>
              </w:rPr>
              <w:t xml:space="preserve"> pre-filled pen are currently listed on the PBS.</w:t>
            </w:r>
          </w:p>
        </w:tc>
        <w:tc>
          <w:tcPr>
            <w:tcW w:w="1800" w:type="dxa"/>
            <w:shd w:val="clear" w:color="auto" w:fill="auto"/>
            <w:vAlign w:val="center"/>
          </w:tcPr>
          <w:p w14:paraId="2316FD21" w14:textId="6BB7B151" w:rsidR="00E71F04" w:rsidRPr="008059F4" w:rsidRDefault="00E71F0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Recommended</w:t>
            </w:r>
          </w:p>
        </w:tc>
        <w:tc>
          <w:tcPr>
            <w:tcW w:w="4833" w:type="dxa"/>
            <w:shd w:val="clear" w:color="auto" w:fill="auto"/>
            <w:vAlign w:val="center"/>
          </w:tcPr>
          <w:p w14:paraId="3D264F0A" w14:textId="10C98BDA" w:rsidR="0025420C" w:rsidRDefault="00E71F04" w:rsidP="003E6E90">
            <w:pPr>
              <w:jc w:val="both"/>
              <w:rPr>
                <w:rFonts w:asciiTheme="minorHAnsi" w:hAnsiTheme="minorHAnsi" w:cstheme="minorHAnsi"/>
                <w:color w:val="000000"/>
                <w:sz w:val="18"/>
                <w:szCs w:val="18"/>
              </w:rPr>
            </w:pPr>
            <w:r w:rsidRPr="008059F4">
              <w:rPr>
                <w:rFonts w:asciiTheme="minorHAnsi" w:hAnsiTheme="minorHAnsi" w:cstheme="minorHAnsi"/>
                <w:color w:val="000000"/>
                <w:sz w:val="18"/>
                <w:szCs w:val="18"/>
              </w:rPr>
              <w:t>The PBAC recommended the listing of adalimumab (Hadlima) in the forms of 40</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in 0.4</w:t>
            </w:r>
            <w:r w:rsidR="00C67D16">
              <w:rPr>
                <w:rFonts w:asciiTheme="minorHAnsi" w:hAnsiTheme="minorHAnsi" w:cstheme="minorHAnsi"/>
                <w:color w:val="000000"/>
                <w:sz w:val="18"/>
                <w:szCs w:val="18"/>
              </w:rPr>
              <w:t> mL</w:t>
            </w:r>
            <w:r w:rsidRPr="008059F4">
              <w:rPr>
                <w:rFonts w:asciiTheme="minorHAnsi" w:hAnsiTheme="minorHAnsi" w:cstheme="minorHAnsi"/>
                <w:color w:val="000000"/>
                <w:sz w:val="18"/>
                <w:szCs w:val="18"/>
              </w:rPr>
              <w:t xml:space="preserve"> pre-filled pen (PFP) and pre-filled syringe (PFS) as biosimilar brands of Humira. The PBAC’s recommendation for listing was based on, among other matters, its assessment that the cost-effectiveness of Hadlima PFP and PFS would be acceptable if it were cost</w:t>
            </w:r>
            <w:r w:rsidR="009E6485">
              <w:rPr>
                <w:rFonts w:asciiTheme="minorHAnsi" w:hAnsiTheme="minorHAnsi" w:cstheme="minorHAnsi"/>
                <w:color w:val="000000"/>
                <w:sz w:val="18"/>
                <w:szCs w:val="18"/>
              </w:rPr>
              <w:t>-</w:t>
            </w:r>
            <w:r w:rsidRPr="008059F4">
              <w:rPr>
                <w:rFonts w:asciiTheme="minorHAnsi" w:hAnsiTheme="minorHAnsi" w:cstheme="minorHAnsi"/>
                <w:color w:val="000000"/>
                <w:sz w:val="18"/>
                <w:szCs w:val="18"/>
              </w:rPr>
              <w:t>minimised to the lowest cost PBS</w:t>
            </w:r>
            <w:r w:rsidR="009B3BC3">
              <w:rPr>
                <w:rFonts w:asciiTheme="minorHAnsi" w:hAnsiTheme="minorHAnsi" w:cstheme="minorHAnsi"/>
                <w:color w:val="000000"/>
                <w:sz w:val="18"/>
                <w:szCs w:val="18"/>
              </w:rPr>
              <w:t>-</w:t>
            </w:r>
            <w:r w:rsidRPr="008059F4">
              <w:rPr>
                <w:rFonts w:asciiTheme="minorHAnsi" w:hAnsiTheme="minorHAnsi" w:cstheme="minorHAnsi"/>
                <w:color w:val="000000"/>
                <w:sz w:val="18"/>
                <w:szCs w:val="18"/>
              </w:rPr>
              <w:t>listed adalimumab brand. The PBAC advised the equi-effective doses to be 1</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of Hadlima = 1</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of Humira and all other biosimilar brands and formulations of adalimumab.</w:t>
            </w:r>
          </w:p>
          <w:p w14:paraId="43F997E8" w14:textId="20B036B9" w:rsidR="00E71F04" w:rsidRPr="008059F4" w:rsidRDefault="00E71F04" w:rsidP="009B3BC3">
            <w:pPr>
              <w:jc w:val="both"/>
              <w:rPr>
                <w:rFonts w:asciiTheme="minorHAnsi" w:hAnsiTheme="minorHAnsi" w:cstheme="minorHAnsi"/>
                <w:color w:val="000000"/>
                <w:sz w:val="18"/>
                <w:szCs w:val="18"/>
              </w:rPr>
            </w:pPr>
            <w:r w:rsidRPr="008059F4">
              <w:rPr>
                <w:rFonts w:asciiTheme="minorHAnsi" w:hAnsiTheme="minorHAnsi" w:cstheme="minorHAnsi"/>
                <w:color w:val="000000"/>
                <w:sz w:val="18"/>
                <w:szCs w:val="18"/>
              </w:rPr>
              <w:br/>
              <w:t>The PBAC advised that for the purposes of substitution, Hadlima and Humira PFS should be treated as equivalent to each other; and Hadlima and Humira PFP should be treated as equivalent to each other (i.e. ‘a’ flagged in the Schedule). The PBAC advised that adalimumab 40</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in 0.4</w:t>
            </w:r>
            <w:r w:rsidR="00C67D16">
              <w:rPr>
                <w:rFonts w:asciiTheme="minorHAnsi" w:hAnsiTheme="minorHAnsi" w:cstheme="minorHAnsi"/>
                <w:color w:val="000000"/>
                <w:sz w:val="18"/>
                <w:szCs w:val="18"/>
              </w:rPr>
              <w:t> mL</w:t>
            </w:r>
            <w:r w:rsidRPr="008059F4">
              <w:rPr>
                <w:rFonts w:asciiTheme="minorHAnsi" w:hAnsiTheme="minorHAnsi" w:cstheme="minorHAnsi"/>
                <w:color w:val="000000"/>
                <w:sz w:val="18"/>
                <w:szCs w:val="18"/>
              </w:rPr>
              <w:t xml:space="preserve"> and adalimumab 40</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in 0.8</w:t>
            </w:r>
            <w:r w:rsidR="00C67D16">
              <w:rPr>
                <w:rFonts w:asciiTheme="minorHAnsi" w:hAnsiTheme="minorHAnsi" w:cstheme="minorHAnsi"/>
                <w:color w:val="000000"/>
                <w:sz w:val="18"/>
                <w:szCs w:val="18"/>
              </w:rPr>
              <w:t> mL</w:t>
            </w:r>
            <w:r w:rsidRPr="008059F4">
              <w:rPr>
                <w:rFonts w:asciiTheme="minorHAnsi" w:hAnsiTheme="minorHAnsi" w:cstheme="minorHAnsi"/>
                <w:color w:val="000000"/>
                <w:sz w:val="18"/>
                <w:szCs w:val="18"/>
              </w:rPr>
              <w:t xml:space="preserve"> PFS should be treated as equivalent to each other for the purposes of substitution; and adalimumab 40</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in 0.4</w:t>
            </w:r>
            <w:r w:rsidR="00C67D16">
              <w:rPr>
                <w:rFonts w:asciiTheme="minorHAnsi" w:hAnsiTheme="minorHAnsi" w:cstheme="minorHAnsi"/>
                <w:color w:val="000000"/>
                <w:sz w:val="18"/>
                <w:szCs w:val="18"/>
              </w:rPr>
              <w:t> mL</w:t>
            </w:r>
            <w:r w:rsidRPr="008059F4">
              <w:rPr>
                <w:rFonts w:asciiTheme="minorHAnsi" w:hAnsiTheme="minorHAnsi" w:cstheme="minorHAnsi"/>
                <w:color w:val="000000"/>
                <w:sz w:val="18"/>
                <w:szCs w:val="18"/>
              </w:rPr>
              <w:t xml:space="preserve"> and adalimumab 40</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in 0.8</w:t>
            </w:r>
            <w:r w:rsidR="00C67D16">
              <w:rPr>
                <w:rFonts w:asciiTheme="minorHAnsi" w:hAnsiTheme="minorHAnsi" w:cstheme="minorHAnsi"/>
                <w:color w:val="000000"/>
                <w:sz w:val="18"/>
                <w:szCs w:val="18"/>
              </w:rPr>
              <w:t> mL</w:t>
            </w:r>
            <w:r w:rsidRPr="008059F4">
              <w:rPr>
                <w:rFonts w:asciiTheme="minorHAnsi" w:hAnsiTheme="minorHAnsi" w:cstheme="minorHAnsi"/>
                <w:color w:val="000000"/>
                <w:sz w:val="18"/>
                <w:szCs w:val="18"/>
              </w:rPr>
              <w:t xml:space="preserve"> PFP should be treated as equivalent to each other for the purposes of substitution. The PBAC advised that Hadlima PFP should not be considered equivalent for the purposes of substitution with any adalimumab PFS, consistent with its previous considerations of adalimumab.</w:t>
            </w:r>
          </w:p>
        </w:tc>
      </w:tr>
      <w:tr w:rsidR="00E71F04" w:rsidRPr="008059F4" w14:paraId="41369496" w14:textId="77777777" w:rsidTr="003774E1">
        <w:trPr>
          <w:cantSplit/>
          <w:trHeight w:val="2948"/>
          <w:jc w:val="center"/>
        </w:trPr>
        <w:tc>
          <w:tcPr>
            <w:tcW w:w="3013" w:type="dxa"/>
            <w:shd w:val="clear" w:color="auto" w:fill="auto"/>
            <w:tcMar>
              <w:top w:w="28" w:type="dxa"/>
              <w:bottom w:w="28" w:type="dxa"/>
            </w:tcMar>
            <w:vAlign w:val="center"/>
          </w:tcPr>
          <w:p w14:paraId="2C96B27B" w14:textId="423865BC" w:rsidR="00E71F04" w:rsidRPr="008059F4" w:rsidRDefault="00E71F04" w:rsidP="00BB57B7">
            <w:pPr>
              <w:keepLines/>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lastRenderedPageBreak/>
              <w:t>APREMILAST</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Tablet 30</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br/>
              <w:t>Pack containing 4 tablets 10</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4</w:t>
            </w:r>
            <w:r w:rsidR="00C67D16">
              <w:rPr>
                <w:rFonts w:asciiTheme="minorHAnsi" w:hAnsiTheme="minorHAnsi" w:cstheme="minorHAnsi"/>
                <w:color w:val="000000"/>
                <w:sz w:val="18"/>
                <w:szCs w:val="18"/>
              </w:rPr>
              <w:t> </w:t>
            </w:r>
            <w:r w:rsidRPr="008059F4">
              <w:rPr>
                <w:rFonts w:asciiTheme="minorHAnsi" w:hAnsiTheme="minorHAnsi" w:cstheme="minorHAnsi"/>
                <w:color w:val="000000"/>
                <w:sz w:val="18"/>
                <w:szCs w:val="18"/>
              </w:rPr>
              <w:t>tablets 20</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and 19 tablets 30</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Otezla®</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AMGEN AUSTRALIA PTY LIMITED</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Category 3</w:t>
            </w:r>
            <w:r w:rsidRPr="008059F4">
              <w:rPr>
                <w:rFonts w:asciiTheme="minorHAnsi" w:hAnsiTheme="minorHAnsi" w:cstheme="minorHAnsi"/>
                <w:color w:val="000000"/>
                <w:sz w:val="18"/>
                <w:szCs w:val="18"/>
              </w:rPr>
              <w:br/>
              <w:t>(Change to existing listing)</w:t>
            </w:r>
          </w:p>
        </w:tc>
        <w:tc>
          <w:tcPr>
            <w:tcW w:w="2764" w:type="dxa"/>
            <w:shd w:val="clear" w:color="auto" w:fill="auto"/>
            <w:vAlign w:val="center"/>
          </w:tcPr>
          <w:p w14:paraId="2C49DFF1" w14:textId="52B8D28A" w:rsidR="00E71F04" w:rsidRPr="008059F4" w:rsidRDefault="00E71F04" w:rsidP="00BB57B7">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Chronic plaque psoriasis (CPP)</w:t>
            </w:r>
          </w:p>
        </w:tc>
        <w:tc>
          <w:tcPr>
            <w:tcW w:w="2978" w:type="dxa"/>
            <w:shd w:val="clear" w:color="auto" w:fill="auto"/>
            <w:tcMar>
              <w:top w:w="28" w:type="dxa"/>
              <w:bottom w:w="28" w:type="dxa"/>
            </w:tcMar>
            <w:vAlign w:val="center"/>
          </w:tcPr>
          <w:p w14:paraId="2920F06D" w14:textId="1771D678" w:rsidR="00E71F04" w:rsidRPr="008059F4" w:rsidRDefault="00E71F0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To request a change in the General Schedule Authority Required (STREAMLINED) listing for the treatment of severe CPP to allow treatment initiation by additional medical practitioner types.</w:t>
            </w:r>
          </w:p>
        </w:tc>
        <w:tc>
          <w:tcPr>
            <w:tcW w:w="1800" w:type="dxa"/>
            <w:shd w:val="clear" w:color="auto" w:fill="auto"/>
            <w:vAlign w:val="center"/>
          </w:tcPr>
          <w:p w14:paraId="6FB45133" w14:textId="053D8760" w:rsidR="00E71F04" w:rsidRPr="008059F4" w:rsidRDefault="00E71F0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Recommended</w:t>
            </w:r>
          </w:p>
        </w:tc>
        <w:tc>
          <w:tcPr>
            <w:tcW w:w="4833" w:type="dxa"/>
            <w:shd w:val="clear" w:color="auto" w:fill="auto"/>
            <w:vAlign w:val="center"/>
          </w:tcPr>
          <w:p w14:paraId="32D9EB1C" w14:textId="6A1A7832" w:rsidR="00B37FC0" w:rsidRDefault="00E71F04" w:rsidP="003E6E90">
            <w:pPr>
              <w:jc w:val="both"/>
              <w:rPr>
                <w:rFonts w:asciiTheme="minorHAnsi" w:hAnsiTheme="minorHAnsi" w:cstheme="minorHAnsi"/>
                <w:sz w:val="18"/>
                <w:szCs w:val="18"/>
              </w:rPr>
            </w:pPr>
            <w:r w:rsidRPr="008059F4">
              <w:rPr>
                <w:rFonts w:asciiTheme="minorHAnsi" w:hAnsiTheme="minorHAnsi" w:cstheme="minorHAnsi"/>
                <w:sz w:val="18"/>
                <w:szCs w:val="18"/>
              </w:rPr>
              <w:t xml:space="preserve">The PBAC recommended the following changes to the treatment criteria of apremilast (Otezla) for the treatment of severe CPP in patients who have failed treatment with, or who are contraindicated or intolerant, to methotrexate: </w:t>
            </w:r>
          </w:p>
          <w:p w14:paraId="33E831DC" w14:textId="77777777" w:rsidR="009E6485" w:rsidRDefault="009E6485" w:rsidP="003E6E90">
            <w:pPr>
              <w:jc w:val="both"/>
              <w:rPr>
                <w:rFonts w:asciiTheme="minorHAnsi" w:hAnsiTheme="minorHAnsi" w:cstheme="minorHAnsi"/>
                <w:sz w:val="18"/>
                <w:szCs w:val="18"/>
              </w:rPr>
            </w:pPr>
          </w:p>
          <w:p w14:paraId="0C2F6375" w14:textId="03413932" w:rsidR="00B37FC0" w:rsidRPr="00476822" w:rsidRDefault="00E71F04" w:rsidP="003A0C9D">
            <w:pPr>
              <w:pStyle w:val="ListParagraph"/>
              <w:numPr>
                <w:ilvl w:val="0"/>
                <w:numId w:val="8"/>
              </w:numPr>
              <w:ind w:left="293" w:hanging="284"/>
              <w:jc w:val="both"/>
              <w:rPr>
                <w:rFonts w:asciiTheme="minorHAnsi" w:eastAsia="Times New Roman" w:hAnsiTheme="minorHAnsi" w:cstheme="minorHAnsi"/>
                <w:sz w:val="18"/>
                <w:szCs w:val="18"/>
              </w:rPr>
            </w:pPr>
            <w:r w:rsidRPr="00476822">
              <w:rPr>
                <w:rFonts w:asciiTheme="minorHAnsi" w:eastAsia="Times New Roman" w:hAnsiTheme="minorHAnsi" w:cstheme="minorHAnsi"/>
                <w:sz w:val="18"/>
                <w:szCs w:val="18"/>
              </w:rPr>
              <w:t xml:space="preserve">To allow rheumatologists and general physicians to initiate treatment (in addition to dermatologists). </w:t>
            </w:r>
          </w:p>
          <w:p w14:paraId="4F271158" w14:textId="3FB30193" w:rsidR="00B37FC0" w:rsidRPr="00476822" w:rsidRDefault="00E71F04" w:rsidP="003A0C9D">
            <w:pPr>
              <w:pStyle w:val="ListParagraph"/>
              <w:numPr>
                <w:ilvl w:val="0"/>
                <w:numId w:val="8"/>
              </w:numPr>
              <w:ind w:left="293" w:hanging="284"/>
              <w:jc w:val="both"/>
              <w:rPr>
                <w:rFonts w:asciiTheme="minorHAnsi" w:eastAsia="Times New Roman" w:hAnsiTheme="minorHAnsi" w:cstheme="minorHAnsi"/>
                <w:sz w:val="18"/>
                <w:szCs w:val="18"/>
              </w:rPr>
            </w:pPr>
            <w:r w:rsidRPr="00476822">
              <w:rPr>
                <w:rFonts w:asciiTheme="minorHAnsi" w:eastAsia="Times New Roman" w:hAnsiTheme="minorHAnsi" w:cstheme="minorHAnsi"/>
                <w:sz w:val="18"/>
                <w:szCs w:val="18"/>
              </w:rPr>
              <w:t xml:space="preserve">To allow rheumatology registrars to initiate treatment in consultation with one of the above practitioner types (in addition to dermatology registrars). </w:t>
            </w:r>
          </w:p>
          <w:p w14:paraId="642B0A4A" w14:textId="77777777" w:rsidR="009E6485" w:rsidRPr="00476822" w:rsidRDefault="009E6485" w:rsidP="003E6E90">
            <w:pPr>
              <w:pStyle w:val="ListParagraph"/>
              <w:ind w:left="293"/>
              <w:jc w:val="both"/>
              <w:rPr>
                <w:rFonts w:asciiTheme="minorHAnsi" w:eastAsia="Times New Roman" w:hAnsiTheme="minorHAnsi" w:cstheme="minorHAnsi"/>
                <w:sz w:val="18"/>
                <w:szCs w:val="18"/>
              </w:rPr>
            </w:pPr>
          </w:p>
          <w:p w14:paraId="739BF5EE" w14:textId="77E34C6A" w:rsidR="00E71F04" w:rsidRPr="00476822" w:rsidRDefault="00E71F04" w:rsidP="009B3BC3">
            <w:pPr>
              <w:jc w:val="both"/>
              <w:rPr>
                <w:rFonts w:asciiTheme="minorHAnsi" w:hAnsiTheme="minorHAnsi" w:cstheme="minorHAnsi"/>
                <w:sz w:val="18"/>
                <w:szCs w:val="18"/>
              </w:rPr>
            </w:pPr>
            <w:r w:rsidRPr="008059F4">
              <w:rPr>
                <w:rFonts w:asciiTheme="minorHAnsi" w:hAnsiTheme="minorHAnsi" w:cstheme="minorHAnsi"/>
                <w:sz w:val="18"/>
                <w:szCs w:val="18"/>
              </w:rPr>
              <w:t xml:space="preserve">The PBAC did not recommend the requested change to allow </w:t>
            </w:r>
            <w:r w:rsidR="00AC749B">
              <w:rPr>
                <w:rFonts w:asciiTheme="minorHAnsi" w:hAnsiTheme="minorHAnsi" w:cstheme="minorHAnsi"/>
                <w:sz w:val="18"/>
                <w:szCs w:val="18"/>
              </w:rPr>
              <w:t>general practitioners (</w:t>
            </w:r>
            <w:r w:rsidRPr="008059F4">
              <w:rPr>
                <w:rFonts w:asciiTheme="minorHAnsi" w:hAnsiTheme="minorHAnsi" w:cstheme="minorHAnsi"/>
                <w:sz w:val="18"/>
                <w:szCs w:val="18"/>
              </w:rPr>
              <w:t>GPs</w:t>
            </w:r>
            <w:r w:rsidR="00AC749B">
              <w:rPr>
                <w:rFonts w:asciiTheme="minorHAnsi" w:hAnsiTheme="minorHAnsi" w:cstheme="minorHAnsi"/>
                <w:sz w:val="18"/>
                <w:szCs w:val="18"/>
              </w:rPr>
              <w:t>)</w:t>
            </w:r>
            <w:r w:rsidRPr="008059F4">
              <w:rPr>
                <w:rFonts w:asciiTheme="minorHAnsi" w:hAnsiTheme="minorHAnsi" w:cstheme="minorHAnsi"/>
                <w:sz w:val="18"/>
                <w:szCs w:val="18"/>
              </w:rPr>
              <w:t xml:space="preserve"> to initiate treatment with apremilast. The PBAC considered that the proposed treatment criteria was broad</w:t>
            </w:r>
            <w:r w:rsidR="00B37FC0">
              <w:rPr>
                <w:rFonts w:asciiTheme="minorHAnsi" w:hAnsiTheme="minorHAnsi" w:cstheme="minorHAnsi"/>
                <w:sz w:val="18"/>
                <w:szCs w:val="18"/>
              </w:rPr>
              <w:t xml:space="preserve">, </w:t>
            </w:r>
            <w:r w:rsidRPr="008059F4">
              <w:rPr>
                <w:rFonts w:asciiTheme="minorHAnsi" w:hAnsiTheme="minorHAnsi" w:cstheme="minorHAnsi"/>
                <w:sz w:val="18"/>
                <w:szCs w:val="18"/>
              </w:rPr>
              <w:t>that the required experience is not ascertainable in a manner that can be verified, and carried a risk of misdiagnosis and inappropriate prescribing. The PBAC noted that GPs are currently able to prescribe continuing treatment with apremilast where there is agreement with one of the initiating practitioner types, and considered that this remained appropriate.</w:t>
            </w:r>
            <w:r w:rsidRPr="008059F4">
              <w:rPr>
                <w:rFonts w:asciiTheme="minorHAnsi" w:hAnsiTheme="minorHAnsi" w:cstheme="minorHAnsi"/>
                <w:sz w:val="18"/>
                <w:szCs w:val="18"/>
              </w:rPr>
              <w:br/>
            </w:r>
            <w:r w:rsidRPr="008059F4">
              <w:rPr>
                <w:rFonts w:asciiTheme="minorHAnsi" w:hAnsiTheme="minorHAnsi" w:cstheme="minorHAnsi"/>
                <w:sz w:val="18"/>
                <w:szCs w:val="18"/>
              </w:rPr>
              <w:br/>
              <w:t xml:space="preserve">The PBAC recommended that the Prescribing Instruction regarding the need for prescribers to complete a Psoriasis Area and Severity Index assessment for patients to move onto biologic treatments should be included in the restriction for apremilast and should flow onto ciclosporin and deucravacitinib. The PBAC </w:t>
            </w:r>
            <w:r w:rsidR="00413975">
              <w:rPr>
                <w:rFonts w:asciiTheme="minorHAnsi" w:hAnsiTheme="minorHAnsi" w:cstheme="minorHAnsi"/>
                <w:sz w:val="18"/>
                <w:szCs w:val="18"/>
              </w:rPr>
              <w:t>recommended</w:t>
            </w:r>
            <w:r w:rsidR="00413975" w:rsidRPr="008059F4">
              <w:rPr>
                <w:rFonts w:asciiTheme="minorHAnsi" w:hAnsiTheme="minorHAnsi" w:cstheme="minorHAnsi"/>
                <w:sz w:val="18"/>
                <w:szCs w:val="18"/>
              </w:rPr>
              <w:t xml:space="preserve"> </w:t>
            </w:r>
            <w:r w:rsidRPr="008059F4">
              <w:rPr>
                <w:rFonts w:asciiTheme="minorHAnsi" w:hAnsiTheme="minorHAnsi" w:cstheme="minorHAnsi"/>
                <w:sz w:val="18"/>
                <w:szCs w:val="18"/>
              </w:rPr>
              <w:t>that the changes to the initial treatment criteria for apremilast should flow onto ciclosporin for the treatment of CPP, and that all of the recommended changes to the treatment criteria for apremilast should flow onto the listings for deucravacitinib for severe CPP.</w:t>
            </w:r>
          </w:p>
        </w:tc>
      </w:tr>
      <w:tr w:rsidR="00E71F04" w:rsidRPr="008059F4" w14:paraId="15392436" w14:textId="77777777" w:rsidTr="003774E1">
        <w:trPr>
          <w:cantSplit/>
          <w:trHeight w:val="2948"/>
          <w:jc w:val="center"/>
        </w:trPr>
        <w:tc>
          <w:tcPr>
            <w:tcW w:w="3013" w:type="dxa"/>
            <w:shd w:val="clear" w:color="auto" w:fill="auto"/>
            <w:tcMar>
              <w:top w:w="28" w:type="dxa"/>
              <w:bottom w:w="28" w:type="dxa"/>
            </w:tcMar>
            <w:vAlign w:val="center"/>
          </w:tcPr>
          <w:p w14:paraId="533E1DB4" w14:textId="28986337" w:rsidR="00F875EE" w:rsidRPr="00F875EE" w:rsidRDefault="00E71F04" w:rsidP="00F875EE">
            <w:pPr>
              <w:keepLines/>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lastRenderedPageBreak/>
              <w:t xml:space="preserve">BUDESONIDE </w:t>
            </w:r>
            <w:r w:rsidR="00252D73">
              <w:rPr>
                <w:rFonts w:asciiTheme="minorHAnsi" w:hAnsiTheme="minorHAnsi" w:cstheme="minorHAnsi"/>
                <w:color w:val="000000"/>
                <w:sz w:val="18"/>
                <w:szCs w:val="18"/>
              </w:rPr>
              <w:t>WITH</w:t>
            </w:r>
            <w:r w:rsidRPr="008059F4">
              <w:rPr>
                <w:rFonts w:asciiTheme="minorHAnsi" w:hAnsiTheme="minorHAnsi" w:cstheme="minorHAnsi"/>
                <w:color w:val="000000"/>
                <w:sz w:val="18"/>
                <w:szCs w:val="18"/>
              </w:rPr>
              <w:t xml:space="preserve"> FORMOTEROL</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r>
            <w:r w:rsidR="00F875EE" w:rsidRPr="00F875EE">
              <w:rPr>
                <w:rFonts w:asciiTheme="minorHAnsi" w:hAnsiTheme="minorHAnsi" w:cstheme="minorHAnsi"/>
                <w:color w:val="000000"/>
                <w:sz w:val="18"/>
                <w:szCs w:val="18"/>
              </w:rPr>
              <w:t>Powder for oral inhalation in breath actuated device containing budesonide 200 micrograms with formoterol fumarate dihydrate 6</w:t>
            </w:r>
            <w:r w:rsidR="00B37FC0">
              <w:rPr>
                <w:rFonts w:asciiTheme="minorHAnsi" w:hAnsiTheme="minorHAnsi" w:cstheme="minorHAnsi"/>
                <w:color w:val="000000"/>
                <w:sz w:val="18"/>
                <w:szCs w:val="18"/>
              </w:rPr>
              <w:t> </w:t>
            </w:r>
            <w:r w:rsidR="00F875EE" w:rsidRPr="00F875EE">
              <w:rPr>
                <w:rFonts w:asciiTheme="minorHAnsi" w:hAnsiTheme="minorHAnsi" w:cstheme="minorHAnsi"/>
                <w:color w:val="000000"/>
                <w:sz w:val="18"/>
                <w:szCs w:val="18"/>
              </w:rPr>
              <w:t>micrograms per dose, 60 doses</w:t>
            </w:r>
          </w:p>
          <w:p w14:paraId="5064FF2E" w14:textId="324C6B88" w:rsidR="00E71F04" w:rsidRPr="008059F4" w:rsidRDefault="00F875EE" w:rsidP="00F875EE">
            <w:pPr>
              <w:keepLines/>
              <w:jc w:val="center"/>
              <w:rPr>
                <w:rFonts w:asciiTheme="minorHAnsi" w:hAnsiTheme="minorHAnsi" w:cstheme="minorHAnsi"/>
                <w:color w:val="000000"/>
                <w:sz w:val="18"/>
                <w:szCs w:val="18"/>
              </w:rPr>
            </w:pPr>
            <w:r w:rsidRPr="00F875EE">
              <w:rPr>
                <w:rFonts w:asciiTheme="minorHAnsi" w:hAnsiTheme="minorHAnsi" w:cstheme="minorHAnsi"/>
                <w:color w:val="000000"/>
                <w:sz w:val="18"/>
                <w:szCs w:val="18"/>
              </w:rPr>
              <w:t>Powder for oral inhalation in breath actuated device containing budesonide 400 micrograms with formoterol fumarate dihydrate 12</w:t>
            </w:r>
            <w:r w:rsidR="00B37FC0">
              <w:rPr>
                <w:rFonts w:asciiTheme="minorHAnsi" w:hAnsiTheme="minorHAnsi" w:cstheme="minorHAnsi"/>
                <w:color w:val="000000"/>
                <w:sz w:val="18"/>
                <w:szCs w:val="18"/>
              </w:rPr>
              <w:t> </w:t>
            </w:r>
            <w:r w:rsidRPr="00F875EE">
              <w:rPr>
                <w:rFonts w:asciiTheme="minorHAnsi" w:hAnsiTheme="minorHAnsi" w:cstheme="minorHAnsi"/>
                <w:color w:val="000000"/>
                <w:sz w:val="18"/>
                <w:szCs w:val="18"/>
              </w:rPr>
              <w:t>micrograms per dose, 60 doses</w:t>
            </w:r>
            <w:r w:rsidR="00E71F04" w:rsidRPr="008059F4">
              <w:rPr>
                <w:rFonts w:asciiTheme="minorHAnsi" w:hAnsiTheme="minorHAnsi" w:cstheme="minorHAnsi"/>
                <w:color w:val="000000"/>
                <w:sz w:val="18"/>
                <w:szCs w:val="18"/>
              </w:rPr>
              <w:br/>
            </w:r>
            <w:r w:rsidR="00E71F04" w:rsidRPr="008059F4">
              <w:rPr>
                <w:rFonts w:asciiTheme="minorHAnsi" w:hAnsiTheme="minorHAnsi" w:cstheme="minorHAnsi"/>
                <w:color w:val="000000"/>
                <w:sz w:val="18"/>
                <w:szCs w:val="18"/>
              </w:rPr>
              <w:br/>
              <w:t>Bufomix</w:t>
            </w:r>
            <w:r w:rsidR="007606E7" w:rsidRPr="008059F4">
              <w:rPr>
                <w:rFonts w:asciiTheme="minorHAnsi" w:hAnsiTheme="minorHAnsi" w:cstheme="minorHAnsi"/>
                <w:color w:val="000000"/>
                <w:sz w:val="18"/>
                <w:szCs w:val="18"/>
              </w:rPr>
              <w:t>®</w:t>
            </w:r>
            <w:r w:rsidR="00E71F04" w:rsidRPr="008059F4">
              <w:rPr>
                <w:rFonts w:asciiTheme="minorHAnsi" w:hAnsiTheme="minorHAnsi" w:cstheme="minorHAnsi"/>
                <w:color w:val="000000"/>
                <w:sz w:val="18"/>
                <w:szCs w:val="18"/>
              </w:rPr>
              <w:t xml:space="preserve"> Easyhaler®</w:t>
            </w:r>
            <w:r w:rsidR="00E71F04" w:rsidRPr="008059F4">
              <w:rPr>
                <w:rFonts w:asciiTheme="minorHAnsi" w:hAnsiTheme="minorHAnsi" w:cstheme="minorHAnsi"/>
                <w:color w:val="000000"/>
                <w:sz w:val="18"/>
                <w:szCs w:val="18"/>
              </w:rPr>
              <w:br/>
            </w:r>
            <w:r w:rsidR="00E71F04" w:rsidRPr="008059F4">
              <w:rPr>
                <w:rFonts w:asciiTheme="minorHAnsi" w:hAnsiTheme="minorHAnsi" w:cstheme="minorHAnsi"/>
                <w:color w:val="000000"/>
                <w:sz w:val="18"/>
                <w:szCs w:val="18"/>
              </w:rPr>
              <w:br/>
              <w:t>ORION PHARMA (AUS) PTY LIMITED</w:t>
            </w:r>
            <w:r w:rsidR="00E71F04" w:rsidRPr="008059F4">
              <w:rPr>
                <w:rFonts w:asciiTheme="minorHAnsi" w:hAnsiTheme="minorHAnsi" w:cstheme="minorHAnsi"/>
                <w:color w:val="000000"/>
                <w:sz w:val="18"/>
                <w:szCs w:val="18"/>
              </w:rPr>
              <w:br/>
            </w:r>
            <w:r w:rsidR="00E71F04" w:rsidRPr="008059F4">
              <w:rPr>
                <w:rFonts w:asciiTheme="minorHAnsi" w:hAnsiTheme="minorHAnsi" w:cstheme="minorHAnsi"/>
                <w:color w:val="000000"/>
                <w:sz w:val="18"/>
                <w:szCs w:val="18"/>
              </w:rPr>
              <w:br/>
              <w:t>Category 4</w:t>
            </w:r>
            <w:r w:rsidR="00E71F04" w:rsidRPr="008059F4">
              <w:rPr>
                <w:rFonts w:asciiTheme="minorHAnsi" w:hAnsiTheme="minorHAnsi" w:cstheme="minorHAnsi"/>
                <w:color w:val="000000"/>
                <w:sz w:val="18"/>
                <w:szCs w:val="18"/>
              </w:rPr>
              <w:br/>
              <w:t>(New listing)</w:t>
            </w:r>
          </w:p>
        </w:tc>
        <w:tc>
          <w:tcPr>
            <w:tcW w:w="2764" w:type="dxa"/>
            <w:shd w:val="clear" w:color="auto" w:fill="auto"/>
            <w:vAlign w:val="center"/>
          </w:tcPr>
          <w:p w14:paraId="4D9E6C30" w14:textId="310E6420" w:rsidR="00E71F04" w:rsidRPr="008059F4" w:rsidRDefault="00E71F04" w:rsidP="00BB57B7">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 xml:space="preserve">Asthma </w:t>
            </w:r>
            <w:r w:rsidRPr="008059F4">
              <w:rPr>
                <w:rFonts w:asciiTheme="minorHAnsi" w:hAnsiTheme="minorHAnsi" w:cstheme="minorHAnsi"/>
                <w:color w:val="000000"/>
                <w:sz w:val="18"/>
                <w:szCs w:val="18"/>
              </w:rPr>
              <w:br/>
              <w:t>Chronic obstructive pulmonary disease (COPD)</w:t>
            </w:r>
          </w:p>
        </w:tc>
        <w:tc>
          <w:tcPr>
            <w:tcW w:w="2978" w:type="dxa"/>
            <w:shd w:val="clear" w:color="auto" w:fill="auto"/>
            <w:tcMar>
              <w:top w:w="28" w:type="dxa"/>
              <w:bottom w:w="28" w:type="dxa"/>
            </w:tcMar>
            <w:vAlign w:val="center"/>
          </w:tcPr>
          <w:p w14:paraId="51A95D88" w14:textId="438F84DC" w:rsidR="00E71F04" w:rsidRPr="008059F4" w:rsidRDefault="00E71F0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 xml:space="preserve">To request a General Schedule Authority Required (STREAMLINED) listing for the treatment of asthma and COPD on the basis of bioequivalence to </w:t>
            </w:r>
            <w:r w:rsidR="002D43E8" w:rsidRPr="008059F4">
              <w:rPr>
                <w:rFonts w:asciiTheme="minorHAnsi" w:hAnsiTheme="minorHAnsi" w:cstheme="minorHAnsi"/>
                <w:color w:val="000000"/>
                <w:sz w:val="18"/>
                <w:szCs w:val="18"/>
              </w:rPr>
              <w:t>Symbicort</w:t>
            </w:r>
            <w:r w:rsidR="007606E7" w:rsidRPr="008059F4">
              <w:rPr>
                <w:rFonts w:asciiTheme="minorHAnsi" w:hAnsiTheme="minorHAnsi" w:cstheme="minorHAnsi"/>
                <w:color w:val="000000"/>
                <w:sz w:val="18"/>
                <w:szCs w:val="18"/>
              </w:rPr>
              <w:t>®</w:t>
            </w:r>
            <w:r w:rsidR="002D43E8" w:rsidRPr="008059F4">
              <w:rPr>
                <w:rFonts w:asciiTheme="minorHAnsi" w:hAnsiTheme="minorHAnsi" w:cstheme="minorHAnsi"/>
                <w:color w:val="000000"/>
                <w:sz w:val="18"/>
                <w:szCs w:val="18"/>
              </w:rPr>
              <w:t xml:space="preserve"> Turbuhaler</w:t>
            </w:r>
            <w:r w:rsidRPr="008059F4">
              <w:rPr>
                <w:rFonts w:asciiTheme="minorHAnsi" w:hAnsiTheme="minorHAnsi" w:cstheme="minorHAnsi"/>
                <w:color w:val="000000"/>
                <w:sz w:val="18"/>
                <w:szCs w:val="18"/>
              </w:rPr>
              <w:t>®.</w:t>
            </w:r>
          </w:p>
        </w:tc>
        <w:tc>
          <w:tcPr>
            <w:tcW w:w="1800" w:type="dxa"/>
            <w:shd w:val="clear" w:color="auto" w:fill="auto"/>
            <w:vAlign w:val="center"/>
          </w:tcPr>
          <w:p w14:paraId="6975FA0E" w14:textId="4BC4E2D4" w:rsidR="00E71F04" w:rsidRPr="008059F4" w:rsidRDefault="00E71F0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Recommended</w:t>
            </w:r>
          </w:p>
        </w:tc>
        <w:tc>
          <w:tcPr>
            <w:tcW w:w="4833" w:type="dxa"/>
            <w:shd w:val="clear" w:color="auto" w:fill="auto"/>
            <w:vAlign w:val="center"/>
          </w:tcPr>
          <w:p w14:paraId="21BF3EDC" w14:textId="613B44CD" w:rsidR="009B3BC3" w:rsidRDefault="00E71F04" w:rsidP="003E6E90">
            <w:pPr>
              <w:jc w:val="both"/>
              <w:rPr>
                <w:rFonts w:asciiTheme="minorHAnsi" w:hAnsiTheme="minorHAnsi" w:cstheme="minorHAnsi"/>
                <w:color w:val="000000"/>
                <w:sz w:val="18"/>
                <w:szCs w:val="18"/>
              </w:rPr>
            </w:pPr>
            <w:r w:rsidRPr="008059F4">
              <w:rPr>
                <w:rFonts w:asciiTheme="minorHAnsi" w:hAnsiTheme="minorHAnsi" w:cstheme="minorHAnsi"/>
                <w:color w:val="000000"/>
                <w:sz w:val="18"/>
                <w:szCs w:val="18"/>
              </w:rPr>
              <w:t>The PBAC recommended the listing of two new forms of budesonide with formoterol (Bufomix Easyhaler 200/6 and 400/12) under the same circumstances as the currently PBS</w:t>
            </w:r>
            <w:r w:rsidR="00130D30">
              <w:rPr>
                <w:rFonts w:asciiTheme="minorHAnsi" w:hAnsiTheme="minorHAnsi" w:cstheme="minorHAnsi"/>
                <w:color w:val="000000"/>
                <w:sz w:val="18"/>
                <w:szCs w:val="18"/>
              </w:rPr>
              <w:noBreakHyphen/>
            </w:r>
            <w:r w:rsidRPr="008059F4">
              <w:rPr>
                <w:rFonts w:asciiTheme="minorHAnsi" w:hAnsiTheme="minorHAnsi" w:cstheme="minorHAnsi"/>
                <w:color w:val="000000"/>
                <w:sz w:val="18"/>
                <w:szCs w:val="18"/>
              </w:rPr>
              <w:t>listed Symbicort Turbuhaler 200/6 and 400/12 respectively. The PBAC recommended listing Bufomix Easyhaler on a cost</w:t>
            </w:r>
            <w:r w:rsidR="00130D30">
              <w:rPr>
                <w:rFonts w:asciiTheme="minorHAnsi" w:hAnsiTheme="minorHAnsi" w:cstheme="minorHAnsi"/>
                <w:color w:val="000000"/>
                <w:sz w:val="18"/>
                <w:szCs w:val="18"/>
              </w:rPr>
              <w:noBreakHyphen/>
            </w:r>
            <w:r w:rsidRPr="008059F4">
              <w:rPr>
                <w:rFonts w:asciiTheme="minorHAnsi" w:hAnsiTheme="minorHAnsi" w:cstheme="minorHAnsi"/>
                <w:color w:val="000000"/>
                <w:sz w:val="18"/>
                <w:szCs w:val="18"/>
              </w:rPr>
              <w:t>minimisation basis to the lowest</w:t>
            </w:r>
            <w:r w:rsidR="00AC749B">
              <w:rPr>
                <w:rFonts w:asciiTheme="minorHAnsi" w:hAnsiTheme="minorHAnsi" w:cstheme="minorHAnsi"/>
                <w:color w:val="000000"/>
                <w:sz w:val="18"/>
                <w:szCs w:val="18"/>
              </w:rPr>
              <w:t xml:space="preserve"> </w:t>
            </w:r>
            <w:r w:rsidRPr="008059F4">
              <w:rPr>
                <w:rFonts w:asciiTheme="minorHAnsi" w:hAnsiTheme="minorHAnsi" w:cstheme="minorHAnsi"/>
                <w:color w:val="000000"/>
                <w:sz w:val="18"/>
                <w:szCs w:val="18"/>
              </w:rPr>
              <w:t xml:space="preserve">cost PBS-listed budesonide </w:t>
            </w:r>
            <w:r w:rsidR="00252D73">
              <w:rPr>
                <w:rFonts w:asciiTheme="minorHAnsi" w:hAnsiTheme="minorHAnsi" w:cstheme="minorHAnsi"/>
                <w:color w:val="000000"/>
                <w:sz w:val="18"/>
                <w:szCs w:val="18"/>
              </w:rPr>
              <w:t>with</w:t>
            </w:r>
            <w:r w:rsidRPr="008059F4">
              <w:rPr>
                <w:rFonts w:asciiTheme="minorHAnsi" w:hAnsiTheme="minorHAnsi" w:cstheme="minorHAnsi"/>
                <w:color w:val="000000"/>
                <w:sz w:val="18"/>
                <w:szCs w:val="18"/>
              </w:rPr>
              <w:t xml:space="preserve"> formoterol powder for inhalation 200/6 and 400/12 items respectively. It noted that listing</w:t>
            </w:r>
            <w:r w:rsidR="009B3BC3">
              <w:rPr>
                <w:rFonts w:asciiTheme="minorHAnsi" w:hAnsiTheme="minorHAnsi" w:cstheme="minorHAnsi"/>
                <w:color w:val="000000"/>
                <w:sz w:val="18"/>
                <w:szCs w:val="18"/>
              </w:rPr>
              <w:t xml:space="preserve"> both strengths of</w:t>
            </w:r>
            <w:r w:rsidRPr="008059F4">
              <w:rPr>
                <w:rFonts w:asciiTheme="minorHAnsi" w:hAnsiTheme="minorHAnsi" w:cstheme="minorHAnsi"/>
                <w:color w:val="000000"/>
                <w:sz w:val="18"/>
                <w:szCs w:val="18"/>
              </w:rPr>
              <w:t xml:space="preserve"> Bufomix Easyhaler on the PBS is expected to have no net cost to the PBS. The PBAC noted the TGA considered Bufomix Easyhaler to be bioequivalent to Symbicort Turbuhaler, and advised the equi-effective doses were: Bufomix</w:t>
            </w:r>
            <w:r w:rsidR="00B37FC0">
              <w:rPr>
                <w:rFonts w:asciiTheme="minorHAnsi" w:hAnsiTheme="minorHAnsi" w:cstheme="minorHAnsi"/>
                <w:color w:val="000000"/>
                <w:sz w:val="18"/>
                <w:szCs w:val="18"/>
              </w:rPr>
              <w:t xml:space="preserve"> </w:t>
            </w:r>
            <w:r w:rsidRPr="008059F4">
              <w:rPr>
                <w:rFonts w:asciiTheme="minorHAnsi" w:hAnsiTheme="minorHAnsi" w:cstheme="minorHAnsi"/>
                <w:color w:val="000000"/>
                <w:sz w:val="18"/>
                <w:szCs w:val="18"/>
              </w:rPr>
              <w:t>Easyhaler 200/6 = Symbicort Turbuhaler 200/6, and Bufomix Easyhaler 400/12 = Symbicort Turbuhaler 400/12. The PBAC advised that</w:t>
            </w:r>
            <w:r w:rsidR="00413975">
              <w:rPr>
                <w:rFonts w:asciiTheme="minorHAnsi" w:hAnsiTheme="minorHAnsi" w:cstheme="minorHAnsi"/>
                <w:color w:val="000000"/>
                <w:sz w:val="18"/>
                <w:szCs w:val="18"/>
              </w:rPr>
              <w:t xml:space="preserve"> the</w:t>
            </w:r>
            <w:r w:rsidR="00561B79">
              <w:rPr>
                <w:rFonts w:asciiTheme="minorHAnsi" w:hAnsiTheme="minorHAnsi" w:cstheme="minorHAnsi"/>
                <w:color w:val="000000"/>
                <w:sz w:val="18"/>
                <w:szCs w:val="18"/>
              </w:rPr>
              <w:t xml:space="preserve"> equivalent strengths of</w:t>
            </w:r>
            <w:r w:rsidRPr="008059F4">
              <w:rPr>
                <w:rFonts w:asciiTheme="minorHAnsi" w:hAnsiTheme="minorHAnsi" w:cstheme="minorHAnsi"/>
                <w:color w:val="000000"/>
                <w:sz w:val="18"/>
                <w:szCs w:val="18"/>
              </w:rPr>
              <w:t xml:space="preserve"> Bufomix Easyhaler</w:t>
            </w:r>
            <w:r w:rsidR="00413975">
              <w:rPr>
                <w:rFonts w:asciiTheme="minorHAnsi" w:hAnsiTheme="minorHAnsi" w:cstheme="minorHAnsi"/>
                <w:color w:val="000000"/>
                <w:sz w:val="18"/>
                <w:szCs w:val="18"/>
              </w:rPr>
              <w:t>,</w:t>
            </w:r>
            <w:r w:rsidRPr="008059F4">
              <w:rPr>
                <w:rFonts w:asciiTheme="minorHAnsi" w:hAnsiTheme="minorHAnsi" w:cstheme="minorHAnsi"/>
                <w:color w:val="000000"/>
                <w:sz w:val="18"/>
                <w:szCs w:val="18"/>
              </w:rPr>
              <w:t xml:space="preserve"> Symbicort Turbuhaler and other PBS-listed generic brands should be considered equivalent for the purposes of substitution (i.e., ‘a’ flagged in the Schedule).</w:t>
            </w:r>
          </w:p>
          <w:p w14:paraId="05793227" w14:textId="77777777" w:rsidR="009B3BC3" w:rsidRDefault="009B3BC3" w:rsidP="003E6E90">
            <w:pPr>
              <w:jc w:val="both"/>
              <w:rPr>
                <w:rFonts w:asciiTheme="minorHAnsi" w:hAnsiTheme="minorHAnsi" w:cstheme="minorHAnsi"/>
                <w:color w:val="000000"/>
                <w:sz w:val="18"/>
                <w:szCs w:val="18"/>
              </w:rPr>
            </w:pPr>
          </w:p>
          <w:p w14:paraId="6FF09226" w14:textId="0404F08B" w:rsidR="00005B5B" w:rsidRDefault="00E71F04" w:rsidP="005F29BA">
            <w:pPr>
              <w:jc w:val="both"/>
              <w:rPr>
                <w:rFonts w:asciiTheme="minorHAnsi" w:hAnsiTheme="minorHAnsi" w:cstheme="minorHAnsi"/>
                <w:color w:val="000000"/>
                <w:sz w:val="18"/>
                <w:szCs w:val="18"/>
              </w:rPr>
            </w:pPr>
            <w:r w:rsidRPr="008059F4">
              <w:rPr>
                <w:rFonts w:asciiTheme="minorHAnsi" w:hAnsiTheme="minorHAnsi" w:cstheme="minorHAnsi"/>
                <w:color w:val="000000"/>
                <w:sz w:val="18"/>
                <w:szCs w:val="18"/>
              </w:rPr>
              <w:t xml:space="preserve">The PBAC noted that Bufomix Easyhaler comes in a </w:t>
            </w:r>
            <w:r w:rsidR="00B37FC0" w:rsidRPr="008059F4">
              <w:rPr>
                <w:rFonts w:asciiTheme="minorHAnsi" w:hAnsiTheme="minorHAnsi" w:cstheme="minorHAnsi"/>
                <w:color w:val="000000"/>
                <w:sz w:val="18"/>
                <w:szCs w:val="18"/>
              </w:rPr>
              <w:t>60</w:t>
            </w:r>
            <w:r w:rsidR="00B37FC0">
              <w:rPr>
                <w:rFonts w:asciiTheme="minorHAnsi" w:hAnsiTheme="minorHAnsi" w:cstheme="minorHAnsi"/>
                <w:color w:val="000000"/>
                <w:sz w:val="18"/>
                <w:szCs w:val="18"/>
              </w:rPr>
              <w:t> </w:t>
            </w:r>
            <w:r w:rsidRPr="008059F4">
              <w:rPr>
                <w:rFonts w:asciiTheme="minorHAnsi" w:hAnsiTheme="minorHAnsi" w:cstheme="minorHAnsi"/>
                <w:color w:val="000000"/>
                <w:sz w:val="18"/>
                <w:szCs w:val="18"/>
              </w:rPr>
              <w:t xml:space="preserve">dose pack for both strengths, and that a maximum quantity of </w:t>
            </w:r>
            <w:r w:rsidR="00130D30" w:rsidRPr="008059F4">
              <w:rPr>
                <w:rFonts w:asciiTheme="minorHAnsi" w:hAnsiTheme="minorHAnsi" w:cstheme="minorHAnsi"/>
                <w:color w:val="000000"/>
                <w:sz w:val="18"/>
                <w:szCs w:val="18"/>
              </w:rPr>
              <w:t>2</w:t>
            </w:r>
            <w:r w:rsidR="00130D30">
              <w:rPr>
                <w:rFonts w:asciiTheme="minorHAnsi" w:hAnsiTheme="minorHAnsi" w:cstheme="minorHAnsi"/>
                <w:color w:val="000000"/>
                <w:sz w:val="18"/>
                <w:szCs w:val="18"/>
              </w:rPr>
              <w:t> </w:t>
            </w:r>
            <w:r w:rsidRPr="008059F4">
              <w:rPr>
                <w:rFonts w:asciiTheme="minorHAnsi" w:hAnsiTheme="minorHAnsi" w:cstheme="minorHAnsi"/>
                <w:color w:val="000000"/>
                <w:sz w:val="18"/>
                <w:szCs w:val="18"/>
              </w:rPr>
              <w:t>packs for each listing is required to align with the current PBS</w:t>
            </w:r>
            <w:r w:rsidR="00130D30">
              <w:rPr>
                <w:rFonts w:asciiTheme="minorHAnsi" w:hAnsiTheme="minorHAnsi" w:cstheme="minorHAnsi"/>
                <w:color w:val="000000"/>
                <w:sz w:val="18"/>
                <w:szCs w:val="18"/>
              </w:rPr>
              <w:noBreakHyphen/>
            </w:r>
            <w:r w:rsidRPr="008059F4">
              <w:rPr>
                <w:rFonts w:asciiTheme="minorHAnsi" w:hAnsiTheme="minorHAnsi" w:cstheme="minorHAnsi"/>
                <w:color w:val="000000"/>
                <w:sz w:val="18"/>
                <w:szCs w:val="18"/>
              </w:rPr>
              <w:t xml:space="preserve">listings of </w:t>
            </w:r>
            <w:r w:rsidR="009B3BC3">
              <w:rPr>
                <w:rFonts w:asciiTheme="minorHAnsi" w:hAnsiTheme="minorHAnsi" w:cstheme="minorHAnsi"/>
                <w:color w:val="000000"/>
                <w:sz w:val="18"/>
                <w:szCs w:val="18"/>
              </w:rPr>
              <w:t xml:space="preserve">the two strengths of </w:t>
            </w:r>
            <w:r w:rsidRPr="008059F4">
              <w:rPr>
                <w:rFonts w:asciiTheme="minorHAnsi" w:hAnsiTheme="minorHAnsi" w:cstheme="minorHAnsi"/>
                <w:color w:val="000000"/>
                <w:sz w:val="18"/>
                <w:szCs w:val="18"/>
              </w:rPr>
              <w:t>budesonide with formoterol. The PBAC noted this will be addressed in the implementation stage to facilitate the listing of the different pack size for the 200/6 strength.</w:t>
            </w:r>
          </w:p>
          <w:p w14:paraId="021E8BFE" w14:textId="77777777" w:rsidR="00005B5B" w:rsidRDefault="00005B5B" w:rsidP="005F29BA">
            <w:pPr>
              <w:jc w:val="both"/>
              <w:rPr>
                <w:rFonts w:asciiTheme="minorHAnsi" w:hAnsiTheme="minorHAnsi" w:cstheme="minorHAnsi"/>
                <w:color w:val="000000"/>
                <w:sz w:val="18"/>
                <w:szCs w:val="18"/>
              </w:rPr>
            </w:pPr>
          </w:p>
          <w:p w14:paraId="2F461ADA" w14:textId="72743A61" w:rsidR="00B37FC0" w:rsidRDefault="00E71F04" w:rsidP="005F29BA">
            <w:pPr>
              <w:jc w:val="both"/>
              <w:rPr>
                <w:rFonts w:asciiTheme="minorHAnsi" w:hAnsiTheme="minorHAnsi" w:cstheme="minorHAnsi"/>
                <w:color w:val="000000"/>
                <w:sz w:val="18"/>
                <w:szCs w:val="18"/>
              </w:rPr>
            </w:pPr>
            <w:r w:rsidRPr="008059F4">
              <w:rPr>
                <w:rFonts w:asciiTheme="minorHAnsi" w:hAnsiTheme="minorHAnsi" w:cstheme="minorHAnsi"/>
                <w:color w:val="000000"/>
                <w:sz w:val="18"/>
                <w:szCs w:val="18"/>
              </w:rPr>
              <w:t>The PBAC recommended the following flow-on changes:</w:t>
            </w:r>
          </w:p>
          <w:p w14:paraId="72CB4283" w14:textId="6DF65742" w:rsidR="00B37FC0" w:rsidRPr="009B3BC3" w:rsidRDefault="00E71F04" w:rsidP="003A0C9D">
            <w:pPr>
              <w:pStyle w:val="ListParagraph"/>
              <w:numPr>
                <w:ilvl w:val="0"/>
                <w:numId w:val="9"/>
              </w:numPr>
              <w:ind w:left="293" w:hanging="286"/>
              <w:jc w:val="both"/>
              <w:rPr>
                <w:rFonts w:asciiTheme="minorHAnsi" w:hAnsiTheme="minorHAnsi" w:cstheme="minorHAnsi"/>
                <w:color w:val="000000"/>
                <w:sz w:val="18"/>
                <w:szCs w:val="18"/>
              </w:rPr>
            </w:pPr>
            <w:r w:rsidRPr="009B3BC3">
              <w:rPr>
                <w:rFonts w:asciiTheme="minorHAnsi" w:hAnsiTheme="minorHAnsi" w:cstheme="minorHAnsi"/>
                <w:color w:val="000000"/>
                <w:sz w:val="18"/>
                <w:szCs w:val="18"/>
              </w:rPr>
              <w:t>The addition of an administration advice to budesonide</w:t>
            </w:r>
            <w:r w:rsidR="00AC749B">
              <w:rPr>
                <w:rFonts w:asciiTheme="minorHAnsi" w:hAnsiTheme="minorHAnsi" w:cstheme="minorHAnsi"/>
                <w:color w:val="000000"/>
                <w:sz w:val="18"/>
                <w:szCs w:val="18"/>
              </w:rPr>
              <w:t> </w:t>
            </w:r>
            <w:r w:rsidR="00252D73">
              <w:rPr>
                <w:rFonts w:asciiTheme="minorHAnsi" w:hAnsiTheme="minorHAnsi" w:cstheme="minorHAnsi"/>
                <w:color w:val="000000"/>
                <w:sz w:val="18"/>
                <w:szCs w:val="18"/>
              </w:rPr>
              <w:t>with</w:t>
            </w:r>
            <w:r w:rsidR="00AC749B">
              <w:rPr>
                <w:rFonts w:asciiTheme="minorHAnsi" w:hAnsiTheme="minorHAnsi" w:cstheme="minorHAnsi"/>
                <w:color w:val="000000"/>
                <w:sz w:val="18"/>
                <w:szCs w:val="18"/>
              </w:rPr>
              <w:t> </w:t>
            </w:r>
            <w:r w:rsidRPr="009B3BC3">
              <w:rPr>
                <w:rFonts w:asciiTheme="minorHAnsi" w:hAnsiTheme="minorHAnsi" w:cstheme="minorHAnsi"/>
                <w:color w:val="000000"/>
                <w:sz w:val="18"/>
                <w:szCs w:val="18"/>
              </w:rPr>
              <w:t xml:space="preserve">formoterol 200/6 for the treatment of asthma in patients who have failed fluticasone propionate </w:t>
            </w:r>
            <w:r w:rsidR="00252D73">
              <w:rPr>
                <w:rFonts w:asciiTheme="minorHAnsi" w:hAnsiTheme="minorHAnsi" w:cstheme="minorHAnsi"/>
                <w:color w:val="000000"/>
                <w:sz w:val="18"/>
                <w:szCs w:val="18"/>
              </w:rPr>
              <w:t>with</w:t>
            </w:r>
            <w:r w:rsidRPr="009B3BC3">
              <w:rPr>
                <w:rFonts w:asciiTheme="minorHAnsi" w:hAnsiTheme="minorHAnsi" w:cstheme="minorHAnsi"/>
                <w:color w:val="000000"/>
                <w:sz w:val="18"/>
                <w:szCs w:val="18"/>
              </w:rPr>
              <w:t xml:space="preserve"> salmeterol to facilitate substitution.</w:t>
            </w:r>
            <w:r w:rsidR="009B3BC3">
              <w:rPr>
                <w:rFonts w:asciiTheme="minorHAnsi" w:hAnsiTheme="minorHAnsi" w:cstheme="minorHAnsi"/>
                <w:color w:val="000000"/>
                <w:sz w:val="18"/>
                <w:szCs w:val="18"/>
              </w:rPr>
              <w:t xml:space="preserve"> The advice will state the PBS listings for the 120 actuations form and 2 x 60</w:t>
            </w:r>
            <w:r w:rsidR="00130D30">
              <w:rPr>
                <w:rFonts w:asciiTheme="minorHAnsi" w:hAnsiTheme="minorHAnsi" w:cstheme="minorHAnsi"/>
                <w:color w:val="000000"/>
                <w:sz w:val="18"/>
                <w:szCs w:val="18"/>
              </w:rPr>
              <w:t> </w:t>
            </w:r>
            <w:r w:rsidR="009B3BC3">
              <w:rPr>
                <w:rFonts w:asciiTheme="minorHAnsi" w:hAnsiTheme="minorHAnsi" w:cstheme="minorHAnsi"/>
                <w:color w:val="000000"/>
                <w:sz w:val="18"/>
                <w:szCs w:val="18"/>
              </w:rPr>
              <w:t>actuations form are equivalent for the purposes of substitution.</w:t>
            </w:r>
            <w:r w:rsidRPr="009B3BC3">
              <w:rPr>
                <w:rFonts w:asciiTheme="minorHAnsi" w:hAnsiTheme="minorHAnsi" w:cstheme="minorHAnsi"/>
                <w:color w:val="000000"/>
                <w:sz w:val="18"/>
                <w:szCs w:val="18"/>
              </w:rPr>
              <w:t xml:space="preserve"> </w:t>
            </w:r>
          </w:p>
          <w:p w14:paraId="6E06C825" w14:textId="7025098F" w:rsidR="00E71F04" w:rsidRPr="009B3BC3" w:rsidRDefault="00E71F04" w:rsidP="003A0C9D">
            <w:pPr>
              <w:pStyle w:val="ListParagraph"/>
              <w:numPr>
                <w:ilvl w:val="0"/>
                <w:numId w:val="9"/>
              </w:numPr>
              <w:ind w:left="293" w:hanging="286"/>
              <w:jc w:val="both"/>
              <w:rPr>
                <w:rFonts w:asciiTheme="minorHAnsi" w:hAnsiTheme="minorHAnsi" w:cstheme="minorHAnsi"/>
                <w:color w:val="000000"/>
                <w:sz w:val="18"/>
                <w:szCs w:val="18"/>
              </w:rPr>
            </w:pPr>
            <w:r w:rsidRPr="009B3BC3">
              <w:rPr>
                <w:rFonts w:asciiTheme="minorHAnsi" w:hAnsiTheme="minorHAnsi" w:cstheme="minorHAnsi"/>
                <w:color w:val="000000"/>
                <w:sz w:val="18"/>
                <w:szCs w:val="18"/>
              </w:rPr>
              <w:t xml:space="preserve">Updates to the current administrative note for the other PBS-listings of budesonide </w:t>
            </w:r>
            <w:r w:rsidR="00252D73">
              <w:rPr>
                <w:rFonts w:asciiTheme="minorHAnsi" w:hAnsiTheme="minorHAnsi" w:cstheme="minorHAnsi"/>
                <w:color w:val="000000"/>
                <w:sz w:val="18"/>
                <w:szCs w:val="18"/>
              </w:rPr>
              <w:t>with</w:t>
            </w:r>
            <w:r w:rsidRPr="009B3BC3">
              <w:rPr>
                <w:rFonts w:asciiTheme="minorHAnsi" w:hAnsiTheme="minorHAnsi" w:cstheme="minorHAnsi"/>
                <w:color w:val="000000"/>
                <w:sz w:val="18"/>
                <w:szCs w:val="18"/>
              </w:rPr>
              <w:t xml:space="preserve"> formoterol 200/6 to include Bufomix Easyhaler.</w:t>
            </w:r>
          </w:p>
        </w:tc>
      </w:tr>
      <w:tr w:rsidR="00E71F04" w:rsidRPr="008059F4" w14:paraId="4FFCA2D9" w14:textId="77777777" w:rsidTr="003774E1">
        <w:trPr>
          <w:cantSplit/>
          <w:trHeight w:val="2948"/>
          <w:jc w:val="center"/>
        </w:trPr>
        <w:tc>
          <w:tcPr>
            <w:tcW w:w="3013" w:type="dxa"/>
            <w:shd w:val="clear" w:color="auto" w:fill="auto"/>
            <w:tcMar>
              <w:top w:w="28" w:type="dxa"/>
              <w:bottom w:w="28" w:type="dxa"/>
            </w:tcMar>
            <w:vAlign w:val="center"/>
          </w:tcPr>
          <w:p w14:paraId="46CBC672" w14:textId="563E17EA" w:rsidR="00E71F04" w:rsidRPr="008059F4" w:rsidRDefault="00E71F04" w:rsidP="00BB57B7">
            <w:pPr>
              <w:keepLines/>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lastRenderedPageBreak/>
              <w:t>CABOZANTINIB</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Tablet 20</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br/>
              <w:t>Tablet 40</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br/>
              <w:t>Tablet 60</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Cabometyx®</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IPSEN PTY LTD</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Category 2</w:t>
            </w:r>
            <w:r w:rsidRPr="008059F4">
              <w:rPr>
                <w:rFonts w:asciiTheme="minorHAnsi" w:hAnsiTheme="minorHAnsi" w:cstheme="minorHAnsi"/>
                <w:color w:val="000000"/>
                <w:sz w:val="18"/>
                <w:szCs w:val="18"/>
              </w:rPr>
              <w:br/>
              <w:t>(Change to existing listing)</w:t>
            </w:r>
          </w:p>
        </w:tc>
        <w:tc>
          <w:tcPr>
            <w:tcW w:w="2764" w:type="dxa"/>
            <w:shd w:val="clear" w:color="auto" w:fill="auto"/>
            <w:vAlign w:val="center"/>
          </w:tcPr>
          <w:p w14:paraId="1288EEF0" w14:textId="0E549FC9" w:rsidR="00E71F04" w:rsidRPr="008059F4" w:rsidRDefault="00E71F04" w:rsidP="00BB57B7">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Differentiated thyroid cancer (DTC)</w:t>
            </w:r>
          </w:p>
        </w:tc>
        <w:tc>
          <w:tcPr>
            <w:tcW w:w="2978" w:type="dxa"/>
            <w:shd w:val="clear" w:color="auto" w:fill="auto"/>
            <w:tcMar>
              <w:top w:w="28" w:type="dxa"/>
              <w:bottom w:w="28" w:type="dxa"/>
            </w:tcMar>
            <w:vAlign w:val="center"/>
          </w:tcPr>
          <w:p w14:paraId="2A4339C4" w14:textId="24066D9F" w:rsidR="00E71F04" w:rsidRPr="008059F4" w:rsidRDefault="00E71F0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To request a General Schedule Authority Required (STREAMLINED) listing for the treatment of locally advanced or metastatic DTC in patients who have progressed during or after prior vascular endothelial growth factor-targeted therapy</w:t>
            </w:r>
            <w:r w:rsidR="00CC2EC5">
              <w:rPr>
                <w:rFonts w:asciiTheme="minorHAnsi" w:hAnsiTheme="minorHAnsi" w:cstheme="minorHAnsi"/>
                <w:color w:val="000000"/>
                <w:sz w:val="18"/>
                <w:szCs w:val="18"/>
              </w:rPr>
              <w:t xml:space="preserve"> (VEGF)</w:t>
            </w:r>
            <w:r w:rsidRPr="008059F4">
              <w:rPr>
                <w:rFonts w:asciiTheme="minorHAnsi" w:hAnsiTheme="minorHAnsi" w:cstheme="minorHAnsi"/>
                <w:color w:val="000000"/>
                <w:sz w:val="18"/>
                <w:szCs w:val="18"/>
              </w:rPr>
              <w:t>.</w:t>
            </w:r>
          </w:p>
        </w:tc>
        <w:tc>
          <w:tcPr>
            <w:tcW w:w="1800" w:type="dxa"/>
            <w:shd w:val="clear" w:color="auto" w:fill="auto"/>
            <w:vAlign w:val="center"/>
          </w:tcPr>
          <w:p w14:paraId="700BE01A" w14:textId="31742660" w:rsidR="00E71F04" w:rsidRPr="008059F4" w:rsidRDefault="00E71F0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Not Recommended</w:t>
            </w:r>
          </w:p>
        </w:tc>
        <w:tc>
          <w:tcPr>
            <w:tcW w:w="4833" w:type="dxa"/>
            <w:shd w:val="clear" w:color="auto" w:fill="auto"/>
            <w:vAlign w:val="center"/>
          </w:tcPr>
          <w:p w14:paraId="1378A209" w14:textId="4C6AFCFE" w:rsidR="00E71F04" w:rsidRDefault="00CD104F" w:rsidP="00CD104F">
            <w:pPr>
              <w:jc w:val="both"/>
              <w:rPr>
                <w:rFonts w:asciiTheme="minorHAnsi" w:hAnsiTheme="minorHAnsi" w:cstheme="minorHAnsi"/>
                <w:color w:val="000000"/>
                <w:sz w:val="18"/>
                <w:szCs w:val="18"/>
              </w:rPr>
            </w:pPr>
            <w:r w:rsidRPr="00CD104F">
              <w:rPr>
                <w:rFonts w:asciiTheme="minorHAnsi" w:hAnsiTheme="minorHAnsi" w:cstheme="minorHAnsi"/>
                <w:color w:val="000000"/>
                <w:sz w:val="18"/>
                <w:szCs w:val="18"/>
              </w:rPr>
              <w:t>The PBAC did not recommend cabozantinib for the treatment of patients with locally advanced or metastatic DTC who are radioactive iodine refractory or ineligible and who have progressed following treatment with a tyrosine kinase inhibitor or have developed intolerance to prior VEGF-targeted therapy. The PBAC noted the clinical need for effective treatments in this setting but considered that the economic model was uncertain and that the incremental cost</w:t>
            </w:r>
            <w:r w:rsidR="00CC2EC5">
              <w:rPr>
                <w:rFonts w:asciiTheme="minorHAnsi" w:hAnsiTheme="minorHAnsi" w:cstheme="minorHAnsi"/>
                <w:color w:val="000000"/>
                <w:sz w:val="18"/>
                <w:szCs w:val="18"/>
              </w:rPr>
              <w:t>-</w:t>
            </w:r>
            <w:r w:rsidRPr="00CD104F">
              <w:rPr>
                <w:rFonts w:asciiTheme="minorHAnsi" w:hAnsiTheme="minorHAnsi" w:cstheme="minorHAnsi"/>
                <w:color w:val="000000"/>
                <w:sz w:val="18"/>
                <w:szCs w:val="18"/>
              </w:rPr>
              <w:t>effectiveness ratio was likely underestimated.</w:t>
            </w:r>
          </w:p>
          <w:p w14:paraId="3604A290" w14:textId="6ADD33D8" w:rsidR="00CC2EC5" w:rsidRDefault="00CC2EC5" w:rsidP="00CD104F">
            <w:pPr>
              <w:jc w:val="both"/>
              <w:rPr>
                <w:rFonts w:asciiTheme="minorHAnsi" w:hAnsiTheme="minorHAnsi" w:cstheme="minorHAnsi"/>
                <w:color w:val="000000"/>
                <w:sz w:val="18"/>
                <w:szCs w:val="18"/>
              </w:rPr>
            </w:pPr>
          </w:p>
          <w:p w14:paraId="431AD4E3" w14:textId="5F9A82FD" w:rsidR="00CC2EC5" w:rsidRDefault="00CC2EC5" w:rsidP="00CD104F">
            <w:pPr>
              <w:jc w:val="both"/>
              <w:rPr>
                <w:rFonts w:asciiTheme="minorHAnsi" w:hAnsiTheme="minorHAnsi" w:cstheme="minorHAnsi"/>
                <w:color w:val="000000"/>
                <w:sz w:val="18"/>
                <w:szCs w:val="18"/>
              </w:rPr>
            </w:pPr>
            <w:r w:rsidRPr="00CC2EC5">
              <w:rPr>
                <w:rFonts w:asciiTheme="minorHAnsi" w:hAnsiTheme="minorHAnsi" w:cstheme="minorHAnsi"/>
                <w:color w:val="000000"/>
                <w:sz w:val="18"/>
                <w:szCs w:val="18"/>
              </w:rPr>
              <w:t>The PBAC nominated the Early Re-entry resubmission pathway for this item</w:t>
            </w:r>
            <w:r w:rsidR="00BC1B69">
              <w:rPr>
                <w:rFonts w:asciiTheme="minorHAnsi" w:hAnsiTheme="minorHAnsi" w:cstheme="minorHAnsi"/>
                <w:color w:val="000000"/>
                <w:sz w:val="18"/>
                <w:szCs w:val="18"/>
              </w:rPr>
              <w:t>.</w:t>
            </w:r>
          </w:p>
          <w:p w14:paraId="283B0E6E" w14:textId="77777777" w:rsidR="00CD104F" w:rsidRPr="00134057" w:rsidRDefault="00CD104F" w:rsidP="00CD104F">
            <w:pPr>
              <w:rPr>
                <w:rFonts w:asciiTheme="minorHAnsi" w:hAnsiTheme="minorHAnsi" w:cstheme="minorHAnsi"/>
                <w:color w:val="000000"/>
                <w:sz w:val="18"/>
                <w:szCs w:val="18"/>
              </w:rPr>
            </w:pPr>
          </w:p>
          <w:p w14:paraId="7CA568E0" w14:textId="77777777" w:rsidR="00CD104F" w:rsidRDefault="00CD104F" w:rsidP="00CD104F">
            <w:pPr>
              <w:rPr>
                <w:rFonts w:asciiTheme="minorHAnsi" w:hAnsiTheme="minorHAnsi" w:cstheme="minorHAnsi"/>
                <w:color w:val="000000"/>
                <w:sz w:val="18"/>
                <w:szCs w:val="18"/>
              </w:rPr>
            </w:pPr>
            <w:r w:rsidRPr="000110D5">
              <w:rPr>
                <w:rFonts w:asciiTheme="minorHAnsi" w:hAnsiTheme="minorHAnsi" w:cstheme="minorHAnsi"/>
                <w:color w:val="000000"/>
                <w:sz w:val="18"/>
                <w:szCs w:val="18"/>
                <w:u w:val="single"/>
              </w:rPr>
              <w:t>Sponsor’s Comment:</w:t>
            </w:r>
          </w:p>
          <w:p w14:paraId="12A145BA" w14:textId="6FC192FF" w:rsidR="00CD104F" w:rsidRPr="008059F4" w:rsidRDefault="008B5F66" w:rsidP="00BC1B69">
            <w:pPr>
              <w:jc w:val="both"/>
              <w:rPr>
                <w:rFonts w:asciiTheme="minorHAnsi" w:hAnsiTheme="minorHAnsi" w:cstheme="minorHAnsi"/>
                <w:color w:val="000000"/>
                <w:sz w:val="18"/>
                <w:szCs w:val="18"/>
              </w:rPr>
            </w:pPr>
            <w:r w:rsidRPr="008B5F66">
              <w:rPr>
                <w:rFonts w:asciiTheme="minorHAnsi" w:hAnsiTheme="minorHAnsi" w:cstheme="minorHAnsi"/>
                <w:color w:val="000000"/>
                <w:sz w:val="18"/>
                <w:szCs w:val="18"/>
              </w:rPr>
              <w:t>The sponsor had no comment.</w:t>
            </w:r>
          </w:p>
        </w:tc>
      </w:tr>
      <w:tr w:rsidR="00E71F04" w:rsidRPr="008059F4" w14:paraId="160A6F61" w14:textId="77777777" w:rsidTr="003774E1">
        <w:trPr>
          <w:cantSplit/>
          <w:trHeight w:val="2948"/>
          <w:jc w:val="center"/>
        </w:trPr>
        <w:tc>
          <w:tcPr>
            <w:tcW w:w="3013" w:type="dxa"/>
            <w:shd w:val="clear" w:color="auto" w:fill="auto"/>
            <w:tcMar>
              <w:top w:w="28" w:type="dxa"/>
              <w:bottom w:w="28" w:type="dxa"/>
            </w:tcMar>
            <w:vAlign w:val="center"/>
          </w:tcPr>
          <w:p w14:paraId="59B8CAF2" w14:textId="4C1B0B04" w:rsidR="00E71F04" w:rsidRPr="008059F4" w:rsidRDefault="00E71F04" w:rsidP="00BB57B7">
            <w:pPr>
              <w:keepLines/>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CEMIPLIMAB</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Solution for I.V. infusion 350</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in 7</w:t>
            </w:r>
            <w:r w:rsidR="00C67D16">
              <w:rPr>
                <w:rFonts w:asciiTheme="minorHAnsi" w:hAnsiTheme="minorHAnsi" w:cstheme="minorHAnsi"/>
                <w:color w:val="000000"/>
                <w:sz w:val="18"/>
                <w:szCs w:val="18"/>
              </w:rPr>
              <w:t> mL</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Libtayo®</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SANOFI-AVENTIS AUSTRALIA PTY LTD</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Category 2</w:t>
            </w:r>
            <w:r w:rsidRPr="008059F4">
              <w:rPr>
                <w:rFonts w:asciiTheme="minorHAnsi" w:hAnsiTheme="minorHAnsi" w:cstheme="minorHAnsi"/>
                <w:color w:val="000000"/>
                <w:sz w:val="18"/>
                <w:szCs w:val="18"/>
              </w:rPr>
              <w:br/>
              <w:t>(Change to existing listing)</w:t>
            </w:r>
          </w:p>
        </w:tc>
        <w:tc>
          <w:tcPr>
            <w:tcW w:w="2764" w:type="dxa"/>
            <w:shd w:val="clear" w:color="auto" w:fill="auto"/>
            <w:vAlign w:val="center"/>
          </w:tcPr>
          <w:p w14:paraId="214E87B3" w14:textId="12BB60B0" w:rsidR="00E71F04" w:rsidRPr="008059F4" w:rsidRDefault="00E71F04" w:rsidP="00BB57B7">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Non-small cell lung cancer (NSCLC)</w:t>
            </w:r>
          </w:p>
        </w:tc>
        <w:tc>
          <w:tcPr>
            <w:tcW w:w="2978" w:type="dxa"/>
            <w:shd w:val="clear" w:color="auto" w:fill="auto"/>
            <w:tcMar>
              <w:top w:w="28" w:type="dxa"/>
              <w:bottom w:w="28" w:type="dxa"/>
            </w:tcMar>
            <w:vAlign w:val="center"/>
          </w:tcPr>
          <w:p w14:paraId="5CB89313" w14:textId="42E831FC" w:rsidR="00E71F04" w:rsidRPr="008059F4" w:rsidRDefault="00E71F0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To request a Section 100 (</w:t>
            </w:r>
            <w:r w:rsidR="007606E7" w:rsidRPr="008059F4">
              <w:rPr>
                <w:rFonts w:asciiTheme="minorHAnsi" w:hAnsiTheme="minorHAnsi" w:cstheme="minorHAnsi"/>
                <w:color w:val="000000"/>
                <w:sz w:val="18"/>
                <w:szCs w:val="18"/>
              </w:rPr>
              <w:t>Efficient</w:t>
            </w:r>
            <w:r w:rsidRPr="008059F4">
              <w:rPr>
                <w:rFonts w:asciiTheme="minorHAnsi" w:hAnsiTheme="minorHAnsi" w:cstheme="minorHAnsi"/>
                <w:color w:val="000000"/>
                <w:sz w:val="18"/>
                <w:szCs w:val="18"/>
              </w:rPr>
              <w:t xml:space="preserve"> Funding of Chemotherapy Program) Authority Required (STREAMLINED) listing to be used with platinum doublet chemotherapy</w:t>
            </w:r>
            <w:r w:rsidR="00011420">
              <w:rPr>
                <w:rFonts w:asciiTheme="minorHAnsi" w:hAnsiTheme="minorHAnsi" w:cstheme="minorHAnsi"/>
                <w:color w:val="000000"/>
                <w:sz w:val="18"/>
                <w:szCs w:val="18"/>
              </w:rPr>
              <w:t xml:space="preserve"> (PDC)</w:t>
            </w:r>
            <w:r w:rsidRPr="008059F4">
              <w:rPr>
                <w:rFonts w:asciiTheme="minorHAnsi" w:hAnsiTheme="minorHAnsi" w:cstheme="minorHAnsi"/>
                <w:color w:val="000000"/>
                <w:sz w:val="18"/>
                <w:szCs w:val="18"/>
              </w:rPr>
              <w:t xml:space="preserve"> as a first line treatment of adult patients with Stage IV (metastatic) NSCLC.</w:t>
            </w:r>
          </w:p>
        </w:tc>
        <w:tc>
          <w:tcPr>
            <w:tcW w:w="1800" w:type="dxa"/>
            <w:shd w:val="clear" w:color="auto" w:fill="auto"/>
            <w:vAlign w:val="center"/>
          </w:tcPr>
          <w:p w14:paraId="2FEF30D2" w14:textId="6ED749EC" w:rsidR="00E71F04" w:rsidRPr="008059F4" w:rsidRDefault="00E71F0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Recommended</w:t>
            </w:r>
          </w:p>
        </w:tc>
        <w:tc>
          <w:tcPr>
            <w:tcW w:w="4833" w:type="dxa"/>
            <w:shd w:val="clear" w:color="auto" w:fill="auto"/>
            <w:vAlign w:val="center"/>
          </w:tcPr>
          <w:p w14:paraId="0630B7DE" w14:textId="38AD2F09" w:rsidR="00E71F04" w:rsidRPr="008059F4" w:rsidRDefault="00E71F04" w:rsidP="009B3BC3">
            <w:pPr>
              <w:jc w:val="both"/>
              <w:rPr>
                <w:rFonts w:asciiTheme="minorHAnsi" w:hAnsiTheme="minorHAnsi" w:cstheme="minorHAnsi"/>
                <w:color w:val="000000"/>
                <w:sz w:val="18"/>
                <w:szCs w:val="18"/>
              </w:rPr>
            </w:pPr>
            <w:r w:rsidRPr="008059F4">
              <w:rPr>
                <w:rFonts w:asciiTheme="minorHAnsi" w:hAnsiTheme="minorHAnsi" w:cstheme="minorHAnsi"/>
                <w:sz w:val="18"/>
                <w:szCs w:val="18"/>
              </w:rPr>
              <w:t xml:space="preserve">The PBAC recommended the listing of cemiplimab to be used with PDC as a first-line treatment of adult patients with Stage IV (metastatic) </w:t>
            </w:r>
            <w:r w:rsidR="00011420" w:rsidRPr="008059F4">
              <w:rPr>
                <w:rFonts w:asciiTheme="minorHAnsi" w:hAnsiTheme="minorHAnsi" w:cstheme="minorHAnsi"/>
                <w:color w:val="000000"/>
                <w:sz w:val="18"/>
                <w:szCs w:val="18"/>
              </w:rPr>
              <w:t>NSCLC</w:t>
            </w:r>
            <w:r w:rsidR="00011420" w:rsidRPr="008059F4" w:rsidDel="00011420">
              <w:rPr>
                <w:rFonts w:asciiTheme="minorHAnsi" w:hAnsiTheme="minorHAnsi" w:cstheme="minorHAnsi"/>
                <w:sz w:val="18"/>
                <w:szCs w:val="18"/>
              </w:rPr>
              <w:t xml:space="preserve"> </w:t>
            </w:r>
            <w:r w:rsidRPr="008059F4">
              <w:rPr>
                <w:rFonts w:asciiTheme="minorHAnsi" w:hAnsiTheme="minorHAnsi" w:cstheme="minorHAnsi"/>
                <w:sz w:val="18"/>
                <w:szCs w:val="18"/>
              </w:rPr>
              <w:t>with no evidence of epidermal growth factor receptor (EGFR), anaplastic lymphoma kinase (ALK), or c</w:t>
            </w:r>
            <w:r w:rsidR="00130D30">
              <w:rPr>
                <w:rFonts w:asciiTheme="minorHAnsi" w:hAnsiTheme="minorHAnsi" w:cstheme="minorHAnsi"/>
                <w:sz w:val="18"/>
                <w:szCs w:val="18"/>
              </w:rPr>
              <w:noBreakHyphen/>
            </w:r>
            <w:r w:rsidRPr="008059F4">
              <w:rPr>
                <w:rFonts w:asciiTheme="minorHAnsi" w:hAnsiTheme="minorHAnsi" w:cstheme="minorHAnsi"/>
                <w:sz w:val="18"/>
                <w:szCs w:val="18"/>
              </w:rPr>
              <w:t>ROS-proto-oncogene 1 (ROS1) aberrations. The PBAC’s recommendation for listing was based on, among other matters, its assessment that the cost-effectiveness of cemiplimab plus PDC would be acceptable if it were cost</w:t>
            </w:r>
            <w:r w:rsidR="00130D30">
              <w:rPr>
                <w:rFonts w:asciiTheme="minorHAnsi" w:hAnsiTheme="minorHAnsi" w:cstheme="minorHAnsi"/>
                <w:sz w:val="18"/>
                <w:szCs w:val="18"/>
              </w:rPr>
              <w:noBreakHyphen/>
            </w:r>
            <w:r w:rsidRPr="008059F4">
              <w:rPr>
                <w:rFonts w:asciiTheme="minorHAnsi" w:hAnsiTheme="minorHAnsi" w:cstheme="minorHAnsi"/>
                <w:sz w:val="18"/>
                <w:szCs w:val="18"/>
              </w:rPr>
              <w:t>minimised to pembrolizumab plus PDC. The PBAC advised the equi-effective doses were that cemiplimab 350</w:t>
            </w:r>
            <w:r w:rsidR="00C67D16">
              <w:rPr>
                <w:rFonts w:asciiTheme="minorHAnsi" w:hAnsiTheme="minorHAnsi" w:cstheme="minorHAnsi"/>
                <w:sz w:val="18"/>
                <w:szCs w:val="18"/>
              </w:rPr>
              <w:t> mg</w:t>
            </w:r>
            <w:r w:rsidRPr="008059F4">
              <w:rPr>
                <w:rFonts w:asciiTheme="minorHAnsi" w:hAnsiTheme="minorHAnsi" w:cstheme="minorHAnsi"/>
                <w:sz w:val="18"/>
                <w:szCs w:val="18"/>
              </w:rPr>
              <w:t xml:space="preserve"> every three weeks </w:t>
            </w:r>
            <w:r w:rsidR="009D366D">
              <w:rPr>
                <w:rFonts w:asciiTheme="minorHAnsi" w:hAnsiTheme="minorHAnsi" w:cstheme="minorHAnsi"/>
                <w:sz w:val="18"/>
                <w:szCs w:val="18"/>
              </w:rPr>
              <w:t>is</w:t>
            </w:r>
            <w:r w:rsidR="00AC749B">
              <w:rPr>
                <w:rFonts w:asciiTheme="minorHAnsi" w:hAnsiTheme="minorHAnsi" w:cstheme="minorHAnsi"/>
                <w:sz w:val="18"/>
                <w:szCs w:val="18"/>
              </w:rPr>
              <w:t xml:space="preserve"> equivalent to</w:t>
            </w:r>
            <w:r w:rsidRPr="008059F4">
              <w:rPr>
                <w:rFonts w:asciiTheme="minorHAnsi" w:hAnsiTheme="minorHAnsi" w:cstheme="minorHAnsi"/>
                <w:sz w:val="18"/>
                <w:szCs w:val="18"/>
              </w:rPr>
              <w:t xml:space="preserve"> pembrolizumab 200</w:t>
            </w:r>
            <w:r w:rsidR="00C67D16">
              <w:rPr>
                <w:rFonts w:asciiTheme="minorHAnsi" w:hAnsiTheme="minorHAnsi" w:cstheme="minorHAnsi"/>
                <w:sz w:val="18"/>
                <w:szCs w:val="18"/>
              </w:rPr>
              <w:t> mg</w:t>
            </w:r>
            <w:r w:rsidRPr="008059F4">
              <w:rPr>
                <w:rFonts w:asciiTheme="minorHAnsi" w:hAnsiTheme="minorHAnsi" w:cstheme="minorHAnsi"/>
                <w:sz w:val="18"/>
                <w:szCs w:val="18"/>
              </w:rPr>
              <w:t xml:space="preserve"> every three weeks.</w:t>
            </w:r>
          </w:p>
        </w:tc>
      </w:tr>
      <w:tr w:rsidR="00E71F04" w:rsidRPr="008059F4" w14:paraId="7750751C" w14:textId="77777777" w:rsidTr="003774E1">
        <w:trPr>
          <w:cantSplit/>
          <w:trHeight w:val="2948"/>
          <w:jc w:val="center"/>
        </w:trPr>
        <w:tc>
          <w:tcPr>
            <w:tcW w:w="3013" w:type="dxa"/>
            <w:shd w:val="clear" w:color="auto" w:fill="auto"/>
            <w:tcMar>
              <w:top w:w="28" w:type="dxa"/>
              <w:bottom w:w="28" w:type="dxa"/>
            </w:tcMar>
            <w:vAlign w:val="center"/>
          </w:tcPr>
          <w:p w14:paraId="15F4BEA7" w14:textId="5076599A" w:rsidR="00E71F04" w:rsidRPr="008059F4" w:rsidRDefault="00E71F04" w:rsidP="00BB57B7">
            <w:pPr>
              <w:keepLines/>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lastRenderedPageBreak/>
              <w:t>CHLORMETHINE HYDROCHLORIDE</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r>
            <w:r w:rsidR="00F875EE" w:rsidRPr="00F875EE">
              <w:rPr>
                <w:rFonts w:asciiTheme="minorHAnsi" w:hAnsiTheme="minorHAnsi" w:cstheme="minorHAnsi"/>
                <w:color w:val="000000"/>
                <w:sz w:val="18"/>
                <w:szCs w:val="18"/>
              </w:rPr>
              <w:t>Gel 160 micrograms per g, 60 g</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Ledaga®</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JUNIPER BIOLOGICS PTY LTD</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Standard re-entry</w:t>
            </w:r>
            <w:r w:rsidRPr="008059F4">
              <w:rPr>
                <w:rFonts w:asciiTheme="minorHAnsi" w:hAnsiTheme="minorHAnsi" w:cstheme="minorHAnsi"/>
                <w:color w:val="000000"/>
                <w:sz w:val="18"/>
                <w:szCs w:val="18"/>
              </w:rPr>
              <w:br/>
              <w:t>(New listing)</w:t>
            </w:r>
          </w:p>
        </w:tc>
        <w:tc>
          <w:tcPr>
            <w:tcW w:w="2764" w:type="dxa"/>
            <w:shd w:val="clear" w:color="auto" w:fill="auto"/>
            <w:vAlign w:val="center"/>
          </w:tcPr>
          <w:p w14:paraId="6942B8E0" w14:textId="54A5A60B" w:rsidR="00E71F04" w:rsidRPr="008059F4" w:rsidRDefault="00E71F04" w:rsidP="00BB57B7">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Mycosis fungoides-type cutaneous T-cell lymphoma (MF-type CTCL)</w:t>
            </w:r>
          </w:p>
        </w:tc>
        <w:tc>
          <w:tcPr>
            <w:tcW w:w="2978" w:type="dxa"/>
            <w:shd w:val="clear" w:color="auto" w:fill="auto"/>
            <w:tcMar>
              <w:top w:w="28" w:type="dxa"/>
              <w:bottom w:w="28" w:type="dxa"/>
            </w:tcMar>
            <w:vAlign w:val="center"/>
          </w:tcPr>
          <w:p w14:paraId="3FBB49A8" w14:textId="47AA3074" w:rsidR="00E71F04" w:rsidRPr="008059F4" w:rsidRDefault="00E71F0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To request a General Schedule Authority Required (Telephone/Online) listing for the topical treatment of MF-type CTCL.</w:t>
            </w:r>
          </w:p>
        </w:tc>
        <w:tc>
          <w:tcPr>
            <w:tcW w:w="1800" w:type="dxa"/>
            <w:shd w:val="clear" w:color="auto" w:fill="auto"/>
            <w:vAlign w:val="center"/>
          </w:tcPr>
          <w:p w14:paraId="0F059B89" w14:textId="3089AC31" w:rsidR="00E71F04" w:rsidRPr="008059F4" w:rsidRDefault="00E71F0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Recommended</w:t>
            </w:r>
          </w:p>
        </w:tc>
        <w:tc>
          <w:tcPr>
            <w:tcW w:w="4833" w:type="dxa"/>
            <w:shd w:val="clear" w:color="auto" w:fill="auto"/>
            <w:vAlign w:val="center"/>
          </w:tcPr>
          <w:p w14:paraId="652C80A7" w14:textId="540A069C" w:rsidR="00E71F04" w:rsidRPr="008059F4" w:rsidRDefault="00E71F04" w:rsidP="009B3BC3">
            <w:pPr>
              <w:jc w:val="both"/>
              <w:rPr>
                <w:rFonts w:asciiTheme="minorHAnsi" w:hAnsiTheme="minorHAnsi" w:cstheme="minorHAnsi"/>
                <w:color w:val="000000"/>
                <w:sz w:val="18"/>
                <w:szCs w:val="18"/>
              </w:rPr>
            </w:pPr>
            <w:r w:rsidRPr="008059F4">
              <w:rPr>
                <w:rFonts w:asciiTheme="minorHAnsi" w:hAnsiTheme="minorHAnsi" w:cstheme="minorHAnsi"/>
                <w:color w:val="000000"/>
                <w:sz w:val="18"/>
                <w:szCs w:val="18"/>
              </w:rPr>
              <w:t>The PBAC recommended the listing of chlormethine gel for the topical treatment o</w:t>
            </w:r>
            <w:r w:rsidR="00011420">
              <w:rPr>
                <w:rFonts w:asciiTheme="minorHAnsi" w:hAnsiTheme="minorHAnsi" w:cstheme="minorHAnsi"/>
                <w:color w:val="000000"/>
                <w:sz w:val="18"/>
                <w:szCs w:val="18"/>
              </w:rPr>
              <w:t xml:space="preserve">f </w:t>
            </w:r>
            <w:r w:rsidRPr="008059F4">
              <w:rPr>
                <w:rFonts w:asciiTheme="minorHAnsi" w:hAnsiTheme="minorHAnsi" w:cstheme="minorHAnsi"/>
                <w:color w:val="000000"/>
                <w:sz w:val="18"/>
                <w:szCs w:val="18"/>
              </w:rPr>
              <w:t>MF-</w:t>
            </w:r>
            <w:r w:rsidR="00413975">
              <w:rPr>
                <w:rFonts w:asciiTheme="minorHAnsi" w:hAnsiTheme="minorHAnsi" w:cstheme="minorHAnsi"/>
                <w:color w:val="000000"/>
                <w:sz w:val="18"/>
                <w:szCs w:val="18"/>
              </w:rPr>
              <w:t xml:space="preserve">type </w:t>
            </w:r>
            <w:r w:rsidRPr="008059F4">
              <w:rPr>
                <w:rFonts w:asciiTheme="minorHAnsi" w:hAnsiTheme="minorHAnsi" w:cstheme="minorHAnsi"/>
                <w:color w:val="000000"/>
                <w:sz w:val="18"/>
                <w:szCs w:val="18"/>
              </w:rPr>
              <w:t>CTCL in adult patients who have no more than 25% of their body surface area involved. The PBAC acknowledged the clinical need for additional treatment options for patients with MF-</w:t>
            </w:r>
            <w:r w:rsidR="00413975">
              <w:rPr>
                <w:rFonts w:asciiTheme="minorHAnsi" w:hAnsiTheme="minorHAnsi" w:cstheme="minorHAnsi"/>
                <w:color w:val="000000"/>
                <w:sz w:val="18"/>
                <w:szCs w:val="18"/>
              </w:rPr>
              <w:t xml:space="preserve">type </w:t>
            </w:r>
            <w:r w:rsidRPr="008059F4">
              <w:rPr>
                <w:rFonts w:asciiTheme="minorHAnsi" w:hAnsiTheme="minorHAnsi" w:cstheme="minorHAnsi"/>
                <w:color w:val="000000"/>
                <w:sz w:val="18"/>
                <w:szCs w:val="18"/>
              </w:rPr>
              <w:t>CTCL. The PBAC considered that due to the limited data available for this rare condition the claim of non-inferior effectiveness was highly uncertain but likely reasonable. The PBAC’s recommendation for listing was based on, among other matte</w:t>
            </w:r>
            <w:r w:rsidR="00F357B7">
              <w:rPr>
                <w:rFonts w:asciiTheme="minorHAnsi" w:hAnsiTheme="minorHAnsi" w:cstheme="minorHAnsi"/>
                <w:color w:val="000000"/>
                <w:sz w:val="18"/>
                <w:szCs w:val="18"/>
              </w:rPr>
              <w:t>r</w:t>
            </w:r>
            <w:r w:rsidRPr="008059F4">
              <w:rPr>
                <w:rFonts w:asciiTheme="minorHAnsi" w:hAnsiTheme="minorHAnsi" w:cstheme="minorHAnsi"/>
                <w:color w:val="000000"/>
                <w:sz w:val="18"/>
                <w:szCs w:val="18"/>
              </w:rPr>
              <w:t>s, its assessment, that the cost</w:t>
            </w:r>
            <w:r w:rsidR="00130D30">
              <w:rPr>
                <w:rFonts w:asciiTheme="minorHAnsi" w:hAnsiTheme="minorHAnsi" w:cstheme="minorHAnsi"/>
                <w:color w:val="000000"/>
                <w:sz w:val="18"/>
                <w:szCs w:val="18"/>
              </w:rPr>
              <w:noBreakHyphen/>
            </w:r>
            <w:r w:rsidRPr="008059F4">
              <w:rPr>
                <w:rFonts w:asciiTheme="minorHAnsi" w:hAnsiTheme="minorHAnsi" w:cstheme="minorHAnsi"/>
                <w:color w:val="000000"/>
                <w:sz w:val="18"/>
                <w:szCs w:val="18"/>
              </w:rPr>
              <w:t xml:space="preserve">effectiveness of chlormethine gel would be acceptable if it were cost-minimised to phototherapy. The PBAC considered it would be appropriate for a small price premium to be applied to chlormethine gel over phototherapy due to the potential for improvement in accessibility and suitability for patients unable to be treated with phototherapy due to the areas involved. </w:t>
            </w:r>
          </w:p>
        </w:tc>
      </w:tr>
      <w:tr w:rsidR="00E71F04" w:rsidRPr="008059F4" w14:paraId="7A902290" w14:textId="77777777" w:rsidTr="003774E1">
        <w:trPr>
          <w:cantSplit/>
          <w:trHeight w:val="2948"/>
          <w:jc w:val="center"/>
        </w:trPr>
        <w:tc>
          <w:tcPr>
            <w:tcW w:w="3013" w:type="dxa"/>
            <w:shd w:val="clear" w:color="auto" w:fill="auto"/>
            <w:tcMar>
              <w:top w:w="28" w:type="dxa"/>
              <w:bottom w:w="28" w:type="dxa"/>
            </w:tcMar>
            <w:vAlign w:val="center"/>
          </w:tcPr>
          <w:p w14:paraId="1A8B56F0" w14:textId="5744305A" w:rsidR="00E71F04" w:rsidRPr="008059F4" w:rsidRDefault="00E71F04" w:rsidP="00BB57B7">
            <w:pPr>
              <w:keepLines/>
              <w:jc w:val="center"/>
              <w:rPr>
                <w:rFonts w:asciiTheme="minorHAnsi" w:hAnsiTheme="minorHAnsi" w:cstheme="minorHAnsi"/>
                <w:color w:val="000000"/>
                <w:sz w:val="18"/>
                <w:szCs w:val="18"/>
              </w:rPr>
            </w:pPr>
            <w:bookmarkStart w:id="3" w:name="_Hlk143070613"/>
            <w:r w:rsidRPr="008059F4">
              <w:rPr>
                <w:rFonts w:asciiTheme="minorHAnsi" w:hAnsiTheme="minorHAnsi" w:cstheme="minorHAnsi"/>
                <w:color w:val="000000"/>
                <w:sz w:val="18"/>
                <w:szCs w:val="18"/>
              </w:rPr>
              <w:t>CLADRIBINE</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Tablet 10</w:t>
            </w:r>
            <w:r w:rsidR="00C67D16">
              <w:rPr>
                <w:rFonts w:asciiTheme="minorHAnsi" w:hAnsiTheme="minorHAnsi" w:cstheme="minorHAnsi"/>
                <w:color w:val="000000"/>
                <w:sz w:val="18"/>
                <w:szCs w:val="18"/>
              </w:rPr>
              <w:t> mg</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Mavenclad®</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MERCK HEALTHCARE PTY LTD</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Category 2</w:t>
            </w:r>
            <w:r w:rsidRPr="008059F4">
              <w:rPr>
                <w:rFonts w:asciiTheme="minorHAnsi" w:hAnsiTheme="minorHAnsi" w:cstheme="minorHAnsi"/>
                <w:color w:val="000000"/>
                <w:sz w:val="18"/>
                <w:szCs w:val="18"/>
              </w:rPr>
              <w:br/>
              <w:t>(Change to existing listing)</w:t>
            </w:r>
          </w:p>
        </w:tc>
        <w:tc>
          <w:tcPr>
            <w:tcW w:w="2764" w:type="dxa"/>
            <w:shd w:val="clear" w:color="auto" w:fill="auto"/>
            <w:vAlign w:val="center"/>
          </w:tcPr>
          <w:p w14:paraId="6E92FA92" w14:textId="30F5D164" w:rsidR="00E71F04" w:rsidRPr="008059F4" w:rsidRDefault="00E71F04" w:rsidP="00BB57B7">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Relapsing-remitting multiple sclerosis (RRMS)</w:t>
            </w:r>
          </w:p>
        </w:tc>
        <w:tc>
          <w:tcPr>
            <w:tcW w:w="2978" w:type="dxa"/>
            <w:shd w:val="clear" w:color="auto" w:fill="auto"/>
            <w:tcMar>
              <w:top w:w="28" w:type="dxa"/>
              <w:bottom w:w="28" w:type="dxa"/>
            </w:tcMar>
            <w:vAlign w:val="center"/>
          </w:tcPr>
          <w:p w14:paraId="17A39486" w14:textId="616EC989" w:rsidR="00E71F04" w:rsidRPr="008059F4" w:rsidRDefault="00E71F0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To request a revision to the equi-effective doses of cladribine versus fingolimod for the treatment of RRMS.</w:t>
            </w:r>
          </w:p>
        </w:tc>
        <w:tc>
          <w:tcPr>
            <w:tcW w:w="1800" w:type="dxa"/>
            <w:shd w:val="clear" w:color="auto" w:fill="auto"/>
            <w:vAlign w:val="center"/>
          </w:tcPr>
          <w:p w14:paraId="7985984A" w14:textId="72366F4C" w:rsidR="00E71F04" w:rsidRPr="008059F4" w:rsidRDefault="00E71F0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Not Recommended</w:t>
            </w:r>
          </w:p>
        </w:tc>
        <w:tc>
          <w:tcPr>
            <w:tcW w:w="4833" w:type="dxa"/>
            <w:shd w:val="clear" w:color="auto" w:fill="auto"/>
            <w:vAlign w:val="center"/>
          </w:tcPr>
          <w:p w14:paraId="04414FB9" w14:textId="6A3B3DCD" w:rsidR="008059F4" w:rsidRDefault="00CD104F" w:rsidP="00BC1B69">
            <w:pPr>
              <w:jc w:val="both"/>
              <w:rPr>
                <w:rFonts w:asciiTheme="minorHAnsi" w:hAnsiTheme="minorHAnsi" w:cstheme="minorHAnsi"/>
                <w:color w:val="000000"/>
                <w:sz w:val="18"/>
                <w:szCs w:val="18"/>
              </w:rPr>
            </w:pPr>
            <w:r w:rsidRPr="00CD104F">
              <w:rPr>
                <w:rFonts w:asciiTheme="minorHAnsi" w:hAnsiTheme="minorHAnsi" w:cstheme="minorHAnsi"/>
                <w:color w:val="000000"/>
                <w:sz w:val="18"/>
                <w:szCs w:val="18"/>
              </w:rPr>
              <w:t>The PBAC did not recommend amending the existing equi</w:t>
            </w:r>
            <w:r w:rsidR="00130D30">
              <w:rPr>
                <w:rFonts w:asciiTheme="minorHAnsi" w:hAnsiTheme="minorHAnsi" w:cstheme="minorHAnsi"/>
                <w:color w:val="000000"/>
                <w:sz w:val="18"/>
                <w:szCs w:val="18"/>
              </w:rPr>
              <w:noBreakHyphen/>
            </w:r>
            <w:r w:rsidRPr="00CD104F">
              <w:rPr>
                <w:rFonts w:asciiTheme="minorHAnsi" w:hAnsiTheme="minorHAnsi" w:cstheme="minorHAnsi"/>
                <w:color w:val="000000"/>
                <w:sz w:val="18"/>
                <w:szCs w:val="18"/>
              </w:rPr>
              <w:t>effective doses of cladribine and fingolimod for the treatment of RRMS, on the basis that the evidence presented did not satisfactorily establish that two years of treatment with cladribine (plus two years of no treatment) is non-inferior to four years of treatment with fingolimod. The PBAC considered the key clinical evidence, a propensity score matched analysis of the MSBase registry data (GLIMPSE), was not reliable for the purposes of establishing non-inferiority over four years given the potential for confounding and the small number of patients on treatment for four years.</w:t>
            </w:r>
          </w:p>
          <w:p w14:paraId="6EFAC232" w14:textId="77777777" w:rsidR="00CD104F" w:rsidRPr="00134057" w:rsidRDefault="00CD104F" w:rsidP="00BB57B7">
            <w:pPr>
              <w:rPr>
                <w:rFonts w:asciiTheme="minorHAnsi" w:hAnsiTheme="minorHAnsi" w:cstheme="minorHAnsi"/>
                <w:color w:val="000000"/>
                <w:sz w:val="18"/>
                <w:szCs w:val="18"/>
              </w:rPr>
            </w:pPr>
          </w:p>
          <w:p w14:paraId="589C31BD" w14:textId="77777777" w:rsidR="008059F4" w:rsidRDefault="008059F4" w:rsidP="00BB57B7">
            <w:pPr>
              <w:rPr>
                <w:rFonts w:asciiTheme="minorHAnsi" w:hAnsiTheme="minorHAnsi" w:cstheme="minorHAnsi"/>
                <w:color w:val="000000"/>
                <w:sz w:val="18"/>
                <w:szCs w:val="18"/>
              </w:rPr>
            </w:pPr>
            <w:r w:rsidRPr="000110D5">
              <w:rPr>
                <w:rFonts w:asciiTheme="minorHAnsi" w:hAnsiTheme="minorHAnsi" w:cstheme="minorHAnsi"/>
                <w:color w:val="000000"/>
                <w:sz w:val="18"/>
                <w:szCs w:val="18"/>
                <w:u w:val="single"/>
              </w:rPr>
              <w:t>Sponsor’s Comment:</w:t>
            </w:r>
          </w:p>
          <w:p w14:paraId="15305741" w14:textId="2D120BD2" w:rsidR="008059F4" w:rsidRPr="008059F4" w:rsidRDefault="008B5F66" w:rsidP="00BB57B7">
            <w:pPr>
              <w:rPr>
                <w:rFonts w:asciiTheme="minorHAnsi" w:hAnsiTheme="minorHAnsi" w:cstheme="minorHAnsi"/>
                <w:color w:val="000000"/>
                <w:sz w:val="18"/>
                <w:szCs w:val="18"/>
              </w:rPr>
            </w:pPr>
            <w:r w:rsidRPr="008B5F66">
              <w:rPr>
                <w:rFonts w:asciiTheme="minorHAnsi" w:hAnsiTheme="minorHAnsi" w:cstheme="minorHAnsi"/>
                <w:color w:val="000000"/>
                <w:sz w:val="18"/>
                <w:szCs w:val="18"/>
              </w:rPr>
              <w:t>The sponsor had no comment.</w:t>
            </w:r>
          </w:p>
        </w:tc>
      </w:tr>
      <w:bookmarkEnd w:id="3"/>
      <w:tr w:rsidR="00E71F04" w:rsidRPr="008059F4" w14:paraId="13CCBBCF" w14:textId="77777777" w:rsidTr="003774E1">
        <w:trPr>
          <w:cantSplit/>
          <w:trHeight w:val="2948"/>
          <w:jc w:val="center"/>
        </w:trPr>
        <w:tc>
          <w:tcPr>
            <w:tcW w:w="3013" w:type="dxa"/>
            <w:shd w:val="clear" w:color="auto" w:fill="auto"/>
            <w:tcMar>
              <w:top w:w="28" w:type="dxa"/>
              <w:bottom w:w="28" w:type="dxa"/>
            </w:tcMar>
            <w:vAlign w:val="center"/>
          </w:tcPr>
          <w:p w14:paraId="133CC392" w14:textId="0D96C282" w:rsidR="00E71F04" w:rsidRPr="008059F4" w:rsidRDefault="00E71F04" w:rsidP="00BB57B7">
            <w:pPr>
              <w:keepLines/>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lastRenderedPageBreak/>
              <w:t>DAUNORUBICIN WITH CYTARABINE</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Powder for I.V infusion containing daunorubicin 44</w:t>
            </w:r>
            <w:r w:rsidR="00C67D16">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and cytarabine 100</w:t>
            </w:r>
            <w:r w:rsidR="00C67D16">
              <w:rPr>
                <w:rFonts w:asciiTheme="minorHAnsi" w:hAnsiTheme="minorHAnsi" w:cstheme="minorHAnsi"/>
                <w:color w:val="000000"/>
                <w:sz w:val="18"/>
                <w:szCs w:val="18"/>
              </w:rPr>
              <w:t> mg</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Vyxeos®</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r>
            <w:r w:rsidR="00A03E2D" w:rsidRPr="008059F4">
              <w:rPr>
                <w:rFonts w:asciiTheme="minorHAnsi" w:hAnsiTheme="minorHAnsi" w:cstheme="minorHAnsi"/>
                <w:color w:val="000000"/>
                <w:sz w:val="18"/>
                <w:szCs w:val="18"/>
              </w:rPr>
              <w:t>JAZZ PHARMACEUTICALS ANZ PTY LTD</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Early re-entry</w:t>
            </w:r>
            <w:r w:rsidRPr="008059F4">
              <w:rPr>
                <w:rFonts w:asciiTheme="minorHAnsi" w:hAnsiTheme="minorHAnsi" w:cstheme="minorHAnsi"/>
                <w:color w:val="000000"/>
                <w:sz w:val="18"/>
                <w:szCs w:val="18"/>
              </w:rPr>
              <w:br/>
              <w:t>(New listing)</w:t>
            </w:r>
          </w:p>
        </w:tc>
        <w:tc>
          <w:tcPr>
            <w:tcW w:w="2764" w:type="dxa"/>
            <w:shd w:val="clear" w:color="auto" w:fill="auto"/>
            <w:vAlign w:val="center"/>
          </w:tcPr>
          <w:p w14:paraId="1D276F0A" w14:textId="729533E8" w:rsidR="00E71F04" w:rsidRPr="008059F4" w:rsidRDefault="00E71F04" w:rsidP="00BB57B7">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Acute myeloid leukaemia</w:t>
            </w:r>
          </w:p>
        </w:tc>
        <w:tc>
          <w:tcPr>
            <w:tcW w:w="2978" w:type="dxa"/>
            <w:shd w:val="clear" w:color="auto" w:fill="auto"/>
            <w:tcMar>
              <w:top w:w="28" w:type="dxa"/>
              <w:bottom w:w="28" w:type="dxa"/>
            </w:tcMar>
            <w:vAlign w:val="center"/>
          </w:tcPr>
          <w:p w14:paraId="0CDB928D" w14:textId="55531728" w:rsidR="00E71F04" w:rsidRPr="008059F4" w:rsidRDefault="00E71F0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Resubmission to request a Section 100 (Efficient Funding of Chemotherapy Program) Authority Required (Telephone/Online) listing for the treatment of therapy</w:t>
            </w:r>
            <w:r w:rsidR="00011420">
              <w:rPr>
                <w:rFonts w:asciiTheme="minorHAnsi" w:hAnsiTheme="minorHAnsi" w:cstheme="minorHAnsi"/>
                <w:color w:val="000000"/>
                <w:sz w:val="18"/>
                <w:szCs w:val="18"/>
              </w:rPr>
              <w:t>-</w:t>
            </w:r>
            <w:r w:rsidRPr="008059F4">
              <w:rPr>
                <w:rFonts w:asciiTheme="minorHAnsi" w:hAnsiTheme="minorHAnsi" w:cstheme="minorHAnsi"/>
                <w:color w:val="000000"/>
                <w:sz w:val="18"/>
                <w:szCs w:val="18"/>
              </w:rPr>
              <w:t xml:space="preserve">related acute myeloid leukaemia (t-AML) </w:t>
            </w:r>
            <w:r w:rsidR="00AC749B">
              <w:rPr>
                <w:rFonts w:asciiTheme="minorHAnsi" w:hAnsiTheme="minorHAnsi" w:cstheme="minorHAnsi"/>
                <w:color w:val="000000"/>
                <w:sz w:val="18"/>
                <w:szCs w:val="18"/>
              </w:rPr>
              <w:t>or</w:t>
            </w:r>
            <w:r w:rsidR="00AC749B" w:rsidRPr="008059F4">
              <w:rPr>
                <w:rFonts w:asciiTheme="minorHAnsi" w:hAnsiTheme="minorHAnsi" w:cstheme="minorHAnsi"/>
                <w:color w:val="000000"/>
                <w:sz w:val="18"/>
                <w:szCs w:val="18"/>
              </w:rPr>
              <w:t xml:space="preserve"> </w:t>
            </w:r>
            <w:r w:rsidRPr="008059F4">
              <w:rPr>
                <w:rFonts w:asciiTheme="minorHAnsi" w:hAnsiTheme="minorHAnsi" w:cstheme="minorHAnsi"/>
                <w:color w:val="000000"/>
                <w:sz w:val="18"/>
                <w:szCs w:val="18"/>
              </w:rPr>
              <w:t>acute myeloid leukaemia with myelodysplasia-related changes (AML-MRC).</w:t>
            </w:r>
          </w:p>
        </w:tc>
        <w:tc>
          <w:tcPr>
            <w:tcW w:w="1800" w:type="dxa"/>
            <w:shd w:val="clear" w:color="auto" w:fill="auto"/>
            <w:vAlign w:val="center"/>
          </w:tcPr>
          <w:p w14:paraId="5E91DC60" w14:textId="3C0A750E" w:rsidR="00E71F04" w:rsidRPr="008059F4" w:rsidRDefault="00E71F0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Recommended</w:t>
            </w:r>
          </w:p>
        </w:tc>
        <w:tc>
          <w:tcPr>
            <w:tcW w:w="4833" w:type="dxa"/>
            <w:shd w:val="clear" w:color="auto" w:fill="auto"/>
            <w:vAlign w:val="center"/>
          </w:tcPr>
          <w:p w14:paraId="1CC02EB6" w14:textId="48D42BAC" w:rsidR="00E71F04" w:rsidRPr="008059F4" w:rsidRDefault="00E71F04" w:rsidP="009B3BC3">
            <w:pPr>
              <w:jc w:val="both"/>
              <w:rPr>
                <w:rFonts w:asciiTheme="minorHAnsi" w:hAnsiTheme="minorHAnsi" w:cstheme="minorHAnsi"/>
                <w:color w:val="000000"/>
                <w:sz w:val="18"/>
                <w:szCs w:val="18"/>
              </w:rPr>
            </w:pPr>
            <w:r w:rsidRPr="008059F4">
              <w:rPr>
                <w:rFonts w:asciiTheme="minorHAnsi" w:hAnsiTheme="minorHAnsi" w:cstheme="minorHAnsi"/>
                <w:color w:val="000000"/>
                <w:sz w:val="18"/>
                <w:szCs w:val="18"/>
              </w:rPr>
              <w:t>The PBAC recommended</w:t>
            </w:r>
            <w:r w:rsidR="007E349F">
              <w:rPr>
                <w:rFonts w:asciiTheme="minorHAnsi" w:hAnsiTheme="minorHAnsi" w:cstheme="minorHAnsi"/>
                <w:color w:val="000000"/>
                <w:sz w:val="18"/>
                <w:szCs w:val="18"/>
              </w:rPr>
              <w:t xml:space="preserve"> the listing of</w:t>
            </w:r>
            <w:r w:rsidRPr="008059F4">
              <w:rPr>
                <w:rFonts w:asciiTheme="minorHAnsi" w:hAnsiTheme="minorHAnsi" w:cstheme="minorHAnsi"/>
                <w:color w:val="000000"/>
                <w:sz w:val="18"/>
                <w:szCs w:val="18"/>
              </w:rPr>
              <w:t xml:space="preserve"> liposomal daunorubicin and cytarabine for the treatment of t-AML or AML-MRC. The PBAC’s recommendation for listing was based on, among other matters, its assessment that the cost</w:t>
            </w:r>
            <w:r w:rsidR="00E065C8">
              <w:rPr>
                <w:rFonts w:asciiTheme="minorHAnsi" w:hAnsiTheme="minorHAnsi" w:cstheme="minorHAnsi"/>
                <w:color w:val="000000"/>
                <w:sz w:val="18"/>
                <w:szCs w:val="18"/>
              </w:rPr>
              <w:noBreakHyphen/>
            </w:r>
            <w:r w:rsidRPr="008059F4">
              <w:rPr>
                <w:rFonts w:asciiTheme="minorHAnsi" w:hAnsiTheme="minorHAnsi" w:cstheme="minorHAnsi"/>
                <w:color w:val="000000"/>
                <w:sz w:val="18"/>
                <w:szCs w:val="18"/>
              </w:rPr>
              <w:t xml:space="preserve">effectiveness of daunorubicin and cytarabine would be acceptable at the price proposed in the resubmission. The PBAC considered that the revised estimated utilisation and financial estimates were reasonable. </w:t>
            </w:r>
          </w:p>
        </w:tc>
      </w:tr>
      <w:tr w:rsidR="00E71F04" w:rsidRPr="008059F4" w14:paraId="0AE2830A" w14:textId="77777777" w:rsidTr="003774E1">
        <w:trPr>
          <w:cantSplit/>
          <w:trHeight w:val="2948"/>
          <w:jc w:val="center"/>
        </w:trPr>
        <w:tc>
          <w:tcPr>
            <w:tcW w:w="3013" w:type="dxa"/>
            <w:shd w:val="clear" w:color="auto" w:fill="auto"/>
            <w:tcMar>
              <w:top w:w="28" w:type="dxa"/>
              <w:bottom w:w="28" w:type="dxa"/>
            </w:tcMar>
            <w:vAlign w:val="center"/>
          </w:tcPr>
          <w:p w14:paraId="21AA0745" w14:textId="05C505F9" w:rsidR="00E71F04" w:rsidRPr="008059F4" w:rsidRDefault="00E71F04" w:rsidP="00BB57B7">
            <w:pPr>
              <w:keepLines/>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DIFELIKEFALIN</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 xml:space="preserve">Solution for I.V. injection </w:t>
            </w:r>
            <w:r w:rsidR="008B5C98" w:rsidRPr="008059F4">
              <w:rPr>
                <w:rFonts w:asciiTheme="minorHAnsi" w:hAnsiTheme="minorHAnsi" w:cstheme="minorHAnsi"/>
                <w:color w:val="000000"/>
                <w:sz w:val="18"/>
                <w:szCs w:val="18"/>
              </w:rPr>
              <w:t>50</w:t>
            </w:r>
            <w:r w:rsidR="008B5C98">
              <w:rPr>
                <w:rFonts w:asciiTheme="minorHAnsi" w:hAnsiTheme="minorHAnsi" w:cstheme="minorHAnsi"/>
                <w:color w:val="000000"/>
                <w:sz w:val="18"/>
                <w:szCs w:val="18"/>
              </w:rPr>
              <w:t> </w:t>
            </w:r>
            <w:r w:rsidRPr="008059F4">
              <w:rPr>
                <w:rFonts w:asciiTheme="minorHAnsi" w:hAnsiTheme="minorHAnsi" w:cstheme="minorHAnsi"/>
                <w:color w:val="000000"/>
                <w:sz w:val="18"/>
                <w:szCs w:val="18"/>
              </w:rPr>
              <w:t>micrograms in 1</w:t>
            </w:r>
            <w:r w:rsidR="00C67D16">
              <w:rPr>
                <w:rFonts w:asciiTheme="minorHAnsi" w:hAnsiTheme="minorHAnsi" w:cstheme="minorHAnsi"/>
                <w:color w:val="000000"/>
                <w:sz w:val="18"/>
                <w:szCs w:val="18"/>
              </w:rPr>
              <w:t> mL</w:t>
            </w:r>
            <w:r w:rsidRPr="008059F4">
              <w:rPr>
                <w:rFonts w:asciiTheme="minorHAnsi" w:hAnsiTheme="minorHAnsi" w:cstheme="minorHAnsi"/>
                <w:color w:val="000000"/>
                <w:sz w:val="18"/>
                <w:szCs w:val="18"/>
              </w:rPr>
              <w:t xml:space="preserve"> vial</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Korsuva®</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VIFOR PHARMA PTY LIMITED</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Standard re-entry</w:t>
            </w:r>
            <w:r w:rsidRPr="008059F4">
              <w:rPr>
                <w:rFonts w:asciiTheme="minorHAnsi" w:hAnsiTheme="minorHAnsi" w:cstheme="minorHAnsi"/>
                <w:color w:val="000000"/>
                <w:sz w:val="18"/>
                <w:szCs w:val="18"/>
              </w:rPr>
              <w:br/>
              <w:t>(New listing)</w:t>
            </w:r>
          </w:p>
        </w:tc>
        <w:tc>
          <w:tcPr>
            <w:tcW w:w="2764" w:type="dxa"/>
            <w:shd w:val="clear" w:color="auto" w:fill="auto"/>
            <w:vAlign w:val="center"/>
          </w:tcPr>
          <w:p w14:paraId="12E59758" w14:textId="703D18D4" w:rsidR="00E71F04" w:rsidRPr="008059F4" w:rsidRDefault="00E71F04" w:rsidP="00BB57B7">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Chronic kidney disease</w:t>
            </w:r>
            <w:r w:rsidR="008B5C98">
              <w:rPr>
                <w:rFonts w:asciiTheme="minorHAnsi" w:hAnsiTheme="minorHAnsi" w:cstheme="minorHAnsi"/>
                <w:color w:val="000000"/>
                <w:sz w:val="18"/>
                <w:szCs w:val="18"/>
              </w:rPr>
              <w:t xml:space="preserve"> </w:t>
            </w:r>
            <w:r w:rsidR="008B5C98" w:rsidRPr="008059F4">
              <w:rPr>
                <w:rFonts w:asciiTheme="minorHAnsi" w:hAnsiTheme="minorHAnsi" w:cstheme="minorHAnsi"/>
                <w:color w:val="000000"/>
                <w:sz w:val="18"/>
                <w:szCs w:val="18"/>
              </w:rPr>
              <w:t>(CKD)</w:t>
            </w:r>
            <w:r w:rsidRPr="008059F4">
              <w:rPr>
                <w:rFonts w:asciiTheme="minorHAnsi" w:hAnsiTheme="minorHAnsi" w:cstheme="minorHAnsi"/>
                <w:color w:val="000000"/>
                <w:sz w:val="18"/>
                <w:szCs w:val="18"/>
              </w:rPr>
              <w:t xml:space="preserve"> associated pruritus</w:t>
            </w:r>
          </w:p>
        </w:tc>
        <w:tc>
          <w:tcPr>
            <w:tcW w:w="2978" w:type="dxa"/>
            <w:shd w:val="clear" w:color="auto" w:fill="auto"/>
            <w:tcMar>
              <w:top w:w="28" w:type="dxa"/>
              <w:bottom w:w="28" w:type="dxa"/>
            </w:tcMar>
            <w:vAlign w:val="center"/>
          </w:tcPr>
          <w:p w14:paraId="0CEBC411" w14:textId="41B3C8E3" w:rsidR="00E71F04" w:rsidRPr="008059F4" w:rsidRDefault="00E71F0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 xml:space="preserve">To request a Section 100 (Highly Specialised Drugs Program) Authority Required (Telephone/Online) listing for the treatment of moderate-to-severe pruritus associated with </w:t>
            </w:r>
            <w:r w:rsidR="008B5C98" w:rsidRPr="008059F4">
              <w:rPr>
                <w:rFonts w:asciiTheme="minorHAnsi" w:hAnsiTheme="minorHAnsi" w:cstheme="minorHAnsi"/>
                <w:color w:val="000000"/>
                <w:sz w:val="18"/>
                <w:szCs w:val="18"/>
              </w:rPr>
              <w:t>CKD</w:t>
            </w:r>
            <w:r w:rsidRPr="008059F4">
              <w:rPr>
                <w:rFonts w:asciiTheme="minorHAnsi" w:hAnsiTheme="minorHAnsi" w:cstheme="minorHAnsi"/>
                <w:color w:val="000000"/>
                <w:sz w:val="18"/>
                <w:szCs w:val="18"/>
              </w:rPr>
              <w:t>.</w:t>
            </w:r>
          </w:p>
        </w:tc>
        <w:tc>
          <w:tcPr>
            <w:tcW w:w="1800" w:type="dxa"/>
            <w:shd w:val="clear" w:color="auto" w:fill="auto"/>
            <w:vAlign w:val="center"/>
          </w:tcPr>
          <w:p w14:paraId="4BCD8363" w14:textId="73A441EC" w:rsidR="00E71F04" w:rsidRPr="008059F4" w:rsidRDefault="00E71F0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Recommended</w:t>
            </w:r>
          </w:p>
        </w:tc>
        <w:tc>
          <w:tcPr>
            <w:tcW w:w="4833" w:type="dxa"/>
            <w:shd w:val="clear" w:color="auto" w:fill="auto"/>
            <w:vAlign w:val="center"/>
          </w:tcPr>
          <w:p w14:paraId="7B15A39F" w14:textId="4AEE76E7" w:rsidR="00611B57" w:rsidRDefault="00E71F04">
            <w:pPr>
              <w:jc w:val="both"/>
              <w:rPr>
                <w:rFonts w:asciiTheme="minorHAnsi" w:hAnsiTheme="minorHAnsi" w:cstheme="minorHAnsi"/>
                <w:color w:val="000000"/>
                <w:sz w:val="18"/>
                <w:szCs w:val="18"/>
              </w:rPr>
            </w:pPr>
            <w:r w:rsidRPr="008059F4">
              <w:rPr>
                <w:rFonts w:asciiTheme="minorHAnsi" w:hAnsiTheme="minorHAnsi" w:cstheme="minorHAnsi"/>
                <w:color w:val="000000"/>
                <w:sz w:val="18"/>
                <w:szCs w:val="18"/>
              </w:rPr>
              <w:t>The PBAC recommended the listing of difelikefalin for the treatment of moderate to severe pruritus associated with CKD in patients who are undergoing haemodialysis, on the basis that it should be available only under special arrangements under Section 100 (Highly Specialised Drugs Program). The PBAC is satisfied that difelikefalin provides, for some patients, a significant improvement in efficacy over best supportive care for the management of moderate to severe pruritus in the requested population.</w:t>
            </w:r>
          </w:p>
          <w:p w14:paraId="43C580B1" w14:textId="77777777" w:rsidR="00611B57" w:rsidRDefault="00611B57">
            <w:pPr>
              <w:jc w:val="both"/>
              <w:rPr>
                <w:rFonts w:asciiTheme="minorHAnsi" w:hAnsiTheme="minorHAnsi" w:cstheme="minorHAnsi"/>
                <w:color w:val="000000"/>
                <w:sz w:val="18"/>
                <w:szCs w:val="18"/>
              </w:rPr>
            </w:pPr>
          </w:p>
          <w:p w14:paraId="2636442F" w14:textId="29898EA9" w:rsidR="00E71F04" w:rsidRPr="008059F4" w:rsidRDefault="00E71F04" w:rsidP="009B3BC3">
            <w:pPr>
              <w:jc w:val="both"/>
              <w:rPr>
                <w:rFonts w:asciiTheme="minorHAnsi" w:hAnsiTheme="minorHAnsi" w:cstheme="minorHAnsi"/>
                <w:color w:val="000000"/>
                <w:sz w:val="18"/>
                <w:szCs w:val="18"/>
              </w:rPr>
            </w:pPr>
            <w:r w:rsidRPr="008059F4">
              <w:rPr>
                <w:rFonts w:asciiTheme="minorHAnsi" w:hAnsiTheme="minorHAnsi" w:cstheme="minorHAnsi"/>
                <w:color w:val="000000"/>
                <w:sz w:val="18"/>
                <w:szCs w:val="18"/>
              </w:rPr>
              <w:t>The PBAC reaffirmed its March 2023 advice that the claims of superior comparative effectiveness and inferior safety were reasonable. The PBAC considered the resubmission economic model was structurally reliable for decision</w:t>
            </w:r>
            <w:r w:rsidR="009B3BC3">
              <w:rPr>
                <w:rFonts w:asciiTheme="minorHAnsi" w:hAnsiTheme="minorHAnsi" w:cstheme="minorHAnsi"/>
                <w:color w:val="000000"/>
                <w:sz w:val="18"/>
                <w:szCs w:val="18"/>
              </w:rPr>
              <w:t>-</w:t>
            </w:r>
            <w:r w:rsidRPr="008059F4">
              <w:rPr>
                <w:rFonts w:asciiTheme="minorHAnsi" w:hAnsiTheme="minorHAnsi" w:cstheme="minorHAnsi"/>
                <w:color w:val="000000"/>
                <w:sz w:val="18"/>
                <w:szCs w:val="18"/>
              </w:rPr>
              <w:t>making and advised that, with the pre-PBAC response price offer, the listing was acceptably cost</w:t>
            </w:r>
            <w:r w:rsidR="005C7159">
              <w:rPr>
                <w:rFonts w:asciiTheme="minorHAnsi" w:hAnsiTheme="minorHAnsi" w:cstheme="minorHAnsi"/>
                <w:color w:val="000000"/>
                <w:sz w:val="18"/>
                <w:szCs w:val="18"/>
              </w:rPr>
              <w:t> - </w:t>
            </w:r>
            <w:r w:rsidRPr="008059F4">
              <w:rPr>
                <w:rFonts w:asciiTheme="minorHAnsi" w:hAnsiTheme="minorHAnsi" w:cstheme="minorHAnsi"/>
                <w:color w:val="000000"/>
                <w:sz w:val="18"/>
                <w:szCs w:val="18"/>
              </w:rPr>
              <w:t>effective in this population with a clinical need for effective treatment options. The PBAC accepted the revised financial estimates presented in the pre-PBAC response and considered that these were an appropriate basis for a risk sharing arrangement.</w:t>
            </w:r>
          </w:p>
        </w:tc>
      </w:tr>
      <w:tr w:rsidR="00E71F04" w:rsidRPr="008059F4" w14:paraId="4A465492" w14:textId="77777777" w:rsidTr="003774E1">
        <w:trPr>
          <w:cantSplit/>
          <w:trHeight w:val="2948"/>
          <w:jc w:val="center"/>
        </w:trPr>
        <w:tc>
          <w:tcPr>
            <w:tcW w:w="3013" w:type="dxa"/>
            <w:shd w:val="clear" w:color="auto" w:fill="auto"/>
            <w:tcMar>
              <w:top w:w="28" w:type="dxa"/>
              <w:bottom w:w="28" w:type="dxa"/>
            </w:tcMar>
            <w:vAlign w:val="center"/>
          </w:tcPr>
          <w:p w14:paraId="5E18E9FF" w14:textId="3820633E" w:rsidR="00E71F04" w:rsidRPr="008059F4" w:rsidRDefault="00E71F04" w:rsidP="00BB57B7">
            <w:pPr>
              <w:keepLines/>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lastRenderedPageBreak/>
              <w:t>DOSTARLIMAB</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Solution concentrate for I.V. infusion 500</w:t>
            </w:r>
            <w:r w:rsidR="00C67D16">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in 10</w:t>
            </w:r>
            <w:r w:rsidR="00C67D16">
              <w:rPr>
                <w:rFonts w:asciiTheme="minorHAnsi" w:hAnsiTheme="minorHAnsi" w:cstheme="minorHAnsi"/>
                <w:color w:val="000000"/>
                <w:sz w:val="18"/>
                <w:szCs w:val="18"/>
              </w:rPr>
              <w:t> mL</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Jemperli®</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GLAXOSMITHKLINE AUSTRALIA PTY LTD</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Category 2</w:t>
            </w:r>
            <w:r w:rsidRPr="008059F4">
              <w:rPr>
                <w:rFonts w:asciiTheme="minorHAnsi" w:hAnsiTheme="minorHAnsi" w:cstheme="minorHAnsi"/>
                <w:color w:val="000000"/>
                <w:sz w:val="18"/>
                <w:szCs w:val="18"/>
              </w:rPr>
              <w:br/>
              <w:t>(New listing)</w:t>
            </w:r>
          </w:p>
        </w:tc>
        <w:tc>
          <w:tcPr>
            <w:tcW w:w="2764" w:type="dxa"/>
            <w:shd w:val="clear" w:color="auto" w:fill="auto"/>
            <w:vAlign w:val="center"/>
          </w:tcPr>
          <w:p w14:paraId="7CD5B10D" w14:textId="7B7CB8E6" w:rsidR="00E71F04" w:rsidRPr="008059F4" w:rsidRDefault="00E71F04" w:rsidP="00BB57B7">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Endometrial cancer</w:t>
            </w:r>
          </w:p>
        </w:tc>
        <w:tc>
          <w:tcPr>
            <w:tcW w:w="2978" w:type="dxa"/>
            <w:shd w:val="clear" w:color="auto" w:fill="auto"/>
            <w:tcMar>
              <w:top w:w="28" w:type="dxa"/>
              <w:bottom w:w="28" w:type="dxa"/>
            </w:tcMar>
            <w:vAlign w:val="center"/>
          </w:tcPr>
          <w:p w14:paraId="2CF642A0" w14:textId="5AB3FBB9" w:rsidR="00E71F04" w:rsidRPr="008059F4" w:rsidRDefault="00E71F0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To request a Section 100 (</w:t>
            </w:r>
            <w:r w:rsidR="00C8736D" w:rsidRPr="008059F4">
              <w:rPr>
                <w:rFonts w:asciiTheme="minorHAnsi" w:hAnsiTheme="minorHAnsi" w:cstheme="minorHAnsi"/>
                <w:color w:val="000000"/>
                <w:sz w:val="18"/>
                <w:szCs w:val="18"/>
              </w:rPr>
              <w:t>Efficient Funding of Chemotherapy Program</w:t>
            </w:r>
            <w:r w:rsidRPr="008059F4">
              <w:rPr>
                <w:rFonts w:asciiTheme="minorHAnsi" w:hAnsiTheme="minorHAnsi" w:cstheme="minorHAnsi"/>
                <w:color w:val="000000"/>
                <w:sz w:val="18"/>
                <w:szCs w:val="18"/>
              </w:rPr>
              <w:t>) Authority Required (STREAMLINED) listing for use in combination with platinum-containing chemotherapy for the treatment of primary advanced or first recurrent endometrial cancer.</w:t>
            </w:r>
          </w:p>
        </w:tc>
        <w:tc>
          <w:tcPr>
            <w:tcW w:w="1800" w:type="dxa"/>
            <w:shd w:val="clear" w:color="auto" w:fill="auto"/>
            <w:vAlign w:val="center"/>
          </w:tcPr>
          <w:p w14:paraId="7E66B42F" w14:textId="5971A4CE" w:rsidR="00E71F04" w:rsidRPr="008059F4" w:rsidRDefault="00E71F0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Recommended</w:t>
            </w:r>
          </w:p>
        </w:tc>
        <w:tc>
          <w:tcPr>
            <w:tcW w:w="4833" w:type="dxa"/>
            <w:shd w:val="clear" w:color="auto" w:fill="auto"/>
            <w:vAlign w:val="center"/>
          </w:tcPr>
          <w:p w14:paraId="5420E4D4" w14:textId="621EABE9" w:rsidR="00AC749B" w:rsidRDefault="00E71F04" w:rsidP="005C7159">
            <w:pPr>
              <w:jc w:val="both"/>
              <w:rPr>
                <w:rFonts w:asciiTheme="minorHAnsi" w:hAnsiTheme="minorHAnsi" w:cstheme="minorHAnsi"/>
                <w:color w:val="000000"/>
                <w:sz w:val="18"/>
                <w:szCs w:val="18"/>
              </w:rPr>
            </w:pPr>
            <w:r w:rsidRPr="008059F4">
              <w:rPr>
                <w:rFonts w:asciiTheme="minorHAnsi" w:hAnsiTheme="minorHAnsi" w:cstheme="minorHAnsi"/>
                <w:color w:val="000000"/>
                <w:sz w:val="18"/>
                <w:szCs w:val="18"/>
              </w:rPr>
              <w:t>The PBAC recommended the listing of dostarlimab in combination with platinum-containing chemotherapy, for the treatment of primary advanced or first recurrent endometrial cancer that is mismatch repair deficient (dMMR), on the basis that it should be available only under special arrangements under Section 100 (Efficient Funding of Chemotherapy). The PBAC is satisfied that dostarlimab provides, for some patients, a significant improvement in efficacy over platinum-containing chemotherapy alone, noting a clinical benefit, in terms of progression-free survival, from first line treatment for this population. The PBAC considered that, for the dMMR population, dostarlimab would be acceptably cost</w:t>
            </w:r>
            <w:r w:rsidR="00130D30">
              <w:rPr>
                <w:rFonts w:asciiTheme="minorHAnsi" w:hAnsiTheme="minorHAnsi" w:cstheme="minorHAnsi"/>
                <w:color w:val="000000"/>
                <w:sz w:val="18"/>
                <w:szCs w:val="18"/>
              </w:rPr>
              <w:noBreakHyphen/>
            </w:r>
            <w:r w:rsidRPr="008059F4">
              <w:rPr>
                <w:rFonts w:asciiTheme="minorHAnsi" w:hAnsiTheme="minorHAnsi" w:cstheme="minorHAnsi"/>
                <w:color w:val="000000"/>
                <w:sz w:val="18"/>
                <w:szCs w:val="18"/>
              </w:rPr>
              <w:t>effective with a price reduction to account for the uncertain longer-term outcomes, including the uncertain gain in overall survival.</w:t>
            </w:r>
          </w:p>
          <w:p w14:paraId="630342B2" w14:textId="77777777" w:rsidR="00AC749B" w:rsidRDefault="00AC749B" w:rsidP="005C7159">
            <w:pPr>
              <w:jc w:val="both"/>
              <w:rPr>
                <w:rFonts w:asciiTheme="minorHAnsi" w:hAnsiTheme="minorHAnsi" w:cstheme="minorHAnsi"/>
                <w:color w:val="000000"/>
                <w:sz w:val="18"/>
                <w:szCs w:val="18"/>
              </w:rPr>
            </w:pPr>
          </w:p>
          <w:p w14:paraId="451B7AE4" w14:textId="677E57B6" w:rsidR="00E71F04" w:rsidRPr="008059F4" w:rsidRDefault="00E71F04" w:rsidP="009B3BC3">
            <w:pPr>
              <w:jc w:val="both"/>
              <w:rPr>
                <w:rFonts w:asciiTheme="minorHAnsi" w:hAnsiTheme="minorHAnsi" w:cstheme="minorHAnsi"/>
                <w:color w:val="000000"/>
                <w:sz w:val="18"/>
                <w:szCs w:val="18"/>
              </w:rPr>
            </w:pPr>
            <w:r w:rsidRPr="008059F4">
              <w:rPr>
                <w:rFonts w:asciiTheme="minorHAnsi" w:hAnsiTheme="minorHAnsi" w:cstheme="minorHAnsi"/>
                <w:color w:val="000000"/>
                <w:sz w:val="18"/>
                <w:szCs w:val="18"/>
              </w:rPr>
              <w:t>The PBAC did not recommend listing of dostarlimab for the treatment of primary advanced or first recurrent endometrial cancer in the broader population, which includes mismatch repair proficient (pMMR) endometrial cancer. The PBAC noted that there is a high clinical need for effective first</w:t>
            </w:r>
            <w:r w:rsidR="00130D30">
              <w:rPr>
                <w:rFonts w:asciiTheme="minorHAnsi" w:hAnsiTheme="minorHAnsi" w:cstheme="minorHAnsi"/>
                <w:color w:val="000000"/>
                <w:sz w:val="18"/>
                <w:szCs w:val="18"/>
              </w:rPr>
              <w:noBreakHyphen/>
            </w:r>
            <w:r w:rsidRPr="008059F4">
              <w:rPr>
                <w:rFonts w:asciiTheme="minorHAnsi" w:hAnsiTheme="minorHAnsi" w:cstheme="minorHAnsi"/>
                <w:color w:val="000000"/>
                <w:sz w:val="18"/>
                <w:szCs w:val="18"/>
              </w:rPr>
              <w:t>line treatments for endometrial cancer but considered that the clinical benefit in the pMMR population was unclear, noting that it was possible that these patients may benefit more from second</w:t>
            </w:r>
            <w:r w:rsidR="00130D30">
              <w:rPr>
                <w:rFonts w:asciiTheme="minorHAnsi" w:hAnsiTheme="minorHAnsi" w:cstheme="minorHAnsi"/>
                <w:color w:val="000000"/>
                <w:sz w:val="18"/>
                <w:szCs w:val="18"/>
              </w:rPr>
              <w:noBreakHyphen/>
            </w:r>
            <w:r w:rsidRPr="008059F4">
              <w:rPr>
                <w:rFonts w:asciiTheme="minorHAnsi" w:hAnsiTheme="minorHAnsi" w:cstheme="minorHAnsi"/>
                <w:color w:val="000000"/>
                <w:sz w:val="18"/>
                <w:szCs w:val="18"/>
              </w:rPr>
              <w:t xml:space="preserve">line treatment with pembrolizumab in combination with lenvatinib. </w:t>
            </w:r>
          </w:p>
        </w:tc>
      </w:tr>
      <w:tr w:rsidR="00E71F04" w:rsidRPr="008059F4" w14:paraId="4B53762F" w14:textId="77777777" w:rsidTr="003774E1">
        <w:trPr>
          <w:cantSplit/>
          <w:trHeight w:val="2948"/>
          <w:jc w:val="center"/>
        </w:trPr>
        <w:tc>
          <w:tcPr>
            <w:tcW w:w="3013" w:type="dxa"/>
            <w:shd w:val="clear" w:color="auto" w:fill="auto"/>
            <w:tcMar>
              <w:top w:w="28" w:type="dxa"/>
              <w:bottom w:w="28" w:type="dxa"/>
            </w:tcMar>
            <w:vAlign w:val="center"/>
          </w:tcPr>
          <w:p w14:paraId="19A6555E" w14:textId="77777777" w:rsidR="007A42DA" w:rsidRPr="007A42DA" w:rsidRDefault="007A42DA" w:rsidP="00BB57B7">
            <w:pPr>
              <w:keepLines/>
              <w:jc w:val="center"/>
              <w:rPr>
                <w:rFonts w:asciiTheme="minorHAnsi" w:hAnsiTheme="minorHAnsi" w:cstheme="minorHAnsi"/>
                <w:color w:val="000000"/>
                <w:sz w:val="18"/>
                <w:szCs w:val="18"/>
              </w:rPr>
            </w:pPr>
            <w:r w:rsidRPr="007A42DA">
              <w:rPr>
                <w:rFonts w:asciiTheme="minorHAnsi" w:hAnsiTheme="minorHAnsi" w:cstheme="minorHAnsi"/>
                <w:color w:val="000000"/>
                <w:sz w:val="18"/>
                <w:szCs w:val="18"/>
              </w:rPr>
              <w:lastRenderedPageBreak/>
              <w:t>DUPILUMAB</w:t>
            </w:r>
          </w:p>
          <w:p w14:paraId="1D25C8E6" w14:textId="77777777" w:rsidR="007A42DA" w:rsidRPr="007A42DA" w:rsidRDefault="007A42DA" w:rsidP="00BB57B7">
            <w:pPr>
              <w:keepLines/>
              <w:jc w:val="center"/>
              <w:rPr>
                <w:rFonts w:asciiTheme="minorHAnsi" w:hAnsiTheme="minorHAnsi" w:cstheme="minorHAnsi"/>
                <w:color w:val="000000"/>
                <w:sz w:val="18"/>
                <w:szCs w:val="18"/>
              </w:rPr>
            </w:pPr>
          </w:p>
          <w:p w14:paraId="4D98D98C" w14:textId="4672B81F" w:rsidR="007A42DA" w:rsidRPr="007A42DA" w:rsidRDefault="007A42DA" w:rsidP="00BB57B7">
            <w:pPr>
              <w:keepLines/>
              <w:jc w:val="center"/>
              <w:rPr>
                <w:rFonts w:asciiTheme="minorHAnsi" w:hAnsiTheme="minorHAnsi" w:cstheme="minorHAnsi"/>
                <w:color w:val="000000"/>
                <w:sz w:val="18"/>
                <w:szCs w:val="18"/>
              </w:rPr>
            </w:pPr>
            <w:r w:rsidRPr="007A42DA">
              <w:rPr>
                <w:rFonts w:asciiTheme="minorHAnsi" w:hAnsiTheme="minorHAnsi" w:cstheme="minorHAnsi"/>
                <w:color w:val="000000"/>
                <w:sz w:val="18"/>
                <w:szCs w:val="18"/>
              </w:rPr>
              <w:t>Injection 200</w:t>
            </w:r>
            <w:r w:rsidR="00C67D16">
              <w:rPr>
                <w:rFonts w:asciiTheme="minorHAnsi" w:hAnsiTheme="minorHAnsi" w:cstheme="minorHAnsi"/>
                <w:color w:val="000000"/>
                <w:sz w:val="18"/>
                <w:szCs w:val="18"/>
              </w:rPr>
              <w:t> mg</w:t>
            </w:r>
            <w:r w:rsidRPr="007A42DA">
              <w:rPr>
                <w:rFonts w:asciiTheme="minorHAnsi" w:hAnsiTheme="minorHAnsi" w:cstheme="minorHAnsi"/>
                <w:color w:val="000000"/>
                <w:sz w:val="18"/>
                <w:szCs w:val="18"/>
              </w:rPr>
              <w:t xml:space="preserve"> in 1.14</w:t>
            </w:r>
            <w:r w:rsidR="00C67D16">
              <w:rPr>
                <w:rFonts w:asciiTheme="minorHAnsi" w:hAnsiTheme="minorHAnsi" w:cstheme="minorHAnsi"/>
                <w:color w:val="000000"/>
                <w:sz w:val="18"/>
                <w:szCs w:val="18"/>
              </w:rPr>
              <w:t> mL</w:t>
            </w:r>
            <w:r w:rsidRPr="007A42DA">
              <w:rPr>
                <w:rFonts w:asciiTheme="minorHAnsi" w:hAnsiTheme="minorHAnsi" w:cstheme="minorHAnsi"/>
                <w:color w:val="000000"/>
                <w:sz w:val="18"/>
                <w:szCs w:val="18"/>
              </w:rPr>
              <w:t xml:space="preserve"> single dose pre-filled syringe</w:t>
            </w:r>
          </w:p>
          <w:p w14:paraId="7BDEC053" w14:textId="28D12095" w:rsidR="007A42DA" w:rsidRPr="007A42DA" w:rsidRDefault="007A42DA" w:rsidP="00BB57B7">
            <w:pPr>
              <w:keepLines/>
              <w:jc w:val="center"/>
              <w:rPr>
                <w:rFonts w:asciiTheme="minorHAnsi" w:hAnsiTheme="minorHAnsi" w:cstheme="minorHAnsi"/>
                <w:color w:val="000000"/>
                <w:sz w:val="18"/>
                <w:szCs w:val="18"/>
              </w:rPr>
            </w:pPr>
            <w:r w:rsidRPr="007A42DA">
              <w:rPr>
                <w:rFonts w:asciiTheme="minorHAnsi" w:hAnsiTheme="minorHAnsi" w:cstheme="minorHAnsi"/>
                <w:color w:val="000000"/>
                <w:sz w:val="18"/>
                <w:szCs w:val="18"/>
              </w:rPr>
              <w:t>Injection 300</w:t>
            </w:r>
            <w:r w:rsidR="00C67D16">
              <w:rPr>
                <w:rFonts w:asciiTheme="minorHAnsi" w:hAnsiTheme="minorHAnsi" w:cstheme="minorHAnsi"/>
                <w:color w:val="000000"/>
                <w:sz w:val="18"/>
                <w:szCs w:val="18"/>
              </w:rPr>
              <w:t> mg</w:t>
            </w:r>
            <w:r w:rsidRPr="007A42DA">
              <w:rPr>
                <w:rFonts w:asciiTheme="minorHAnsi" w:hAnsiTheme="minorHAnsi" w:cstheme="minorHAnsi"/>
                <w:color w:val="000000"/>
                <w:sz w:val="18"/>
                <w:szCs w:val="18"/>
              </w:rPr>
              <w:t xml:space="preserve"> in 2</w:t>
            </w:r>
            <w:r w:rsidR="00C67D16">
              <w:rPr>
                <w:rFonts w:asciiTheme="minorHAnsi" w:hAnsiTheme="minorHAnsi" w:cstheme="minorHAnsi"/>
                <w:color w:val="000000"/>
                <w:sz w:val="18"/>
                <w:szCs w:val="18"/>
              </w:rPr>
              <w:t> mL</w:t>
            </w:r>
            <w:r w:rsidRPr="007A42DA">
              <w:rPr>
                <w:rFonts w:asciiTheme="minorHAnsi" w:hAnsiTheme="minorHAnsi" w:cstheme="minorHAnsi"/>
                <w:color w:val="000000"/>
                <w:sz w:val="18"/>
                <w:szCs w:val="18"/>
              </w:rPr>
              <w:t xml:space="preserve"> single dose pre-filled syringe</w:t>
            </w:r>
          </w:p>
          <w:p w14:paraId="2B8522A5" w14:textId="77777777" w:rsidR="007A42DA" w:rsidRPr="007A42DA" w:rsidRDefault="007A42DA" w:rsidP="00BB57B7">
            <w:pPr>
              <w:keepLines/>
              <w:jc w:val="center"/>
              <w:rPr>
                <w:rFonts w:asciiTheme="minorHAnsi" w:hAnsiTheme="minorHAnsi" w:cstheme="minorHAnsi"/>
                <w:color w:val="000000"/>
                <w:sz w:val="18"/>
                <w:szCs w:val="18"/>
              </w:rPr>
            </w:pPr>
          </w:p>
          <w:p w14:paraId="2D8EDC66" w14:textId="77777777" w:rsidR="007A42DA" w:rsidRPr="007A42DA" w:rsidRDefault="007A42DA" w:rsidP="00BB57B7">
            <w:pPr>
              <w:keepLines/>
              <w:jc w:val="center"/>
              <w:rPr>
                <w:rFonts w:asciiTheme="minorHAnsi" w:hAnsiTheme="minorHAnsi" w:cstheme="minorHAnsi"/>
                <w:color w:val="000000"/>
                <w:sz w:val="18"/>
                <w:szCs w:val="18"/>
              </w:rPr>
            </w:pPr>
            <w:r w:rsidRPr="007A42DA">
              <w:rPr>
                <w:rFonts w:asciiTheme="minorHAnsi" w:hAnsiTheme="minorHAnsi" w:cstheme="minorHAnsi"/>
                <w:color w:val="000000"/>
                <w:sz w:val="18"/>
                <w:szCs w:val="18"/>
              </w:rPr>
              <w:t>Dupixent®</w:t>
            </w:r>
          </w:p>
          <w:p w14:paraId="5CAA0155" w14:textId="77777777" w:rsidR="007A42DA" w:rsidRPr="007A42DA" w:rsidRDefault="007A42DA" w:rsidP="00BB57B7">
            <w:pPr>
              <w:keepLines/>
              <w:jc w:val="center"/>
              <w:rPr>
                <w:rFonts w:asciiTheme="minorHAnsi" w:hAnsiTheme="minorHAnsi" w:cstheme="minorHAnsi"/>
                <w:color w:val="000000"/>
                <w:sz w:val="18"/>
                <w:szCs w:val="18"/>
              </w:rPr>
            </w:pPr>
          </w:p>
          <w:p w14:paraId="0101F047" w14:textId="77777777" w:rsidR="007A42DA" w:rsidRPr="007A42DA" w:rsidRDefault="007A42DA" w:rsidP="00BB57B7">
            <w:pPr>
              <w:keepLines/>
              <w:jc w:val="center"/>
              <w:rPr>
                <w:rFonts w:asciiTheme="minorHAnsi" w:hAnsiTheme="minorHAnsi" w:cstheme="minorHAnsi"/>
                <w:color w:val="000000"/>
                <w:sz w:val="18"/>
                <w:szCs w:val="18"/>
              </w:rPr>
            </w:pPr>
            <w:r w:rsidRPr="007A42DA">
              <w:rPr>
                <w:rFonts w:asciiTheme="minorHAnsi" w:hAnsiTheme="minorHAnsi" w:cstheme="minorHAnsi"/>
                <w:color w:val="000000"/>
                <w:sz w:val="18"/>
                <w:szCs w:val="18"/>
              </w:rPr>
              <w:t>SANOFI-AVENTIS AUSTRALIA PTY LTD</w:t>
            </w:r>
          </w:p>
          <w:p w14:paraId="426B7177" w14:textId="77777777" w:rsidR="007A42DA" w:rsidRPr="007A42DA" w:rsidRDefault="007A42DA" w:rsidP="00BB57B7">
            <w:pPr>
              <w:keepLines/>
              <w:jc w:val="center"/>
              <w:rPr>
                <w:rFonts w:asciiTheme="minorHAnsi" w:hAnsiTheme="minorHAnsi" w:cstheme="minorHAnsi"/>
                <w:color w:val="000000"/>
                <w:sz w:val="18"/>
                <w:szCs w:val="18"/>
              </w:rPr>
            </w:pPr>
          </w:p>
          <w:p w14:paraId="2EECB960" w14:textId="77777777" w:rsidR="007A42DA" w:rsidRPr="007A42DA" w:rsidRDefault="007A42DA" w:rsidP="00BB57B7">
            <w:pPr>
              <w:keepLines/>
              <w:jc w:val="center"/>
              <w:rPr>
                <w:rFonts w:asciiTheme="minorHAnsi" w:hAnsiTheme="minorHAnsi" w:cstheme="minorHAnsi"/>
                <w:color w:val="000000"/>
                <w:sz w:val="18"/>
                <w:szCs w:val="18"/>
              </w:rPr>
            </w:pPr>
            <w:r w:rsidRPr="007A42DA">
              <w:rPr>
                <w:rFonts w:asciiTheme="minorHAnsi" w:hAnsiTheme="minorHAnsi" w:cstheme="minorHAnsi"/>
                <w:color w:val="000000"/>
                <w:sz w:val="18"/>
                <w:szCs w:val="18"/>
              </w:rPr>
              <w:t>UPADACITINIB</w:t>
            </w:r>
          </w:p>
          <w:p w14:paraId="4A906055" w14:textId="77777777" w:rsidR="007A42DA" w:rsidRPr="007A42DA" w:rsidRDefault="007A42DA" w:rsidP="00BB57B7">
            <w:pPr>
              <w:keepLines/>
              <w:jc w:val="center"/>
              <w:rPr>
                <w:rFonts w:asciiTheme="minorHAnsi" w:hAnsiTheme="minorHAnsi" w:cstheme="minorHAnsi"/>
                <w:color w:val="000000"/>
                <w:sz w:val="18"/>
                <w:szCs w:val="18"/>
              </w:rPr>
            </w:pPr>
          </w:p>
          <w:p w14:paraId="1FCC6928" w14:textId="7C59613B" w:rsidR="007A42DA" w:rsidRPr="007A42DA" w:rsidRDefault="007A42DA" w:rsidP="00BB57B7">
            <w:pPr>
              <w:keepLines/>
              <w:jc w:val="center"/>
              <w:rPr>
                <w:rFonts w:asciiTheme="minorHAnsi" w:hAnsiTheme="minorHAnsi" w:cstheme="minorHAnsi"/>
                <w:color w:val="000000"/>
                <w:sz w:val="18"/>
                <w:szCs w:val="18"/>
              </w:rPr>
            </w:pPr>
            <w:r w:rsidRPr="007A42DA">
              <w:rPr>
                <w:rFonts w:asciiTheme="minorHAnsi" w:hAnsiTheme="minorHAnsi" w:cstheme="minorHAnsi"/>
                <w:color w:val="000000"/>
                <w:sz w:val="18"/>
                <w:szCs w:val="18"/>
              </w:rPr>
              <w:t>Tablet 15</w:t>
            </w:r>
            <w:r w:rsidR="00C67D16">
              <w:rPr>
                <w:rFonts w:asciiTheme="minorHAnsi" w:hAnsiTheme="minorHAnsi" w:cstheme="minorHAnsi"/>
                <w:color w:val="000000"/>
                <w:sz w:val="18"/>
                <w:szCs w:val="18"/>
              </w:rPr>
              <w:t> mg</w:t>
            </w:r>
          </w:p>
          <w:p w14:paraId="7FEAF9EC" w14:textId="0BBDCABA" w:rsidR="007A42DA" w:rsidRPr="007A42DA" w:rsidRDefault="007A42DA" w:rsidP="00BB57B7">
            <w:pPr>
              <w:keepLines/>
              <w:jc w:val="center"/>
              <w:rPr>
                <w:rFonts w:asciiTheme="minorHAnsi" w:hAnsiTheme="minorHAnsi" w:cstheme="minorHAnsi"/>
                <w:color w:val="000000"/>
                <w:sz w:val="18"/>
                <w:szCs w:val="18"/>
              </w:rPr>
            </w:pPr>
            <w:r w:rsidRPr="007A42DA">
              <w:rPr>
                <w:rFonts w:asciiTheme="minorHAnsi" w:hAnsiTheme="minorHAnsi" w:cstheme="minorHAnsi"/>
                <w:color w:val="000000"/>
                <w:sz w:val="18"/>
                <w:szCs w:val="18"/>
              </w:rPr>
              <w:t>Tablet 30</w:t>
            </w:r>
            <w:r w:rsidR="00C67D16">
              <w:rPr>
                <w:rFonts w:asciiTheme="minorHAnsi" w:hAnsiTheme="minorHAnsi" w:cstheme="minorHAnsi"/>
                <w:color w:val="000000"/>
                <w:sz w:val="18"/>
                <w:szCs w:val="18"/>
              </w:rPr>
              <w:t> mg</w:t>
            </w:r>
          </w:p>
          <w:p w14:paraId="7482BD21" w14:textId="77777777" w:rsidR="007A42DA" w:rsidRPr="007A42DA" w:rsidRDefault="007A42DA" w:rsidP="00BB57B7">
            <w:pPr>
              <w:keepLines/>
              <w:jc w:val="center"/>
              <w:rPr>
                <w:rFonts w:asciiTheme="minorHAnsi" w:hAnsiTheme="minorHAnsi" w:cstheme="minorHAnsi"/>
                <w:color w:val="000000"/>
                <w:sz w:val="18"/>
                <w:szCs w:val="18"/>
              </w:rPr>
            </w:pPr>
          </w:p>
          <w:p w14:paraId="569E987E" w14:textId="77777777" w:rsidR="007A42DA" w:rsidRPr="007A42DA" w:rsidRDefault="007A42DA" w:rsidP="00BB57B7">
            <w:pPr>
              <w:keepLines/>
              <w:jc w:val="center"/>
              <w:rPr>
                <w:rFonts w:asciiTheme="minorHAnsi" w:hAnsiTheme="minorHAnsi" w:cstheme="minorHAnsi"/>
                <w:color w:val="000000"/>
                <w:sz w:val="18"/>
                <w:szCs w:val="18"/>
              </w:rPr>
            </w:pPr>
            <w:r w:rsidRPr="007A42DA">
              <w:rPr>
                <w:rFonts w:asciiTheme="minorHAnsi" w:hAnsiTheme="minorHAnsi" w:cstheme="minorHAnsi"/>
                <w:color w:val="000000"/>
                <w:sz w:val="18"/>
                <w:szCs w:val="18"/>
              </w:rPr>
              <w:t>Rinvoq®</w:t>
            </w:r>
          </w:p>
          <w:p w14:paraId="1D4CFD35" w14:textId="77777777" w:rsidR="007A42DA" w:rsidRPr="007A42DA" w:rsidRDefault="007A42DA" w:rsidP="00BB57B7">
            <w:pPr>
              <w:keepLines/>
              <w:jc w:val="center"/>
              <w:rPr>
                <w:rFonts w:asciiTheme="minorHAnsi" w:hAnsiTheme="minorHAnsi" w:cstheme="minorHAnsi"/>
                <w:color w:val="000000"/>
                <w:sz w:val="18"/>
                <w:szCs w:val="18"/>
              </w:rPr>
            </w:pPr>
          </w:p>
          <w:p w14:paraId="00908246" w14:textId="77777777" w:rsidR="007A42DA" w:rsidRDefault="007A42DA" w:rsidP="00BB57B7">
            <w:pPr>
              <w:keepLines/>
              <w:jc w:val="center"/>
              <w:rPr>
                <w:rFonts w:asciiTheme="minorHAnsi" w:hAnsiTheme="minorHAnsi" w:cstheme="minorHAnsi"/>
                <w:color w:val="000000"/>
                <w:sz w:val="18"/>
                <w:szCs w:val="18"/>
              </w:rPr>
            </w:pPr>
            <w:r w:rsidRPr="007A42DA">
              <w:rPr>
                <w:rFonts w:asciiTheme="minorHAnsi" w:hAnsiTheme="minorHAnsi" w:cstheme="minorHAnsi"/>
                <w:color w:val="000000"/>
                <w:sz w:val="18"/>
                <w:szCs w:val="18"/>
              </w:rPr>
              <w:t>ABBVIE PTY LTD</w:t>
            </w:r>
          </w:p>
          <w:p w14:paraId="0EB54B20" w14:textId="77777777" w:rsidR="007E349F" w:rsidRDefault="007E349F" w:rsidP="00BB57B7">
            <w:pPr>
              <w:keepLines/>
              <w:jc w:val="center"/>
              <w:rPr>
                <w:rFonts w:asciiTheme="minorHAnsi" w:hAnsiTheme="minorHAnsi" w:cstheme="minorHAnsi"/>
                <w:color w:val="000000"/>
                <w:sz w:val="18"/>
                <w:szCs w:val="18"/>
              </w:rPr>
            </w:pPr>
          </w:p>
          <w:p w14:paraId="67AE6A9E" w14:textId="70FAAFBE" w:rsidR="00E71F04" w:rsidRPr="008059F4" w:rsidRDefault="00582706" w:rsidP="00BB57B7">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Matters outstanding</w:t>
            </w:r>
            <w:r w:rsidR="00E71F04" w:rsidRPr="008059F4">
              <w:rPr>
                <w:rFonts w:asciiTheme="minorHAnsi" w:hAnsiTheme="minorHAnsi" w:cstheme="minorHAnsi"/>
                <w:color w:val="000000"/>
                <w:sz w:val="18"/>
                <w:szCs w:val="18"/>
              </w:rPr>
              <w:br/>
              <w:t>(</w:t>
            </w:r>
            <w:r>
              <w:rPr>
                <w:rFonts w:asciiTheme="minorHAnsi" w:hAnsiTheme="minorHAnsi" w:cstheme="minorHAnsi"/>
                <w:color w:val="000000"/>
                <w:sz w:val="18"/>
                <w:szCs w:val="18"/>
              </w:rPr>
              <w:t>Other matters</w:t>
            </w:r>
            <w:r w:rsidR="00E71F04" w:rsidRPr="008059F4">
              <w:rPr>
                <w:rFonts w:asciiTheme="minorHAnsi" w:hAnsiTheme="minorHAnsi" w:cstheme="minorHAnsi"/>
                <w:color w:val="000000"/>
                <w:sz w:val="18"/>
                <w:szCs w:val="18"/>
              </w:rPr>
              <w:t>)</w:t>
            </w:r>
          </w:p>
        </w:tc>
        <w:tc>
          <w:tcPr>
            <w:tcW w:w="2764" w:type="dxa"/>
            <w:shd w:val="clear" w:color="auto" w:fill="auto"/>
            <w:vAlign w:val="center"/>
          </w:tcPr>
          <w:p w14:paraId="293D2497" w14:textId="6A8B2E86" w:rsidR="00E71F04" w:rsidRPr="008059F4" w:rsidRDefault="00E71F04" w:rsidP="00BB57B7">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Severe atopic dermatitis</w:t>
            </w:r>
            <w:r w:rsidR="00BC1B69">
              <w:rPr>
                <w:rFonts w:asciiTheme="minorHAnsi" w:hAnsiTheme="minorHAnsi" w:cstheme="minorHAnsi"/>
                <w:color w:val="000000"/>
                <w:sz w:val="18"/>
                <w:szCs w:val="18"/>
              </w:rPr>
              <w:t xml:space="preserve"> (AD)</w:t>
            </w:r>
            <w:r w:rsidRPr="008059F4">
              <w:rPr>
                <w:rFonts w:asciiTheme="minorHAnsi" w:hAnsiTheme="minorHAnsi" w:cstheme="minorHAnsi"/>
                <w:color w:val="000000"/>
                <w:sz w:val="18"/>
                <w:szCs w:val="18"/>
              </w:rPr>
              <w:t xml:space="preserve"> (adults and adolescents)</w:t>
            </w:r>
          </w:p>
        </w:tc>
        <w:tc>
          <w:tcPr>
            <w:tcW w:w="2978" w:type="dxa"/>
            <w:shd w:val="clear" w:color="auto" w:fill="auto"/>
            <w:tcMar>
              <w:top w:w="28" w:type="dxa"/>
              <w:bottom w:w="28" w:type="dxa"/>
            </w:tcMar>
            <w:vAlign w:val="center"/>
          </w:tcPr>
          <w:p w14:paraId="29B16BA1" w14:textId="0A7D61FD" w:rsidR="00E71F04" w:rsidRPr="008059F4" w:rsidRDefault="00E71F0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To request the PBAC consider the cost-effectiveness of dupilumab and upadacitinib for severe AD.</w:t>
            </w:r>
          </w:p>
        </w:tc>
        <w:tc>
          <w:tcPr>
            <w:tcW w:w="1800" w:type="dxa"/>
            <w:shd w:val="clear" w:color="auto" w:fill="auto"/>
            <w:vAlign w:val="center"/>
          </w:tcPr>
          <w:p w14:paraId="167AD0DD" w14:textId="0724D91E" w:rsidR="00E71F04" w:rsidRPr="008059F4" w:rsidRDefault="00E71F0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Advice Provided</w:t>
            </w:r>
          </w:p>
        </w:tc>
        <w:tc>
          <w:tcPr>
            <w:tcW w:w="4833" w:type="dxa"/>
            <w:shd w:val="clear" w:color="auto" w:fill="auto"/>
            <w:vAlign w:val="center"/>
          </w:tcPr>
          <w:p w14:paraId="00AB6BCE" w14:textId="3BE6574C" w:rsidR="00E71F04" w:rsidRPr="008059F4" w:rsidRDefault="009A5A31" w:rsidP="00C44D4E">
            <w:pPr>
              <w:jc w:val="both"/>
              <w:rPr>
                <w:rFonts w:asciiTheme="minorHAnsi" w:hAnsiTheme="minorHAnsi" w:cstheme="minorHAnsi"/>
                <w:color w:val="000000"/>
                <w:sz w:val="18"/>
                <w:szCs w:val="18"/>
              </w:rPr>
            </w:pPr>
            <w:r w:rsidRPr="009A5A31">
              <w:rPr>
                <w:rFonts w:asciiTheme="minorHAnsi" w:hAnsiTheme="minorHAnsi" w:cstheme="minorHAnsi"/>
                <w:color w:val="000000"/>
                <w:sz w:val="18"/>
                <w:szCs w:val="18"/>
              </w:rPr>
              <w:t xml:space="preserve">The PBAC noted that the current </w:t>
            </w:r>
            <w:r w:rsidR="00D653B9">
              <w:rPr>
                <w:rFonts w:asciiTheme="minorHAnsi" w:hAnsiTheme="minorHAnsi" w:cstheme="minorHAnsi"/>
                <w:color w:val="000000"/>
                <w:sz w:val="18"/>
                <w:szCs w:val="18"/>
              </w:rPr>
              <w:t xml:space="preserve">utilisation </w:t>
            </w:r>
            <w:r w:rsidR="00FA4C5D" w:rsidRPr="005C63C2">
              <w:rPr>
                <w:rFonts w:asciiTheme="minorHAnsi" w:hAnsiTheme="minorHAnsi" w:cstheme="minorHAnsi"/>
                <w:color w:val="000000"/>
                <w:sz w:val="18"/>
                <w:szCs w:val="18"/>
              </w:rPr>
              <w:t>substantially exceeds the estimated utilisation.</w:t>
            </w:r>
            <w:r w:rsidRPr="009A5A31">
              <w:rPr>
                <w:rFonts w:asciiTheme="minorHAnsi" w:hAnsiTheme="minorHAnsi" w:cstheme="minorHAnsi"/>
                <w:color w:val="000000"/>
                <w:sz w:val="18"/>
                <w:szCs w:val="18"/>
              </w:rPr>
              <w:t xml:space="preserve"> The PBAC considered that, at the current level of utilisation, dupilumab and upadacitinib would not be considered cost-effective at their current prices. The PBAC noted that the current </w:t>
            </w:r>
            <w:r w:rsidR="000F0A1A" w:rsidRPr="009A5A31">
              <w:rPr>
                <w:rFonts w:asciiTheme="minorHAnsi" w:hAnsiTheme="minorHAnsi" w:cstheme="minorHAnsi"/>
                <w:color w:val="000000"/>
                <w:sz w:val="18"/>
                <w:szCs w:val="18"/>
              </w:rPr>
              <w:t xml:space="preserve">risk sharing arrangements </w:t>
            </w:r>
            <w:r w:rsidRPr="009A5A31">
              <w:rPr>
                <w:rFonts w:asciiTheme="minorHAnsi" w:hAnsiTheme="minorHAnsi" w:cstheme="minorHAnsi"/>
                <w:color w:val="000000"/>
                <w:sz w:val="18"/>
                <w:szCs w:val="18"/>
              </w:rPr>
              <w:t>(RSAs) are formalised under Deeds of Agreement between the Commonwealth and the sponsors of dupilumab and upadacitinib. The PBAC considered that one of the main purposes of RSAs are to manage uncertainties, including those associated with budget impact and appropriate cost-effective use</w:t>
            </w:r>
            <w:r w:rsidR="007C4A9F">
              <w:rPr>
                <w:rFonts w:asciiTheme="minorHAnsi" w:hAnsiTheme="minorHAnsi" w:cstheme="minorHAnsi"/>
                <w:color w:val="000000"/>
                <w:sz w:val="18"/>
                <w:szCs w:val="18"/>
              </w:rPr>
              <w:t xml:space="preserve">. </w:t>
            </w:r>
            <w:r w:rsidRPr="009A5A31">
              <w:rPr>
                <w:rFonts w:asciiTheme="minorHAnsi" w:hAnsiTheme="minorHAnsi" w:cstheme="minorHAnsi"/>
                <w:color w:val="000000"/>
                <w:sz w:val="18"/>
                <w:szCs w:val="18"/>
              </w:rPr>
              <w:t xml:space="preserve">The PBAC considered that renegotiation of any Deed arrangements was ultimately a matter for the Commonwealth, however provided advice for consideration at </w:t>
            </w:r>
            <w:r w:rsidR="00BC733D">
              <w:rPr>
                <w:rFonts w:asciiTheme="minorHAnsi" w:hAnsiTheme="minorHAnsi" w:cstheme="minorHAnsi"/>
                <w:color w:val="000000"/>
                <w:sz w:val="18"/>
                <w:szCs w:val="18"/>
              </w:rPr>
              <w:t xml:space="preserve">the </w:t>
            </w:r>
            <w:r w:rsidRPr="009A5A31">
              <w:rPr>
                <w:rFonts w:asciiTheme="minorHAnsi" w:hAnsiTheme="minorHAnsi" w:cstheme="minorHAnsi"/>
                <w:color w:val="000000"/>
                <w:sz w:val="18"/>
                <w:szCs w:val="18"/>
              </w:rPr>
              <w:t>time of negotiation of any future RSA.</w:t>
            </w:r>
          </w:p>
        </w:tc>
      </w:tr>
      <w:tr w:rsidR="008059F4" w:rsidRPr="008059F4" w14:paraId="07A41AC1" w14:textId="77777777" w:rsidTr="003774E1">
        <w:trPr>
          <w:cantSplit/>
          <w:trHeight w:val="2948"/>
          <w:jc w:val="center"/>
        </w:trPr>
        <w:tc>
          <w:tcPr>
            <w:tcW w:w="3013" w:type="dxa"/>
            <w:shd w:val="clear" w:color="auto" w:fill="auto"/>
            <w:tcMar>
              <w:top w:w="28" w:type="dxa"/>
              <w:bottom w:w="28" w:type="dxa"/>
            </w:tcMar>
            <w:vAlign w:val="center"/>
          </w:tcPr>
          <w:p w14:paraId="28027A6D" w14:textId="2073EEA6" w:rsidR="008059F4" w:rsidRPr="008059F4" w:rsidRDefault="008059F4" w:rsidP="00BB57B7">
            <w:pPr>
              <w:keepLines/>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lastRenderedPageBreak/>
              <w:t>EDARAVONE</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Solution concentrate for injection 30</w:t>
            </w:r>
            <w:r w:rsidR="00C67D16">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in 20</w:t>
            </w:r>
            <w:r w:rsidR="00C67D16">
              <w:rPr>
                <w:rFonts w:asciiTheme="minorHAnsi" w:hAnsiTheme="minorHAnsi" w:cstheme="minorHAnsi"/>
                <w:color w:val="000000"/>
                <w:sz w:val="18"/>
                <w:szCs w:val="18"/>
              </w:rPr>
              <w:t> mL</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Radicava®</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TEVA PHARMA AUSTRALIA PTY LTD</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Category 1</w:t>
            </w:r>
            <w:r w:rsidRPr="008059F4">
              <w:rPr>
                <w:rFonts w:asciiTheme="minorHAnsi" w:hAnsiTheme="minorHAnsi" w:cstheme="minorHAnsi"/>
                <w:color w:val="000000"/>
                <w:sz w:val="18"/>
                <w:szCs w:val="18"/>
              </w:rPr>
              <w:br/>
              <w:t>(New listing)</w:t>
            </w:r>
          </w:p>
        </w:tc>
        <w:tc>
          <w:tcPr>
            <w:tcW w:w="2764" w:type="dxa"/>
            <w:shd w:val="clear" w:color="auto" w:fill="auto"/>
            <w:vAlign w:val="center"/>
          </w:tcPr>
          <w:p w14:paraId="021F778D" w14:textId="300A8417" w:rsidR="008059F4" w:rsidRPr="008059F4" w:rsidRDefault="008059F4" w:rsidP="00BB57B7">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Amyotrophic lateral sclerosis (ALS)</w:t>
            </w:r>
          </w:p>
        </w:tc>
        <w:tc>
          <w:tcPr>
            <w:tcW w:w="2978" w:type="dxa"/>
            <w:shd w:val="clear" w:color="auto" w:fill="auto"/>
            <w:tcMar>
              <w:top w:w="28" w:type="dxa"/>
              <w:bottom w:w="28" w:type="dxa"/>
            </w:tcMar>
            <w:vAlign w:val="center"/>
          </w:tcPr>
          <w:p w14:paraId="0C3A086F" w14:textId="1E7A2140" w:rsidR="008059F4" w:rsidRPr="008059F4" w:rsidRDefault="008059F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To request a Section 100 (Highly Specialised Drugs Program) Authority Required (Telephone/Online) listing for the treatment of ALS.</w:t>
            </w:r>
          </w:p>
        </w:tc>
        <w:tc>
          <w:tcPr>
            <w:tcW w:w="1800" w:type="dxa"/>
            <w:shd w:val="clear" w:color="auto" w:fill="auto"/>
            <w:vAlign w:val="center"/>
          </w:tcPr>
          <w:p w14:paraId="2962443F" w14:textId="4E5A653F" w:rsidR="008059F4" w:rsidRPr="008059F4" w:rsidRDefault="008059F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Not Recommended</w:t>
            </w:r>
          </w:p>
        </w:tc>
        <w:tc>
          <w:tcPr>
            <w:tcW w:w="4833" w:type="dxa"/>
            <w:shd w:val="clear" w:color="auto" w:fill="auto"/>
            <w:vAlign w:val="center"/>
          </w:tcPr>
          <w:p w14:paraId="468ECAD4" w14:textId="2FFDFF3C" w:rsidR="005121CE" w:rsidRDefault="005121CE" w:rsidP="005121CE">
            <w:pPr>
              <w:jc w:val="both"/>
              <w:rPr>
                <w:rFonts w:asciiTheme="minorHAnsi" w:hAnsiTheme="minorHAnsi" w:cstheme="minorHAnsi"/>
                <w:bCs/>
                <w:snapToGrid w:val="0"/>
                <w:sz w:val="18"/>
                <w:szCs w:val="18"/>
              </w:rPr>
            </w:pPr>
            <w:r w:rsidRPr="00C44D4E">
              <w:rPr>
                <w:rFonts w:asciiTheme="minorHAnsi" w:hAnsiTheme="minorHAnsi" w:cstheme="minorHAnsi"/>
                <w:bCs/>
                <w:snapToGrid w:val="0"/>
                <w:sz w:val="18"/>
                <w:szCs w:val="18"/>
              </w:rPr>
              <w:t>The PBAC did not recommend edaravone for treatment of ALS. The PBAC considered that edaravone was superior to placebo in slowing the rate of decline in terms of motor impairment and functional deterioration, however the level of long-term benefit and effect on survival is uncertain. The PBAC considered that edaravone was not cost-effective at the price proposed in the submission, noting that the economic model included a number of optimistic assumptions that were likely to underestimate the incremental cost-effectiveness ratio</w:t>
            </w:r>
            <w:r>
              <w:rPr>
                <w:rFonts w:asciiTheme="minorHAnsi" w:hAnsiTheme="minorHAnsi" w:cstheme="minorHAnsi"/>
                <w:bCs/>
                <w:snapToGrid w:val="0"/>
                <w:sz w:val="18"/>
                <w:szCs w:val="18"/>
              </w:rPr>
              <w:t>.</w:t>
            </w:r>
            <w:r w:rsidRPr="00C44D4E">
              <w:rPr>
                <w:rFonts w:asciiTheme="minorHAnsi" w:hAnsiTheme="minorHAnsi" w:cstheme="minorHAnsi"/>
                <w:bCs/>
                <w:snapToGrid w:val="0"/>
                <w:sz w:val="18"/>
                <w:szCs w:val="18"/>
              </w:rPr>
              <w:t xml:space="preserve"> </w:t>
            </w:r>
          </w:p>
          <w:p w14:paraId="516EECC9" w14:textId="77777777" w:rsidR="005121CE" w:rsidRDefault="005121CE" w:rsidP="005121CE">
            <w:pPr>
              <w:jc w:val="both"/>
              <w:rPr>
                <w:rFonts w:asciiTheme="minorHAnsi" w:hAnsiTheme="minorHAnsi" w:cstheme="minorHAnsi"/>
                <w:color w:val="000000"/>
                <w:sz w:val="18"/>
                <w:szCs w:val="18"/>
              </w:rPr>
            </w:pPr>
          </w:p>
          <w:p w14:paraId="6F080F17" w14:textId="77777777" w:rsidR="005121CE" w:rsidRDefault="005121CE" w:rsidP="005121CE">
            <w:pPr>
              <w:jc w:val="both"/>
              <w:rPr>
                <w:rFonts w:asciiTheme="minorHAnsi" w:hAnsiTheme="minorHAnsi" w:cstheme="minorHAnsi"/>
                <w:color w:val="000000"/>
                <w:sz w:val="18"/>
                <w:szCs w:val="18"/>
              </w:rPr>
            </w:pPr>
            <w:r w:rsidRPr="00CC2EC5">
              <w:rPr>
                <w:rFonts w:asciiTheme="minorHAnsi" w:hAnsiTheme="minorHAnsi" w:cstheme="minorHAnsi"/>
                <w:color w:val="000000"/>
                <w:sz w:val="18"/>
                <w:szCs w:val="18"/>
              </w:rPr>
              <w:t>The PBAC nominated the Early Re-entry resubmission pathway for this item</w:t>
            </w:r>
          </w:p>
          <w:p w14:paraId="1E4B673F" w14:textId="77777777" w:rsidR="008059F4" w:rsidRPr="00134057" w:rsidRDefault="008059F4" w:rsidP="00BB57B7">
            <w:pPr>
              <w:rPr>
                <w:rFonts w:asciiTheme="minorHAnsi" w:hAnsiTheme="minorHAnsi" w:cstheme="minorHAnsi"/>
                <w:color w:val="000000"/>
                <w:sz w:val="18"/>
                <w:szCs w:val="18"/>
              </w:rPr>
            </w:pPr>
          </w:p>
          <w:p w14:paraId="4DC4913C" w14:textId="77777777" w:rsidR="008059F4" w:rsidRDefault="008059F4" w:rsidP="00BB57B7">
            <w:pPr>
              <w:rPr>
                <w:rFonts w:asciiTheme="minorHAnsi" w:hAnsiTheme="minorHAnsi" w:cstheme="minorHAnsi"/>
                <w:color w:val="000000"/>
                <w:sz w:val="18"/>
                <w:szCs w:val="18"/>
              </w:rPr>
            </w:pPr>
            <w:r w:rsidRPr="000110D5">
              <w:rPr>
                <w:rFonts w:asciiTheme="minorHAnsi" w:hAnsiTheme="minorHAnsi" w:cstheme="minorHAnsi"/>
                <w:color w:val="000000"/>
                <w:sz w:val="18"/>
                <w:szCs w:val="18"/>
                <w:u w:val="single"/>
              </w:rPr>
              <w:t>Sponsor’s Comment:</w:t>
            </w:r>
          </w:p>
          <w:p w14:paraId="39E0FF04" w14:textId="378165C8" w:rsidR="008059F4" w:rsidRPr="0005132F" w:rsidRDefault="0005132F" w:rsidP="00476822">
            <w:pPr>
              <w:jc w:val="both"/>
              <w:rPr>
                <w:rFonts w:asciiTheme="minorHAnsi" w:hAnsiTheme="minorHAnsi" w:cstheme="minorHAnsi"/>
                <w:color w:val="000000"/>
                <w:sz w:val="18"/>
                <w:szCs w:val="18"/>
              </w:rPr>
            </w:pPr>
            <w:r w:rsidRPr="0005132F">
              <w:rPr>
                <w:rFonts w:asciiTheme="minorHAnsi" w:hAnsiTheme="minorHAnsi" w:cstheme="minorHAnsi"/>
                <w:color w:val="000000"/>
                <w:sz w:val="18"/>
                <w:szCs w:val="18"/>
              </w:rPr>
              <w:t>Teva Pharma appreciates the opportunity to resubmit via the early re-entry pathway and is committed to working with the PBAC to bring Radicava to Australian patients with ALS in a timely manner.</w:t>
            </w:r>
          </w:p>
        </w:tc>
      </w:tr>
      <w:tr w:rsidR="008059F4" w:rsidRPr="008059F4" w14:paraId="5854B770" w14:textId="77777777" w:rsidTr="003774E1">
        <w:trPr>
          <w:cantSplit/>
          <w:trHeight w:val="2948"/>
          <w:jc w:val="center"/>
        </w:trPr>
        <w:tc>
          <w:tcPr>
            <w:tcW w:w="3013" w:type="dxa"/>
            <w:shd w:val="clear" w:color="auto" w:fill="auto"/>
            <w:tcMar>
              <w:top w:w="28" w:type="dxa"/>
              <w:bottom w:w="28" w:type="dxa"/>
            </w:tcMar>
            <w:vAlign w:val="center"/>
          </w:tcPr>
          <w:p w14:paraId="5572F036" w14:textId="7652D202" w:rsidR="008059F4" w:rsidRPr="008059F4" w:rsidRDefault="008059F4" w:rsidP="00BB57B7">
            <w:pPr>
              <w:keepLines/>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ELTROMBOPAG</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Tablet 25</w:t>
            </w:r>
            <w:r w:rsidR="00C67D16">
              <w:rPr>
                <w:rFonts w:asciiTheme="minorHAnsi" w:hAnsiTheme="minorHAnsi" w:cstheme="minorHAnsi"/>
                <w:color w:val="000000"/>
                <w:sz w:val="18"/>
                <w:szCs w:val="18"/>
              </w:rPr>
              <w:t> mg</w:t>
            </w:r>
            <w:r w:rsidRPr="008059F4">
              <w:rPr>
                <w:rFonts w:asciiTheme="minorHAnsi" w:hAnsiTheme="minorHAnsi" w:cstheme="minorHAnsi"/>
                <w:color w:val="000000"/>
                <w:sz w:val="18"/>
                <w:szCs w:val="18"/>
              </w:rPr>
              <w:br/>
              <w:t>Tablet 50</w:t>
            </w:r>
            <w:r w:rsidR="00C67D16">
              <w:rPr>
                <w:rFonts w:asciiTheme="minorHAnsi" w:hAnsiTheme="minorHAnsi" w:cstheme="minorHAnsi"/>
                <w:color w:val="000000"/>
                <w:sz w:val="18"/>
                <w:szCs w:val="18"/>
              </w:rPr>
              <w:t> mg</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Revolade®</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HAEMATOLOGY SOCIETY OF AUSTRALIA AND NEW ZEALAND</w:t>
            </w:r>
            <w:r w:rsidR="006819C2">
              <w:rPr>
                <w:rFonts w:asciiTheme="minorHAnsi" w:hAnsiTheme="minorHAnsi" w:cstheme="minorHAnsi"/>
                <w:color w:val="000000"/>
                <w:sz w:val="18"/>
                <w:szCs w:val="18"/>
              </w:rPr>
              <w:t xml:space="preserve"> (HSANZ)</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Category 2</w:t>
            </w:r>
            <w:r w:rsidRPr="008059F4">
              <w:rPr>
                <w:rFonts w:asciiTheme="minorHAnsi" w:hAnsiTheme="minorHAnsi" w:cstheme="minorHAnsi"/>
                <w:color w:val="000000"/>
                <w:sz w:val="18"/>
                <w:szCs w:val="18"/>
              </w:rPr>
              <w:br/>
              <w:t>(Change to existing listing)</w:t>
            </w:r>
          </w:p>
        </w:tc>
        <w:tc>
          <w:tcPr>
            <w:tcW w:w="2764" w:type="dxa"/>
            <w:shd w:val="clear" w:color="auto" w:fill="auto"/>
            <w:vAlign w:val="center"/>
          </w:tcPr>
          <w:p w14:paraId="357637A3" w14:textId="4FBB6232" w:rsidR="008059F4" w:rsidRPr="008059F4" w:rsidRDefault="008059F4" w:rsidP="00BB57B7">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Aplastic anaemia (AA)</w:t>
            </w:r>
          </w:p>
        </w:tc>
        <w:tc>
          <w:tcPr>
            <w:tcW w:w="2978" w:type="dxa"/>
            <w:shd w:val="clear" w:color="auto" w:fill="auto"/>
            <w:tcMar>
              <w:top w:w="28" w:type="dxa"/>
              <w:bottom w:w="28" w:type="dxa"/>
            </w:tcMar>
            <w:vAlign w:val="center"/>
          </w:tcPr>
          <w:p w14:paraId="134130E6" w14:textId="62B30ACD" w:rsidR="008059F4" w:rsidRPr="008059F4" w:rsidRDefault="008059F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To request a Section 100 (Highly Specialised Drugs Program) Authority Required (Written) listing for the treatment of severe AA.</w:t>
            </w:r>
          </w:p>
        </w:tc>
        <w:tc>
          <w:tcPr>
            <w:tcW w:w="1800" w:type="dxa"/>
            <w:shd w:val="clear" w:color="auto" w:fill="auto"/>
            <w:vAlign w:val="center"/>
          </w:tcPr>
          <w:p w14:paraId="46FDA260" w14:textId="09B2573B" w:rsidR="008059F4" w:rsidRPr="008059F4" w:rsidRDefault="008059F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Recommended</w:t>
            </w:r>
          </w:p>
        </w:tc>
        <w:tc>
          <w:tcPr>
            <w:tcW w:w="4833" w:type="dxa"/>
            <w:shd w:val="clear" w:color="auto" w:fill="auto"/>
            <w:vAlign w:val="center"/>
          </w:tcPr>
          <w:p w14:paraId="0B4B06E8" w14:textId="14145A2A" w:rsidR="008059F4" w:rsidRPr="008059F4" w:rsidRDefault="008059F4" w:rsidP="009B3BC3">
            <w:pPr>
              <w:jc w:val="both"/>
              <w:rPr>
                <w:rFonts w:asciiTheme="minorHAnsi" w:hAnsiTheme="minorHAnsi" w:cstheme="minorHAnsi"/>
                <w:color w:val="000000"/>
                <w:sz w:val="18"/>
                <w:szCs w:val="18"/>
              </w:rPr>
            </w:pPr>
            <w:r w:rsidRPr="008059F4">
              <w:rPr>
                <w:rFonts w:asciiTheme="minorHAnsi" w:hAnsiTheme="minorHAnsi" w:cstheme="minorHAnsi"/>
                <w:sz w:val="18"/>
                <w:szCs w:val="18"/>
              </w:rPr>
              <w:t xml:space="preserve">The PBAC recommended the listing of eltrombopag for the treatment of severe </w:t>
            </w:r>
            <w:r w:rsidR="008B5C98">
              <w:rPr>
                <w:rFonts w:asciiTheme="minorHAnsi" w:hAnsiTheme="minorHAnsi" w:cstheme="minorHAnsi"/>
                <w:sz w:val="18"/>
                <w:szCs w:val="18"/>
              </w:rPr>
              <w:t>AA</w:t>
            </w:r>
            <w:r w:rsidRPr="008059F4">
              <w:rPr>
                <w:rFonts w:asciiTheme="minorHAnsi" w:hAnsiTheme="minorHAnsi" w:cstheme="minorHAnsi"/>
                <w:sz w:val="18"/>
                <w:szCs w:val="18"/>
              </w:rPr>
              <w:t>, as first-line treatment in combination with anti-thymocyte globulin and ciclosporin, and as a second</w:t>
            </w:r>
            <w:r w:rsidR="00130D30">
              <w:rPr>
                <w:rFonts w:asciiTheme="minorHAnsi" w:hAnsiTheme="minorHAnsi" w:cstheme="minorHAnsi"/>
                <w:sz w:val="18"/>
                <w:szCs w:val="18"/>
              </w:rPr>
              <w:noBreakHyphen/>
            </w:r>
            <w:r w:rsidRPr="008059F4">
              <w:rPr>
                <w:rFonts w:asciiTheme="minorHAnsi" w:hAnsiTheme="minorHAnsi" w:cstheme="minorHAnsi"/>
                <w:sz w:val="18"/>
                <w:szCs w:val="18"/>
              </w:rPr>
              <w:t>line treatment in patients with an inadequate response to immunosuppressive therapy. The PBAC considered there is a clinical need for effective treatment options for this rare condition. The PBAC’s recommendation for listing was based on, among other matters, its assessment that the cost</w:t>
            </w:r>
            <w:r w:rsidR="00130D30">
              <w:rPr>
                <w:rFonts w:asciiTheme="minorHAnsi" w:hAnsiTheme="minorHAnsi" w:cstheme="minorHAnsi"/>
                <w:sz w:val="18"/>
                <w:szCs w:val="18"/>
              </w:rPr>
              <w:noBreakHyphen/>
            </w:r>
            <w:r w:rsidRPr="008059F4">
              <w:rPr>
                <w:rFonts w:asciiTheme="minorHAnsi" w:hAnsiTheme="minorHAnsi" w:cstheme="minorHAnsi"/>
                <w:sz w:val="18"/>
                <w:szCs w:val="18"/>
              </w:rPr>
              <w:t>effectiveness of eltrombopag would be acceptable at the effective price currently in place for severe chronic idiopathic thrombocytopenic purpura. The PBAC acknowledged the significant work by HSANZ in bringing this request to the PBAC.</w:t>
            </w:r>
          </w:p>
        </w:tc>
      </w:tr>
      <w:tr w:rsidR="008059F4" w:rsidRPr="008059F4" w14:paraId="73275407" w14:textId="77777777" w:rsidTr="003774E1">
        <w:trPr>
          <w:trHeight w:val="646"/>
          <w:jc w:val="center"/>
        </w:trPr>
        <w:tc>
          <w:tcPr>
            <w:tcW w:w="3013" w:type="dxa"/>
            <w:shd w:val="clear" w:color="auto" w:fill="auto"/>
            <w:tcMar>
              <w:top w:w="28" w:type="dxa"/>
              <w:bottom w:w="28" w:type="dxa"/>
            </w:tcMar>
            <w:vAlign w:val="center"/>
          </w:tcPr>
          <w:p w14:paraId="3FB2DC84" w14:textId="24DE5493" w:rsidR="008059F4" w:rsidRPr="008059F4" w:rsidRDefault="008059F4" w:rsidP="00BB57B7">
            <w:pPr>
              <w:keepLines/>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lastRenderedPageBreak/>
              <w:t>EMPAGLIFLOZIN</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Tablet 10</w:t>
            </w:r>
            <w:r w:rsidR="00C67D16">
              <w:rPr>
                <w:rFonts w:asciiTheme="minorHAnsi" w:hAnsiTheme="minorHAnsi" w:cstheme="minorHAnsi"/>
                <w:color w:val="000000"/>
                <w:sz w:val="18"/>
                <w:szCs w:val="18"/>
              </w:rPr>
              <w:t> mg</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Jardiance®</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BOEHRINGER INGELHEIM PTY LTD</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Category 2</w:t>
            </w:r>
            <w:r w:rsidRPr="008059F4">
              <w:rPr>
                <w:rFonts w:asciiTheme="minorHAnsi" w:hAnsiTheme="minorHAnsi" w:cstheme="minorHAnsi"/>
                <w:color w:val="000000"/>
                <w:sz w:val="18"/>
                <w:szCs w:val="18"/>
              </w:rPr>
              <w:br/>
              <w:t>(Change to existing listing)</w:t>
            </w:r>
          </w:p>
        </w:tc>
        <w:tc>
          <w:tcPr>
            <w:tcW w:w="2764" w:type="dxa"/>
            <w:shd w:val="clear" w:color="auto" w:fill="auto"/>
            <w:vAlign w:val="center"/>
          </w:tcPr>
          <w:p w14:paraId="4BC27836" w14:textId="5ABB65EF" w:rsidR="008059F4" w:rsidRPr="008059F4" w:rsidRDefault="008059F4" w:rsidP="00BB57B7">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Chronic kidney disease</w:t>
            </w:r>
            <w:r w:rsidR="008B5C98">
              <w:rPr>
                <w:rFonts w:asciiTheme="minorHAnsi" w:hAnsiTheme="minorHAnsi" w:cstheme="minorHAnsi"/>
                <w:color w:val="000000"/>
                <w:sz w:val="18"/>
                <w:szCs w:val="18"/>
              </w:rPr>
              <w:t xml:space="preserve"> (CKD)</w:t>
            </w:r>
          </w:p>
        </w:tc>
        <w:tc>
          <w:tcPr>
            <w:tcW w:w="2978" w:type="dxa"/>
            <w:shd w:val="clear" w:color="auto" w:fill="auto"/>
            <w:tcMar>
              <w:top w:w="28" w:type="dxa"/>
              <w:bottom w:w="28" w:type="dxa"/>
            </w:tcMar>
            <w:vAlign w:val="center"/>
          </w:tcPr>
          <w:p w14:paraId="7E8A9BA9" w14:textId="13A3A9A2" w:rsidR="008059F4" w:rsidRPr="008059F4" w:rsidRDefault="008059F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 xml:space="preserve">To request a General Schedule Authority Required (STREAMLINED) listing for </w:t>
            </w:r>
            <w:r w:rsidR="008B5C98">
              <w:rPr>
                <w:rFonts w:asciiTheme="minorHAnsi" w:hAnsiTheme="minorHAnsi" w:cstheme="minorHAnsi"/>
                <w:color w:val="000000"/>
                <w:sz w:val="18"/>
                <w:szCs w:val="18"/>
              </w:rPr>
              <w:t>CKD</w:t>
            </w:r>
            <w:r w:rsidRPr="008059F4">
              <w:rPr>
                <w:rFonts w:asciiTheme="minorHAnsi" w:hAnsiTheme="minorHAnsi" w:cstheme="minorHAnsi"/>
                <w:color w:val="000000"/>
                <w:sz w:val="18"/>
                <w:szCs w:val="18"/>
              </w:rPr>
              <w:t>.</w:t>
            </w:r>
          </w:p>
        </w:tc>
        <w:tc>
          <w:tcPr>
            <w:tcW w:w="1800" w:type="dxa"/>
            <w:shd w:val="clear" w:color="auto" w:fill="auto"/>
            <w:vAlign w:val="center"/>
          </w:tcPr>
          <w:p w14:paraId="26829FC0" w14:textId="5E46ED78" w:rsidR="008059F4" w:rsidRPr="008059F4" w:rsidRDefault="008059F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Recommended</w:t>
            </w:r>
          </w:p>
        </w:tc>
        <w:tc>
          <w:tcPr>
            <w:tcW w:w="4833" w:type="dxa"/>
            <w:shd w:val="clear" w:color="auto" w:fill="auto"/>
            <w:vAlign w:val="center"/>
          </w:tcPr>
          <w:p w14:paraId="1E475C11" w14:textId="5E95129B" w:rsidR="00BC247C" w:rsidRDefault="008059F4">
            <w:pPr>
              <w:jc w:val="both"/>
              <w:rPr>
                <w:rFonts w:asciiTheme="minorHAnsi" w:hAnsiTheme="minorHAnsi" w:cstheme="minorHAnsi"/>
                <w:sz w:val="18"/>
                <w:szCs w:val="18"/>
              </w:rPr>
            </w:pPr>
            <w:r w:rsidRPr="008059F4">
              <w:rPr>
                <w:rFonts w:asciiTheme="minorHAnsi" w:hAnsiTheme="minorHAnsi" w:cstheme="minorHAnsi"/>
                <w:sz w:val="18"/>
                <w:szCs w:val="18"/>
              </w:rPr>
              <w:t>The PBAC recommended the</w:t>
            </w:r>
            <w:r w:rsidR="008B5C98">
              <w:rPr>
                <w:rFonts w:asciiTheme="minorHAnsi" w:hAnsiTheme="minorHAnsi" w:cstheme="minorHAnsi"/>
                <w:sz w:val="18"/>
                <w:szCs w:val="18"/>
              </w:rPr>
              <w:t xml:space="preserve"> </w:t>
            </w:r>
            <w:r w:rsidRPr="008059F4">
              <w:rPr>
                <w:rFonts w:asciiTheme="minorHAnsi" w:hAnsiTheme="minorHAnsi" w:cstheme="minorHAnsi"/>
                <w:sz w:val="18"/>
                <w:szCs w:val="18"/>
              </w:rPr>
              <w:t xml:space="preserve">listing of empagliflozin for the treatment of CKD, as an add-on to standard care, for patients with an </w:t>
            </w:r>
            <w:r w:rsidR="00EA13BF">
              <w:rPr>
                <w:rFonts w:asciiTheme="minorHAnsi" w:hAnsiTheme="minorHAnsi" w:cstheme="minorHAnsi"/>
                <w:sz w:val="18"/>
                <w:szCs w:val="18"/>
              </w:rPr>
              <w:t>estimated glomerular filtration rate (</w:t>
            </w:r>
            <w:r w:rsidRPr="008059F4">
              <w:rPr>
                <w:rFonts w:asciiTheme="minorHAnsi" w:hAnsiTheme="minorHAnsi" w:cstheme="minorHAnsi"/>
                <w:sz w:val="18"/>
                <w:szCs w:val="18"/>
              </w:rPr>
              <w:t>eGFR</w:t>
            </w:r>
            <w:r w:rsidR="00AC749B">
              <w:rPr>
                <w:rFonts w:asciiTheme="minorHAnsi" w:hAnsiTheme="minorHAnsi" w:cstheme="minorHAnsi"/>
                <w:sz w:val="18"/>
                <w:szCs w:val="18"/>
              </w:rPr>
              <w:t>)</w:t>
            </w:r>
            <w:r w:rsidRPr="008059F4">
              <w:rPr>
                <w:rFonts w:asciiTheme="minorHAnsi" w:hAnsiTheme="minorHAnsi" w:cstheme="minorHAnsi"/>
                <w:sz w:val="18"/>
                <w:szCs w:val="18"/>
              </w:rPr>
              <w:t xml:space="preserve"> of ≥</w:t>
            </w:r>
            <w:r w:rsidR="00130D30">
              <w:rPr>
                <w:rFonts w:asciiTheme="minorHAnsi" w:hAnsiTheme="minorHAnsi" w:cstheme="minorHAnsi"/>
                <w:sz w:val="18"/>
                <w:szCs w:val="18"/>
              </w:rPr>
              <w:t> </w:t>
            </w:r>
            <w:r w:rsidRPr="008059F4">
              <w:rPr>
                <w:rFonts w:asciiTheme="minorHAnsi" w:hAnsiTheme="minorHAnsi" w:cstheme="minorHAnsi"/>
                <w:sz w:val="18"/>
                <w:szCs w:val="18"/>
              </w:rPr>
              <w:t>25</w:t>
            </w:r>
            <w:r w:rsidR="00AC749B">
              <w:rPr>
                <w:rFonts w:asciiTheme="minorHAnsi" w:hAnsiTheme="minorHAnsi" w:cstheme="minorHAnsi"/>
                <w:sz w:val="18"/>
                <w:szCs w:val="18"/>
              </w:rPr>
              <w:t> </w:t>
            </w:r>
            <w:r w:rsidRPr="008059F4">
              <w:rPr>
                <w:rFonts w:asciiTheme="minorHAnsi" w:hAnsiTheme="minorHAnsi" w:cstheme="minorHAnsi"/>
                <w:sz w:val="18"/>
                <w:szCs w:val="18"/>
              </w:rPr>
              <w:t>to</w:t>
            </w:r>
            <w:r w:rsidR="00AC749B">
              <w:rPr>
                <w:rFonts w:asciiTheme="minorHAnsi" w:hAnsiTheme="minorHAnsi" w:cstheme="minorHAnsi"/>
                <w:sz w:val="18"/>
                <w:szCs w:val="18"/>
              </w:rPr>
              <w:t> </w:t>
            </w:r>
            <w:r w:rsidRPr="008059F4">
              <w:rPr>
                <w:rFonts w:asciiTheme="minorHAnsi" w:hAnsiTheme="minorHAnsi" w:cstheme="minorHAnsi"/>
                <w:sz w:val="18"/>
                <w:szCs w:val="18"/>
              </w:rPr>
              <w:t>≤75</w:t>
            </w:r>
            <w:r w:rsidR="00C67D16">
              <w:rPr>
                <w:rFonts w:asciiTheme="minorHAnsi" w:hAnsiTheme="minorHAnsi" w:cstheme="minorHAnsi"/>
                <w:sz w:val="18"/>
                <w:szCs w:val="18"/>
              </w:rPr>
              <w:t> mL</w:t>
            </w:r>
            <w:r w:rsidRPr="008059F4">
              <w:rPr>
                <w:rFonts w:asciiTheme="minorHAnsi" w:hAnsiTheme="minorHAnsi" w:cstheme="minorHAnsi"/>
                <w:sz w:val="18"/>
                <w:szCs w:val="18"/>
              </w:rPr>
              <w:t>/min/1.73</w:t>
            </w:r>
            <w:r w:rsidR="00AC749B">
              <w:rPr>
                <w:rFonts w:asciiTheme="minorHAnsi" w:hAnsiTheme="minorHAnsi" w:cstheme="minorHAnsi"/>
                <w:sz w:val="18"/>
                <w:szCs w:val="18"/>
              </w:rPr>
              <w:t> </w:t>
            </w:r>
            <w:r w:rsidRPr="008059F4">
              <w:rPr>
                <w:rFonts w:asciiTheme="minorHAnsi" w:hAnsiTheme="minorHAnsi" w:cstheme="minorHAnsi"/>
                <w:sz w:val="18"/>
                <w:szCs w:val="18"/>
              </w:rPr>
              <w:t xml:space="preserve">m² and a </w:t>
            </w:r>
            <w:r w:rsidR="00EA13BF">
              <w:rPr>
                <w:rFonts w:asciiTheme="minorHAnsi" w:hAnsiTheme="minorHAnsi" w:cstheme="minorHAnsi"/>
                <w:sz w:val="18"/>
                <w:szCs w:val="18"/>
              </w:rPr>
              <w:t>urine albumin-creatinine ratio (</w:t>
            </w:r>
            <w:r w:rsidRPr="008059F4">
              <w:rPr>
                <w:rFonts w:asciiTheme="minorHAnsi" w:hAnsiTheme="minorHAnsi" w:cstheme="minorHAnsi"/>
                <w:sz w:val="18"/>
                <w:szCs w:val="18"/>
              </w:rPr>
              <w:t>UACR</w:t>
            </w:r>
            <w:r w:rsidR="00EA13BF">
              <w:rPr>
                <w:rFonts w:asciiTheme="minorHAnsi" w:hAnsiTheme="minorHAnsi" w:cstheme="minorHAnsi"/>
                <w:sz w:val="18"/>
                <w:szCs w:val="18"/>
              </w:rPr>
              <w:t>)</w:t>
            </w:r>
            <w:r w:rsidRPr="008059F4">
              <w:rPr>
                <w:rFonts w:asciiTheme="minorHAnsi" w:hAnsiTheme="minorHAnsi" w:cstheme="minorHAnsi"/>
                <w:sz w:val="18"/>
                <w:szCs w:val="18"/>
              </w:rPr>
              <w:t xml:space="preserve"> of ≥</w:t>
            </w:r>
            <w:r w:rsidR="00130D30">
              <w:rPr>
                <w:rFonts w:asciiTheme="minorHAnsi" w:hAnsiTheme="minorHAnsi" w:cstheme="minorHAnsi"/>
                <w:sz w:val="18"/>
                <w:szCs w:val="18"/>
              </w:rPr>
              <w:t> </w:t>
            </w:r>
            <w:r w:rsidRPr="008059F4">
              <w:rPr>
                <w:rFonts w:asciiTheme="minorHAnsi" w:hAnsiTheme="minorHAnsi" w:cstheme="minorHAnsi"/>
                <w:sz w:val="18"/>
                <w:szCs w:val="18"/>
              </w:rPr>
              <w:t>200 to ≤</w:t>
            </w:r>
            <w:r w:rsidR="00130D30">
              <w:rPr>
                <w:rFonts w:asciiTheme="minorHAnsi" w:hAnsiTheme="minorHAnsi" w:cstheme="minorHAnsi"/>
                <w:sz w:val="18"/>
                <w:szCs w:val="18"/>
              </w:rPr>
              <w:t> </w:t>
            </w:r>
            <w:r w:rsidRPr="008059F4">
              <w:rPr>
                <w:rFonts w:asciiTheme="minorHAnsi" w:hAnsiTheme="minorHAnsi" w:cstheme="minorHAnsi"/>
                <w:sz w:val="18"/>
                <w:szCs w:val="18"/>
              </w:rPr>
              <w:t>5,000</w:t>
            </w:r>
            <w:r w:rsidR="00C67D16">
              <w:rPr>
                <w:rFonts w:asciiTheme="minorHAnsi" w:hAnsiTheme="minorHAnsi" w:cstheme="minorHAnsi"/>
                <w:sz w:val="18"/>
                <w:szCs w:val="18"/>
              </w:rPr>
              <w:t> mg</w:t>
            </w:r>
            <w:r w:rsidRPr="008059F4">
              <w:rPr>
                <w:rFonts w:asciiTheme="minorHAnsi" w:hAnsiTheme="minorHAnsi" w:cstheme="minorHAnsi"/>
                <w:sz w:val="18"/>
                <w:szCs w:val="18"/>
              </w:rPr>
              <w:t>/g. The PBAC’s recommendation for listing was based on its assessment that the cost-effectiveness of empagliflozin would be acceptable if it were cost-minimised against</w:t>
            </w:r>
            <w:r w:rsidR="00EA13BF">
              <w:rPr>
                <w:rFonts w:asciiTheme="minorHAnsi" w:hAnsiTheme="minorHAnsi" w:cstheme="minorHAnsi"/>
                <w:sz w:val="18"/>
                <w:szCs w:val="18"/>
              </w:rPr>
              <w:t xml:space="preserve"> </w:t>
            </w:r>
            <w:r w:rsidRPr="008059F4">
              <w:rPr>
                <w:rFonts w:asciiTheme="minorHAnsi" w:hAnsiTheme="minorHAnsi" w:cstheme="minorHAnsi"/>
                <w:sz w:val="18"/>
                <w:szCs w:val="18"/>
              </w:rPr>
              <w:t>dapagliflozin.</w:t>
            </w:r>
          </w:p>
          <w:p w14:paraId="71293FA1" w14:textId="77777777" w:rsidR="00BC247C" w:rsidRDefault="00BC247C">
            <w:pPr>
              <w:jc w:val="both"/>
              <w:rPr>
                <w:rFonts w:asciiTheme="minorHAnsi" w:hAnsiTheme="minorHAnsi" w:cstheme="minorHAnsi"/>
                <w:sz w:val="18"/>
                <w:szCs w:val="18"/>
              </w:rPr>
            </w:pPr>
          </w:p>
          <w:p w14:paraId="7C375E3D" w14:textId="0EAFC02D" w:rsidR="008059F4" w:rsidRPr="008059F4" w:rsidRDefault="008059F4" w:rsidP="009B3BC3">
            <w:pPr>
              <w:jc w:val="both"/>
              <w:rPr>
                <w:rFonts w:asciiTheme="minorHAnsi" w:hAnsiTheme="minorHAnsi" w:cstheme="minorHAnsi"/>
                <w:color w:val="000000"/>
                <w:sz w:val="18"/>
                <w:szCs w:val="18"/>
              </w:rPr>
            </w:pPr>
            <w:r w:rsidRPr="008059F4">
              <w:rPr>
                <w:rFonts w:asciiTheme="minorHAnsi" w:hAnsiTheme="minorHAnsi" w:cstheme="minorHAnsi"/>
                <w:sz w:val="18"/>
                <w:szCs w:val="18"/>
              </w:rPr>
              <w:t>The PBAC did not recommend the listing of empagliflozin for the proposed incremental CKD population based upon the subgroup analysis in the EMPA-KIDNEY trial which showed little or no improvement from empagliflozin in patients categorised as low, moderate and high</w:t>
            </w:r>
            <w:r w:rsidR="00EA13BF">
              <w:rPr>
                <w:rFonts w:asciiTheme="minorHAnsi" w:hAnsiTheme="minorHAnsi" w:cstheme="minorHAnsi"/>
                <w:sz w:val="18"/>
                <w:szCs w:val="18"/>
              </w:rPr>
              <w:t>-</w:t>
            </w:r>
            <w:r w:rsidRPr="008059F4">
              <w:rPr>
                <w:rFonts w:asciiTheme="minorHAnsi" w:hAnsiTheme="minorHAnsi" w:cstheme="minorHAnsi"/>
                <w:sz w:val="18"/>
                <w:szCs w:val="18"/>
              </w:rPr>
              <w:t xml:space="preserve">risk (KDIGO staging) or in those patients with UACR </w:t>
            </w:r>
            <w:r w:rsidR="008F62BC" w:rsidRPr="008059F4">
              <w:rPr>
                <w:rFonts w:asciiTheme="minorHAnsi" w:hAnsiTheme="minorHAnsi" w:cstheme="minorHAnsi"/>
                <w:sz w:val="18"/>
                <w:szCs w:val="18"/>
              </w:rPr>
              <w:t>&lt;</w:t>
            </w:r>
            <w:r w:rsidR="008F62BC">
              <w:rPr>
                <w:rFonts w:asciiTheme="minorHAnsi" w:hAnsiTheme="minorHAnsi" w:cstheme="minorHAnsi"/>
                <w:sz w:val="18"/>
                <w:szCs w:val="18"/>
              </w:rPr>
              <w:t> </w:t>
            </w:r>
            <w:r w:rsidRPr="008059F4">
              <w:rPr>
                <w:rFonts w:asciiTheme="minorHAnsi" w:hAnsiTheme="minorHAnsi" w:cstheme="minorHAnsi"/>
                <w:sz w:val="18"/>
                <w:szCs w:val="18"/>
              </w:rPr>
              <w:t>200</w:t>
            </w:r>
            <w:r w:rsidR="00E065C8">
              <w:rPr>
                <w:rFonts w:asciiTheme="minorHAnsi" w:hAnsiTheme="minorHAnsi" w:cstheme="minorHAnsi"/>
                <w:sz w:val="18"/>
                <w:szCs w:val="18"/>
              </w:rPr>
              <w:t> </w:t>
            </w:r>
            <w:r w:rsidRPr="008059F4">
              <w:rPr>
                <w:rFonts w:asciiTheme="minorHAnsi" w:hAnsiTheme="minorHAnsi" w:cstheme="minorHAnsi"/>
                <w:sz w:val="18"/>
                <w:szCs w:val="18"/>
              </w:rPr>
              <w:t>mg/g at baseline. The PBAC did not consider that the EMPA-KIDNEY trial adequately demonstrated a benefit in the broadened indication for CKD. The PBAC noted the modelled treatment effects were not representative of the incremental population, and the overall complexity and uncertainty of the cost-effectiveness analysis made it uninformative.</w:t>
            </w:r>
          </w:p>
        </w:tc>
      </w:tr>
      <w:tr w:rsidR="008059F4" w:rsidRPr="008059F4" w14:paraId="52D48790" w14:textId="77777777" w:rsidTr="003774E1">
        <w:trPr>
          <w:cantSplit/>
          <w:trHeight w:val="2948"/>
          <w:jc w:val="center"/>
        </w:trPr>
        <w:tc>
          <w:tcPr>
            <w:tcW w:w="3013" w:type="dxa"/>
            <w:shd w:val="clear" w:color="auto" w:fill="auto"/>
            <w:tcMar>
              <w:top w:w="28" w:type="dxa"/>
              <w:bottom w:w="28" w:type="dxa"/>
            </w:tcMar>
            <w:vAlign w:val="center"/>
          </w:tcPr>
          <w:p w14:paraId="217B86A0" w14:textId="71F44F4A" w:rsidR="008059F4" w:rsidRPr="008059F4" w:rsidRDefault="008059F4" w:rsidP="00F875EE">
            <w:pPr>
              <w:keepLines/>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lastRenderedPageBreak/>
              <w:t xml:space="preserve">FLUTICASONE PROPIONATE </w:t>
            </w:r>
            <w:r w:rsidR="00252D73">
              <w:rPr>
                <w:rFonts w:asciiTheme="minorHAnsi" w:hAnsiTheme="minorHAnsi" w:cstheme="minorHAnsi"/>
                <w:color w:val="000000"/>
                <w:sz w:val="18"/>
                <w:szCs w:val="18"/>
              </w:rPr>
              <w:t>WITH</w:t>
            </w:r>
            <w:r w:rsidRPr="008059F4">
              <w:rPr>
                <w:rFonts w:asciiTheme="minorHAnsi" w:hAnsiTheme="minorHAnsi" w:cstheme="minorHAnsi"/>
                <w:color w:val="000000"/>
                <w:sz w:val="18"/>
                <w:szCs w:val="18"/>
              </w:rPr>
              <w:t xml:space="preserve"> SALMETEROL</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r>
            <w:r w:rsidR="00F875EE" w:rsidRPr="00F875EE">
              <w:rPr>
                <w:rFonts w:asciiTheme="minorHAnsi" w:hAnsiTheme="minorHAnsi" w:cstheme="minorHAnsi"/>
                <w:color w:val="000000"/>
                <w:sz w:val="18"/>
                <w:szCs w:val="18"/>
              </w:rPr>
              <w:t>Powder for oral inhalation in breath actuated device containing fluticasone propionate 250</w:t>
            </w:r>
            <w:r w:rsidR="008F62BC">
              <w:rPr>
                <w:rFonts w:asciiTheme="minorHAnsi" w:hAnsiTheme="minorHAnsi" w:cstheme="minorHAnsi"/>
                <w:color w:val="000000"/>
                <w:sz w:val="18"/>
                <w:szCs w:val="18"/>
              </w:rPr>
              <w:t> </w:t>
            </w:r>
            <w:r w:rsidR="00F875EE" w:rsidRPr="00F875EE">
              <w:rPr>
                <w:rFonts w:asciiTheme="minorHAnsi" w:hAnsiTheme="minorHAnsi" w:cstheme="minorHAnsi"/>
                <w:color w:val="000000"/>
                <w:sz w:val="18"/>
                <w:szCs w:val="18"/>
              </w:rPr>
              <w:t>micrograms with salmeterol 50</w:t>
            </w:r>
            <w:r w:rsidR="008F62BC">
              <w:rPr>
                <w:rFonts w:asciiTheme="minorHAnsi" w:hAnsiTheme="minorHAnsi" w:cstheme="minorHAnsi"/>
                <w:color w:val="000000"/>
                <w:sz w:val="18"/>
                <w:szCs w:val="18"/>
              </w:rPr>
              <w:t> </w:t>
            </w:r>
            <w:r w:rsidR="00F875EE" w:rsidRPr="00F875EE">
              <w:rPr>
                <w:rFonts w:asciiTheme="minorHAnsi" w:hAnsiTheme="minorHAnsi" w:cstheme="minorHAnsi"/>
                <w:color w:val="000000"/>
                <w:sz w:val="18"/>
                <w:szCs w:val="18"/>
              </w:rPr>
              <w:t>micrograms (as xinafoate) per dose, 60 doses</w:t>
            </w:r>
            <w:r w:rsidR="00F875EE">
              <w:rPr>
                <w:rFonts w:asciiTheme="minorHAnsi" w:hAnsiTheme="minorHAnsi" w:cstheme="minorHAnsi"/>
                <w:color w:val="000000"/>
                <w:sz w:val="18"/>
                <w:szCs w:val="18"/>
              </w:rPr>
              <w:br/>
            </w:r>
            <w:r w:rsidR="00F875EE" w:rsidRPr="00F875EE">
              <w:rPr>
                <w:rFonts w:asciiTheme="minorHAnsi" w:hAnsiTheme="minorHAnsi" w:cstheme="minorHAnsi"/>
                <w:color w:val="000000"/>
                <w:sz w:val="18"/>
                <w:szCs w:val="18"/>
              </w:rPr>
              <w:t xml:space="preserve">Powder for oral inhalation in breath actuated device containing fluticasone propionate </w:t>
            </w:r>
            <w:r w:rsidR="008F62BC" w:rsidRPr="00F875EE">
              <w:rPr>
                <w:rFonts w:asciiTheme="minorHAnsi" w:hAnsiTheme="minorHAnsi" w:cstheme="minorHAnsi"/>
                <w:color w:val="000000"/>
                <w:sz w:val="18"/>
                <w:szCs w:val="18"/>
              </w:rPr>
              <w:t>500</w:t>
            </w:r>
            <w:r w:rsidR="008F62BC">
              <w:rPr>
                <w:rFonts w:asciiTheme="minorHAnsi" w:hAnsiTheme="minorHAnsi" w:cstheme="minorHAnsi"/>
                <w:color w:val="000000"/>
                <w:sz w:val="18"/>
                <w:szCs w:val="18"/>
              </w:rPr>
              <w:t> </w:t>
            </w:r>
            <w:r w:rsidR="00F875EE" w:rsidRPr="00F875EE">
              <w:rPr>
                <w:rFonts w:asciiTheme="minorHAnsi" w:hAnsiTheme="minorHAnsi" w:cstheme="minorHAnsi"/>
                <w:color w:val="000000"/>
                <w:sz w:val="18"/>
                <w:szCs w:val="18"/>
              </w:rPr>
              <w:t xml:space="preserve">micrograms with salmeterol </w:t>
            </w:r>
            <w:r w:rsidR="008F62BC" w:rsidRPr="00F875EE">
              <w:rPr>
                <w:rFonts w:asciiTheme="minorHAnsi" w:hAnsiTheme="minorHAnsi" w:cstheme="minorHAnsi"/>
                <w:color w:val="000000"/>
                <w:sz w:val="18"/>
                <w:szCs w:val="18"/>
              </w:rPr>
              <w:t>50</w:t>
            </w:r>
            <w:r w:rsidR="008F62BC">
              <w:rPr>
                <w:rFonts w:asciiTheme="minorHAnsi" w:hAnsiTheme="minorHAnsi" w:cstheme="minorHAnsi"/>
                <w:color w:val="000000"/>
                <w:sz w:val="18"/>
                <w:szCs w:val="18"/>
              </w:rPr>
              <w:t> </w:t>
            </w:r>
            <w:r w:rsidR="00F875EE" w:rsidRPr="00F875EE">
              <w:rPr>
                <w:rFonts w:asciiTheme="minorHAnsi" w:hAnsiTheme="minorHAnsi" w:cstheme="minorHAnsi"/>
                <w:color w:val="000000"/>
                <w:sz w:val="18"/>
                <w:szCs w:val="18"/>
              </w:rPr>
              <w:t>micrograms (as xinafoate) per dose, 60 doses</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Salflumix</w:t>
            </w:r>
            <w:r w:rsidR="00971FC8" w:rsidRPr="008059F4">
              <w:rPr>
                <w:rFonts w:asciiTheme="minorHAnsi" w:hAnsiTheme="minorHAnsi" w:cstheme="minorHAnsi"/>
                <w:color w:val="000000"/>
                <w:sz w:val="18"/>
                <w:szCs w:val="18"/>
              </w:rPr>
              <w:t>®</w:t>
            </w:r>
            <w:r w:rsidRPr="008059F4">
              <w:rPr>
                <w:rFonts w:asciiTheme="minorHAnsi" w:hAnsiTheme="minorHAnsi" w:cstheme="minorHAnsi"/>
                <w:color w:val="000000"/>
                <w:sz w:val="18"/>
                <w:szCs w:val="18"/>
              </w:rPr>
              <w:t xml:space="preserve"> Easyhaler®</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ORION PHARMA (AUS) PTY LIMITED</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Category 4</w:t>
            </w:r>
            <w:r w:rsidRPr="008059F4">
              <w:rPr>
                <w:rFonts w:asciiTheme="minorHAnsi" w:hAnsiTheme="minorHAnsi" w:cstheme="minorHAnsi"/>
                <w:color w:val="000000"/>
                <w:sz w:val="18"/>
                <w:szCs w:val="18"/>
              </w:rPr>
              <w:br/>
              <w:t>(New listing)</w:t>
            </w:r>
          </w:p>
        </w:tc>
        <w:tc>
          <w:tcPr>
            <w:tcW w:w="2764" w:type="dxa"/>
            <w:shd w:val="clear" w:color="auto" w:fill="auto"/>
            <w:vAlign w:val="center"/>
          </w:tcPr>
          <w:p w14:paraId="1AE86019" w14:textId="1DE344BE" w:rsidR="008059F4" w:rsidRPr="008059F4" w:rsidRDefault="008059F4" w:rsidP="00BB57B7">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 xml:space="preserve">Asthma </w:t>
            </w:r>
            <w:r w:rsidRPr="008059F4">
              <w:rPr>
                <w:rFonts w:asciiTheme="minorHAnsi" w:hAnsiTheme="minorHAnsi" w:cstheme="minorHAnsi"/>
                <w:color w:val="000000"/>
                <w:sz w:val="18"/>
                <w:szCs w:val="18"/>
              </w:rPr>
              <w:br/>
              <w:t>Chronic obstructive pulmonary disease (COPD)</w:t>
            </w:r>
          </w:p>
        </w:tc>
        <w:tc>
          <w:tcPr>
            <w:tcW w:w="2978" w:type="dxa"/>
            <w:shd w:val="clear" w:color="auto" w:fill="auto"/>
            <w:tcMar>
              <w:top w:w="28" w:type="dxa"/>
              <w:bottom w:w="28" w:type="dxa"/>
            </w:tcMar>
            <w:vAlign w:val="center"/>
          </w:tcPr>
          <w:p w14:paraId="5FBB6CDB" w14:textId="32D0DE8D" w:rsidR="008059F4" w:rsidRPr="008059F4" w:rsidRDefault="008059F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To request a General Schedule Authority Required (STREAMLINED) listing for the treatment of asthma and COPD</w:t>
            </w:r>
          </w:p>
        </w:tc>
        <w:tc>
          <w:tcPr>
            <w:tcW w:w="1800" w:type="dxa"/>
            <w:shd w:val="clear" w:color="auto" w:fill="auto"/>
            <w:vAlign w:val="center"/>
          </w:tcPr>
          <w:p w14:paraId="344BFC3B" w14:textId="11F6A38A" w:rsidR="008059F4" w:rsidRPr="008059F4" w:rsidRDefault="008059F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Recommended</w:t>
            </w:r>
          </w:p>
        </w:tc>
        <w:tc>
          <w:tcPr>
            <w:tcW w:w="4833" w:type="dxa"/>
            <w:shd w:val="clear" w:color="auto" w:fill="auto"/>
            <w:vAlign w:val="center"/>
          </w:tcPr>
          <w:p w14:paraId="7E95D1E4" w14:textId="5294CA40" w:rsidR="009B3BC3" w:rsidRDefault="008059F4" w:rsidP="009B3BC3">
            <w:pPr>
              <w:jc w:val="both"/>
              <w:rPr>
                <w:rFonts w:asciiTheme="minorHAnsi" w:hAnsiTheme="minorHAnsi" w:cstheme="minorHAnsi"/>
                <w:color w:val="000000"/>
                <w:sz w:val="18"/>
                <w:szCs w:val="18"/>
              </w:rPr>
            </w:pPr>
            <w:r w:rsidRPr="008059F4">
              <w:rPr>
                <w:rFonts w:asciiTheme="minorHAnsi" w:hAnsiTheme="minorHAnsi" w:cstheme="minorHAnsi"/>
                <w:color w:val="000000"/>
                <w:sz w:val="18"/>
                <w:szCs w:val="18"/>
              </w:rPr>
              <w:t>The PBAC recommended the listing of two new forms of fluticasone propionate with salmeterol (Salflumix Easyhaler</w:t>
            </w:r>
            <w:r w:rsidR="00AC749B">
              <w:rPr>
                <w:rFonts w:asciiTheme="minorHAnsi" w:hAnsiTheme="minorHAnsi" w:cstheme="minorHAnsi"/>
                <w:color w:val="000000"/>
                <w:sz w:val="18"/>
                <w:szCs w:val="18"/>
              </w:rPr>
              <w:t xml:space="preserve"> </w:t>
            </w:r>
            <w:r w:rsidR="00EA13BF">
              <w:rPr>
                <w:rFonts w:asciiTheme="minorHAnsi" w:hAnsiTheme="minorHAnsi" w:cstheme="minorHAnsi"/>
                <w:color w:val="000000"/>
                <w:sz w:val="18"/>
                <w:szCs w:val="18"/>
              </w:rPr>
              <w:t>250/50 and 500/50</w:t>
            </w:r>
            <w:r w:rsidRPr="008059F4">
              <w:rPr>
                <w:rFonts w:asciiTheme="minorHAnsi" w:hAnsiTheme="minorHAnsi" w:cstheme="minorHAnsi"/>
                <w:color w:val="000000"/>
                <w:sz w:val="18"/>
                <w:szCs w:val="18"/>
              </w:rPr>
              <w:t>) under the same circumstances as the currently PBS-listed Seretide® Accuhaler® 250/50 and 500/50 respectively. The PBAC recommended listing Salflumix Easyhale</w:t>
            </w:r>
            <w:r w:rsidR="00AC749B">
              <w:rPr>
                <w:rFonts w:asciiTheme="minorHAnsi" w:hAnsiTheme="minorHAnsi" w:cstheme="minorHAnsi"/>
                <w:color w:val="000000"/>
                <w:sz w:val="18"/>
                <w:szCs w:val="18"/>
              </w:rPr>
              <w:t>r</w:t>
            </w:r>
            <w:r w:rsidRPr="008059F4">
              <w:rPr>
                <w:rFonts w:asciiTheme="minorHAnsi" w:hAnsiTheme="minorHAnsi" w:cstheme="minorHAnsi"/>
                <w:color w:val="000000"/>
                <w:sz w:val="18"/>
                <w:szCs w:val="18"/>
              </w:rPr>
              <w:t xml:space="preserve"> on a cost-minimisation basis to the lowest cost PBS</w:t>
            </w:r>
            <w:r w:rsidR="00130D30">
              <w:rPr>
                <w:rFonts w:asciiTheme="minorHAnsi" w:hAnsiTheme="minorHAnsi" w:cstheme="minorHAnsi"/>
                <w:color w:val="000000"/>
                <w:sz w:val="18"/>
                <w:szCs w:val="18"/>
              </w:rPr>
              <w:noBreakHyphen/>
            </w:r>
            <w:r w:rsidRPr="008059F4">
              <w:rPr>
                <w:rFonts w:asciiTheme="minorHAnsi" w:hAnsiTheme="minorHAnsi" w:cstheme="minorHAnsi"/>
                <w:color w:val="000000"/>
                <w:sz w:val="18"/>
                <w:szCs w:val="18"/>
              </w:rPr>
              <w:t xml:space="preserve">listed fluticasone propionate </w:t>
            </w:r>
            <w:r w:rsidR="00252D73">
              <w:rPr>
                <w:rFonts w:asciiTheme="minorHAnsi" w:hAnsiTheme="minorHAnsi" w:cstheme="minorHAnsi"/>
                <w:color w:val="000000"/>
                <w:sz w:val="18"/>
                <w:szCs w:val="18"/>
              </w:rPr>
              <w:t>with</w:t>
            </w:r>
            <w:r w:rsidR="00252D73" w:rsidRPr="008059F4">
              <w:rPr>
                <w:rFonts w:asciiTheme="minorHAnsi" w:hAnsiTheme="minorHAnsi" w:cstheme="minorHAnsi"/>
                <w:color w:val="000000"/>
                <w:sz w:val="18"/>
                <w:szCs w:val="18"/>
              </w:rPr>
              <w:t xml:space="preserve"> </w:t>
            </w:r>
            <w:r w:rsidRPr="008059F4">
              <w:rPr>
                <w:rFonts w:asciiTheme="minorHAnsi" w:hAnsiTheme="minorHAnsi" w:cstheme="minorHAnsi"/>
                <w:color w:val="000000"/>
                <w:sz w:val="18"/>
                <w:szCs w:val="18"/>
              </w:rPr>
              <w:t>salmeterol powder for inhalation items</w:t>
            </w:r>
            <w:r w:rsidR="00FC4018">
              <w:rPr>
                <w:rFonts w:asciiTheme="minorHAnsi" w:hAnsiTheme="minorHAnsi" w:cstheme="minorHAnsi"/>
                <w:color w:val="000000"/>
                <w:sz w:val="18"/>
                <w:szCs w:val="18"/>
              </w:rPr>
              <w:t xml:space="preserve"> of equivalent strengths</w:t>
            </w:r>
            <w:r w:rsidRPr="008059F4">
              <w:rPr>
                <w:rFonts w:asciiTheme="minorHAnsi" w:hAnsiTheme="minorHAnsi" w:cstheme="minorHAnsi"/>
                <w:color w:val="000000"/>
                <w:sz w:val="18"/>
                <w:szCs w:val="18"/>
              </w:rPr>
              <w:t>. It noted that listing</w:t>
            </w:r>
            <w:r w:rsidR="009B3BC3">
              <w:rPr>
                <w:rFonts w:asciiTheme="minorHAnsi" w:hAnsiTheme="minorHAnsi" w:cstheme="minorHAnsi"/>
                <w:color w:val="000000"/>
                <w:sz w:val="18"/>
                <w:szCs w:val="18"/>
              </w:rPr>
              <w:t xml:space="preserve"> both strengths of</w:t>
            </w:r>
            <w:r w:rsidRPr="008059F4">
              <w:rPr>
                <w:rFonts w:asciiTheme="minorHAnsi" w:hAnsiTheme="minorHAnsi" w:cstheme="minorHAnsi"/>
                <w:color w:val="000000"/>
                <w:sz w:val="18"/>
                <w:szCs w:val="18"/>
              </w:rPr>
              <w:t xml:space="preserve"> Salflumix Easyhaler on the PBS is expected to have no net cost to the PBS. The PBAC noted the TGA considered Salflumix Easyhaler to be bioequivalent to Seretide Accuhaler, and advised the equi-effective doses were: Salflumix Easyhaler 250/50 = Seretide</w:t>
            </w:r>
            <w:r w:rsidR="00FC4018">
              <w:rPr>
                <w:rFonts w:asciiTheme="minorHAnsi" w:hAnsiTheme="minorHAnsi" w:cstheme="minorHAnsi"/>
                <w:color w:val="000000"/>
                <w:sz w:val="18"/>
                <w:szCs w:val="18"/>
              </w:rPr>
              <w:t xml:space="preserve"> </w:t>
            </w:r>
            <w:r w:rsidRPr="008059F4">
              <w:rPr>
                <w:rFonts w:asciiTheme="minorHAnsi" w:hAnsiTheme="minorHAnsi" w:cstheme="minorHAnsi"/>
                <w:color w:val="000000"/>
                <w:sz w:val="18"/>
                <w:szCs w:val="18"/>
              </w:rPr>
              <w:t>Accuhaler</w:t>
            </w:r>
            <w:r w:rsidR="00AC749B">
              <w:rPr>
                <w:rFonts w:asciiTheme="minorHAnsi" w:hAnsiTheme="minorHAnsi" w:cstheme="minorHAnsi"/>
                <w:color w:val="000000"/>
                <w:sz w:val="18"/>
                <w:szCs w:val="18"/>
              </w:rPr>
              <w:t xml:space="preserve"> </w:t>
            </w:r>
            <w:r w:rsidRPr="008059F4">
              <w:rPr>
                <w:rFonts w:asciiTheme="minorHAnsi" w:hAnsiTheme="minorHAnsi" w:cstheme="minorHAnsi"/>
                <w:color w:val="000000"/>
                <w:sz w:val="18"/>
                <w:szCs w:val="18"/>
              </w:rPr>
              <w:t>250/50, and Salflumix Easyhaler 500/50 = Seretide Accuhaler 500/50. The PBAC advised that</w:t>
            </w:r>
            <w:r w:rsidR="00EA13BF">
              <w:rPr>
                <w:rFonts w:asciiTheme="minorHAnsi" w:hAnsiTheme="minorHAnsi" w:cstheme="minorHAnsi"/>
                <w:color w:val="000000"/>
                <w:sz w:val="18"/>
                <w:szCs w:val="18"/>
              </w:rPr>
              <w:t xml:space="preserve"> the</w:t>
            </w:r>
            <w:r w:rsidRPr="008059F4">
              <w:rPr>
                <w:rFonts w:asciiTheme="minorHAnsi" w:hAnsiTheme="minorHAnsi" w:cstheme="minorHAnsi"/>
                <w:color w:val="000000"/>
                <w:sz w:val="18"/>
                <w:szCs w:val="18"/>
              </w:rPr>
              <w:t xml:space="preserve"> </w:t>
            </w:r>
            <w:r w:rsidR="00FC4018">
              <w:rPr>
                <w:rFonts w:asciiTheme="minorHAnsi" w:hAnsiTheme="minorHAnsi" w:cstheme="minorHAnsi"/>
                <w:color w:val="000000"/>
                <w:sz w:val="18"/>
                <w:szCs w:val="18"/>
              </w:rPr>
              <w:t xml:space="preserve">equivalent strengths of </w:t>
            </w:r>
            <w:r w:rsidRPr="008059F4">
              <w:rPr>
                <w:rFonts w:asciiTheme="minorHAnsi" w:hAnsiTheme="minorHAnsi" w:cstheme="minorHAnsi"/>
                <w:color w:val="000000"/>
                <w:sz w:val="18"/>
                <w:szCs w:val="18"/>
              </w:rPr>
              <w:t xml:space="preserve">Salflumix Easyhaler and Seretide Accuhaler and other PBS-listed generic brands should be considered equivalent for the purposes of substitution </w:t>
            </w:r>
            <w:r w:rsidR="00BC733D">
              <w:rPr>
                <w:rFonts w:asciiTheme="minorHAnsi" w:hAnsiTheme="minorHAnsi" w:cstheme="minorHAnsi"/>
                <w:color w:val="000000"/>
                <w:sz w:val="18"/>
                <w:szCs w:val="18"/>
              </w:rPr>
              <w:br/>
            </w:r>
            <w:r w:rsidRPr="008059F4">
              <w:rPr>
                <w:rFonts w:asciiTheme="minorHAnsi" w:hAnsiTheme="minorHAnsi" w:cstheme="minorHAnsi"/>
                <w:color w:val="000000"/>
                <w:sz w:val="18"/>
                <w:szCs w:val="18"/>
              </w:rPr>
              <w:t>(i.e., ‘a’ flagged in the Schedule).</w:t>
            </w:r>
          </w:p>
          <w:p w14:paraId="0F3DE7E3" w14:textId="77777777" w:rsidR="009B3BC3" w:rsidRDefault="009B3BC3" w:rsidP="009B3BC3">
            <w:pPr>
              <w:jc w:val="both"/>
              <w:rPr>
                <w:rFonts w:asciiTheme="minorHAnsi" w:hAnsiTheme="minorHAnsi" w:cstheme="minorHAnsi"/>
                <w:color w:val="000000"/>
                <w:sz w:val="18"/>
                <w:szCs w:val="18"/>
              </w:rPr>
            </w:pPr>
          </w:p>
          <w:p w14:paraId="621821C6" w14:textId="74A97876" w:rsidR="008059F4" w:rsidRPr="008059F4" w:rsidRDefault="008059F4" w:rsidP="009B3BC3">
            <w:pPr>
              <w:jc w:val="both"/>
              <w:rPr>
                <w:rFonts w:asciiTheme="minorHAnsi" w:hAnsiTheme="minorHAnsi" w:cstheme="minorHAnsi"/>
                <w:sz w:val="18"/>
                <w:szCs w:val="18"/>
                <w:u w:val="single"/>
              </w:rPr>
            </w:pPr>
            <w:r w:rsidRPr="008059F4">
              <w:rPr>
                <w:rFonts w:asciiTheme="minorHAnsi" w:hAnsiTheme="minorHAnsi" w:cstheme="minorHAnsi"/>
                <w:color w:val="000000"/>
                <w:sz w:val="18"/>
                <w:szCs w:val="18"/>
              </w:rPr>
              <w:t>The PBAC noted that Salflumix Easyhaler, and</w:t>
            </w:r>
            <w:r w:rsidR="009B3BC3">
              <w:rPr>
                <w:rFonts w:asciiTheme="minorHAnsi" w:hAnsiTheme="minorHAnsi" w:cstheme="minorHAnsi"/>
                <w:color w:val="000000"/>
                <w:sz w:val="18"/>
                <w:szCs w:val="18"/>
              </w:rPr>
              <w:t xml:space="preserve"> the currently</w:t>
            </w:r>
            <w:r w:rsidRPr="008059F4">
              <w:rPr>
                <w:rFonts w:asciiTheme="minorHAnsi" w:hAnsiTheme="minorHAnsi" w:cstheme="minorHAnsi"/>
                <w:color w:val="000000"/>
                <w:sz w:val="18"/>
                <w:szCs w:val="18"/>
              </w:rPr>
              <w:t xml:space="preserve"> PBS</w:t>
            </w:r>
            <w:r w:rsidR="00130D30">
              <w:rPr>
                <w:rFonts w:asciiTheme="minorHAnsi" w:hAnsiTheme="minorHAnsi" w:cstheme="minorHAnsi"/>
                <w:color w:val="000000"/>
                <w:sz w:val="18"/>
                <w:szCs w:val="18"/>
              </w:rPr>
              <w:noBreakHyphen/>
            </w:r>
            <w:r w:rsidRPr="008059F4">
              <w:rPr>
                <w:rFonts w:asciiTheme="minorHAnsi" w:hAnsiTheme="minorHAnsi" w:cstheme="minorHAnsi"/>
                <w:color w:val="000000"/>
                <w:sz w:val="18"/>
                <w:szCs w:val="18"/>
              </w:rPr>
              <w:t>listed brands</w:t>
            </w:r>
            <w:r w:rsidR="009B3BC3">
              <w:rPr>
                <w:rFonts w:asciiTheme="minorHAnsi" w:hAnsiTheme="minorHAnsi" w:cstheme="minorHAnsi"/>
                <w:color w:val="000000"/>
                <w:sz w:val="18"/>
                <w:szCs w:val="18"/>
              </w:rPr>
              <w:t xml:space="preserve"> of fluticasone propionate with salmeterol 250/50 and 500/50</w:t>
            </w:r>
            <w:r w:rsidRPr="008059F4">
              <w:rPr>
                <w:rFonts w:asciiTheme="minorHAnsi" w:hAnsiTheme="minorHAnsi" w:cstheme="minorHAnsi"/>
                <w:color w:val="000000"/>
                <w:sz w:val="18"/>
                <w:szCs w:val="18"/>
              </w:rPr>
              <w:t xml:space="preserve"> are currently TGA-registered for use in children aged 12 years of age and older, and adults. The PBAC noted the inconsistencies in the age recommendations between the TGA Product Information, PBS population criteria and Australian Asthma Handbook for these items. The PBAC recommended not including an age restriction for the listings of Salflumix Easyhaler for asthma. </w:t>
            </w:r>
            <w:r w:rsidR="00EA13BF">
              <w:rPr>
                <w:rFonts w:asciiTheme="minorHAnsi" w:hAnsiTheme="minorHAnsi" w:cstheme="minorHAnsi"/>
                <w:color w:val="000000"/>
                <w:sz w:val="18"/>
                <w:szCs w:val="18"/>
              </w:rPr>
              <w:t>The PBAC recommended that</w:t>
            </w:r>
            <w:r w:rsidRPr="008059F4">
              <w:rPr>
                <w:rFonts w:asciiTheme="minorHAnsi" w:hAnsiTheme="minorHAnsi" w:cstheme="minorHAnsi"/>
                <w:color w:val="000000"/>
                <w:sz w:val="18"/>
                <w:szCs w:val="18"/>
              </w:rPr>
              <w:t xml:space="preserve"> this be flowed onto the restrictions for the currently listed fluticasone propionate with salmeterol 250/50 microgram and 500/50 microgram items for asthma</w:t>
            </w:r>
            <w:r w:rsidR="009B3BC3">
              <w:rPr>
                <w:rFonts w:asciiTheme="minorHAnsi" w:hAnsiTheme="minorHAnsi" w:cstheme="minorHAnsi"/>
                <w:color w:val="000000"/>
                <w:sz w:val="18"/>
                <w:szCs w:val="18"/>
              </w:rPr>
              <w:t xml:space="preserve"> </w:t>
            </w:r>
            <w:r w:rsidRPr="008059F4">
              <w:rPr>
                <w:rFonts w:asciiTheme="minorHAnsi" w:hAnsiTheme="minorHAnsi" w:cstheme="minorHAnsi"/>
                <w:color w:val="000000"/>
                <w:sz w:val="18"/>
                <w:szCs w:val="18"/>
              </w:rPr>
              <w:t>by removing the population criteria ‘Patient must be aged 4 years or older’ from these listings.</w:t>
            </w:r>
          </w:p>
        </w:tc>
      </w:tr>
      <w:tr w:rsidR="008059F4" w:rsidRPr="008059F4" w14:paraId="211AD65F" w14:textId="77777777" w:rsidTr="003774E1">
        <w:trPr>
          <w:cantSplit/>
          <w:trHeight w:val="2948"/>
          <w:jc w:val="center"/>
        </w:trPr>
        <w:tc>
          <w:tcPr>
            <w:tcW w:w="3013" w:type="dxa"/>
            <w:shd w:val="clear" w:color="auto" w:fill="auto"/>
            <w:tcMar>
              <w:top w:w="28" w:type="dxa"/>
              <w:bottom w:w="28" w:type="dxa"/>
            </w:tcMar>
            <w:vAlign w:val="center"/>
          </w:tcPr>
          <w:p w14:paraId="53674C18" w14:textId="7F052672" w:rsidR="008059F4" w:rsidRPr="008059F4" w:rsidRDefault="008059F4" w:rsidP="00BB57B7">
            <w:pPr>
              <w:keepLines/>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lastRenderedPageBreak/>
              <w:t>ICOSAPENT ETHYL</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Capsule 1</w:t>
            </w:r>
            <w:r w:rsidR="00FC4018">
              <w:rPr>
                <w:rFonts w:asciiTheme="minorHAnsi" w:hAnsiTheme="minorHAnsi" w:cstheme="minorHAnsi"/>
                <w:color w:val="000000"/>
                <w:sz w:val="18"/>
                <w:szCs w:val="18"/>
              </w:rPr>
              <w:t> </w:t>
            </w:r>
            <w:r w:rsidRPr="008059F4">
              <w:rPr>
                <w:rFonts w:asciiTheme="minorHAnsi" w:hAnsiTheme="minorHAnsi" w:cstheme="minorHAnsi"/>
                <w:color w:val="000000"/>
                <w:sz w:val="18"/>
                <w:szCs w:val="18"/>
              </w:rPr>
              <w:t>g</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Vazkepa®</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SEQIRUS (AUSTRALIA) PTY LTD</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Category 1</w:t>
            </w:r>
            <w:r w:rsidRPr="008059F4">
              <w:rPr>
                <w:rFonts w:asciiTheme="minorHAnsi" w:hAnsiTheme="minorHAnsi" w:cstheme="minorHAnsi"/>
                <w:color w:val="000000"/>
                <w:sz w:val="18"/>
                <w:szCs w:val="18"/>
              </w:rPr>
              <w:br/>
              <w:t>(New listing)</w:t>
            </w:r>
          </w:p>
        </w:tc>
        <w:tc>
          <w:tcPr>
            <w:tcW w:w="2764" w:type="dxa"/>
            <w:shd w:val="clear" w:color="auto" w:fill="auto"/>
            <w:vAlign w:val="center"/>
          </w:tcPr>
          <w:p w14:paraId="3CDF0498" w14:textId="6C7919C7" w:rsidR="008059F4" w:rsidRPr="008059F4" w:rsidRDefault="008059F4" w:rsidP="00BB57B7">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Atherosclerotic cardiovascular disease</w:t>
            </w:r>
            <w:r w:rsidR="00CC2EC5">
              <w:rPr>
                <w:rFonts w:asciiTheme="minorHAnsi" w:hAnsiTheme="minorHAnsi" w:cstheme="minorHAnsi"/>
                <w:color w:val="000000"/>
                <w:sz w:val="18"/>
                <w:szCs w:val="18"/>
              </w:rPr>
              <w:t xml:space="preserve"> </w:t>
            </w:r>
            <w:r w:rsidR="00CC2EC5" w:rsidRPr="006161F8">
              <w:rPr>
                <w:rFonts w:asciiTheme="minorHAnsi" w:hAnsiTheme="minorHAnsi" w:cstheme="minorHAnsi"/>
                <w:color w:val="000000"/>
                <w:sz w:val="18"/>
                <w:szCs w:val="18"/>
              </w:rPr>
              <w:t>(ASCVD)</w:t>
            </w:r>
            <w:r w:rsidRPr="008059F4">
              <w:rPr>
                <w:rFonts w:asciiTheme="minorHAnsi" w:hAnsiTheme="minorHAnsi" w:cstheme="minorHAnsi"/>
                <w:color w:val="000000"/>
                <w:sz w:val="18"/>
                <w:szCs w:val="18"/>
              </w:rPr>
              <w:t xml:space="preserve"> with elevated triglycerides</w:t>
            </w:r>
          </w:p>
        </w:tc>
        <w:tc>
          <w:tcPr>
            <w:tcW w:w="2978" w:type="dxa"/>
            <w:shd w:val="clear" w:color="auto" w:fill="auto"/>
            <w:tcMar>
              <w:top w:w="28" w:type="dxa"/>
              <w:bottom w:w="28" w:type="dxa"/>
            </w:tcMar>
            <w:vAlign w:val="center"/>
          </w:tcPr>
          <w:p w14:paraId="52C006D2" w14:textId="0A06984F" w:rsidR="008059F4" w:rsidRPr="008059F4" w:rsidRDefault="008059F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 xml:space="preserve">To request a General Schedule Authority Required (STREAMLINED) listing for the treatment of </w:t>
            </w:r>
            <w:r w:rsidR="00CC2EC5" w:rsidRPr="006161F8">
              <w:rPr>
                <w:rFonts w:asciiTheme="minorHAnsi" w:hAnsiTheme="minorHAnsi" w:cstheme="minorHAnsi"/>
                <w:color w:val="000000"/>
                <w:sz w:val="18"/>
                <w:szCs w:val="18"/>
              </w:rPr>
              <w:t>ASCVD</w:t>
            </w:r>
            <w:r w:rsidR="00CC2EC5">
              <w:rPr>
                <w:rFonts w:asciiTheme="minorHAnsi" w:hAnsiTheme="minorHAnsi" w:cstheme="minorHAnsi"/>
                <w:color w:val="000000"/>
                <w:sz w:val="18"/>
                <w:szCs w:val="18"/>
              </w:rPr>
              <w:t xml:space="preserve"> </w:t>
            </w:r>
            <w:r w:rsidRPr="008059F4">
              <w:rPr>
                <w:rFonts w:asciiTheme="minorHAnsi" w:hAnsiTheme="minorHAnsi" w:cstheme="minorHAnsi"/>
                <w:color w:val="000000"/>
                <w:sz w:val="18"/>
                <w:szCs w:val="18"/>
              </w:rPr>
              <w:t>with elevated triglycerides.</w:t>
            </w:r>
          </w:p>
        </w:tc>
        <w:tc>
          <w:tcPr>
            <w:tcW w:w="1800" w:type="dxa"/>
            <w:shd w:val="clear" w:color="auto" w:fill="auto"/>
            <w:vAlign w:val="center"/>
          </w:tcPr>
          <w:p w14:paraId="2BD28AB2" w14:textId="7B0570BA" w:rsidR="008059F4" w:rsidRPr="008059F4" w:rsidRDefault="008059F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Not Recommended</w:t>
            </w:r>
          </w:p>
        </w:tc>
        <w:tc>
          <w:tcPr>
            <w:tcW w:w="4833" w:type="dxa"/>
            <w:shd w:val="clear" w:color="auto" w:fill="auto"/>
            <w:vAlign w:val="center"/>
          </w:tcPr>
          <w:p w14:paraId="5753743D" w14:textId="76AD1F42" w:rsidR="006161F8" w:rsidRDefault="006161F8" w:rsidP="00C44D4E">
            <w:pPr>
              <w:jc w:val="both"/>
              <w:rPr>
                <w:rFonts w:asciiTheme="minorHAnsi" w:hAnsiTheme="minorHAnsi" w:cstheme="minorHAnsi"/>
                <w:color w:val="000000"/>
                <w:sz w:val="18"/>
                <w:szCs w:val="18"/>
              </w:rPr>
            </w:pPr>
            <w:r w:rsidRPr="006161F8">
              <w:rPr>
                <w:rFonts w:asciiTheme="minorHAnsi" w:hAnsiTheme="minorHAnsi" w:cstheme="minorHAnsi"/>
                <w:color w:val="000000"/>
                <w:sz w:val="18"/>
                <w:szCs w:val="18"/>
              </w:rPr>
              <w:t xml:space="preserve">The PBAC did not recommend icosapent ethyl for the treatment of patients with ASCVD </w:t>
            </w:r>
            <w:r w:rsidR="00682741">
              <w:rPr>
                <w:rFonts w:asciiTheme="minorHAnsi" w:hAnsiTheme="minorHAnsi" w:cstheme="minorHAnsi"/>
                <w:color w:val="000000"/>
                <w:sz w:val="18"/>
                <w:szCs w:val="18"/>
              </w:rPr>
              <w:t>with</w:t>
            </w:r>
            <w:r w:rsidR="00682741" w:rsidRPr="006161F8">
              <w:rPr>
                <w:rFonts w:asciiTheme="minorHAnsi" w:hAnsiTheme="minorHAnsi" w:cstheme="minorHAnsi"/>
                <w:color w:val="000000"/>
                <w:sz w:val="18"/>
                <w:szCs w:val="18"/>
              </w:rPr>
              <w:t xml:space="preserve"> </w:t>
            </w:r>
            <w:r w:rsidRPr="006161F8">
              <w:rPr>
                <w:rFonts w:asciiTheme="minorHAnsi" w:hAnsiTheme="minorHAnsi" w:cstheme="minorHAnsi"/>
                <w:color w:val="000000"/>
                <w:sz w:val="18"/>
                <w:szCs w:val="18"/>
              </w:rPr>
              <w:t>elevated triglycerides. The PBAC considered that there was a low clinical need for icosapent ethyl given current therapies to treat patients with ASCVD are underutilised, while adding icosapent ethyl would complicate the treatment space at a substantial potential cost to Government. Furthermore, the PBAC considered the magnitude of benefit was uncertain given the mechanism of action of icosapent ethyl is poorly understood, there are inconsistent trial results across studies of eicosapentaenoic acid therapies, and the negative impact of the mineral oil used in the placebo arm of the REDUCE-IT trial was not easily quantifiable. The PBAC considered that the revised incremental cost</w:t>
            </w:r>
            <w:r w:rsidR="00130D30">
              <w:rPr>
                <w:rFonts w:asciiTheme="minorHAnsi" w:hAnsiTheme="minorHAnsi" w:cstheme="minorHAnsi"/>
                <w:color w:val="000000"/>
                <w:sz w:val="18"/>
                <w:szCs w:val="18"/>
              </w:rPr>
              <w:noBreakHyphen/>
            </w:r>
            <w:r w:rsidRPr="006161F8">
              <w:rPr>
                <w:rFonts w:asciiTheme="minorHAnsi" w:hAnsiTheme="minorHAnsi" w:cstheme="minorHAnsi"/>
                <w:color w:val="000000"/>
                <w:sz w:val="18"/>
                <w:szCs w:val="18"/>
              </w:rPr>
              <w:t xml:space="preserve">effectiveness ratio presented in the pre-PBAC response was too high and remained uncertain and that a substantial price reduction was required. In addition, the PBAC considered that the estimated utilisation and the financial impact were very high and uncertain and, in the context of uncertain benefits and low clinical need, could not be justified. The PBAC advised that a </w:t>
            </w:r>
            <w:r w:rsidR="00CC2EC5" w:rsidRPr="006161F8">
              <w:rPr>
                <w:rFonts w:asciiTheme="minorHAnsi" w:hAnsiTheme="minorHAnsi" w:cstheme="minorHAnsi"/>
                <w:color w:val="000000"/>
                <w:sz w:val="18"/>
                <w:szCs w:val="18"/>
              </w:rPr>
              <w:t xml:space="preserve">risk sharing arrangement </w:t>
            </w:r>
            <w:r w:rsidRPr="006161F8">
              <w:rPr>
                <w:rFonts w:asciiTheme="minorHAnsi" w:hAnsiTheme="minorHAnsi" w:cstheme="minorHAnsi"/>
                <w:color w:val="000000"/>
                <w:sz w:val="18"/>
                <w:szCs w:val="18"/>
              </w:rPr>
              <w:t xml:space="preserve">based on revised estimates </w:t>
            </w:r>
            <w:r w:rsidRPr="00A6101C">
              <w:rPr>
                <w:rFonts w:asciiTheme="minorHAnsi" w:hAnsiTheme="minorHAnsi" w:cstheme="minorHAnsi"/>
                <w:color w:val="000000"/>
                <w:sz w:val="18"/>
                <w:szCs w:val="18"/>
              </w:rPr>
              <w:t>would be required.</w:t>
            </w:r>
          </w:p>
          <w:p w14:paraId="6268F289" w14:textId="77777777" w:rsidR="006161F8" w:rsidRPr="006161F8" w:rsidRDefault="006161F8" w:rsidP="00C44D4E">
            <w:pPr>
              <w:jc w:val="both"/>
              <w:rPr>
                <w:rFonts w:asciiTheme="minorHAnsi" w:hAnsiTheme="minorHAnsi" w:cstheme="minorHAnsi"/>
                <w:color w:val="000000"/>
                <w:sz w:val="18"/>
                <w:szCs w:val="18"/>
              </w:rPr>
            </w:pPr>
          </w:p>
          <w:p w14:paraId="183ECC44" w14:textId="7896E441" w:rsidR="008059F4" w:rsidRDefault="006161F8" w:rsidP="00C44D4E">
            <w:pPr>
              <w:jc w:val="both"/>
              <w:rPr>
                <w:rFonts w:asciiTheme="minorHAnsi" w:hAnsiTheme="minorHAnsi" w:cstheme="minorHAnsi"/>
                <w:color w:val="000000"/>
                <w:sz w:val="18"/>
                <w:szCs w:val="18"/>
              </w:rPr>
            </w:pPr>
            <w:r w:rsidRPr="006161F8">
              <w:rPr>
                <w:rFonts w:asciiTheme="minorHAnsi" w:hAnsiTheme="minorHAnsi" w:cstheme="minorHAnsi"/>
                <w:color w:val="000000"/>
                <w:sz w:val="18"/>
                <w:szCs w:val="18"/>
              </w:rPr>
              <w:t>The PBAC nominated the Early Re-Entry resubmission pathway for this item.</w:t>
            </w:r>
          </w:p>
          <w:p w14:paraId="4FBF818E" w14:textId="77777777" w:rsidR="006161F8" w:rsidRPr="00134057" w:rsidRDefault="006161F8" w:rsidP="006161F8">
            <w:pPr>
              <w:rPr>
                <w:rFonts w:asciiTheme="minorHAnsi" w:hAnsiTheme="minorHAnsi" w:cstheme="minorHAnsi"/>
                <w:color w:val="000000"/>
                <w:sz w:val="18"/>
                <w:szCs w:val="18"/>
              </w:rPr>
            </w:pPr>
          </w:p>
          <w:p w14:paraId="3C2F19F4" w14:textId="77777777" w:rsidR="008059F4" w:rsidRDefault="008059F4" w:rsidP="00BB57B7">
            <w:pPr>
              <w:rPr>
                <w:rFonts w:asciiTheme="minorHAnsi" w:hAnsiTheme="minorHAnsi" w:cstheme="minorHAnsi"/>
                <w:color w:val="000000"/>
                <w:sz w:val="18"/>
                <w:szCs w:val="18"/>
              </w:rPr>
            </w:pPr>
            <w:r w:rsidRPr="000110D5">
              <w:rPr>
                <w:rFonts w:asciiTheme="minorHAnsi" w:hAnsiTheme="minorHAnsi" w:cstheme="minorHAnsi"/>
                <w:color w:val="000000"/>
                <w:sz w:val="18"/>
                <w:szCs w:val="18"/>
                <w:u w:val="single"/>
              </w:rPr>
              <w:t>Sponsor’s Comment:</w:t>
            </w:r>
          </w:p>
          <w:p w14:paraId="06651E26" w14:textId="076C2F5B" w:rsidR="003774E1" w:rsidRDefault="003774E1" w:rsidP="003774E1">
            <w:pPr>
              <w:jc w:val="both"/>
              <w:rPr>
                <w:rFonts w:asciiTheme="minorHAnsi" w:hAnsiTheme="minorHAnsi" w:cstheme="minorHAnsi"/>
                <w:color w:val="000000"/>
                <w:sz w:val="18"/>
                <w:szCs w:val="18"/>
              </w:rPr>
            </w:pPr>
            <w:r w:rsidRPr="003774E1">
              <w:rPr>
                <w:rFonts w:asciiTheme="minorHAnsi" w:hAnsiTheme="minorHAnsi" w:cstheme="minorHAnsi"/>
                <w:color w:val="000000"/>
                <w:sz w:val="18"/>
                <w:szCs w:val="18"/>
              </w:rPr>
              <w:t>Cardiovascular disease remains one of Australia's leading causes of death. CSL Seqirus engaged extensively with cardiologists, endocrinologists, primary care providers and healthcare organisations to guide our PBAC submission, and all agreed that further reimbursed options to manage cardiovascular risk would be welcomed.</w:t>
            </w:r>
          </w:p>
          <w:p w14:paraId="33FB2BBF" w14:textId="77777777" w:rsidR="00FA4C5D" w:rsidRPr="003774E1" w:rsidRDefault="00FA4C5D" w:rsidP="003774E1">
            <w:pPr>
              <w:jc w:val="both"/>
              <w:rPr>
                <w:rFonts w:asciiTheme="minorHAnsi" w:hAnsiTheme="minorHAnsi" w:cstheme="minorHAnsi"/>
                <w:color w:val="000000"/>
                <w:sz w:val="18"/>
                <w:szCs w:val="18"/>
              </w:rPr>
            </w:pPr>
          </w:p>
          <w:p w14:paraId="471F916D" w14:textId="47F2B030" w:rsidR="008059F4" w:rsidRPr="008059F4" w:rsidRDefault="003774E1" w:rsidP="003D295D">
            <w:pPr>
              <w:jc w:val="both"/>
              <w:rPr>
                <w:rFonts w:asciiTheme="minorHAnsi" w:hAnsiTheme="minorHAnsi" w:cstheme="minorHAnsi"/>
                <w:color w:val="000000"/>
                <w:sz w:val="18"/>
                <w:szCs w:val="18"/>
              </w:rPr>
            </w:pPr>
            <w:r w:rsidRPr="003774E1">
              <w:rPr>
                <w:rFonts w:asciiTheme="minorHAnsi" w:hAnsiTheme="minorHAnsi" w:cstheme="minorHAnsi"/>
                <w:color w:val="000000"/>
                <w:sz w:val="18"/>
                <w:szCs w:val="18"/>
              </w:rPr>
              <w:t>We are committed to working with the PBAC towards the reimbursement of Vazkepa to further reduce cardiovascular risk in Australian patients as soon as possible.</w:t>
            </w:r>
            <w:r w:rsidR="00272F1D" w:rsidRPr="00272F1D">
              <w:rPr>
                <w:rFonts w:asciiTheme="minorHAnsi" w:hAnsiTheme="minorHAnsi" w:cstheme="minorHAnsi"/>
                <w:color w:val="000000"/>
                <w:sz w:val="18"/>
                <w:szCs w:val="18"/>
              </w:rPr>
              <w:t xml:space="preserve"> </w:t>
            </w:r>
          </w:p>
        </w:tc>
      </w:tr>
      <w:tr w:rsidR="007A42DA" w:rsidRPr="008059F4" w14:paraId="741E255E" w14:textId="77777777" w:rsidTr="003774E1">
        <w:trPr>
          <w:cantSplit/>
          <w:trHeight w:val="2948"/>
          <w:jc w:val="center"/>
        </w:trPr>
        <w:tc>
          <w:tcPr>
            <w:tcW w:w="3013" w:type="dxa"/>
            <w:shd w:val="clear" w:color="auto" w:fill="BFBFBF" w:themeFill="background1" w:themeFillShade="BF"/>
            <w:tcMar>
              <w:top w:w="28" w:type="dxa"/>
              <w:bottom w:w="28" w:type="dxa"/>
            </w:tcMar>
            <w:vAlign w:val="center"/>
          </w:tcPr>
          <w:p w14:paraId="0082B57B" w14:textId="77777777" w:rsidR="007A42DA" w:rsidRPr="007A42DA" w:rsidRDefault="007A42DA" w:rsidP="00BB57B7">
            <w:pPr>
              <w:jc w:val="center"/>
              <w:rPr>
                <w:rFonts w:asciiTheme="minorHAnsi" w:hAnsiTheme="minorHAnsi" w:cstheme="minorHAnsi"/>
                <w:color w:val="000000"/>
                <w:sz w:val="18"/>
                <w:szCs w:val="18"/>
              </w:rPr>
            </w:pPr>
            <w:r w:rsidRPr="007A42DA">
              <w:rPr>
                <w:rFonts w:asciiTheme="minorHAnsi" w:hAnsiTheme="minorHAnsi" w:cstheme="minorHAnsi"/>
                <w:color w:val="000000"/>
                <w:sz w:val="18"/>
                <w:szCs w:val="18"/>
              </w:rPr>
              <w:lastRenderedPageBreak/>
              <w:t>IMATINIB, DASATINIB, NILOTINIB, PONATINIB, ASCIMINIB</w:t>
            </w:r>
          </w:p>
          <w:p w14:paraId="3178E449" w14:textId="77777777" w:rsidR="007A42DA" w:rsidRPr="007A42DA" w:rsidRDefault="007A42DA" w:rsidP="00BB57B7">
            <w:pPr>
              <w:jc w:val="center"/>
              <w:rPr>
                <w:rFonts w:asciiTheme="minorHAnsi" w:hAnsiTheme="minorHAnsi" w:cstheme="minorHAnsi"/>
                <w:color w:val="000000"/>
                <w:sz w:val="18"/>
                <w:szCs w:val="18"/>
              </w:rPr>
            </w:pPr>
          </w:p>
          <w:p w14:paraId="05DA8BA2" w14:textId="77777777" w:rsidR="007A42DA" w:rsidRPr="007A42DA" w:rsidRDefault="007A42DA" w:rsidP="00BB57B7">
            <w:pPr>
              <w:jc w:val="center"/>
              <w:rPr>
                <w:rFonts w:asciiTheme="minorHAnsi" w:hAnsiTheme="minorHAnsi" w:cstheme="minorHAnsi"/>
                <w:color w:val="000000"/>
                <w:sz w:val="18"/>
                <w:szCs w:val="18"/>
              </w:rPr>
            </w:pPr>
            <w:r w:rsidRPr="007A42DA">
              <w:rPr>
                <w:rFonts w:asciiTheme="minorHAnsi" w:hAnsiTheme="minorHAnsi" w:cstheme="minorHAnsi"/>
                <w:color w:val="000000"/>
                <w:sz w:val="18"/>
                <w:szCs w:val="18"/>
              </w:rPr>
              <w:t>All brands and strengths</w:t>
            </w:r>
          </w:p>
          <w:p w14:paraId="2C2B6CEE" w14:textId="77777777" w:rsidR="007A42DA" w:rsidRPr="007A42DA" w:rsidRDefault="007A42DA" w:rsidP="00BB57B7">
            <w:pPr>
              <w:jc w:val="center"/>
              <w:rPr>
                <w:rFonts w:asciiTheme="minorHAnsi" w:hAnsiTheme="minorHAnsi" w:cstheme="minorHAnsi"/>
                <w:color w:val="000000"/>
                <w:sz w:val="18"/>
                <w:szCs w:val="18"/>
              </w:rPr>
            </w:pPr>
          </w:p>
          <w:p w14:paraId="18FEA298" w14:textId="77777777" w:rsidR="007A42DA" w:rsidRPr="007A42DA" w:rsidRDefault="007A42DA" w:rsidP="00BB57B7">
            <w:pPr>
              <w:jc w:val="center"/>
              <w:rPr>
                <w:rFonts w:asciiTheme="minorHAnsi" w:hAnsiTheme="minorHAnsi" w:cstheme="minorHAnsi"/>
                <w:color w:val="000000"/>
                <w:sz w:val="18"/>
                <w:szCs w:val="18"/>
              </w:rPr>
            </w:pPr>
            <w:r w:rsidRPr="007A42DA">
              <w:rPr>
                <w:rFonts w:asciiTheme="minorHAnsi" w:hAnsiTheme="minorHAnsi" w:cstheme="minorHAnsi"/>
                <w:color w:val="000000"/>
                <w:sz w:val="18"/>
                <w:szCs w:val="18"/>
              </w:rPr>
              <w:t>Various sponsors</w:t>
            </w:r>
          </w:p>
          <w:p w14:paraId="7BB05EEB" w14:textId="77777777" w:rsidR="007A42DA" w:rsidRPr="007A42DA" w:rsidRDefault="007A42DA" w:rsidP="00BB57B7">
            <w:pPr>
              <w:jc w:val="center"/>
              <w:rPr>
                <w:rFonts w:asciiTheme="minorHAnsi" w:hAnsiTheme="minorHAnsi" w:cstheme="minorHAnsi"/>
                <w:color w:val="000000"/>
                <w:sz w:val="18"/>
                <w:szCs w:val="18"/>
              </w:rPr>
            </w:pPr>
          </w:p>
          <w:p w14:paraId="69AB0DCD" w14:textId="3BF4DF6A" w:rsidR="007A42DA" w:rsidRPr="007A42DA" w:rsidRDefault="007A42DA" w:rsidP="00BB57B7">
            <w:pPr>
              <w:keepLines/>
              <w:jc w:val="center"/>
              <w:rPr>
                <w:rFonts w:asciiTheme="minorHAnsi" w:hAnsiTheme="minorHAnsi" w:cstheme="minorHAnsi"/>
                <w:color w:val="000000"/>
                <w:sz w:val="18"/>
                <w:szCs w:val="18"/>
              </w:rPr>
            </w:pPr>
            <w:r w:rsidRPr="007A42DA">
              <w:rPr>
                <w:rFonts w:asciiTheme="minorHAnsi" w:hAnsiTheme="minorHAnsi" w:cstheme="minorHAnsi"/>
                <w:color w:val="000000"/>
                <w:sz w:val="18"/>
                <w:szCs w:val="18"/>
              </w:rPr>
              <w:t>(Other matters)</w:t>
            </w:r>
          </w:p>
        </w:tc>
        <w:tc>
          <w:tcPr>
            <w:tcW w:w="2764" w:type="dxa"/>
            <w:shd w:val="clear" w:color="auto" w:fill="BFBFBF" w:themeFill="background1" w:themeFillShade="BF"/>
            <w:vAlign w:val="center"/>
          </w:tcPr>
          <w:p w14:paraId="623D6C47" w14:textId="1927ECD2" w:rsidR="007A42DA" w:rsidRPr="007A42DA" w:rsidRDefault="007A42DA" w:rsidP="00BB57B7">
            <w:pPr>
              <w:keepLines/>
              <w:widowControl w:val="0"/>
              <w:jc w:val="center"/>
              <w:rPr>
                <w:rFonts w:asciiTheme="minorHAnsi" w:hAnsiTheme="minorHAnsi" w:cstheme="minorHAnsi"/>
                <w:color w:val="000000"/>
                <w:sz w:val="18"/>
                <w:szCs w:val="18"/>
              </w:rPr>
            </w:pPr>
            <w:r w:rsidRPr="007A42DA">
              <w:rPr>
                <w:rFonts w:asciiTheme="minorHAnsi" w:hAnsiTheme="minorHAnsi" w:cstheme="minorHAnsi"/>
                <w:color w:val="000000"/>
                <w:sz w:val="18"/>
                <w:szCs w:val="18"/>
              </w:rPr>
              <w:t>Chronic myeloid leukaemia (CML)</w:t>
            </w:r>
          </w:p>
        </w:tc>
        <w:tc>
          <w:tcPr>
            <w:tcW w:w="2978" w:type="dxa"/>
            <w:shd w:val="clear" w:color="auto" w:fill="BFBFBF" w:themeFill="background1" w:themeFillShade="BF"/>
            <w:tcMar>
              <w:top w:w="28" w:type="dxa"/>
              <w:bottom w:w="28" w:type="dxa"/>
            </w:tcMar>
            <w:vAlign w:val="center"/>
          </w:tcPr>
          <w:p w14:paraId="696FD4D4" w14:textId="751215D7" w:rsidR="007A42DA" w:rsidRPr="007A42DA" w:rsidRDefault="007A42DA" w:rsidP="00BB57B7">
            <w:pPr>
              <w:pStyle w:val="ListParagraph"/>
              <w:keepLines/>
              <w:ind w:left="0"/>
              <w:jc w:val="center"/>
              <w:rPr>
                <w:rFonts w:asciiTheme="minorHAnsi" w:hAnsiTheme="minorHAnsi" w:cstheme="minorHAnsi"/>
                <w:color w:val="000000"/>
                <w:sz w:val="18"/>
                <w:szCs w:val="18"/>
              </w:rPr>
            </w:pPr>
            <w:r w:rsidRPr="007A42DA">
              <w:rPr>
                <w:rFonts w:asciiTheme="minorHAnsi" w:hAnsiTheme="minorHAnsi" w:cstheme="minorHAnsi"/>
                <w:color w:val="000000"/>
                <w:sz w:val="18"/>
                <w:szCs w:val="18"/>
              </w:rPr>
              <w:t>For the PBAC to consider updating the restriction wording for tyrosine kinase inhibitors in CML.</w:t>
            </w:r>
          </w:p>
        </w:tc>
        <w:tc>
          <w:tcPr>
            <w:tcW w:w="1800" w:type="dxa"/>
            <w:shd w:val="clear" w:color="auto" w:fill="BFBFBF" w:themeFill="background1" w:themeFillShade="BF"/>
            <w:vAlign w:val="center"/>
          </w:tcPr>
          <w:p w14:paraId="0244BE95" w14:textId="4B37BBE6" w:rsidR="007A42DA" w:rsidRPr="007A42DA" w:rsidRDefault="007A42DA" w:rsidP="00BB57B7">
            <w:pPr>
              <w:pStyle w:val="ListParagraph"/>
              <w:keepLines/>
              <w:ind w:left="0"/>
              <w:jc w:val="center"/>
              <w:rPr>
                <w:rFonts w:asciiTheme="minorHAnsi" w:hAnsiTheme="minorHAnsi" w:cstheme="minorHAnsi"/>
                <w:color w:val="000000"/>
                <w:sz w:val="18"/>
                <w:szCs w:val="18"/>
              </w:rPr>
            </w:pPr>
            <w:r w:rsidRPr="007A42DA">
              <w:rPr>
                <w:rFonts w:asciiTheme="minorHAnsi" w:hAnsiTheme="minorHAnsi" w:cstheme="minorHAnsi"/>
                <w:color w:val="000000"/>
                <w:sz w:val="18"/>
                <w:szCs w:val="18"/>
              </w:rPr>
              <w:t>Not Applicable</w:t>
            </w:r>
          </w:p>
        </w:tc>
        <w:tc>
          <w:tcPr>
            <w:tcW w:w="4833" w:type="dxa"/>
            <w:shd w:val="clear" w:color="auto" w:fill="BFBFBF" w:themeFill="background1" w:themeFillShade="BF"/>
            <w:vAlign w:val="center"/>
          </w:tcPr>
          <w:p w14:paraId="22500D62" w14:textId="07D7A5C5" w:rsidR="007A42DA" w:rsidRPr="007A42DA" w:rsidRDefault="007A42DA" w:rsidP="00BB57B7">
            <w:pPr>
              <w:rPr>
                <w:rFonts w:asciiTheme="minorHAnsi" w:hAnsiTheme="minorHAnsi" w:cstheme="minorHAnsi"/>
                <w:color w:val="000000"/>
                <w:sz w:val="18"/>
                <w:szCs w:val="18"/>
              </w:rPr>
            </w:pPr>
            <w:r w:rsidRPr="007A42DA">
              <w:rPr>
                <w:rFonts w:asciiTheme="minorHAnsi" w:hAnsiTheme="minorHAnsi" w:cstheme="minorHAnsi"/>
                <w:color w:val="000000"/>
                <w:sz w:val="18"/>
                <w:szCs w:val="18"/>
              </w:rPr>
              <w:t>To be considered at a future PBAC meeting</w:t>
            </w:r>
          </w:p>
        </w:tc>
      </w:tr>
      <w:tr w:rsidR="008059F4" w:rsidRPr="008059F4" w14:paraId="67CC7194" w14:textId="77777777" w:rsidTr="003774E1">
        <w:trPr>
          <w:cantSplit/>
          <w:trHeight w:val="2948"/>
          <w:jc w:val="center"/>
        </w:trPr>
        <w:tc>
          <w:tcPr>
            <w:tcW w:w="3013" w:type="dxa"/>
            <w:shd w:val="clear" w:color="auto" w:fill="auto"/>
            <w:tcMar>
              <w:top w:w="28" w:type="dxa"/>
              <w:bottom w:w="28" w:type="dxa"/>
            </w:tcMar>
            <w:vAlign w:val="center"/>
          </w:tcPr>
          <w:p w14:paraId="41937E3D" w14:textId="2C3733C8" w:rsidR="00E27441" w:rsidRPr="00E27441" w:rsidRDefault="008059F4" w:rsidP="00E27441">
            <w:pPr>
              <w:keepLines/>
              <w:jc w:val="center"/>
              <w:rPr>
                <w:rFonts w:asciiTheme="minorHAnsi" w:hAnsiTheme="minorHAnsi" w:cstheme="minorHAnsi"/>
                <w:color w:val="000000"/>
                <w:sz w:val="18"/>
                <w:szCs w:val="18"/>
              </w:rPr>
            </w:pPr>
            <w:bookmarkStart w:id="4" w:name="_Hlk153369578"/>
            <w:r w:rsidRPr="008059F4">
              <w:rPr>
                <w:rFonts w:asciiTheme="minorHAnsi" w:hAnsiTheme="minorHAnsi" w:cstheme="minorHAnsi"/>
                <w:color w:val="000000"/>
                <w:sz w:val="18"/>
                <w:szCs w:val="18"/>
              </w:rPr>
              <w:lastRenderedPageBreak/>
              <w:t>IVACAFTOR</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r>
            <w:r w:rsidR="00E27441" w:rsidRPr="00E27441">
              <w:rPr>
                <w:rFonts w:asciiTheme="minorHAnsi" w:hAnsiTheme="minorHAnsi" w:cstheme="minorHAnsi"/>
                <w:color w:val="000000"/>
                <w:sz w:val="18"/>
                <w:szCs w:val="18"/>
              </w:rPr>
              <w:t>Sachet containing granules 25</w:t>
            </w:r>
            <w:r w:rsidR="00C67D16">
              <w:rPr>
                <w:rFonts w:asciiTheme="minorHAnsi" w:hAnsiTheme="minorHAnsi" w:cstheme="minorHAnsi"/>
                <w:color w:val="000000"/>
                <w:sz w:val="18"/>
                <w:szCs w:val="18"/>
              </w:rPr>
              <w:t> mg</w:t>
            </w:r>
          </w:p>
          <w:p w14:paraId="525ECC77" w14:textId="1A93B3DB" w:rsidR="00E27441" w:rsidRPr="00E27441" w:rsidRDefault="00E27441" w:rsidP="00E27441">
            <w:pPr>
              <w:keepLines/>
              <w:jc w:val="center"/>
              <w:rPr>
                <w:rFonts w:asciiTheme="minorHAnsi" w:hAnsiTheme="minorHAnsi" w:cstheme="minorHAnsi"/>
                <w:color w:val="000000"/>
                <w:sz w:val="18"/>
                <w:szCs w:val="18"/>
              </w:rPr>
            </w:pPr>
            <w:r w:rsidRPr="00E27441">
              <w:rPr>
                <w:rFonts w:asciiTheme="minorHAnsi" w:hAnsiTheme="minorHAnsi" w:cstheme="minorHAnsi"/>
                <w:color w:val="000000"/>
                <w:sz w:val="18"/>
                <w:szCs w:val="18"/>
              </w:rPr>
              <w:t>Sachet containing granules 50</w:t>
            </w:r>
            <w:r w:rsidR="00C67D16">
              <w:rPr>
                <w:rFonts w:asciiTheme="minorHAnsi" w:hAnsiTheme="minorHAnsi" w:cstheme="minorHAnsi"/>
                <w:color w:val="000000"/>
                <w:sz w:val="18"/>
                <w:szCs w:val="18"/>
              </w:rPr>
              <w:t> mg</w:t>
            </w:r>
          </w:p>
          <w:p w14:paraId="7D732C8F" w14:textId="40117C85" w:rsidR="008059F4" w:rsidRPr="008059F4" w:rsidRDefault="00E27441" w:rsidP="00E27441">
            <w:pPr>
              <w:keepLines/>
              <w:jc w:val="center"/>
              <w:rPr>
                <w:rFonts w:asciiTheme="minorHAnsi" w:hAnsiTheme="minorHAnsi" w:cstheme="minorHAnsi"/>
                <w:color w:val="000000"/>
                <w:sz w:val="18"/>
                <w:szCs w:val="18"/>
              </w:rPr>
            </w:pPr>
            <w:r w:rsidRPr="00E27441">
              <w:rPr>
                <w:rFonts w:asciiTheme="minorHAnsi" w:hAnsiTheme="minorHAnsi" w:cstheme="minorHAnsi"/>
                <w:color w:val="000000"/>
                <w:sz w:val="18"/>
                <w:szCs w:val="18"/>
              </w:rPr>
              <w:t>Sachet containing granules 75</w:t>
            </w:r>
            <w:r w:rsidR="00C67D16">
              <w:rPr>
                <w:rFonts w:asciiTheme="minorHAnsi" w:hAnsiTheme="minorHAnsi" w:cstheme="minorHAnsi"/>
                <w:color w:val="000000"/>
                <w:sz w:val="18"/>
                <w:szCs w:val="18"/>
              </w:rPr>
              <w:t> mg</w:t>
            </w:r>
            <w:r w:rsidR="008059F4" w:rsidRPr="008059F4">
              <w:rPr>
                <w:rFonts w:asciiTheme="minorHAnsi" w:hAnsiTheme="minorHAnsi" w:cstheme="minorHAnsi"/>
                <w:color w:val="000000"/>
                <w:sz w:val="18"/>
                <w:szCs w:val="18"/>
              </w:rPr>
              <w:br/>
              <w:t>Tablet 150</w:t>
            </w:r>
            <w:r w:rsidR="00C67D16">
              <w:rPr>
                <w:rFonts w:asciiTheme="minorHAnsi" w:hAnsiTheme="minorHAnsi" w:cstheme="minorHAnsi"/>
                <w:color w:val="000000"/>
                <w:sz w:val="18"/>
                <w:szCs w:val="18"/>
              </w:rPr>
              <w:t> mg</w:t>
            </w:r>
            <w:r w:rsidR="008059F4" w:rsidRPr="008059F4">
              <w:rPr>
                <w:rFonts w:asciiTheme="minorHAnsi" w:hAnsiTheme="minorHAnsi" w:cstheme="minorHAnsi"/>
                <w:color w:val="000000"/>
                <w:sz w:val="18"/>
                <w:szCs w:val="18"/>
              </w:rPr>
              <w:br/>
            </w:r>
            <w:r w:rsidR="008059F4" w:rsidRPr="008059F4">
              <w:rPr>
                <w:rFonts w:asciiTheme="minorHAnsi" w:hAnsiTheme="minorHAnsi" w:cstheme="minorHAnsi"/>
                <w:color w:val="000000"/>
                <w:sz w:val="18"/>
                <w:szCs w:val="18"/>
              </w:rPr>
              <w:br/>
              <w:t>Kalydeco®</w:t>
            </w:r>
            <w:r w:rsidR="008059F4" w:rsidRPr="008059F4">
              <w:rPr>
                <w:rFonts w:asciiTheme="minorHAnsi" w:hAnsiTheme="minorHAnsi" w:cstheme="minorHAnsi"/>
                <w:color w:val="000000"/>
                <w:sz w:val="18"/>
                <w:szCs w:val="18"/>
              </w:rPr>
              <w:br/>
            </w:r>
            <w:r w:rsidR="008059F4" w:rsidRPr="008059F4">
              <w:rPr>
                <w:rFonts w:asciiTheme="minorHAnsi" w:hAnsiTheme="minorHAnsi" w:cstheme="minorHAnsi"/>
                <w:color w:val="000000"/>
                <w:sz w:val="18"/>
                <w:szCs w:val="18"/>
              </w:rPr>
              <w:br/>
              <w:t>VERTEX PHARMACEUTICALS (AUSTRALIA) PTY. LTD.</w:t>
            </w:r>
            <w:r w:rsidR="008059F4" w:rsidRPr="008059F4">
              <w:rPr>
                <w:rFonts w:asciiTheme="minorHAnsi" w:hAnsiTheme="minorHAnsi" w:cstheme="minorHAnsi"/>
                <w:color w:val="000000"/>
                <w:sz w:val="18"/>
                <w:szCs w:val="18"/>
              </w:rPr>
              <w:br/>
            </w:r>
            <w:r w:rsidR="008059F4" w:rsidRPr="008059F4">
              <w:rPr>
                <w:rFonts w:asciiTheme="minorHAnsi" w:hAnsiTheme="minorHAnsi" w:cstheme="minorHAnsi"/>
                <w:color w:val="000000"/>
                <w:sz w:val="18"/>
                <w:szCs w:val="18"/>
              </w:rPr>
              <w:br/>
              <w:t>Category 2</w:t>
            </w:r>
            <w:r w:rsidR="008059F4" w:rsidRPr="008059F4">
              <w:rPr>
                <w:rFonts w:asciiTheme="minorHAnsi" w:hAnsiTheme="minorHAnsi" w:cstheme="minorHAnsi"/>
                <w:color w:val="000000"/>
                <w:sz w:val="18"/>
                <w:szCs w:val="18"/>
              </w:rPr>
              <w:br/>
              <w:t>(New listing)</w:t>
            </w:r>
          </w:p>
        </w:tc>
        <w:tc>
          <w:tcPr>
            <w:tcW w:w="2764" w:type="dxa"/>
            <w:shd w:val="clear" w:color="auto" w:fill="auto"/>
            <w:vAlign w:val="center"/>
          </w:tcPr>
          <w:p w14:paraId="46816C06" w14:textId="649AEE8E" w:rsidR="008059F4" w:rsidRPr="008059F4" w:rsidRDefault="008059F4" w:rsidP="00BB57B7">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 xml:space="preserve">Cystic fibrosis (CF) with the </w:t>
            </w:r>
            <w:r w:rsidRPr="00FB47E8">
              <w:rPr>
                <w:rFonts w:asciiTheme="minorHAnsi" w:hAnsiTheme="minorHAnsi" w:cstheme="minorHAnsi"/>
                <w:color w:val="000000"/>
                <w:sz w:val="18"/>
                <w:szCs w:val="18"/>
              </w:rPr>
              <w:t xml:space="preserve">CF transmembrane conductance regulator </w:t>
            </w:r>
            <w:r w:rsidRPr="009B3BC3">
              <w:rPr>
                <w:rFonts w:asciiTheme="minorHAnsi" w:hAnsiTheme="minorHAnsi" w:cstheme="minorHAnsi"/>
                <w:i/>
                <w:iCs/>
                <w:color w:val="000000"/>
                <w:sz w:val="18"/>
                <w:szCs w:val="18"/>
              </w:rPr>
              <w:t>(CFTR)</w:t>
            </w:r>
            <w:r w:rsidRPr="008059F4">
              <w:rPr>
                <w:rFonts w:asciiTheme="minorHAnsi" w:hAnsiTheme="minorHAnsi" w:cstheme="minorHAnsi"/>
                <w:color w:val="000000"/>
                <w:sz w:val="18"/>
                <w:szCs w:val="18"/>
              </w:rPr>
              <w:t xml:space="preserve"> gene mutation</w:t>
            </w:r>
          </w:p>
        </w:tc>
        <w:tc>
          <w:tcPr>
            <w:tcW w:w="2978" w:type="dxa"/>
            <w:shd w:val="clear" w:color="auto" w:fill="auto"/>
            <w:tcMar>
              <w:top w:w="28" w:type="dxa"/>
              <w:bottom w:w="28" w:type="dxa"/>
            </w:tcMar>
            <w:vAlign w:val="center"/>
          </w:tcPr>
          <w:p w14:paraId="6E1A089B" w14:textId="26BEA8F6" w:rsidR="008059F4" w:rsidRPr="008059F4" w:rsidRDefault="008059F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 xml:space="preserve">To request a Section 100 (Highly Specialised Drugs Program) Authority Required (Written) listing for the treatment of (i) CF patients aged 4 to 12 months with a gating (Class III) </w:t>
            </w:r>
            <w:r w:rsidRPr="009B3BC3">
              <w:rPr>
                <w:rFonts w:asciiTheme="minorHAnsi" w:hAnsiTheme="minorHAnsi" w:cstheme="minorHAnsi"/>
                <w:i/>
                <w:iCs/>
                <w:color w:val="000000"/>
                <w:sz w:val="18"/>
                <w:szCs w:val="18"/>
              </w:rPr>
              <w:t>CFTR</w:t>
            </w:r>
            <w:r w:rsidRPr="008059F4">
              <w:rPr>
                <w:rFonts w:asciiTheme="minorHAnsi" w:hAnsiTheme="minorHAnsi" w:cstheme="minorHAnsi"/>
                <w:color w:val="000000"/>
                <w:sz w:val="18"/>
                <w:szCs w:val="18"/>
              </w:rPr>
              <w:t xml:space="preserve"> gene mutation; (ii) CF patients aged 4 months or older with at least one </w:t>
            </w:r>
            <w:r w:rsidRPr="009B3BC3">
              <w:rPr>
                <w:rFonts w:asciiTheme="minorHAnsi" w:hAnsiTheme="minorHAnsi" w:cstheme="minorHAnsi"/>
                <w:i/>
                <w:iCs/>
                <w:color w:val="000000"/>
                <w:sz w:val="18"/>
                <w:szCs w:val="18"/>
              </w:rPr>
              <w:t>CFTR</w:t>
            </w:r>
            <w:r w:rsidRPr="008059F4">
              <w:rPr>
                <w:rFonts w:asciiTheme="minorHAnsi" w:hAnsiTheme="minorHAnsi" w:cstheme="minorHAnsi"/>
                <w:color w:val="000000"/>
                <w:sz w:val="18"/>
                <w:szCs w:val="18"/>
              </w:rPr>
              <w:t xml:space="preserve"> gene mutation shown to be responsive to ivacaftor potentiation.</w:t>
            </w:r>
          </w:p>
        </w:tc>
        <w:tc>
          <w:tcPr>
            <w:tcW w:w="1800" w:type="dxa"/>
            <w:shd w:val="clear" w:color="auto" w:fill="auto"/>
            <w:vAlign w:val="center"/>
          </w:tcPr>
          <w:p w14:paraId="77C907C2" w14:textId="7B64A401" w:rsidR="008059F4" w:rsidRPr="008059F4" w:rsidRDefault="008059F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Recommended</w:t>
            </w:r>
          </w:p>
        </w:tc>
        <w:tc>
          <w:tcPr>
            <w:tcW w:w="4833" w:type="dxa"/>
            <w:shd w:val="clear" w:color="auto" w:fill="auto"/>
            <w:vAlign w:val="center"/>
          </w:tcPr>
          <w:p w14:paraId="763B9B94" w14:textId="31B599FA" w:rsidR="008059F4" w:rsidRPr="008059F4" w:rsidRDefault="008059F4" w:rsidP="009B3BC3">
            <w:pPr>
              <w:jc w:val="both"/>
              <w:rPr>
                <w:rFonts w:asciiTheme="minorHAnsi" w:hAnsiTheme="minorHAnsi" w:cstheme="minorHAnsi"/>
                <w:color w:val="000000"/>
                <w:sz w:val="18"/>
                <w:szCs w:val="18"/>
              </w:rPr>
            </w:pPr>
            <w:r w:rsidRPr="008059F4">
              <w:rPr>
                <w:rFonts w:asciiTheme="minorHAnsi" w:hAnsiTheme="minorHAnsi" w:cstheme="minorHAnsi"/>
                <w:color w:val="000000"/>
                <w:sz w:val="18"/>
                <w:szCs w:val="18"/>
              </w:rPr>
              <w:t xml:space="preserve">The PBAC recommended that the listing for ivacaftor granules and tablets be extended to include the treatment of CF in patients aged 4 months and older who have at least one mutation in the </w:t>
            </w:r>
            <w:r w:rsidRPr="009B3BC3">
              <w:rPr>
                <w:rFonts w:asciiTheme="minorHAnsi" w:hAnsiTheme="minorHAnsi" w:cstheme="minorHAnsi"/>
                <w:i/>
                <w:iCs/>
                <w:color w:val="000000"/>
                <w:sz w:val="18"/>
                <w:szCs w:val="18"/>
              </w:rPr>
              <w:t>CFTR</w:t>
            </w:r>
            <w:r w:rsidR="00FC4018">
              <w:rPr>
                <w:rFonts w:asciiTheme="minorHAnsi" w:hAnsiTheme="minorHAnsi" w:cstheme="minorHAnsi"/>
                <w:color w:val="000000"/>
                <w:sz w:val="18"/>
                <w:szCs w:val="18"/>
              </w:rPr>
              <w:t xml:space="preserve"> gene</w:t>
            </w:r>
            <w:r w:rsidRPr="008059F4">
              <w:rPr>
                <w:rFonts w:asciiTheme="minorHAnsi" w:hAnsiTheme="minorHAnsi" w:cstheme="minorHAnsi"/>
                <w:color w:val="000000"/>
                <w:sz w:val="18"/>
                <w:szCs w:val="18"/>
              </w:rPr>
              <w:t xml:space="preserve"> that is responsive to ivacaftor based on clinical and/or in vitro assay data. The PBAC also recommended that an additional strength of granules (ivacaftor 25</w:t>
            </w:r>
            <w:r w:rsidR="00C67D16">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should be available under Section 100 (Highly Specialised Drugs Program) for use in this population. The PBAC noted that, overall, the evidence supporting the clinical claim in the submission was limited but acknowledged the difficulties in obtaining efficacy data in this population. </w:t>
            </w:r>
            <w:r w:rsidR="009067E1" w:rsidRPr="00476822">
              <w:rPr>
                <w:rFonts w:asciiTheme="minorHAnsi" w:hAnsiTheme="minorHAnsi" w:cstheme="minorHAnsi"/>
                <w:color w:val="000000"/>
                <w:sz w:val="18"/>
                <w:szCs w:val="18"/>
              </w:rPr>
              <w:t>The PBAC considered ivacaftor was likely to be cost effective at the requested price for 3% of the additional population, noting these patients would be eligible to commence treatment with ivacaftor at 12</w:t>
            </w:r>
            <w:r w:rsidR="00130D30">
              <w:rPr>
                <w:rFonts w:asciiTheme="minorHAnsi" w:hAnsiTheme="minorHAnsi" w:cstheme="minorHAnsi"/>
                <w:color w:val="000000"/>
                <w:sz w:val="18"/>
                <w:szCs w:val="18"/>
              </w:rPr>
              <w:t> </w:t>
            </w:r>
            <w:r w:rsidR="009067E1" w:rsidRPr="00476822">
              <w:rPr>
                <w:rFonts w:asciiTheme="minorHAnsi" w:hAnsiTheme="minorHAnsi" w:cstheme="minorHAnsi"/>
                <w:color w:val="000000"/>
                <w:sz w:val="18"/>
                <w:szCs w:val="18"/>
              </w:rPr>
              <w:t>months of age. For the remaining additional population, t</w:t>
            </w:r>
            <w:r w:rsidRPr="008059F4">
              <w:rPr>
                <w:rFonts w:asciiTheme="minorHAnsi" w:hAnsiTheme="minorHAnsi" w:cstheme="minorHAnsi"/>
                <w:color w:val="000000"/>
                <w:sz w:val="18"/>
                <w:szCs w:val="18"/>
              </w:rPr>
              <w:t>he PBAC considered it was unlikely ivacaftor would be cost</w:t>
            </w:r>
            <w:r w:rsidR="00EA13BF">
              <w:rPr>
                <w:rFonts w:asciiTheme="minorHAnsi" w:hAnsiTheme="minorHAnsi" w:cstheme="minorHAnsi"/>
                <w:color w:val="000000"/>
                <w:sz w:val="18"/>
                <w:szCs w:val="18"/>
              </w:rPr>
              <w:t>-</w:t>
            </w:r>
            <w:r w:rsidRPr="008059F4">
              <w:rPr>
                <w:rFonts w:asciiTheme="minorHAnsi" w:hAnsiTheme="minorHAnsi" w:cstheme="minorHAnsi"/>
                <w:color w:val="000000"/>
                <w:sz w:val="18"/>
                <w:szCs w:val="18"/>
              </w:rPr>
              <w:t xml:space="preserve">effective at the requested price, given its cost per patient per year was substantially higher than the current </w:t>
            </w:r>
            <w:r w:rsidRPr="00BE1789">
              <w:rPr>
                <w:rFonts w:asciiTheme="minorHAnsi" w:hAnsiTheme="minorHAnsi" w:cstheme="minorHAnsi"/>
                <w:color w:val="000000"/>
                <w:sz w:val="18"/>
                <w:szCs w:val="18"/>
              </w:rPr>
              <w:t>CFTR</w:t>
            </w:r>
            <w:r w:rsidRPr="008059F4">
              <w:rPr>
                <w:rFonts w:asciiTheme="minorHAnsi" w:hAnsiTheme="minorHAnsi" w:cstheme="minorHAnsi"/>
                <w:color w:val="000000"/>
                <w:sz w:val="18"/>
                <w:szCs w:val="18"/>
              </w:rPr>
              <w:t xml:space="preserve"> modulators and that most patients will transition to a </w:t>
            </w:r>
            <w:r w:rsidRPr="00BE1789">
              <w:rPr>
                <w:rFonts w:asciiTheme="minorHAnsi" w:hAnsiTheme="minorHAnsi" w:cstheme="minorHAnsi"/>
                <w:color w:val="000000"/>
                <w:sz w:val="18"/>
                <w:szCs w:val="18"/>
              </w:rPr>
              <w:t>CFTR</w:t>
            </w:r>
            <w:r w:rsidRPr="008059F4">
              <w:rPr>
                <w:rFonts w:asciiTheme="minorHAnsi" w:hAnsiTheme="minorHAnsi" w:cstheme="minorHAnsi"/>
                <w:color w:val="000000"/>
                <w:sz w:val="18"/>
                <w:szCs w:val="18"/>
              </w:rPr>
              <w:t xml:space="preserve"> modulator at an older age. However, ivacaftor was likely to be cost</w:t>
            </w:r>
            <w:r w:rsidR="00EA13BF">
              <w:rPr>
                <w:rFonts w:asciiTheme="minorHAnsi" w:hAnsiTheme="minorHAnsi" w:cstheme="minorHAnsi"/>
                <w:color w:val="000000"/>
                <w:sz w:val="18"/>
                <w:szCs w:val="18"/>
              </w:rPr>
              <w:t>-</w:t>
            </w:r>
            <w:r w:rsidRPr="008059F4">
              <w:rPr>
                <w:rFonts w:asciiTheme="minorHAnsi" w:hAnsiTheme="minorHAnsi" w:cstheme="minorHAnsi"/>
                <w:color w:val="000000"/>
                <w:sz w:val="18"/>
                <w:szCs w:val="18"/>
              </w:rPr>
              <w:t>effective if it was priced no higher than elexacaftor/tezacaftor/ivacaftor (Trikafta</w:t>
            </w:r>
            <w:r w:rsidR="00FC4018" w:rsidRPr="008059F4">
              <w:rPr>
                <w:rFonts w:asciiTheme="minorHAnsi" w:hAnsiTheme="minorHAnsi" w:cstheme="minorHAnsi"/>
                <w:color w:val="000000"/>
                <w:sz w:val="18"/>
                <w:szCs w:val="18"/>
              </w:rPr>
              <w:t>®</w:t>
            </w:r>
            <w:r w:rsidRPr="008059F4">
              <w:rPr>
                <w:rFonts w:asciiTheme="minorHAnsi" w:hAnsiTheme="minorHAnsi" w:cstheme="minorHAnsi"/>
                <w:color w:val="000000"/>
                <w:sz w:val="18"/>
                <w:szCs w:val="18"/>
              </w:rPr>
              <w:t xml:space="preserve">) for the population who would transition to another </w:t>
            </w:r>
            <w:r w:rsidRPr="00BE1789">
              <w:rPr>
                <w:rFonts w:asciiTheme="minorHAnsi" w:hAnsiTheme="minorHAnsi" w:cstheme="minorHAnsi"/>
                <w:color w:val="000000"/>
                <w:sz w:val="18"/>
                <w:szCs w:val="18"/>
              </w:rPr>
              <w:t>CFTR</w:t>
            </w:r>
            <w:r w:rsidRPr="008059F4">
              <w:rPr>
                <w:rFonts w:asciiTheme="minorHAnsi" w:hAnsiTheme="minorHAnsi" w:cstheme="minorHAnsi"/>
                <w:color w:val="000000"/>
                <w:sz w:val="18"/>
                <w:szCs w:val="18"/>
              </w:rPr>
              <w:t xml:space="preserve"> modulator at an older age (52% of the additional population) and for the population for whom there was limited clinical evidence (45% of the additional population).</w:t>
            </w:r>
          </w:p>
        </w:tc>
      </w:tr>
      <w:tr w:rsidR="008059F4" w:rsidRPr="008059F4" w14:paraId="1D94DBFA" w14:textId="77777777" w:rsidTr="003774E1">
        <w:trPr>
          <w:cantSplit/>
          <w:trHeight w:val="1890"/>
          <w:jc w:val="center"/>
        </w:trPr>
        <w:tc>
          <w:tcPr>
            <w:tcW w:w="301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540E7E5" w14:textId="2CAA0546" w:rsidR="008059F4" w:rsidRPr="008059F4" w:rsidRDefault="008059F4" w:rsidP="00BB57B7">
            <w:pPr>
              <w:keepLines/>
              <w:jc w:val="center"/>
              <w:rPr>
                <w:rFonts w:asciiTheme="minorHAnsi" w:hAnsiTheme="minorHAnsi" w:cstheme="minorHAnsi"/>
                <w:color w:val="000000"/>
                <w:sz w:val="18"/>
                <w:szCs w:val="18"/>
              </w:rPr>
            </w:pPr>
            <w:bookmarkStart w:id="5" w:name="_Hlk156917609"/>
            <w:bookmarkEnd w:id="4"/>
            <w:r w:rsidRPr="008059F4">
              <w:rPr>
                <w:rFonts w:asciiTheme="minorHAnsi" w:hAnsiTheme="minorHAnsi" w:cstheme="minorHAnsi"/>
                <w:color w:val="000000"/>
                <w:sz w:val="18"/>
                <w:szCs w:val="18"/>
              </w:rPr>
              <w:lastRenderedPageBreak/>
              <w:t>LENACAPAVIR</w:t>
            </w:r>
            <w:bookmarkEnd w:id="5"/>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r>
            <w:r w:rsidR="00D1797A">
              <w:rPr>
                <w:rFonts w:asciiTheme="minorHAnsi" w:hAnsiTheme="minorHAnsi" w:cstheme="minorHAnsi"/>
                <w:color w:val="000000"/>
                <w:sz w:val="18"/>
                <w:szCs w:val="18"/>
              </w:rPr>
              <w:t>Injection set containing 2 vials lenacapavir sodium solution for injection 463.5 mg in 1.5 mL and 2 disposable syringes</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r>
            <w:bookmarkStart w:id="6" w:name="_Hlk156917628"/>
            <w:r w:rsidRPr="008059F4">
              <w:rPr>
                <w:rFonts w:asciiTheme="minorHAnsi" w:hAnsiTheme="minorHAnsi" w:cstheme="minorHAnsi"/>
                <w:color w:val="000000"/>
                <w:sz w:val="18"/>
                <w:szCs w:val="18"/>
              </w:rPr>
              <w:t>Sunlenca®</w:t>
            </w:r>
            <w:bookmarkEnd w:id="6"/>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GILEAD SCIENCES PTY LIMITED</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Standard re-entry</w:t>
            </w:r>
            <w:r w:rsidRPr="008059F4">
              <w:rPr>
                <w:rFonts w:asciiTheme="minorHAnsi" w:hAnsiTheme="minorHAnsi" w:cstheme="minorHAnsi"/>
                <w:color w:val="000000"/>
                <w:sz w:val="18"/>
                <w:szCs w:val="18"/>
              </w:rPr>
              <w:br/>
              <w:t>(New listing)</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160D0998" w14:textId="5C0285E6" w:rsidR="008059F4" w:rsidRPr="008059F4" w:rsidRDefault="008059F4" w:rsidP="00BB57B7">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Human immunodeficiency virus (HIV)</w:t>
            </w:r>
          </w:p>
        </w:tc>
        <w:tc>
          <w:tcPr>
            <w:tcW w:w="297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D35D80D" w14:textId="449A1012" w:rsidR="008059F4" w:rsidRPr="008059F4" w:rsidRDefault="008059F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To request a Section 100 (Highly Specialised Drugs Program</w:t>
            </w:r>
            <w:r w:rsidR="007E349F">
              <w:rPr>
                <w:rFonts w:asciiTheme="minorHAnsi" w:hAnsiTheme="minorHAnsi" w:cstheme="minorHAnsi"/>
                <w:color w:val="000000"/>
                <w:sz w:val="18"/>
                <w:szCs w:val="18"/>
              </w:rPr>
              <w:t xml:space="preserve"> - </w:t>
            </w:r>
            <w:r w:rsidR="007E349F" w:rsidRPr="008059F4">
              <w:rPr>
                <w:rFonts w:asciiTheme="minorHAnsi" w:hAnsiTheme="minorHAnsi" w:cstheme="minorHAnsi"/>
                <w:color w:val="000000"/>
                <w:sz w:val="18"/>
                <w:szCs w:val="18"/>
              </w:rPr>
              <w:t>Community Access</w:t>
            </w:r>
            <w:r w:rsidRPr="008059F4">
              <w:rPr>
                <w:rFonts w:asciiTheme="minorHAnsi" w:hAnsiTheme="minorHAnsi" w:cstheme="minorHAnsi"/>
                <w:color w:val="000000"/>
                <w:sz w:val="18"/>
                <w:szCs w:val="18"/>
              </w:rPr>
              <w:t>) Authority Required (STREAMLINED) listing for the treatment of multidrug resistant HIV.</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5AE174E" w14:textId="5B6315FA" w:rsidR="008059F4" w:rsidRPr="008059F4" w:rsidRDefault="008059F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Recommended</w:t>
            </w:r>
          </w:p>
        </w:tc>
        <w:tc>
          <w:tcPr>
            <w:tcW w:w="4833" w:type="dxa"/>
            <w:tcBorders>
              <w:top w:val="single" w:sz="4" w:space="0" w:color="auto"/>
              <w:left w:val="single" w:sz="4" w:space="0" w:color="auto"/>
              <w:bottom w:val="single" w:sz="4" w:space="0" w:color="auto"/>
              <w:right w:val="single" w:sz="4" w:space="0" w:color="auto"/>
            </w:tcBorders>
            <w:shd w:val="clear" w:color="auto" w:fill="auto"/>
            <w:vAlign w:val="center"/>
          </w:tcPr>
          <w:p w14:paraId="45F5AA46" w14:textId="77777777" w:rsidR="008059F4" w:rsidRDefault="008059F4" w:rsidP="009B3BC3">
            <w:pPr>
              <w:jc w:val="both"/>
              <w:rPr>
                <w:rFonts w:asciiTheme="minorHAnsi" w:hAnsiTheme="minorHAnsi" w:cstheme="minorHAnsi"/>
                <w:color w:val="000000"/>
                <w:sz w:val="18"/>
                <w:szCs w:val="18"/>
              </w:rPr>
            </w:pPr>
            <w:r w:rsidRPr="008059F4">
              <w:rPr>
                <w:rFonts w:asciiTheme="minorHAnsi" w:hAnsiTheme="minorHAnsi" w:cstheme="minorHAnsi"/>
                <w:color w:val="000000"/>
                <w:sz w:val="18"/>
                <w:szCs w:val="18"/>
              </w:rPr>
              <w:t>The PBAC recommended the</w:t>
            </w:r>
            <w:r w:rsidR="00FC4018">
              <w:rPr>
                <w:rFonts w:asciiTheme="minorHAnsi" w:hAnsiTheme="minorHAnsi" w:cstheme="minorHAnsi"/>
                <w:color w:val="000000"/>
                <w:sz w:val="18"/>
                <w:szCs w:val="18"/>
              </w:rPr>
              <w:t xml:space="preserve"> </w:t>
            </w:r>
            <w:r w:rsidRPr="008059F4">
              <w:rPr>
                <w:rFonts w:asciiTheme="minorHAnsi" w:hAnsiTheme="minorHAnsi" w:cstheme="minorHAnsi"/>
                <w:color w:val="000000"/>
                <w:sz w:val="18"/>
                <w:szCs w:val="18"/>
              </w:rPr>
              <w:t>listing of lenacapavir (LEN), in combination with optimised background regimen (OBR), for the treatment of patients with highly multi-drug resistant (hMDR) HIV infection. In making this recommendation, the PBAC accepted there is a clinical need for new and effective therapies for the treatment of people living with HIV that have</w:t>
            </w:r>
            <w:r w:rsidR="00D92BB0">
              <w:rPr>
                <w:rFonts w:asciiTheme="minorHAnsi" w:hAnsiTheme="minorHAnsi" w:cstheme="minorHAnsi"/>
                <w:color w:val="000000"/>
                <w:sz w:val="18"/>
                <w:szCs w:val="18"/>
              </w:rPr>
              <w:t xml:space="preserve"> a</w:t>
            </w:r>
            <w:r w:rsidRPr="008059F4">
              <w:rPr>
                <w:rFonts w:asciiTheme="minorHAnsi" w:hAnsiTheme="minorHAnsi" w:cstheme="minorHAnsi"/>
                <w:color w:val="000000"/>
                <w:sz w:val="18"/>
                <w:szCs w:val="18"/>
              </w:rPr>
              <w:t xml:space="preserve"> few remaining effective treatment options, and that LEN as add-on therapy to OBR is effective for some patients in terms of achieving viral suppression. The PBAC considered LEN would be cost</w:t>
            </w:r>
            <w:r w:rsidR="00D92BB0">
              <w:rPr>
                <w:rFonts w:asciiTheme="minorHAnsi" w:hAnsiTheme="minorHAnsi" w:cstheme="minorHAnsi"/>
                <w:color w:val="000000"/>
                <w:sz w:val="18"/>
                <w:szCs w:val="18"/>
              </w:rPr>
              <w:t>-</w:t>
            </w:r>
            <w:r w:rsidRPr="008059F4">
              <w:rPr>
                <w:rFonts w:asciiTheme="minorHAnsi" w:hAnsiTheme="minorHAnsi" w:cstheme="minorHAnsi"/>
                <w:color w:val="000000"/>
                <w:sz w:val="18"/>
                <w:szCs w:val="18"/>
              </w:rPr>
              <w:t>effective with a price reduction to achieve an incremental cost-effectiveness ratio in the range of $45,000</w:t>
            </w:r>
            <w:r w:rsidR="00DA6DC2">
              <w:rPr>
                <w:rFonts w:asciiTheme="minorHAnsi" w:hAnsiTheme="minorHAnsi" w:cstheme="minorHAnsi"/>
                <w:color w:val="000000"/>
                <w:sz w:val="18"/>
                <w:szCs w:val="18"/>
              </w:rPr>
              <w:t xml:space="preserve"> to </w:t>
            </w:r>
            <w:r w:rsidR="00FC4018">
              <w:rPr>
                <w:rFonts w:asciiTheme="minorHAnsi" w:hAnsiTheme="minorHAnsi" w:cstheme="minorHAnsi"/>
                <w:color w:val="000000"/>
                <w:sz w:val="18"/>
                <w:szCs w:val="18"/>
              </w:rPr>
              <w:t>$</w:t>
            </w:r>
            <w:r w:rsidRPr="008059F4">
              <w:rPr>
                <w:rFonts w:asciiTheme="minorHAnsi" w:hAnsiTheme="minorHAnsi" w:cstheme="minorHAnsi"/>
                <w:color w:val="000000"/>
                <w:sz w:val="18"/>
                <w:szCs w:val="18"/>
              </w:rPr>
              <w:t xml:space="preserve">75,000 per </w:t>
            </w:r>
            <w:r w:rsidR="00213C4D">
              <w:rPr>
                <w:rFonts w:asciiTheme="minorHAnsi" w:hAnsiTheme="minorHAnsi" w:cstheme="minorHAnsi"/>
                <w:color w:val="000000"/>
                <w:sz w:val="18"/>
                <w:szCs w:val="18"/>
              </w:rPr>
              <w:t>quality adjusted life y</w:t>
            </w:r>
            <w:r w:rsidR="00562C78">
              <w:rPr>
                <w:rFonts w:asciiTheme="minorHAnsi" w:hAnsiTheme="minorHAnsi" w:cstheme="minorHAnsi"/>
                <w:color w:val="000000"/>
                <w:sz w:val="18"/>
                <w:szCs w:val="18"/>
              </w:rPr>
              <w:t>ear</w:t>
            </w:r>
            <w:r w:rsidRPr="008059F4">
              <w:rPr>
                <w:rFonts w:asciiTheme="minorHAnsi" w:hAnsiTheme="minorHAnsi" w:cstheme="minorHAnsi"/>
                <w:color w:val="000000"/>
                <w:sz w:val="18"/>
                <w:szCs w:val="18"/>
              </w:rPr>
              <w:t xml:space="preserve"> using the alternative base case economic model as presented in the evaluation. Noting there is likely to be a reluctance to alter treatment regimens for patients with hMRD HIV infection where an acceptable therapeutic outcome is being achieved through currently available combinations of anti-retrovirals</w:t>
            </w:r>
            <w:r w:rsidR="00FC4018">
              <w:rPr>
                <w:rFonts w:asciiTheme="minorHAnsi" w:hAnsiTheme="minorHAnsi" w:cstheme="minorHAnsi"/>
                <w:color w:val="000000"/>
                <w:sz w:val="18"/>
                <w:szCs w:val="18"/>
              </w:rPr>
              <w:t xml:space="preserve">, </w:t>
            </w:r>
            <w:r w:rsidRPr="008059F4">
              <w:rPr>
                <w:rFonts w:asciiTheme="minorHAnsi" w:hAnsiTheme="minorHAnsi" w:cstheme="minorHAnsi"/>
                <w:color w:val="000000"/>
                <w:sz w:val="18"/>
                <w:szCs w:val="18"/>
              </w:rPr>
              <w:t xml:space="preserve">the PBAC considered the uptake of LEN in the resubmission remained overestimated. The PBAC considered there was a risk of leakage to people who do not meet the strict definition of hMDR as per the proposed listing, and that this risk should be managed with a </w:t>
            </w:r>
            <w:r w:rsidR="00D92BB0">
              <w:rPr>
                <w:rFonts w:asciiTheme="minorHAnsi" w:hAnsiTheme="minorHAnsi" w:cstheme="minorHAnsi"/>
                <w:color w:val="000000"/>
                <w:sz w:val="18"/>
                <w:szCs w:val="18"/>
              </w:rPr>
              <w:t>r</w:t>
            </w:r>
            <w:r w:rsidRPr="008059F4">
              <w:rPr>
                <w:rFonts w:asciiTheme="minorHAnsi" w:hAnsiTheme="minorHAnsi" w:cstheme="minorHAnsi"/>
                <w:color w:val="000000"/>
                <w:sz w:val="18"/>
                <w:szCs w:val="18"/>
              </w:rPr>
              <w:t xml:space="preserve">isk </w:t>
            </w:r>
            <w:r w:rsidR="00D92BB0">
              <w:rPr>
                <w:rFonts w:asciiTheme="minorHAnsi" w:hAnsiTheme="minorHAnsi" w:cstheme="minorHAnsi"/>
                <w:color w:val="000000"/>
                <w:sz w:val="18"/>
                <w:szCs w:val="18"/>
              </w:rPr>
              <w:t>s</w:t>
            </w:r>
            <w:r w:rsidRPr="008059F4">
              <w:rPr>
                <w:rFonts w:asciiTheme="minorHAnsi" w:hAnsiTheme="minorHAnsi" w:cstheme="minorHAnsi"/>
                <w:color w:val="000000"/>
                <w:sz w:val="18"/>
                <w:szCs w:val="18"/>
              </w:rPr>
              <w:t xml:space="preserve">haring </w:t>
            </w:r>
            <w:r w:rsidR="00D92BB0">
              <w:rPr>
                <w:rFonts w:asciiTheme="minorHAnsi" w:hAnsiTheme="minorHAnsi" w:cstheme="minorHAnsi"/>
                <w:color w:val="000000"/>
                <w:sz w:val="18"/>
                <w:szCs w:val="18"/>
              </w:rPr>
              <w:t>a</w:t>
            </w:r>
            <w:r w:rsidRPr="008059F4">
              <w:rPr>
                <w:rFonts w:asciiTheme="minorHAnsi" w:hAnsiTheme="minorHAnsi" w:cstheme="minorHAnsi"/>
                <w:color w:val="000000"/>
                <w:sz w:val="18"/>
                <w:szCs w:val="18"/>
              </w:rPr>
              <w:t>rrangement.</w:t>
            </w:r>
          </w:p>
          <w:p w14:paraId="3EA0AEBF" w14:textId="77777777" w:rsidR="003A0C9D" w:rsidRDefault="003A0C9D" w:rsidP="009B3BC3">
            <w:pPr>
              <w:jc w:val="both"/>
              <w:rPr>
                <w:rFonts w:asciiTheme="minorHAnsi" w:hAnsiTheme="minorHAnsi" w:cstheme="minorHAnsi"/>
                <w:color w:val="000000"/>
                <w:sz w:val="18"/>
                <w:szCs w:val="18"/>
              </w:rPr>
            </w:pPr>
          </w:p>
          <w:p w14:paraId="62C0E818" w14:textId="15DAC243" w:rsidR="00264745" w:rsidRPr="008059F4" w:rsidRDefault="00264745" w:rsidP="00931453">
            <w:pPr>
              <w:jc w:val="both"/>
              <w:rPr>
                <w:rFonts w:asciiTheme="minorHAnsi" w:hAnsiTheme="minorHAnsi" w:cstheme="minorHAnsi"/>
                <w:color w:val="000000"/>
                <w:sz w:val="18"/>
                <w:szCs w:val="18"/>
              </w:rPr>
            </w:pPr>
            <w:r w:rsidRPr="003A0C9D">
              <w:rPr>
                <w:rFonts w:asciiTheme="minorHAnsi" w:hAnsiTheme="minorHAnsi" w:cstheme="minorHAnsi"/>
                <w:color w:val="000000"/>
                <w:sz w:val="18"/>
                <w:szCs w:val="18"/>
              </w:rPr>
              <w:t xml:space="preserve">The PBAC </w:t>
            </w:r>
            <w:r w:rsidR="00931453" w:rsidRPr="003A0C9D">
              <w:rPr>
                <w:rFonts w:asciiTheme="minorHAnsi" w:hAnsiTheme="minorHAnsi" w:cstheme="minorHAnsi"/>
                <w:color w:val="000000"/>
                <w:sz w:val="18"/>
                <w:szCs w:val="18"/>
              </w:rPr>
              <w:t>recommended</w:t>
            </w:r>
            <w:r w:rsidRPr="003A0C9D">
              <w:rPr>
                <w:rFonts w:asciiTheme="minorHAnsi" w:hAnsiTheme="minorHAnsi" w:cstheme="minorHAnsi"/>
                <w:color w:val="000000"/>
                <w:sz w:val="18"/>
                <w:szCs w:val="18"/>
              </w:rPr>
              <w:t xml:space="preserve"> amend</w:t>
            </w:r>
            <w:r w:rsidR="00931453" w:rsidRPr="003A0C9D">
              <w:rPr>
                <w:rFonts w:asciiTheme="minorHAnsi" w:hAnsiTheme="minorHAnsi" w:cstheme="minorHAnsi"/>
                <w:color w:val="000000"/>
                <w:sz w:val="18"/>
                <w:szCs w:val="18"/>
              </w:rPr>
              <w:t>ing</w:t>
            </w:r>
            <w:r w:rsidRPr="003A0C9D">
              <w:rPr>
                <w:rFonts w:asciiTheme="minorHAnsi" w:hAnsiTheme="minorHAnsi" w:cstheme="minorHAnsi"/>
                <w:color w:val="000000"/>
                <w:sz w:val="18"/>
                <w:szCs w:val="18"/>
              </w:rPr>
              <w:t xml:space="preserve"> the definition of virologic failure from greater than 400 copies per mL to greater than 200 copies per mL for applicable PBS listings – maraviroc, etravirine, darunavir and the combination drugs darunavir </w:t>
            </w:r>
            <w:r w:rsidR="00252D73" w:rsidRPr="003A0C9D">
              <w:rPr>
                <w:rFonts w:asciiTheme="minorHAnsi" w:hAnsiTheme="minorHAnsi" w:cstheme="minorHAnsi"/>
                <w:color w:val="000000"/>
                <w:sz w:val="18"/>
                <w:szCs w:val="18"/>
              </w:rPr>
              <w:t>with</w:t>
            </w:r>
            <w:r w:rsidRPr="003A0C9D">
              <w:rPr>
                <w:rFonts w:asciiTheme="minorHAnsi" w:hAnsiTheme="minorHAnsi" w:cstheme="minorHAnsi"/>
                <w:color w:val="000000"/>
                <w:sz w:val="18"/>
                <w:szCs w:val="18"/>
              </w:rPr>
              <w:t xml:space="preserve"> cobicistat</w:t>
            </w:r>
            <w:r w:rsidR="003A0C9D" w:rsidRPr="003A0C9D">
              <w:rPr>
                <w:rFonts w:asciiTheme="minorHAnsi" w:hAnsiTheme="minorHAnsi" w:cstheme="minorHAnsi"/>
                <w:color w:val="000000"/>
                <w:sz w:val="18"/>
                <w:szCs w:val="18"/>
              </w:rPr>
              <w:t>,</w:t>
            </w:r>
            <w:r w:rsidRPr="003A0C9D">
              <w:rPr>
                <w:rFonts w:asciiTheme="minorHAnsi" w:hAnsiTheme="minorHAnsi" w:cstheme="minorHAnsi"/>
                <w:color w:val="000000"/>
                <w:sz w:val="18"/>
                <w:szCs w:val="18"/>
              </w:rPr>
              <w:t xml:space="preserve"> and darunavir </w:t>
            </w:r>
            <w:r w:rsidR="00252D73" w:rsidRPr="003A0C9D">
              <w:rPr>
                <w:rFonts w:asciiTheme="minorHAnsi" w:hAnsiTheme="minorHAnsi" w:cstheme="minorHAnsi"/>
                <w:color w:val="000000"/>
                <w:sz w:val="18"/>
                <w:szCs w:val="18"/>
              </w:rPr>
              <w:t xml:space="preserve">with </w:t>
            </w:r>
            <w:r w:rsidRPr="003A0C9D">
              <w:rPr>
                <w:rFonts w:asciiTheme="minorHAnsi" w:hAnsiTheme="minorHAnsi" w:cstheme="minorHAnsi"/>
                <w:color w:val="000000"/>
                <w:sz w:val="18"/>
                <w:szCs w:val="18"/>
              </w:rPr>
              <w:t>cobicistat</w:t>
            </w:r>
            <w:r w:rsidR="00252D73" w:rsidRPr="003A0C9D">
              <w:rPr>
                <w:rFonts w:asciiTheme="minorHAnsi" w:hAnsiTheme="minorHAnsi" w:cstheme="minorHAnsi"/>
                <w:color w:val="000000"/>
                <w:sz w:val="18"/>
                <w:szCs w:val="18"/>
              </w:rPr>
              <w:t>,</w:t>
            </w:r>
            <w:r w:rsidRPr="003A0C9D">
              <w:rPr>
                <w:rFonts w:asciiTheme="minorHAnsi" w:hAnsiTheme="minorHAnsi" w:cstheme="minorHAnsi"/>
                <w:color w:val="000000"/>
                <w:sz w:val="18"/>
                <w:szCs w:val="18"/>
              </w:rPr>
              <w:t xml:space="preserve"> emtricitabine </w:t>
            </w:r>
            <w:r w:rsidR="00252D73" w:rsidRPr="003A0C9D">
              <w:rPr>
                <w:rFonts w:asciiTheme="minorHAnsi" w:hAnsiTheme="minorHAnsi" w:cstheme="minorHAnsi"/>
                <w:color w:val="000000"/>
                <w:sz w:val="18"/>
                <w:szCs w:val="18"/>
              </w:rPr>
              <w:t xml:space="preserve">and </w:t>
            </w:r>
            <w:r w:rsidRPr="003A0C9D">
              <w:rPr>
                <w:rFonts w:asciiTheme="minorHAnsi" w:hAnsiTheme="minorHAnsi" w:cstheme="minorHAnsi"/>
                <w:color w:val="000000"/>
                <w:sz w:val="18"/>
                <w:szCs w:val="18"/>
              </w:rPr>
              <w:t>tenofovir alafenamide.</w:t>
            </w:r>
          </w:p>
        </w:tc>
      </w:tr>
      <w:tr w:rsidR="008059F4" w:rsidRPr="008059F4" w14:paraId="630CF50E" w14:textId="77777777" w:rsidTr="003774E1">
        <w:trPr>
          <w:cantSplit/>
          <w:trHeight w:val="2948"/>
          <w:jc w:val="center"/>
        </w:trPr>
        <w:tc>
          <w:tcPr>
            <w:tcW w:w="3013" w:type="dxa"/>
            <w:shd w:val="clear" w:color="auto" w:fill="auto"/>
            <w:tcMar>
              <w:top w:w="28" w:type="dxa"/>
              <w:bottom w:w="28" w:type="dxa"/>
            </w:tcMar>
            <w:vAlign w:val="center"/>
          </w:tcPr>
          <w:p w14:paraId="26F1EF32" w14:textId="6E26BF03" w:rsidR="008059F4" w:rsidRPr="008059F4" w:rsidRDefault="008059F4" w:rsidP="00BB57B7">
            <w:pPr>
              <w:keepLines/>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lastRenderedPageBreak/>
              <w:t>LENALIDOMIDE</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Capsule 20</w:t>
            </w:r>
            <w:r w:rsidR="00C67D16">
              <w:rPr>
                <w:rFonts w:asciiTheme="minorHAnsi" w:hAnsiTheme="minorHAnsi" w:cstheme="minorHAnsi"/>
                <w:color w:val="000000"/>
                <w:sz w:val="18"/>
                <w:szCs w:val="18"/>
              </w:rPr>
              <w:t> mg</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Lenalide®</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JUNO PHARMACEUTICALS PTY LTD</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Category 4</w:t>
            </w:r>
            <w:r w:rsidRPr="008059F4">
              <w:rPr>
                <w:rFonts w:asciiTheme="minorHAnsi" w:hAnsiTheme="minorHAnsi" w:cstheme="minorHAnsi"/>
                <w:color w:val="000000"/>
                <w:sz w:val="18"/>
                <w:szCs w:val="18"/>
              </w:rPr>
              <w:br/>
              <w:t>(New listing)</w:t>
            </w:r>
          </w:p>
        </w:tc>
        <w:tc>
          <w:tcPr>
            <w:tcW w:w="2764" w:type="dxa"/>
            <w:shd w:val="clear" w:color="auto" w:fill="auto"/>
            <w:vAlign w:val="center"/>
          </w:tcPr>
          <w:p w14:paraId="2A72076A" w14:textId="29F18B5B" w:rsidR="008059F4" w:rsidRPr="008059F4" w:rsidRDefault="008059F4" w:rsidP="00BB57B7">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 xml:space="preserve">Multiple myeloma </w:t>
            </w:r>
            <w:r w:rsidRPr="008059F4">
              <w:rPr>
                <w:rFonts w:asciiTheme="minorHAnsi" w:hAnsiTheme="minorHAnsi" w:cstheme="minorHAnsi"/>
                <w:color w:val="000000"/>
                <w:sz w:val="18"/>
                <w:szCs w:val="18"/>
              </w:rPr>
              <w:br/>
              <w:t xml:space="preserve">Myelodysplastic syndromes </w:t>
            </w:r>
            <w:r w:rsidRPr="008059F4">
              <w:rPr>
                <w:rFonts w:asciiTheme="minorHAnsi" w:hAnsiTheme="minorHAnsi" w:cstheme="minorHAnsi"/>
                <w:color w:val="000000"/>
                <w:sz w:val="18"/>
                <w:szCs w:val="18"/>
              </w:rPr>
              <w:br/>
              <w:t xml:space="preserve">Mantle cell lymphoma </w:t>
            </w:r>
          </w:p>
        </w:tc>
        <w:tc>
          <w:tcPr>
            <w:tcW w:w="2978" w:type="dxa"/>
            <w:shd w:val="clear" w:color="auto" w:fill="auto"/>
            <w:tcMar>
              <w:top w:w="28" w:type="dxa"/>
              <w:bottom w:w="28" w:type="dxa"/>
            </w:tcMar>
            <w:vAlign w:val="center"/>
          </w:tcPr>
          <w:p w14:paraId="73933476" w14:textId="2F0F82B6" w:rsidR="008059F4" w:rsidRPr="008059F4" w:rsidRDefault="008059F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To request a Section 100 (Highly Specialised Drugs Program) Authority Required (Telephone/Online) listing of a new strength under the same conditions and for the same population as the currently listed strengths.</w:t>
            </w:r>
          </w:p>
        </w:tc>
        <w:tc>
          <w:tcPr>
            <w:tcW w:w="1800" w:type="dxa"/>
            <w:shd w:val="clear" w:color="auto" w:fill="auto"/>
            <w:vAlign w:val="center"/>
          </w:tcPr>
          <w:p w14:paraId="71509397" w14:textId="011653D1" w:rsidR="008059F4" w:rsidRPr="008059F4" w:rsidRDefault="008059F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Recommended</w:t>
            </w:r>
          </w:p>
        </w:tc>
        <w:tc>
          <w:tcPr>
            <w:tcW w:w="4833" w:type="dxa"/>
            <w:shd w:val="clear" w:color="auto" w:fill="auto"/>
            <w:vAlign w:val="center"/>
          </w:tcPr>
          <w:p w14:paraId="3B3B0A75" w14:textId="1EE0E3A3" w:rsidR="008059F4" w:rsidRPr="008059F4" w:rsidRDefault="008059F4" w:rsidP="009B3BC3">
            <w:pPr>
              <w:jc w:val="both"/>
              <w:rPr>
                <w:rFonts w:asciiTheme="minorHAnsi" w:hAnsiTheme="minorHAnsi" w:cstheme="minorHAnsi"/>
                <w:color w:val="000000"/>
                <w:sz w:val="18"/>
                <w:szCs w:val="18"/>
              </w:rPr>
            </w:pPr>
            <w:r w:rsidRPr="008059F4">
              <w:rPr>
                <w:rFonts w:asciiTheme="minorHAnsi" w:hAnsiTheme="minorHAnsi" w:cstheme="minorHAnsi"/>
                <w:sz w:val="18"/>
                <w:szCs w:val="18"/>
              </w:rPr>
              <w:t xml:space="preserve">The PBAC recommended </w:t>
            </w:r>
            <w:r w:rsidRPr="008059F4">
              <w:rPr>
                <w:rFonts w:asciiTheme="minorHAnsi" w:hAnsiTheme="minorHAnsi" w:cstheme="minorHAnsi"/>
                <w:color w:val="000000"/>
                <w:sz w:val="18"/>
                <w:szCs w:val="18"/>
              </w:rPr>
              <w:t xml:space="preserve">the </w:t>
            </w:r>
            <w:r w:rsidRPr="008059F4">
              <w:rPr>
                <w:rFonts w:asciiTheme="minorHAnsi" w:hAnsiTheme="minorHAnsi" w:cstheme="minorHAnsi"/>
                <w:sz w:val="18"/>
                <w:szCs w:val="18"/>
              </w:rPr>
              <w:t xml:space="preserve">listing of </w:t>
            </w:r>
            <w:r w:rsidRPr="008059F4">
              <w:rPr>
                <w:rFonts w:asciiTheme="minorHAnsi" w:hAnsiTheme="minorHAnsi" w:cstheme="minorHAnsi"/>
                <w:color w:val="000000"/>
                <w:sz w:val="18"/>
                <w:szCs w:val="18"/>
              </w:rPr>
              <w:t>lenalidomide capsule 20</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(Lenalide) </w:t>
            </w:r>
            <w:r w:rsidRPr="008059F4">
              <w:rPr>
                <w:rFonts w:asciiTheme="minorHAnsi" w:hAnsiTheme="minorHAnsi" w:cstheme="minorHAnsi"/>
                <w:sz w:val="18"/>
                <w:szCs w:val="18"/>
              </w:rPr>
              <w:t>under the same circumstances as lenalidomide capsule 25</w:t>
            </w:r>
            <w:r w:rsidR="00F875EE">
              <w:rPr>
                <w:rFonts w:asciiTheme="minorHAnsi" w:hAnsiTheme="minorHAnsi" w:cstheme="minorHAnsi"/>
                <w:sz w:val="18"/>
                <w:szCs w:val="18"/>
              </w:rPr>
              <w:t> mg</w:t>
            </w:r>
            <w:r w:rsidRPr="008059F4">
              <w:rPr>
                <w:rFonts w:asciiTheme="minorHAnsi" w:hAnsiTheme="minorHAnsi" w:cstheme="minorHAnsi"/>
                <w:sz w:val="18"/>
                <w:szCs w:val="18"/>
              </w:rPr>
              <w:t xml:space="preserve"> (all brands), and cost-minimised on a </w:t>
            </w:r>
            <w:r w:rsidR="00130D30" w:rsidRPr="008059F4">
              <w:rPr>
                <w:rFonts w:asciiTheme="minorHAnsi" w:hAnsiTheme="minorHAnsi" w:cstheme="minorHAnsi"/>
                <w:sz w:val="18"/>
                <w:szCs w:val="18"/>
              </w:rPr>
              <w:t>per</w:t>
            </w:r>
            <w:r w:rsidR="00130D30">
              <w:rPr>
                <w:rFonts w:asciiTheme="minorHAnsi" w:hAnsiTheme="minorHAnsi" w:cstheme="minorHAnsi"/>
                <w:sz w:val="18"/>
                <w:szCs w:val="18"/>
              </w:rPr>
              <w:t> </w:t>
            </w:r>
            <w:r w:rsidRPr="008059F4">
              <w:rPr>
                <w:rFonts w:asciiTheme="minorHAnsi" w:hAnsiTheme="minorHAnsi" w:cstheme="minorHAnsi"/>
                <w:sz w:val="18"/>
                <w:szCs w:val="18"/>
              </w:rPr>
              <w:t>mg basis to the listed 25</w:t>
            </w:r>
            <w:r w:rsidR="00F875EE">
              <w:rPr>
                <w:rFonts w:asciiTheme="minorHAnsi" w:hAnsiTheme="minorHAnsi" w:cstheme="minorHAnsi"/>
                <w:sz w:val="18"/>
                <w:szCs w:val="18"/>
              </w:rPr>
              <w:t> mg</w:t>
            </w:r>
            <w:r w:rsidRPr="008059F4">
              <w:rPr>
                <w:rFonts w:asciiTheme="minorHAnsi" w:hAnsiTheme="minorHAnsi" w:cstheme="minorHAnsi"/>
                <w:sz w:val="18"/>
                <w:szCs w:val="18"/>
              </w:rPr>
              <w:t xml:space="preserve"> strength of lenalidomide.</w:t>
            </w:r>
          </w:p>
        </w:tc>
      </w:tr>
      <w:tr w:rsidR="008059F4" w:rsidRPr="008059F4" w14:paraId="13225EF2" w14:textId="77777777" w:rsidTr="003774E1">
        <w:trPr>
          <w:cantSplit/>
          <w:trHeight w:val="2948"/>
          <w:jc w:val="center"/>
        </w:trPr>
        <w:tc>
          <w:tcPr>
            <w:tcW w:w="3013" w:type="dxa"/>
            <w:shd w:val="clear" w:color="auto" w:fill="auto"/>
            <w:tcMar>
              <w:top w:w="28" w:type="dxa"/>
              <w:bottom w:w="28" w:type="dxa"/>
            </w:tcMar>
            <w:vAlign w:val="center"/>
          </w:tcPr>
          <w:p w14:paraId="773FD1C3" w14:textId="1D83B06E" w:rsidR="008059F4" w:rsidRPr="008059F4" w:rsidRDefault="008059F4" w:rsidP="00BB57B7">
            <w:pPr>
              <w:keepLines/>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MARIBAVIR</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Tablet 200</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Livtencity®</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TAKEDA PHARMACEUTICALS AUSTRALIA PTY LTD</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Category 1</w:t>
            </w:r>
            <w:r w:rsidRPr="008059F4">
              <w:rPr>
                <w:rFonts w:asciiTheme="minorHAnsi" w:hAnsiTheme="minorHAnsi" w:cstheme="minorHAnsi"/>
                <w:color w:val="000000"/>
                <w:sz w:val="18"/>
                <w:szCs w:val="18"/>
              </w:rPr>
              <w:br/>
              <w:t>(New listing)</w:t>
            </w:r>
          </w:p>
        </w:tc>
        <w:tc>
          <w:tcPr>
            <w:tcW w:w="2764" w:type="dxa"/>
            <w:shd w:val="clear" w:color="auto" w:fill="auto"/>
            <w:vAlign w:val="center"/>
          </w:tcPr>
          <w:p w14:paraId="665F128F" w14:textId="6461C038" w:rsidR="008059F4" w:rsidRPr="008059F4" w:rsidRDefault="008059F4" w:rsidP="00BB57B7">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Post-transplant cytomegalovirus (CMV)</w:t>
            </w:r>
          </w:p>
        </w:tc>
        <w:tc>
          <w:tcPr>
            <w:tcW w:w="2978" w:type="dxa"/>
            <w:shd w:val="clear" w:color="auto" w:fill="auto"/>
            <w:tcMar>
              <w:top w:w="28" w:type="dxa"/>
              <w:bottom w:w="28" w:type="dxa"/>
            </w:tcMar>
            <w:vAlign w:val="center"/>
          </w:tcPr>
          <w:p w14:paraId="6857E75E" w14:textId="151822AD" w:rsidR="008059F4" w:rsidRPr="008059F4" w:rsidRDefault="008059F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To request a Section 100 (Highly Specialised Drugs Program) Authority Required (STREAMLINED) listing for treatment of post-transplant CMV infection and disease that is refractory, resistant or intolerant to one or more prior therapies.</w:t>
            </w:r>
          </w:p>
        </w:tc>
        <w:tc>
          <w:tcPr>
            <w:tcW w:w="1800" w:type="dxa"/>
            <w:shd w:val="clear" w:color="auto" w:fill="auto"/>
            <w:vAlign w:val="center"/>
          </w:tcPr>
          <w:p w14:paraId="0F53DED0" w14:textId="59F703C3" w:rsidR="008059F4" w:rsidRPr="008059F4" w:rsidRDefault="008059F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Not Recommended</w:t>
            </w:r>
          </w:p>
        </w:tc>
        <w:tc>
          <w:tcPr>
            <w:tcW w:w="4833" w:type="dxa"/>
            <w:shd w:val="clear" w:color="auto" w:fill="auto"/>
            <w:vAlign w:val="center"/>
          </w:tcPr>
          <w:p w14:paraId="5D04EF7F" w14:textId="7400E4F7" w:rsidR="008059F4" w:rsidRDefault="008B7209" w:rsidP="004521E8">
            <w:pPr>
              <w:jc w:val="both"/>
              <w:rPr>
                <w:rFonts w:asciiTheme="minorHAnsi" w:hAnsiTheme="minorHAnsi" w:cstheme="minorHAnsi"/>
                <w:color w:val="000000"/>
                <w:sz w:val="18"/>
                <w:szCs w:val="18"/>
              </w:rPr>
            </w:pPr>
            <w:r w:rsidRPr="008B7209">
              <w:rPr>
                <w:rFonts w:asciiTheme="minorHAnsi" w:hAnsiTheme="minorHAnsi" w:cstheme="minorHAnsi"/>
                <w:color w:val="000000"/>
                <w:sz w:val="18"/>
                <w:szCs w:val="18"/>
              </w:rPr>
              <w:t xml:space="preserve">The PBAC did not recommend listing maribavir for the treatment of post-transplant CMV infection and disease resistant, refractory or intolerant to one or more prior therapies. The PBAC considered that the comparative clinical evidence was subject to uncertainty due to the limitations of the pivotal randomised study. In addition, the </w:t>
            </w:r>
            <w:r w:rsidR="00A6101C">
              <w:rPr>
                <w:rFonts w:asciiTheme="minorHAnsi" w:hAnsiTheme="minorHAnsi" w:cstheme="minorHAnsi"/>
                <w:color w:val="000000"/>
                <w:sz w:val="18"/>
                <w:szCs w:val="18"/>
              </w:rPr>
              <w:t>incremental cost</w:t>
            </w:r>
            <w:r w:rsidR="00130D30">
              <w:rPr>
                <w:rFonts w:asciiTheme="minorHAnsi" w:hAnsiTheme="minorHAnsi" w:cstheme="minorHAnsi"/>
                <w:color w:val="000000"/>
                <w:sz w:val="18"/>
                <w:szCs w:val="18"/>
              </w:rPr>
              <w:noBreakHyphen/>
            </w:r>
            <w:r w:rsidR="00A6101C">
              <w:rPr>
                <w:rFonts w:asciiTheme="minorHAnsi" w:hAnsiTheme="minorHAnsi" w:cstheme="minorHAnsi"/>
                <w:color w:val="000000"/>
                <w:sz w:val="18"/>
                <w:szCs w:val="18"/>
              </w:rPr>
              <w:t xml:space="preserve">effectiveness ratio </w:t>
            </w:r>
            <w:r w:rsidRPr="008B7209">
              <w:rPr>
                <w:rFonts w:asciiTheme="minorHAnsi" w:hAnsiTheme="minorHAnsi" w:cstheme="minorHAnsi"/>
                <w:color w:val="000000"/>
                <w:sz w:val="18"/>
                <w:szCs w:val="18"/>
              </w:rPr>
              <w:t xml:space="preserve">was subject to a high level of uncertainty given that the economic evaluation was based on multiple assumptions that were </w:t>
            </w:r>
            <w:r w:rsidR="004521E8">
              <w:rPr>
                <w:rFonts w:asciiTheme="minorHAnsi" w:hAnsiTheme="minorHAnsi" w:cstheme="minorHAnsi"/>
                <w:color w:val="000000"/>
                <w:sz w:val="18"/>
                <w:szCs w:val="18"/>
              </w:rPr>
              <w:t xml:space="preserve">not adequately </w:t>
            </w:r>
            <w:r w:rsidRPr="008B7209">
              <w:rPr>
                <w:rFonts w:asciiTheme="minorHAnsi" w:hAnsiTheme="minorHAnsi" w:cstheme="minorHAnsi"/>
                <w:color w:val="000000"/>
                <w:sz w:val="18"/>
                <w:szCs w:val="18"/>
              </w:rPr>
              <w:t>justified.</w:t>
            </w:r>
          </w:p>
          <w:p w14:paraId="5A89F1C9" w14:textId="77777777" w:rsidR="008B7209" w:rsidRPr="00134057" w:rsidRDefault="008B7209" w:rsidP="00BB57B7">
            <w:pPr>
              <w:rPr>
                <w:rFonts w:asciiTheme="minorHAnsi" w:hAnsiTheme="minorHAnsi" w:cstheme="minorHAnsi"/>
                <w:color w:val="000000"/>
                <w:sz w:val="18"/>
                <w:szCs w:val="18"/>
              </w:rPr>
            </w:pPr>
          </w:p>
          <w:p w14:paraId="2164C99F" w14:textId="77777777" w:rsidR="008059F4" w:rsidRDefault="008059F4" w:rsidP="00BB57B7">
            <w:pPr>
              <w:rPr>
                <w:rFonts w:asciiTheme="minorHAnsi" w:hAnsiTheme="minorHAnsi" w:cstheme="minorHAnsi"/>
                <w:color w:val="000000"/>
                <w:sz w:val="18"/>
                <w:szCs w:val="18"/>
              </w:rPr>
            </w:pPr>
            <w:r w:rsidRPr="000110D5">
              <w:rPr>
                <w:rFonts w:asciiTheme="minorHAnsi" w:hAnsiTheme="minorHAnsi" w:cstheme="minorHAnsi"/>
                <w:color w:val="000000"/>
                <w:sz w:val="18"/>
                <w:szCs w:val="18"/>
                <w:u w:val="single"/>
              </w:rPr>
              <w:t>Sponsor’s Comment:</w:t>
            </w:r>
          </w:p>
          <w:p w14:paraId="1F9786FD" w14:textId="654BEEE0" w:rsidR="008059F4" w:rsidRPr="008059F4" w:rsidRDefault="00A631ED" w:rsidP="00BB57B7">
            <w:pPr>
              <w:rPr>
                <w:rFonts w:asciiTheme="minorHAnsi" w:hAnsiTheme="minorHAnsi" w:cstheme="minorHAnsi"/>
                <w:color w:val="000000"/>
                <w:sz w:val="18"/>
                <w:szCs w:val="18"/>
              </w:rPr>
            </w:pPr>
            <w:r w:rsidRPr="008B5F66">
              <w:rPr>
                <w:rFonts w:asciiTheme="minorHAnsi" w:hAnsiTheme="minorHAnsi" w:cstheme="minorHAnsi"/>
                <w:color w:val="000000"/>
                <w:sz w:val="18"/>
                <w:szCs w:val="18"/>
              </w:rPr>
              <w:t>The sponsor had no comment.</w:t>
            </w:r>
          </w:p>
        </w:tc>
      </w:tr>
      <w:tr w:rsidR="008059F4" w:rsidRPr="008059F4" w14:paraId="45A0C826" w14:textId="77777777" w:rsidTr="003774E1">
        <w:trPr>
          <w:cantSplit/>
          <w:trHeight w:val="2948"/>
          <w:jc w:val="center"/>
        </w:trPr>
        <w:tc>
          <w:tcPr>
            <w:tcW w:w="3013" w:type="dxa"/>
            <w:shd w:val="clear" w:color="auto" w:fill="auto"/>
            <w:tcMar>
              <w:top w:w="28" w:type="dxa"/>
              <w:bottom w:w="28" w:type="dxa"/>
            </w:tcMar>
            <w:vAlign w:val="center"/>
          </w:tcPr>
          <w:p w14:paraId="7203BD39" w14:textId="62297877" w:rsidR="008059F4" w:rsidRPr="008059F4" w:rsidRDefault="008059F4" w:rsidP="00BB57B7">
            <w:pPr>
              <w:keepLines/>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lastRenderedPageBreak/>
              <w:t>MAVACAMTEN</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Capsule 2.5</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br/>
              <w:t>Capsule 5</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br/>
              <w:t>Capsule 10</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br/>
              <w:t>Capsule 15</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Camzyos®</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BRISTOL-MYERS SQUIBB AUSTRALIA PTY LTD</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Early re-entry</w:t>
            </w:r>
            <w:r w:rsidRPr="008059F4">
              <w:rPr>
                <w:rFonts w:asciiTheme="minorHAnsi" w:hAnsiTheme="minorHAnsi" w:cstheme="minorHAnsi"/>
                <w:color w:val="000000"/>
                <w:sz w:val="18"/>
                <w:szCs w:val="18"/>
              </w:rPr>
              <w:br/>
              <w:t>(New listing)</w:t>
            </w:r>
          </w:p>
        </w:tc>
        <w:tc>
          <w:tcPr>
            <w:tcW w:w="2764" w:type="dxa"/>
            <w:shd w:val="clear" w:color="auto" w:fill="auto"/>
            <w:vAlign w:val="center"/>
          </w:tcPr>
          <w:p w14:paraId="147F369C" w14:textId="16D54284" w:rsidR="008059F4" w:rsidRPr="008059F4" w:rsidRDefault="008059F4" w:rsidP="00BB57B7">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Hypertrophic cardiomyopathy</w:t>
            </w:r>
            <w:r w:rsidR="00D90299">
              <w:rPr>
                <w:rFonts w:asciiTheme="minorHAnsi" w:hAnsiTheme="minorHAnsi" w:cstheme="minorHAnsi"/>
                <w:color w:val="000000"/>
                <w:sz w:val="18"/>
                <w:szCs w:val="18"/>
              </w:rPr>
              <w:t xml:space="preserve"> </w:t>
            </w:r>
            <w:r w:rsidR="00D90299" w:rsidRPr="008059F4">
              <w:rPr>
                <w:rFonts w:asciiTheme="minorHAnsi" w:hAnsiTheme="minorHAnsi" w:cstheme="minorHAnsi"/>
                <w:color w:val="000000"/>
                <w:sz w:val="18"/>
                <w:szCs w:val="18"/>
              </w:rPr>
              <w:t>(HCM)</w:t>
            </w:r>
          </w:p>
        </w:tc>
        <w:tc>
          <w:tcPr>
            <w:tcW w:w="2978" w:type="dxa"/>
            <w:shd w:val="clear" w:color="auto" w:fill="auto"/>
            <w:tcMar>
              <w:top w:w="28" w:type="dxa"/>
              <w:bottom w:w="28" w:type="dxa"/>
            </w:tcMar>
            <w:vAlign w:val="center"/>
          </w:tcPr>
          <w:p w14:paraId="6F5EBEBC" w14:textId="6AD14C6B" w:rsidR="008059F4" w:rsidRPr="008059F4" w:rsidRDefault="008059F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 xml:space="preserve">Resubmission to request a General Schedule Authority Required (STREAMLINED) listing for the treatment of adults with symptomatic obstructive </w:t>
            </w:r>
            <w:r w:rsidR="00D90299" w:rsidRPr="008059F4">
              <w:rPr>
                <w:rFonts w:asciiTheme="minorHAnsi" w:hAnsiTheme="minorHAnsi" w:cstheme="minorHAnsi"/>
                <w:color w:val="000000"/>
                <w:sz w:val="18"/>
                <w:szCs w:val="18"/>
              </w:rPr>
              <w:t>HCM</w:t>
            </w:r>
            <w:r w:rsidRPr="008059F4">
              <w:rPr>
                <w:rFonts w:asciiTheme="minorHAnsi" w:hAnsiTheme="minorHAnsi" w:cstheme="minorHAnsi"/>
                <w:color w:val="000000"/>
                <w:sz w:val="18"/>
                <w:szCs w:val="18"/>
              </w:rPr>
              <w:t>.</w:t>
            </w:r>
          </w:p>
        </w:tc>
        <w:tc>
          <w:tcPr>
            <w:tcW w:w="1800" w:type="dxa"/>
            <w:shd w:val="clear" w:color="auto" w:fill="auto"/>
            <w:vAlign w:val="center"/>
          </w:tcPr>
          <w:p w14:paraId="20C817C1" w14:textId="70BAF1E5" w:rsidR="008059F4" w:rsidRPr="008059F4" w:rsidRDefault="008059F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Recommended</w:t>
            </w:r>
          </w:p>
        </w:tc>
        <w:tc>
          <w:tcPr>
            <w:tcW w:w="4833" w:type="dxa"/>
            <w:shd w:val="clear" w:color="auto" w:fill="auto"/>
            <w:vAlign w:val="center"/>
          </w:tcPr>
          <w:p w14:paraId="3743F87E" w14:textId="62415087" w:rsidR="008059F4" w:rsidRPr="008059F4" w:rsidRDefault="008059F4" w:rsidP="009B3BC3">
            <w:pPr>
              <w:jc w:val="both"/>
              <w:rPr>
                <w:rFonts w:asciiTheme="minorHAnsi" w:hAnsiTheme="minorHAnsi" w:cstheme="minorHAnsi"/>
                <w:color w:val="000000"/>
                <w:sz w:val="18"/>
                <w:szCs w:val="18"/>
              </w:rPr>
            </w:pPr>
            <w:r w:rsidRPr="008059F4">
              <w:rPr>
                <w:rFonts w:asciiTheme="minorHAnsi" w:hAnsiTheme="minorHAnsi" w:cstheme="minorHAnsi"/>
                <w:color w:val="000000"/>
                <w:sz w:val="18"/>
                <w:szCs w:val="18"/>
              </w:rPr>
              <w:t>The PBAC recommended the listing of mavacamten for the treatment of adults with symptomatic obstructive HCM. The PBAC noted there was an unmet need for treatments in this condition and that mavacamten was the first drug to have proven benefits over placebo in HCM. The PBAC considered mavacamten provided, for some patients, a significant benefit over current standard of care in terms of symptomatic improvement. The PBAC considered that the early re-entry resubmission adequately addressed PBAC’s previous concerns from the July 2023 meeting in terms of the proposed place in therapy and uncertain economic modelling. With revisions to the economic model, including a price reduction, the PBAC considered that mavacamten would be cost</w:t>
            </w:r>
            <w:r w:rsidR="00D92BB0">
              <w:rPr>
                <w:rFonts w:asciiTheme="minorHAnsi" w:hAnsiTheme="minorHAnsi" w:cstheme="minorHAnsi"/>
                <w:color w:val="000000"/>
                <w:sz w:val="18"/>
                <w:szCs w:val="18"/>
              </w:rPr>
              <w:t>-</w:t>
            </w:r>
            <w:r w:rsidRPr="008059F4">
              <w:rPr>
                <w:rFonts w:asciiTheme="minorHAnsi" w:hAnsiTheme="minorHAnsi" w:cstheme="minorHAnsi"/>
                <w:color w:val="000000"/>
                <w:sz w:val="18"/>
                <w:szCs w:val="18"/>
              </w:rPr>
              <w:t>effective for the recommended PBS population.</w:t>
            </w:r>
          </w:p>
        </w:tc>
      </w:tr>
      <w:tr w:rsidR="008059F4" w:rsidRPr="008059F4" w14:paraId="22F54673" w14:textId="77777777" w:rsidTr="003774E1">
        <w:trPr>
          <w:cantSplit/>
          <w:trHeight w:val="2948"/>
          <w:jc w:val="center"/>
        </w:trPr>
        <w:tc>
          <w:tcPr>
            <w:tcW w:w="3013" w:type="dxa"/>
            <w:shd w:val="clear" w:color="auto" w:fill="auto"/>
            <w:tcMar>
              <w:top w:w="28" w:type="dxa"/>
              <w:bottom w:w="28" w:type="dxa"/>
            </w:tcMar>
            <w:vAlign w:val="center"/>
          </w:tcPr>
          <w:p w14:paraId="21A16AF3" w14:textId="0DA344A8" w:rsidR="008059F4" w:rsidRPr="008059F4" w:rsidRDefault="008059F4" w:rsidP="00BB57B7">
            <w:pPr>
              <w:keepLines/>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MEDROXYPROGESTERONE ACETATE</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Suspension for injection 150</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in 1</w:t>
            </w:r>
            <w:r w:rsidR="00C67D16">
              <w:rPr>
                <w:rFonts w:asciiTheme="minorHAnsi" w:hAnsiTheme="minorHAnsi" w:cstheme="minorHAnsi"/>
                <w:color w:val="000000"/>
                <w:sz w:val="18"/>
                <w:szCs w:val="18"/>
              </w:rPr>
              <w:t> mL</w:t>
            </w:r>
            <w:r w:rsidRPr="008059F4">
              <w:rPr>
                <w:rFonts w:asciiTheme="minorHAnsi" w:hAnsiTheme="minorHAnsi" w:cstheme="minorHAnsi"/>
                <w:color w:val="000000"/>
                <w:sz w:val="18"/>
                <w:szCs w:val="18"/>
              </w:rPr>
              <w:t xml:space="preserve"> pre-filled syringe</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Depo-Provera®</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PFIZER AUSTRALIA PTY LTD</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Category 4</w:t>
            </w:r>
            <w:r w:rsidRPr="008059F4">
              <w:rPr>
                <w:rFonts w:asciiTheme="minorHAnsi" w:hAnsiTheme="minorHAnsi" w:cstheme="minorHAnsi"/>
                <w:color w:val="000000"/>
                <w:sz w:val="18"/>
                <w:szCs w:val="18"/>
              </w:rPr>
              <w:br/>
              <w:t>(New listing)</w:t>
            </w:r>
          </w:p>
        </w:tc>
        <w:tc>
          <w:tcPr>
            <w:tcW w:w="2764" w:type="dxa"/>
            <w:shd w:val="clear" w:color="auto" w:fill="auto"/>
            <w:vAlign w:val="center"/>
          </w:tcPr>
          <w:p w14:paraId="4890A30D" w14:textId="629C56D6" w:rsidR="008059F4" w:rsidRPr="008059F4" w:rsidRDefault="008059F4" w:rsidP="00BB57B7">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Unrestricted benefit</w:t>
            </w:r>
          </w:p>
        </w:tc>
        <w:tc>
          <w:tcPr>
            <w:tcW w:w="2978" w:type="dxa"/>
            <w:shd w:val="clear" w:color="auto" w:fill="auto"/>
            <w:tcMar>
              <w:top w:w="28" w:type="dxa"/>
              <w:bottom w:w="28" w:type="dxa"/>
            </w:tcMar>
            <w:vAlign w:val="center"/>
          </w:tcPr>
          <w:p w14:paraId="6FCBFB18" w14:textId="3906EB92" w:rsidR="008059F4" w:rsidRPr="008059F4" w:rsidRDefault="008059F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To request a General Schedule unrestricted listing for a pre-filled syringe</w:t>
            </w:r>
            <w:r w:rsidR="00D92BB0">
              <w:rPr>
                <w:rFonts w:asciiTheme="minorHAnsi" w:hAnsiTheme="minorHAnsi" w:cstheme="minorHAnsi"/>
                <w:color w:val="000000"/>
                <w:sz w:val="18"/>
                <w:szCs w:val="18"/>
              </w:rPr>
              <w:t xml:space="preserve"> (PFS)</w:t>
            </w:r>
            <w:r w:rsidRPr="008059F4">
              <w:rPr>
                <w:rFonts w:asciiTheme="minorHAnsi" w:hAnsiTheme="minorHAnsi" w:cstheme="minorHAnsi"/>
                <w:color w:val="000000"/>
                <w:sz w:val="18"/>
                <w:szCs w:val="18"/>
              </w:rPr>
              <w:t xml:space="preserve"> </w:t>
            </w:r>
          </w:p>
        </w:tc>
        <w:tc>
          <w:tcPr>
            <w:tcW w:w="1800" w:type="dxa"/>
            <w:shd w:val="clear" w:color="auto" w:fill="auto"/>
            <w:vAlign w:val="center"/>
          </w:tcPr>
          <w:p w14:paraId="7F6CAB98" w14:textId="2B6B1E93" w:rsidR="008059F4" w:rsidRPr="008059F4" w:rsidRDefault="008059F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Recommended</w:t>
            </w:r>
          </w:p>
        </w:tc>
        <w:tc>
          <w:tcPr>
            <w:tcW w:w="4833" w:type="dxa"/>
            <w:shd w:val="clear" w:color="auto" w:fill="auto"/>
            <w:vAlign w:val="center"/>
          </w:tcPr>
          <w:p w14:paraId="11A3B54B" w14:textId="6B869379" w:rsidR="00D90299" w:rsidRDefault="008059F4" w:rsidP="009B3BC3">
            <w:pPr>
              <w:jc w:val="both"/>
              <w:rPr>
                <w:rFonts w:asciiTheme="minorHAnsi" w:hAnsiTheme="minorHAnsi" w:cstheme="minorHAnsi"/>
                <w:color w:val="000000"/>
                <w:sz w:val="18"/>
                <w:szCs w:val="18"/>
              </w:rPr>
            </w:pPr>
            <w:r w:rsidRPr="008059F4">
              <w:rPr>
                <w:rFonts w:asciiTheme="minorHAnsi" w:hAnsiTheme="minorHAnsi" w:cstheme="minorHAnsi"/>
                <w:color w:val="000000"/>
                <w:sz w:val="18"/>
                <w:szCs w:val="18"/>
              </w:rPr>
              <w:t>The PBAC recommended the listing of medroxyprogesterone acetate 150</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/mL PFS (Depo-Provera) under the same circumstances as the currently listed medroxyprogesterone acetate 150</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/mL injection, vial forms (Depo-Provera, Depo</w:t>
            </w:r>
            <w:r w:rsidR="00130D30">
              <w:rPr>
                <w:rFonts w:asciiTheme="minorHAnsi" w:hAnsiTheme="minorHAnsi" w:cstheme="minorHAnsi"/>
                <w:color w:val="000000"/>
                <w:sz w:val="18"/>
                <w:szCs w:val="18"/>
              </w:rPr>
              <w:noBreakHyphen/>
            </w:r>
            <w:r w:rsidRPr="008059F4">
              <w:rPr>
                <w:rFonts w:asciiTheme="minorHAnsi" w:hAnsiTheme="minorHAnsi" w:cstheme="minorHAnsi"/>
                <w:color w:val="000000"/>
                <w:sz w:val="18"/>
                <w:szCs w:val="18"/>
              </w:rPr>
              <w:t>Ralovera®). The PBAC advised that the equi-effective doses were medroxyprogesterone acetate 150</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/mL PFS = medroxyprogesterone acetate 150</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/mL injection vial</w:t>
            </w:r>
            <w:r w:rsidR="00D90299">
              <w:rPr>
                <w:rFonts w:asciiTheme="minorHAnsi" w:hAnsiTheme="minorHAnsi" w:cstheme="minorHAnsi"/>
                <w:color w:val="000000"/>
                <w:sz w:val="18"/>
                <w:szCs w:val="18"/>
              </w:rPr>
              <w:t>.</w:t>
            </w:r>
          </w:p>
          <w:p w14:paraId="2DA7C10A" w14:textId="77777777" w:rsidR="00D90299" w:rsidRDefault="00D90299" w:rsidP="009B3BC3">
            <w:pPr>
              <w:jc w:val="both"/>
              <w:rPr>
                <w:rFonts w:asciiTheme="minorHAnsi" w:hAnsiTheme="minorHAnsi" w:cstheme="minorHAnsi"/>
                <w:color w:val="000000"/>
                <w:sz w:val="18"/>
                <w:szCs w:val="18"/>
              </w:rPr>
            </w:pPr>
          </w:p>
          <w:p w14:paraId="06FFEB5F" w14:textId="698674E2" w:rsidR="008059F4" w:rsidRPr="008059F4" w:rsidRDefault="008059F4" w:rsidP="009B3BC3">
            <w:pPr>
              <w:jc w:val="both"/>
              <w:rPr>
                <w:rFonts w:asciiTheme="minorHAnsi" w:hAnsiTheme="minorHAnsi" w:cstheme="minorHAnsi"/>
                <w:color w:val="000000"/>
                <w:sz w:val="18"/>
                <w:szCs w:val="18"/>
              </w:rPr>
            </w:pPr>
            <w:r w:rsidRPr="008059F4">
              <w:rPr>
                <w:rFonts w:asciiTheme="minorHAnsi" w:hAnsiTheme="minorHAnsi" w:cstheme="minorHAnsi"/>
                <w:color w:val="000000"/>
                <w:sz w:val="18"/>
                <w:szCs w:val="18"/>
              </w:rPr>
              <w:t>The PBAC advised that</w:t>
            </w:r>
            <w:r w:rsidR="00D90299">
              <w:rPr>
                <w:rFonts w:asciiTheme="minorHAnsi" w:hAnsiTheme="minorHAnsi" w:cstheme="minorHAnsi"/>
                <w:color w:val="000000"/>
                <w:sz w:val="18"/>
                <w:szCs w:val="18"/>
              </w:rPr>
              <w:t xml:space="preserve"> </w:t>
            </w:r>
            <w:r w:rsidRPr="008059F4">
              <w:rPr>
                <w:rFonts w:asciiTheme="minorHAnsi" w:hAnsiTheme="minorHAnsi" w:cstheme="minorHAnsi"/>
                <w:color w:val="000000"/>
                <w:sz w:val="18"/>
                <w:szCs w:val="18"/>
              </w:rPr>
              <w:t>the medroxyprogesterone vial and medroxyprogesterone PFS should be considered equivalent for the purposes of substitution (i.e., ‘a’</w:t>
            </w:r>
            <w:r w:rsidR="00D060AA">
              <w:rPr>
                <w:rFonts w:asciiTheme="minorHAnsi" w:hAnsiTheme="minorHAnsi" w:cstheme="minorHAnsi"/>
                <w:color w:val="000000"/>
                <w:sz w:val="18"/>
                <w:szCs w:val="18"/>
              </w:rPr>
              <w:t xml:space="preserve"> </w:t>
            </w:r>
            <w:r w:rsidRPr="008059F4">
              <w:rPr>
                <w:rFonts w:asciiTheme="minorHAnsi" w:hAnsiTheme="minorHAnsi" w:cstheme="minorHAnsi"/>
                <w:color w:val="000000"/>
                <w:sz w:val="18"/>
                <w:szCs w:val="18"/>
              </w:rPr>
              <w:t xml:space="preserve">flagged in the Schedule). </w:t>
            </w:r>
          </w:p>
        </w:tc>
      </w:tr>
      <w:tr w:rsidR="008059F4" w:rsidRPr="008059F4" w14:paraId="4F8DF70B" w14:textId="77777777" w:rsidTr="003774E1">
        <w:trPr>
          <w:cantSplit/>
          <w:trHeight w:val="2948"/>
          <w:jc w:val="center"/>
        </w:trPr>
        <w:tc>
          <w:tcPr>
            <w:tcW w:w="3013" w:type="dxa"/>
            <w:shd w:val="clear" w:color="auto" w:fill="auto"/>
            <w:tcMar>
              <w:top w:w="28" w:type="dxa"/>
              <w:bottom w:w="28" w:type="dxa"/>
            </w:tcMar>
            <w:vAlign w:val="center"/>
          </w:tcPr>
          <w:p w14:paraId="6D697337" w14:textId="77777777" w:rsidR="00F33C57" w:rsidRDefault="008059F4" w:rsidP="00BB57B7">
            <w:pPr>
              <w:keepLines/>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lastRenderedPageBreak/>
              <w:t>MENINGOCOCCAL VACCINE</w:t>
            </w:r>
          </w:p>
          <w:p w14:paraId="3C28BD58" w14:textId="5CD64886" w:rsidR="008059F4" w:rsidRPr="008059F4" w:rsidRDefault="008059F4" w:rsidP="00BB57B7">
            <w:pPr>
              <w:keepLines/>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br/>
              <w:t>Injection 0.5</w:t>
            </w:r>
            <w:r w:rsidR="00C67D16">
              <w:rPr>
                <w:rFonts w:asciiTheme="minorHAnsi" w:hAnsiTheme="minorHAnsi" w:cstheme="minorHAnsi"/>
                <w:color w:val="000000"/>
                <w:sz w:val="18"/>
                <w:szCs w:val="18"/>
              </w:rPr>
              <w:t> mL</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Menveo®</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GLAXOSMITHKLINE AUSTRALIA PTY LTD</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Committee secretariat</w:t>
            </w:r>
            <w:r w:rsidRPr="008059F4">
              <w:rPr>
                <w:rFonts w:asciiTheme="minorHAnsi" w:hAnsiTheme="minorHAnsi" w:cstheme="minorHAnsi"/>
                <w:color w:val="000000"/>
                <w:sz w:val="18"/>
                <w:szCs w:val="18"/>
              </w:rPr>
              <w:br/>
              <w:t>(New listing)</w:t>
            </w:r>
          </w:p>
        </w:tc>
        <w:tc>
          <w:tcPr>
            <w:tcW w:w="2764" w:type="dxa"/>
            <w:shd w:val="clear" w:color="auto" w:fill="auto"/>
            <w:vAlign w:val="center"/>
          </w:tcPr>
          <w:p w14:paraId="01F4B9EE" w14:textId="00ACEC8B" w:rsidR="008059F4" w:rsidRPr="008059F4" w:rsidRDefault="008059F4" w:rsidP="00BB57B7">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 xml:space="preserve">Prevention of invasive meningococcal diseases (IMDs) </w:t>
            </w:r>
          </w:p>
        </w:tc>
        <w:tc>
          <w:tcPr>
            <w:tcW w:w="2978" w:type="dxa"/>
            <w:shd w:val="clear" w:color="auto" w:fill="auto"/>
            <w:tcMar>
              <w:top w:w="28" w:type="dxa"/>
              <w:bottom w:w="28" w:type="dxa"/>
            </w:tcMar>
            <w:vAlign w:val="center"/>
          </w:tcPr>
          <w:p w14:paraId="248D9496" w14:textId="5CA8119B" w:rsidR="008059F4" w:rsidRPr="008059F4" w:rsidRDefault="008059F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To request a National Immunisation Program listing for adolescents for the prevention of IMDs caused by Neisseria meningitidis serogroups A, C, W-135 and Y</w:t>
            </w:r>
          </w:p>
        </w:tc>
        <w:tc>
          <w:tcPr>
            <w:tcW w:w="1800" w:type="dxa"/>
            <w:shd w:val="clear" w:color="auto" w:fill="auto"/>
            <w:vAlign w:val="center"/>
          </w:tcPr>
          <w:p w14:paraId="668A1004" w14:textId="361DDC9F" w:rsidR="008059F4" w:rsidRPr="008059F4" w:rsidRDefault="008059F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Recommended</w:t>
            </w:r>
          </w:p>
        </w:tc>
        <w:tc>
          <w:tcPr>
            <w:tcW w:w="4833" w:type="dxa"/>
            <w:shd w:val="clear" w:color="auto" w:fill="auto"/>
            <w:vAlign w:val="center"/>
          </w:tcPr>
          <w:p w14:paraId="59954BE8" w14:textId="6802BA31" w:rsidR="008059F4" w:rsidRPr="008059F4" w:rsidRDefault="008059F4" w:rsidP="009B3BC3">
            <w:pPr>
              <w:jc w:val="both"/>
              <w:rPr>
                <w:rFonts w:asciiTheme="minorHAnsi" w:hAnsiTheme="minorHAnsi" w:cstheme="minorHAnsi"/>
                <w:color w:val="000000"/>
                <w:sz w:val="18"/>
                <w:szCs w:val="18"/>
              </w:rPr>
            </w:pPr>
            <w:r w:rsidRPr="008059F4">
              <w:rPr>
                <w:rFonts w:asciiTheme="minorHAnsi" w:hAnsiTheme="minorHAnsi" w:cstheme="minorHAnsi"/>
                <w:sz w:val="18"/>
                <w:szCs w:val="18"/>
              </w:rPr>
              <w:t>The PBAC recommended the listing of meningococcal serogroup A, C, W-135 and Y oligosaccharides conjugated individually to Corynebacterium diphtheriae CRM197 protein (MenACWY</w:t>
            </w:r>
            <w:r w:rsidR="00F33C57">
              <w:rPr>
                <w:rFonts w:asciiTheme="minorHAnsi" w:hAnsiTheme="minorHAnsi" w:cstheme="minorHAnsi"/>
                <w:sz w:val="18"/>
                <w:szCs w:val="18"/>
              </w:rPr>
              <w:t>-</w:t>
            </w:r>
            <w:r w:rsidRPr="008059F4">
              <w:rPr>
                <w:rFonts w:asciiTheme="minorHAnsi" w:hAnsiTheme="minorHAnsi" w:cstheme="minorHAnsi"/>
                <w:sz w:val="18"/>
                <w:szCs w:val="18"/>
              </w:rPr>
              <w:t xml:space="preserve">CRM) vaccine (Menveo solution for injection) as a designated vaccine on the </w:t>
            </w:r>
            <w:r w:rsidRPr="008059F4">
              <w:rPr>
                <w:rFonts w:asciiTheme="minorHAnsi" w:hAnsiTheme="minorHAnsi" w:cstheme="minorHAnsi"/>
                <w:i/>
                <w:iCs/>
                <w:sz w:val="18"/>
                <w:szCs w:val="18"/>
              </w:rPr>
              <w:t>National Health (Immunisation Program — Designated Vaccines) Determination 2014 (No. 1)</w:t>
            </w:r>
            <w:r w:rsidRPr="008059F4">
              <w:rPr>
                <w:rFonts w:asciiTheme="minorHAnsi" w:hAnsiTheme="minorHAnsi" w:cstheme="minorHAnsi"/>
                <w:sz w:val="18"/>
                <w:szCs w:val="18"/>
              </w:rPr>
              <w:t xml:space="preserve"> for adolescents for the prevention of IMDs caused by Neisseria meningitidis serogroups A, C, W-135 and Y under the same circumstances as MenACWY-CRM Menveo solution and powder for reconstitution. The PBAC’s recommendation for listing was based on, among other matters, its assessment that the cost</w:t>
            </w:r>
            <w:r w:rsidR="00130D30">
              <w:rPr>
                <w:rFonts w:asciiTheme="minorHAnsi" w:hAnsiTheme="minorHAnsi" w:cstheme="minorHAnsi"/>
                <w:sz w:val="18"/>
                <w:szCs w:val="18"/>
              </w:rPr>
              <w:noBreakHyphen/>
            </w:r>
            <w:r w:rsidRPr="008059F4">
              <w:rPr>
                <w:rFonts w:asciiTheme="minorHAnsi" w:hAnsiTheme="minorHAnsi" w:cstheme="minorHAnsi"/>
                <w:sz w:val="18"/>
                <w:szCs w:val="18"/>
              </w:rPr>
              <w:t>effectiveness of Menveo solution for injection would be acceptable if it were cost-minimised against the nominated comparators, Menveo solution and powder for reconstitution and Nimenrix. The PBAC advised the equi-effective doses to be 0.5</w:t>
            </w:r>
            <w:r w:rsidR="00C67D16">
              <w:rPr>
                <w:rFonts w:asciiTheme="minorHAnsi" w:hAnsiTheme="minorHAnsi" w:cstheme="minorHAnsi"/>
                <w:sz w:val="18"/>
                <w:szCs w:val="18"/>
              </w:rPr>
              <w:t> mL</w:t>
            </w:r>
            <w:r w:rsidRPr="008059F4">
              <w:rPr>
                <w:rFonts w:asciiTheme="minorHAnsi" w:hAnsiTheme="minorHAnsi" w:cstheme="minorHAnsi"/>
                <w:sz w:val="18"/>
                <w:szCs w:val="18"/>
              </w:rPr>
              <w:t xml:space="preserve"> Menveo solution for injection = 0.5</w:t>
            </w:r>
            <w:r w:rsidR="00C67D16">
              <w:rPr>
                <w:rFonts w:asciiTheme="minorHAnsi" w:hAnsiTheme="minorHAnsi" w:cstheme="minorHAnsi"/>
                <w:sz w:val="18"/>
                <w:szCs w:val="18"/>
              </w:rPr>
              <w:t> mL</w:t>
            </w:r>
            <w:r w:rsidRPr="008059F4">
              <w:rPr>
                <w:rFonts w:asciiTheme="minorHAnsi" w:hAnsiTheme="minorHAnsi" w:cstheme="minorHAnsi"/>
                <w:sz w:val="18"/>
                <w:szCs w:val="18"/>
              </w:rPr>
              <w:t xml:space="preserve"> </w:t>
            </w:r>
            <w:r w:rsidR="00B4592A">
              <w:rPr>
                <w:rFonts w:asciiTheme="minorHAnsi" w:hAnsiTheme="minorHAnsi" w:cstheme="minorHAnsi"/>
                <w:sz w:val="18"/>
                <w:szCs w:val="18"/>
              </w:rPr>
              <w:t xml:space="preserve">Menveo </w:t>
            </w:r>
            <w:r w:rsidRPr="008059F4">
              <w:rPr>
                <w:rFonts w:asciiTheme="minorHAnsi" w:hAnsiTheme="minorHAnsi" w:cstheme="minorHAnsi"/>
                <w:sz w:val="18"/>
                <w:szCs w:val="18"/>
              </w:rPr>
              <w:t>solution and powder for reconstitution = 0.5</w:t>
            </w:r>
            <w:r w:rsidR="00C67D16">
              <w:rPr>
                <w:rFonts w:asciiTheme="minorHAnsi" w:hAnsiTheme="minorHAnsi" w:cstheme="minorHAnsi"/>
                <w:sz w:val="18"/>
                <w:szCs w:val="18"/>
              </w:rPr>
              <w:t> mL</w:t>
            </w:r>
            <w:r w:rsidRPr="008059F4">
              <w:rPr>
                <w:rFonts w:asciiTheme="minorHAnsi" w:hAnsiTheme="minorHAnsi" w:cstheme="minorHAnsi"/>
                <w:sz w:val="18"/>
                <w:szCs w:val="18"/>
              </w:rPr>
              <w:t xml:space="preserve"> Nimenrix.</w:t>
            </w:r>
          </w:p>
        </w:tc>
      </w:tr>
      <w:tr w:rsidR="008059F4" w:rsidRPr="008059F4" w14:paraId="45978DAE" w14:textId="77777777" w:rsidTr="003774E1">
        <w:trPr>
          <w:cantSplit/>
          <w:trHeight w:val="2948"/>
          <w:jc w:val="center"/>
        </w:trPr>
        <w:tc>
          <w:tcPr>
            <w:tcW w:w="3013" w:type="dxa"/>
            <w:shd w:val="clear" w:color="auto" w:fill="auto"/>
            <w:tcMar>
              <w:top w:w="28" w:type="dxa"/>
              <w:bottom w:w="28" w:type="dxa"/>
            </w:tcMar>
            <w:vAlign w:val="center"/>
          </w:tcPr>
          <w:p w14:paraId="237D85B8" w14:textId="052876DE" w:rsidR="008059F4" w:rsidRPr="008059F4" w:rsidRDefault="008059F4" w:rsidP="00BB57B7">
            <w:pPr>
              <w:keepLines/>
              <w:jc w:val="center"/>
              <w:rPr>
                <w:rFonts w:asciiTheme="minorHAnsi" w:hAnsiTheme="minorHAnsi" w:cstheme="minorHAnsi"/>
                <w:color w:val="000000"/>
                <w:sz w:val="18"/>
                <w:szCs w:val="18"/>
              </w:rPr>
            </w:pPr>
            <w:bookmarkStart w:id="7" w:name="_Hlk141955464"/>
            <w:r w:rsidRPr="008059F4">
              <w:rPr>
                <w:rFonts w:asciiTheme="minorHAnsi" w:hAnsiTheme="minorHAnsi" w:cstheme="minorHAnsi"/>
                <w:color w:val="000000"/>
                <w:sz w:val="18"/>
                <w:szCs w:val="18"/>
              </w:rPr>
              <w:lastRenderedPageBreak/>
              <w:t>MIDAZOLAM</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Oromucosal solution in pre-filled syringe 2.5</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in 0.25</w:t>
            </w:r>
            <w:r w:rsidR="00C67D16">
              <w:rPr>
                <w:rFonts w:asciiTheme="minorHAnsi" w:hAnsiTheme="minorHAnsi" w:cstheme="minorHAnsi"/>
                <w:color w:val="000000"/>
                <w:sz w:val="18"/>
                <w:szCs w:val="18"/>
              </w:rPr>
              <w:t> mL</w:t>
            </w:r>
            <w:r w:rsidRPr="008059F4">
              <w:rPr>
                <w:rFonts w:asciiTheme="minorHAnsi" w:hAnsiTheme="minorHAnsi" w:cstheme="minorHAnsi"/>
                <w:color w:val="000000"/>
                <w:sz w:val="18"/>
                <w:szCs w:val="18"/>
              </w:rPr>
              <w:br/>
              <w:t>Oromucosal solution in pre-filled syringe 5</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in 0.5</w:t>
            </w:r>
            <w:r w:rsidR="00C67D16">
              <w:rPr>
                <w:rFonts w:asciiTheme="minorHAnsi" w:hAnsiTheme="minorHAnsi" w:cstheme="minorHAnsi"/>
                <w:color w:val="000000"/>
                <w:sz w:val="18"/>
                <w:szCs w:val="18"/>
              </w:rPr>
              <w:t> mL</w:t>
            </w:r>
            <w:r w:rsidRPr="008059F4">
              <w:rPr>
                <w:rFonts w:asciiTheme="minorHAnsi" w:hAnsiTheme="minorHAnsi" w:cstheme="minorHAnsi"/>
                <w:color w:val="000000"/>
                <w:sz w:val="18"/>
                <w:szCs w:val="18"/>
              </w:rPr>
              <w:br/>
              <w:t>Oromucosal solution in pre-filled syringe 7.5</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in 0.75</w:t>
            </w:r>
            <w:r w:rsidR="00C67D16">
              <w:rPr>
                <w:rFonts w:asciiTheme="minorHAnsi" w:hAnsiTheme="minorHAnsi" w:cstheme="minorHAnsi"/>
                <w:color w:val="000000"/>
                <w:sz w:val="18"/>
                <w:szCs w:val="18"/>
              </w:rPr>
              <w:t> mL</w:t>
            </w:r>
            <w:r w:rsidRPr="008059F4">
              <w:rPr>
                <w:rFonts w:asciiTheme="minorHAnsi" w:hAnsiTheme="minorHAnsi" w:cstheme="minorHAnsi"/>
                <w:color w:val="000000"/>
                <w:sz w:val="18"/>
                <w:szCs w:val="18"/>
              </w:rPr>
              <w:br/>
              <w:t>Oromucosal solution in pre-filled syringe 10</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in 1</w:t>
            </w:r>
            <w:r w:rsidR="00C67D16">
              <w:rPr>
                <w:rFonts w:asciiTheme="minorHAnsi" w:hAnsiTheme="minorHAnsi" w:cstheme="minorHAnsi"/>
                <w:color w:val="000000"/>
                <w:sz w:val="18"/>
                <w:szCs w:val="18"/>
              </w:rPr>
              <w:t> mL</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Zyamis®</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CLINECT PTY LTD</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Category 3</w:t>
            </w:r>
            <w:r w:rsidRPr="008059F4">
              <w:rPr>
                <w:rFonts w:asciiTheme="minorHAnsi" w:hAnsiTheme="minorHAnsi" w:cstheme="minorHAnsi"/>
                <w:color w:val="000000"/>
                <w:sz w:val="18"/>
                <w:szCs w:val="18"/>
              </w:rPr>
              <w:br/>
              <w:t>(Other matters)</w:t>
            </w:r>
          </w:p>
        </w:tc>
        <w:tc>
          <w:tcPr>
            <w:tcW w:w="2764" w:type="dxa"/>
            <w:shd w:val="clear" w:color="auto" w:fill="auto"/>
            <w:vAlign w:val="center"/>
          </w:tcPr>
          <w:p w14:paraId="217F9958" w14:textId="02CE4295" w:rsidR="008059F4" w:rsidRPr="008059F4" w:rsidRDefault="008059F4" w:rsidP="00BB57B7">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Generalised convulsive status epilepticus (GCSE)</w:t>
            </w:r>
          </w:p>
        </w:tc>
        <w:tc>
          <w:tcPr>
            <w:tcW w:w="2978" w:type="dxa"/>
            <w:shd w:val="clear" w:color="auto" w:fill="auto"/>
            <w:tcMar>
              <w:top w:w="28" w:type="dxa"/>
              <w:bottom w:w="28" w:type="dxa"/>
            </w:tcMar>
            <w:vAlign w:val="center"/>
          </w:tcPr>
          <w:p w14:paraId="372A92F8" w14:textId="3DDD0341" w:rsidR="008059F4" w:rsidRPr="008059F4" w:rsidRDefault="008059F4" w:rsidP="00BB57B7">
            <w:pPr>
              <w:pStyle w:val="ListParagraph"/>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To request consideration of revised financial estimates and risk share proposal for a General Schedule Authority required (Telephone/Online) listing for the treatment of GCSE.</w:t>
            </w:r>
          </w:p>
        </w:tc>
        <w:tc>
          <w:tcPr>
            <w:tcW w:w="1800" w:type="dxa"/>
            <w:shd w:val="clear" w:color="auto" w:fill="auto"/>
            <w:vAlign w:val="center"/>
          </w:tcPr>
          <w:p w14:paraId="7755114D" w14:textId="62D2A623" w:rsidR="008059F4" w:rsidRPr="008059F4" w:rsidRDefault="008059F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Recommended</w:t>
            </w:r>
          </w:p>
        </w:tc>
        <w:tc>
          <w:tcPr>
            <w:tcW w:w="4833" w:type="dxa"/>
            <w:shd w:val="clear" w:color="auto" w:fill="auto"/>
            <w:vAlign w:val="center"/>
          </w:tcPr>
          <w:p w14:paraId="1585B5AE" w14:textId="67A1A5F6" w:rsidR="008059F4" w:rsidRPr="008059F4" w:rsidRDefault="008059F4" w:rsidP="009B3BC3">
            <w:pPr>
              <w:jc w:val="both"/>
              <w:rPr>
                <w:rFonts w:asciiTheme="minorHAnsi" w:hAnsiTheme="minorHAnsi" w:cstheme="minorHAnsi"/>
                <w:color w:val="000000"/>
                <w:sz w:val="18"/>
                <w:szCs w:val="18"/>
              </w:rPr>
            </w:pPr>
            <w:r w:rsidRPr="008059F4">
              <w:rPr>
                <w:rFonts w:asciiTheme="minorHAnsi" w:hAnsiTheme="minorHAnsi" w:cstheme="minorHAnsi"/>
                <w:color w:val="000000"/>
                <w:sz w:val="18"/>
                <w:szCs w:val="18"/>
              </w:rPr>
              <w:t>The PBAC recommended the listing of midazolam oromucosal solution in pre-filled syringes</w:t>
            </w:r>
            <w:r w:rsidR="00F33C57">
              <w:rPr>
                <w:rFonts w:asciiTheme="minorHAnsi" w:hAnsiTheme="minorHAnsi" w:cstheme="minorHAnsi"/>
                <w:color w:val="000000"/>
                <w:sz w:val="18"/>
                <w:szCs w:val="18"/>
              </w:rPr>
              <w:t xml:space="preserve"> (PFS)</w:t>
            </w:r>
            <w:r w:rsidRPr="008059F4">
              <w:rPr>
                <w:rFonts w:asciiTheme="minorHAnsi" w:hAnsiTheme="minorHAnsi" w:cstheme="minorHAnsi"/>
                <w:color w:val="000000"/>
                <w:sz w:val="18"/>
                <w:szCs w:val="18"/>
              </w:rPr>
              <w:t xml:space="preserve"> (2.5</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5</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7.5</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and 10</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for the treatment of GCSE in patients aged over 6</w:t>
            </w:r>
            <w:r w:rsidR="00130D30">
              <w:rPr>
                <w:rFonts w:asciiTheme="minorHAnsi" w:hAnsiTheme="minorHAnsi" w:cstheme="minorHAnsi"/>
                <w:color w:val="000000"/>
                <w:sz w:val="18"/>
                <w:szCs w:val="18"/>
              </w:rPr>
              <w:t> </w:t>
            </w:r>
            <w:r w:rsidRPr="008059F4">
              <w:rPr>
                <w:rFonts w:asciiTheme="minorHAnsi" w:hAnsiTheme="minorHAnsi" w:cstheme="minorHAnsi"/>
                <w:color w:val="000000"/>
                <w:sz w:val="18"/>
                <w:szCs w:val="18"/>
              </w:rPr>
              <w:t>months. The PBAC noted that GCSE presents stressful situations for parents and carers, and considered that the proposed listing, offered clinically meaningful benefits by improved quality use of medicines with easier and more accurate administration. Consistent</w:t>
            </w:r>
            <w:r w:rsidR="00D90299">
              <w:rPr>
                <w:rFonts w:asciiTheme="minorHAnsi" w:hAnsiTheme="minorHAnsi" w:cstheme="minorHAnsi"/>
                <w:color w:val="000000"/>
                <w:sz w:val="18"/>
                <w:szCs w:val="18"/>
              </w:rPr>
              <w:t xml:space="preserve"> with</w:t>
            </w:r>
            <w:r w:rsidRPr="008059F4">
              <w:rPr>
                <w:rFonts w:asciiTheme="minorHAnsi" w:hAnsiTheme="minorHAnsi" w:cstheme="minorHAnsi"/>
                <w:color w:val="000000"/>
                <w:sz w:val="18"/>
                <w:szCs w:val="18"/>
              </w:rPr>
              <w:t xml:space="preserve"> its November</w:t>
            </w:r>
            <w:r w:rsidR="00130D30">
              <w:rPr>
                <w:rFonts w:asciiTheme="minorHAnsi" w:hAnsiTheme="minorHAnsi" w:cstheme="minorHAnsi"/>
                <w:color w:val="000000"/>
                <w:sz w:val="18"/>
                <w:szCs w:val="18"/>
              </w:rPr>
              <w:t> </w:t>
            </w:r>
            <w:r w:rsidRPr="008059F4">
              <w:rPr>
                <w:rFonts w:asciiTheme="minorHAnsi" w:hAnsiTheme="minorHAnsi" w:cstheme="minorHAnsi"/>
                <w:color w:val="000000"/>
                <w:sz w:val="18"/>
                <w:szCs w:val="18"/>
              </w:rPr>
              <w:t>2022 advice, the PBAC’s recommendation for listing was based on, among other matters, its assessment that the cost</w:t>
            </w:r>
            <w:r w:rsidR="00130D30">
              <w:rPr>
                <w:rFonts w:asciiTheme="minorHAnsi" w:hAnsiTheme="minorHAnsi" w:cstheme="minorHAnsi"/>
                <w:color w:val="000000"/>
                <w:sz w:val="18"/>
                <w:szCs w:val="18"/>
              </w:rPr>
              <w:noBreakHyphen/>
            </w:r>
            <w:r w:rsidRPr="008059F4">
              <w:rPr>
                <w:rFonts w:asciiTheme="minorHAnsi" w:hAnsiTheme="minorHAnsi" w:cstheme="minorHAnsi"/>
                <w:color w:val="000000"/>
                <w:sz w:val="18"/>
                <w:szCs w:val="18"/>
              </w:rPr>
              <w:t xml:space="preserve">effectiveness of midazolam oromucosal solution in </w:t>
            </w:r>
            <w:r w:rsidR="00F33C57">
              <w:rPr>
                <w:rFonts w:asciiTheme="minorHAnsi" w:hAnsiTheme="minorHAnsi" w:cstheme="minorHAnsi"/>
                <w:color w:val="000000"/>
                <w:sz w:val="18"/>
                <w:szCs w:val="18"/>
              </w:rPr>
              <w:t>PFS</w:t>
            </w:r>
            <w:r w:rsidRPr="008059F4">
              <w:rPr>
                <w:rFonts w:asciiTheme="minorHAnsi" w:hAnsiTheme="minorHAnsi" w:cstheme="minorHAnsi"/>
                <w:color w:val="000000"/>
                <w:sz w:val="18"/>
                <w:szCs w:val="18"/>
              </w:rPr>
              <w:t xml:space="preserve"> would be acceptable if it were cost-minimised against off</w:t>
            </w:r>
            <w:r w:rsidR="00130D30">
              <w:rPr>
                <w:rFonts w:asciiTheme="minorHAnsi" w:hAnsiTheme="minorHAnsi" w:cstheme="minorHAnsi"/>
                <w:color w:val="000000"/>
                <w:sz w:val="18"/>
                <w:szCs w:val="18"/>
              </w:rPr>
              <w:noBreakHyphen/>
            </w:r>
            <w:r w:rsidRPr="008059F4">
              <w:rPr>
                <w:rFonts w:asciiTheme="minorHAnsi" w:hAnsiTheme="minorHAnsi" w:cstheme="minorHAnsi"/>
                <w:color w:val="000000"/>
                <w:sz w:val="18"/>
                <w:szCs w:val="18"/>
              </w:rPr>
              <w:t>label use of midazolam ampoules. However, the PBAC recognised there were additional health outcome benefits to this formulation associated with the accurate and timely administration of midazolam during an acute health emergency that justified a significant price premium under the specific circumstances of the restriction. The PBAC noted that the submission had presented revised financial estimates and a revised risk sharing arrangement for PBAC consideration. The PBAC considered that a modest increase in the utilisation estimates was justified to account for the utilisation of patients experiencing high-frequency seizures.</w:t>
            </w:r>
          </w:p>
        </w:tc>
      </w:tr>
      <w:bookmarkEnd w:id="7"/>
      <w:tr w:rsidR="008059F4" w:rsidRPr="008059F4" w14:paraId="5295E92B" w14:textId="77777777" w:rsidTr="003774E1">
        <w:trPr>
          <w:cantSplit/>
          <w:trHeight w:val="2948"/>
          <w:jc w:val="center"/>
        </w:trPr>
        <w:tc>
          <w:tcPr>
            <w:tcW w:w="3013" w:type="dxa"/>
            <w:shd w:val="clear" w:color="auto" w:fill="auto"/>
            <w:tcMar>
              <w:top w:w="28" w:type="dxa"/>
              <w:bottom w:w="28" w:type="dxa"/>
            </w:tcMar>
            <w:vAlign w:val="center"/>
          </w:tcPr>
          <w:p w14:paraId="4ACA54CA" w14:textId="22C66BC9" w:rsidR="008059F4" w:rsidRPr="008059F4" w:rsidRDefault="008059F4" w:rsidP="00BB57B7">
            <w:pPr>
              <w:keepLines/>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lastRenderedPageBreak/>
              <w:t>MOLNUPIRAVIR</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Capsule 200</w:t>
            </w:r>
            <w:r w:rsidR="00F875EE">
              <w:rPr>
                <w:rFonts w:asciiTheme="minorHAnsi" w:hAnsiTheme="minorHAnsi" w:cstheme="minorHAnsi"/>
                <w:color w:val="000000"/>
                <w:sz w:val="18"/>
                <w:szCs w:val="18"/>
              </w:rPr>
              <w:t> mg</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Lagevrio</w:t>
            </w:r>
            <w:r w:rsidR="0046528B" w:rsidRPr="008059F4">
              <w:rPr>
                <w:rFonts w:asciiTheme="minorHAnsi" w:hAnsiTheme="minorHAnsi" w:cstheme="minorHAnsi"/>
                <w:color w:val="000000"/>
                <w:sz w:val="18"/>
                <w:szCs w:val="18"/>
              </w:rPr>
              <w:t>®</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MERCK SHARP &amp; DOHME (AUSTRALIA) PTY LTD</w:t>
            </w:r>
            <w:r w:rsidRPr="008059F4">
              <w:rPr>
                <w:rFonts w:asciiTheme="minorHAnsi" w:hAnsiTheme="minorHAnsi" w:cstheme="minorHAnsi"/>
                <w:color w:val="000000"/>
                <w:sz w:val="18"/>
                <w:szCs w:val="18"/>
              </w:rPr>
              <w:br/>
            </w:r>
            <w:r w:rsidR="00DA6DC2">
              <w:rPr>
                <w:rFonts w:asciiTheme="minorHAnsi" w:hAnsiTheme="minorHAnsi" w:cstheme="minorHAnsi"/>
                <w:color w:val="000000"/>
                <w:sz w:val="18"/>
                <w:szCs w:val="18"/>
              </w:rPr>
              <w:br/>
            </w:r>
            <w:r w:rsidR="00FC7EA9">
              <w:rPr>
                <w:rFonts w:asciiTheme="minorHAnsi" w:hAnsiTheme="minorHAnsi" w:cstheme="minorHAnsi"/>
                <w:color w:val="000000"/>
                <w:sz w:val="18"/>
                <w:szCs w:val="18"/>
              </w:rPr>
              <w:t>Matters outstanding</w:t>
            </w:r>
            <w:r w:rsidRPr="008059F4">
              <w:rPr>
                <w:rFonts w:asciiTheme="minorHAnsi" w:hAnsiTheme="minorHAnsi" w:cstheme="minorHAnsi"/>
                <w:color w:val="000000"/>
                <w:sz w:val="18"/>
                <w:szCs w:val="18"/>
              </w:rPr>
              <w:br/>
              <w:t>(</w:t>
            </w:r>
            <w:r w:rsidR="00FC7EA9" w:rsidRPr="008059F4">
              <w:rPr>
                <w:rFonts w:asciiTheme="minorHAnsi" w:hAnsiTheme="minorHAnsi" w:cstheme="minorHAnsi"/>
                <w:color w:val="000000"/>
                <w:sz w:val="18"/>
                <w:szCs w:val="18"/>
              </w:rPr>
              <w:t>Change to existing listing</w:t>
            </w:r>
            <w:r w:rsidRPr="008059F4">
              <w:rPr>
                <w:rFonts w:asciiTheme="minorHAnsi" w:hAnsiTheme="minorHAnsi" w:cstheme="minorHAnsi"/>
                <w:color w:val="000000"/>
                <w:sz w:val="18"/>
                <w:szCs w:val="18"/>
              </w:rPr>
              <w:t>)</w:t>
            </w:r>
          </w:p>
        </w:tc>
        <w:tc>
          <w:tcPr>
            <w:tcW w:w="2764" w:type="dxa"/>
            <w:shd w:val="clear" w:color="auto" w:fill="auto"/>
            <w:vAlign w:val="center"/>
          </w:tcPr>
          <w:p w14:paraId="4F23A8B1" w14:textId="668B79CA" w:rsidR="008059F4" w:rsidRPr="008059F4" w:rsidRDefault="008059F4" w:rsidP="00BB57B7">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Mild to moderate COVID-19</w:t>
            </w:r>
          </w:p>
        </w:tc>
        <w:tc>
          <w:tcPr>
            <w:tcW w:w="2978" w:type="dxa"/>
            <w:shd w:val="clear" w:color="auto" w:fill="auto"/>
            <w:tcMar>
              <w:top w:w="28" w:type="dxa"/>
              <w:bottom w:w="28" w:type="dxa"/>
            </w:tcMar>
            <w:vAlign w:val="center"/>
          </w:tcPr>
          <w:p w14:paraId="260B69F1" w14:textId="06036EEF" w:rsidR="008059F4" w:rsidRPr="008059F4" w:rsidRDefault="008059F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 xml:space="preserve">To request a General Schedule Authority Required (STREAMLINED) listing for the treatment of high risk patients with mild to moderate </w:t>
            </w:r>
            <w:r w:rsidR="005D6947">
              <w:rPr>
                <w:rFonts w:asciiTheme="minorHAnsi" w:hAnsiTheme="minorHAnsi" w:cstheme="minorHAnsi"/>
                <w:color w:val="000000"/>
                <w:sz w:val="18"/>
                <w:szCs w:val="18"/>
              </w:rPr>
              <w:br/>
            </w:r>
            <w:r w:rsidR="00C8736D" w:rsidRPr="00C8736D">
              <w:rPr>
                <w:rFonts w:asciiTheme="minorHAnsi" w:hAnsiTheme="minorHAnsi" w:cstheme="minorHAnsi"/>
                <w:color w:val="000000"/>
                <w:sz w:val="18"/>
                <w:szCs w:val="18"/>
              </w:rPr>
              <w:t>SARS-CoV-2 infection.</w:t>
            </w:r>
          </w:p>
        </w:tc>
        <w:tc>
          <w:tcPr>
            <w:tcW w:w="1800" w:type="dxa"/>
            <w:shd w:val="clear" w:color="auto" w:fill="auto"/>
            <w:vAlign w:val="center"/>
          </w:tcPr>
          <w:p w14:paraId="1EEBFBA6" w14:textId="27E7EA10" w:rsidR="008059F4" w:rsidRPr="008059F4" w:rsidRDefault="008059F4" w:rsidP="00BB57B7">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Advice Provided</w:t>
            </w:r>
          </w:p>
        </w:tc>
        <w:tc>
          <w:tcPr>
            <w:tcW w:w="4833" w:type="dxa"/>
            <w:shd w:val="clear" w:color="auto" w:fill="auto"/>
            <w:vAlign w:val="center"/>
          </w:tcPr>
          <w:p w14:paraId="5E21D284" w14:textId="1DC0A20F" w:rsidR="008059F4" w:rsidRPr="008059F4" w:rsidRDefault="00C72987" w:rsidP="00FF2B9E">
            <w:pPr>
              <w:jc w:val="both"/>
              <w:rPr>
                <w:rFonts w:asciiTheme="minorHAnsi" w:hAnsiTheme="minorHAnsi" w:cstheme="minorHAnsi"/>
                <w:color w:val="000000"/>
                <w:sz w:val="18"/>
                <w:szCs w:val="18"/>
              </w:rPr>
            </w:pPr>
            <w:r w:rsidRPr="00C72987">
              <w:rPr>
                <w:rFonts w:asciiTheme="minorHAnsi" w:hAnsiTheme="minorHAnsi" w:cstheme="minorHAnsi"/>
                <w:color w:val="000000"/>
                <w:sz w:val="18"/>
                <w:szCs w:val="18"/>
              </w:rPr>
              <w:t>The PBAC provided advice regarding molnupiravir (Lagevrio), for the treatment of patients with mild to moderate Coronavirus disease (COVID-19) who are at high risk of severe disease requiring hospitalisation. Consistent with its July</w:t>
            </w:r>
            <w:r>
              <w:rPr>
                <w:rFonts w:asciiTheme="minorHAnsi" w:hAnsiTheme="minorHAnsi" w:cstheme="minorHAnsi"/>
                <w:color w:val="000000"/>
                <w:sz w:val="18"/>
                <w:szCs w:val="18"/>
              </w:rPr>
              <w:t> </w:t>
            </w:r>
            <w:r w:rsidRPr="00C72987">
              <w:rPr>
                <w:rFonts w:asciiTheme="minorHAnsi" w:hAnsiTheme="minorHAnsi" w:cstheme="minorHAnsi"/>
                <w:color w:val="000000"/>
                <w:sz w:val="18"/>
                <w:szCs w:val="18"/>
              </w:rPr>
              <w:t>2023 advice, the PBAC considered that molnupiravir may be an appropriate treatment for patients who cannot use nirmatrelvir and ritonavir (Paxlovid</w:t>
            </w:r>
            <w:r>
              <w:rPr>
                <w:rFonts w:asciiTheme="minorHAnsi" w:hAnsiTheme="minorHAnsi" w:cstheme="minorHAnsi"/>
                <w:color w:val="000000"/>
                <w:sz w:val="18"/>
                <w:szCs w:val="18"/>
              </w:rPr>
              <w:t>®</w:t>
            </w:r>
            <w:r w:rsidRPr="00C72987">
              <w:rPr>
                <w:rFonts w:asciiTheme="minorHAnsi" w:hAnsiTheme="minorHAnsi" w:cstheme="minorHAnsi"/>
                <w:color w:val="000000"/>
                <w:sz w:val="18"/>
                <w:szCs w:val="18"/>
              </w:rPr>
              <w:t>). The PBAC noted that nirmatrelvir and ritonavir is a more effective treatment than molnupiravir, however nirmatrelvir and ritonavir is contraindicated in patients with severe renal or hepatic impairment, and contraindicated for use with certain other drugs, due to the risk of significant drug-drug interactions. The PBAC noted that these contraindications are clinically important for some vulnerable patients and must be managed carefully by prescribers. The PBAC recommended changes to the restriction, and a reduction in the price of molnupiravir consistent with its advice on the cost-effectiveness evaluation. The PBAC noted that the market share for molnupiravir remained higher than nirmatrelvir and ritonavir, which did not reflect clinical guidelines. The PBAC recommended that the sponsor and Department</w:t>
            </w:r>
            <w:r>
              <w:rPr>
                <w:rFonts w:asciiTheme="minorHAnsi" w:hAnsiTheme="minorHAnsi" w:cstheme="minorHAnsi"/>
                <w:color w:val="000000"/>
                <w:sz w:val="18"/>
                <w:szCs w:val="18"/>
              </w:rPr>
              <w:t xml:space="preserve"> of Health and Aged Care</w:t>
            </w:r>
            <w:r w:rsidRPr="00C72987">
              <w:rPr>
                <w:rFonts w:asciiTheme="minorHAnsi" w:hAnsiTheme="minorHAnsi" w:cstheme="minorHAnsi"/>
                <w:color w:val="000000"/>
                <w:sz w:val="18"/>
                <w:szCs w:val="18"/>
              </w:rPr>
              <w:t xml:space="preserve"> explore initiatives to support the safe and effective use of oral antiviral medicines for COVID-19, consistent with quality use of medicines principles. </w:t>
            </w:r>
          </w:p>
        </w:tc>
      </w:tr>
      <w:tr w:rsidR="009A5A31" w:rsidRPr="008059F4" w14:paraId="5710BACA" w14:textId="77777777" w:rsidTr="003774E1">
        <w:trPr>
          <w:cantSplit/>
          <w:trHeight w:val="2948"/>
          <w:jc w:val="center"/>
        </w:trPr>
        <w:tc>
          <w:tcPr>
            <w:tcW w:w="3013" w:type="dxa"/>
            <w:shd w:val="clear" w:color="auto" w:fill="auto"/>
            <w:tcMar>
              <w:top w:w="28" w:type="dxa"/>
              <w:bottom w:w="28" w:type="dxa"/>
            </w:tcMar>
            <w:vAlign w:val="center"/>
          </w:tcPr>
          <w:p w14:paraId="7CACB9A9" w14:textId="6ED142DD" w:rsidR="009A5A31" w:rsidRPr="008059F4" w:rsidRDefault="009A5A31" w:rsidP="009A5A31">
            <w:pPr>
              <w:keepLines/>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lastRenderedPageBreak/>
              <w:t>NIRMATRELVIR AND RITONAVIR</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Pack containing 4 tablets nirmatrelvir 150</w:t>
            </w:r>
            <w:r>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and 2 tablets ritonavir 100</w:t>
            </w:r>
            <w:r>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5</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Paxlovid®</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PFIZER AUSTRALIA PTY LTD</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Category 1</w:t>
            </w:r>
            <w:r w:rsidRPr="008059F4">
              <w:rPr>
                <w:rFonts w:asciiTheme="minorHAnsi" w:hAnsiTheme="minorHAnsi" w:cstheme="minorHAnsi"/>
                <w:color w:val="000000"/>
                <w:sz w:val="18"/>
                <w:szCs w:val="18"/>
              </w:rPr>
              <w:br/>
              <w:t>(Change to existing listing)</w:t>
            </w:r>
          </w:p>
        </w:tc>
        <w:tc>
          <w:tcPr>
            <w:tcW w:w="2764" w:type="dxa"/>
            <w:shd w:val="clear" w:color="auto" w:fill="auto"/>
            <w:vAlign w:val="center"/>
          </w:tcPr>
          <w:p w14:paraId="095B85C1" w14:textId="5524BDE0" w:rsidR="009A5A31" w:rsidRPr="008059F4" w:rsidRDefault="009A5A31" w:rsidP="009A5A31">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SARS-CoV-2 infection</w:t>
            </w:r>
          </w:p>
        </w:tc>
        <w:tc>
          <w:tcPr>
            <w:tcW w:w="2978" w:type="dxa"/>
            <w:shd w:val="clear" w:color="auto" w:fill="auto"/>
            <w:tcMar>
              <w:top w:w="28" w:type="dxa"/>
              <w:bottom w:w="28" w:type="dxa"/>
            </w:tcMar>
            <w:vAlign w:val="center"/>
          </w:tcPr>
          <w:p w14:paraId="1726EC3F" w14:textId="2656886A" w:rsidR="009A5A31" w:rsidRPr="008059F4" w:rsidRDefault="009A5A31" w:rsidP="009A5A31">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 xml:space="preserve">To request a General Schedule Authority Required (STREAMLINED) listing for the treatment of </w:t>
            </w:r>
            <w:r w:rsidR="005D6947">
              <w:rPr>
                <w:rFonts w:asciiTheme="minorHAnsi" w:hAnsiTheme="minorHAnsi" w:cstheme="minorHAnsi"/>
                <w:color w:val="000000"/>
                <w:sz w:val="18"/>
                <w:szCs w:val="18"/>
              </w:rPr>
              <w:br/>
            </w:r>
            <w:r w:rsidRPr="008059F4">
              <w:rPr>
                <w:rFonts w:asciiTheme="minorHAnsi" w:hAnsiTheme="minorHAnsi" w:cstheme="minorHAnsi"/>
                <w:color w:val="000000"/>
                <w:sz w:val="18"/>
                <w:szCs w:val="18"/>
              </w:rPr>
              <w:t>SARS-</w:t>
            </w:r>
            <w:r>
              <w:rPr>
                <w:rFonts w:asciiTheme="minorHAnsi" w:hAnsiTheme="minorHAnsi" w:cstheme="minorHAnsi"/>
                <w:color w:val="000000"/>
                <w:sz w:val="18"/>
                <w:szCs w:val="18"/>
              </w:rPr>
              <w:t>C</w:t>
            </w:r>
            <w:r w:rsidRPr="008059F4">
              <w:rPr>
                <w:rFonts w:asciiTheme="minorHAnsi" w:hAnsiTheme="minorHAnsi" w:cstheme="minorHAnsi"/>
                <w:color w:val="000000"/>
                <w:sz w:val="18"/>
                <w:szCs w:val="18"/>
              </w:rPr>
              <w:t>oV-2 infection in people who are at increased risk of severe disease.</w:t>
            </w:r>
          </w:p>
        </w:tc>
        <w:tc>
          <w:tcPr>
            <w:tcW w:w="1800" w:type="dxa"/>
            <w:shd w:val="clear" w:color="auto" w:fill="auto"/>
            <w:vAlign w:val="center"/>
          </w:tcPr>
          <w:p w14:paraId="4B41EA07" w14:textId="5BA84E7A" w:rsidR="009A5A31" w:rsidRPr="008059F4" w:rsidRDefault="009A5A31" w:rsidP="009A5A31">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Advice Provided</w:t>
            </w:r>
          </w:p>
        </w:tc>
        <w:tc>
          <w:tcPr>
            <w:tcW w:w="4833" w:type="dxa"/>
            <w:shd w:val="clear" w:color="auto" w:fill="auto"/>
            <w:vAlign w:val="center"/>
          </w:tcPr>
          <w:p w14:paraId="3ABBF0C6" w14:textId="3D77B0E5" w:rsidR="009A5A31" w:rsidRPr="008059F4" w:rsidRDefault="009A5A31" w:rsidP="00FF2B9E">
            <w:pPr>
              <w:jc w:val="both"/>
              <w:rPr>
                <w:rFonts w:asciiTheme="minorHAnsi" w:hAnsiTheme="minorHAnsi" w:cstheme="minorHAnsi"/>
                <w:color w:val="000000"/>
                <w:sz w:val="18"/>
                <w:szCs w:val="18"/>
              </w:rPr>
            </w:pPr>
            <w:r w:rsidRPr="009A5A31">
              <w:rPr>
                <w:rFonts w:asciiTheme="minorHAnsi" w:hAnsiTheme="minorHAnsi" w:cstheme="minorHAnsi"/>
                <w:color w:val="000000"/>
                <w:sz w:val="18"/>
                <w:szCs w:val="18"/>
              </w:rPr>
              <w:t>The PBAC provided advice regarding nirmatrelvir and ritonavir (Paxlovid), for the treatment of patients with mild to moderate Coronavirus disease (COVID-19) who are at high risk of severe disease requiring hospitalisation. The PBAC maintained its previous advice that nirmatrelvir and ritonavir is preferred over molnupiravir in a scenario where both oral antivirals are able to be used based on clinical evidence showing greater efficacy with nirmatrelvir and ritonavir. The PBAC recommended that, at its current price, there should be a change to the restriction for patients aged 50-69 years, which currently allows access for patients with one or more additional risk factors, to revert to the requirement for two or more risk factors, due to reduced cost-effectiveness in this lower risk population. The PBAC noted that a price reduction was offered in the pre-PBAC response however the proposed price remained higher than the current price. The PBAC advised that a price reduction is required from the current price because cost-effectiveness has almost certainly declined since the initial decision to recommend listing on the PBS was made.</w:t>
            </w:r>
          </w:p>
        </w:tc>
      </w:tr>
      <w:tr w:rsidR="009A5A31" w:rsidRPr="008059F4" w14:paraId="489FAC6F" w14:textId="77777777" w:rsidTr="003774E1">
        <w:trPr>
          <w:cantSplit/>
          <w:trHeight w:val="2948"/>
          <w:jc w:val="center"/>
        </w:trPr>
        <w:tc>
          <w:tcPr>
            <w:tcW w:w="3013" w:type="dxa"/>
            <w:shd w:val="clear" w:color="auto" w:fill="auto"/>
            <w:tcMar>
              <w:top w:w="28" w:type="dxa"/>
              <w:bottom w:w="28" w:type="dxa"/>
            </w:tcMar>
            <w:vAlign w:val="center"/>
          </w:tcPr>
          <w:p w14:paraId="61EC39D5" w14:textId="12C7D503" w:rsidR="009A5A31" w:rsidRPr="008059F4" w:rsidRDefault="009A5A31" w:rsidP="009A5A31">
            <w:pPr>
              <w:keepLines/>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NIVOLUMAB</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Injection concentrate for I.V. infusion 40</w:t>
            </w:r>
            <w:r>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in 4</w:t>
            </w:r>
            <w:r>
              <w:rPr>
                <w:rFonts w:asciiTheme="minorHAnsi" w:hAnsiTheme="minorHAnsi" w:cstheme="minorHAnsi"/>
                <w:color w:val="000000"/>
                <w:sz w:val="18"/>
                <w:szCs w:val="18"/>
              </w:rPr>
              <w:t> mL</w:t>
            </w:r>
            <w:r w:rsidRPr="008059F4">
              <w:rPr>
                <w:rFonts w:asciiTheme="minorHAnsi" w:hAnsiTheme="minorHAnsi" w:cstheme="minorHAnsi"/>
                <w:color w:val="000000"/>
                <w:sz w:val="18"/>
                <w:szCs w:val="18"/>
              </w:rPr>
              <w:t xml:space="preserve"> </w:t>
            </w:r>
            <w:r w:rsidRPr="008059F4">
              <w:rPr>
                <w:rFonts w:asciiTheme="minorHAnsi" w:hAnsiTheme="minorHAnsi" w:cstheme="minorHAnsi"/>
                <w:color w:val="000000"/>
                <w:sz w:val="18"/>
                <w:szCs w:val="18"/>
              </w:rPr>
              <w:br/>
              <w:t>Injection concentrate for I.V. infusion 100</w:t>
            </w:r>
            <w:r>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in 10</w:t>
            </w:r>
            <w:r>
              <w:rPr>
                <w:rFonts w:asciiTheme="minorHAnsi" w:hAnsiTheme="minorHAnsi" w:cstheme="minorHAnsi"/>
                <w:color w:val="000000"/>
                <w:sz w:val="18"/>
                <w:szCs w:val="18"/>
              </w:rPr>
              <w:t> mL</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Opdivo®</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BRISTOL-MYERS SQUIBB AUSTRALIA PTY LTD</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Standard re-entry</w:t>
            </w:r>
            <w:r w:rsidRPr="008059F4">
              <w:rPr>
                <w:rFonts w:asciiTheme="minorHAnsi" w:hAnsiTheme="minorHAnsi" w:cstheme="minorHAnsi"/>
                <w:color w:val="000000"/>
                <w:sz w:val="18"/>
                <w:szCs w:val="18"/>
              </w:rPr>
              <w:br/>
              <w:t>(Change to existing listing)</w:t>
            </w:r>
          </w:p>
        </w:tc>
        <w:tc>
          <w:tcPr>
            <w:tcW w:w="2764" w:type="dxa"/>
            <w:shd w:val="clear" w:color="auto" w:fill="auto"/>
            <w:vAlign w:val="center"/>
          </w:tcPr>
          <w:p w14:paraId="3E739BB6" w14:textId="523A6B24" w:rsidR="009A5A31" w:rsidRPr="008059F4" w:rsidRDefault="009A5A31" w:rsidP="009A5A31">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Muscle invasive urothelial carcinoma (MIUC)</w:t>
            </w:r>
          </w:p>
        </w:tc>
        <w:tc>
          <w:tcPr>
            <w:tcW w:w="2978" w:type="dxa"/>
            <w:shd w:val="clear" w:color="auto" w:fill="auto"/>
            <w:tcMar>
              <w:top w:w="28" w:type="dxa"/>
              <w:bottom w:w="28" w:type="dxa"/>
            </w:tcMar>
            <w:vAlign w:val="center"/>
          </w:tcPr>
          <w:p w14:paraId="74296E34" w14:textId="262D2497" w:rsidR="009A5A31" w:rsidRPr="008059F4" w:rsidRDefault="009A5A31" w:rsidP="009A5A31">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To request a Section 100 (Efficient Funding of Chemotherapy Program) Authority Required (Telephone/Online) listing for the adjuvant treatment of high-risk MIUC.</w:t>
            </w:r>
          </w:p>
        </w:tc>
        <w:tc>
          <w:tcPr>
            <w:tcW w:w="1800" w:type="dxa"/>
            <w:shd w:val="clear" w:color="auto" w:fill="auto"/>
            <w:vAlign w:val="center"/>
          </w:tcPr>
          <w:p w14:paraId="7475BFF7" w14:textId="2CE17D8A" w:rsidR="009A5A31" w:rsidRPr="008059F4" w:rsidRDefault="009A5A31" w:rsidP="009A5A31">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Deferred</w:t>
            </w:r>
          </w:p>
        </w:tc>
        <w:tc>
          <w:tcPr>
            <w:tcW w:w="4833" w:type="dxa"/>
            <w:shd w:val="clear" w:color="auto" w:fill="auto"/>
            <w:vAlign w:val="center"/>
          </w:tcPr>
          <w:p w14:paraId="53A68F70" w14:textId="758E2242" w:rsidR="009A5A31" w:rsidRDefault="009A5A31" w:rsidP="00FF2B9E">
            <w:pPr>
              <w:jc w:val="both"/>
              <w:rPr>
                <w:rFonts w:asciiTheme="minorHAnsi" w:hAnsiTheme="minorHAnsi" w:cstheme="minorHAnsi"/>
                <w:color w:val="000000"/>
                <w:sz w:val="18"/>
                <w:szCs w:val="18"/>
              </w:rPr>
            </w:pPr>
            <w:r w:rsidRPr="008B7209">
              <w:rPr>
                <w:rFonts w:asciiTheme="minorHAnsi" w:hAnsiTheme="minorHAnsi" w:cstheme="minorHAnsi"/>
                <w:color w:val="000000"/>
                <w:sz w:val="18"/>
                <w:szCs w:val="18"/>
              </w:rPr>
              <w:t xml:space="preserve">The PBAC deferred making a recommendation for nivolumab for the adjuvant treatment of high-risk </w:t>
            </w:r>
            <w:r>
              <w:rPr>
                <w:rFonts w:asciiTheme="minorHAnsi" w:hAnsiTheme="minorHAnsi" w:cstheme="minorHAnsi"/>
                <w:color w:val="000000"/>
                <w:sz w:val="18"/>
                <w:szCs w:val="18"/>
              </w:rPr>
              <w:t>MIUC</w:t>
            </w:r>
            <w:r w:rsidRPr="008B7209">
              <w:rPr>
                <w:rFonts w:asciiTheme="minorHAnsi" w:hAnsiTheme="minorHAnsi" w:cstheme="minorHAnsi"/>
                <w:color w:val="000000"/>
                <w:sz w:val="18"/>
                <w:szCs w:val="18"/>
              </w:rPr>
              <w:t xml:space="preserve"> to allow for further consultation with the sponsor regarding a cost</w:t>
            </w:r>
            <w:r w:rsidR="00130D30">
              <w:rPr>
                <w:rFonts w:asciiTheme="minorHAnsi" w:hAnsiTheme="minorHAnsi" w:cstheme="minorHAnsi"/>
                <w:color w:val="000000"/>
                <w:sz w:val="18"/>
                <w:szCs w:val="18"/>
              </w:rPr>
              <w:noBreakHyphen/>
            </w:r>
            <w:r w:rsidRPr="008B7209">
              <w:rPr>
                <w:rFonts w:asciiTheme="minorHAnsi" w:hAnsiTheme="minorHAnsi" w:cstheme="minorHAnsi"/>
                <w:color w:val="000000"/>
                <w:sz w:val="18"/>
                <w:szCs w:val="18"/>
              </w:rPr>
              <w:t>effective price for nivolumab. The PBAC agreed with the ESC that despite the use of more reasonable inputs the incremental</w:t>
            </w:r>
            <w:r w:rsidR="00130D30">
              <w:rPr>
                <w:rFonts w:asciiTheme="minorHAnsi" w:hAnsiTheme="minorHAnsi" w:cstheme="minorHAnsi"/>
                <w:color w:val="000000"/>
                <w:sz w:val="18"/>
                <w:szCs w:val="18"/>
              </w:rPr>
              <w:t xml:space="preserve"> </w:t>
            </w:r>
            <w:r w:rsidRPr="008B7209">
              <w:rPr>
                <w:rFonts w:asciiTheme="minorHAnsi" w:hAnsiTheme="minorHAnsi" w:cstheme="minorHAnsi"/>
                <w:color w:val="000000"/>
                <w:sz w:val="18"/>
                <w:szCs w:val="18"/>
              </w:rPr>
              <w:t>cost</w:t>
            </w:r>
            <w:r w:rsidR="00130D30">
              <w:rPr>
                <w:rFonts w:asciiTheme="minorHAnsi" w:hAnsiTheme="minorHAnsi" w:cstheme="minorHAnsi"/>
                <w:color w:val="000000"/>
                <w:sz w:val="18"/>
                <w:szCs w:val="18"/>
              </w:rPr>
              <w:noBreakHyphen/>
            </w:r>
            <w:r w:rsidRPr="008B7209">
              <w:rPr>
                <w:rFonts w:asciiTheme="minorHAnsi" w:hAnsiTheme="minorHAnsi" w:cstheme="minorHAnsi"/>
                <w:color w:val="000000"/>
                <w:sz w:val="18"/>
                <w:szCs w:val="18"/>
              </w:rPr>
              <w:t>effectiveness ratio from the multivariate analysis remained uncertain. The PBAC considered a substantial price reduction would be required to achieve cost-effectiveness.</w:t>
            </w:r>
          </w:p>
          <w:p w14:paraId="6243C080" w14:textId="77777777" w:rsidR="009A5A31" w:rsidRPr="00134057" w:rsidRDefault="009A5A31" w:rsidP="009A5A31">
            <w:pPr>
              <w:rPr>
                <w:rFonts w:asciiTheme="minorHAnsi" w:hAnsiTheme="minorHAnsi" w:cstheme="minorHAnsi"/>
                <w:color w:val="000000"/>
                <w:sz w:val="18"/>
                <w:szCs w:val="18"/>
              </w:rPr>
            </w:pPr>
          </w:p>
          <w:p w14:paraId="37D9ABB5" w14:textId="77777777" w:rsidR="009A5A31" w:rsidRDefault="009A5A31" w:rsidP="009A5A31">
            <w:pPr>
              <w:rPr>
                <w:rFonts w:asciiTheme="minorHAnsi" w:hAnsiTheme="minorHAnsi" w:cstheme="minorHAnsi"/>
                <w:color w:val="000000"/>
                <w:sz w:val="18"/>
                <w:szCs w:val="18"/>
              </w:rPr>
            </w:pPr>
            <w:r w:rsidRPr="000110D5">
              <w:rPr>
                <w:rFonts w:asciiTheme="minorHAnsi" w:hAnsiTheme="minorHAnsi" w:cstheme="minorHAnsi"/>
                <w:color w:val="000000"/>
                <w:sz w:val="18"/>
                <w:szCs w:val="18"/>
                <w:u w:val="single"/>
              </w:rPr>
              <w:t>Sponsor’s Comment:</w:t>
            </w:r>
          </w:p>
          <w:p w14:paraId="64526954" w14:textId="0A434C80" w:rsidR="009A5A31" w:rsidRPr="00E13A9C" w:rsidRDefault="00B01FA9" w:rsidP="00476822">
            <w:pPr>
              <w:jc w:val="both"/>
              <w:rPr>
                <w:rFonts w:asciiTheme="minorHAnsi" w:hAnsiTheme="minorHAnsi" w:cstheme="minorHAnsi"/>
                <w:color w:val="000000"/>
                <w:sz w:val="18"/>
                <w:szCs w:val="18"/>
              </w:rPr>
            </w:pPr>
            <w:r w:rsidRPr="00E13A9C">
              <w:rPr>
                <w:rFonts w:asciiTheme="minorHAnsi" w:hAnsiTheme="minorHAnsi" w:cstheme="minorHAnsi"/>
                <w:color w:val="000000"/>
                <w:sz w:val="18"/>
                <w:szCs w:val="18"/>
              </w:rPr>
              <w:t>Bristol-Myers Squibb looks forward to working with the PBAC to make nivolumab available to Australian patients for the adjuvant treatment of high-risk muscle invasive urothelial carcinoma. We are committed to working closely with the PBAC to ensure that this treatment is made available to patients in a timely manner.</w:t>
            </w:r>
          </w:p>
        </w:tc>
      </w:tr>
      <w:tr w:rsidR="009A5A31" w:rsidRPr="008059F4" w14:paraId="43F0D609" w14:textId="77777777" w:rsidTr="003774E1">
        <w:trPr>
          <w:cantSplit/>
          <w:trHeight w:val="2948"/>
          <w:jc w:val="center"/>
        </w:trPr>
        <w:tc>
          <w:tcPr>
            <w:tcW w:w="3013" w:type="dxa"/>
            <w:shd w:val="clear" w:color="auto" w:fill="auto"/>
            <w:tcMar>
              <w:top w:w="28" w:type="dxa"/>
              <w:bottom w:w="28" w:type="dxa"/>
            </w:tcMar>
            <w:vAlign w:val="center"/>
          </w:tcPr>
          <w:p w14:paraId="1E00BDDB" w14:textId="18C4F509" w:rsidR="009A5A31" w:rsidRPr="008059F4" w:rsidRDefault="009A5A31" w:rsidP="009A5A31">
            <w:pPr>
              <w:keepLines/>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lastRenderedPageBreak/>
              <w:t>OLAPARIB</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Tablet 100</w:t>
            </w:r>
            <w:r>
              <w:rPr>
                <w:rFonts w:asciiTheme="minorHAnsi" w:hAnsiTheme="minorHAnsi" w:cstheme="minorHAnsi"/>
                <w:color w:val="000000"/>
                <w:sz w:val="18"/>
                <w:szCs w:val="18"/>
              </w:rPr>
              <w:t> mg</w:t>
            </w:r>
            <w:r>
              <w:rPr>
                <w:rFonts w:asciiTheme="minorHAnsi" w:hAnsiTheme="minorHAnsi" w:cstheme="minorHAnsi"/>
                <w:color w:val="000000"/>
                <w:sz w:val="18"/>
                <w:szCs w:val="18"/>
              </w:rPr>
              <w:br/>
            </w:r>
            <w:r w:rsidRPr="008059F4">
              <w:rPr>
                <w:rFonts w:asciiTheme="minorHAnsi" w:hAnsiTheme="minorHAnsi" w:cstheme="minorHAnsi"/>
                <w:color w:val="000000"/>
                <w:sz w:val="18"/>
                <w:szCs w:val="18"/>
              </w:rPr>
              <w:t>Tablet 150</w:t>
            </w:r>
            <w:r>
              <w:rPr>
                <w:rFonts w:asciiTheme="minorHAnsi" w:hAnsiTheme="minorHAnsi" w:cstheme="minorHAnsi"/>
                <w:color w:val="000000"/>
                <w:sz w:val="18"/>
                <w:szCs w:val="18"/>
              </w:rPr>
              <w:t> mg</w:t>
            </w:r>
            <w:r w:rsidRPr="008059F4">
              <w:rPr>
                <w:rFonts w:asciiTheme="minorHAnsi" w:hAnsiTheme="minorHAnsi" w:cstheme="minorHAnsi"/>
                <w:color w:val="000000"/>
                <w:sz w:val="18"/>
                <w:szCs w:val="18"/>
              </w:rPr>
              <w:br/>
              <w:t>Tablet 150</w:t>
            </w:r>
            <w:r>
              <w:rPr>
                <w:rFonts w:asciiTheme="minorHAnsi" w:hAnsiTheme="minorHAnsi" w:cstheme="minorHAnsi"/>
                <w:color w:val="000000"/>
                <w:sz w:val="18"/>
                <w:szCs w:val="18"/>
              </w:rPr>
              <w:t> mg</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Lynparza®</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ASTRAZENECA PTY LTD</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Category 2</w:t>
            </w:r>
            <w:r w:rsidRPr="008059F4">
              <w:rPr>
                <w:rFonts w:asciiTheme="minorHAnsi" w:hAnsiTheme="minorHAnsi" w:cstheme="minorHAnsi"/>
                <w:color w:val="000000"/>
                <w:sz w:val="18"/>
                <w:szCs w:val="18"/>
              </w:rPr>
              <w:br/>
              <w:t>(Change to existing listing)</w:t>
            </w:r>
          </w:p>
        </w:tc>
        <w:tc>
          <w:tcPr>
            <w:tcW w:w="2764" w:type="dxa"/>
            <w:shd w:val="clear" w:color="auto" w:fill="auto"/>
            <w:vAlign w:val="center"/>
          </w:tcPr>
          <w:p w14:paraId="1D804EEE" w14:textId="6F8256A4" w:rsidR="009A5A31" w:rsidRPr="008059F4" w:rsidRDefault="009A5A31" w:rsidP="009A5A31">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Metastatic castration-resistant prostate cancer (mCRPC)</w:t>
            </w:r>
          </w:p>
        </w:tc>
        <w:tc>
          <w:tcPr>
            <w:tcW w:w="2978" w:type="dxa"/>
            <w:shd w:val="clear" w:color="auto" w:fill="auto"/>
            <w:tcMar>
              <w:top w:w="28" w:type="dxa"/>
              <w:bottom w:w="28" w:type="dxa"/>
            </w:tcMar>
            <w:vAlign w:val="center"/>
          </w:tcPr>
          <w:p w14:paraId="5E60C82A" w14:textId="1B7C855F" w:rsidR="009A5A31" w:rsidRPr="008059F4" w:rsidRDefault="009A5A31" w:rsidP="009A5A31">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To request a General Schedule Authority Required (Telephone/Online) listing for the first line treatment of mCRPC in patients with a Class 4 or 5 Breast Cancer Gene 1 (</w:t>
            </w:r>
            <w:r w:rsidRPr="009B3BC3">
              <w:rPr>
                <w:rFonts w:asciiTheme="minorHAnsi" w:hAnsiTheme="minorHAnsi" w:cstheme="minorHAnsi"/>
                <w:i/>
                <w:iCs/>
                <w:color w:val="000000"/>
                <w:sz w:val="18"/>
                <w:szCs w:val="18"/>
              </w:rPr>
              <w:t>BRCA1</w:t>
            </w:r>
            <w:r w:rsidRPr="008059F4">
              <w:rPr>
                <w:rFonts w:asciiTheme="minorHAnsi" w:hAnsiTheme="minorHAnsi" w:cstheme="minorHAnsi"/>
                <w:color w:val="000000"/>
                <w:sz w:val="18"/>
                <w:szCs w:val="18"/>
              </w:rPr>
              <w:t xml:space="preserve">) or </w:t>
            </w:r>
            <w:r w:rsidRPr="009B3BC3">
              <w:rPr>
                <w:rFonts w:asciiTheme="minorHAnsi" w:hAnsiTheme="minorHAnsi" w:cstheme="minorHAnsi"/>
                <w:i/>
                <w:iCs/>
                <w:color w:val="000000"/>
                <w:sz w:val="18"/>
                <w:szCs w:val="18"/>
              </w:rPr>
              <w:t>BRCA2</w:t>
            </w:r>
            <w:r w:rsidRPr="008059F4">
              <w:rPr>
                <w:rFonts w:asciiTheme="minorHAnsi" w:hAnsiTheme="minorHAnsi" w:cstheme="minorHAnsi"/>
                <w:color w:val="000000"/>
                <w:sz w:val="18"/>
                <w:szCs w:val="18"/>
              </w:rPr>
              <w:t xml:space="preserve"> mutation who have not received prior treatment with a novel hormonal agent.</w:t>
            </w:r>
          </w:p>
        </w:tc>
        <w:tc>
          <w:tcPr>
            <w:tcW w:w="1800" w:type="dxa"/>
            <w:shd w:val="clear" w:color="auto" w:fill="auto"/>
            <w:vAlign w:val="center"/>
          </w:tcPr>
          <w:p w14:paraId="41EBECF1" w14:textId="7A79EE5E" w:rsidR="009A5A31" w:rsidRPr="008059F4" w:rsidRDefault="009A5A31" w:rsidP="009A5A31">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Not Recommended</w:t>
            </w:r>
          </w:p>
        </w:tc>
        <w:tc>
          <w:tcPr>
            <w:tcW w:w="4833" w:type="dxa"/>
            <w:shd w:val="clear" w:color="auto" w:fill="auto"/>
            <w:vAlign w:val="center"/>
          </w:tcPr>
          <w:p w14:paraId="26AFD9CB" w14:textId="614158D7" w:rsidR="009A5A31" w:rsidRDefault="009A5A31" w:rsidP="00FF2B9E">
            <w:pPr>
              <w:jc w:val="both"/>
              <w:rPr>
                <w:rFonts w:asciiTheme="minorHAnsi" w:hAnsiTheme="minorHAnsi" w:cstheme="minorHAnsi"/>
                <w:color w:val="000000"/>
                <w:sz w:val="18"/>
                <w:szCs w:val="18"/>
              </w:rPr>
            </w:pPr>
            <w:r w:rsidRPr="008B7209">
              <w:rPr>
                <w:rFonts w:asciiTheme="minorHAnsi" w:hAnsiTheme="minorHAnsi" w:cstheme="minorHAnsi"/>
                <w:color w:val="000000"/>
                <w:sz w:val="18"/>
                <w:szCs w:val="18"/>
              </w:rPr>
              <w:t xml:space="preserve">The PBAC did not recommend olaparib, for use in combination with abiraterone, for the first line treatment of mCRPC patients with </w:t>
            </w:r>
            <w:r w:rsidRPr="00FF2B9E">
              <w:rPr>
                <w:rFonts w:asciiTheme="minorHAnsi" w:hAnsiTheme="minorHAnsi" w:cstheme="minorHAnsi"/>
                <w:i/>
                <w:iCs/>
                <w:color w:val="000000"/>
                <w:sz w:val="18"/>
                <w:szCs w:val="18"/>
              </w:rPr>
              <w:t>BRCA1/BRCA2</w:t>
            </w:r>
            <w:r w:rsidRPr="008B7209">
              <w:rPr>
                <w:rFonts w:asciiTheme="minorHAnsi" w:hAnsiTheme="minorHAnsi" w:cstheme="minorHAnsi"/>
                <w:color w:val="000000"/>
                <w:sz w:val="18"/>
                <w:szCs w:val="18"/>
              </w:rPr>
              <w:t xml:space="preserve"> pathogenic variants who have not received prior treatment with a novel hormonal agent (NHA). The PBAC considered that the clinical evidence presented in the submission, which was based on a small post-hoc subgroup, was uncertain. The PBAC also considered that the incremental cost</w:t>
            </w:r>
            <w:r w:rsidR="00130D30">
              <w:rPr>
                <w:rFonts w:asciiTheme="minorHAnsi" w:hAnsiTheme="minorHAnsi" w:cstheme="minorHAnsi"/>
                <w:color w:val="000000"/>
                <w:sz w:val="18"/>
                <w:szCs w:val="18"/>
              </w:rPr>
              <w:noBreakHyphen/>
            </w:r>
            <w:r w:rsidRPr="008B7209">
              <w:rPr>
                <w:rFonts w:asciiTheme="minorHAnsi" w:hAnsiTheme="minorHAnsi" w:cstheme="minorHAnsi"/>
                <w:color w:val="000000"/>
                <w:sz w:val="18"/>
                <w:szCs w:val="18"/>
              </w:rPr>
              <w:t>effectiveness ratio was highly uncertain and likely underestimated and that the financial impact estimates were overestimated. Further, the PBAC considered that the clinical place of olaparib in combination with abiraterone was uncertain, noting that olaparib was available as monotherapy in the mCRPC setting following treatment with a NHA and that no evidence was presented to suggest that the combination of olaparib and abiraterone was superior to sequential treatment of a NHA followed by olaparib.</w:t>
            </w:r>
          </w:p>
          <w:p w14:paraId="134FBB72" w14:textId="77777777" w:rsidR="009A5A31" w:rsidRPr="00134057" w:rsidRDefault="009A5A31" w:rsidP="009A5A31">
            <w:pPr>
              <w:rPr>
                <w:rFonts w:asciiTheme="minorHAnsi" w:hAnsiTheme="minorHAnsi" w:cstheme="minorHAnsi"/>
                <w:color w:val="000000"/>
                <w:sz w:val="18"/>
                <w:szCs w:val="18"/>
              </w:rPr>
            </w:pPr>
          </w:p>
          <w:p w14:paraId="4342FAE4" w14:textId="77777777" w:rsidR="009A5A31" w:rsidRDefault="009A5A31" w:rsidP="009A5A31">
            <w:pPr>
              <w:rPr>
                <w:rFonts w:asciiTheme="minorHAnsi" w:hAnsiTheme="minorHAnsi" w:cstheme="minorHAnsi"/>
                <w:color w:val="000000"/>
                <w:sz w:val="18"/>
                <w:szCs w:val="18"/>
              </w:rPr>
            </w:pPr>
            <w:r w:rsidRPr="000110D5">
              <w:rPr>
                <w:rFonts w:asciiTheme="minorHAnsi" w:hAnsiTheme="minorHAnsi" w:cstheme="minorHAnsi"/>
                <w:color w:val="000000"/>
                <w:sz w:val="18"/>
                <w:szCs w:val="18"/>
                <w:u w:val="single"/>
              </w:rPr>
              <w:t>Sponsor’s Comment:</w:t>
            </w:r>
          </w:p>
          <w:p w14:paraId="12EDB2CB" w14:textId="6935DDD2" w:rsidR="009A5A31" w:rsidRPr="008059F4" w:rsidRDefault="00A631ED" w:rsidP="009A5A31">
            <w:pPr>
              <w:rPr>
                <w:rFonts w:asciiTheme="minorHAnsi" w:hAnsiTheme="minorHAnsi" w:cstheme="minorHAnsi"/>
                <w:color w:val="000000"/>
                <w:sz w:val="18"/>
                <w:szCs w:val="18"/>
              </w:rPr>
            </w:pPr>
            <w:r w:rsidRPr="008B5F66">
              <w:rPr>
                <w:rFonts w:asciiTheme="minorHAnsi" w:hAnsiTheme="minorHAnsi" w:cstheme="minorHAnsi"/>
                <w:color w:val="000000"/>
                <w:sz w:val="18"/>
                <w:szCs w:val="18"/>
              </w:rPr>
              <w:t>The sponsor had no comment.</w:t>
            </w:r>
          </w:p>
        </w:tc>
      </w:tr>
      <w:tr w:rsidR="009A5A31" w:rsidRPr="008059F4" w14:paraId="41B47CB4" w14:textId="77777777" w:rsidTr="003774E1">
        <w:trPr>
          <w:cantSplit/>
          <w:trHeight w:val="2948"/>
          <w:jc w:val="center"/>
        </w:trPr>
        <w:tc>
          <w:tcPr>
            <w:tcW w:w="3013" w:type="dxa"/>
            <w:shd w:val="clear" w:color="auto" w:fill="auto"/>
            <w:tcMar>
              <w:top w:w="28" w:type="dxa"/>
              <w:bottom w:w="28" w:type="dxa"/>
            </w:tcMar>
            <w:vAlign w:val="center"/>
          </w:tcPr>
          <w:p w14:paraId="1F4E64BA" w14:textId="6D59C712" w:rsidR="009A5A31" w:rsidRPr="008059F4" w:rsidRDefault="009A5A31" w:rsidP="009A5A31">
            <w:pPr>
              <w:keepLines/>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OLAPARIB</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Tablet 100</w:t>
            </w:r>
            <w:r>
              <w:rPr>
                <w:rFonts w:asciiTheme="minorHAnsi" w:hAnsiTheme="minorHAnsi" w:cstheme="minorHAnsi"/>
                <w:color w:val="000000"/>
                <w:sz w:val="18"/>
                <w:szCs w:val="18"/>
              </w:rPr>
              <w:t> mg</w:t>
            </w:r>
            <w:r>
              <w:rPr>
                <w:rFonts w:asciiTheme="minorHAnsi" w:hAnsiTheme="minorHAnsi" w:cstheme="minorHAnsi"/>
                <w:color w:val="000000"/>
                <w:sz w:val="18"/>
                <w:szCs w:val="18"/>
              </w:rPr>
              <w:br/>
            </w:r>
            <w:r w:rsidRPr="008059F4">
              <w:rPr>
                <w:rFonts w:asciiTheme="minorHAnsi" w:hAnsiTheme="minorHAnsi" w:cstheme="minorHAnsi"/>
                <w:color w:val="000000"/>
                <w:sz w:val="18"/>
                <w:szCs w:val="18"/>
              </w:rPr>
              <w:t>Tablet 150</w:t>
            </w:r>
            <w:r>
              <w:rPr>
                <w:rFonts w:asciiTheme="minorHAnsi" w:hAnsiTheme="minorHAnsi" w:cstheme="minorHAnsi"/>
                <w:color w:val="000000"/>
                <w:sz w:val="18"/>
                <w:szCs w:val="18"/>
              </w:rPr>
              <w:t> mg</w:t>
            </w:r>
            <w:r w:rsidRPr="008059F4">
              <w:rPr>
                <w:rFonts w:asciiTheme="minorHAnsi" w:hAnsiTheme="minorHAnsi" w:cstheme="minorHAnsi"/>
                <w:color w:val="000000"/>
                <w:sz w:val="18"/>
                <w:szCs w:val="18"/>
              </w:rPr>
              <w:br/>
              <w:t>Tablet 150</w:t>
            </w:r>
            <w:r>
              <w:rPr>
                <w:rFonts w:asciiTheme="minorHAnsi" w:hAnsiTheme="minorHAnsi" w:cstheme="minorHAnsi"/>
                <w:color w:val="000000"/>
                <w:sz w:val="18"/>
                <w:szCs w:val="18"/>
              </w:rPr>
              <w:t> mg</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Lynparza®</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ASTRAZENECA PTY LTD</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Standard re-entry</w:t>
            </w:r>
            <w:r w:rsidRPr="008059F4">
              <w:rPr>
                <w:rFonts w:asciiTheme="minorHAnsi" w:hAnsiTheme="minorHAnsi" w:cstheme="minorHAnsi"/>
                <w:color w:val="000000"/>
                <w:sz w:val="18"/>
                <w:szCs w:val="18"/>
              </w:rPr>
              <w:br/>
              <w:t>(Change to existing listing)</w:t>
            </w:r>
          </w:p>
        </w:tc>
        <w:tc>
          <w:tcPr>
            <w:tcW w:w="2764" w:type="dxa"/>
            <w:shd w:val="clear" w:color="auto" w:fill="auto"/>
            <w:vAlign w:val="center"/>
          </w:tcPr>
          <w:p w14:paraId="1D7AED15" w14:textId="26BB307D" w:rsidR="009A5A31" w:rsidRPr="008059F4" w:rsidRDefault="009A5A31" w:rsidP="009A5A31">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Human epidermal growth factor receptor 2 negative</w:t>
            </w:r>
            <w:r>
              <w:rPr>
                <w:rFonts w:asciiTheme="minorHAnsi" w:hAnsiTheme="minorHAnsi" w:cstheme="minorHAnsi"/>
                <w:color w:val="000000"/>
                <w:sz w:val="18"/>
                <w:szCs w:val="18"/>
              </w:rPr>
              <w:t xml:space="preserve"> </w:t>
            </w:r>
            <w:r w:rsidRPr="008059F4">
              <w:rPr>
                <w:rFonts w:asciiTheme="minorHAnsi" w:hAnsiTheme="minorHAnsi" w:cstheme="minorHAnsi"/>
                <w:color w:val="000000"/>
                <w:sz w:val="18"/>
                <w:szCs w:val="18"/>
              </w:rPr>
              <w:t>(HER2-</w:t>
            </w:r>
            <w:r>
              <w:rPr>
                <w:rFonts w:asciiTheme="minorHAnsi" w:hAnsiTheme="minorHAnsi" w:cstheme="minorHAnsi"/>
                <w:color w:val="000000"/>
                <w:sz w:val="18"/>
                <w:szCs w:val="18"/>
              </w:rPr>
              <w:t>)</w:t>
            </w:r>
            <w:r w:rsidRPr="008059F4">
              <w:rPr>
                <w:rFonts w:asciiTheme="minorHAnsi" w:hAnsiTheme="minorHAnsi" w:cstheme="minorHAnsi"/>
                <w:color w:val="000000"/>
                <w:sz w:val="18"/>
                <w:szCs w:val="18"/>
              </w:rPr>
              <w:t xml:space="preserve"> early breast cancer</w:t>
            </w:r>
          </w:p>
        </w:tc>
        <w:tc>
          <w:tcPr>
            <w:tcW w:w="2978" w:type="dxa"/>
            <w:shd w:val="clear" w:color="auto" w:fill="auto"/>
            <w:tcMar>
              <w:top w:w="28" w:type="dxa"/>
              <w:bottom w:w="28" w:type="dxa"/>
            </w:tcMar>
            <w:vAlign w:val="center"/>
          </w:tcPr>
          <w:p w14:paraId="0FE5EEA0" w14:textId="2B50B245" w:rsidR="009A5A31" w:rsidRPr="008059F4" w:rsidRDefault="009A5A31" w:rsidP="009A5A31">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To request a General Schedule Authority Required (Telephone/Online) listing for patients with HER2</w:t>
            </w:r>
            <w:r>
              <w:rPr>
                <w:rFonts w:asciiTheme="minorHAnsi" w:hAnsiTheme="minorHAnsi" w:cstheme="minorHAnsi"/>
                <w:color w:val="000000"/>
                <w:sz w:val="18"/>
                <w:szCs w:val="18"/>
              </w:rPr>
              <w:t xml:space="preserve">-, </w:t>
            </w:r>
            <w:r w:rsidRPr="008059F4">
              <w:rPr>
                <w:rFonts w:asciiTheme="minorHAnsi" w:hAnsiTheme="minorHAnsi" w:cstheme="minorHAnsi"/>
                <w:color w:val="000000"/>
                <w:sz w:val="18"/>
                <w:szCs w:val="18"/>
              </w:rPr>
              <w:t>high risk early breast cancer with a confirmed germline Breast Cancer Gene 1 (</w:t>
            </w:r>
            <w:r w:rsidRPr="009B3BC3">
              <w:rPr>
                <w:rFonts w:asciiTheme="minorHAnsi" w:hAnsiTheme="minorHAnsi" w:cstheme="minorHAnsi"/>
                <w:i/>
                <w:iCs/>
                <w:color w:val="000000"/>
                <w:sz w:val="18"/>
                <w:szCs w:val="18"/>
              </w:rPr>
              <w:t>gBRCA1</w:t>
            </w:r>
            <w:r w:rsidRPr="008059F4">
              <w:rPr>
                <w:rFonts w:asciiTheme="minorHAnsi" w:hAnsiTheme="minorHAnsi" w:cstheme="minorHAnsi"/>
                <w:color w:val="000000"/>
                <w:sz w:val="18"/>
                <w:szCs w:val="18"/>
              </w:rPr>
              <w:t xml:space="preserve">) or </w:t>
            </w:r>
            <w:r w:rsidRPr="009B3BC3">
              <w:rPr>
                <w:rFonts w:asciiTheme="minorHAnsi" w:hAnsiTheme="minorHAnsi" w:cstheme="minorHAnsi"/>
                <w:i/>
                <w:iCs/>
                <w:color w:val="000000"/>
                <w:sz w:val="18"/>
                <w:szCs w:val="18"/>
              </w:rPr>
              <w:t>gBRCA2</w:t>
            </w:r>
            <w:r w:rsidRPr="008059F4">
              <w:rPr>
                <w:rFonts w:asciiTheme="minorHAnsi" w:hAnsiTheme="minorHAnsi" w:cstheme="minorHAnsi"/>
                <w:color w:val="000000"/>
                <w:sz w:val="18"/>
                <w:szCs w:val="18"/>
              </w:rPr>
              <w:t xml:space="preserve"> mutation.</w:t>
            </w:r>
          </w:p>
        </w:tc>
        <w:tc>
          <w:tcPr>
            <w:tcW w:w="1800" w:type="dxa"/>
            <w:shd w:val="clear" w:color="auto" w:fill="auto"/>
            <w:vAlign w:val="center"/>
          </w:tcPr>
          <w:p w14:paraId="03001D80" w14:textId="6114D6D2" w:rsidR="009A5A31" w:rsidRPr="008059F4" w:rsidRDefault="009A5A31" w:rsidP="009A5A31">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Recommended</w:t>
            </w:r>
          </w:p>
        </w:tc>
        <w:tc>
          <w:tcPr>
            <w:tcW w:w="4833" w:type="dxa"/>
            <w:shd w:val="clear" w:color="auto" w:fill="auto"/>
            <w:vAlign w:val="center"/>
          </w:tcPr>
          <w:p w14:paraId="36785728" w14:textId="31B7A4EF" w:rsidR="009A5A31" w:rsidRPr="008059F4" w:rsidRDefault="009A5A31" w:rsidP="009A5A31">
            <w:pPr>
              <w:jc w:val="both"/>
              <w:rPr>
                <w:rFonts w:asciiTheme="minorHAnsi" w:hAnsiTheme="minorHAnsi" w:cstheme="minorHAnsi"/>
                <w:color w:val="000000"/>
                <w:sz w:val="18"/>
                <w:szCs w:val="18"/>
              </w:rPr>
            </w:pPr>
            <w:r w:rsidRPr="008059F4">
              <w:rPr>
                <w:rFonts w:asciiTheme="minorHAnsi" w:hAnsiTheme="minorHAnsi" w:cstheme="minorHAnsi"/>
                <w:color w:val="000000"/>
                <w:sz w:val="18"/>
                <w:szCs w:val="18"/>
              </w:rPr>
              <w:t>The PBAC recommended olaparib for the treatment of patients with HER2-</w:t>
            </w:r>
            <w:r>
              <w:rPr>
                <w:rFonts w:asciiTheme="minorHAnsi" w:hAnsiTheme="minorHAnsi" w:cstheme="minorHAnsi"/>
                <w:color w:val="000000"/>
                <w:sz w:val="18"/>
                <w:szCs w:val="18"/>
              </w:rPr>
              <w:t>,</w:t>
            </w:r>
            <w:r w:rsidRPr="008059F4">
              <w:rPr>
                <w:rFonts w:asciiTheme="minorHAnsi" w:hAnsiTheme="minorHAnsi" w:cstheme="minorHAnsi"/>
                <w:color w:val="000000"/>
                <w:sz w:val="18"/>
                <w:szCs w:val="18"/>
              </w:rPr>
              <w:t xml:space="preserve"> high risk early breast cancer with a confirmed </w:t>
            </w:r>
            <w:r w:rsidRPr="009B3BC3">
              <w:rPr>
                <w:rFonts w:asciiTheme="minorHAnsi" w:hAnsiTheme="minorHAnsi" w:cstheme="minorHAnsi"/>
                <w:i/>
                <w:iCs/>
                <w:color w:val="000000"/>
                <w:sz w:val="18"/>
                <w:szCs w:val="18"/>
              </w:rPr>
              <w:t>gBRCA1</w:t>
            </w:r>
            <w:r w:rsidRPr="008059F4">
              <w:rPr>
                <w:rFonts w:asciiTheme="minorHAnsi" w:hAnsiTheme="minorHAnsi" w:cstheme="minorHAnsi"/>
                <w:color w:val="000000"/>
                <w:sz w:val="18"/>
                <w:szCs w:val="18"/>
              </w:rPr>
              <w:t xml:space="preserve"> or </w:t>
            </w:r>
            <w:r w:rsidRPr="009B3BC3">
              <w:rPr>
                <w:rFonts w:asciiTheme="minorHAnsi" w:hAnsiTheme="minorHAnsi" w:cstheme="minorHAnsi"/>
                <w:i/>
                <w:iCs/>
                <w:color w:val="000000"/>
                <w:sz w:val="18"/>
                <w:szCs w:val="18"/>
              </w:rPr>
              <w:t>gBRCA2</w:t>
            </w:r>
            <w:r w:rsidRPr="008059F4">
              <w:rPr>
                <w:rFonts w:asciiTheme="minorHAnsi" w:hAnsiTheme="minorHAnsi" w:cstheme="minorHAnsi"/>
                <w:color w:val="000000"/>
                <w:sz w:val="18"/>
                <w:szCs w:val="18"/>
              </w:rPr>
              <w:t xml:space="preserve"> mutation who have previously been treated with neoadjuvant or adjuvant chemotherapy. The PBAC noted there was a high need for effective treatment in this population, which is a small subset of breast cancer patients. The PBAC considered that the revised economic evaluation addressed most of the outstanding issues; however, an additional price reduction was required to account for remaining uncertainty in the modelled benefit of olaparib. The PBAC noted the revised financial estimates and advised that further amendments were necessary to reflect the likely use in practice. </w:t>
            </w:r>
          </w:p>
        </w:tc>
      </w:tr>
      <w:tr w:rsidR="009A5A31" w:rsidRPr="008059F4" w14:paraId="76945031" w14:textId="77777777" w:rsidTr="003774E1">
        <w:trPr>
          <w:cantSplit/>
          <w:trHeight w:val="2948"/>
          <w:jc w:val="center"/>
        </w:trPr>
        <w:tc>
          <w:tcPr>
            <w:tcW w:w="3013" w:type="dxa"/>
            <w:shd w:val="clear" w:color="auto" w:fill="auto"/>
            <w:tcMar>
              <w:top w:w="28" w:type="dxa"/>
              <w:bottom w:w="28" w:type="dxa"/>
            </w:tcMar>
            <w:vAlign w:val="center"/>
          </w:tcPr>
          <w:p w14:paraId="26D7A96B" w14:textId="64F25941" w:rsidR="009A5A31" w:rsidRPr="008059F4" w:rsidRDefault="009A5A31" w:rsidP="009A5A31">
            <w:pPr>
              <w:keepLines/>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lastRenderedPageBreak/>
              <w:t>OSIMERTINIB</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Tablet 40</w:t>
            </w:r>
            <w:r>
              <w:rPr>
                <w:rFonts w:asciiTheme="minorHAnsi" w:hAnsiTheme="minorHAnsi" w:cstheme="minorHAnsi"/>
                <w:color w:val="000000"/>
                <w:sz w:val="18"/>
                <w:szCs w:val="18"/>
              </w:rPr>
              <w:t> mg</w:t>
            </w:r>
            <w:r w:rsidRPr="008059F4">
              <w:rPr>
                <w:rFonts w:asciiTheme="minorHAnsi" w:hAnsiTheme="minorHAnsi" w:cstheme="minorHAnsi"/>
                <w:color w:val="000000"/>
                <w:sz w:val="18"/>
                <w:szCs w:val="18"/>
              </w:rPr>
              <w:br/>
              <w:t>Tablet 80</w:t>
            </w:r>
            <w:r>
              <w:rPr>
                <w:rFonts w:asciiTheme="minorHAnsi" w:hAnsiTheme="minorHAnsi" w:cstheme="minorHAnsi"/>
                <w:color w:val="000000"/>
                <w:sz w:val="18"/>
                <w:szCs w:val="18"/>
              </w:rPr>
              <w:t> mg</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Tagrisso®</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ASTRAZENECA PTY LTD</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Category 2</w:t>
            </w:r>
            <w:r w:rsidRPr="008059F4">
              <w:rPr>
                <w:rFonts w:asciiTheme="minorHAnsi" w:hAnsiTheme="minorHAnsi" w:cstheme="minorHAnsi"/>
                <w:color w:val="000000"/>
                <w:sz w:val="18"/>
                <w:szCs w:val="18"/>
              </w:rPr>
              <w:br/>
              <w:t>(Change to existing listing)</w:t>
            </w:r>
          </w:p>
        </w:tc>
        <w:tc>
          <w:tcPr>
            <w:tcW w:w="2764" w:type="dxa"/>
            <w:shd w:val="clear" w:color="auto" w:fill="auto"/>
            <w:vAlign w:val="center"/>
          </w:tcPr>
          <w:p w14:paraId="3A8B325B" w14:textId="26CB5C02" w:rsidR="009A5A31" w:rsidRPr="008059F4" w:rsidRDefault="009A5A31" w:rsidP="009A5A31">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Non-small cell lung cancer (NSCLC)</w:t>
            </w:r>
          </w:p>
        </w:tc>
        <w:tc>
          <w:tcPr>
            <w:tcW w:w="2978" w:type="dxa"/>
            <w:shd w:val="clear" w:color="auto" w:fill="auto"/>
            <w:tcMar>
              <w:top w:w="28" w:type="dxa"/>
              <w:bottom w:w="28" w:type="dxa"/>
            </w:tcMar>
            <w:vAlign w:val="center"/>
          </w:tcPr>
          <w:p w14:paraId="0917A7A7" w14:textId="11D936D5" w:rsidR="009A5A31" w:rsidRPr="008059F4" w:rsidRDefault="009A5A31" w:rsidP="009A5A31">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To request a General Schedule Authority Required (Telephone/Online) listing for the treatment of Stage IB to IIIA epidermal growth factor receptor</w:t>
            </w:r>
            <w:r>
              <w:rPr>
                <w:rFonts w:asciiTheme="minorHAnsi" w:hAnsiTheme="minorHAnsi" w:cstheme="minorHAnsi"/>
                <w:color w:val="000000"/>
                <w:sz w:val="18"/>
                <w:szCs w:val="18"/>
              </w:rPr>
              <w:t xml:space="preserve"> </w:t>
            </w:r>
            <w:r w:rsidRPr="008059F4">
              <w:rPr>
                <w:rFonts w:asciiTheme="minorHAnsi" w:hAnsiTheme="minorHAnsi" w:cstheme="minorHAnsi"/>
                <w:color w:val="000000"/>
                <w:sz w:val="18"/>
                <w:szCs w:val="18"/>
              </w:rPr>
              <w:t>(</w:t>
            </w:r>
            <w:r w:rsidRPr="009B3BC3">
              <w:rPr>
                <w:rFonts w:asciiTheme="minorHAnsi" w:hAnsiTheme="minorHAnsi" w:cstheme="minorHAnsi"/>
                <w:i/>
                <w:iCs/>
                <w:color w:val="000000"/>
                <w:sz w:val="18"/>
                <w:szCs w:val="18"/>
              </w:rPr>
              <w:t>EGFR</w:t>
            </w:r>
            <w:r w:rsidRPr="008059F4">
              <w:rPr>
                <w:rFonts w:asciiTheme="minorHAnsi" w:hAnsiTheme="minorHAnsi" w:cstheme="minorHAnsi"/>
                <w:color w:val="000000"/>
                <w:sz w:val="18"/>
                <w:szCs w:val="18"/>
              </w:rPr>
              <w:t>) mutation positive NSCLC as adjuvant therapy after surgical resection.</w:t>
            </w:r>
          </w:p>
        </w:tc>
        <w:tc>
          <w:tcPr>
            <w:tcW w:w="1800" w:type="dxa"/>
            <w:shd w:val="clear" w:color="auto" w:fill="auto"/>
            <w:vAlign w:val="center"/>
          </w:tcPr>
          <w:p w14:paraId="6B8755EE" w14:textId="1EA33C2B" w:rsidR="009A5A31" w:rsidRPr="008059F4" w:rsidRDefault="009A5A31" w:rsidP="009A5A31">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Recommended</w:t>
            </w:r>
          </w:p>
        </w:tc>
        <w:tc>
          <w:tcPr>
            <w:tcW w:w="4833" w:type="dxa"/>
            <w:shd w:val="clear" w:color="auto" w:fill="auto"/>
            <w:vAlign w:val="center"/>
          </w:tcPr>
          <w:p w14:paraId="41F8885E" w14:textId="5F72A629" w:rsidR="009A5A31" w:rsidRPr="008059F4" w:rsidRDefault="009A5A31" w:rsidP="009A5A31">
            <w:pPr>
              <w:jc w:val="both"/>
              <w:rPr>
                <w:rFonts w:asciiTheme="minorHAnsi" w:hAnsiTheme="minorHAnsi" w:cstheme="minorHAnsi"/>
                <w:color w:val="000000"/>
                <w:sz w:val="18"/>
                <w:szCs w:val="18"/>
              </w:rPr>
            </w:pPr>
            <w:r w:rsidRPr="008059F4">
              <w:rPr>
                <w:rFonts w:asciiTheme="minorHAnsi" w:hAnsiTheme="minorHAnsi" w:cstheme="minorHAnsi"/>
                <w:color w:val="000000"/>
                <w:sz w:val="18"/>
                <w:szCs w:val="18"/>
              </w:rPr>
              <w:t xml:space="preserve">The PBAC recommended the listing of osimertinib for the treatment of Stage IB to IIIA </w:t>
            </w:r>
            <w:r w:rsidRPr="009B3BC3">
              <w:rPr>
                <w:rFonts w:asciiTheme="minorHAnsi" w:hAnsiTheme="minorHAnsi" w:cstheme="minorHAnsi"/>
                <w:i/>
                <w:iCs/>
                <w:color w:val="000000"/>
                <w:sz w:val="18"/>
                <w:szCs w:val="18"/>
              </w:rPr>
              <w:t>EGFR</w:t>
            </w:r>
            <w:r w:rsidRPr="008059F4">
              <w:rPr>
                <w:rFonts w:asciiTheme="minorHAnsi" w:hAnsiTheme="minorHAnsi" w:cstheme="minorHAnsi"/>
                <w:color w:val="000000"/>
                <w:sz w:val="18"/>
                <w:szCs w:val="18"/>
              </w:rPr>
              <w:t xml:space="preserve"> mutation positive NSCLC as adjuvant therapy after surgical resection. The PBAC considered that osimertinib provided a substantial benefit in terms of disease free survival compared to standard of care, but the magnitude of overall survival benefit remained uncertain. The PBAC considered osimertinib would be cost</w:t>
            </w:r>
            <w:r>
              <w:rPr>
                <w:rFonts w:asciiTheme="minorHAnsi" w:hAnsiTheme="minorHAnsi" w:cstheme="minorHAnsi"/>
                <w:color w:val="000000"/>
                <w:sz w:val="18"/>
                <w:szCs w:val="18"/>
              </w:rPr>
              <w:t>-</w:t>
            </w:r>
            <w:r w:rsidRPr="008059F4">
              <w:rPr>
                <w:rFonts w:asciiTheme="minorHAnsi" w:hAnsiTheme="minorHAnsi" w:cstheme="minorHAnsi"/>
                <w:color w:val="000000"/>
                <w:sz w:val="18"/>
                <w:szCs w:val="18"/>
              </w:rPr>
              <w:t>effective at a price lower than offered in the pre-PBAC response. The PBAC advised the net cost of listing osimertinib in the adjuvant treatment setting (accounting for reduced use in the metastatic treatment setting) could be added to the risk sharing arrangement currently in place for osimertinib.</w:t>
            </w:r>
          </w:p>
        </w:tc>
      </w:tr>
      <w:tr w:rsidR="009A5A31" w:rsidRPr="008059F4" w14:paraId="07695403" w14:textId="77777777" w:rsidTr="003774E1">
        <w:trPr>
          <w:cantSplit/>
          <w:trHeight w:val="2948"/>
          <w:jc w:val="center"/>
        </w:trPr>
        <w:tc>
          <w:tcPr>
            <w:tcW w:w="3013" w:type="dxa"/>
            <w:shd w:val="clear" w:color="auto" w:fill="auto"/>
            <w:tcMar>
              <w:top w:w="28" w:type="dxa"/>
              <w:bottom w:w="28" w:type="dxa"/>
            </w:tcMar>
            <w:vAlign w:val="center"/>
          </w:tcPr>
          <w:p w14:paraId="4687854B" w14:textId="46AD1FA7" w:rsidR="009A5A31" w:rsidRPr="008059F4" w:rsidRDefault="009A5A31" w:rsidP="009A5A31">
            <w:pPr>
              <w:keepLines/>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OXYBUTYNIN</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Transdermal patches 36</w:t>
            </w:r>
            <w:r>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8</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Oxytrol®</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THERAMEX AUSTRALIA PTY LTD</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Category 4</w:t>
            </w:r>
            <w:r w:rsidRPr="008059F4">
              <w:rPr>
                <w:rFonts w:asciiTheme="minorHAnsi" w:hAnsiTheme="minorHAnsi" w:cstheme="minorHAnsi"/>
                <w:color w:val="000000"/>
                <w:sz w:val="18"/>
                <w:szCs w:val="18"/>
              </w:rPr>
              <w:br/>
              <w:t>(Change to existing listing)</w:t>
            </w:r>
          </w:p>
        </w:tc>
        <w:tc>
          <w:tcPr>
            <w:tcW w:w="2764" w:type="dxa"/>
            <w:shd w:val="clear" w:color="auto" w:fill="auto"/>
            <w:vAlign w:val="center"/>
          </w:tcPr>
          <w:p w14:paraId="58117353" w14:textId="52C3728C" w:rsidR="009A5A31" w:rsidRPr="008059F4" w:rsidRDefault="009A5A31" w:rsidP="009A5A31">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Detrusor overactivity in patients unable to tolerate or unable to swallow oral oxybutynin</w:t>
            </w:r>
          </w:p>
        </w:tc>
        <w:tc>
          <w:tcPr>
            <w:tcW w:w="2978" w:type="dxa"/>
            <w:shd w:val="clear" w:color="auto" w:fill="auto"/>
            <w:tcMar>
              <w:top w:w="28" w:type="dxa"/>
              <w:bottom w:w="28" w:type="dxa"/>
            </w:tcMar>
            <w:vAlign w:val="center"/>
          </w:tcPr>
          <w:p w14:paraId="30821244" w14:textId="0DE591A6" w:rsidR="009A5A31" w:rsidRPr="008059F4" w:rsidRDefault="009A5A31" w:rsidP="009A5A31">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To request consideration of whether oxybutynin 3.9</w:t>
            </w:r>
            <w:r>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transdermal patch satisfies the criteria to be classified an ‘exempt item’ as described by Section 84AH of the </w:t>
            </w:r>
            <w:r w:rsidRPr="009B3BC3">
              <w:rPr>
                <w:rFonts w:asciiTheme="minorHAnsi" w:hAnsiTheme="minorHAnsi" w:cstheme="minorHAnsi"/>
                <w:i/>
                <w:iCs/>
                <w:color w:val="000000"/>
                <w:sz w:val="18"/>
                <w:szCs w:val="18"/>
              </w:rPr>
              <w:t>National Health Act 1953</w:t>
            </w:r>
            <w:r w:rsidRPr="008059F4">
              <w:rPr>
                <w:rFonts w:asciiTheme="minorHAnsi" w:hAnsiTheme="minorHAnsi" w:cstheme="minorHAnsi"/>
                <w:color w:val="000000"/>
                <w:sz w:val="18"/>
                <w:szCs w:val="18"/>
              </w:rPr>
              <w:t>.</w:t>
            </w:r>
          </w:p>
        </w:tc>
        <w:tc>
          <w:tcPr>
            <w:tcW w:w="1800" w:type="dxa"/>
            <w:shd w:val="clear" w:color="auto" w:fill="auto"/>
            <w:vAlign w:val="center"/>
          </w:tcPr>
          <w:p w14:paraId="09038FC0" w14:textId="71E9EA92" w:rsidR="009A5A31" w:rsidRPr="008059F4" w:rsidRDefault="00931453" w:rsidP="009A5A31">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Advice Provided</w:t>
            </w:r>
          </w:p>
        </w:tc>
        <w:tc>
          <w:tcPr>
            <w:tcW w:w="4833" w:type="dxa"/>
            <w:shd w:val="clear" w:color="auto" w:fill="auto"/>
            <w:vAlign w:val="center"/>
          </w:tcPr>
          <w:p w14:paraId="68AE7271" w14:textId="18261495" w:rsidR="009A5A31" w:rsidRPr="008059F4" w:rsidRDefault="009A5A31" w:rsidP="009A5A31">
            <w:pPr>
              <w:jc w:val="both"/>
              <w:rPr>
                <w:rFonts w:asciiTheme="minorHAnsi" w:hAnsiTheme="minorHAnsi" w:cstheme="minorHAnsi"/>
                <w:color w:val="000000"/>
                <w:sz w:val="18"/>
                <w:szCs w:val="18"/>
              </w:rPr>
            </w:pPr>
            <w:r w:rsidRPr="008059F4">
              <w:rPr>
                <w:rFonts w:asciiTheme="minorHAnsi" w:hAnsiTheme="minorHAnsi" w:cstheme="minorHAnsi"/>
                <w:color w:val="000000"/>
                <w:sz w:val="18"/>
                <w:szCs w:val="18"/>
              </w:rPr>
              <w:t>The PBAC advised that Oxytrol (oxybutynin 3.9</w:t>
            </w:r>
            <w:r>
              <w:rPr>
                <w:rFonts w:asciiTheme="minorHAnsi" w:hAnsiTheme="minorHAnsi" w:cstheme="minorHAnsi"/>
                <w:color w:val="000000"/>
                <w:sz w:val="18"/>
                <w:szCs w:val="18"/>
              </w:rPr>
              <w:t> </w:t>
            </w:r>
            <w:r w:rsidRPr="008059F4">
              <w:rPr>
                <w:rFonts w:asciiTheme="minorHAnsi" w:hAnsiTheme="minorHAnsi" w:cstheme="minorHAnsi"/>
                <w:color w:val="000000"/>
                <w:sz w:val="18"/>
                <w:szCs w:val="18"/>
              </w:rPr>
              <w:t xml:space="preserve">mg transdermal patch) can be considered as an exempt item under subsection 84AH of the </w:t>
            </w:r>
            <w:r w:rsidRPr="009B3BC3">
              <w:rPr>
                <w:rFonts w:asciiTheme="minorHAnsi" w:hAnsiTheme="minorHAnsi" w:cstheme="minorHAnsi"/>
                <w:i/>
                <w:iCs/>
                <w:color w:val="000000"/>
                <w:sz w:val="18"/>
                <w:szCs w:val="18"/>
              </w:rPr>
              <w:t>National Health Act 1953</w:t>
            </w:r>
            <w:r w:rsidRPr="008059F4">
              <w:rPr>
                <w:rFonts w:asciiTheme="minorHAnsi" w:hAnsiTheme="minorHAnsi" w:cstheme="minorHAnsi"/>
                <w:color w:val="000000"/>
                <w:sz w:val="18"/>
                <w:szCs w:val="18"/>
              </w:rPr>
              <w:t xml:space="preserve"> on the basis that the transdermal form of oxybutynin is the only option for patients for whom the oral formulation is unsuitable due to adverse events or inability to swallow. The PBAC noted that there are no bioequivalent, biosimilar or ‘a’</w:t>
            </w:r>
            <w:r w:rsidR="00D060AA">
              <w:rPr>
                <w:rFonts w:asciiTheme="minorHAnsi" w:hAnsiTheme="minorHAnsi" w:cstheme="minorHAnsi"/>
                <w:color w:val="000000"/>
                <w:sz w:val="18"/>
                <w:szCs w:val="18"/>
              </w:rPr>
              <w:t xml:space="preserve"> </w:t>
            </w:r>
            <w:r w:rsidRPr="008059F4">
              <w:rPr>
                <w:rFonts w:asciiTheme="minorHAnsi" w:hAnsiTheme="minorHAnsi" w:cstheme="minorHAnsi"/>
                <w:color w:val="000000"/>
                <w:sz w:val="18"/>
                <w:szCs w:val="18"/>
              </w:rPr>
              <w:t>flagged products listed for the same indication, no other non-oral dose forms for the same indication, and no alternative brands of the transdermal patches.</w:t>
            </w:r>
          </w:p>
        </w:tc>
      </w:tr>
      <w:tr w:rsidR="009A5A31" w:rsidRPr="008059F4" w14:paraId="6CE326A4" w14:textId="77777777" w:rsidTr="003774E1">
        <w:trPr>
          <w:cantSplit/>
          <w:trHeight w:val="2948"/>
          <w:jc w:val="center"/>
        </w:trPr>
        <w:tc>
          <w:tcPr>
            <w:tcW w:w="3013" w:type="dxa"/>
            <w:shd w:val="clear" w:color="auto" w:fill="auto"/>
            <w:tcMar>
              <w:top w:w="28" w:type="dxa"/>
              <w:bottom w:w="28" w:type="dxa"/>
            </w:tcMar>
            <w:vAlign w:val="center"/>
          </w:tcPr>
          <w:p w14:paraId="040C14BB" w14:textId="614E3BA1" w:rsidR="009A5A31" w:rsidRPr="008059F4" w:rsidRDefault="009A5A31" w:rsidP="009A5A31">
            <w:pPr>
              <w:keepLines/>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lastRenderedPageBreak/>
              <w:t>PEMBROLIZUMAB</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 xml:space="preserve"> Solution concentrate for I.V. infusion 100</w:t>
            </w:r>
            <w:r>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in 4</w:t>
            </w:r>
            <w:r>
              <w:rPr>
                <w:rFonts w:asciiTheme="minorHAnsi" w:hAnsiTheme="minorHAnsi" w:cstheme="minorHAnsi"/>
                <w:color w:val="000000"/>
                <w:sz w:val="18"/>
                <w:szCs w:val="18"/>
              </w:rPr>
              <w:t> mL</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Keytruda®</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MERCK SHARP &amp; DOHME (AUSTRALIA) PTY LTD</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Category 2</w:t>
            </w:r>
            <w:r w:rsidRPr="008059F4">
              <w:rPr>
                <w:rFonts w:asciiTheme="minorHAnsi" w:hAnsiTheme="minorHAnsi" w:cstheme="minorHAnsi"/>
                <w:color w:val="000000"/>
                <w:sz w:val="18"/>
                <w:szCs w:val="18"/>
              </w:rPr>
              <w:br/>
              <w:t>(Change to existing listing)</w:t>
            </w:r>
          </w:p>
        </w:tc>
        <w:tc>
          <w:tcPr>
            <w:tcW w:w="2764" w:type="dxa"/>
            <w:shd w:val="clear" w:color="auto" w:fill="auto"/>
            <w:vAlign w:val="center"/>
          </w:tcPr>
          <w:p w14:paraId="5E83F145" w14:textId="1CEB4F11" w:rsidR="009A5A31" w:rsidRPr="008059F4" w:rsidRDefault="009A5A31" w:rsidP="009A5A31">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Squamous cell carcinoma (SCC)</w:t>
            </w:r>
          </w:p>
        </w:tc>
        <w:tc>
          <w:tcPr>
            <w:tcW w:w="2978" w:type="dxa"/>
            <w:shd w:val="clear" w:color="auto" w:fill="auto"/>
            <w:tcMar>
              <w:top w:w="28" w:type="dxa"/>
              <w:bottom w:w="28" w:type="dxa"/>
            </w:tcMar>
            <w:vAlign w:val="center"/>
          </w:tcPr>
          <w:p w14:paraId="06CBCBC5" w14:textId="0A450610" w:rsidR="009A5A31" w:rsidRPr="008059F4" w:rsidRDefault="009A5A31" w:rsidP="009A5A31">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To request a Section 100 (Efficient Funding of Chemotherapy Program) Authority Required (STREAMLINED) listing for the treatment of metastatic or locally advanced cutaneous SCC that is not curative by surgery or radiation.</w:t>
            </w:r>
          </w:p>
        </w:tc>
        <w:tc>
          <w:tcPr>
            <w:tcW w:w="1800" w:type="dxa"/>
            <w:shd w:val="clear" w:color="auto" w:fill="auto"/>
            <w:vAlign w:val="center"/>
          </w:tcPr>
          <w:p w14:paraId="53550707" w14:textId="150640D9" w:rsidR="009A5A31" w:rsidRPr="008059F4" w:rsidRDefault="009A5A31" w:rsidP="009A5A31">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Recommended</w:t>
            </w:r>
          </w:p>
        </w:tc>
        <w:tc>
          <w:tcPr>
            <w:tcW w:w="4833" w:type="dxa"/>
            <w:shd w:val="clear" w:color="auto" w:fill="auto"/>
            <w:vAlign w:val="center"/>
          </w:tcPr>
          <w:p w14:paraId="6A0D4761" w14:textId="4FACB86D" w:rsidR="009A5A31" w:rsidRDefault="009A5A31" w:rsidP="009A5A31">
            <w:pPr>
              <w:jc w:val="both"/>
              <w:rPr>
                <w:rFonts w:asciiTheme="minorHAnsi" w:hAnsiTheme="minorHAnsi" w:cstheme="minorHAnsi"/>
                <w:color w:val="000000"/>
                <w:sz w:val="18"/>
                <w:szCs w:val="18"/>
              </w:rPr>
            </w:pPr>
            <w:r w:rsidRPr="008059F4">
              <w:rPr>
                <w:rFonts w:asciiTheme="minorHAnsi" w:hAnsiTheme="minorHAnsi" w:cstheme="minorHAnsi"/>
                <w:color w:val="000000"/>
                <w:sz w:val="18"/>
                <w:szCs w:val="18"/>
              </w:rPr>
              <w:t xml:space="preserve">The PBAC recommended the listing </w:t>
            </w:r>
            <w:r>
              <w:rPr>
                <w:rFonts w:asciiTheme="minorHAnsi" w:hAnsiTheme="minorHAnsi" w:cstheme="minorHAnsi"/>
                <w:color w:val="000000"/>
                <w:sz w:val="18"/>
                <w:szCs w:val="18"/>
              </w:rPr>
              <w:t xml:space="preserve">of </w:t>
            </w:r>
            <w:r w:rsidRPr="008059F4">
              <w:rPr>
                <w:rFonts w:asciiTheme="minorHAnsi" w:hAnsiTheme="minorHAnsi" w:cstheme="minorHAnsi"/>
                <w:color w:val="000000"/>
                <w:sz w:val="18"/>
                <w:szCs w:val="18"/>
              </w:rPr>
              <w:t xml:space="preserve">pembrolizumab for the treatment of metastatic or locally advanced cutaneous </w:t>
            </w:r>
            <w:r>
              <w:rPr>
                <w:rFonts w:asciiTheme="minorHAnsi" w:hAnsiTheme="minorHAnsi" w:cstheme="minorHAnsi"/>
                <w:color w:val="000000"/>
                <w:sz w:val="18"/>
                <w:szCs w:val="18"/>
              </w:rPr>
              <w:t xml:space="preserve">SCC </w:t>
            </w:r>
            <w:r w:rsidRPr="008059F4">
              <w:rPr>
                <w:rFonts w:asciiTheme="minorHAnsi" w:hAnsiTheme="minorHAnsi" w:cstheme="minorHAnsi"/>
                <w:color w:val="000000"/>
                <w:sz w:val="18"/>
                <w:szCs w:val="18"/>
              </w:rPr>
              <w:t>that it not curable by surgery or radiation. The PBAC’s recommendation for listing was based on, among other matters, its assessment, that the cost-effectiveness of pembrolizumab would be acceptable if it were cost</w:t>
            </w:r>
            <w:r w:rsidR="00130D30">
              <w:rPr>
                <w:rFonts w:asciiTheme="minorHAnsi" w:hAnsiTheme="minorHAnsi" w:cstheme="minorHAnsi"/>
                <w:color w:val="000000"/>
                <w:sz w:val="18"/>
                <w:szCs w:val="18"/>
              </w:rPr>
              <w:noBreakHyphen/>
            </w:r>
            <w:r w:rsidRPr="008059F4">
              <w:rPr>
                <w:rFonts w:asciiTheme="minorHAnsi" w:hAnsiTheme="minorHAnsi" w:cstheme="minorHAnsi"/>
                <w:color w:val="000000"/>
                <w:sz w:val="18"/>
                <w:szCs w:val="18"/>
              </w:rPr>
              <w:t>minimised against cemiplimab, and included in the current risk sharing arrangement for cemiplimab.</w:t>
            </w:r>
            <w:r>
              <w:rPr>
                <w:rFonts w:asciiTheme="minorHAnsi" w:hAnsiTheme="minorHAnsi" w:cstheme="minorHAnsi"/>
                <w:color w:val="000000"/>
                <w:sz w:val="18"/>
                <w:szCs w:val="18"/>
              </w:rPr>
              <w:t xml:space="preserve"> </w:t>
            </w:r>
            <w:r w:rsidRPr="008059F4">
              <w:rPr>
                <w:rFonts w:asciiTheme="minorHAnsi" w:hAnsiTheme="minorHAnsi" w:cstheme="minorHAnsi"/>
                <w:color w:val="000000"/>
                <w:sz w:val="18"/>
                <w:szCs w:val="18"/>
              </w:rPr>
              <w:t>The PBAC considered the equi</w:t>
            </w:r>
            <w:r w:rsidR="00130D30">
              <w:rPr>
                <w:rFonts w:asciiTheme="minorHAnsi" w:hAnsiTheme="minorHAnsi" w:cstheme="minorHAnsi"/>
                <w:color w:val="000000"/>
                <w:sz w:val="18"/>
                <w:szCs w:val="18"/>
              </w:rPr>
              <w:noBreakHyphen/>
            </w:r>
            <w:r w:rsidRPr="008059F4">
              <w:rPr>
                <w:rFonts w:asciiTheme="minorHAnsi" w:hAnsiTheme="minorHAnsi" w:cstheme="minorHAnsi"/>
                <w:color w:val="000000"/>
                <w:sz w:val="18"/>
                <w:szCs w:val="18"/>
              </w:rPr>
              <w:t>effective doses were:</w:t>
            </w:r>
          </w:p>
          <w:p w14:paraId="1D7E91FC" w14:textId="77777777" w:rsidR="009A5A31" w:rsidRDefault="009A5A31" w:rsidP="009A5A31">
            <w:pPr>
              <w:jc w:val="both"/>
              <w:rPr>
                <w:rFonts w:asciiTheme="minorHAnsi" w:hAnsiTheme="minorHAnsi" w:cstheme="minorHAnsi"/>
                <w:color w:val="000000"/>
                <w:sz w:val="18"/>
                <w:szCs w:val="18"/>
              </w:rPr>
            </w:pPr>
          </w:p>
          <w:p w14:paraId="1B00596E" w14:textId="736650C9" w:rsidR="009A5A31" w:rsidRPr="009B3BC3" w:rsidRDefault="009A5A31" w:rsidP="003A0C9D">
            <w:pPr>
              <w:pStyle w:val="ListParagraph"/>
              <w:numPr>
                <w:ilvl w:val="0"/>
                <w:numId w:val="10"/>
              </w:numPr>
              <w:ind w:left="293" w:hanging="284"/>
              <w:jc w:val="both"/>
              <w:rPr>
                <w:rFonts w:asciiTheme="minorHAnsi" w:hAnsiTheme="minorHAnsi" w:cstheme="minorHAnsi"/>
                <w:color w:val="000000"/>
                <w:sz w:val="18"/>
                <w:szCs w:val="18"/>
              </w:rPr>
            </w:pPr>
            <w:r w:rsidRPr="009B3BC3">
              <w:rPr>
                <w:rFonts w:asciiTheme="minorHAnsi" w:hAnsiTheme="minorHAnsi" w:cstheme="minorHAnsi"/>
                <w:color w:val="000000"/>
                <w:sz w:val="18"/>
                <w:szCs w:val="18"/>
              </w:rPr>
              <w:t>pembrolizumab 200 mg every 3 weeks (Q3W) is equivalent to cemiplimab 350 mg Q3W, and</w:t>
            </w:r>
          </w:p>
          <w:p w14:paraId="3898EFF1" w14:textId="066C7E9F" w:rsidR="009A5A31" w:rsidRDefault="009A5A31" w:rsidP="003A0C9D">
            <w:pPr>
              <w:pStyle w:val="ListParagraph"/>
              <w:numPr>
                <w:ilvl w:val="0"/>
                <w:numId w:val="10"/>
              </w:numPr>
              <w:ind w:left="293" w:hanging="284"/>
              <w:jc w:val="both"/>
              <w:rPr>
                <w:rFonts w:asciiTheme="minorHAnsi" w:hAnsiTheme="minorHAnsi" w:cstheme="minorHAnsi"/>
                <w:color w:val="000000"/>
                <w:sz w:val="18"/>
                <w:szCs w:val="18"/>
              </w:rPr>
            </w:pPr>
            <w:r w:rsidRPr="009B3BC3">
              <w:rPr>
                <w:rFonts w:asciiTheme="minorHAnsi" w:hAnsiTheme="minorHAnsi" w:cstheme="minorHAnsi"/>
                <w:color w:val="000000"/>
                <w:sz w:val="18"/>
                <w:szCs w:val="18"/>
              </w:rPr>
              <w:t>pembrolizumab 400 mg every 6 weeks is equivalent to 2x cemiplimab 350 mg Q3W.</w:t>
            </w:r>
          </w:p>
          <w:p w14:paraId="04284E4C" w14:textId="77777777" w:rsidR="009A5A31" w:rsidRPr="009B3BC3" w:rsidRDefault="009A5A31" w:rsidP="009A5A31">
            <w:pPr>
              <w:ind w:left="9"/>
              <w:jc w:val="both"/>
              <w:rPr>
                <w:rFonts w:asciiTheme="minorHAnsi" w:hAnsiTheme="minorHAnsi" w:cstheme="minorHAnsi"/>
                <w:color w:val="000000"/>
                <w:sz w:val="18"/>
                <w:szCs w:val="18"/>
              </w:rPr>
            </w:pPr>
          </w:p>
          <w:p w14:paraId="7FFB75CD" w14:textId="3FA79080" w:rsidR="009A5A31" w:rsidRPr="008059F4" w:rsidRDefault="009A5A31" w:rsidP="009A5A31">
            <w:pPr>
              <w:jc w:val="both"/>
              <w:rPr>
                <w:rFonts w:asciiTheme="minorHAnsi" w:hAnsiTheme="minorHAnsi" w:cstheme="minorHAnsi"/>
                <w:color w:val="000000"/>
                <w:sz w:val="18"/>
                <w:szCs w:val="18"/>
              </w:rPr>
            </w:pPr>
            <w:r w:rsidRPr="008059F4">
              <w:rPr>
                <w:rFonts w:asciiTheme="minorHAnsi" w:hAnsiTheme="minorHAnsi" w:cstheme="minorHAnsi"/>
                <w:color w:val="000000"/>
                <w:sz w:val="18"/>
                <w:szCs w:val="18"/>
              </w:rPr>
              <w:t xml:space="preserve">The PBAC </w:t>
            </w:r>
            <w:r>
              <w:rPr>
                <w:rFonts w:asciiTheme="minorHAnsi" w:hAnsiTheme="minorHAnsi" w:cstheme="minorHAnsi"/>
                <w:color w:val="000000"/>
                <w:sz w:val="18"/>
                <w:szCs w:val="18"/>
              </w:rPr>
              <w:t>recommended</w:t>
            </w:r>
            <w:r w:rsidRPr="008059F4">
              <w:rPr>
                <w:rFonts w:asciiTheme="minorHAnsi" w:hAnsiTheme="minorHAnsi" w:cstheme="minorHAnsi"/>
                <w:color w:val="000000"/>
                <w:sz w:val="18"/>
                <w:szCs w:val="18"/>
              </w:rPr>
              <w:t xml:space="preserve"> the flow-on restriction amendments for cemiplimab (PBS item codes 13125F and 13135H) to restrict the use of subsequent immunotherapy in those who have already received such treatment unless they have experienced a severe intolerance leading to permanent treatment discontinuation. </w:t>
            </w:r>
          </w:p>
        </w:tc>
      </w:tr>
      <w:tr w:rsidR="009A5A31" w:rsidRPr="008059F4" w14:paraId="46ED49FD" w14:textId="77777777" w:rsidTr="003774E1">
        <w:trPr>
          <w:cantSplit/>
          <w:trHeight w:val="2948"/>
          <w:jc w:val="center"/>
        </w:trPr>
        <w:tc>
          <w:tcPr>
            <w:tcW w:w="3013" w:type="dxa"/>
            <w:shd w:val="clear" w:color="auto" w:fill="auto"/>
            <w:tcMar>
              <w:top w:w="28" w:type="dxa"/>
              <w:bottom w:w="28" w:type="dxa"/>
            </w:tcMar>
            <w:vAlign w:val="center"/>
          </w:tcPr>
          <w:p w14:paraId="05AE09ED" w14:textId="5526C263" w:rsidR="009A5A31" w:rsidRPr="008059F4" w:rsidRDefault="009A5A31" w:rsidP="009A5A31">
            <w:pPr>
              <w:keepLines/>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lastRenderedPageBreak/>
              <w:t xml:space="preserve">PNEUMOCOCCAL CONJUGATE VACCINE, 20-VALENT </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0.5</w:t>
            </w:r>
            <w:r>
              <w:rPr>
                <w:rFonts w:asciiTheme="minorHAnsi" w:hAnsiTheme="minorHAnsi" w:cstheme="minorHAnsi"/>
                <w:color w:val="000000"/>
                <w:sz w:val="18"/>
                <w:szCs w:val="18"/>
              </w:rPr>
              <w:t> mL</w:t>
            </w:r>
            <w:r w:rsidRPr="008059F4">
              <w:rPr>
                <w:rFonts w:asciiTheme="minorHAnsi" w:hAnsiTheme="minorHAnsi" w:cstheme="minorHAnsi"/>
                <w:color w:val="000000"/>
                <w:sz w:val="18"/>
                <w:szCs w:val="18"/>
              </w:rPr>
              <w:t xml:space="preserve"> pre-filled syringe</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Prevenar 20®</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PFIZER AUSTRALIA PTY LTD</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Category 2</w:t>
            </w:r>
            <w:r w:rsidRPr="008059F4">
              <w:rPr>
                <w:rFonts w:asciiTheme="minorHAnsi" w:hAnsiTheme="minorHAnsi" w:cstheme="minorHAnsi"/>
                <w:color w:val="000000"/>
                <w:sz w:val="18"/>
                <w:szCs w:val="18"/>
              </w:rPr>
              <w:br/>
              <w:t>(New listing)</w:t>
            </w:r>
          </w:p>
        </w:tc>
        <w:tc>
          <w:tcPr>
            <w:tcW w:w="2764" w:type="dxa"/>
            <w:shd w:val="clear" w:color="auto" w:fill="auto"/>
            <w:vAlign w:val="center"/>
          </w:tcPr>
          <w:p w14:paraId="00BF892A" w14:textId="203293FD" w:rsidR="009A5A31" w:rsidRPr="008059F4" w:rsidRDefault="009A5A31" w:rsidP="009A5A31">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Prevention of pneumococcal disease</w:t>
            </w:r>
          </w:p>
        </w:tc>
        <w:tc>
          <w:tcPr>
            <w:tcW w:w="2978" w:type="dxa"/>
            <w:shd w:val="clear" w:color="auto" w:fill="auto"/>
            <w:tcMar>
              <w:top w:w="28" w:type="dxa"/>
              <w:bottom w:w="28" w:type="dxa"/>
            </w:tcMar>
            <w:vAlign w:val="center"/>
          </w:tcPr>
          <w:p w14:paraId="4EFDCF59" w14:textId="2C66739A" w:rsidR="009A5A31" w:rsidRPr="008059F4" w:rsidRDefault="009A5A31" w:rsidP="009A5A31">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To request a N</w:t>
            </w:r>
            <w:r>
              <w:rPr>
                <w:rFonts w:asciiTheme="minorHAnsi" w:hAnsiTheme="minorHAnsi" w:cstheme="minorHAnsi"/>
                <w:color w:val="000000"/>
                <w:sz w:val="18"/>
                <w:szCs w:val="18"/>
              </w:rPr>
              <w:t xml:space="preserve">ational </w:t>
            </w:r>
            <w:r w:rsidRPr="008059F4">
              <w:rPr>
                <w:rFonts w:asciiTheme="minorHAnsi" w:hAnsiTheme="minorHAnsi" w:cstheme="minorHAnsi"/>
                <w:color w:val="000000"/>
                <w:sz w:val="18"/>
                <w:szCs w:val="18"/>
              </w:rPr>
              <w:t>I</w:t>
            </w:r>
            <w:r>
              <w:rPr>
                <w:rFonts w:asciiTheme="minorHAnsi" w:hAnsiTheme="minorHAnsi" w:cstheme="minorHAnsi"/>
                <w:color w:val="000000"/>
                <w:sz w:val="18"/>
                <w:szCs w:val="18"/>
              </w:rPr>
              <w:t xml:space="preserve">mmunisation </w:t>
            </w:r>
            <w:r w:rsidRPr="008059F4">
              <w:rPr>
                <w:rFonts w:asciiTheme="minorHAnsi" w:hAnsiTheme="minorHAnsi" w:cstheme="minorHAnsi"/>
                <w:color w:val="000000"/>
                <w:sz w:val="18"/>
                <w:szCs w:val="18"/>
              </w:rPr>
              <w:t>P</w:t>
            </w:r>
            <w:r>
              <w:rPr>
                <w:rFonts w:asciiTheme="minorHAnsi" w:hAnsiTheme="minorHAnsi" w:cstheme="minorHAnsi"/>
                <w:color w:val="000000"/>
                <w:sz w:val="18"/>
                <w:szCs w:val="18"/>
              </w:rPr>
              <w:t>rogram (NIP)</w:t>
            </w:r>
            <w:r w:rsidRPr="008059F4">
              <w:rPr>
                <w:rFonts w:asciiTheme="minorHAnsi" w:hAnsiTheme="minorHAnsi" w:cstheme="minorHAnsi"/>
                <w:color w:val="000000"/>
                <w:sz w:val="18"/>
                <w:szCs w:val="18"/>
              </w:rPr>
              <w:t xml:space="preserve"> listing for paediatric populations.</w:t>
            </w:r>
          </w:p>
        </w:tc>
        <w:tc>
          <w:tcPr>
            <w:tcW w:w="1800" w:type="dxa"/>
            <w:shd w:val="clear" w:color="auto" w:fill="auto"/>
            <w:vAlign w:val="center"/>
          </w:tcPr>
          <w:p w14:paraId="7A0860EC" w14:textId="4FD4846A" w:rsidR="009A5A31" w:rsidRPr="008059F4" w:rsidRDefault="009A5A31" w:rsidP="009A5A31">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Recommended</w:t>
            </w:r>
          </w:p>
        </w:tc>
        <w:tc>
          <w:tcPr>
            <w:tcW w:w="4833" w:type="dxa"/>
            <w:shd w:val="clear" w:color="auto" w:fill="auto"/>
            <w:vAlign w:val="center"/>
          </w:tcPr>
          <w:p w14:paraId="15F618AE" w14:textId="369DC6B0" w:rsidR="009A5A31" w:rsidRDefault="009A5A31" w:rsidP="009A5A31">
            <w:pPr>
              <w:jc w:val="both"/>
              <w:rPr>
                <w:rFonts w:asciiTheme="minorHAnsi" w:hAnsiTheme="minorHAnsi" w:cstheme="minorHAnsi"/>
                <w:color w:val="000000"/>
                <w:sz w:val="18"/>
                <w:szCs w:val="18"/>
              </w:rPr>
            </w:pPr>
            <w:r w:rsidRPr="008059F4">
              <w:rPr>
                <w:rFonts w:asciiTheme="minorHAnsi" w:hAnsiTheme="minorHAnsi" w:cstheme="minorHAnsi"/>
                <w:color w:val="000000"/>
                <w:sz w:val="18"/>
                <w:szCs w:val="18"/>
              </w:rPr>
              <w:t xml:space="preserve">The PBAC recommended that 20-valent pneumococcal conjugate vaccine (20vPCV; Prevenar 20) be a designated vaccine for the purposes of the </w:t>
            </w:r>
            <w:r w:rsidRPr="009B3BC3">
              <w:rPr>
                <w:rFonts w:asciiTheme="minorHAnsi" w:hAnsiTheme="minorHAnsi" w:cstheme="minorHAnsi"/>
                <w:i/>
                <w:iCs/>
                <w:color w:val="000000"/>
                <w:sz w:val="18"/>
                <w:szCs w:val="18"/>
              </w:rPr>
              <w:t>National Health Act 1953</w:t>
            </w:r>
            <w:r w:rsidRPr="008059F4">
              <w:rPr>
                <w:rFonts w:asciiTheme="minorHAnsi" w:hAnsiTheme="minorHAnsi" w:cstheme="minorHAnsi"/>
                <w:color w:val="000000"/>
                <w:sz w:val="18"/>
                <w:szCs w:val="18"/>
              </w:rPr>
              <w:t>, for the prevention of pneumococcal disease in the following paediatric populations:</w:t>
            </w:r>
          </w:p>
          <w:p w14:paraId="48448887" w14:textId="77777777" w:rsidR="009A5A31" w:rsidRPr="008059F4" w:rsidRDefault="009A5A31" w:rsidP="009A5A31">
            <w:pPr>
              <w:jc w:val="both"/>
              <w:rPr>
                <w:rFonts w:asciiTheme="minorHAnsi" w:hAnsiTheme="minorHAnsi" w:cstheme="minorHAnsi"/>
                <w:color w:val="000000"/>
                <w:sz w:val="18"/>
                <w:szCs w:val="18"/>
              </w:rPr>
            </w:pPr>
          </w:p>
          <w:p w14:paraId="48DF2D0F" w14:textId="545267E6" w:rsidR="009A5A31" w:rsidRPr="009B3BC3" w:rsidRDefault="009A5A31" w:rsidP="003A0C9D">
            <w:pPr>
              <w:pStyle w:val="ListParagraph"/>
              <w:numPr>
                <w:ilvl w:val="0"/>
                <w:numId w:val="11"/>
              </w:numPr>
              <w:ind w:left="293" w:hanging="286"/>
              <w:jc w:val="both"/>
              <w:rPr>
                <w:rFonts w:asciiTheme="minorHAnsi" w:hAnsiTheme="minorHAnsi" w:cstheme="minorHAnsi"/>
                <w:color w:val="000000"/>
                <w:sz w:val="18"/>
                <w:szCs w:val="18"/>
              </w:rPr>
            </w:pPr>
            <w:r w:rsidRPr="009B3BC3">
              <w:rPr>
                <w:rFonts w:asciiTheme="minorHAnsi" w:hAnsiTheme="minorHAnsi" w:cstheme="minorHAnsi"/>
                <w:color w:val="000000"/>
                <w:sz w:val="18"/>
                <w:szCs w:val="18"/>
              </w:rPr>
              <w:t>Children aged 12 months or younger in NSW, VIC, ACT, and TAS and non-Indigenous children aged 12 months or younger in QLD, NT, WA and SA (2+1 schedule).</w:t>
            </w:r>
          </w:p>
          <w:p w14:paraId="67CFF624" w14:textId="6351B773" w:rsidR="009A5A31" w:rsidRPr="009B3BC3" w:rsidRDefault="009A5A31" w:rsidP="003A0C9D">
            <w:pPr>
              <w:pStyle w:val="ListParagraph"/>
              <w:numPr>
                <w:ilvl w:val="0"/>
                <w:numId w:val="11"/>
              </w:numPr>
              <w:ind w:left="293" w:hanging="286"/>
              <w:jc w:val="both"/>
              <w:rPr>
                <w:rFonts w:asciiTheme="minorHAnsi" w:hAnsiTheme="minorHAnsi" w:cstheme="minorHAnsi"/>
                <w:color w:val="000000"/>
                <w:sz w:val="18"/>
                <w:szCs w:val="18"/>
              </w:rPr>
            </w:pPr>
            <w:r w:rsidRPr="009B3BC3">
              <w:rPr>
                <w:rFonts w:asciiTheme="minorHAnsi" w:hAnsiTheme="minorHAnsi" w:cstheme="minorHAnsi"/>
                <w:color w:val="000000"/>
                <w:sz w:val="18"/>
                <w:szCs w:val="18"/>
              </w:rPr>
              <w:t>Aboriginal and Torres Strait Islander children aged 12</w:t>
            </w:r>
            <w:r>
              <w:rPr>
                <w:rFonts w:asciiTheme="minorHAnsi" w:hAnsiTheme="minorHAnsi" w:cstheme="minorHAnsi"/>
                <w:color w:val="000000"/>
                <w:sz w:val="18"/>
                <w:szCs w:val="18"/>
              </w:rPr>
              <w:t> </w:t>
            </w:r>
            <w:r w:rsidRPr="009B3BC3">
              <w:rPr>
                <w:rFonts w:asciiTheme="minorHAnsi" w:hAnsiTheme="minorHAnsi" w:cstheme="minorHAnsi"/>
                <w:color w:val="000000"/>
                <w:sz w:val="18"/>
                <w:szCs w:val="18"/>
              </w:rPr>
              <w:t>months or younger in QLD, NT, WA and SA (3+1</w:t>
            </w:r>
            <w:r>
              <w:rPr>
                <w:rFonts w:asciiTheme="minorHAnsi" w:hAnsiTheme="minorHAnsi" w:cstheme="minorHAnsi"/>
                <w:color w:val="000000"/>
                <w:sz w:val="18"/>
                <w:szCs w:val="18"/>
              </w:rPr>
              <w:t> </w:t>
            </w:r>
            <w:r w:rsidRPr="009B3BC3">
              <w:rPr>
                <w:rFonts w:asciiTheme="minorHAnsi" w:hAnsiTheme="minorHAnsi" w:cstheme="minorHAnsi"/>
                <w:color w:val="000000"/>
                <w:sz w:val="18"/>
                <w:szCs w:val="18"/>
              </w:rPr>
              <w:t>schedule).</w:t>
            </w:r>
          </w:p>
          <w:p w14:paraId="275F3E06" w14:textId="7B58B767" w:rsidR="009A5A31" w:rsidRPr="009B3BC3" w:rsidRDefault="009A5A31" w:rsidP="003A0C9D">
            <w:pPr>
              <w:pStyle w:val="ListParagraph"/>
              <w:numPr>
                <w:ilvl w:val="0"/>
                <w:numId w:val="11"/>
              </w:numPr>
              <w:ind w:left="293" w:hanging="286"/>
              <w:jc w:val="both"/>
              <w:rPr>
                <w:rFonts w:asciiTheme="minorHAnsi" w:hAnsiTheme="minorHAnsi" w:cstheme="minorHAnsi"/>
                <w:color w:val="000000"/>
                <w:sz w:val="18"/>
                <w:szCs w:val="18"/>
              </w:rPr>
            </w:pPr>
            <w:r w:rsidRPr="009B3BC3">
              <w:rPr>
                <w:rFonts w:asciiTheme="minorHAnsi" w:hAnsiTheme="minorHAnsi" w:cstheme="minorHAnsi"/>
                <w:color w:val="000000"/>
                <w:sz w:val="18"/>
                <w:szCs w:val="18"/>
              </w:rPr>
              <w:t>Children aged 12 months or younger with currently NIP</w:t>
            </w:r>
            <w:r w:rsidR="00130D30">
              <w:rPr>
                <w:rFonts w:asciiTheme="minorHAnsi" w:hAnsiTheme="minorHAnsi" w:cstheme="minorHAnsi"/>
                <w:color w:val="000000"/>
                <w:sz w:val="18"/>
                <w:szCs w:val="18"/>
              </w:rPr>
              <w:noBreakHyphen/>
            </w:r>
            <w:r w:rsidRPr="009B3BC3">
              <w:rPr>
                <w:rFonts w:asciiTheme="minorHAnsi" w:hAnsiTheme="minorHAnsi" w:cstheme="minorHAnsi"/>
                <w:color w:val="000000"/>
                <w:sz w:val="18"/>
                <w:szCs w:val="18"/>
              </w:rPr>
              <w:t>funded risk conditions (3+1 schedule).</w:t>
            </w:r>
          </w:p>
          <w:p w14:paraId="4F83C9BD" w14:textId="265D62C1" w:rsidR="009A5A31" w:rsidRDefault="009A5A31" w:rsidP="003A0C9D">
            <w:pPr>
              <w:pStyle w:val="ListParagraph"/>
              <w:numPr>
                <w:ilvl w:val="0"/>
                <w:numId w:val="11"/>
              </w:numPr>
              <w:ind w:left="293" w:hanging="286"/>
              <w:jc w:val="both"/>
              <w:rPr>
                <w:rFonts w:asciiTheme="minorHAnsi" w:hAnsiTheme="minorHAnsi" w:cstheme="minorHAnsi"/>
                <w:color w:val="000000"/>
                <w:sz w:val="18"/>
                <w:szCs w:val="18"/>
              </w:rPr>
            </w:pPr>
            <w:r w:rsidRPr="009B3BC3">
              <w:rPr>
                <w:rFonts w:asciiTheme="minorHAnsi" w:hAnsiTheme="minorHAnsi" w:cstheme="minorHAnsi"/>
                <w:color w:val="000000"/>
                <w:sz w:val="18"/>
                <w:szCs w:val="18"/>
              </w:rPr>
              <w:t>Children aged more than 12 months with currently NIP</w:t>
            </w:r>
            <w:r w:rsidR="00130D30">
              <w:rPr>
                <w:rFonts w:asciiTheme="minorHAnsi" w:hAnsiTheme="minorHAnsi" w:cstheme="minorHAnsi"/>
                <w:color w:val="000000"/>
                <w:sz w:val="18"/>
                <w:szCs w:val="18"/>
              </w:rPr>
              <w:noBreakHyphen/>
            </w:r>
            <w:r w:rsidRPr="009B3BC3">
              <w:rPr>
                <w:rFonts w:asciiTheme="minorHAnsi" w:hAnsiTheme="minorHAnsi" w:cstheme="minorHAnsi"/>
                <w:color w:val="000000"/>
                <w:sz w:val="18"/>
                <w:szCs w:val="18"/>
              </w:rPr>
              <w:t>funded risk conditions (single dose).</w:t>
            </w:r>
          </w:p>
          <w:p w14:paraId="79E058A4" w14:textId="77777777" w:rsidR="009A5A31" w:rsidRPr="009B3BC3" w:rsidRDefault="009A5A31" w:rsidP="009A5A31">
            <w:pPr>
              <w:pStyle w:val="ListParagraph"/>
              <w:ind w:left="293"/>
              <w:jc w:val="both"/>
              <w:rPr>
                <w:rFonts w:asciiTheme="minorHAnsi" w:hAnsiTheme="minorHAnsi" w:cstheme="minorHAnsi"/>
                <w:color w:val="000000"/>
                <w:sz w:val="18"/>
                <w:szCs w:val="18"/>
              </w:rPr>
            </w:pPr>
          </w:p>
          <w:p w14:paraId="2E7B3000" w14:textId="7BFBF688" w:rsidR="009A5A31" w:rsidRPr="008059F4" w:rsidRDefault="009A5A31" w:rsidP="009A5A31">
            <w:pPr>
              <w:jc w:val="both"/>
              <w:rPr>
                <w:rFonts w:asciiTheme="minorHAnsi" w:hAnsiTheme="minorHAnsi" w:cstheme="minorHAnsi"/>
                <w:color w:val="000000"/>
                <w:sz w:val="18"/>
                <w:szCs w:val="18"/>
              </w:rPr>
            </w:pPr>
            <w:r w:rsidRPr="008059F4">
              <w:rPr>
                <w:rFonts w:asciiTheme="minorHAnsi" w:hAnsiTheme="minorHAnsi" w:cstheme="minorHAnsi"/>
                <w:color w:val="000000"/>
                <w:sz w:val="18"/>
                <w:szCs w:val="18"/>
              </w:rPr>
              <w:t>These populations match those recommended for 13-valent pneumococcal conjugate vaccine (13vPCV) and 15-valent pneumococcal conjugate vaccine (15vPCV). The PBAC’s recommendation for listing was based on, among other matters, its assessment that the cost-effectiveness of 20vPCV would be acceptable if it were cost-minimised against the nominated comparators, 13vPCV and 15vPCV.</w:t>
            </w:r>
          </w:p>
        </w:tc>
      </w:tr>
      <w:tr w:rsidR="009A5A31" w:rsidRPr="008059F4" w14:paraId="42DD270F" w14:textId="77777777" w:rsidTr="003774E1">
        <w:trPr>
          <w:cantSplit/>
          <w:trHeight w:val="2948"/>
          <w:jc w:val="center"/>
        </w:trPr>
        <w:tc>
          <w:tcPr>
            <w:tcW w:w="3013" w:type="dxa"/>
            <w:shd w:val="clear" w:color="auto" w:fill="auto"/>
            <w:tcMar>
              <w:top w:w="28" w:type="dxa"/>
              <w:bottom w:w="28" w:type="dxa"/>
            </w:tcMar>
            <w:vAlign w:val="center"/>
          </w:tcPr>
          <w:p w14:paraId="0BDA6E8E" w14:textId="31F9D6EA" w:rsidR="009A5A31" w:rsidRPr="008059F4" w:rsidRDefault="009A5A31" w:rsidP="009A5A31">
            <w:pPr>
              <w:keepLines/>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lastRenderedPageBreak/>
              <w:t>RISANKIZUMAB</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Injection 150</w:t>
            </w:r>
            <w:r>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in 1</w:t>
            </w:r>
            <w:r>
              <w:rPr>
                <w:rFonts w:asciiTheme="minorHAnsi" w:hAnsiTheme="minorHAnsi" w:cstheme="minorHAnsi"/>
                <w:color w:val="000000"/>
                <w:sz w:val="18"/>
                <w:szCs w:val="18"/>
              </w:rPr>
              <w:t> mL</w:t>
            </w:r>
            <w:r w:rsidRPr="008059F4">
              <w:rPr>
                <w:rFonts w:asciiTheme="minorHAnsi" w:hAnsiTheme="minorHAnsi" w:cstheme="minorHAnsi"/>
                <w:color w:val="000000"/>
                <w:sz w:val="18"/>
                <w:szCs w:val="18"/>
              </w:rPr>
              <w:t xml:space="preserve"> pre-filled syringe</w:t>
            </w:r>
            <w:r w:rsidRPr="008059F4">
              <w:rPr>
                <w:rFonts w:asciiTheme="minorHAnsi" w:hAnsiTheme="minorHAnsi" w:cstheme="minorHAnsi"/>
                <w:color w:val="000000"/>
                <w:sz w:val="18"/>
                <w:szCs w:val="18"/>
              </w:rPr>
              <w:br/>
              <w:t>Injection 150</w:t>
            </w:r>
            <w:r>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in 1</w:t>
            </w:r>
            <w:r>
              <w:rPr>
                <w:rFonts w:asciiTheme="minorHAnsi" w:hAnsiTheme="minorHAnsi" w:cstheme="minorHAnsi"/>
                <w:color w:val="000000"/>
                <w:sz w:val="18"/>
                <w:szCs w:val="18"/>
              </w:rPr>
              <w:t> mL</w:t>
            </w:r>
            <w:r w:rsidRPr="008059F4">
              <w:rPr>
                <w:rFonts w:asciiTheme="minorHAnsi" w:hAnsiTheme="minorHAnsi" w:cstheme="minorHAnsi"/>
                <w:color w:val="000000"/>
                <w:sz w:val="18"/>
                <w:szCs w:val="18"/>
              </w:rPr>
              <w:t xml:space="preserve"> pre-filled pen</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Skyrizi®</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ABBVIE PTY LTD</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Category 2</w:t>
            </w:r>
            <w:r w:rsidRPr="008059F4">
              <w:rPr>
                <w:rFonts w:asciiTheme="minorHAnsi" w:hAnsiTheme="minorHAnsi" w:cstheme="minorHAnsi"/>
                <w:color w:val="000000"/>
                <w:sz w:val="18"/>
                <w:szCs w:val="18"/>
              </w:rPr>
              <w:br/>
              <w:t>(Change to existing listing)</w:t>
            </w:r>
          </w:p>
        </w:tc>
        <w:tc>
          <w:tcPr>
            <w:tcW w:w="2764" w:type="dxa"/>
            <w:shd w:val="clear" w:color="auto" w:fill="auto"/>
            <w:vAlign w:val="center"/>
          </w:tcPr>
          <w:p w14:paraId="55CFEEE3" w14:textId="42E6F315" w:rsidR="009A5A31" w:rsidRPr="008059F4" w:rsidRDefault="009A5A31" w:rsidP="009A5A31">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Chronic plaque psoriasis (CPP)</w:t>
            </w:r>
          </w:p>
        </w:tc>
        <w:tc>
          <w:tcPr>
            <w:tcW w:w="2978" w:type="dxa"/>
            <w:shd w:val="clear" w:color="auto" w:fill="auto"/>
            <w:tcMar>
              <w:top w:w="28" w:type="dxa"/>
              <w:bottom w:w="28" w:type="dxa"/>
            </w:tcMar>
            <w:vAlign w:val="center"/>
          </w:tcPr>
          <w:p w14:paraId="250C683D" w14:textId="310851B5" w:rsidR="009A5A31" w:rsidRPr="008059F4" w:rsidRDefault="009A5A31" w:rsidP="009A5A31">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To request a General Schedule Authority Required (Written) listing for the treatment of severe CPP.</w:t>
            </w:r>
          </w:p>
        </w:tc>
        <w:tc>
          <w:tcPr>
            <w:tcW w:w="1800" w:type="dxa"/>
            <w:shd w:val="clear" w:color="auto" w:fill="auto"/>
            <w:vAlign w:val="center"/>
          </w:tcPr>
          <w:p w14:paraId="6807A39B" w14:textId="273367DE" w:rsidR="009A5A31" w:rsidRPr="008059F4" w:rsidRDefault="009A5A31" w:rsidP="009A5A31">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Recommended</w:t>
            </w:r>
          </w:p>
        </w:tc>
        <w:tc>
          <w:tcPr>
            <w:tcW w:w="4833" w:type="dxa"/>
            <w:shd w:val="clear" w:color="auto" w:fill="auto"/>
            <w:vAlign w:val="center"/>
          </w:tcPr>
          <w:p w14:paraId="081C5B09" w14:textId="48CDE1A4" w:rsidR="009A5A31" w:rsidRPr="008059F4" w:rsidRDefault="009A5A31" w:rsidP="009A5A31">
            <w:pPr>
              <w:jc w:val="both"/>
              <w:rPr>
                <w:rFonts w:asciiTheme="minorHAnsi" w:hAnsiTheme="minorHAnsi" w:cstheme="minorHAnsi"/>
                <w:color w:val="000000"/>
                <w:sz w:val="18"/>
                <w:szCs w:val="18"/>
              </w:rPr>
            </w:pPr>
            <w:r w:rsidRPr="008059F4">
              <w:rPr>
                <w:rFonts w:asciiTheme="minorHAnsi" w:hAnsiTheme="minorHAnsi" w:cstheme="minorHAnsi"/>
                <w:color w:val="000000"/>
                <w:sz w:val="18"/>
                <w:szCs w:val="18"/>
              </w:rPr>
              <w:t>The PBAC recommended the listing of two new forms of risankizumab, a 150</w:t>
            </w:r>
            <w:r>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pre-filled syringe (PFS) and a 150</w:t>
            </w:r>
            <w:r>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pre-filled pen (PFP) for the treatment of severe CPP. The Committee noted it had previously recommended the listing of these forms of risankizumab for CPP in November 2021 and advised the basis of this recommendation differed to that of the previous outcome. The PBAC noted the 150</w:t>
            </w:r>
            <w:r>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forms and the 75</w:t>
            </w:r>
            <w:r>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form of risankizumab are bioequivalent, and considered there is sufficient evidence to conclude that the 150</w:t>
            </w:r>
            <w:r>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forms of risankizumab provides, for some patients, a significant improvement in efficacy compared to adalimumab, etanercept and ustekinumab. The PBAC was also satisfied that risankizumab provides, for some patients, a significant improvement in efficacy or reduction of toxicity over infliximab. The PBAC’s recommendation for listing was therefore based on, among other matters, its assessment that the cost</w:t>
            </w:r>
            <w:r w:rsidR="00130D30">
              <w:rPr>
                <w:rFonts w:asciiTheme="minorHAnsi" w:hAnsiTheme="minorHAnsi" w:cstheme="minorHAnsi"/>
                <w:color w:val="000000"/>
                <w:sz w:val="18"/>
                <w:szCs w:val="18"/>
              </w:rPr>
              <w:noBreakHyphen/>
            </w:r>
            <w:r w:rsidRPr="008059F4">
              <w:rPr>
                <w:rFonts w:asciiTheme="minorHAnsi" w:hAnsiTheme="minorHAnsi" w:cstheme="minorHAnsi"/>
                <w:color w:val="000000"/>
                <w:sz w:val="18"/>
                <w:szCs w:val="18"/>
              </w:rPr>
              <w:t>effectiveness of the 150</w:t>
            </w:r>
            <w:r>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forms of risankizumab would be acceptable if they were </w:t>
            </w:r>
            <w:r w:rsidR="00130D30" w:rsidRPr="008059F4">
              <w:rPr>
                <w:rFonts w:asciiTheme="minorHAnsi" w:hAnsiTheme="minorHAnsi" w:cstheme="minorHAnsi"/>
                <w:color w:val="000000"/>
                <w:sz w:val="18"/>
                <w:szCs w:val="18"/>
              </w:rPr>
              <w:t>cost</w:t>
            </w:r>
            <w:r w:rsidR="00130D30">
              <w:rPr>
                <w:rFonts w:asciiTheme="minorHAnsi" w:hAnsiTheme="minorHAnsi" w:cstheme="minorHAnsi"/>
                <w:color w:val="000000"/>
                <w:sz w:val="18"/>
                <w:szCs w:val="18"/>
              </w:rPr>
              <w:noBreakHyphen/>
            </w:r>
            <w:r w:rsidRPr="008059F4">
              <w:rPr>
                <w:rFonts w:asciiTheme="minorHAnsi" w:hAnsiTheme="minorHAnsi" w:cstheme="minorHAnsi"/>
                <w:color w:val="000000"/>
                <w:sz w:val="18"/>
                <w:szCs w:val="18"/>
              </w:rPr>
              <w:t>minimised to the least costly alternative therapy of risankizumab (2 x 75</w:t>
            </w:r>
            <w:r>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presentation), bimekizumab, guselkumab, ixekizumab, tildrakizumab and secukinumab.</w:t>
            </w:r>
          </w:p>
        </w:tc>
      </w:tr>
      <w:tr w:rsidR="009A5A31" w:rsidRPr="008059F4" w14:paraId="6C41C9DC" w14:textId="77777777" w:rsidTr="00476822">
        <w:trPr>
          <w:trHeight w:val="2948"/>
          <w:jc w:val="center"/>
        </w:trPr>
        <w:tc>
          <w:tcPr>
            <w:tcW w:w="3013" w:type="dxa"/>
            <w:shd w:val="clear" w:color="auto" w:fill="auto"/>
            <w:tcMar>
              <w:top w:w="28" w:type="dxa"/>
              <w:bottom w:w="28" w:type="dxa"/>
            </w:tcMar>
            <w:vAlign w:val="center"/>
          </w:tcPr>
          <w:p w14:paraId="116E4539" w14:textId="345616E9" w:rsidR="009A5A31" w:rsidRPr="008059F4" w:rsidRDefault="009A5A31" w:rsidP="009A5A31">
            <w:pPr>
              <w:keepLines/>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SACITUZUMAB GOVITECAN</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Powder for injection 180</w:t>
            </w:r>
            <w:r>
              <w:rPr>
                <w:rFonts w:asciiTheme="minorHAnsi" w:hAnsiTheme="minorHAnsi" w:cstheme="minorHAnsi"/>
                <w:color w:val="000000"/>
                <w:sz w:val="18"/>
                <w:szCs w:val="18"/>
              </w:rPr>
              <w:t> mg</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Trodelvy®</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GILEAD SCIENCES PTY LIMITED</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Early re-entry</w:t>
            </w:r>
            <w:r w:rsidRPr="008059F4">
              <w:rPr>
                <w:rFonts w:asciiTheme="minorHAnsi" w:hAnsiTheme="minorHAnsi" w:cstheme="minorHAnsi"/>
                <w:color w:val="000000"/>
                <w:sz w:val="18"/>
                <w:szCs w:val="18"/>
              </w:rPr>
              <w:br/>
              <w:t>(Change to existing listing)</w:t>
            </w:r>
          </w:p>
        </w:tc>
        <w:tc>
          <w:tcPr>
            <w:tcW w:w="2764" w:type="dxa"/>
            <w:shd w:val="clear" w:color="auto" w:fill="auto"/>
            <w:vAlign w:val="center"/>
          </w:tcPr>
          <w:p w14:paraId="4E626476" w14:textId="00DAF8FD" w:rsidR="009A5A31" w:rsidRPr="008059F4" w:rsidRDefault="009A5A31" w:rsidP="009A5A31">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Hormone receptor-positive (HR+) human epidermal growth factor receptor-2 negative (HER2-) advanced or metastatic breast cancer</w:t>
            </w:r>
            <w:r>
              <w:rPr>
                <w:rFonts w:asciiTheme="minorHAnsi" w:hAnsiTheme="minorHAnsi" w:cstheme="minorHAnsi"/>
                <w:color w:val="000000"/>
                <w:sz w:val="18"/>
                <w:szCs w:val="18"/>
              </w:rPr>
              <w:t>.</w:t>
            </w:r>
          </w:p>
        </w:tc>
        <w:tc>
          <w:tcPr>
            <w:tcW w:w="2978" w:type="dxa"/>
            <w:shd w:val="clear" w:color="auto" w:fill="auto"/>
            <w:tcMar>
              <w:top w:w="28" w:type="dxa"/>
              <w:bottom w:w="28" w:type="dxa"/>
            </w:tcMar>
            <w:vAlign w:val="center"/>
          </w:tcPr>
          <w:p w14:paraId="2FB4EB05" w14:textId="1F4645CF" w:rsidR="009A5A31" w:rsidRPr="008059F4" w:rsidRDefault="009A5A31" w:rsidP="009A5A31">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Resubmission to request a Section 100 (Efficient Funding of Chemotherapy Program) Authority Required (STREAMLINED) listing for the treatment of adult patients with unresectable locally advanced or metastatic HR+, HER2- breast cancer, who have previously received at least two systemic therapies, one of which may have been in the neoadjuvant/adjuvant setting.</w:t>
            </w:r>
          </w:p>
        </w:tc>
        <w:tc>
          <w:tcPr>
            <w:tcW w:w="1800" w:type="dxa"/>
            <w:shd w:val="clear" w:color="auto" w:fill="auto"/>
            <w:vAlign w:val="center"/>
          </w:tcPr>
          <w:p w14:paraId="4AA8E4B9" w14:textId="65F0D4EA" w:rsidR="009A5A31" w:rsidRPr="008059F4" w:rsidRDefault="009A5A31" w:rsidP="009A5A31">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Not Recommended</w:t>
            </w:r>
          </w:p>
        </w:tc>
        <w:tc>
          <w:tcPr>
            <w:tcW w:w="4833" w:type="dxa"/>
            <w:shd w:val="clear" w:color="auto" w:fill="auto"/>
            <w:vAlign w:val="center"/>
          </w:tcPr>
          <w:p w14:paraId="0C80B9B6" w14:textId="76B3F282" w:rsidR="009A5A31" w:rsidRPr="008B7209" w:rsidRDefault="009A5A31" w:rsidP="00615136">
            <w:pPr>
              <w:jc w:val="both"/>
              <w:rPr>
                <w:rFonts w:asciiTheme="minorHAnsi" w:hAnsiTheme="minorHAnsi" w:cstheme="minorHAnsi"/>
                <w:color w:val="000000"/>
                <w:sz w:val="18"/>
                <w:szCs w:val="18"/>
              </w:rPr>
            </w:pPr>
            <w:r w:rsidRPr="008B7209">
              <w:rPr>
                <w:rFonts w:asciiTheme="minorHAnsi" w:hAnsiTheme="minorHAnsi" w:cstheme="minorHAnsi"/>
                <w:color w:val="000000"/>
                <w:sz w:val="18"/>
                <w:szCs w:val="18"/>
              </w:rPr>
              <w:t>The PBAC did not recommend the listing of sacituzumab govitecan (SG), for the treatment of adult patients with unresectable locally advanced or metastatic HR+, HER2- breast cancer, who have previously received at least two prior chemotherapeutic regimens. In making this recommendation, the PBAC considered</w:t>
            </w:r>
            <w:r w:rsidRPr="008B7209">
              <w:rPr>
                <w:rFonts w:asciiTheme="minorHAnsi" w:hAnsiTheme="minorHAnsi" w:cstheme="minorHAnsi"/>
                <w:color w:val="000000"/>
                <w:sz w:val="18"/>
                <w:szCs w:val="18"/>
                <w:lang w:val="en-GB"/>
              </w:rPr>
              <w:t xml:space="preserve"> that the </w:t>
            </w:r>
            <w:r w:rsidRPr="008B7209">
              <w:rPr>
                <w:rFonts w:asciiTheme="minorHAnsi" w:hAnsiTheme="minorHAnsi" w:cstheme="minorHAnsi"/>
                <w:color w:val="000000"/>
                <w:sz w:val="18"/>
                <w:szCs w:val="18"/>
              </w:rPr>
              <w:t>changes made to the proposed restriction of SG appropriately reflected the inclusion criteria for the TROPiCS-02 trial and accepted that there is a moderate clinical need for new and effective therapies in this indication. The PBAC considered that SG provided a clinical benefit with a significant improvement in progression free survival (PFS) and overall survival (OS) compared with treatment of physician’s choice (TPC). However, the PBAC noted that revised economic evaluation had not addressed a number of the Committee’s previous concerns. The PBAC considered that the incremental</w:t>
            </w:r>
            <w:r w:rsidR="00130D30">
              <w:rPr>
                <w:rFonts w:asciiTheme="minorHAnsi" w:hAnsiTheme="minorHAnsi" w:cstheme="minorHAnsi"/>
                <w:color w:val="000000"/>
                <w:sz w:val="18"/>
                <w:szCs w:val="18"/>
              </w:rPr>
              <w:t xml:space="preserve"> </w:t>
            </w:r>
            <w:r w:rsidRPr="008B7209">
              <w:rPr>
                <w:rFonts w:asciiTheme="minorHAnsi" w:hAnsiTheme="minorHAnsi" w:cstheme="minorHAnsi"/>
                <w:color w:val="000000"/>
                <w:sz w:val="18"/>
                <w:szCs w:val="18"/>
              </w:rPr>
              <w:t>cost</w:t>
            </w:r>
            <w:r w:rsidR="00130D30">
              <w:rPr>
                <w:rFonts w:asciiTheme="minorHAnsi" w:hAnsiTheme="minorHAnsi" w:cstheme="minorHAnsi"/>
                <w:color w:val="000000"/>
                <w:sz w:val="18"/>
                <w:szCs w:val="18"/>
              </w:rPr>
              <w:noBreakHyphen/>
            </w:r>
            <w:r w:rsidRPr="008B7209">
              <w:rPr>
                <w:rFonts w:asciiTheme="minorHAnsi" w:hAnsiTheme="minorHAnsi" w:cstheme="minorHAnsi"/>
                <w:color w:val="000000"/>
                <w:sz w:val="18"/>
                <w:szCs w:val="18"/>
              </w:rPr>
              <w:t xml:space="preserve">effectiveness ratio (ICER) remained underestimated and </w:t>
            </w:r>
            <w:r w:rsidRPr="008B7209">
              <w:rPr>
                <w:rFonts w:asciiTheme="minorHAnsi" w:hAnsiTheme="minorHAnsi" w:cstheme="minorHAnsi"/>
                <w:color w:val="000000"/>
                <w:sz w:val="18"/>
                <w:szCs w:val="18"/>
              </w:rPr>
              <w:lastRenderedPageBreak/>
              <w:t>SG was not cost-effective at the price proposed in the submission.</w:t>
            </w:r>
          </w:p>
          <w:p w14:paraId="416136AF" w14:textId="77777777" w:rsidR="009A5A31" w:rsidRPr="008B7209" w:rsidRDefault="009A5A31" w:rsidP="00615136">
            <w:pPr>
              <w:jc w:val="both"/>
              <w:rPr>
                <w:rFonts w:asciiTheme="minorHAnsi" w:hAnsiTheme="minorHAnsi" w:cstheme="minorHAnsi"/>
                <w:color w:val="000000"/>
                <w:sz w:val="18"/>
                <w:szCs w:val="18"/>
              </w:rPr>
            </w:pPr>
          </w:p>
          <w:p w14:paraId="497BC0EC" w14:textId="03CD6697" w:rsidR="009A5A31" w:rsidRPr="008B7209" w:rsidRDefault="009A5A31" w:rsidP="00615136">
            <w:pPr>
              <w:jc w:val="both"/>
              <w:rPr>
                <w:rFonts w:asciiTheme="minorHAnsi" w:hAnsiTheme="minorHAnsi" w:cstheme="minorHAnsi"/>
                <w:color w:val="000000"/>
                <w:sz w:val="18"/>
                <w:szCs w:val="18"/>
              </w:rPr>
            </w:pPr>
            <w:r w:rsidRPr="008B7209">
              <w:rPr>
                <w:rFonts w:asciiTheme="minorHAnsi" w:hAnsiTheme="minorHAnsi" w:cstheme="minorHAnsi"/>
                <w:color w:val="000000"/>
                <w:sz w:val="18"/>
                <w:szCs w:val="18"/>
                <w:u w:val="single"/>
              </w:rPr>
              <w:t>Comparator:</w:t>
            </w:r>
            <w:r w:rsidRPr="008B7209">
              <w:rPr>
                <w:rFonts w:asciiTheme="minorHAnsi" w:hAnsiTheme="minorHAnsi" w:cstheme="minorHAnsi"/>
                <w:color w:val="000000"/>
                <w:sz w:val="18"/>
                <w:szCs w:val="18"/>
              </w:rPr>
              <w:t xml:space="preserve"> Single-agent TPC, consisting of eribulin, capecitabine, gemcitabine or vinorelbine. The PBAC reaffirmed its previous view that the proposed comparator was reasonable.</w:t>
            </w:r>
            <w:r w:rsidRPr="008B7209" w:rsidDel="009242A6">
              <w:rPr>
                <w:rFonts w:asciiTheme="minorHAnsi" w:hAnsiTheme="minorHAnsi" w:cstheme="minorHAnsi"/>
                <w:color w:val="000000"/>
                <w:sz w:val="18"/>
                <w:szCs w:val="18"/>
              </w:rPr>
              <w:t xml:space="preserve"> </w:t>
            </w:r>
          </w:p>
          <w:p w14:paraId="2BA50669" w14:textId="0E4691CD" w:rsidR="009A5A31" w:rsidRPr="008B7209" w:rsidRDefault="009A5A31" w:rsidP="00615136">
            <w:pPr>
              <w:jc w:val="both"/>
              <w:rPr>
                <w:rFonts w:asciiTheme="minorHAnsi" w:hAnsiTheme="minorHAnsi" w:cstheme="minorHAnsi"/>
                <w:color w:val="000000"/>
                <w:sz w:val="18"/>
                <w:szCs w:val="18"/>
              </w:rPr>
            </w:pPr>
            <w:r w:rsidRPr="008B7209">
              <w:rPr>
                <w:rFonts w:asciiTheme="minorHAnsi" w:hAnsiTheme="minorHAnsi" w:cstheme="minorHAnsi"/>
                <w:color w:val="000000"/>
                <w:sz w:val="18"/>
                <w:szCs w:val="18"/>
                <w:u w:val="single"/>
              </w:rPr>
              <w:t>Clinical claim:</w:t>
            </w:r>
            <w:r w:rsidRPr="008B7209">
              <w:rPr>
                <w:rFonts w:asciiTheme="minorHAnsi" w:hAnsiTheme="minorHAnsi" w:cstheme="minorHAnsi"/>
                <w:color w:val="000000"/>
                <w:sz w:val="18"/>
                <w:szCs w:val="18"/>
              </w:rPr>
              <w:t xml:space="preserve"> Superior effectiveness and </w:t>
            </w:r>
            <w:r w:rsidRPr="008B7209">
              <w:rPr>
                <w:rFonts w:asciiTheme="minorHAnsi" w:hAnsiTheme="minorHAnsi" w:cstheme="minorHAnsi"/>
                <w:iCs/>
                <w:color w:val="000000"/>
                <w:sz w:val="18"/>
                <w:szCs w:val="18"/>
              </w:rPr>
              <w:t xml:space="preserve">a known and manageable </w:t>
            </w:r>
            <w:r w:rsidRPr="008B7209">
              <w:rPr>
                <w:rFonts w:asciiTheme="minorHAnsi" w:hAnsiTheme="minorHAnsi" w:cstheme="minorHAnsi"/>
                <w:color w:val="000000"/>
                <w:sz w:val="18"/>
                <w:szCs w:val="18"/>
              </w:rPr>
              <w:t xml:space="preserve">safety compared with TPC. The PBAC recalled it had previously accepted the superior comparative effectiveness claim based on </w:t>
            </w:r>
            <w:r>
              <w:rPr>
                <w:rFonts w:asciiTheme="minorHAnsi" w:hAnsiTheme="minorHAnsi" w:cstheme="minorHAnsi"/>
                <w:color w:val="000000"/>
                <w:sz w:val="18"/>
                <w:szCs w:val="18"/>
              </w:rPr>
              <w:t>PFS</w:t>
            </w:r>
            <w:r w:rsidRPr="008B7209">
              <w:rPr>
                <w:rFonts w:asciiTheme="minorHAnsi" w:hAnsiTheme="minorHAnsi" w:cstheme="minorHAnsi"/>
                <w:color w:val="000000"/>
                <w:sz w:val="18"/>
                <w:szCs w:val="18"/>
              </w:rPr>
              <w:t xml:space="preserve"> and </w:t>
            </w:r>
            <w:r>
              <w:rPr>
                <w:rFonts w:asciiTheme="minorHAnsi" w:hAnsiTheme="minorHAnsi" w:cstheme="minorHAnsi"/>
                <w:color w:val="000000"/>
                <w:sz w:val="18"/>
                <w:szCs w:val="18"/>
              </w:rPr>
              <w:t>OS</w:t>
            </w:r>
            <w:r w:rsidRPr="008B7209">
              <w:rPr>
                <w:rFonts w:asciiTheme="minorHAnsi" w:hAnsiTheme="minorHAnsi" w:cstheme="minorHAnsi"/>
                <w:color w:val="000000"/>
                <w:sz w:val="18"/>
                <w:szCs w:val="18"/>
              </w:rPr>
              <w:t xml:space="preserve"> and reaffirmed its previous view that SG was associated with inferior comparative safety.</w:t>
            </w:r>
          </w:p>
          <w:p w14:paraId="2D003505" w14:textId="5F34B395" w:rsidR="009A5A31" w:rsidRDefault="009A5A31" w:rsidP="00615136">
            <w:pPr>
              <w:jc w:val="both"/>
              <w:rPr>
                <w:rFonts w:asciiTheme="minorHAnsi" w:hAnsiTheme="minorHAnsi" w:cstheme="minorHAnsi"/>
                <w:color w:val="000000"/>
                <w:sz w:val="18"/>
                <w:szCs w:val="18"/>
              </w:rPr>
            </w:pPr>
            <w:r w:rsidRPr="008B7209">
              <w:rPr>
                <w:rFonts w:asciiTheme="minorHAnsi" w:hAnsiTheme="minorHAnsi" w:cstheme="minorHAnsi"/>
                <w:color w:val="000000"/>
                <w:sz w:val="18"/>
                <w:szCs w:val="18"/>
                <w:u w:val="single"/>
              </w:rPr>
              <w:t>Economic claim</w:t>
            </w:r>
            <w:r w:rsidRPr="008B7209">
              <w:rPr>
                <w:rFonts w:asciiTheme="minorHAnsi" w:hAnsiTheme="minorHAnsi" w:cstheme="minorHAnsi"/>
                <w:color w:val="000000"/>
                <w:sz w:val="18"/>
                <w:szCs w:val="18"/>
              </w:rPr>
              <w:t>: Cost-utility versus TPC. The PBAC noted that the revised economic evaluation had not addressed a number of the Committee’s previous concerns. The PBAC considered that the ICER remained underestimated and SG was not cost</w:t>
            </w:r>
            <w:r w:rsidR="00005B5B">
              <w:rPr>
                <w:rFonts w:asciiTheme="minorHAnsi" w:hAnsiTheme="minorHAnsi" w:cstheme="minorHAnsi"/>
                <w:color w:val="000000"/>
                <w:sz w:val="18"/>
                <w:szCs w:val="18"/>
              </w:rPr>
              <w:noBreakHyphen/>
            </w:r>
            <w:r w:rsidRPr="008B7209">
              <w:rPr>
                <w:rFonts w:asciiTheme="minorHAnsi" w:hAnsiTheme="minorHAnsi" w:cstheme="minorHAnsi"/>
                <w:color w:val="000000"/>
                <w:sz w:val="18"/>
                <w:szCs w:val="18"/>
              </w:rPr>
              <w:t>effective at the price proposed in the submission</w:t>
            </w:r>
            <w:r>
              <w:rPr>
                <w:rFonts w:asciiTheme="minorHAnsi" w:hAnsiTheme="minorHAnsi" w:cstheme="minorHAnsi"/>
                <w:color w:val="000000"/>
                <w:sz w:val="18"/>
                <w:szCs w:val="18"/>
              </w:rPr>
              <w:t>.</w:t>
            </w:r>
          </w:p>
          <w:p w14:paraId="45004D90" w14:textId="77777777" w:rsidR="009A5A31" w:rsidRPr="00134057" w:rsidRDefault="009A5A31" w:rsidP="00615136">
            <w:pPr>
              <w:jc w:val="both"/>
              <w:rPr>
                <w:rFonts w:asciiTheme="minorHAnsi" w:hAnsiTheme="minorHAnsi" w:cstheme="minorHAnsi"/>
                <w:color w:val="000000"/>
                <w:sz w:val="18"/>
                <w:szCs w:val="18"/>
              </w:rPr>
            </w:pPr>
          </w:p>
          <w:p w14:paraId="7BFEC320" w14:textId="77777777" w:rsidR="009A5A31" w:rsidRDefault="009A5A31" w:rsidP="00615136">
            <w:pPr>
              <w:jc w:val="both"/>
              <w:rPr>
                <w:rFonts w:asciiTheme="minorHAnsi" w:hAnsiTheme="minorHAnsi" w:cstheme="minorHAnsi"/>
                <w:color w:val="000000"/>
                <w:sz w:val="18"/>
                <w:szCs w:val="18"/>
              </w:rPr>
            </w:pPr>
            <w:r w:rsidRPr="000110D5">
              <w:rPr>
                <w:rFonts w:asciiTheme="minorHAnsi" w:hAnsiTheme="minorHAnsi" w:cstheme="minorHAnsi"/>
                <w:color w:val="000000"/>
                <w:sz w:val="18"/>
                <w:szCs w:val="18"/>
                <w:u w:val="single"/>
              </w:rPr>
              <w:t>Sponsor’s Comment:</w:t>
            </w:r>
          </w:p>
          <w:p w14:paraId="17CFEAA0" w14:textId="701C704D" w:rsidR="008B5F66" w:rsidRDefault="008B5F66" w:rsidP="008B5F66">
            <w:pPr>
              <w:jc w:val="both"/>
              <w:rPr>
                <w:rFonts w:asciiTheme="minorHAnsi" w:hAnsiTheme="minorHAnsi" w:cstheme="minorHAnsi"/>
                <w:color w:val="000000"/>
                <w:sz w:val="18"/>
                <w:szCs w:val="18"/>
              </w:rPr>
            </w:pPr>
            <w:r w:rsidRPr="008B5F66">
              <w:rPr>
                <w:rFonts w:asciiTheme="minorHAnsi" w:hAnsiTheme="minorHAnsi" w:cstheme="minorHAnsi"/>
                <w:color w:val="000000"/>
                <w:sz w:val="18"/>
                <w:szCs w:val="18"/>
              </w:rPr>
              <w:t>Gilead Sciences is disappointed by this decision as we believe Australians living with metastatic breast cancer need new treatment options.</w:t>
            </w:r>
          </w:p>
          <w:p w14:paraId="0E0D1CCE" w14:textId="77777777" w:rsidR="00FA4C5D" w:rsidRPr="008B5F66" w:rsidRDefault="00FA4C5D" w:rsidP="008B5F66">
            <w:pPr>
              <w:jc w:val="both"/>
              <w:rPr>
                <w:rFonts w:asciiTheme="minorHAnsi" w:hAnsiTheme="minorHAnsi" w:cstheme="minorHAnsi"/>
                <w:color w:val="000000"/>
                <w:sz w:val="18"/>
                <w:szCs w:val="18"/>
              </w:rPr>
            </w:pPr>
          </w:p>
          <w:p w14:paraId="4C5B791A" w14:textId="236F1AE6" w:rsidR="009A5A31" w:rsidRPr="008059F4" w:rsidRDefault="008B5F66" w:rsidP="008B5F66">
            <w:pPr>
              <w:jc w:val="both"/>
              <w:rPr>
                <w:rFonts w:asciiTheme="minorHAnsi" w:hAnsiTheme="minorHAnsi" w:cstheme="minorHAnsi"/>
                <w:color w:val="000000"/>
                <w:sz w:val="18"/>
                <w:szCs w:val="18"/>
              </w:rPr>
            </w:pPr>
            <w:r w:rsidRPr="008B5F66">
              <w:rPr>
                <w:rFonts w:asciiTheme="minorHAnsi" w:hAnsiTheme="minorHAnsi" w:cstheme="minorHAnsi"/>
                <w:color w:val="000000"/>
                <w:sz w:val="18"/>
                <w:szCs w:val="18"/>
              </w:rPr>
              <w:t>We wish to thank the many patient organisations and clinicians who took the time to submit consumer comments in support of our submission.</w:t>
            </w:r>
          </w:p>
        </w:tc>
      </w:tr>
      <w:tr w:rsidR="009A5A31" w:rsidRPr="008059F4" w14:paraId="71C25DB4" w14:textId="77777777" w:rsidTr="003774E1">
        <w:trPr>
          <w:cantSplit/>
          <w:trHeight w:val="2948"/>
          <w:jc w:val="center"/>
        </w:trPr>
        <w:tc>
          <w:tcPr>
            <w:tcW w:w="3013" w:type="dxa"/>
            <w:shd w:val="clear" w:color="auto" w:fill="auto"/>
            <w:tcMar>
              <w:top w:w="28" w:type="dxa"/>
              <w:bottom w:w="28" w:type="dxa"/>
            </w:tcMar>
            <w:vAlign w:val="center"/>
          </w:tcPr>
          <w:p w14:paraId="7B3FE599" w14:textId="01064CC5" w:rsidR="009A5A31" w:rsidRPr="008059F4" w:rsidRDefault="009A5A31" w:rsidP="009A5A31">
            <w:pPr>
              <w:keepLines/>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lastRenderedPageBreak/>
              <w:t>SECUKINUMAB</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Solution for injection 300</w:t>
            </w:r>
            <w:r>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in 2</w:t>
            </w:r>
            <w:r>
              <w:rPr>
                <w:rFonts w:asciiTheme="minorHAnsi" w:hAnsiTheme="minorHAnsi" w:cstheme="minorHAnsi"/>
                <w:color w:val="000000"/>
                <w:sz w:val="18"/>
                <w:szCs w:val="18"/>
              </w:rPr>
              <w:t> mL</w:t>
            </w:r>
            <w:r w:rsidRPr="008059F4">
              <w:rPr>
                <w:rFonts w:asciiTheme="minorHAnsi" w:hAnsiTheme="minorHAnsi" w:cstheme="minorHAnsi"/>
                <w:color w:val="000000"/>
                <w:sz w:val="18"/>
                <w:szCs w:val="18"/>
              </w:rPr>
              <w:t xml:space="preserve"> pre-filled syringe</w:t>
            </w:r>
            <w:r w:rsidRPr="008059F4">
              <w:rPr>
                <w:rFonts w:asciiTheme="minorHAnsi" w:hAnsiTheme="minorHAnsi" w:cstheme="minorHAnsi"/>
                <w:color w:val="000000"/>
                <w:sz w:val="18"/>
                <w:szCs w:val="18"/>
              </w:rPr>
              <w:br/>
              <w:t>Solution for injection 150</w:t>
            </w:r>
            <w:r>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in 1</w:t>
            </w:r>
            <w:r>
              <w:rPr>
                <w:rFonts w:asciiTheme="minorHAnsi" w:hAnsiTheme="minorHAnsi" w:cstheme="minorHAnsi"/>
                <w:color w:val="000000"/>
                <w:sz w:val="18"/>
                <w:szCs w:val="18"/>
              </w:rPr>
              <w:t> mL</w:t>
            </w:r>
            <w:r w:rsidRPr="008059F4">
              <w:rPr>
                <w:rFonts w:asciiTheme="minorHAnsi" w:hAnsiTheme="minorHAnsi" w:cstheme="minorHAnsi"/>
                <w:color w:val="000000"/>
                <w:sz w:val="18"/>
                <w:szCs w:val="18"/>
              </w:rPr>
              <w:t xml:space="preserve"> pre-filled syringe</w:t>
            </w:r>
            <w:r w:rsidRPr="008059F4">
              <w:rPr>
                <w:rFonts w:asciiTheme="minorHAnsi" w:hAnsiTheme="minorHAnsi" w:cstheme="minorHAnsi"/>
                <w:color w:val="000000"/>
                <w:sz w:val="18"/>
                <w:szCs w:val="18"/>
              </w:rPr>
              <w:br/>
              <w:t>Solution for injection 150</w:t>
            </w:r>
            <w:r>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in 1</w:t>
            </w:r>
            <w:r>
              <w:rPr>
                <w:rFonts w:asciiTheme="minorHAnsi" w:hAnsiTheme="minorHAnsi" w:cstheme="minorHAnsi"/>
                <w:color w:val="000000"/>
                <w:sz w:val="18"/>
                <w:szCs w:val="18"/>
              </w:rPr>
              <w:t> mL</w:t>
            </w:r>
            <w:r w:rsidRPr="008059F4">
              <w:rPr>
                <w:rFonts w:asciiTheme="minorHAnsi" w:hAnsiTheme="minorHAnsi" w:cstheme="minorHAnsi"/>
                <w:color w:val="000000"/>
                <w:sz w:val="18"/>
                <w:szCs w:val="18"/>
              </w:rPr>
              <w:t xml:space="preserve"> pre-filled pen</w:t>
            </w:r>
            <w:r w:rsidRPr="008059F4">
              <w:rPr>
                <w:rFonts w:asciiTheme="minorHAnsi" w:hAnsiTheme="minorHAnsi" w:cstheme="minorHAnsi"/>
                <w:color w:val="000000"/>
                <w:sz w:val="18"/>
                <w:szCs w:val="18"/>
              </w:rPr>
              <w:br/>
              <w:t>Solution for injection 300</w:t>
            </w:r>
            <w:r>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in 2</w:t>
            </w:r>
            <w:r>
              <w:rPr>
                <w:rFonts w:asciiTheme="minorHAnsi" w:hAnsiTheme="minorHAnsi" w:cstheme="minorHAnsi"/>
                <w:color w:val="000000"/>
                <w:sz w:val="18"/>
                <w:szCs w:val="18"/>
              </w:rPr>
              <w:t> mL</w:t>
            </w:r>
            <w:r w:rsidRPr="008059F4">
              <w:rPr>
                <w:rFonts w:asciiTheme="minorHAnsi" w:hAnsiTheme="minorHAnsi" w:cstheme="minorHAnsi"/>
                <w:color w:val="000000"/>
                <w:sz w:val="18"/>
                <w:szCs w:val="18"/>
              </w:rPr>
              <w:t xml:space="preserve"> pre-filled pen</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Cosentyx®</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NOVARTIS PHARMACEUTICALS AUSTRALIA PTY LIMITED</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Early re-entry</w:t>
            </w:r>
            <w:r w:rsidRPr="008059F4">
              <w:rPr>
                <w:rFonts w:asciiTheme="minorHAnsi" w:hAnsiTheme="minorHAnsi" w:cstheme="minorHAnsi"/>
                <w:color w:val="000000"/>
                <w:sz w:val="18"/>
                <w:szCs w:val="18"/>
              </w:rPr>
              <w:br/>
              <w:t>(Change to existing listing)</w:t>
            </w:r>
          </w:p>
        </w:tc>
        <w:tc>
          <w:tcPr>
            <w:tcW w:w="2764" w:type="dxa"/>
            <w:shd w:val="clear" w:color="auto" w:fill="auto"/>
            <w:vAlign w:val="center"/>
          </w:tcPr>
          <w:p w14:paraId="5D58065B" w14:textId="35BE5265" w:rsidR="009A5A31" w:rsidRPr="008059F4" w:rsidRDefault="009A5A31" w:rsidP="009A5A31">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Hidradenitis suppurativa (HS)</w:t>
            </w:r>
          </w:p>
        </w:tc>
        <w:tc>
          <w:tcPr>
            <w:tcW w:w="2978" w:type="dxa"/>
            <w:shd w:val="clear" w:color="auto" w:fill="auto"/>
            <w:tcMar>
              <w:top w:w="28" w:type="dxa"/>
              <w:bottom w:w="28" w:type="dxa"/>
            </w:tcMar>
            <w:vAlign w:val="center"/>
          </w:tcPr>
          <w:p w14:paraId="14F8C0EE" w14:textId="616BC149" w:rsidR="009A5A31" w:rsidRPr="008059F4" w:rsidRDefault="009A5A31" w:rsidP="009A5A31">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Resubmission to request a General Schedule Authority Required (Written) listing for the treatment of HS.</w:t>
            </w:r>
          </w:p>
        </w:tc>
        <w:tc>
          <w:tcPr>
            <w:tcW w:w="1800" w:type="dxa"/>
            <w:shd w:val="clear" w:color="auto" w:fill="auto"/>
            <w:vAlign w:val="center"/>
          </w:tcPr>
          <w:p w14:paraId="260E2535" w14:textId="7DE2EA21" w:rsidR="009A5A31" w:rsidRPr="008059F4" w:rsidRDefault="009A5A31" w:rsidP="009A5A31">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Recommended</w:t>
            </w:r>
          </w:p>
        </w:tc>
        <w:tc>
          <w:tcPr>
            <w:tcW w:w="4833" w:type="dxa"/>
            <w:shd w:val="clear" w:color="auto" w:fill="auto"/>
            <w:vAlign w:val="center"/>
          </w:tcPr>
          <w:p w14:paraId="779F412C" w14:textId="7C9260F4" w:rsidR="009A5A31" w:rsidRDefault="009A5A31" w:rsidP="009A5A31">
            <w:pPr>
              <w:jc w:val="both"/>
              <w:rPr>
                <w:rFonts w:asciiTheme="minorHAnsi" w:hAnsiTheme="minorHAnsi" w:cstheme="minorHAnsi"/>
                <w:color w:val="000000"/>
                <w:sz w:val="18"/>
                <w:szCs w:val="18"/>
              </w:rPr>
            </w:pPr>
            <w:r w:rsidRPr="008059F4">
              <w:rPr>
                <w:rFonts w:asciiTheme="minorHAnsi" w:hAnsiTheme="minorHAnsi" w:cstheme="minorHAnsi"/>
                <w:color w:val="000000"/>
                <w:sz w:val="18"/>
                <w:szCs w:val="18"/>
              </w:rPr>
              <w:t>The PBAC recommended the listing of secukinumab (SEC) for the treatment of moderate to severe HS. The PBAC’s recommendation was based on, among other matters, its assessment the cost-effectiveness of SEC would be acceptable if it were cost minimised to adalimumab (ADA) (noting it was the only biologic disease modifying anti-rheumatic drug (bDMARD) currently PBS</w:t>
            </w:r>
            <w:r w:rsidR="00D060AA">
              <w:rPr>
                <w:rFonts w:asciiTheme="minorHAnsi" w:hAnsiTheme="minorHAnsi" w:cstheme="minorHAnsi"/>
                <w:color w:val="000000"/>
                <w:sz w:val="18"/>
                <w:szCs w:val="18"/>
              </w:rPr>
              <w:noBreakHyphen/>
            </w:r>
            <w:r w:rsidRPr="008059F4">
              <w:rPr>
                <w:rFonts w:asciiTheme="minorHAnsi" w:hAnsiTheme="minorHAnsi" w:cstheme="minorHAnsi"/>
                <w:color w:val="000000"/>
                <w:sz w:val="18"/>
                <w:szCs w:val="18"/>
              </w:rPr>
              <w:t>listed for HS).</w:t>
            </w:r>
          </w:p>
          <w:p w14:paraId="2D5305E7" w14:textId="77777777" w:rsidR="009A5A31" w:rsidRDefault="009A5A31" w:rsidP="009A5A31">
            <w:pPr>
              <w:jc w:val="both"/>
              <w:rPr>
                <w:rFonts w:asciiTheme="minorHAnsi" w:hAnsiTheme="minorHAnsi" w:cstheme="minorHAnsi"/>
                <w:color w:val="000000"/>
                <w:sz w:val="18"/>
                <w:szCs w:val="18"/>
              </w:rPr>
            </w:pPr>
          </w:p>
          <w:p w14:paraId="0901D0CA" w14:textId="6584714B" w:rsidR="009A5A31" w:rsidRDefault="009A5A31" w:rsidP="009A5A31">
            <w:pPr>
              <w:jc w:val="both"/>
              <w:rPr>
                <w:rFonts w:asciiTheme="minorHAnsi" w:hAnsiTheme="minorHAnsi" w:cstheme="minorHAnsi"/>
                <w:color w:val="000000"/>
                <w:sz w:val="18"/>
                <w:szCs w:val="18"/>
              </w:rPr>
            </w:pPr>
            <w:r w:rsidRPr="008059F4">
              <w:rPr>
                <w:rFonts w:asciiTheme="minorHAnsi" w:hAnsiTheme="minorHAnsi" w:cstheme="minorHAnsi"/>
                <w:color w:val="000000"/>
                <w:sz w:val="18"/>
                <w:szCs w:val="18"/>
              </w:rPr>
              <w:t>The PBAC reaffirmed its view expressed in July 2023 that there was a high clinical need for additional treatment options for patients with moderate to severe HS; and in that context, considered the changes to the cost</w:t>
            </w:r>
            <w:r>
              <w:rPr>
                <w:rFonts w:asciiTheme="minorHAnsi" w:hAnsiTheme="minorHAnsi" w:cstheme="minorHAnsi"/>
                <w:color w:val="000000"/>
                <w:sz w:val="18"/>
                <w:szCs w:val="18"/>
              </w:rPr>
              <w:t>-</w:t>
            </w:r>
            <w:r w:rsidRPr="008059F4">
              <w:rPr>
                <w:rFonts w:asciiTheme="minorHAnsi" w:hAnsiTheme="minorHAnsi" w:cstheme="minorHAnsi"/>
                <w:color w:val="000000"/>
                <w:sz w:val="18"/>
                <w:szCs w:val="18"/>
              </w:rPr>
              <w:t>minimisation approach</w:t>
            </w:r>
            <w:r>
              <w:rPr>
                <w:rFonts w:asciiTheme="minorHAnsi" w:hAnsiTheme="minorHAnsi" w:cstheme="minorHAnsi"/>
                <w:color w:val="000000"/>
                <w:sz w:val="18"/>
                <w:szCs w:val="18"/>
              </w:rPr>
              <w:t>,</w:t>
            </w:r>
            <w:r w:rsidRPr="008059F4">
              <w:rPr>
                <w:rFonts w:asciiTheme="minorHAnsi" w:hAnsiTheme="minorHAnsi" w:cstheme="minorHAnsi"/>
                <w:color w:val="000000"/>
                <w:sz w:val="18"/>
                <w:szCs w:val="18"/>
              </w:rPr>
              <w:t xml:space="preserve"> utilisation and financial estimates in the early re</w:t>
            </w:r>
            <w:r w:rsidR="00D060AA">
              <w:rPr>
                <w:rFonts w:asciiTheme="minorHAnsi" w:hAnsiTheme="minorHAnsi" w:cstheme="minorHAnsi"/>
                <w:color w:val="000000"/>
                <w:sz w:val="18"/>
                <w:szCs w:val="18"/>
              </w:rPr>
              <w:noBreakHyphen/>
            </w:r>
            <w:r w:rsidRPr="008059F4">
              <w:rPr>
                <w:rFonts w:asciiTheme="minorHAnsi" w:hAnsiTheme="minorHAnsi" w:cstheme="minorHAnsi"/>
                <w:color w:val="000000"/>
                <w:sz w:val="18"/>
                <w:szCs w:val="18"/>
              </w:rPr>
              <w:t>entry submission had satisfactorily addressed the Committee’s outstanding concerns expressed at that meeting.</w:t>
            </w:r>
          </w:p>
          <w:p w14:paraId="50D15A58" w14:textId="77777777" w:rsidR="009A5A31" w:rsidRDefault="009A5A31" w:rsidP="009A5A31">
            <w:pPr>
              <w:jc w:val="both"/>
              <w:rPr>
                <w:rFonts w:asciiTheme="minorHAnsi" w:hAnsiTheme="minorHAnsi" w:cstheme="minorHAnsi"/>
                <w:color w:val="000000"/>
                <w:sz w:val="18"/>
                <w:szCs w:val="18"/>
              </w:rPr>
            </w:pPr>
          </w:p>
          <w:p w14:paraId="07B62552" w14:textId="50F7AC6A" w:rsidR="009A5A31" w:rsidRPr="008059F4" w:rsidRDefault="009A5A31" w:rsidP="009A5A31">
            <w:pPr>
              <w:jc w:val="both"/>
              <w:rPr>
                <w:rFonts w:asciiTheme="minorHAnsi" w:hAnsiTheme="minorHAnsi" w:cstheme="minorHAnsi"/>
                <w:color w:val="000000"/>
                <w:sz w:val="18"/>
                <w:szCs w:val="18"/>
              </w:rPr>
            </w:pPr>
            <w:r w:rsidRPr="008059F4">
              <w:rPr>
                <w:rFonts w:asciiTheme="minorHAnsi" w:hAnsiTheme="minorHAnsi" w:cstheme="minorHAnsi"/>
                <w:color w:val="000000"/>
                <w:sz w:val="18"/>
                <w:szCs w:val="18"/>
              </w:rPr>
              <w:t xml:space="preserve">The PBAC </w:t>
            </w:r>
            <w:r>
              <w:rPr>
                <w:rFonts w:asciiTheme="minorHAnsi" w:hAnsiTheme="minorHAnsi" w:cstheme="minorHAnsi"/>
                <w:color w:val="000000"/>
                <w:sz w:val="18"/>
                <w:szCs w:val="18"/>
              </w:rPr>
              <w:t>recommended</w:t>
            </w:r>
            <w:r w:rsidRPr="008059F4">
              <w:rPr>
                <w:rFonts w:asciiTheme="minorHAnsi" w:hAnsiTheme="minorHAnsi" w:cstheme="minorHAnsi"/>
                <w:color w:val="000000"/>
                <w:sz w:val="18"/>
                <w:szCs w:val="18"/>
              </w:rPr>
              <w:t xml:space="preserve"> flow-on restriction changes and </w:t>
            </w:r>
            <w:r>
              <w:rPr>
                <w:rFonts w:asciiTheme="minorHAnsi" w:hAnsiTheme="minorHAnsi" w:cstheme="minorHAnsi"/>
                <w:color w:val="000000"/>
                <w:sz w:val="18"/>
                <w:szCs w:val="18"/>
              </w:rPr>
              <w:t xml:space="preserve">noted a </w:t>
            </w:r>
            <w:r w:rsidRPr="008059F4">
              <w:rPr>
                <w:rFonts w:asciiTheme="minorHAnsi" w:hAnsiTheme="minorHAnsi" w:cstheme="minorHAnsi"/>
                <w:color w:val="000000"/>
                <w:sz w:val="18"/>
                <w:szCs w:val="18"/>
              </w:rPr>
              <w:t xml:space="preserve">re-design would be required for ADA (and be part of the SEC listing) to facilitate the entry of a second bDMARD for the treatment of HS. </w:t>
            </w:r>
          </w:p>
        </w:tc>
      </w:tr>
      <w:tr w:rsidR="009A5A31" w:rsidRPr="008059F4" w14:paraId="12F566C2" w14:textId="77777777" w:rsidTr="00476822">
        <w:trPr>
          <w:trHeight w:val="2948"/>
          <w:jc w:val="center"/>
        </w:trPr>
        <w:tc>
          <w:tcPr>
            <w:tcW w:w="3013" w:type="dxa"/>
            <w:shd w:val="clear" w:color="auto" w:fill="auto"/>
            <w:tcMar>
              <w:top w:w="28" w:type="dxa"/>
              <w:bottom w:w="28" w:type="dxa"/>
            </w:tcMar>
            <w:vAlign w:val="center"/>
          </w:tcPr>
          <w:p w14:paraId="00720220" w14:textId="3BA7D1F5" w:rsidR="009A5A31" w:rsidRPr="008059F4" w:rsidRDefault="009A5A31" w:rsidP="009A5A31">
            <w:pPr>
              <w:keepLines/>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lastRenderedPageBreak/>
              <w:t>SEMAGLUTIDE</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Injection 0.25</w:t>
            </w:r>
            <w:r>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in 0.5</w:t>
            </w:r>
            <w:r>
              <w:rPr>
                <w:rFonts w:asciiTheme="minorHAnsi" w:hAnsiTheme="minorHAnsi" w:cstheme="minorHAnsi"/>
                <w:color w:val="000000"/>
                <w:sz w:val="18"/>
                <w:szCs w:val="18"/>
              </w:rPr>
              <w:t> mL</w:t>
            </w:r>
            <w:r w:rsidRPr="008059F4">
              <w:rPr>
                <w:rFonts w:asciiTheme="minorHAnsi" w:hAnsiTheme="minorHAnsi" w:cstheme="minorHAnsi"/>
                <w:color w:val="000000"/>
                <w:sz w:val="18"/>
                <w:szCs w:val="18"/>
              </w:rPr>
              <w:t xml:space="preserve"> pre-filled single dose pen</w:t>
            </w:r>
            <w:r w:rsidRPr="008059F4">
              <w:rPr>
                <w:rFonts w:asciiTheme="minorHAnsi" w:hAnsiTheme="minorHAnsi" w:cstheme="minorHAnsi"/>
                <w:color w:val="000000"/>
                <w:sz w:val="18"/>
                <w:szCs w:val="18"/>
              </w:rPr>
              <w:br/>
              <w:t>Injection 0.5</w:t>
            </w:r>
            <w:r>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in 0.5</w:t>
            </w:r>
            <w:r>
              <w:rPr>
                <w:rFonts w:asciiTheme="minorHAnsi" w:hAnsiTheme="minorHAnsi" w:cstheme="minorHAnsi"/>
                <w:color w:val="000000"/>
                <w:sz w:val="18"/>
                <w:szCs w:val="18"/>
              </w:rPr>
              <w:t> mL</w:t>
            </w:r>
            <w:r w:rsidRPr="008059F4">
              <w:rPr>
                <w:rFonts w:asciiTheme="minorHAnsi" w:hAnsiTheme="minorHAnsi" w:cstheme="minorHAnsi"/>
                <w:color w:val="000000"/>
                <w:sz w:val="18"/>
                <w:szCs w:val="18"/>
              </w:rPr>
              <w:t xml:space="preserve"> pre-filled single dose pen</w:t>
            </w:r>
            <w:r w:rsidRPr="008059F4">
              <w:rPr>
                <w:rFonts w:asciiTheme="minorHAnsi" w:hAnsiTheme="minorHAnsi" w:cstheme="minorHAnsi"/>
                <w:color w:val="000000"/>
                <w:sz w:val="18"/>
                <w:szCs w:val="18"/>
              </w:rPr>
              <w:br/>
              <w:t>Injection 1.0</w:t>
            </w:r>
            <w:r>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in 0.5</w:t>
            </w:r>
            <w:r>
              <w:rPr>
                <w:rFonts w:asciiTheme="minorHAnsi" w:hAnsiTheme="minorHAnsi" w:cstheme="minorHAnsi"/>
                <w:color w:val="000000"/>
                <w:sz w:val="18"/>
                <w:szCs w:val="18"/>
              </w:rPr>
              <w:t> mL</w:t>
            </w:r>
            <w:r w:rsidRPr="008059F4">
              <w:rPr>
                <w:rFonts w:asciiTheme="minorHAnsi" w:hAnsiTheme="minorHAnsi" w:cstheme="minorHAnsi"/>
                <w:color w:val="000000"/>
                <w:sz w:val="18"/>
                <w:szCs w:val="18"/>
              </w:rPr>
              <w:t xml:space="preserve"> pre-filled single dose pen</w:t>
            </w:r>
            <w:r w:rsidRPr="008059F4">
              <w:rPr>
                <w:rFonts w:asciiTheme="minorHAnsi" w:hAnsiTheme="minorHAnsi" w:cstheme="minorHAnsi"/>
                <w:color w:val="000000"/>
                <w:sz w:val="18"/>
                <w:szCs w:val="18"/>
              </w:rPr>
              <w:br/>
              <w:t>Injection 1.7</w:t>
            </w:r>
            <w:r>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in 0.75</w:t>
            </w:r>
            <w:r>
              <w:rPr>
                <w:rFonts w:asciiTheme="minorHAnsi" w:hAnsiTheme="minorHAnsi" w:cstheme="minorHAnsi"/>
                <w:color w:val="000000"/>
                <w:sz w:val="18"/>
                <w:szCs w:val="18"/>
              </w:rPr>
              <w:t> mL</w:t>
            </w:r>
            <w:r w:rsidRPr="008059F4">
              <w:rPr>
                <w:rFonts w:asciiTheme="minorHAnsi" w:hAnsiTheme="minorHAnsi" w:cstheme="minorHAnsi"/>
                <w:color w:val="000000"/>
                <w:sz w:val="18"/>
                <w:szCs w:val="18"/>
              </w:rPr>
              <w:t xml:space="preserve"> pre-filled single dose pen</w:t>
            </w:r>
            <w:r w:rsidRPr="008059F4">
              <w:rPr>
                <w:rFonts w:asciiTheme="minorHAnsi" w:hAnsiTheme="minorHAnsi" w:cstheme="minorHAnsi"/>
                <w:color w:val="000000"/>
                <w:sz w:val="18"/>
                <w:szCs w:val="18"/>
              </w:rPr>
              <w:br/>
              <w:t>Injection 2.4</w:t>
            </w:r>
            <w:r>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in 0.75</w:t>
            </w:r>
            <w:r>
              <w:rPr>
                <w:rFonts w:asciiTheme="minorHAnsi" w:hAnsiTheme="minorHAnsi" w:cstheme="minorHAnsi"/>
                <w:color w:val="000000"/>
                <w:sz w:val="18"/>
                <w:szCs w:val="18"/>
              </w:rPr>
              <w:t> mL</w:t>
            </w:r>
            <w:r w:rsidRPr="008059F4">
              <w:rPr>
                <w:rFonts w:asciiTheme="minorHAnsi" w:hAnsiTheme="minorHAnsi" w:cstheme="minorHAnsi"/>
                <w:color w:val="000000"/>
                <w:sz w:val="18"/>
                <w:szCs w:val="18"/>
              </w:rPr>
              <w:t xml:space="preserve"> pre-filled single dose pen</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Wegovy®</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NOVO NORDISK PHARMACEUTICALS PTY. LIMITED</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Standard re-entry</w:t>
            </w:r>
            <w:r w:rsidRPr="008059F4">
              <w:rPr>
                <w:rFonts w:asciiTheme="minorHAnsi" w:hAnsiTheme="minorHAnsi" w:cstheme="minorHAnsi"/>
                <w:color w:val="000000"/>
                <w:sz w:val="18"/>
                <w:szCs w:val="18"/>
              </w:rPr>
              <w:br/>
              <w:t>(New listing)</w:t>
            </w:r>
          </w:p>
        </w:tc>
        <w:tc>
          <w:tcPr>
            <w:tcW w:w="2764" w:type="dxa"/>
            <w:shd w:val="clear" w:color="auto" w:fill="auto"/>
            <w:vAlign w:val="center"/>
          </w:tcPr>
          <w:p w14:paraId="30C82FE3" w14:textId="0B3A17C6" w:rsidR="009A5A31" w:rsidRPr="008059F4" w:rsidRDefault="009A5A31" w:rsidP="009A5A31">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Severe obesity</w:t>
            </w:r>
          </w:p>
        </w:tc>
        <w:tc>
          <w:tcPr>
            <w:tcW w:w="2978" w:type="dxa"/>
            <w:shd w:val="clear" w:color="auto" w:fill="auto"/>
            <w:tcMar>
              <w:top w:w="28" w:type="dxa"/>
              <w:bottom w:w="28" w:type="dxa"/>
            </w:tcMar>
            <w:vAlign w:val="center"/>
          </w:tcPr>
          <w:p w14:paraId="0AE1DC07" w14:textId="4EAEBF5A" w:rsidR="009A5A31" w:rsidRPr="008059F4" w:rsidRDefault="009A5A31" w:rsidP="009A5A31">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To request a General Schedule Authority Required (Telephone/Online) listing for the treatment of severe obesity despite prior participation in an appropriate lifestyle-based weight management intervention.</w:t>
            </w:r>
          </w:p>
        </w:tc>
        <w:tc>
          <w:tcPr>
            <w:tcW w:w="1800" w:type="dxa"/>
            <w:shd w:val="clear" w:color="auto" w:fill="auto"/>
            <w:vAlign w:val="center"/>
          </w:tcPr>
          <w:p w14:paraId="15C2BF3E" w14:textId="20EFB0EB" w:rsidR="009A5A31" w:rsidRPr="008059F4" w:rsidRDefault="009A5A31" w:rsidP="009A5A31">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Not Recommended</w:t>
            </w:r>
          </w:p>
        </w:tc>
        <w:tc>
          <w:tcPr>
            <w:tcW w:w="4833" w:type="dxa"/>
            <w:shd w:val="clear" w:color="auto" w:fill="auto"/>
            <w:vAlign w:val="center"/>
          </w:tcPr>
          <w:p w14:paraId="7D71B071" w14:textId="0F32E0FE" w:rsidR="009A5A31" w:rsidRDefault="009A5A31" w:rsidP="009A5A31">
            <w:pPr>
              <w:jc w:val="both"/>
              <w:rPr>
                <w:rFonts w:asciiTheme="minorHAnsi" w:hAnsiTheme="minorHAnsi" w:cstheme="minorHAnsi"/>
                <w:sz w:val="18"/>
                <w:szCs w:val="18"/>
              </w:rPr>
            </w:pPr>
            <w:r w:rsidRPr="00E07619">
              <w:rPr>
                <w:rFonts w:asciiTheme="minorHAnsi" w:hAnsiTheme="minorHAnsi" w:cstheme="minorHAnsi"/>
                <w:sz w:val="18"/>
                <w:szCs w:val="18"/>
              </w:rPr>
              <w:t>The PBAC did not recommend the listing of semaglutide for the treatment of severe obesity. The PBAC considered that the resubmission did not adequately support access to semaglutide as defined in the proposed PBS population. There was no strong clinical rationale for the obesity comorbidities selected for inclusion in the proposed PBS listing and they did not identify patients most likely to experience relatively large reductions in weight or long-term benefits from weight loss. No new clinical trial evidence was presented in this resubmission to support benefits of longer-term use, although the Committee noted that new randomised controlled trial data highlighting potential benefits in reducing cardiovascular events was announced by the sponsor in a press release after the resubmission was received. The PBAC considered this information would be informative in defining eligible patients who would obtain downstream health benefits of weight loss. The PBAC also considered it would be unreasonable for patients currently eligible for semaglutide 1</w:t>
            </w:r>
            <w:r>
              <w:rPr>
                <w:rFonts w:asciiTheme="minorHAnsi" w:hAnsiTheme="minorHAnsi" w:cstheme="minorHAnsi"/>
                <w:sz w:val="18"/>
                <w:szCs w:val="18"/>
              </w:rPr>
              <w:t> </w:t>
            </w:r>
            <w:r w:rsidRPr="00E07619">
              <w:rPr>
                <w:rFonts w:asciiTheme="minorHAnsi" w:hAnsiTheme="minorHAnsi" w:cstheme="minorHAnsi"/>
                <w:sz w:val="18"/>
                <w:szCs w:val="18"/>
              </w:rPr>
              <w:t>mg once</w:t>
            </w:r>
            <w:r>
              <w:rPr>
                <w:rFonts w:asciiTheme="minorHAnsi" w:hAnsiTheme="minorHAnsi" w:cstheme="minorHAnsi"/>
                <w:sz w:val="18"/>
                <w:szCs w:val="18"/>
              </w:rPr>
              <w:t>-</w:t>
            </w:r>
            <w:r w:rsidRPr="00E07619">
              <w:rPr>
                <w:rFonts w:asciiTheme="minorHAnsi" w:hAnsiTheme="minorHAnsi" w:cstheme="minorHAnsi"/>
                <w:sz w:val="18"/>
                <w:szCs w:val="18"/>
              </w:rPr>
              <w:t>weekly (Ozempic®) for Type</w:t>
            </w:r>
            <w:r>
              <w:rPr>
                <w:rFonts w:asciiTheme="minorHAnsi" w:hAnsiTheme="minorHAnsi" w:cstheme="minorHAnsi"/>
                <w:sz w:val="18"/>
                <w:szCs w:val="18"/>
              </w:rPr>
              <w:t> </w:t>
            </w:r>
            <w:r w:rsidRPr="00E07619">
              <w:rPr>
                <w:rFonts w:asciiTheme="minorHAnsi" w:hAnsiTheme="minorHAnsi" w:cstheme="minorHAnsi"/>
                <w:sz w:val="18"/>
                <w:szCs w:val="18"/>
              </w:rPr>
              <w:t>2 diabetes, who had severe obesity, to not be able to access the higher dose of semaglutide 2.4</w:t>
            </w:r>
            <w:r>
              <w:rPr>
                <w:rFonts w:asciiTheme="minorHAnsi" w:hAnsiTheme="minorHAnsi" w:cstheme="minorHAnsi"/>
                <w:sz w:val="18"/>
                <w:szCs w:val="18"/>
              </w:rPr>
              <w:t> </w:t>
            </w:r>
            <w:r w:rsidRPr="00E07619">
              <w:rPr>
                <w:rFonts w:asciiTheme="minorHAnsi" w:hAnsiTheme="minorHAnsi" w:cstheme="minorHAnsi"/>
                <w:sz w:val="18"/>
                <w:szCs w:val="18"/>
              </w:rPr>
              <w:t>mg once</w:t>
            </w:r>
            <w:r w:rsidR="00130D30">
              <w:rPr>
                <w:rFonts w:asciiTheme="minorHAnsi" w:hAnsiTheme="minorHAnsi" w:cstheme="minorHAnsi"/>
                <w:sz w:val="18"/>
                <w:szCs w:val="18"/>
              </w:rPr>
              <w:noBreakHyphen/>
            </w:r>
            <w:r w:rsidRPr="00E07619">
              <w:rPr>
                <w:rFonts w:asciiTheme="minorHAnsi" w:hAnsiTheme="minorHAnsi" w:cstheme="minorHAnsi"/>
                <w:sz w:val="18"/>
                <w:szCs w:val="18"/>
              </w:rPr>
              <w:t>weekly (Wegovy) and advised that this patient group be included for future consideration. The PBAC considered semaglutide was not cost</w:t>
            </w:r>
            <w:r w:rsidR="00402889">
              <w:rPr>
                <w:rFonts w:asciiTheme="minorHAnsi" w:hAnsiTheme="minorHAnsi" w:cstheme="minorHAnsi"/>
                <w:sz w:val="18"/>
                <w:szCs w:val="18"/>
              </w:rPr>
              <w:t>-</w:t>
            </w:r>
            <w:r w:rsidRPr="00E07619">
              <w:rPr>
                <w:rFonts w:asciiTheme="minorHAnsi" w:hAnsiTheme="minorHAnsi" w:cstheme="minorHAnsi"/>
                <w:sz w:val="18"/>
                <w:szCs w:val="18"/>
              </w:rPr>
              <w:t xml:space="preserve">effective at the price proposed, noting although only short-term weight loss benefits were modelled, there were multiple issues with the utility values applied. The PBAC considered a </w:t>
            </w:r>
            <w:r w:rsidRPr="005C311F">
              <w:rPr>
                <w:rFonts w:asciiTheme="minorHAnsi" w:hAnsiTheme="minorHAnsi" w:cstheme="minorHAnsi"/>
                <w:sz w:val="18"/>
                <w:szCs w:val="18"/>
              </w:rPr>
              <w:t xml:space="preserve">risk sharing arrangement </w:t>
            </w:r>
            <w:r w:rsidRPr="00E07619">
              <w:rPr>
                <w:rFonts w:asciiTheme="minorHAnsi" w:hAnsiTheme="minorHAnsi" w:cstheme="minorHAnsi"/>
                <w:sz w:val="18"/>
                <w:szCs w:val="18"/>
              </w:rPr>
              <w:t>would be required given the extremely high estimated expenditure and the criteria for defining the patient population. The PBAC nominated the facilitated resolution pathway for this item, given the high added therapeutic value of semaglutide and outstanding issues for resolution in defining the patients in whom treatment would reduce downstream consequences of obesity, be cost</w:t>
            </w:r>
            <w:r w:rsidR="00130D30">
              <w:rPr>
                <w:rFonts w:asciiTheme="minorHAnsi" w:hAnsiTheme="minorHAnsi" w:cstheme="minorHAnsi"/>
                <w:sz w:val="18"/>
                <w:szCs w:val="18"/>
              </w:rPr>
              <w:noBreakHyphen/>
            </w:r>
            <w:r w:rsidRPr="00E07619">
              <w:rPr>
                <w:rFonts w:asciiTheme="minorHAnsi" w:hAnsiTheme="minorHAnsi" w:cstheme="minorHAnsi"/>
                <w:sz w:val="18"/>
                <w:szCs w:val="18"/>
              </w:rPr>
              <w:t xml:space="preserve">effective, and appropriate for the significant Government expenditure. </w:t>
            </w:r>
          </w:p>
          <w:p w14:paraId="051A5DB5" w14:textId="77777777" w:rsidR="009A5A31" w:rsidRPr="00E07619" w:rsidRDefault="009A5A31" w:rsidP="00E07619">
            <w:pPr>
              <w:jc w:val="both"/>
              <w:rPr>
                <w:rFonts w:asciiTheme="minorHAnsi" w:hAnsiTheme="minorHAnsi" w:cstheme="minorHAnsi"/>
                <w:sz w:val="18"/>
                <w:szCs w:val="18"/>
              </w:rPr>
            </w:pPr>
          </w:p>
          <w:p w14:paraId="0D8AE52D" w14:textId="146871B1" w:rsidR="009A5A31" w:rsidRDefault="009A5A31" w:rsidP="009A5A31">
            <w:pPr>
              <w:jc w:val="both"/>
              <w:rPr>
                <w:rFonts w:asciiTheme="minorHAnsi" w:hAnsiTheme="minorHAnsi" w:cstheme="minorHAnsi"/>
                <w:sz w:val="18"/>
                <w:szCs w:val="18"/>
              </w:rPr>
            </w:pPr>
            <w:r w:rsidRPr="00E07619">
              <w:rPr>
                <w:rFonts w:asciiTheme="minorHAnsi" w:hAnsiTheme="minorHAnsi" w:cstheme="minorHAnsi"/>
                <w:sz w:val="18"/>
                <w:szCs w:val="18"/>
              </w:rPr>
              <w:t>The previous submission was considered in March 2022.</w:t>
            </w:r>
          </w:p>
          <w:p w14:paraId="05DE5504" w14:textId="77777777" w:rsidR="009A5A31" w:rsidRPr="00E07619" w:rsidRDefault="009A5A31" w:rsidP="00E07619">
            <w:pPr>
              <w:jc w:val="both"/>
              <w:rPr>
                <w:rFonts w:asciiTheme="minorHAnsi" w:hAnsiTheme="minorHAnsi" w:cstheme="minorHAnsi"/>
                <w:sz w:val="18"/>
                <w:szCs w:val="18"/>
              </w:rPr>
            </w:pPr>
          </w:p>
          <w:p w14:paraId="5CF04103" w14:textId="333EE318" w:rsidR="009A5A31" w:rsidRPr="00E07619" w:rsidRDefault="009A5A31" w:rsidP="00476822">
            <w:pPr>
              <w:keepNext/>
              <w:jc w:val="both"/>
              <w:rPr>
                <w:rFonts w:asciiTheme="minorHAnsi" w:hAnsiTheme="minorHAnsi" w:cstheme="minorHAnsi"/>
                <w:sz w:val="18"/>
                <w:szCs w:val="18"/>
              </w:rPr>
            </w:pPr>
            <w:r w:rsidRPr="00E07619">
              <w:rPr>
                <w:rFonts w:asciiTheme="minorHAnsi" w:hAnsiTheme="minorHAnsi" w:cstheme="minorHAnsi"/>
                <w:sz w:val="18"/>
                <w:szCs w:val="18"/>
                <w:u w:val="single"/>
              </w:rPr>
              <w:lastRenderedPageBreak/>
              <w:t>Comparator: placebo in conjunction with diet and exercise:</w:t>
            </w:r>
          </w:p>
          <w:p w14:paraId="07FAF3AC" w14:textId="77777777" w:rsidR="009A5A31" w:rsidRPr="00E07619" w:rsidRDefault="009A5A31" w:rsidP="00E07619">
            <w:pPr>
              <w:jc w:val="both"/>
              <w:rPr>
                <w:rFonts w:asciiTheme="minorHAnsi" w:hAnsiTheme="minorHAnsi" w:cstheme="minorHAnsi"/>
                <w:sz w:val="18"/>
                <w:szCs w:val="18"/>
              </w:rPr>
            </w:pPr>
            <w:r w:rsidRPr="00E07619">
              <w:rPr>
                <w:rFonts w:asciiTheme="minorHAnsi" w:hAnsiTheme="minorHAnsi" w:cstheme="minorHAnsi"/>
                <w:sz w:val="18"/>
                <w:szCs w:val="18"/>
              </w:rPr>
              <w:t>The PBAC reaffirmed its previous view that the proposed comparator was reasonable.</w:t>
            </w:r>
            <w:r w:rsidRPr="00E07619" w:rsidDel="009242A6">
              <w:rPr>
                <w:rFonts w:asciiTheme="minorHAnsi" w:hAnsiTheme="minorHAnsi" w:cstheme="minorHAnsi"/>
                <w:sz w:val="18"/>
                <w:szCs w:val="18"/>
              </w:rPr>
              <w:t xml:space="preserve"> </w:t>
            </w:r>
          </w:p>
          <w:p w14:paraId="4162D052" w14:textId="77777777" w:rsidR="009A5A31" w:rsidRPr="00E07619" w:rsidRDefault="009A5A31" w:rsidP="00E07619">
            <w:pPr>
              <w:jc w:val="both"/>
              <w:rPr>
                <w:rFonts w:asciiTheme="minorHAnsi" w:hAnsiTheme="minorHAnsi" w:cstheme="minorHAnsi"/>
                <w:sz w:val="18"/>
                <w:szCs w:val="18"/>
              </w:rPr>
            </w:pPr>
            <w:r w:rsidRPr="00E07619">
              <w:rPr>
                <w:rFonts w:asciiTheme="minorHAnsi" w:hAnsiTheme="minorHAnsi" w:cstheme="minorHAnsi"/>
                <w:sz w:val="18"/>
                <w:szCs w:val="18"/>
                <w:u w:val="single"/>
              </w:rPr>
              <w:t>Clinical claim: Superior effectiveness and inferior safety compared with placebo in conjunction with diet and exercise:</w:t>
            </w:r>
          </w:p>
          <w:p w14:paraId="06DEB488" w14:textId="77777777" w:rsidR="009A5A31" w:rsidRPr="00E07619" w:rsidRDefault="009A5A31" w:rsidP="00E07619">
            <w:pPr>
              <w:jc w:val="both"/>
              <w:rPr>
                <w:rFonts w:asciiTheme="minorHAnsi" w:hAnsiTheme="minorHAnsi" w:cstheme="minorHAnsi"/>
                <w:sz w:val="18"/>
                <w:szCs w:val="18"/>
              </w:rPr>
            </w:pPr>
            <w:r w:rsidRPr="00E07619">
              <w:rPr>
                <w:rFonts w:asciiTheme="minorHAnsi" w:hAnsiTheme="minorHAnsi" w:cstheme="minorHAnsi"/>
                <w:sz w:val="18"/>
                <w:szCs w:val="18"/>
              </w:rPr>
              <w:t xml:space="preserve">The PBAC recalled it had previously accepted the superior comparative effectiveness claim with regards to surrogate markers of weight loss, HbA1c and other biomarkers, but that effectiveness on clinical endpoints remained uncertain. The PBAC reaffirmed its previous view that the claim of inferior comparative safety was reasonable. </w:t>
            </w:r>
          </w:p>
          <w:p w14:paraId="28C0779C" w14:textId="77777777" w:rsidR="009A5A31" w:rsidRPr="00E07619" w:rsidRDefault="009A5A31" w:rsidP="00E07619">
            <w:pPr>
              <w:jc w:val="both"/>
              <w:rPr>
                <w:rFonts w:asciiTheme="minorHAnsi" w:hAnsiTheme="minorHAnsi" w:cstheme="minorHAnsi"/>
                <w:sz w:val="18"/>
                <w:szCs w:val="18"/>
              </w:rPr>
            </w:pPr>
            <w:r w:rsidRPr="00E07619">
              <w:rPr>
                <w:rFonts w:asciiTheme="minorHAnsi" w:hAnsiTheme="minorHAnsi" w:cstheme="minorHAnsi"/>
                <w:sz w:val="18"/>
                <w:szCs w:val="18"/>
                <w:u w:val="single"/>
              </w:rPr>
              <w:t xml:space="preserve">Economic claim: Cost-utility versus placebo in conjunction with diet and exercise: </w:t>
            </w:r>
          </w:p>
          <w:p w14:paraId="2125788F" w14:textId="1AA5653A" w:rsidR="009A5A31" w:rsidRPr="00E07619" w:rsidRDefault="009A5A31" w:rsidP="00E07619">
            <w:pPr>
              <w:jc w:val="both"/>
              <w:rPr>
                <w:rFonts w:asciiTheme="minorHAnsi" w:hAnsiTheme="minorHAnsi" w:cstheme="minorHAnsi"/>
                <w:sz w:val="18"/>
                <w:szCs w:val="18"/>
              </w:rPr>
            </w:pPr>
            <w:r w:rsidRPr="00E07619">
              <w:rPr>
                <w:rFonts w:asciiTheme="minorHAnsi" w:hAnsiTheme="minorHAnsi" w:cstheme="minorHAnsi"/>
                <w:sz w:val="18"/>
                <w:szCs w:val="18"/>
              </w:rPr>
              <w:t xml:space="preserve">The PBAC noted the new economic model developed for this resubmission. The PBAC considered the model was overly simplistic and unreliable given there were multiple issues with the utility values. </w:t>
            </w:r>
          </w:p>
          <w:p w14:paraId="3417234C" w14:textId="77777777" w:rsidR="009A5A31" w:rsidRPr="005C311F" w:rsidRDefault="009A5A31" w:rsidP="009A5A31">
            <w:pPr>
              <w:rPr>
                <w:rFonts w:asciiTheme="minorHAnsi" w:hAnsiTheme="minorHAnsi" w:cstheme="minorHAnsi"/>
                <w:color w:val="000000"/>
                <w:sz w:val="18"/>
                <w:szCs w:val="18"/>
              </w:rPr>
            </w:pPr>
          </w:p>
          <w:p w14:paraId="358EC81D" w14:textId="77777777" w:rsidR="009A5A31" w:rsidRDefault="009A5A31" w:rsidP="009A5A31">
            <w:pPr>
              <w:rPr>
                <w:rFonts w:asciiTheme="minorHAnsi" w:hAnsiTheme="minorHAnsi" w:cstheme="minorHAnsi"/>
                <w:color w:val="000000"/>
                <w:sz w:val="18"/>
                <w:szCs w:val="18"/>
              </w:rPr>
            </w:pPr>
            <w:r w:rsidRPr="000110D5">
              <w:rPr>
                <w:rFonts w:asciiTheme="minorHAnsi" w:hAnsiTheme="minorHAnsi" w:cstheme="minorHAnsi"/>
                <w:color w:val="000000"/>
                <w:sz w:val="18"/>
                <w:szCs w:val="18"/>
                <w:u w:val="single"/>
              </w:rPr>
              <w:t>Sponsor’s Comment:</w:t>
            </w:r>
          </w:p>
          <w:p w14:paraId="6B2F5C50" w14:textId="2220C278" w:rsidR="009A5A31" w:rsidRPr="00603DCD" w:rsidRDefault="00603DCD" w:rsidP="00476822">
            <w:pPr>
              <w:jc w:val="both"/>
              <w:rPr>
                <w:rFonts w:asciiTheme="minorHAnsi" w:hAnsiTheme="minorHAnsi" w:cstheme="minorHAnsi"/>
                <w:color w:val="000000"/>
                <w:sz w:val="18"/>
                <w:szCs w:val="18"/>
              </w:rPr>
            </w:pPr>
            <w:r w:rsidRPr="00603DCD">
              <w:rPr>
                <w:rFonts w:asciiTheme="minorHAnsi" w:hAnsiTheme="minorHAnsi" w:cstheme="minorHAnsi"/>
                <w:color w:val="000000"/>
                <w:sz w:val="18"/>
                <w:szCs w:val="18"/>
              </w:rPr>
              <w:t xml:space="preserve">Novo Nordisk is disappointed with the outcome and appreciates all submissions from individuals, healthcare professionals and organisations in support of making Wegovy available on the PBS for the treatment of obesity. Novo Nordisk remains committed to continuing to work collaboratively with the PBAC to ensure Australians living with </w:t>
            </w:r>
            <w:r w:rsidR="0005132F">
              <w:rPr>
                <w:rFonts w:asciiTheme="minorHAnsi" w:hAnsiTheme="minorHAnsi" w:cstheme="minorHAnsi"/>
                <w:color w:val="000000"/>
                <w:sz w:val="18"/>
                <w:szCs w:val="18"/>
              </w:rPr>
              <w:t>o</w:t>
            </w:r>
            <w:r w:rsidRPr="00603DCD">
              <w:rPr>
                <w:rFonts w:asciiTheme="minorHAnsi" w:hAnsiTheme="minorHAnsi" w:cstheme="minorHAnsi"/>
                <w:color w:val="000000"/>
                <w:sz w:val="18"/>
                <w:szCs w:val="18"/>
              </w:rPr>
              <w:t>besity, especially high-risk and vulnerable patients, have government-funded access to Wegovy</w:t>
            </w:r>
            <w:r w:rsidR="0005132F">
              <w:rPr>
                <w:rFonts w:asciiTheme="minorHAnsi" w:hAnsiTheme="minorHAnsi" w:cstheme="minorHAnsi"/>
                <w:color w:val="000000"/>
                <w:sz w:val="18"/>
                <w:szCs w:val="18"/>
              </w:rPr>
              <w:t>.</w:t>
            </w:r>
          </w:p>
        </w:tc>
      </w:tr>
      <w:tr w:rsidR="009A5A31" w:rsidRPr="008059F4" w14:paraId="39F54A75" w14:textId="77777777" w:rsidTr="003774E1">
        <w:trPr>
          <w:cantSplit/>
          <w:trHeight w:val="2948"/>
          <w:jc w:val="center"/>
        </w:trPr>
        <w:tc>
          <w:tcPr>
            <w:tcW w:w="3013" w:type="dxa"/>
            <w:shd w:val="clear" w:color="auto" w:fill="auto"/>
            <w:tcMar>
              <w:top w:w="28" w:type="dxa"/>
              <w:bottom w:w="28" w:type="dxa"/>
            </w:tcMar>
            <w:vAlign w:val="center"/>
          </w:tcPr>
          <w:p w14:paraId="5B3FEC50" w14:textId="2D96CDB1" w:rsidR="009A5A31" w:rsidRPr="008059F4" w:rsidRDefault="009A5A31" w:rsidP="009A5A31">
            <w:pPr>
              <w:keepLines/>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lastRenderedPageBreak/>
              <w:t>TERIPARATIDE</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Injection 250 micrograms per</w:t>
            </w:r>
            <w:r>
              <w:rPr>
                <w:rFonts w:asciiTheme="minorHAnsi" w:hAnsiTheme="minorHAnsi" w:cstheme="minorHAnsi"/>
                <w:color w:val="000000"/>
                <w:sz w:val="18"/>
                <w:szCs w:val="18"/>
              </w:rPr>
              <w:t> mL</w:t>
            </w:r>
            <w:r w:rsidRPr="008059F4">
              <w:rPr>
                <w:rFonts w:asciiTheme="minorHAnsi" w:hAnsiTheme="minorHAnsi" w:cstheme="minorHAnsi"/>
                <w:color w:val="000000"/>
                <w:sz w:val="18"/>
                <w:szCs w:val="18"/>
              </w:rPr>
              <w:t>, 2.4</w:t>
            </w:r>
            <w:r>
              <w:rPr>
                <w:rFonts w:asciiTheme="minorHAnsi" w:hAnsiTheme="minorHAnsi" w:cstheme="minorHAnsi"/>
                <w:color w:val="000000"/>
                <w:sz w:val="18"/>
                <w:szCs w:val="18"/>
              </w:rPr>
              <w:t> mL</w:t>
            </w:r>
            <w:r w:rsidRPr="008059F4">
              <w:rPr>
                <w:rFonts w:asciiTheme="minorHAnsi" w:hAnsiTheme="minorHAnsi" w:cstheme="minorHAnsi"/>
                <w:color w:val="000000"/>
                <w:sz w:val="18"/>
                <w:szCs w:val="18"/>
              </w:rPr>
              <w:t xml:space="preserve"> in multi-dose pre-filled </w:t>
            </w:r>
            <w:r>
              <w:rPr>
                <w:rFonts w:asciiTheme="minorHAnsi" w:hAnsiTheme="minorHAnsi" w:cstheme="minorHAnsi"/>
                <w:color w:val="000000"/>
                <w:sz w:val="18"/>
                <w:szCs w:val="18"/>
              </w:rPr>
              <w:t>pen</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Teriparatide Lupin</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GENERIC HEALTH PTY LTD</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Category 4</w:t>
            </w:r>
            <w:r w:rsidRPr="008059F4">
              <w:rPr>
                <w:rFonts w:asciiTheme="minorHAnsi" w:hAnsiTheme="minorHAnsi" w:cstheme="minorHAnsi"/>
                <w:color w:val="000000"/>
                <w:sz w:val="18"/>
                <w:szCs w:val="18"/>
              </w:rPr>
              <w:br/>
              <w:t>(New listing)</w:t>
            </w:r>
          </w:p>
        </w:tc>
        <w:tc>
          <w:tcPr>
            <w:tcW w:w="2764" w:type="dxa"/>
            <w:shd w:val="clear" w:color="auto" w:fill="auto"/>
            <w:vAlign w:val="center"/>
          </w:tcPr>
          <w:p w14:paraId="3E598DA8" w14:textId="2071DBF6" w:rsidR="009A5A31" w:rsidRPr="008059F4" w:rsidRDefault="009A5A31" w:rsidP="009A5A31">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Osteoporosis</w:t>
            </w:r>
          </w:p>
        </w:tc>
        <w:tc>
          <w:tcPr>
            <w:tcW w:w="2978" w:type="dxa"/>
            <w:shd w:val="clear" w:color="auto" w:fill="auto"/>
            <w:tcMar>
              <w:top w:w="28" w:type="dxa"/>
              <w:bottom w:w="28" w:type="dxa"/>
            </w:tcMar>
            <w:vAlign w:val="center"/>
          </w:tcPr>
          <w:p w14:paraId="0C9C42A5" w14:textId="0CA02B73" w:rsidR="009A5A31" w:rsidRPr="008059F4" w:rsidRDefault="009A5A31" w:rsidP="009A5A31">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To request a General Schedule Authority Required (STREAMLINED) listing under the same conditions as the currently listed brand Terrosa®.</w:t>
            </w:r>
          </w:p>
        </w:tc>
        <w:tc>
          <w:tcPr>
            <w:tcW w:w="1800" w:type="dxa"/>
            <w:shd w:val="clear" w:color="auto" w:fill="auto"/>
            <w:vAlign w:val="center"/>
          </w:tcPr>
          <w:p w14:paraId="61B57AE6" w14:textId="45B94699" w:rsidR="009A5A31" w:rsidRPr="008059F4" w:rsidRDefault="009A5A31" w:rsidP="009A5A31">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Recommended</w:t>
            </w:r>
          </w:p>
        </w:tc>
        <w:tc>
          <w:tcPr>
            <w:tcW w:w="4833" w:type="dxa"/>
            <w:shd w:val="clear" w:color="auto" w:fill="auto"/>
            <w:vAlign w:val="center"/>
          </w:tcPr>
          <w:p w14:paraId="0A38A3EC" w14:textId="740F7DF4" w:rsidR="009A5A31" w:rsidRPr="008059F4" w:rsidRDefault="009A5A31" w:rsidP="009A5A31">
            <w:pPr>
              <w:jc w:val="both"/>
              <w:rPr>
                <w:rFonts w:asciiTheme="minorHAnsi" w:hAnsiTheme="minorHAnsi" w:cstheme="minorHAnsi"/>
                <w:color w:val="000000"/>
                <w:sz w:val="18"/>
                <w:szCs w:val="18"/>
              </w:rPr>
            </w:pPr>
            <w:bookmarkStart w:id="8" w:name="_Hlk152340722"/>
            <w:r w:rsidRPr="008059F4">
              <w:rPr>
                <w:rFonts w:asciiTheme="minorHAnsi" w:hAnsiTheme="minorHAnsi" w:cstheme="minorHAnsi"/>
                <w:sz w:val="18"/>
                <w:szCs w:val="18"/>
              </w:rPr>
              <w:t>The PBAC recommended the listing of teriparatide injection 250</w:t>
            </w:r>
            <w:r>
              <w:rPr>
                <w:rFonts w:asciiTheme="minorHAnsi" w:hAnsiTheme="minorHAnsi" w:cstheme="minorHAnsi"/>
                <w:sz w:val="18"/>
                <w:szCs w:val="18"/>
              </w:rPr>
              <w:t> </w:t>
            </w:r>
            <w:r w:rsidRPr="008059F4">
              <w:rPr>
                <w:rFonts w:asciiTheme="minorHAnsi" w:hAnsiTheme="minorHAnsi" w:cstheme="minorHAnsi"/>
                <w:sz w:val="18"/>
                <w:szCs w:val="18"/>
              </w:rPr>
              <w:t>micrograms per</w:t>
            </w:r>
            <w:r>
              <w:rPr>
                <w:rFonts w:asciiTheme="minorHAnsi" w:hAnsiTheme="minorHAnsi" w:cstheme="minorHAnsi"/>
                <w:sz w:val="18"/>
                <w:szCs w:val="18"/>
              </w:rPr>
              <w:t> mL</w:t>
            </w:r>
            <w:r w:rsidRPr="008059F4">
              <w:rPr>
                <w:rFonts w:asciiTheme="minorHAnsi" w:hAnsiTheme="minorHAnsi" w:cstheme="minorHAnsi"/>
                <w:sz w:val="18"/>
                <w:szCs w:val="18"/>
              </w:rPr>
              <w:t>, 2.4</w:t>
            </w:r>
            <w:r>
              <w:rPr>
                <w:rFonts w:asciiTheme="minorHAnsi" w:hAnsiTheme="minorHAnsi" w:cstheme="minorHAnsi"/>
                <w:sz w:val="18"/>
                <w:szCs w:val="18"/>
              </w:rPr>
              <w:t> mL</w:t>
            </w:r>
            <w:r w:rsidRPr="008059F4">
              <w:rPr>
                <w:rFonts w:asciiTheme="minorHAnsi" w:hAnsiTheme="minorHAnsi" w:cstheme="minorHAnsi"/>
                <w:sz w:val="18"/>
                <w:szCs w:val="18"/>
              </w:rPr>
              <w:t xml:space="preserve"> in multi dose pre-filled pen</w:t>
            </w:r>
            <w:r>
              <w:rPr>
                <w:rFonts w:asciiTheme="minorHAnsi" w:hAnsiTheme="minorHAnsi" w:cstheme="minorHAnsi"/>
                <w:sz w:val="18"/>
                <w:szCs w:val="18"/>
              </w:rPr>
              <w:t xml:space="preserve"> (PFP)</w:t>
            </w:r>
            <w:r w:rsidRPr="008059F4">
              <w:rPr>
                <w:rFonts w:asciiTheme="minorHAnsi" w:hAnsiTheme="minorHAnsi" w:cstheme="minorHAnsi"/>
                <w:sz w:val="18"/>
                <w:szCs w:val="18"/>
              </w:rPr>
              <w:t xml:space="preserve"> (Teriparatide Lupin) under the same circumstances as the currently listed teriparatide injection 250 micrograms per</w:t>
            </w:r>
            <w:r>
              <w:rPr>
                <w:rFonts w:asciiTheme="minorHAnsi" w:hAnsiTheme="minorHAnsi" w:cstheme="minorHAnsi"/>
                <w:sz w:val="18"/>
                <w:szCs w:val="18"/>
              </w:rPr>
              <w:t> mL</w:t>
            </w:r>
            <w:r w:rsidRPr="008059F4">
              <w:rPr>
                <w:rFonts w:asciiTheme="minorHAnsi" w:hAnsiTheme="minorHAnsi" w:cstheme="minorHAnsi"/>
                <w:sz w:val="18"/>
                <w:szCs w:val="18"/>
              </w:rPr>
              <w:t>, 2.4</w:t>
            </w:r>
            <w:r>
              <w:rPr>
                <w:rFonts w:asciiTheme="minorHAnsi" w:hAnsiTheme="minorHAnsi" w:cstheme="minorHAnsi"/>
                <w:sz w:val="18"/>
                <w:szCs w:val="18"/>
              </w:rPr>
              <w:t> mL</w:t>
            </w:r>
            <w:r w:rsidRPr="008059F4">
              <w:rPr>
                <w:rFonts w:asciiTheme="minorHAnsi" w:hAnsiTheme="minorHAnsi" w:cstheme="minorHAnsi"/>
                <w:sz w:val="18"/>
                <w:szCs w:val="18"/>
              </w:rPr>
              <w:t xml:space="preserve"> in multi dose pre-filled cartridge</w:t>
            </w:r>
            <w:r>
              <w:rPr>
                <w:rFonts w:asciiTheme="minorHAnsi" w:hAnsiTheme="minorHAnsi" w:cstheme="minorHAnsi"/>
                <w:sz w:val="18"/>
                <w:szCs w:val="18"/>
              </w:rPr>
              <w:t xml:space="preserve"> (PFC)</w:t>
            </w:r>
            <w:r w:rsidRPr="008059F4">
              <w:rPr>
                <w:rFonts w:asciiTheme="minorHAnsi" w:hAnsiTheme="minorHAnsi" w:cstheme="minorHAnsi"/>
                <w:sz w:val="18"/>
                <w:szCs w:val="18"/>
              </w:rPr>
              <w:t xml:space="preserve"> (Terrosa).</w:t>
            </w:r>
            <w:r w:rsidRPr="00402889">
              <w:rPr>
                <w:rFonts w:asciiTheme="minorHAnsi" w:hAnsiTheme="minorHAnsi" w:cstheme="minorHAnsi"/>
                <w:sz w:val="18"/>
                <w:szCs w:val="18"/>
              </w:rPr>
              <w:t xml:space="preserve"> </w:t>
            </w:r>
            <w:r w:rsidRPr="00E24712">
              <w:rPr>
                <w:rStyle w:val="cf01"/>
                <w:rFonts w:asciiTheme="minorHAnsi" w:hAnsiTheme="minorHAnsi" w:cstheme="minorHAnsi"/>
                <w:color w:val="auto"/>
              </w:rPr>
              <w:t>The recommendation was on a cost-minimisation basis with an equi-effective dose of 250 microgram/mL of Lupin PFP to 250 microgram/mL of Terrosa PFC.</w:t>
            </w:r>
            <w:r w:rsidRPr="00E24712">
              <w:rPr>
                <w:rStyle w:val="cf01"/>
                <w:color w:val="auto"/>
              </w:rPr>
              <w:t xml:space="preserve"> </w:t>
            </w:r>
            <w:r w:rsidRPr="008059F4">
              <w:rPr>
                <w:rFonts w:asciiTheme="minorHAnsi" w:hAnsiTheme="minorHAnsi" w:cstheme="minorHAnsi"/>
                <w:sz w:val="18"/>
                <w:szCs w:val="18"/>
              </w:rPr>
              <w:t xml:space="preserve">The PBAC advised that Teriparatide Lupin </w:t>
            </w:r>
            <w:r>
              <w:rPr>
                <w:rFonts w:asciiTheme="minorHAnsi" w:hAnsiTheme="minorHAnsi" w:cstheme="minorHAnsi"/>
                <w:sz w:val="18"/>
                <w:szCs w:val="18"/>
              </w:rPr>
              <w:t>PFP</w:t>
            </w:r>
            <w:r w:rsidRPr="008059F4">
              <w:rPr>
                <w:rFonts w:asciiTheme="minorHAnsi" w:hAnsiTheme="minorHAnsi" w:cstheme="minorHAnsi"/>
                <w:sz w:val="18"/>
                <w:szCs w:val="18"/>
              </w:rPr>
              <w:t xml:space="preserve"> and Terrosa in both its </w:t>
            </w:r>
            <w:r>
              <w:rPr>
                <w:rFonts w:asciiTheme="minorHAnsi" w:hAnsiTheme="minorHAnsi" w:cstheme="minorHAnsi"/>
                <w:sz w:val="18"/>
                <w:szCs w:val="18"/>
              </w:rPr>
              <w:t>PFP</w:t>
            </w:r>
            <w:r w:rsidRPr="008059F4">
              <w:rPr>
                <w:rFonts w:asciiTheme="minorHAnsi" w:hAnsiTheme="minorHAnsi" w:cstheme="minorHAnsi"/>
                <w:sz w:val="18"/>
                <w:szCs w:val="18"/>
              </w:rPr>
              <w:t xml:space="preserve"> and </w:t>
            </w:r>
            <w:r>
              <w:rPr>
                <w:rFonts w:asciiTheme="minorHAnsi" w:hAnsiTheme="minorHAnsi" w:cstheme="minorHAnsi"/>
                <w:sz w:val="18"/>
                <w:szCs w:val="18"/>
              </w:rPr>
              <w:t>PFC</w:t>
            </w:r>
            <w:r w:rsidRPr="008059F4">
              <w:rPr>
                <w:rFonts w:asciiTheme="minorHAnsi" w:hAnsiTheme="minorHAnsi" w:cstheme="minorHAnsi"/>
                <w:sz w:val="18"/>
                <w:szCs w:val="18"/>
              </w:rPr>
              <w:t xml:space="preserve"> forms should be considered equivalent for the purposes of substitution (i.e., ‘a’</w:t>
            </w:r>
            <w:r w:rsidR="00D060AA">
              <w:rPr>
                <w:rFonts w:asciiTheme="minorHAnsi" w:hAnsiTheme="minorHAnsi" w:cstheme="minorHAnsi"/>
                <w:sz w:val="18"/>
                <w:szCs w:val="18"/>
              </w:rPr>
              <w:t xml:space="preserve"> </w:t>
            </w:r>
            <w:r w:rsidRPr="008059F4">
              <w:rPr>
                <w:rFonts w:asciiTheme="minorHAnsi" w:hAnsiTheme="minorHAnsi" w:cstheme="minorHAnsi"/>
                <w:sz w:val="18"/>
                <w:szCs w:val="18"/>
              </w:rPr>
              <w:t xml:space="preserve">flagged in the Schedule) as the PBAC considered that Teriparatide Lupin </w:t>
            </w:r>
            <w:r>
              <w:rPr>
                <w:rFonts w:asciiTheme="minorHAnsi" w:hAnsiTheme="minorHAnsi" w:cstheme="minorHAnsi"/>
                <w:sz w:val="18"/>
                <w:szCs w:val="18"/>
              </w:rPr>
              <w:t>PFP</w:t>
            </w:r>
            <w:r w:rsidRPr="008059F4">
              <w:rPr>
                <w:rFonts w:asciiTheme="minorHAnsi" w:hAnsiTheme="minorHAnsi" w:cstheme="minorHAnsi"/>
                <w:sz w:val="18"/>
                <w:szCs w:val="18"/>
              </w:rPr>
              <w:t xml:space="preserve"> was therapeutically equivalent to Terrosa </w:t>
            </w:r>
            <w:r>
              <w:rPr>
                <w:rFonts w:asciiTheme="minorHAnsi" w:hAnsiTheme="minorHAnsi" w:cstheme="minorHAnsi"/>
                <w:sz w:val="18"/>
                <w:szCs w:val="18"/>
              </w:rPr>
              <w:t>PFC</w:t>
            </w:r>
            <w:r w:rsidRPr="008059F4">
              <w:rPr>
                <w:rFonts w:asciiTheme="minorHAnsi" w:hAnsiTheme="minorHAnsi" w:cstheme="minorHAnsi"/>
                <w:sz w:val="18"/>
                <w:szCs w:val="18"/>
              </w:rPr>
              <w:t>.</w:t>
            </w:r>
            <w:bookmarkEnd w:id="8"/>
          </w:p>
        </w:tc>
      </w:tr>
      <w:tr w:rsidR="009A5A31" w:rsidRPr="008059F4" w14:paraId="61EAC40A" w14:textId="77777777" w:rsidTr="003774E1">
        <w:trPr>
          <w:cantSplit/>
          <w:trHeight w:val="2948"/>
          <w:jc w:val="center"/>
        </w:trPr>
        <w:tc>
          <w:tcPr>
            <w:tcW w:w="3013" w:type="dxa"/>
            <w:shd w:val="clear" w:color="auto" w:fill="auto"/>
            <w:tcMar>
              <w:top w:w="28" w:type="dxa"/>
              <w:bottom w:w="28" w:type="dxa"/>
            </w:tcMar>
            <w:vAlign w:val="center"/>
          </w:tcPr>
          <w:p w14:paraId="17EF7A28" w14:textId="75E847FB" w:rsidR="009A5A31" w:rsidRPr="008059F4" w:rsidRDefault="009A5A31" w:rsidP="009A5A31">
            <w:pPr>
              <w:keepLines/>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TERIPARATIDE</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Injection 250 micrograms per</w:t>
            </w:r>
            <w:r>
              <w:rPr>
                <w:rFonts w:asciiTheme="minorHAnsi" w:hAnsiTheme="minorHAnsi" w:cstheme="minorHAnsi"/>
                <w:color w:val="000000"/>
                <w:sz w:val="18"/>
                <w:szCs w:val="18"/>
              </w:rPr>
              <w:t> mL</w:t>
            </w:r>
            <w:r w:rsidRPr="008059F4">
              <w:rPr>
                <w:rFonts w:asciiTheme="minorHAnsi" w:hAnsiTheme="minorHAnsi" w:cstheme="minorHAnsi"/>
                <w:color w:val="000000"/>
                <w:sz w:val="18"/>
                <w:szCs w:val="18"/>
              </w:rPr>
              <w:t>, 2.4</w:t>
            </w:r>
            <w:r>
              <w:rPr>
                <w:rFonts w:asciiTheme="minorHAnsi" w:hAnsiTheme="minorHAnsi" w:cstheme="minorHAnsi"/>
                <w:color w:val="000000"/>
                <w:sz w:val="18"/>
                <w:szCs w:val="18"/>
              </w:rPr>
              <w:t> mL</w:t>
            </w:r>
            <w:r w:rsidRPr="008059F4">
              <w:rPr>
                <w:rFonts w:asciiTheme="minorHAnsi" w:hAnsiTheme="minorHAnsi" w:cstheme="minorHAnsi"/>
                <w:color w:val="000000"/>
                <w:sz w:val="18"/>
                <w:szCs w:val="18"/>
              </w:rPr>
              <w:t xml:space="preserve"> in multi-dose pre-filled pen</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Terrosa®</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GEDEON RICHTER AUSTRALIA PTY LTD</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Category 4</w:t>
            </w:r>
            <w:r w:rsidRPr="008059F4">
              <w:rPr>
                <w:rFonts w:asciiTheme="minorHAnsi" w:hAnsiTheme="minorHAnsi" w:cstheme="minorHAnsi"/>
                <w:color w:val="000000"/>
                <w:sz w:val="18"/>
                <w:szCs w:val="18"/>
              </w:rPr>
              <w:br/>
              <w:t>(New listing)</w:t>
            </w:r>
          </w:p>
        </w:tc>
        <w:tc>
          <w:tcPr>
            <w:tcW w:w="2764" w:type="dxa"/>
            <w:shd w:val="clear" w:color="auto" w:fill="auto"/>
            <w:vAlign w:val="center"/>
          </w:tcPr>
          <w:p w14:paraId="592E079A" w14:textId="0F3FD0EA" w:rsidR="009A5A31" w:rsidRPr="008059F4" w:rsidRDefault="009A5A31" w:rsidP="009A5A31">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Osteoporosis</w:t>
            </w:r>
          </w:p>
        </w:tc>
        <w:tc>
          <w:tcPr>
            <w:tcW w:w="2978" w:type="dxa"/>
            <w:shd w:val="clear" w:color="auto" w:fill="auto"/>
            <w:tcMar>
              <w:top w:w="28" w:type="dxa"/>
              <w:bottom w:w="28" w:type="dxa"/>
            </w:tcMar>
            <w:vAlign w:val="center"/>
          </w:tcPr>
          <w:p w14:paraId="55E68C31" w14:textId="2A5771D2" w:rsidR="009A5A31" w:rsidRPr="008059F4" w:rsidRDefault="009A5A31" w:rsidP="009A5A31">
            <w:pPr>
              <w:pStyle w:val="ListParagraph"/>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To request a General Schedule Authority Required (STREAMLINED) listing for a pre-filled pen</w:t>
            </w:r>
            <w:r>
              <w:rPr>
                <w:rFonts w:asciiTheme="minorHAnsi" w:hAnsiTheme="minorHAnsi" w:cstheme="minorHAnsi"/>
                <w:color w:val="000000"/>
                <w:sz w:val="18"/>
                <w:szCs w:val="18"/>
              </w:rPr>
              <w:t xml:space="preserve"> (PFP)</w:t>
            </w:r>
            <w:r w:rsidRPr="008059F4">
              <w:rPr>
                <w:rFonts w:asciiTheme="minorHAnsi" w:hAnsiTheme="minorHAnsi" w:cstheme="minorHAnsi"/>
                <w:color w:val="000000"/>
                <w:sz w:val="18"/>
                <w:szCs w:val="18"/>
              </w:rPr>
              <w:t xml:space="preserve"> under the same conditions as the currently listed cartridge presentation.</w:t>
            </w:r>
          </w:p>
        </w:tc>
        <w:tc>
          <w:tcPr>
            <w:tcW w:w="1800" w:type="dxa"/>
            <w:shd w:val="clear" w:color="auto" w:fill="auto"/>
            <w:vAlign w:val="center"/>
          </w:tcPr>
          <w:p w14:paraId="089D0733" w14:textId="56A0DD36" w:rsidR="009A5A31" w:rsidRPr="008059F4" w:rsidRDefault="009A5A31" w:rsidP="009A5A31">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Recommended</w:t>
            </w:r>
          </w:p>
        </w:tc>
        <w:tc>
          <w:tcPr>
            <w:tcW w:w="4833" w:type="dxa"/>
            <w:shd w:val="clear" w:color="auto" w:fill="auto"/>
            <w:vAlign w:val="center"/>
          </w:tcPr>
          <w:p w14:paraId="0B29E960" w14:textId="3EB890AB" w:rsidR="009A5A31" w:rsidRPr="008059F4" w:rsidRDefault="009A5A31" w:rsidP="009A5A31">
            <w:pPr>
              <w:jc w:val="both"/>
              <w:rPr>
                <w:rFonts w:asciiTheme="minorHAnsi" w:hAnsiTheme="minorHAnsi" w:cstheme="minorHAnsi"/>
                <w:color w:val="000000"/>
                <w:sz w:val="18"/>
                <w:szCs w:val="18"/>
              </w:rPr>
            </w:pPr>
            <w:r w:rsidRPr="008059F4">
              <w:rPr>
                <w:rFonts w:asciiTheme="minorHAnsi" w:hAnsiTheme="minorHAnsi" w:cstheme="minorHAnsi"/>
                <w:color w:val="000000"/>
                <w:sz w:val="18"/>
                <w:szCs w:val="18"/>
              </w:rPr>
              <w:t xml:space="preserve">The PBAC recommended </w:t>
            </w:r>
            <w:r>
              <w:rPr>
                <w:rFonts w:asciiTheme="minorHAnsi" w:hAnsiTheme="minorHAnsi" w:cstheme="minorHAnsi"/>
                <w:color w:val="000000"/>
                <w:sz w:val="18"/>
                <w:szCs w:val="18"/>
              </w:rPr>
              <w:t>the</w:t>
            </w:r>
            <w:r w:rsidRPr="008059F4">
              <w:rPr>
                <w:rFonts w:asciiTheme="minorHAnsi" w:hAnsiTheme="minorHAnsi" w:cstheme="minorHAnsi"/>
                <w:color w:val="000000"/>
                <w:sz w:val="18"/>
                <w:szCs w:val="18"/>
              </w:rPr>
              <w:t xml:space="preserve"> listing of the Terrosa brand of teriparatide injection 250</w:t>
            </w:r>
            <w:r>
              <w:rPr>
                <w:rFonts w:asciiTheme="minorHAnsi" w:hAnsiTheme="minorHAnsi" w:cstheme="minorHAnsi"/>
                <w:color w:val="000000"/>
                <w:sz w:val="18"/>
                <w:szCs w:val="18"/>
              </w:rPr>
              <w:t> </w:t>
            </w:r>
            <w:r w:rsidRPr="008059F4">
              <w:rPr>
                <w:rFonts w:asciiTheme="minorHAnsi" w:hAnsiTheme="minorHAnsi" w:cstheme="minorHAnsi"/>
                <w:color w:val="000000"/>
                <w:sz w:val="18"/>
                <w:szCs w:val="18"/>
              </w:rPr>
              <w:t>micrograms per</w:t>
            </w:r>
            <w:r>
              <w:rPr>
                <w:rFonts w:asciiTheme="minorHAnsi" w:hAnsiTheme="minorHAnsi" w:cstheme="minorHAnsi"/>
                <w:color w:val="000000"/>
                <w:sz w:val="18"/>
                <w:szCs w:val="18"/>
              </w:rPr>
              <w:t> mL</w:t>
            </w:r>
            <w:r w:rsidRPr="008059F4">
              <w:rPr>
                <w:rFonts w:asciiTheme="minorHAnsi" w:hAnsiTheme="minorHAnsi" w:cstheme="minorHAnsi"/>
                <w:color w:val="000000"/>
                <w:sz w:val="18"/>
                <w:szCs w:val="18"/>
              </w:rPr>
              <w:t>, 2.4</w:t>
            </w:r>
            <w:r>
              <w:rPr>
                <w:rFonts w:asciiTheme="minorHAnsi" w:hAnsiTheme="minorHAnsi" w:cstheme="minorHAnsi"/>
                <w:color w:val="000000"/>
                <w:sz w:val="18"/>
                <w:szCs w:val="18"/>
              </w:rPr>
              <w:t> mL</w:t>
            </w:r>
            <w:r w:rsidRPr="008059F4">
              <w:rPr>
                <w:rFonts w:asciiTheme="minorHAnsi" w:hAnsiTheme="minorHAnsi" w:cstheme="minorHAnsi"/>
                <w:color w:val="000000"/>
                <w:sz w:val="18"/>
                <w:szCs w:val="18"/>
              </w:rPr>
              <w:t xml:space="preserve"> (teriparatide 250</w:t>
            </w:r>
            <w:r>
              <w:rPr>
                <w:rFonts w:asciiTheme="minorHAnsi" w:hAnsiTheme="minorHAnsi" w:cstheme="minorHAnsi"/>
                <w:color w:val="000000"/>
                <w:sz w:val="18"/>
                <w:szCs w:val="18"/>
              </w:rPr>
              <w:t> </w:t>
            </w:r>
            <w:r w:rsidRPr="008059F4">
              <w:rPr>
                <w:rFonts w:asciiTheme="minorHAnsi" w:hAnsiTheme="minorHAnsi" w:cstheme="minorHAnsi"/>
                <w:color w:val="000000"/>
                <w:sz w:val="18"/>
                <w:szCs w:val="18"/>
              </w:rPr>
              <w:t xml:space="preserve">mcg) in multi dose </w:t>
            </w:r>
            <w:r>
              <w:rPr>
                <w:rFonts w:asciiTheme="minorHAnsi" w:hAnsiTheme="minorHAnsi" w:cstheme="minorHAnsi"/>
                <w:color w:val="000000"/>
                <w:sz w:val="18"/>
                <w:szCs w:val="18"/>
              </w:rPr>
              <w:t>PFP</w:t>
            </w:r>
            <w:r w:rsidRPr="008059F4">
              <w:rPr>
                <w:rFonts w:asciiTheme="minorHAnsi" w:hAnsiTheme="minorHAnsi" w:cstheme="minorHAnsi"/>
                <w:color w:val="000000"/>
                <w:sz w:val="18"/>
                <w:szCs w:val="18"/>
              </w:rPr>
              <w:t xml:space="preserve"> on a cost</w:t>
            </w:r>
            <w:r w:rsidR="00130D30">
              <w:rPr>
                <w:rFonts w:asciiTheme="minorHAnsi" w:hAnsiTheme="minorHAnsi" w:cstheme="minorHAnsi"/>
                <w:color w:val="000000"/>
                <w:sz w:val="18"/>
                <w:szCs w:val="18"/>
              </w:rPr>
              <w:noBreakHyphen/>
            </w:r>
            <w:r w:rsidRPr="008059F4">
              <w:rPr>
                <w:rFonts w:asciiTheme="minorHAnsi" w:hAnsiTheme="minorHAnsi" w:cstheme="minorHAnsi"/>
                <w:color w:val="000000"/>
                <w:sz w:val="18"/>
                <w:szCs w:val="18"/>
              </w:rPr>
              <w:t>minimisation basis and under the same conditions as the Terrosa brand of teriparatide 250</w:t>
            </w:r>
            <w:r>
              <w:rPr>
                <w:rFonts w:asciiTheme="minorHAnsi" w:hAnsiTheme="minorHAnsi" w:cstheme="minorHAnsi"/>
                <w:color w:val="000000"/>
                <w:sz w:val="18"/>
                <w:szCs w:val="18"/>
              </w:rPr>
              <w:t> </w:t>
            </w:r>
            <w:r w:rsidRPr="008059F4">
              <w:rPr>
                <w:rFonts w:asciiTheme="minorHAnsi" w:hAnsiTheme="minorHAnsi" w:cstheme="minorHAnsi"/>
                <w:color w:val="000000"/>
                <w:sz w:val="18"/>
                <w:szCs w:val="18"/>
              </w:rPr>
              <w:t>mcg in multi-dose pre-filled cartridge</w:t>
            </w:r>
            <w:r>
              <w:rPr>
                <w:rFonts w:asciiTheme="minorHAnsi" w:hAnsiTheme="minorHAnsi" w:cstheme="minorHAnsi"/>
                <w:color w:val="000000"/>
                <w:sz w:val="18"/>
                <w:szCs w:val="18"/>
              </w:rPr>
              <w:t xml:space="preserve"> (PFC)</w:t>
            </w:r>
            <w:r w:rsidRPr="008059F4">
              <w:rPr>
                <w:rFonts w:asciiTheme="minorHAnsi" w:hAnsiTheme="minorHAnsi" w:cstheme="minorHAnsi"/>
                <w:color w:val="000000"/>
                <w:sz w:val="18"/>
                <w:szCs w:val="18"/>
              </w:rPr>
              <w:t>. The PBAC considered that Terrosa PFP would be equivalent to Terrosa PFC and the Teriparatide Lupin brand of teriparatide 250</w:t>
            </w:r>
            <w:r w:rsidR="00277AA7">
              <w:rPr>
                <w:rFonts w:asciiTheme="minorHAnsi" w:hAnsiTheme="minorHAnsi" w:cstheme="minorHAnsi"/>
                <w:color w:val="000000"/>
                <w:sz w:val="18"/>
                <w:szCs w:val="18"/>
              </w:rPr>
              <w:t> </w:t>
            </w:r>
            <w:r w:rsidRPr="008059F4">
              <w:rPr>
                <w:rFonts w:asciiTheme="minorHAnsi" w:hAnsiTheme="minorHAnsi" w:cstheme="minorHAnsi"/>
                <w:color w:val="000000"/>
                <w:sz w:val="18"/>
                <w:szCs w:val="18"/>
              </w:rPr>
              <w:t>mcg in multi-dose PFP.</w:t>
            </w:r>
          </w:p>
        </w:tc>
      </w:tr>
      <w:tr w:rsidR="009A5A31" w:rsidRPr="008059F4" w14:paraId="73CCA187" w14:textId="77777777" w:rsidTr="003774E1">
        <w:trPr>
          <w:cantSplit/>
          <w:trHeight w:val="2948"/>
          <w:jc w:val="center"/>
        </w:trPr>
        <w:tc>
          <w:tcPr>
            <w:tcW w:w="3013" w:type="dxa"/>
            <w:shd w:val="clear" w:color="auto" w:fill="BFBFBF" w:themeFill="background1" w:themeFillShade="BF"/>
            <w:tcMar>
              <w:top w:w="28" w:type="dxa"/>
              <w:bottom w:w="28" w:type="dxa"/>
            </w:tcMar>
            <w:vAlign w:val="center"/>
          </w:tcPr>
          <w:p w14:paraId="36CECB75" w14:textId="1E163A2B" w:rsidR="009A5A31" w:rsidRPr="008059F4" w:rsidRDefault="009A5A31" w:rsidP="009A5A31">
            <w:pPr>
              <w:keepLines/>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lastRenderedPageBreak/>
              <w:t>TISLELIZUMAB</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Solution concentrate for injection 100</w:t>
            </w:r>
            <w:r>
              <w:rPr>
                <w:rFonts w:asciiTheme="minorHAnsi" w:hAnsiTheme="minorHAnsi" w:cstheme="minorHAnsi"/>
                <w:color w:val="000000"/>
                <w:sz w:val="18"/>
                <w:szCs w:val="18"/>
              </w:rPr>
              <w:t> mg</w:t>
            </w:r>
            <w:r w:rsidRPr="008059F4">
              <w:rPr>
                <w:rFonts w:asciiTheme="minorHAnsi" w:hAnsiTheme="minorHAnsi" w:cstheme="minorHAnsi"/>
                <w:color w:val="000000"/>
                <w:sz w:val="18"/>
                <w:szCs w:val="18"/>
              </w:rPr>
              <w:t xml:space="preserve"> in 10</w:t>
            </w:r>
            <w:r>
              <w:rPr>
                <w:rFonts w:asciiTheme="minorHAnsi" w:hAnsiTheme="minorHAnsi" w:cstheme="minorHAnsi"/>
                <w:color w:val="000000"/>
                <w:sz w:val="18"/>
                <w:szCs w:val="18"/>
              </w:rPr>
              <w:t> mL</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Tevimbra®</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BEIGENE AUS PTY LTD</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Category 2</w:t>
            </w:r>
            <w:r w:rsidRPr="008059F4">
              <w:rPr>
                <w:rFonts w:asciiTheme="minorHAnsi" w:hAnsiTheme="minorHAnsi" w:cstheme="minorHAnsi"/>
                <w:color w:val="000000"/>
                <w:sz w:val="18"/>
                <w:szCs w:val="18"/>
              </w:rPr>
              <w:br/>
              <w:t>(New listing)</w:t>
            </w:r>
          </w:p>
        </w:tc>
        <w:tc>
          <w:tcPr>
            <w:tcW w:w="2764" w:type="dxa"/>
            <w:shd w:val="clear" w:color="auto" w:fill="BFBFBF" w:themeFill="background1" w:themeFillShade="BF"/>
            <w:vAlign w:val="center"/>
          </w:tcPr>
          <w:p w14:paraId="366011E9" w14:textId="1EDCDE3E" w:rsidR="009A5A31" w:rsidRPr="008059F4" w:rsidRDefault="009A5A31" w:rsidP="009A5A31">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Non-small cell lung cancer (NSCLC)</w:t>
            </w:r>
          </w:p>
        </w:tc>
        <w:tc>
          <w:tcPr>
            <w:tcW w:w="2978" w:type="dxa"/>
            <w:shd w:val="clear" w:color="auto" w:fill="BFBFBF" w:themeFill="background1" w:themeFillShade="BF"/>
            <w:tcMar>
              <w:top w:w="28" w:type="dxa"/>
              <w:bottom w:w="28" w:type="dxa"/>
            </w:tcMar>
            <w:vAlign w:val="center"/>
          </w:tcPr>
          <w:p w14:paraId="1E9BD949" w14:textId="1A46BC0E" w:rsidR="009A5A31" w:rsidRPr="008059F4" w:rsidRDefault="009A5A31" w:rsidP="009A5A31">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To request a Section 100 (Efficient Funding of Chemotherapy Program) Authority Required (STREAMLINED) listing for the first-line treatment of patients with Stage IV (metastatic) NSCLC.</w:t>
            </w:r>
          </w:p>
        </w:tc>
        <w:tc>
          <w:tcPr>
            <w:tcW w:w="1800" w:type="dxa"/>
            <w:shd w:val="clear" w:color="auto" w:fill="BFBFBF" w:themeFill="background1" w:themeFillShade="BF"/>
            <w:vAlign w:val="center"/>
          </w:tcPr>
          <w:p w14:paraId="5BEB7D7D" w14:textId="20104672" w:rsidR="009A5A31" w:rsidRPr="008059F4" w:rsidRDefault="009A5A31" w:rsidP="009A5A31">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Not Applicable</w:t>
            </w:r>
          </w:p>
        </w:tc>
        <w:tc>
          <w:tcPr>
            <w:tcW w:w="4833" w:type="dxa"/>
            <w:shd w:val="clear" w:color="auto" w:fill="BFBFBF" w:themeFill="background1" w:themeFillShade="BF"/>
            <w:vAlign w:val="center"/>
          </w:tcPr>
          <w:p w14:paraId="743A188C" w14:textId="2B6B3984" w:rsidR="009A5A31" w:rsidRPr="008059F4" w:rsidRDefault="009A5A31" w:rsidP="009A5A31">
            <w:pPr>
              <w:rPr>
                <w:rFonts w:asciiTheme="minorHAnsi" w:hAnsiTheme="minorHAnsi" w:cstheme="minorHAnsi"/>
                <w:color w:val="000000"/>
                <w:sz w:val="18"/>
                <w:szCs w:val="18"/>
              </w:rPr>
            </w:pPr>
            <w:r w:rsidRPr="006D0F86">
              <w:rPr>
                <w:rFonts w:asciiTheme="minorHAnsi" w:hAnsiTheme="minorHAnsi" w:cstheme="minorHAnsi"/>
                <w:color w:val="000000"/>
                <w:sz w:val="18"/>
                <w:szCs w:val="18"/>
              </w:rPr>
              <w:t xml:space="preserve">This item </w:t>
            </w:r>
            <w:r>
              <w:rPr>
                <w:rFonts w:asciiTheme="minorHAnsi" w:hAnsiTheme="minorHAnsi" w:cstheme="minorHAnsi"/>
                <w:color w:val="000000"/>
                <w:sz w:val="18"/>
                <w:szCs w:val="18"/>
              </w:rPr>
              <w:t xml:space="preserve">is to be considered at a future PBAC meeting. </w:t>
            </w:r>
          </w:p>
        </w:tc>
      </w:tr>
      <w:tr w:rsidR="009A5A31" w:rsidRPr="008059F4" w14:paraId="6BD235FA" w14:textId="77777777" w:rsidTr="003774E1">
        <w:trPr>
          <w:cantSplit/>
          <w:trHeight w:val="2948"/>
          <w:jc w:val="center"/>
        </w:trPr>
        <w:tc>
          <w:tcPr>
            <w:tcW w:w="3013" w:type="dxa"/>
            <w:shd w:val="clear" w:color="auto" w:fill="auto"/>
            <w:tcMar>
              <w:top w:w="28" w:type="dxa"/>
              <w:bottom w:w="28" w:type="dxa"/>
            </w:tcMar>
            <w:vAlign w:val="center"/>
          </w:tcPr>
          <w:p w14:paraId="61ACFAF0" w14:textId="3CB666B2" w:rsidR="009A5A31" w:rsidRPr="008059F4" w:rsidRDefault="009A5A31" w:rsidP="009A5A31">
            <w:pPr>
              <w:keepLines/>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TRASTUZUMAB DERUXTECAN</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Powder for I.V. infusion 100</w:t>
            </w:r>
            <w:r>
              <w:rPr>
                <w:rFonts w:asciiTheme="minorHAnsi" w:hAnsiTheme="minorHAnsi" w:cstheme="minorHAnsi"/>
                <w:color w:val="000000"/>
                <w:sz w:val="18"/>
                <w:szCs w:val="18"/>
              </w:rPr>
              <w:t> mg</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Enhertu®</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ASTRAZENECA PTY LTD</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Category 1</w:t>
            </w:r>
            <w:r w:rsidRPr="008059F4">
              <w:rPr>
                <w:rFonts w:asciiTheme="minorHAnsi" w:hAnsiTheme="minorHAnsi" w:cstheme="minorHAnsi"/>
                <w:color w:val="000000"/>
                <w:sz w:val="18"/>
                <w:szCs w:val="18"/>
              </w:rPr>
              <w:br/>
              <w:t>(New listing)</w:t>
            </w:r>
          </w:p>
        </w:tc>
        <w:tc>
          <w:tcPr>
            <w:tcW w:w="2764" w:type="dxa"/>
            <w:shd w:val="clear" w:color="auto" w:fill="auto"/>
            <w:vAlign w:val="center"/>
          </w:tcPr>
          <w:p w14:paraId="4423C0C6" w14:textId="4FAA4025" w:rsidR="009A5A31" w:rsidRPr="008059F4" w:rsidRDefault="009A5A31" w:rsidP="009A5A31">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Human epidermal growth factor receptor 2 (HER2)-low breast cancer</w:t>
            </w:r>
          </w:p>
        </w:tc>
        <w:tc>
          <w:tcPr>
            <w:tcW w:w="2978" w:type="dxa"/>
            <w:shd w:val="clear" w:color="auto" w:fill="auto"/>
            <w:tcMar>
              <w:top w:w="28" w:type="dxa"/>
              <w:bottom w:w="28" w:type="dxa"/>
            </w:tcMar>
            <w:vAlign w:val="center"/>
          </w:tcPr>
          <w:p w14:paraId="2AA741E0" w14:textId="516BADF9" w:rsidR="009A5A31" w:rsidRPr="008059F4" w:rsidRDefault="009A5A31" w:rsidP="009A5A31">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To request a Section 100 (Efficient Funding of Chemotherapy Program) Authority Required (Telephone/Online) listing for the treatment of patients with HER2-low unresectable or metastatic breast cancer.</w:t>
            </w:r>
          </w:p>
        </w:tc>
        <w:tc>
          <w:tcPr>
            <w:tcW w:w="1800" w:type="dxa"/>
            <w:shd w:val="clear" w:color="auto" w:fill="auto"/>
            <w:vAlign w:val="center"/>
          </w:tcPr>
          <w:p w14:paraId="6D96EEF6" w14:textId="2AFDFDD4" w:rsidR="009A5A31" w:rsidRPr="008059F4" w:rsidRDefault="009A5A31" w:rsidP="009A5A31">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Not Recommended</w:t>
            </w:r>
          </w:p>
        </w:tc>
        <w:tc>
          <w:tcPr>
            <w:tcW w:w="4833" w:type="dxa"/>
            <w:shd w:val="clear" w:color="auto" w:fill="auto"/>
            <w:vAlign w:val="center"/>
          </w:tcPr>
          <w:p w14:paraId="73E33077" w14:textId="311293C2" w:rsidR="001772F0" w:rsidRDefault="009A5A31" w:rsidP="00615136">
            <w:pPr>
              <w:jc w:val="both"/>
              <w:rPr>
                <w:rFonts w:asciiTheme="minorHAnsi" w:hAnsiTheme="minorHAnsi" w:cstheme="minorHAnsi"/>
                <w:sz w:val="18"/>
                <w:szCs w:val="18"/>
              </w:rPr>
            </w:pPr>
            <w:r w:rsidRPr="00615136">
              <w:rPr>
                <w:rFonts w:asciiTheme="minorHAnsi" w:hAnsiTheme="minorHAnsi" w:cstheme="minorHAnsi"/>
                <w:sz w:val="18"/>
                <w:szCs w:val="18"/>
              </w:rPr>
              <w:t>The PBAC did not recommend the listing of trastuzumab deruxtecan (T-DXd) for the treatment of patients with HER2</w:t>
            </w:r>
            <w:r w:rsidR="00277AA7">
              <w:rPr>
                <w:rFonts w:asciiTheme="minorHAnsi" w:hAnsiTheme="minorHAnsi" w:cstheme="minorHAnsi"/>
                <w:sz w:val="18"/>
                <w:szCs w:val="18"/>
              </w:rPr>
              <w:noBreakHyphen/>
            </w:r>
            <w:r w:rsidRPr="00615136">
              <w:rPr>
                <w:rFonts w:asciiTheme="minorHAnsi" w:hAnsiTheme="minorHAnsi" w:cstheme="minorHAnsi"/>
                <w:sz w:val="18"/>
                <w:szCs w:val="18"/>
              </w:rPr>
              <w:t>low unresectable or metastatic breast cancer. The PBAC considered there was a moderate clinical need for additional treatments in this therapeutic area. The PBAC considered T-DXd was superior to chemotherapy based on progression free survival and overall survival. However, the PBAC considered T-DXd was not cost</w:t>
            </w:r>
            <w:r w:rsidR="00130D30">
              <w:rPr>
                <w:rFonts w:asciiTheme="minorHAnsi" w:hAnsiTheme="minorHAnsi" w:cstheme="minorHAnsi"/>
                <w:sz w:val="18"/>
                <w:szCs w:val="18"/>
              </w:rPr>
              <w:noBreakHyphen/>
            </w:r>
            <w:r w:rsidRPr="00615136">
              <w:rPr>
                <w:rFonts w:asciiTheme="minorHAnsi" w:hAnsiTheme="minorHAnsi" w:cstheme="minorHAnsi"/>
                <w:sz w:val="18"/>
                <w:szCs w:val="18"/>
              </w:rPr>
              <w:t xml:space="preserve">effective at the price proposed in the submission given optimistic assumptions included in the economic model. The PBAC considered the financial estimates provided in the submission were substantially overestimated. </w:t>
            </w:r>
          </w:p>
          <w:p w14:paraId="2DD4F942" w14:textId="77777777" w:rsidR="001772F0" w:rsidRDefault="001772F0" w:rsidP="00615136">
            <w:pPr>
              <w:jc w:val="both"/>
              <w:rPr>
                <w:rFonts w:asciiTheme="minorHAnsi" w:hAnsiTheme="minorHAnsi" w:cstheme="minorHAnsi"/>
                <w:sz w:val="18"/>
                <w:szCs w:val="18"/>
              </w:rPr>
            </w:pPr>
          </w:p>
          <w:p w14:paraId="76625591" w14:textId="296C8E6B" w:rsidR="009A5A31" w:rsidRPr="00615136" w:rsidRDefault="009A5A31" w:rsidP="00615136">
            <w:pPr>
              <w:jc w:val="both"/>
              <w:rPr>
                <w:rFonts w:asciiTheme="minorHAnsi" w:hAnsiTheme="minorHAnsi" w:cstheme="minorHAnsi"/>
                <w:sz w:val="18"/>
                <w:szCs w:val="18"/>
              </w:rPr>
            </w:pPr>
            <w:r w:rsidRPr="00615136">
              <w:rPr>
                <w:rFonts w:asciiTheme="minorHAnsi" w:hAnsiTheme="minorHAnsi" w:cstheme="minorHAnsi"/>
                <w:sz w:val="18"/>
                <w:szCs w:val="18"/>
              </w:rPr>
              <w:t xml:space="preserve">The PBAC </w:t>
            </w:r>
            <w:r>
              <w:rPr>
                <w:rFonts w:asciiTheme="minorHAnsi" w:hAnsiTheme="minorHAnsi" w:cstheme="minorHAnsi"/>
                <w:sz w:val="18"/>
                <w:szCs w:val="18"/>
              </w:rPr>
              <w:t>nominated</w:t>
            </w:r>
            <w:r w:rsidRPr="00615136">
              <w:rPr>
                <w:rFonts w:asciiTheme="minorHAnsi" w:hAnsiTheme="minorHAnsi" w:cstheme="minorHAnsi"/>
                <w:sz w:val="18"/>
                <w:szCs w:val="18"/>
              </w:rPr>
              <w:t xml:space="preserve"> the </w:t>
            </w:r>
            <w:r w:rsidR="001772F0">
              <w:rPr>
                <w:rFonts w:asciiTheme="minorHAnsi" w:hAnsiTheme="minorHAnsi" w:cstheme="minorHAnsi"/>
                <w:sz w:val="18"/>
                <w:szCs w:val="18"/>
              </w:rPr>
              <w:t>E</w:t>
            </w:r>
            <w:r w:rsidRPr="00615136">
              <w:rPr>
                <w:rFonts w:asciiTheme="minorHAnsi" w:hAnsiTheme="minorHAnsi" w:cstheme="minorHAnsi"/>
                <w:sz w:val="18"/>
                <w:szCs w:val="18"/>
              </w:rPr>
              <w:t xml:space="preserve">arly </w:t>
            </w:r>
            <w:r w:rsidR="001772F0">
              <w:rPr>
                <w:rFonts w:asciiTheme="minorHAnsi" w:hAnsiTheme="minorHAnsi" w:cstheme="minorHAnsi"/>
                <w:sz w:val="18"/>
                <w:szCs w:val="18"/>
              </w:rPr>
              <w:t>R</w:t>
            </w:r>
            <w:r w:rsidRPr="00615136">
              <w:rPr>
                <w:rFonts w:asciiTheme="minorHAnsi" w:hAnsiTheme="minorHAnsi" w:cstheme="minorHAnsi"/>
                <w:sz w:val="18"/>
                <w:szCs w:val="18"/>
              </w:rPr>
              <w:t>e-entry</w:t>
            </w:r>
            <w:r>
              <w:rPr>
                <w:rFonts w:asciiTheme="minorHAnsi" w:hAnsiTheme="minorHAnsi" w:cstheme="minorHAnsi"/>
                <w:sz w:val="18"/>
                <w:szCs w:val="18"/>
              </w:rPr>
              <w:t xml:space="preserve"> resubmission</w:t>
            </w:r>
            <w:r w:rsidRPr="00615136">
              <w:rPr>
                <w:rFonts w:asciiTheme="minorHAnsi" w:hAnsiTheme="minorHAnsi" w:cstheme="minorHAnsi"/>
                <w:sz w:val="18"/>
                <w:szCs w:val="18"/>
              </w:rPr>
              <w:t xml:space="preserve"> pathway</w:t>
            </w:r>
            <w:r w:rsidR="001772F0">
              <w:rPr>
                <w:rFonts w:asciiTheme="minorHAnsi" w:hAnsiTheme="minorHAnsi" w:cstheme="minorHAnsi"/>
                <w:sz w:val="18"/>
                <w:szCs w:val="18"/>
              </w:rPr>
              <w:t xml:space="preserve"> for this item</w:t>
            </w:r>
            <w:r w:rsidRPr="00615136">
              <w:rPr>
                <w:rFonts w:asciiTheme="minorHAnsi" w:hAnsiTheme="minorHAnsi" w:cstheme="minorHAnsi"/>
                <w:sz w:val="18"/>
                <w:szCs w:val="18"/>
              </w:rPr>
              <w:t>.</w:t>
            </w:r>
          </w:p>
          <w:p w14:paraId="24F27D9C" w14:textId="77777777" w:rsidR="009A5A31" w:rsidRPr="00134057" w:rsidRDefault="009A5A31" w:rsidP="009A5A31">
            <w:pPr>
              <w:rPr>
                <w:rFonts w:asciiTheme="minorHAnsi" w:hAnsiTheme="minorHAnsi" w:cstheme="minorHAnsi"/>
                <w:color w:val="000000"/>
                <w:sz w:val="18"/>
                <w:szCs w:val="18"/>
              </w:rPr>
            </w:pPr>
          </w:p>
          <w:p w14:paraId="05C9A085" w14:textId="77777777" w:rsidR="009A5A31" w:rsidRDefault="009A5A31" w:rsidP="009A5A31">
            <w:pPr>
              <w:rPr>
                <w:rFonts w:asciiTheme="minorHAnsi" w:hAnsiTheme="minorHAnsi" w:cstheme="minorHAnsi"/>
                <w:color w:val="000000"/>
                <w:sz w:val="18"/>
                <w:szCs w:val="18"/>
              </w:rPr>
            </w:pPr>
            <w:r w:rsidRPr="000110D5">
              <w:rPr>
                <w:rFonts w:asciiTheme="minorHAnsi" w:hAnsiTheme="minorHAnsi" w:cstheme="minorHAnsi"/>
                <w:color w:val="000000"/>
                <w:sz w:val="18"/>
                <w:szCs w:val="18"/>
                <w:u w:val="single"/>
              </w:rPr>
              <w:t>Sponsor’s Comment:</w:t>
            </w:r>
          </w:p>
          <w:p w14:paraId="525A433C" w14:textId="5FFF36A0" w:rsidR="009A5A31" w:rsidRPr="008059F4" w:rsidRDefault="00A631ED" w:rsidP="009A5A31">
            <w:pPr>
              <w:rPr>
                <w:rFonts w:asciiTheme="minorHAnsi" w:hAnsiTheme="minorHAnsi" w:cstheme="minorHAnsi"/>
                <w:color w:val="000000"/>
                <w:sz w:val="18"/>
                <w:szCs w:val="18"/>
              </w:rPr>
            </w:pPr>
            <w:r w:rsidRPr="008B5F66">
              <w:rPr>
                <w:rFonts w:asciiTheme="minorHAnsi" w:hAnsiTheme="minorHAnsi" w:cstheme="minorHAnsi"/>
                <w:color w:val="000000"/>
                <w:sz w:val="18"/>
                <w:szCs w:val="18"/>
              </w:rPr>
              <w:t>The sponsor had no comment.</w:t>
            </w:r>
          </w:p>
        </w:tc>
      </w:tr>
      <w:tr w:rsidR="009A5A31" w:rsidRPr="008059F4" w14:paraId="0615811D" w14:textId="77777777" w:rsidTr="003774E1">
        <w:trPr>
          <w:trHeight w:val="2948"/>
          <w:jc w:val="center"/>
        </w:trPr>
        <w:tc>
          <w:tcPr>
            <w:tcW w:w="3013" w:type="dxa"/>
            <w:shd w:val="clear" w:color="auto" w:fill="auto"/>
            <w:tcMar>
              <w:top w:w="28" w:type="dxa"/>
              <w:bottom w:w="28" w:type="dxa"/>
            </w:tcMar>
            <w:vAlign w:val="center"/>
          </w:tcPr>
          <w:p w14:paraId="0BCCB792" w14:textId="77777777" w:rsidR="009A5A31" w:rsidRDefault="009A5A31" w:rsidP="009A5A31">
            <w:pPr>
              <w:keepLines/>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lastRenderedPageBreak/>
              <w:t>VARICELLA ZOSTER VIRUS RECOMBINANT VACCINE</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Injection 1 vial &amp; adjuvant substance diluent 0.5</w:t>
            </w:r>
            <w:r>
              <w:rPr>
                <w:rFonts w:asciiTheme="minorHAnsi" w:hAnsiTheme="minorHAnsi" w:cstheme="minorHAnsi"/>
                <w:color w:val="000000"/>
                <w:sz w:val="18"/>
                <w:szCs w:val="18"/>
              </w:rPr>
              <w:t> mL</w:t>
            </w:r>
            <w:r w:rsidRPr="008059F4">
              <w:rPr>
                <w:rFonts w:asciiTheme="minorHAnsi" w:hAnsiTheme="minorHAnsi" w:cstheme="minorHAnsi"/>
                <w:color w:val="000000"/>
                <w:sz w:val="18"/>
                <w:szCs w:val="18"/>
              </w:rPr>
              <w:t xml:space="preserve"> vial</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Shingrix®</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GLAXOSMITHKLINE AUSTRALIA PTY LTD</w:t>
            </w:r>
            <w:r w:rsidRPr="008059F4">
              <w:rPr>
                <w:rFonts w:asciiTheme="minorHAnsi" w:hAnsiTheme="minorHAnsi" w:cstheme="minorHAnsi"/>
                <w:color w:val="000000"/>
                <w:sz w:val="18"/>
                <w:szCs w:val="18"/>
              </w:rPr>
              <w:br/>
            </w:r>
            <w:r w:rsidRPr="008059F4">
              <w:rPr>
                <w:rFonts w:asciiTheme="minorHAnsi" w:hAnsiTheme="minorHAnsi" w:cstheme="minorHAnsi"/>
                <w:color w:val="000000"/>
                <w:sz w:val="18"/>
                <w:szCs w:val="18"/>
              </w:rPr>
              <w:br/>
              <w:t>Matters Outstanding</w:t>
            </w:r>
          </w:p>
          <w:p w14:paraId="3930A53F" w14:textId="5B523BBC" w:rsidR="009A5A31" w:rsidRPr="008059F4" w:rsidRDefault="009A5A31" w:rsidP="009A5A3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(New listing)</w:t>
            </w:r>
          </w:p>
        </w:tc>
        <w:tc>
          <w:tcPr>
            <w:tcW w:w="2764" w:type="dxa"/>
            <w:shd w:val="clear" w:color="auto" w:fill="auto"/>
            <w:vAlign w:val="center"/>
          </w:tcPr>
          <w:p w14:paraId="1A402B65" w14:textId="7697CD48" w:rsidR="009A5A31" w:rsidRPr="008059F4" w:rsidRDefault="009A5A31" w:rsidP="009A5A31">
            <w:pPr>
              <w:keepLines/>
              <w:widowControl w:val="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Herpes zoster virus</w:t>
            </w:r>
          </w:p>
        </w:tc>
        <w:tc>
          <w:tcPr>
            <w:tcW w:w="2978" w:type="dxa"/>
            <w:shd w:val="clear" w:color="auto" w:fill="auto"/>
            <w:tcMar>
              <w:top w:w="28" w:type="dxa"/>
              <w:bottom w:w="28" w:type="dxa"/>
            </w:tcMar>
            <w:vAlign w:val="center"/>
          </w:tcPr>
          <w:p w14:paraId="2ACD7C70" w14:textId="38AB29CF" w:rsidR="009A5A31" w:rsidRPr="008059F4" w:rsidRDefault="009A5A31" w:rsidP="009A5A31">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To request consideration of the population that was deferred at the March 2023 PBAC meeting: broader population of immunocompromised individuals aged ≥ 18 years at increased risk of herpes zoster.</w:t>
            </w:r>
          </w:p>
        </w:tc>
        <w:tc>
          <w:tcPr>
            <w:tcW w:w="1800" w:type="dxa"/>
            <w:shd w:val="clear" w:color="auto" w:fill="auto"/>
            <w:vAlign w:val="center"/>
          </w:tcPr>
          <w:p w14:paraId="282B97C0" w14:textId="196FBE59" w:rsidR="009A5A31" w:rsidRPr="008059F4" w:rsidRDefault="009A5A31" w:rsidP="009A5A31">
            <w:pPr>
              <w:pStyle w:val="ListParagraph"/>
              <w:keepLines/>
              <w:ind w:left="0"/>
              <w:jc w:val="center"/>
              <w:rPr>
                <w:rFonts w:asciiTheme="minorHAnsi" w:hAnsiTheme="minorHAnsi" w:cstheme="minorHAnsi"/>
                <w:color w:val="000000"/>
                <w:sz w:val="18"/>
                <w:szCs w:val="18"/>
              </w:rPr>
            </w:pPr>
            <w:r w:rsidRPr="008059F4">
              <w:rPr>
                <w:rFonts w:asciiTheme="minorHAnsi" w:hAnsiTheme="minorHAnsi" w:cstheme="minorHAnsi"/>
                <w:color w:val="000000"/>
                <w:sz w:val="18"/>
                <w:szCs w:val="18"/>
              </w:rPr>
              <w:t>Recommended</w:t>
            </w:r>
          </w:p>
        </w:tc>
        <w:tc>
          <w:tcPr>
            <w:tcW w:w="4833" w:type="dxa"/>
            <w:shd w:val="clear" w:color="auto" w:fill="auto"/>
            <w:vAlign w:val="center"/>
          </w:tcPr>
          <w:p w14:paraId="766F3210" w14:textId="1C5B7EE1" w:rsidR="009A5A31" w:rsidRDefault="009A5A31" w:rsidP="009A5A31">
            <w:pPr>
              <w:jc w:val="both"/>
              <w:rPr>
                <w:rFonts w:asciiTheme="minorHAnsi" w:hAnsiTheme="minorHAnsi" w:cstheme="minorHAnsi"/>
                <w:sz w:val="18"/>
                <w:szCs w:val="18"/>
              </w:rPr>
            </w:pPr>
            <w:r w:rsidRPr="00636A48">
              <w:rPr>
                <w:rFonts w:asciiTheme="minorHAnsi" w:hAnsiTheme="minorHAnsi" w:cstheme="minorHAnsi"/>
                <w:sz w:val="18"/>
                <w:szCs w:val="18"/>
              </w:rPr>
              <w:t xml:space="preserve">The PBAC recommended that varicella zoster virus recombinant vaccine (RZV) be a designated vaccine for the purposes of the </w:t>
            </w:r>
            <w:r w:rsidRPr="009B3BC3">
              <w:rPr>
                <w:rFonts w:asciiTheme="minorHAnsi" w:hAnsiTheme="minorHAnsi" w:cstheme="minorHAnsi"/>
                <w:i/>
                <w:iCs/>
                <w:sz w:val="18"/>
                <w:szCs w:val="18"/>
              </w:rPr>
              <w:t>National Health Act 1953</w:t>
            </w:r>
            <w:r w:rsidRPr="00636A48">
              <w:rPr>
                <w:rFonts w:asciiTheme="minorHAnsi" w:hAnsiTheme="minorHAnsi" w:cstheme="minorHAnsi"/>
                <w:sz w:val="18"/>
                <w:szCs w:val="18"/>
              </w:rPr>
              <w:t>, for the prevention of herpes zoster and post-herpetic neuralgia for individuals aged 18 years to 64</w:t>
            </w:r>
            <w:r w:rsidR="00005B5B">
              <w:rPr>
                <w:rFonts w:asciiTheme="minorHAnsi" w:hAnsiTheme="minorHAnsi" w:cstheme="minorHAnsi"/>
                <w:sz w:val="18"/>
                <w:szCs w:val="18"/>
              </w:rPr>
              <w:t> </w:t>
            </w:r>
            <w:r w:rsidRPr="00636A48">
              <w:rPr>
                <w:rFonts w:asciiTheme="minorHAnsi" w:hAnsiTheme="minorHAnsi" w:cstheme="minorHAnsi"/>
                <w:sz w:val="18"/>
                <w:szCs w:val="18"/>
              </w:rPr>
              <w:t>years at a moderate to high risk of infection, as defined by the Australian Technical Advisory Group on Immunisation (ATAGI). The PBAC noted RZV is currently funded on the N</w:t>
            </w:r>
            <w:r>
              <w:rPr>
                <w:rFonts w:asciiTheme="minorHAnsi" w:hAnsiTheme="minorHAnsi" w:cstheme="minorHAnsi"/>
                <w:sz w:val="18"/>
                <w:szCs w:val="18"/>
              </w:rPr>
              <w:t xml:space="preserve">ational </w:t>
            </w:r>
            <w:r w:rsidRPr="00636A48">
              <w:rPr>
                <w:rFonts w:asciiTheme="minorHAnsi" w:hAnsiTheme="minorHAnsi" w:cstheme="minorHAnsi"/>
                <w:sz w:val="18"/>
                <w:szCs w:val="18"/>
              </w:rPr>
              <w:t>I</w:t>
            </w:r>
            <w:r>
              <w:rPr>
                <w:rFonts w:asciiTheme="minorHAnsi" w:hAnsiTheme="minorHAnsi" w:cstheme="minorHAnsi"/>
                <w:sz w:val="18"/>
                <w:szCs w:val="18"/>
              </w:rPr>
              <w:t xml:space="preserve">mmunisation </w:t>
            </w:r>
            <w:r w:rsidRPr="00636A48">
              <w:rPr>
                <w:rFonts w:asciiTheme="minorHAnsi" w:hAnsiTheme="minorHAnsi" w:cstheme="minorHAnsi"/>
                <w:sz w:val="18"/>
                <w:szCs w:val="18"/>
              </w:rPr>
              <w:t>P</w:t>
            </w:r>
            <w:r>
              <w:rPr>
                <w:rFonts w:asciiTheme="minorHAnsi" w:hAnsiTheme="minorHAnsi" w:cstheme="minorHAnsi"/>
                <w:sz w:val="18"/>
                <w:szCs w:val="18"/>
              </w:rPr>
              <w:t>rogram</w:t>
            </w:r>
            <w:r w:rsidRPr="00636A48">
              <w:rPr>
                <w:rFonts w:asciiTheme="minorHAnsi" w:hAnsiTheme="minorHAnsi" w:cstheme="minorHAnsi"/>
                <w:sz w:val="18"/>
                <w:szCs w:val="18"/>
              </w:rPr>
              <w:t xml:space="preserve"> for all individuals aged over 65</w:t>
            </w:r>
            <w:r w:rsidR="00005B5B">
              <w:rPr>
                <w:rFonts w:asciiTheme="minorHAnsi" w:hAnsiTheme="minorHAnsi" w:cstheme="minorHAnsi"/>
                <w:sz w:val="18"/>
                <w:szCs w:val="18"/>
              </w:rPr>
              <w:t> </w:t>
            </w:r>
            <w:r w:rsidRPr="00636A48">
              <w:rPr>
                <w:rFonts w:asciiTheme="minorHAnsi" w:hAnsiTheme="minorHAnsi" w:cstheme="minorHAnsi"/>
                <w:sz w:val="18"/>
                <w:szCs w:val="18"/>
              </w:rPr>
              <w:t>years and Aboriginal and Torres Strait Islander individuals aged over 50 years.</w:t>
            </w:r>
          </w:p>
          <w:p w14:paraId="422C6BC2" w14:textId="6C5C589F" w:rsidR="009A5A31" w:rsidRPr="00636A48" w:rsidRDefault="009A5A31" w:rsidP="009A5A31">
            <w:pPr>
              <w:jc w:val="both"/>
              <w:rPr>
                <w:rFonts w:asciiTheme="minorHAnsi" w:hAnsiTheme="minorHAnsi" w:cstheme="minorHAnsi"/>
                <w:sz w:val="18"/>
                <w:szCs w:val="18"/>
              </w:rPr>
            </w:pPr>
          </w:p>
          <w:p w14:paraId="3D2ECB51" w14:textId="755CBD2D" w:rsidR="009A5A31" w:rsidRPr="00636A48" w:rsidRDefault="009A5A31" w:rsidP="009A5A31">
            <w:pPr>
              <w:jc w:val="both"/>
              <w:rPr>
                <w:rFonts w:asciiTheme="minorHAnsi" w:hAnsiTheme="minorHAnsi" w:cstheme="minorHAnsi"/>
                <w:sz w:val="18"/>
                <w:szCs w:val="18"/>
              </w:rPr>
            </w:pPr>
            <w:r w:rsidRPr="00636A48">
              <w:rPr>
                <w:rFonts w:asciiTheme="minorHAnsi" w:hAnsiTheme="minorHAnsi" w:cstheme="minorHAnsi"/>
                <w:sz w:val="18"/>
                <w:szCs w:val="18"/>
              </w:rPr>
              <w:t>The PBAC considered that RZV was likely to be cost</w:t>
            </w:r>
            <w:r>
              <w:rPr>
                <w:rFonts w:asciiTheme="minorHAnsi" w:hAnsiTheme="minorHAnsi" w:cstheme="minorHAnsi"/>
                <w:sz w:val="18"/>
                <w:szCs w:val="18"/>
              </w:rPr>
              <w:t>-</w:t>
            </w:r>
            <w:r w:rsidRPr="00636A48">
              <w:rPr>
                <w:rFonts w:asciiTheme="minorHAnsi" w:hAnsiTheme="minorHAnsi" w:cstheme="minorHAnsi"/>
                <w:sz w:val="18"/>
                <w:szCs w:val="18"/>
              </w:rPr>
              <w:t xml:space="preserve">effective at the requested cost per dose in the moderate and high risk populations aged 18 years to 64 years. </w:t>
            </w:r>
          </w:p>
          <w:p w14:paraId="473AB419" w14:textId="3D2E3AB5" w:rsidR="009A5A31" w:rsidRPr="00636A48" w:rsidRDefault="009A5A31" w:rsidP="009A5A31">
            <w:pPr>
              <w:jc w:val="both"/>
              <w:rPr>
                <w:rFonts w:asciiTheme="minorHAnsi" w:hAnsiTheme="minorHAnsi" w:cstheme="minorHAnsi"/>
                <w:sz w:val="18"/>
                <w:szCs w:val="18"/>
              </w:rPr>
            </w:pPr>
          </w:p>
          <w:p w14:paraId="321BFC79" w14:textId="77777777" w:rsidR="009A5A31" w:rsidRPr="00636A48" w:rsidRDefault="009A5A31" w:rsidP="009A5A31">
            <w:pPr>
              <w:jc w:val="both"/>
              <w:rPr>
                <w:rFonts w:asciiTheme="minorHAnsi" w:hAnsiTheme="minorHAnsi" w:cstheme="minorHAnsi"/>
                <w:sz w:val="18"/>
                <w:szCs w:val="18"/>
              </w:rPr>
            </w:pPr>
            <w:r w:rsidRPr="00636A48">
              <w:rPr>
                <w:rFonts w:asciiTheme="minorHAnsi" w:hAnsiTheme="minorHAnsi" w:cstheme="minorHAnsi"/>
                <w:sz w:val="18"/>
                <w:szCs w:val="18"/>
              </w:rPr>
              <w:t xml:space="preserve">Individuals at a moderate to high risk of infection (as defined by ATAGI) include: </w:t>
            </w:r>
          </w:p>
          <w:p w14:paraId="76B17C2E" w14:textId="318EFD35" w:rsidR="009A5A31" w:rsidRPr="00476822" w:rsidRDefault="009A5A31" w:rsidP="003A0C9D">
            <w:pPr>
              <w:pStyle w:val="ListParagraph"/>
              <w:numPr>
                <w:ilvl w:val="0"/>
                <w:numId w:val="11"/>
              </w:numPr>
              <w:ind w:left="293" w:hanging="286"/>
              <w:jc w:val="both"/>
              <w:rPr>
                <w:rFonts w:asciiTheme="minorHAnsi" w:hAnsiTheme="minorHAnsi" w:cstheme="minorHAnsi"/>
                <w:color w:val="000000"/>
                <w:sz w:val="18"/>
                <w:szCs w:val="18"/>
              </w:rPr>
            </w:pPr>
            <w:r w:rsidRPr="00476822">
              <w:rPr>
                <w:rFonts w:asciiTheme="minorHAnsi" w:hAnsiTheme="minorHAnsi" w:cstheme="minorHAnsi"/>
                <w:color w:val="000000"/>
                <w:sz w:val="18"/>
                <w:szCs w:val="18"/>
              </w:rPr>
              <w:t>Those with acute or chronic haematological malignancies, HIV infection (with CD4+ cell count &lt; 200/ µL), some inborn errors of immunity (including x</w:t>
            </w:r>
            <w:r w:rsidR="00277AA7">
              <w:rPr>
                <w:rFonts w:asciiTheme="minorHAnsi" w:hAnsiTheme="minorHAnsi" w:cstheme="minorHAnsi"/>
                <w:color w:val="000000"/>
                <w:sz w:val="18"/>
                <w:szCs w:val="18"/>
              </w:rPr>
              <w:noBreakHyphen/>
            </w:r>
            <w:r w:rsidRPr="00476822">
              <w:rPr>
                <w:rFonts w:asciiTheme="minorHAnsi" w:hAnsiTheme="minorHAnsi" w:cstheme="minorHAnsi"/>
                <w:color w:val="000000"/>
                <w:sz w:val="18"/>
                <w:szCs w:val="18"/>
              </w:rPr>
              <w:t>linked agammaglobulinemia, severe combined immunodeficiency, chronic granulomatous disease) and Stage 5 kidney disease or on dialysis.</w:t>
            </w:r>
          </w:p>
          <w:p w14:paraId="2B696A08" w14:textId="454A2A08" w:rsidR="009A5A31" w:rsidRPr="0018238C" w:rsidRDefault="009A5A31" w:rsidP="003A0C9D">
            <w:pPr>
              <w:pStyle w:val="ListParagraph"/>
              <w:numPr>
                <w:ilvl w:val="0"/>
                <w:numId w:val="11"/>
              </w:numPr>
              <w:ind w:left="293" w:hanging="286"/>
              <w:jc w:val="both"/>
              <w:rPr>
                <w:rFonts w:asciiTheme="minorHAnsi" w:hAnsiTheme="minorHAnsi" w:cstheme="minorHAnsi"/>
                <w:color w:val="000000"/>
                <w:sz w:val="18"/>
                <w:szCs w:val="18"/>
              </w:rPr>
            </w:pPr>
            <w:r w:rsidRPr="00476822">
              <w:rPr>
                <w:rFonts w:asciiTheme="minorHAnsi" w:hAnsiTheme="minorHAnsi" w:cstheme="minorHAnsi"/>
                <w:color w:val="000000"/>
                <w:sz w:val="18"/>
                <w:szCs w:val="18"/>
              </w:rPr>
              <w:t>Those receiving treatment with: cellular therapies, B and T-cell targeted monoclonal antibody therapies, conventional chemotherapy for haematological cancers or solid organ tumours, immunosuppressive therapy to prevent organ rejection, some conventional immunosuppressive agents (including high dose methotrexate, mercaptopurine, azathioprine, mycophenolate, calcineurin inhibitors, mTOR inhibitors, cladribine), some biologic therapies (including TNF-α inhibitors, abatacept, dupilumab, mepolizumab, tocilizumab), immunomodulatory drugs (including sphingosine-1-phosphate inhibitors) and some oral small molecule targeted therapies (including JAK inhibitors, BTK inhibitors, BCR-ABL inhibitors).</w:t>
            </w:r>
          </w:p>
        </w:tc>
      </w:tr>
    </w:tbl>
    <w:p w14:paraId="6CF6B033" w14:textId="1CFCDB80" w:rsidR="009B3BC3" w:rsidRDefault="009B3BC3" w:rsidP="00BB57B7">
      <w:pPr>
        <w:rPr>
          <w:rFonts w:asciiTheme="minorHAnsi" w:hAnsiTheme="minorHAnsi" w:cstheme="minorHAnsi"/>
          <w:b/>
          <w:sz w:val="18"/>
          <w:szCs w:val="18"/>
          <w:lang w:val="en-US"/>
        </w:rPr>
      </w:pPr>
    </w:p>
    <w:p w14:paraId="2B7D8C7A" w14:textId="77777777" w:rsidR="009B3BC3" w:rsidRDefault="009B3BC3">
      <w:pPr>
        <w:rPr>
          <w:rFonts w:asciiTheme="minorHAnsi" w:hAnsiTheme="minorHAnsi" w:cstheme="minorHAnsi"/>
          <w:b/>
          <w:sz w:val="18"/>
          <w:szCs w:val="18"/>
          <w:lang w:val="en-US"/>
        </w:rPr>
      </w:pPr>
      <w:r>
        <w:rPr>
          <w:rFonts w:asciiTheme="minorHAnsi" w:hAnsiTheme="minorHAnsi" w:cstheme="minorHAnsi"/>
          <w:b/>
          <w:sz w:val="18"/>
          <w:szCs w:val="18"/>
          <w:lang w:val="en-US"/>
        </w:rPr>
        <w:br w:type="page"/>
      </w:r>
    </w:p>
    <w:p w14:paraId="5AC39A21" w14:textId="77777777" w:rsidR="00E6019E" w:rsidRDefault="00E6019E" w:rsidP="00BB57B7">
      <w:pPr>
        <w:rPr>
          <w:rFonts w:asciiTheme="minorHAnsi" w:hAnsiTheme="minorHAnsi" w:cstheme="minorHAnsi"/>
          <w:b/>
          <w:sz w:val="18"/>
          <w:szCs w:val="18"/>
          <w:lang w:val="en-US"/>
        </w:rPr>
      </w:pPr>
    </w:p>
    <w:tbl>
      <w:tblPr>
        <w:tblW w:w="5002" w:type="pct"/>
        <w:tblLayout w:type="fixed"/>
        <w:tblLook w:val="04A0" w:firstRow="1" w:lastRow="0" w:firstColumn="1" w:lastColumn="0" w:noHBand="0" w:noVBand="1"/>
      </w:tblPr>
      <w:tblGrid>
        <w:gridCol w:w="3824"/>
        <w:gridCol w:w="3827"/>
        <w:gridCol w:w="3685"/>
        <w:gridCol w:w="4058"/>
      </w:tblGrid>
      <w:tr w:rsidR="00155809" w:rsidRPr="00D232DC" w14:paraId="5471EC42" w14:textId="77777777" w:rsidTr="00A159CA">
        <w:trPr>
          <w:cantSplit/>
          <w:trHeight w:val="699"/>
          <w:tblHeader/>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04F48" w14:textId="6C24D4BD" w:rsidR="00155809" w:rsidRPr="00D232DC" w:rsidRDefault="00FB3935" w:rsidP="00BB57B7">
            <w:pPr>
              <w:widowControl w:val="0"/>
              <w:jc w:val="center"/>
              <w:rPr>
                <w:rFonts w:asciiTheme="minorHAnsi" w:hAnsiTheme="minorHAnsi" w:cstheme="minorHAnsi"/>
                <w:b/>
                <w:bCs/>
                <w:snapToGrid w:val="0"/>
                <w:color w:val="000000"/>
                <w:sz w:val="18"/>
                <w:szCs w:val="18"/>
              </w:rPr>
            </w:pPr>
            <w:r w:rsidRPr="00D232DC">
              <w:rPr>
                <w:rFonts w:asciiTheme="minorHAnsi" w:hAnsiTheme="minorHAnsi" w:cstheme="minorHAnsi"/>
                <w:b/>
                <w:bCs/>
                <w:snapToGrid w:val="0"/>
                <w:color w:val="000000"/>
                <w:sz w:val="18"/>
                <w:szCs w:val="18"/>
              </w:rPr>
              <w:t>DRUG NAME, FORM(S), STRENGTH(S) AND SPONSOR</w:t>
            </w:r>
          </w:p>
        </w:tc>
        <w:tc>
          <w:tcPr>
            <w:tcW w:w="1243" w:type="pct"/>
            <w:tcBorders>
              <w:top w:val="single" w:sz="4" w:space="0" w:color="auto"/>
              <w:left w:val="nil"/>
              <w:bottom w:val="single" w:sz="4" w:space="0" w:color="auto"/>
              <w:right w:val="single" w:sz="4" w:space="0" w:color="auto"/>
            </w:tcBorders>
            <w:shd w:val="clear" w:color="auto" w:fill="auto"/>
            <w:vAlign w:val="center"/>
            <w:hideMark/>
          </w:tcPr>
          <w:p w14:paraId="278E5918" w14:textId="60B70EDC" w:rsidR="00155809" w:rsidRPr="00D232DC" w:rsidRDefault="00FB3935" w:rsidP="00BB57B7">
            <w:pPr>
              <w:widowControl w:val="0"/>
              <w:jc w:val="center"/>
              <w:rPr>
                <w:rFonts w:asciiTheme="minorHAnsi" w:hAnsiTheme="minorHAnsi" w:cstheme="minorHAnsi"/>
                <w:b/>
                <w:bCs/>
                <w:snapToGrid w:val="0"/>
                <w:color w:val="000000"/>
                <w:sz w:val="18"/>
                <w:szCs w:val="18"/>
              </w:rPr>
            </w:pPr>
            <w:r w:rsidRPr="00D232DC">
              <w:rPr>
                <w:rFonts w:asciiTheme="minorHAnsi" w:hAnsiTheme="minorHAnsi" w:cstheme="minorHAnsi"/>
                <w:b/>
                <w:bCs/>
                <w:snapToGrid w:val="0"/>
                <w:color w:val="000000"/>
                <w:sz w:val="18"/>
                <w:szCs w:val="18"/>
              </w:rPr>
              <w:t>DRUG TYPE AND USE</w:t>
            </w:r>
          </w:p>
        </w:tc>
        <w:tc>
          <w:tcPr>
            <w:tcW w:w="1197" w:type="pct"/>
            <w:tcBorders>
              <w:top w:val="single" w:sz="4" w:space="0" w:color="auto"/>
              <w:left w:val="nil"/>
              <w:bottom w:val="single" w:sz="4" w:space="0" w:color="auto"/>
              <w:right w:val="single" w:sz="4" w:space="0" w:color="auto"/>
            </w:tcBorders>
            <w:shd w:val="clear" w:color="auto" w:fill="auto"/>
            <w:vAlign w:val="center"/>
            <w:hideMark/>
          </w:tcPr>
          <w:p w14:paraId="1AFCC2B1" w14:textId="5326647F" w:rsidR="00155809" w:rsidRPr="00D232DC" w:rsidRDefault="00FB3935" w:rsidP="00BB57B7">
            <w:pPr>
              <w:widowControl w:val="0"/>
              <w:jc w:val="center"/>
              <w:rPr>
                <w:rFonts w:asciiTheme="minorHAnsi" w:hAnsiTheme="minorHAnsi" w:cstheme="minorHAnsi"/>
                <w:b/>
                <w:bCs/>
                <w:snapToGrid w:val="0"/>
                <w:color w:val="000000"/>
                <w:sz w:val="18"/>
                <w:szCs w:val="18"/>
              </w:rPr>
            </w:pPr>
            <w:r w:rsidRPr="00D232DC">
              <w:rPr>
                <w:rFonts w:asciiTheme="minorHAnsi" w:hAnsiTheme="minorHAnsi" w:cstheme="minorHAnsi"/>
                <w:b/>
                <w:bCs/>
                <w:snapToGrid w:val="0"/>
                <w:color w:val="000000"/>
                <w:sz w:val="18"/>
                <w:szCs w:val="18"/>
              </w:rPr>
              <w:t>LISTING REQUESTED BY SPONSOR / PURPOSE OF SUBMISSION</w:t>
            </w:r>
          </w:p>
        </w:tc>
        <w:tc>
          <w:tcPr>
            <w:tcW w:w="1318" w:type="pct"/>
            <w:tcBorders>
              <w:top w:val="single" w:sz="4" w:space="0" w:color="auto"/>
              <w:left w:val="nil"/>
              <w:bottom w:val="single" w:sz="4" w:space="0" w:color="auto"/>
              <w:right w:val="single" w:sz="4" w:space="0" w:color="auto"/>
            </w:tcBorders>
            <w:vAlign w:val="center"/>
          </w:tcPr>
          <w:p w14:paraId="6DC5B306" w14:textId="22A89F99" w:rsidR="00155809" w:rsidRPr="00D232DC" w:rsidRDefault="00FB3935" w:rsidP="00BB57B7">
            <w:pPr>
              <w:widowControl w:val="0"/>
              <w:jc w:val="center"/>
              <w:rPr>
                <w:rFonts w:asciiTheme="minorHAnsi" w:hAnsiTheme="minorHAnsi" w:cstheme="minorHAnsi"/>
                <w:b/>
                <w:bCs/>
                <w:snapToGrid w:val="0"/>
                <w:color w:val="000000"/>
                <w:sz w:val="18"/>
                <w:szCs w:val="18"/>
              </w:rPr>
            </w:pPr>
            <w:r w:rsidRPr="00D232DC">
              <w:rPr>
                <w:rFonts w:asciiTheme="minorHAnsi" w:hAnsiTheme="minorHAnsi" w:cstheme="minorHAnsi"/>
                <w:b/>
                <w:bCs/>
                <w:snapToGrid w:val="0"/>
                <w:color w:val="000000"/>
                <w:sz w:val="18"/>
                <w:szCs w:val="18"/>
              </w:rPr>
              <w:t>PBAC OUTCOME</w:t>
            </w:r>
          </w:p>
        </w:tc>
      </w:tr>
      <w:tr w:rsidR="00B25328" w:rsidRPr="00D232DC" w14:paraId="36138A4B" w14:textId="77777777" w:rsidTr="00D5001E">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6001846B" w14:textId="47B45592" w:rsidR="00B25328" w:rsidRDefault="00B25328" w:rsidP="00BB57B7">
            <w:pPr>
              <w:jc w:val="center"/>
              <w:rPr>
                <w:rFonts w:asciiTheme="minorHAnsi" w:hAnsiTheme="minorHAnsi" w:cstheme="minorHAnsi"/>
                <w:sz w:val="18"/>
                <w:szCs w:val="18"/>
              </w:rPr>
            </w:pPr>
            <w:r w:rsidRPr="00D232DC">
              <w:rPr>
                <w:rFonts w:asciiTheme="minorHAnsi" w:hAnsiTheme="minorHAnsi" w:cstheme="minorHAnsi"/>
                <w:sz w:val="18"/>
                <w:szCs w:val="18"/>
              </w:rPr>
              <w:t>ADALIMUMAB</w:t>
            </w:r>
          </w:p>
          <w:p w14:paraId="6C43A95D" w14:textId="77777777" w:rsidR="00BB57B7" w:rsidRPr="00D232DC" w:rsidRDefault="00BB57B7" w:rsidP="00BB57B7">
            <w:pPr>
              <w:jc w:val="center"/>
              <w:rPr>
                <w:rFonts w:asciiTheme="minorHAnsi" w:hAnsiTheme="minorHAnsi" w:cstheme="minorHAnsi"/>
                <w:sz w:val="18"/>
                <w:szCs w:val="18"/>
              </w:rPr>
            </w:pPr>
          </w:p>
          <w:p w14:paraId="3541EFD0" w14:textId="11B589E0" w:rsidR="00B25328" w:rsidRDefault="00B25328" w:rsidP="00BB57B7">
            <w:pPr>
              <w:jc w:val="center"/>
              <w:rPr>
                <w:rFonts w:asciiTheme="minorHAnsi" w:hAnsiTheme="minorHAnsi" w:cstheme="minorHAnsi"/>
                <w:sz w:val="18"/>
                <w:szCs w:val="18"/>
              </w:rPr>
            </w:pPr>
            <w:r w:rsidRPr="00D232DC">
              <w:rPr>
                <w:rFonts w:asciiTheme="minorHAnsi" w:hAnsiTheme="minorHAnsi" w:cstheme="minorHAnsi"/>
                <w:sz w:val="18"/>
                <w:szCs w:val="18"/>
              </w:rPr>
              <w:t>Injection 40</w:t>
            </w:r>
            <w:r w:rsidR="00F875EE">
              <w:rPr>
                <w:rFonts w:asciiTheme="minorHAnsi" w:hAnsiTheme="minorHAnsi" w:cstheme="minorHAnsi"/>
                <w:sz w:val="18"/>
                <w:szCs w:val="18"/>
              </w:rPr>
              <w:t> mg</w:t>
            </w:r>
            <w:r w:rsidRPr="00D232DC">
              <w:rPr>
                <w:rFonts w:asciiTheme="minorHAnsi" w:hAnsiTheme="minorHAnsi" w:cstheme="minorHAnsi"/>
                <w:sz w:val="18"/>
                <w:szCs w:val="18"/>
              </w:rPr>
              <w:t xml:space="preserve"> in 0.8</w:t>
            </w:r>
            <w:r w:rsidR="00C67D16">
              <w:rPr>
                <w:rFonts w:asciiTheme="minorHAnsi" w:hAnsiTheme="minorHAnsi" w:cstheme="minorHAnsi"/>
                <w:sz w:val="18"/>
                <w:szCs w:val="18"/>
              </w:rPr>
              <w:t> mL</w:t>
            </w:r>
            <w:r w:rsidRPr="00D232DC">
              <w:rPr>
                <w:rFonts w:asciiTheme="minorHAnsi" w:hAnsiTheme="minorHAnsi" w:cstheme="minorHAnsi"/>
                <w:sz w:val="18"/>
                <w:szCs w:val="18"/>
              </w:rPr>
              <w:t xml:space="preserve"> pre-filled pen</w:t>
            </w:r>
            <w:r w:rsidRPr="00D232DC">
              <w:rPr>
                <w:rFonts w:asciiTheme="minorHAnsi" w:hAnsiTheme="minorHAnsi" w:cstheme="minorHAnsi"/>
                <w:sz w:val="18"/>
                <w:szCs w:val="18"/>
              </w:rPr>
              <w:br/>
              <w:t>Injection 40</w:t>
            </w:r>
            <w:r w:rsidR="00F875EE">
              <w:rPr>
                <w:rFonts w:asciiTheme="minorHAnsi" w:hAnsiTheme="minorHAnsi" w:cstheme="minorHAnsi"/>
                <w:sz w:val="18"/>
                <w:szCs w:val="18"/>
              </w:rPr>
              <w:t> mg</w:t>
            </w:r>
            <w:r w:rsidRPr="00D232DC">
              <w:rPr>
                <w:rFonts w:asciiTheme="minorHAnsi" w:hAnsiTheme="minorHAnsi" w:cstheme="minorHAnsi"/>
                <w:sz w:val="18"/>
                <w:szCs w:val="18"/>
              </w:rPr>
              <w:t xml:space="preserve"> in 0.8</w:t>
            </w:r>
            <w:r w:rsidR="00C67D16">
              <w:rPr>
                <w:rFonts w:asciiTheme="minorHAnsi" w:hAnsiTheme="minorHAnsi" w:cstheme="minorHAnsi"/>
                <w:sz w:val="18"/>
                <w:szCs w:val="18"/>
              </w:rPr>
              <w:t> mL</w:t>
            </w:r>
            <w:r w:rsidRPr="00D232DC">
              <w:rPr>
                <w:rFonts w:asciiTheme="minorHAnsi" w:hAnsiTheme="minorHAnsi" w:cstheme="minorHAnsi"/>
                <w:sz w:val="18"/>
                <w:szCs w:val="18"/>
              </w:rPr>
              <w:t xml:space="preserve"> pre-filled syringe</w:t>
            </w:r>
          </w:p>
          <w:p w14:paraId="53F3FB06" w14:textId="77777777" w:rsidR="00BB57B7" w:rsidRPr="00D232DC" w:rsidRDefault="00BB57B7" w:rsidP="00BB57B7">
            <w:pPr>
              <w:jc w:val="center"/>
              <w:rPr>
                <w:rFonts w:asciiTheme="minorHAnsi" w:hAnsiTheme="minorHAnsi" w:cstheme="minorHAnsi"/>
                <w:sz w:val="18"/>
                <w:szCs w:val="18"/>
              </w:rPr>
            </w:pPr>
          </w:p>
          <w:p w14:paraId="3D99CA77" w14:textId="210B6F53" w:rsidR="00B25328" w:rsidRDefault="00B25328" w:rsidP="00BB57B7">
            <w:pPr>
              <w:jc w:val="center"/>
              <w:rPr>
                <w:rFonts w:asciiTheme="minorHAnsi" w:hAnsiTheme="minorHAnsi" w:cstheme="minorHAnsi"/>
                <w:sz w:val="18"/>
                <w:szCs w:val="18"/>
                <w:vertAlign w:val="superscript"/>
              </w:rPr>
            </w:pPr>
            <w:r w:rsidRPr="00D232DC">
              <w:rPr>
                <w:rFonts w:asciiTheme="minorHAnsi" w:hAnsiTheme="minorHAnsi" w:cstheme="minorHAnsi"/>
                <w:sz w:val="18"/>
                <w:szCs w:val="18"/>
              </w:rPr>
              <w:t>Hulio</w:t>
            </w:r>
            <w:r w:rsidR="00971FC8" w:rsidRPr="008059F4">
              <w:rPr>
                <w:rFonts w:asciiTheme="minorHAnsi" w:hAnsiTheme="minorHAnsi" w:cstheme="minorHAnsi"/>
                <w:color w:val="000000"/>
                <w:sz w:val="18"/>
                <w:szCs w:val="18"/>
              </w:rPr>
              <w:t>®</w:t>
            </w:r>
          </w:p>
          <w:p w14:paraId="2C8A8A9A" w14:textId="77777777" w:rsidR="00BB57B7" w:rsidRPr="00D232DC" w:rsidRDefault="00BB57B7" w:rsidP="00BB57B7">
            <w:pPr>
              <w:jc w:val="center"/>
              <w:rPr>
                <w:rFonts w:asciiTheme="minorHAnsi" w:hAnsiTheme="minorHAnsi" w:cstheme="minorHAnsi"/>
                <w:sz w:val="18"/>
                <w:szCs w:val="18"/>
              </w:rPr>
            </w:pPr>
          </w:p>
          <w:p w14:paraId="0702E352" w14:textId="31DAEF5B" w:rsidR="00B25328" w:rsidRPr="00D232DC" w:rsidRDefault="00B25328" w:rsidP="00BB57B7">
            <w:pPr>
              <w:jc w:val="center"/>
              <w:rPr>
                <w:rFonts w:asciiTheme="minorHAnsi" w:hAnsiTheme="minorHAnsi" w:cstheme="minorHAnsi"/>
                <w:sz w:val="18"/>
                <w:szCs w:val="18"/>
              </w:rPr>
            </w:pPr>
            <w:r w:rsidRPr="00D232DC">
              <w:rPr>
                <w:rFonts w:asciiTheme="minorHAnsi" w:hAnsiTheme="minorHAnsi" w:cstheme="minorHAnsi"/>
                <w:sz w:val="18"/>
                <w:szCs w:val="18"/>
              </w:rPr>
              <w:t>Alphapharm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6882F127" w14:textId="77777777" w:rsidR="00B25328" w:rsidRPr="00D232DC" w:rsidRDefault="00B25328" w:rsidP="00BB57B7">
            <w:pPr>
              <w:jc w:val="center"/>
              <w:rPr>
                <w:rFonts w:asciiTheme="minorHAnsi" w:hAnsiTheme="minorHAnsi" w:cstheme="minorHAnsi"/>
                <w:color w:val="000000"/>
                <w:sz w:val="18"/>
                <w:szCs w:val="18"/>
              </w:rPr>
            </w:pPr>
            <w:r w:rsidRPr="00D232DC">
              <w:rPr>
                <w:rFonts w:asciiTheme="minorHAnsi" w:hAnsiTheme="minorHAnsi" w:cstheme="minorHAnsi"/>
                <w:color w:val="000000"/>
                <w:sz w:val="18"/>
                <w:szCs w:val="18"/>
              </w:rPr>
              <w:t>Severe Crohn disease</w:t>
            </w:r>
            <w:r w:rsidRPr="00D232DC">
              <w:rPr>
                <w:rFonts w:asciiTheme="minorHAnsi" w:hAnsiTheme="minorHAnsi" w:cstheme="minorHAnsi"/>
                <w:color w:val="000000"/>
                <w:sz w:val="18"/>
                <w:szCs w:val="18"/>
              </w:rPr>
              <w:br/>
              <w:t>Ulcerative colitis</w:t>
            </w:r>
            <w:r w:rsidRPr="00D232DC">
              <w:rPr>
                <w:rFonts w:asciiTheme="minorHAnsi" w:hAnsiTheme="minorHAnsi" w:cstheme="minorHAnsi"/>
                <w:color w:val="000000"/>
                <w:sz w:val="18"/>
                <w:szCs w:val="18"/>
              </w:rPr>
              <w:br/>
              <w:t>Juvenile idiopathic arthritis</w:t>
            </w:r>
          </w:p>
          <w:p w14:paraId="14D7838E" w14:textId="6EA9D92B" w:rsidR="00B25328" w:rsidRPr="00D232DC" w:rsidRDefault="00B25328" w:rsidP="00BB57B7">
            <w:pPr>
              <w:widowControl w:val="0"/>
              <w:jc w:val="center"/>
              <w:rPr>
                <w:rFonts w:asciiTheme="minorHAnsi" w:hAnsiTheme="minorHAnsi" w:cstheme="minorHAnsi"/>
                <w:bCs/>
                <w:sz w:val="18"/>
                <w:szCs w:val="18"/>
                <w:lang w:eastAsia="en-US"/>
              </w:rPr>
            </w:pPr>
            <w:r w:rsidRPr="00D232DC">
              <w:rPr>
                <w:rFonts w:asciiTheme="minorHAnsi" w:hAnsiTheme="minorHAnsi" w:cstheme="minorHAnsi"/>
                <w:color w:val="000000"/>
                <w:sz w:val="18"/>
                <w:szCs w:val="18"/>
              </w:rPr>
              <w:t>Complex refractory fistulising Crohn disease</w:t>
            </w:r>
            <w:r w:rsidRPr="00D232DC">
              <w:rPr>
                <w:rFonts w:asciiTheme="minorHAnsi" w:hAnsiTheme="minorHAnsi" w:cstheme="minorHAnsi"/>
                <w:color w:val="000000"/>
                <w:sz w:val="18"/>
                <w:szCs w:val="18"/>
              </w:rPr>
              <w:br/>
              <w:t>Rheumatoid arthritis</w:t>
            </w:r>
            <w:r w:rsidRPr="00D232DC">
              <w:rPr>
                <w:rFonts w:asciiTheme="minorHAnsi" w:hAnsiTheme="minorHAnsi" w:cstheme="minorHAnsi"/>
                <w:color w:val="000000"/>
                <w:sz w:val="18"/>
                <w:szCs w:val="18"/>
              </w:rPr>
              <w:br/>
              <w:t>Psoriatic arthritis</w:t>
            </w:r>
            <w:r w:rsidRPr="00D232DC">
              <w:rPr>
                <w:rFonts w:asciiTheme="minorHAnsi" w:hAnsiTheme="minorHAnsi" w:cstheme="minorHAnsi"/>
                <w:color w:val="000000"/>
                <w:sz w:val="18"/>
                <w:szCs w:val="18"/>
              </w:rPr>
              <w:br/>
              <w:t>Ankylosing spondylitis</w:t>
            </w:r>
            <w:r w:rsidRPr="00D232DC">
              <w:rPr>
                <w:rFonts w:asciiTheme="minorHAnsi" w:hAnsiTheme="minorHAnsi" w:cstheme="minorHAnsi"/>
                <w:color w:val="000000"/>
                <w:sz w:val="18"/>
                <w:szCs w:val="18"/>
              </w:rPr>
              <w:br/>
              <w:t>Chronic plaque psoriasis</w:t>
            </w:r>
            <w:r w:rsidRPr="00D232DC">
              <w:rPr>
                <w:rFonts w:asciiTheme="minorHAnsi" w:hAnsiTheme="minorHAnsi" w:cstheme="minorHAnsi"/>
                <w:color w:val="000000"/>
                <w:sz w:val="18"/>
                <w:szCs w:val="18"/>
              </w:rPr>
              <w:br/>
            </w:r>
            <w:r w:rsidR="00971FC8" w:rsidRPr="00971FC8">
              <w:rPr>
                <w:rFonts w:asciiTheme="minorHAnsi" w:hAnsiTheme="minorHAnsi" w:cstheme="minorHAnsi"/>
                <w:color w:val="000000"/>
                <w:sz w:val="18"/>
                <w:szCs w:val="18"/>
              </w:rPr>
              <w:t>Hidradenitis suppurativa</w:t>
            </w:r>
          </w:p>
        </w:tc>
        <w:tc>
          <w:tcPr>
            <w:tcW w:w="1197" w:type="pct"/>
            <w:tcBorders>
              <w:top w:val="single" w:sz="4" w:space="0" w:color="auto"/>
              <w:left w:val="nil"/>
              <w:bottom w:val="single" w:sz="4" w:space="0" w:color="auto"/>
              <w:right w:val="single" w:sz="4" w:space="0" w:color="auto"/>
            </w:tcBorders>
            <w:shd w:val="clear" w:color="auto" w:fill="auto"/>
            <w:vAlign w:val="center"/>
          </w:tcPr>
          <w:p w14:paraId="2ADE8BFE" w14:textId="27EFA6B2" w:rsidR="00B25328" w:rsidRPr="00D232DC" w:rsidRDefault="00971FC8" w:rsidP="00BB57B7">
            <w:pPr>
              <w:widowControl w:val="0"/>
              <w:jc w:val="center"/>
              <w:rPr>
                <w:rFonts w:asciiTheme="minorHAnsi" w:hAnsiTheme="minorHAnsi" w:cstheme="minorHAnsi"/>
                <w:sz w:val="18"/>
                <w:szCs w:val="18"/>
                <w:lang w:eastAsia="en-US"/>
              </w:rPr>
            </w:pPr>
            <w:r w:rsidRPr="00D232DC">
              <w:rPr>
                <w:rFonts w:asciiTheme="minorHAnsi" w:hAnsiTheme="minorHAnsi" w:cstheme="minorHAnsi"/>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36AD6BF6" w14:textId="16F8C871" w:rsidR="00B25328" w:rsidRPr="00D232DC" w:rsidRDefault="00812466" w:rsidP="00BB57B7">
            <w:pPr>
              <w:widowControl w:val="0"/>
              <w:jc w:val="center"/>
              <w:rPr>
                <w:rFonts w:asciiTheme="minorHAnsi" w:hAnsiTheme="minorHAnsi" w:cstheme="minorHAnsi"/>
                <w:bCs/>
                <w:snapToGrid w:val="0"/>
                <w:sz w:val="18"/>
                <w:szCs w:val="18"/>
              </w:rPr>
            </w:pPr>
            <w:r w:rsidRPr="00812466">
              <w:rPr>
                <w:rFonts w:asciiTheme="minorHAnsi" w:hAnsiTheme="minorHAnsi" w:cstheme="minorHAnsi"/>
                <w:bCs/>
                <w:snapToGrid w:val="0"/>
                <w:sz w:val="18"/>
                <w:szCs w:val="18"/>
              </w:rPr>
              <w:t>The PBAC rescinded the November 2021 recommendation.</w:t>
            </w:r>
          </w:p>
        </w:tc>
      </w:tr>
      <w:tr w:rsidR="00B25328" w:rsidRPr="00D232DC" w14:paraId="3AFC23D2" w14:textId="77777777" w:rsidTr="00D5001E">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0A73132A" w14:textId="4AF341BE" w:rsidR="00B25328" w:rsidRDefault="00B25328" w:rsidP="00BB57B7">
            <w:pPr>
              <w:jc w:val="center"/>
              <w:rPr>
                <w:rFonts w:asciiTheme="minorHAnsi" w:hAnsiTheme="minorHAnsi" w:cstheme="minorHAnsi"/>
                <w:sz w:val="18"/>
                <w:szCs w:val="18"/>
              </w:rPr>
            </w:pPr>
            <w:r w:rsidRPr="00D232DC">
              <w:rPr>
                <w:rFonts w:asciiTheme="minorHAnsi" w:hAnsiTheme="minorHAnsi" w:cstheme="minorHAnsi"/>
                <w:sz w:val="18"/>
                <w:szCs w:val="18"/>
              </w:rPr>
              <w:t>BEVACIZUMAB</w:t>
            </w:r>
          </w:p>
          <w:p w14:paraId="712E000B" w14:textId="77777777" w:rsidR="00BB57B7" w:rsidRPr="00D232DC" w:rsidRDefault="00BB57B7" w:rsidP="00BB57B7">
            <w:pPr>
              <w:jc w:val="center"/>
              <w:rPr>
                <w:rFonts w:asciiTheme="minorHAnsi" w:hAnsiTheme="minorHAnsi" w:cstheme="minorHAnsi"/>
                <w:sz w:val="18"/>
                <w:szCs w:val="18"/>
              </w:rPr>
            </w:pPr>
          </w:p>
          <w:p w14:paraId="7BB2E5CE" w14:textId="7693A6C5" w:rsidR="00B25328" w:rsidRDefault="00B25328" w:rsidP="00BB57B7">
            <w:pPr>
              <w:jc w:val="center"/>
              <w:rPr>
                <w:rFonts w:asciiTheme="minorHAnsi" w:hAnsiTheme="minorHAnsi" w:cstheme="minorHAnsi"/>
                <w:sz w:val="18"/>
                <w:szCs w:val="18"/>
              </w:rPr>
            </w:pPr>
            <w:r w:rsidRPr="00D232DC">
              <w:rPr>
                <w:rFonts w:asciiTheme="minorHAnsi" w:hAnsiTheme="minorHAnsi" w:cstheme="minorHAnsi"/>
                <w:sz w:val="18"/>
                <w:szCs w:val="18"/>
              </w:rPr>
              <w:t>Solution for I.V. infusion 100</w:t>
            </w:r>
            <w:r w:rsidR="00F875EE">
              <w:rPr>
                <w:rFonts w:asciiTheme="minorHAnsi" w:hAnsiTheme="minorHAnsi" w:cstheme="minorHAnsi"/>
                <w:sz w:val="18"/>
                <w:szCs w:val="18"/>
              </w:rPr>
              <w:t> mg</w:t>
            </w:r>
            <w:r w:rsidRPr="00D232DC">
              <w:rPr>
                <w:rFonts w:asciiTheme="minorHAnsi" w:hAnsiTheme="minorHAnsi" w:cstheme="minorHAnsi"/>
                <w:sz w:val="18"/>
                <w:szCs w:val="18"/>
              </w:rPr>
              <w:t xml:space="preserve"> in 4</w:t>
            </w:r>
            <w:r w:rsidR="00C67D16">
              <w:rPr>
                <w:rFonts w:asciiTheme="minorHAnsi" w:hAnsiTheme="minorHAnsi" w:cstheme="minorHAnsi"/>
                <w:sz w:val="18"/>
                <w:szCs w:val="18"/>
              </w:rPr>
              <w:t> mL</w:t>
            </w:r>
            <w:r w:rsidRPr="00D232DC">
              <w:rPr>
                <w:rFonts w:asciiTheme="minorHAnsi" w:hAnsiTheme="minorHAnsi" w:cstheme="minorHAnsi"/>
                <w:sz w:val="18"/>
                <w:szCs w:val="18"/>
              </w:rPr>
              <w:br/>
              <w:t>Solution for I.V. infusion 400</w:t>
            </w:r>
            <w:r w:rsidR="00F875EE">
              <w:rPr>
                <w:rFonts w:asciiTheme="minorHAnsi" w:hAnsiTheme="minorHAnsi" w:cstheme="minorHAnsi"/>
                <w:sz w:val="18"/>
                <w:szCs w:val="18"/>
              </w:rPr>
              <w:t> mg</w:t>
            </w:r>
            <w:r w:rsidRPr="00D232DC">
              <w:rPr>
                <w:rFonts w:asciiTheme="minorHAnsi" w:hAnsiTheme="minorHAnsi" w:cstheme="minorHAnsi"/>
                <w:sz w:val="18"/>
                <w:szCs w:val="18"/>
              </w:rPr>
              <w:t xml:space="preserve"> in 16</w:t>
            </w:r>
            <w:r w:rsidR="00C67D16">
              <w:rPr>
                <w:rFonts w:asciiTheme="minorHAnsi" w:hAnsiTheme="minorHAnsi" w:cstheme="minorHAnsi"/>
                <w:sz w:val="18"/>
                <w:szCs w:val="18"/>
              </w:rPr>
              <w:t> mL</w:t>
            </w:r>
          </w:p>
          <w:p w14:paraId="0C1B9C54" w14:textId="77777777" w:rsidR="00BB57B7" w:rsidRPr="00D232DC" w:rsidRDefault="00BB57B7" w:rsidP="00BB57B7">
            <w:pPr>
              <w:jc w:val="center"/>
              <w:rPr>
                <w:rFonts w:asciiTheme="minorHAnsi" w:hAnsiTheme="minorHAnsi" w:cstheme="minorHAnsi"/>
                <w:sz w:val="18"/>
                <w:szCs w:val="18"/>
              </w:rPr>
            </w:pPr>
          </w:p>
          <w:p w14:paraId="19270ED8" w14:textId="68F58313" w:rsidR="00B25328" w:rsidRDefault="00B25328" w:rsidP="00BB57B7">
            <w:pPr>
              <w:jc w:val="center"/>
              <w:rPr>
                <w:rFonts w:asciiTheme="minorHAnsi" w:hAnsiTheme="minorHAnsi" w:cstheme="minorHAnsi"/>
                <w:sz w:val="18"/>
                <w:szCs w:val="18"/>
                <w:vertAlign w:val="superscript"/>
              </w:rPr>
            </w:pPr>
            <w:r w:rsidRPr="00D232DC">
              <w:rPr>
                <w:rFonts w:asciiTheme="minorHAnsi" w:hAnsiTheme="minorHAnsi" w:cstheme="minorHAnsi"/>
                <w:sz w:val="18"/>
                <w:szCs w:val="18"/>
              </w:rPr>
              <w:t>Zirabev</w:t>
            </w:r>
            <w:r w:rsidR="00971FC8" w:rsidRPr="008059F4">
              <w:rPr>
                <w:rFonts w:asciiTheme="minorHAnsi" w:hAnsiTheme="minorHAnsi" w:cstheme="minorHAnsi"/>
                <w:color w:val="000000"/>
                <w:sz w:val="18"/>
                <w:szCs w:val="18"/>
              </w:rPr>
              <w:t>®</w:t>
            </w:r>
          </w:p>
          <w:p w14:paraId="6C50AC07" w14:textId="77777777" w:rsidR="00BB57B7" w:rsidRPr="00D232DC" w:rsidRDefault="00BB57B7" w:rsidP="00BB57B7">
            <w:pPr>
              <w:jc w:val="center"/>
              <w:rPr>
                <w:rFonts w:asciiTheme="minorHAnsi" w:hAnsiTheme="minorHAnsi" w:cstheme="minorHAnsi"/>
                <w:sz w:val="18"/>
                <w:szCs w:val="18"/>
              </w:rPr>
            </w:pPr>
          </w:p>
          <w:p w14:paraId="55A5B50C" w14:textId="4AE2A1BE" w:rsidR="00B25328" w:rsidRPr="00D232DC" w:rsidRDefault="00B25328" w:rsidP="00BB57B7">
            <w:pPr>
              <w:jc w:val="center"/>
              <w:rPr>
                <w:rFonts w:asciiTheme="minorHAnsi" w:hAnsiTheme="minorHAnsi" w:cstheme="minorHAnsi"/>
                <w:sz w:val="18"/>
                <w:szCs w:val="18"/>
              </w:rPr>
            </w:pPr>
            <w:r w:rsidRPr="00D232DC">
              <w:rPr>
                <w:rFonts w:asciiTheme="minorHAnsi" w:hAnsiTheme="minorHAnsi" w:cstheme="minorHAnsi"/>
                <w:sz w:val="18"/>
                <w:szCs w:val="18"/>
              </w:rPr>
              <w:t>Pfizer Australia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511F7D74" w14:textId="3FDDEB6C" w:rsidR="00B25328" w:rsidRPr="00D232DC" w:rsidRDefault="00B25328" w:rsidP="00BB57B7">
            <w:pPr>
              <w:widowControl w:val="0"/>
              <w:jc w:val="center"/>
              <w:rPr>
                <w:rFonts w:asciiTheme="minorHAnsi" w:hAnsiTheme="minorHAnsi" w:cstheme="minorHAnsi"/>
                <w:color w:val="000000"/>
                <w:sz w:val="18"/>
                <w:szCs w:val="18"/>
              </w:rPr>
            </w:pPr>
            <w:r w:rsidRPr="00D232DC">
              <w:rPr>
                <w:rFonts w:asciiTheme="minorHAnsi" w:hAnsiTheme="minorHAnsi" w:cstheme="minorHAnsi"/>
                <w:color w:val="000000"/>
                <w:sz w:val="18"/>
                <w:szCs w:val="18"/>
              </w:rPr>
              <w:t>Metastatic colorectal cancer</w:t>
            </w:r>
            <w:r w:rsidRPr="00D232DC">
              <w:rPr>
                <w:rFonts w:asciiTheme="minorHAnsi" w:hAnsiTheme="minorHAnsi" w:cstheme="minorHAnsi"/>
                <w:color w:val="000000"/>
                <w:sz w:val="18"/>
                <w:szCs w:val="18"/>
              </w:rPr>
              <w:br/>
              <w:t>Advanced, metastatic or recurrent non-squamous non-small</w:t>
            </w:r>
            <w:r w:rsidR="00160D70">
              <w:rPr>
                <w:rFonts w:asciiTheme="minorHAnsi" w:hAnsiTheme="minorHAnsi" w:cstheme="minorHAnsi"/>
                <w:color w:val="000000"/>
                <w:sz w:val="18"/>
                <w:szCs w:val="18"/>
              </w:rPr>
              <w:t xml:space="preserve"> cell</w:t>
            </w:r>
            <w:r w:rsidRPr="00D232DC">
              <w:rPr>
                <w:rFonts w:asciiTheme="minorHAnsi" w:hAnsiTheme="minorHAnsi" w:cstheme="minorHAnsi"/>
                <w:color w:val="000000"/>
                <w:sz w:val="18"/>
                <w:szCs w:val="18"/>
              </w:rPr>
              <w:t xml:space="preserve"> lung cancer</w:t>
            </w:r>
            <w:r w:rsidRPr="00D232DC">
              <w:rPr>
                <w:rFonts w:asciiTheme="minorHAnsi" w:hAnsiTheme="minorHAnsi" w:cstheme="minorHAnsi"/>
                <w:color w:val="000000"/>
                <w:sz w:val="18"/>
                <w:szCs w:val="18"/>
              </w:rPr>
              <w:br/>
              <w:t>Relapsed or recurrent glioblastoma</w:t>
            </w:r>
            <w:r w:rsidRPr="00D232DC">
              <w:rPr>
                <w:rFonts w:asciiTheme="minorHAnsi" w:hAnsiTheme="minorHAnsi" w:cstheme="minorHAnsi"/>
                <w:color w:val="000000"/>
                <w:sz w:val="18"/>
                <w:szCs w:val="18"/>
              </w:rPr>
              <w:br/>
              <w:t>Epithelial ovarian, fallopian tube or primary peritoneal cancer</w:t>
            </w:r>
            <w:r w:rsidRPr="00D232DC">
              <w:rPr>
                <w:rFonts w:asciiTheme="minorHAnsi" w:hAnsiTheme="minorHAnsi" w:cstheme="minorHAnsi"/>
                <w:color w:val="000000"/>
                <w:sz w:val="18"/>
                <w:szCs w:val="18"/>
              </w:rPr>
              <w:br/>
              <w:t>Cervical cancer</w:t>
            </w:r>
          </w:p>
        </w:tc>
        <w:tc>
          <w:tcPr>
            <w:tcW w:w="1197" w:type="pct"/>
            <w:tcBorders>
              <w:top w:val="single" w:sz="4" w:space="0" w:color="auto"/>
              <w:left w:val="nil"/>
              <w:bottom w:val="single" w:sz="4" w:space="0" w:color="auto"/>
              <w:right w:val="single" w:sz="4" w:space="0" w:color="auto"/>
            </w:tcBorders>
            <w:shd w:val="clear" w:color="auto" w:fill="auto"/>
            <w:vAlign w:val="center"/>
          </w:tcPr>
          <w:p w14:paraId="401C9ACA" w14:textId="67D72E7A" w:rsidR="00B25328" w:rsidRPr="00D232DC" w:rsidRDefault="00971FC8" w:rsidP="00BB57B7">
            <w:pPr>
              <w:widowControl w:val="0"/>
              <w:jc w:val="center"/>
              <w:rPr>
                <w:rFonts w:asciiTheme="minorHAnsi" w:hAnsiTheme="minorHAnsi" w:cstheme="minorHAnsi"/>
                <w:sz w:val="18"/>
                <w:szCs w:val="18"/>
              </w:rPr>
            </w:pPr>
            <w:r w:rsidRPr="00D232DC">
              <w:rPr>
                <w:rFonts w:asciiTheme="minorHAnsi" w:hAnsiTheme="minorHAnsi" w:cstheme="minorHAnsi"/>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246B1472" w14:textId="16D05A5E" w:rsidR="00B25328" w:rsidRPr="00D232DC" w:rsidRDefault="00812466" w:rsidP="00BB57B7">
            <w:pPr>
              <w:widowControl w:val="0"/>
              <w:jc w:val="center"/>
              <w:rPr>
                <w:rFonts w:asciiTheme="minorHAnsi" w:hAnsiTheme="minorHAnsi" w:cstheme="minorHAnsi"/>
                <w:bCs/>
                <w:snapToGrid w:val="0"/>
                <w:sz w:val="18"/>
                <w:szCs w:val="18"/>
              </w:rPr>
            </w:pPr>
            <w:r w:rsidRPr="00812466">
              <w:rPr>
                <w:rFonts w:asciiTheme="minorHAnsi" w:hAnsiTheme="minorHAnsi" w:cstheme="minorHAnsi"/>
                <w:bCs/>
                <w:snapToGrid w:val="0"/>
                <w:sz w:val="18"/>
                <w:szCs w:val="18"/>
              </w:rPr>
              <w:t>The PBAC extended the July 2020 recommendation for a further 12 months.</w:t>
            </w:r>
          </w:p>
        </w:tc>
      </w:tr>
      <w:tr w:rsidR="00B25328" w:rsidRPr="00D232DC" w14:paraId="408FF98A" w14:textId="77777777" w:rsidTr="00D5001E">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41F7F9BB" w14:textId="44630B3E" w:rsidR="00B25328" w:rsidRDefault="00B25328" w:rsidP="00BB57B7">
            <w:pPr>
              <w:jc w:val="center"/>
              <w:rPr>
                <w:rFonts w:asciiTheme="minorHAnsi" w:hAnsiTheme="minorHAnsi" w:cstheme="minorHAnsi"/>
                <w:sz w:val="18"/>
                <w:szCs w:val="18"/>
              </w:rPr>
            </w:pPr>
            <w:r w:rsidRPr="00D232DC">
              <w:rPr>
                <w:rFonts w:asciiTheme="minorHAnsi" w:hAnsiTheme="minorHAnsi" w:cstheme="minorHAnsi"/>
                <w:sz w:val="18"/>
                <w:szCs w:val="18"/>
              </w:rPr>
              <w:t>ETANERCEPT</w:t>
            </w:r>
          </w:p>
          <w:p w14:paraId="26B32098" w14:textId="77777777" w:rsidR="00BB57B7" w:rsidRPr="00D232DC" w:rsidRDefault="00BB57B7" w:rsidP="00BB57B7">
            <w:pPr>
              <w:jc w:val="center"/>
              <w:rPr>
                <w:rFonts w:asciiTheme="minorHAnsi" w:hAnsiTheme="minorHAnsi" w:cstheme="minorHAnsi"/>
                <w:sz w:val="18"/>
                <w:szCs w:val="18"/>
              </w:rPr>
            </w:pPr>
          </w:p>
          <w:p w14:paraId="6134657B" w14:textId="750E4C0A" w:rsidR="00B25328" w:rsidRDefault="00B25328" w:rsidP="00BB57B7">
            <w:pPr>
              <w:jc w:val="center"/>
              <w:rPr>
                <w:rFonts w:asciiTheme="minorHAnsi" w:hAnsiTheme="minorHAnsi" w:cstheme="minorHAnsi"/>
                <w:sz w:val="18"/>
                <w:szCs w:val="18"/>
              </w:rPr>
            </w:pPr>
            <w:r w:rsidRPr="00D232DC">
              <w:rPr>
                <w:rFonts w:asciiTheme="minorHAnsi" w:hAnsiTheme="minorHAnsi" w:cstheme="minorHAnsi"/>
                <w:sz w:val="18"/>
                <w:szCs w:val="18"/>
              </w:rPr>
              <w:t>Injection 50</w:t>
            </w:r>
            <w:r w:rsidR="00F875EE">
              <w:rPr>
                <w:rFonts w:asciiTheme="minorHAnsi" w:hAnsiTheme="minorHAnsi" w:cstheme="minorHAnsi"/>
                <w:sz w:val="18"/>
                <w:szCs w:val="18"/>
              </w:rPr>
              <w:t> mg</w:t>
            </w:r>
            <w:r w:rsidRPr="00D232DC">
              <w:rPr>
                <w:rFonts w:asciiTheme="minorHAnsi" w:hAnsiTheme="minorHAnsi" w:cstheme="minorHAnsi"/>
                <w:sz w:val="18"/>
                <w:szCs w:val="18"/>
              </w:rPr>
              <w:t xml:space="preserve"> in 1</w:t>
            </w:r>
            <w:r w:rsidR="00C67D16">
              <w:rPr>
                <w:rFonts w:asciiTheme="minorHAnsi" w:hAnsiTheme="minorHAnsi" w:cstheme="minorHAnsi"/>
                <w:sz w:val="18"/>
                <w:szCs w:val="18"/>
              </w:rPr>
              <w:t> mL</w:t>
            </w:r>
            <w:r w:rsidRPr="00D232DC">
              <w:rPr>
                <w:rFonts w:asciiTheme="minorHAnsi" w:hAnsiTheme="minorHAnsi" w:cstheme="minorHAnsi"/>
                <w:sz w:val="18"/>
                <w:szCs w:val="18"/>
              </w:rPr>
              <w:t xml:space="preserve"> single use pre-filled syringe</w:t>
            </w:r>
          </w:p>
          <w:p w14:paraId="62484E18" w14:textId="77777777" w:rsidR="00BB57B7" w:rsidRPr="00D232DC" w:rsidRDefault="00BB57B7" w:rsidP="00BB57B7">
            <w:pPr>
              <w:jc w:val="center"/>
              <w:rPr>
                <w:rFonts w:asciiTheme="minorHAnsi" w:hAnsiTheme="minorHAnsi" w:cstheme="minorHAnsi"/>
                <w:sz w:val="18"/>
                <w:szCs w:val="18"/>
              </w:rPr>
            </w:pPr>
          </w:p>
          <w:p w14:paraId="322604C3" w14:textId="77AE5E39" w:rsidR="00B25328" w:rsidRDefault="00B25328" w:rsidP="00BB57B7">
            <w:pPr>
              <w:jc w:val="center"/>
              <w:rPr>
                <w:rFonts w:asciiTheme="minorHAnsi" w:hAnsiTheme="minorHAnsi" w:cstheme="minorHAnsi"/>
                <w:sz w:val="18"/>
                <w:szCs w:val="18"/>
                <w:vertAlign w:val="superscript"/>
              </w:rPr>
            </w:pPr>
            <w:r w:rsidRPr="00D232DC">
              <w:rPr>
                <w:rFonts w:asciiTheme="minorHAnsi" w:hAnsiTheme="minorHAnsi" w:cstheme="minorHAnsi"/>
                <w:sz w:val="18"/>
                <w:szCs w:val="18"/>
              </w:rPr>
              <w:t>Rymti</w:t>
            </w:r>
            <w:r w:rsidR="00971FC8" w:rsidRPr="008059F4">
              <w:rPr>
                <w:rFonts w:asciiTheme="minorHAnsi" w:hAnsiTheme="minorHAnsi" w:cstheme="minorHAnsi"/>
                <w:color w:val="000000"/>
                <w:sz w:val="18"/>
                <w:szCs w:val="18"/>
              </w:rPr>
              <w:t>®</w:t>
            </w:r>
          </w:p>
          <w:p w14:paraId="1A265BC8" w14:textId="77777777" w:rsidR="00BB57B7" w:rsidRPr="00D232DC" w:rsidRDefault="00BB57B7" w:rsidP="00BB57B7">
            <w:pPr>
              <w:jc w:val="center"/>
              <w:rPr>
                <w:rFonts w:asciiTheme="minorHAnsi" w:hAnsiTheme="minorHAnsi" w:cstheme="minorHAnsi"/>
                <w:sz w:val="18"/>
                <w:szCs w:val="18"/>
              </w:rPr>
            </w:pPr>
          </w:p>
          <w:p w14:paraId="6C9EC299" w14:textId="04D1343C" w:rsidR="00B25328" w:rsidRPr="00D232DC" w:rsidRDefault="00B25328" w:rsidP="00BB57B7">
            <w:pPr>
              <w:jc w:val="center"/>
              <w:rPr>
                <w:rFonts w:asciiTheme="minorHAnsi" w:hAnsiTheme="minorHAnsi" w:cstheme="minorHAnsi"/>
                <w:snapToGrid w:val="0"/>
                <w:sz w:val="18"/>
                <w:szCs w:val="18"/>
              </w:rPr>
            </w:pPr>
            <w:r w:rsidRPr="00D232DC">
              <w:rPr>
                <w:rFonts w:asciiTheme="minorHAnsi" w:hAnsiTheme="minorHAnsi" w:cstheme="minorHAnsi"/>
                <w:sz w:val="18"/>
                <w:szCs w:val="18"/>
              </w:rPr>
              <w:t>Alphapharm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64BBDE8E" w14:textId="77777777" w:rsidR="00B86589" w:rsidRDefault="00B25328" w:rsidP="00BB57B7">
            <w:pPr>
              <w:jc w:val="center"/>
              <w:rPr>
                <w:rFonts w:asciiTheme="minorHAnsi" w:hAnsiTheme="minorHAnsi" w:cstheme="minorHAnsi"/>
                <w:bCs/>
                <w:sz w:val="18"/>
                <w:szCs w:val="18"/>
              </w:rPr>
            </w:pPr>
            <w:r w:rsidRPr="00D232DC">
              <w:rPr>
                <w:rFonts w:asciiTheme="minorHAnsi" w:hAnsiTheme="minorHAnsi" w:cstheme="minorHAnsi"/>
                <w:bCs/>
                <w:sz w:val="18"/>
                <w:szCs w:val="18"/>
              </w:rPr>
              <w:t>Rheumatoid arthritis</w:t>
            </w:r>
          </w:p>
          <w:p w14:paraId="3EBB0051" w14:textId="489E3F17" w:rsidR="00B25328" w:rsidRPr="00D232DC" w:rsidRDefault="00B25328" w:rsidP="00BB57B7">
            <w:pPr>
              <w:jc w:val="center"/>
              <w:rPr>
                <w:rFonts w:asciiTheme="minorHAnsi" w:hAnsiTheme="minorHAnsi" w:cstheme="minorHAnsi"/>
                <w:bCs/>
                <w:sz w:val="18"/>
                <w:szCs w:val="18"/>
              </w:rPr>
            </w:pPr>
            <w:r w:rsidRPr="00D232DC">
              <w:rPr>
                <w:rFonts w:asciiTheme="minorHAnsi" w:hAnsiTheme="minorHAnsi" w:cstheme="minorHAnsi"/>
                <w:bCs/>
                <w:sz w:val="18"/>
                <w:szCs w:val="18"/>
              </w:rPr>
              <w:t>Plaque psoriasis</w:t>
            </w:r>
          </w:p>
          <w:p w14:paraId="2707FBEB" w14:textId="77777777" w:rsidR="00B25328" w:rsidRPr="00D232DC" w:rsidRDefault="00B25328" w:rsidP="00BB57B7">
            <w:pPr>
              <w:jc w:val="center"/>
              <w:rPr>
                <w:rFonts w:asciiTheme="minorHAnsi" w:hAnsiTheme="minorHAnsi" w:cstheme="minorHAnsi"/>
                <w:bCs/>
                <w:sz w:val="18"/>
                <w:szCs w:val="18"/>
              </w:rPr>
            </w:pPr>
            <w:r w:rsidRPr="00D232DC">
              <w:rPr>
                <w:rFonts w:asciiTheme="minorHAnsi" w:hAnsiTheme="minorHAnsi" w:cstheme="minorHAnsi"/>
                <w:bCs/>
                <w:sz w:val="18"/>
                <w:szCs w:val="18"/>
              </w:rPr>
              <w:t>Ankylosing spondylitis</w:t>
            </w:r>
          </w:p>
          <w:p w14:paraId="78582DB3" w14:textId="77777777" w:rsidR="00B25328" w:rsidRPr="00D232DC" w:rsidRDefault="00B25328" w:rsidP="00BB57B7">
            <w:pPr>
              <w:jc w:val="center"/>
              <w:rPr>
                <w:rFonts w:asciiTheme="minorHAnsi" w:hAnsiTheme="minorHAnsi" w:cstheme="minorHAnsi"/>
                <w:bCs/>
                <w:sz w:val="18"/>
                <w:szCs w:val="18"/>
              </w:rPr>
            </w:pPr>
            <w:r w:rsidRPr="00D232DC">
              <w:rPr>
                <w:rFonts w:asciiTheme="minorHAnsi" w:hAnsiTheme="minorHAnsi" w:cstheme="minorHAnsi"/>
                <w:bCs/>
                <w:sz w:val="18"/>
                <w:szCs w:val="18"/>
              </w:rPr>
              <w:t>Psoriatic arthritis</w:t>
            </w:r>
          </w:p>
          <w:p w14:paraId="69DE293B" w14:textId="77777777" w:rsidR="00B25328" w:rsidRPr="00D232DC" w:rsidRDefault="00B25328" w:rsidP="00BB57B7">
            <w:pPr>
              <w:jc w:val="center"/>
              <w:rPr>
                <w:rFonts w:asciiTheme="minorHAnsi" w:hAnsiTheme="minorHAnsi" w:cstheme="minorHAnsi"/>
                <w:bCs/>
                <w:sz w:val="18"/>
                <w:szCs w:val="18"/>
              </w:rPr>
            </w:pPr>
            <w:r w:rsidRPr="00D232DC">
              <w:rPr>
                <w:rFonts w:asciiTheme="minorHAnsi" w:hAnsiTheme="minorHAnsi" w:cstheme="minorHAnsi"/>
                <w:bCs/>
                <w:sz w:val="18"/>
                <w:szCs w:val="18"/>
              </w:rPr>
              <w:t>Juvenile idiopathic arthritis</w:t>
            </w:r>
          </w:p>
          <w:p w14:paraId="03867266" w14:textId="0AE0AA5B" w:rsidR="00B25328" w:rsidRPr="00D232DC" w:rsidRDefault="00B25328" w:rsidP="00BB57B7">
            <w:pPr>
              <w:widowControl w:val="0"/>
              <w:jc w:val="center"/>
              <w:rPr>
                <w:rFonts w:asciiTheme="minorHAnsi" w:hAnsiTheme="minorHAnsi" w:cstheme="minorHAnsi"/>
                <w:snapToGrid w:val="0"/>
                <w:sz w:val="18"/>
                <w:szCs w:val="18"/>
              </w:rPr>
            </w:pPr>
            <w:r w:rsidRPr="00D232DC">
              <w:rPr>
                <w:rFonts w:asciiTheme="minorHAnsi" w:hAnsiTheme="minorHAnsi" w:cstheme="minorHAnsi"/>
                <w:bCs/>
                <w:sz w:val="18"/>
                <w:szCs w:val="18"/>
              </w:rPr>
              <w:t>Paediatric plaque psoriasis</w:t>
            </w:r>
          </w:p>
        </w:tc>
        <w:tc>
          <w:tcPr>
            <w:tcW w:w="1197" w:type="pct"/>
            <w:tcBorders>
              <w:top w:val="single" w:sz="4" w:space="0" w:color="auto"/>
              <w:left w:val="nil"/>
              <w:bottom w:val="single" w:sz="4" w:space="0" w:color="auto"/>
              <w:right w:val="single" w:sz="4" w:space="0" w:color="auto"/>
            </w:tcBorders>
            <w:shd w:val="clear" w:color="auto" w:fill="auto"/>
            <w:vAlign w:val="center"/>
          </w:tcPr>
          <w:p w14:paraId="32E2C4C2" w14:textId="3C2C4044" w:rsidR="00B25328" w:rsidRPr="00D232DC" w:rsidRDefault="00D232DC" w:rsidP="00BB57B7">
            <w:pPr>
              <w:widowControl w:val="0"/>
              <w:jc w:val="center"/>
              <w:rPr>
                <w:rFonts w:asciiTheme="minorHAnsi" w:hAnsiTheme="minorHAnsi" w:cstheme="minorHAnsi"/>
                <w:bCs/>
                <w:snapToGrid w:val="0"/>
                <w:color w:val="000000"/>
                <w:sz w:val="18"/>
                <w:szCs w:val="18"/>
              </w:rPr>
            </w:pPr>
            <w:r w:rsidRPr="00D232DC">
              <w:rPr>
                <w:rFonts w:asciiTheme="minorHAnsi" w:hAnsiTheme="minorHAnsi" w:cstheme="minorHAnsi"/>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4A0518A9" w14:textId="2FEC5DF7" w:rsidR="00B25328" w:rsidRPr="00D232DC" w:rsidRDefault="00812466" w:rsidP="00BB57B7">
            <w:pPr>
              <w:widowControl w:val="0"/>
              <w:jc w:val="center"/>
              <w:rPr>
                <w:rFonts w:asciiTheme="minorHAnsi" w:hAnsiTheme="minorHAnsi" w:cstheme="minorHAnsi"/>
                <w:bCs/>
                <w:snapToGrid w:val="0"/>
                <w:sz w:val="18"/>
                <w:szCs w:val="18"/>
              </w:rPr>
            </w:pPr>
            <w:r w:rsidRPr="00812466">
              <w:rPr>
                <w:rFonts w:asciiTheme="minorHAnsi" w:hAnsiTheme="minorHAnsi" w:cstheme="minorHAnsi"/>
                <w:bCs/>
                <w:snapToGrid w:val="0"/>
                <w:sz w:val="18"/>
                <w:szCs w:val="18"/>
              </w:rPr>
              <w:t>The PBAC rescinded the November 2021 recommendation.</w:t>
            </w:r>
          </w:p>
        </w:tc>
      </w:tr>
      <w:tr w:rsidR="00B25328" w:rsidRPr="00D232DC" w14:paraId="6B5DB651" w14:textId="77777777" w:rsidTr="00D5001E">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1D0D1289" w14:textId="2FF0EF56" w:rsidR="00B25328" w:rsidRDefault="00B25328" w:rsidP="00BB57B7">
            <w:pPr>
              <w:jc w:val="center"/>
              <w:rPr>
                <w:rFonts w:asciiTheme="minorHAnsi" w:hAnsiTheme="minorHAnsi" w:cstheme="minorHAnsi"/>
                <w:sz w:val="18"/>
                <w:szCs w:val="18"/>
              </w:rPr>
            </w:pPr>
            <w:r w:rsidRPr="00D232DC">
              <w:rPr>
                <w:rFonts w:asciiTheme="minorHAnsi" w:hAnsiTheme="minorHAnsi" w:cstheme="minorHAnsi"/>
                <w:sz w:val="18"/>
                <w:szCs w:val="18"/>
              </w:rPr>
              <w:lastRenderedPageBreak/>
              <w:t>INSULIN ASPART</w:t>
            </w:r>
          </w:p>
          <w:p w14:paraId="491A93FA" w14:textId="77777777" w:rsidR="00BB57B7" w:rsidRPr="00D232DC" w:rsidRDefault="00BB57B7" w:rsidP="00BB57B7">
            <w:pPr>
              <w:jc w:val="center"/>
              <w:rPr>
                <w:rFonts w:asciiTheme="minorHAnsi" w:hAnsiTheme="minorHAnsi" w:cstheme="minorHAnsi"/>
                <w:sz w:val="18"/>
                <w:szCs w:val="18"/>
              </w:rPr>
            </w:pPr>
          </w:p>
          <w:p w14:paraId="198CD150" w14:textId="2124BD29" w:rsidR="00B25328" w:rsidRDefault="00B25328" w:rsidP="00BB57B7">
            <w:pPr>
              <w:jc w:val="center"/>
              <w:rPr>
                <w:rFonts w:asciiTheme="minorHAnsi" w:hAnsiTheme="minorHAnsi" w:cstheme="minorHAnsi"/>
                <w:sz w:val="18"/>
                <w:szCs w:val="18"/>
              </w:rPr>
            </w:pPr>
            <w:r w:rsidRPr="00D232DC">
              <w:rPr>
                <w:rFonts w:asciiTheme="minorHAnsi" w:hAnsiTheme="minorHAnsi" w:cstheme="minorHAnsi"/>
                <w:sz w:val="18"/>
                <w:szCs w:val="18"/>
              </w:rPr>
              <w:t>Injection (human analogue), cartridge 100</w:t>
            </w:r>
            <w:r w:rsidR="00D060AA">
              <w:rPr>
                <w:rFonts w:asciiTheme="minorHAnsi" w:hAnsiTheme="minorHAnsi" w:cstheme="minorHAnsi"/>
                <w:sz w:val="18"/>
                <w:szCs w:val="18"/>
              </w:rPr>
              <w:t> </w:t>
            </w:r>
            <w:r w:rsidRPr="00D232DC">
              <w:rPr>
                <w:rFonts w:asciiTheme="minorHAnsi" w:hAnsiTheme="minorHAnsi" w:cstheme="minorHAnsi"/>
                <w:sz w:val="18"/>
                <w:szCs w:val="18"/>
              </w:rPr>
              <w:t>units per</w:t>
            </w:r>
            <w:r w:rsidR="00C67D16">
              <w:rPr>
                <w:rFonts w:asciiTheme="minorHAnsi" w:hAnsiTheme="minorHAnsi" w:cstheme="minorHAnsi"/>
                <w:sz w:val="18"/>
                <w:szCs w:val="18"/>
              </w:rPr>
              <w:t> mL</w:t>
            </w:r>
            <w:r w:rsidRPr="00D232DC">
              <w:rPr>
                <w:rFonts w:asciiTheme="minorHAnsi" w:hAnsiTheme="minorHAnsi" w:cstheme="minorHAnsi"/>
                <w:sz w:val="18"/>
                <w:szCs w:val="18"/>
              </w:rPr>
              <w:t>, 3</w:t>
            </w:r>
            <w:r w:rsidR="00C67D16">
              <w:rPr>
                <w:rFonts w:asciiTheme="minorHAnsi" w:hAnsiTheme="minorHAnsi" w:cstheme="minorHAnsi"/>
                <w:sz w:val="18"/>
                <w:szCs w:val="18"/>
              </w:rPr>
              <w:t> mL</w:t>
            </w:r>
            <w:r w:rsidRPr="00D232DC">
              <w:rPr>
                <w:rFonts w:asciiTheme="minorHAnsi" w:hAnsiTheme="minorHAnsi" w:cstheme="minorHAnsi"/>
                <w:sz w:val="18"/>
                <w:szCs w:val="18"/>
              </w:rPr>
              <w:br/>
              <w:t>Injection (human analogue), pre-filled pen, 100</w:t>
            </w:r>
            <w:r w:rsidR="00D060AA">
              <w:rPr>
                <w:rFonts w:asciiTheme="minorHAnsi" w:hAnsiTheme="minorHAnsi" w:cstheme="minorHAnsi"/>
                <w:sz w:val="18"/>
                <w:szCs w:val="18"/>
              </w:rPr>
              <w:t> </w:t>
            </w:r>
            <w:r w:rsidRPr="00D232DC">
              <w:rPr>
                <w:rFonts w:asciiTheme="minorHAnsi" w:hAnsiTheme="minorHAnsi" w:cstheme="minorHAnsi"/>
                <w:sz w:val="18"/>
                <w:szCs w:val="18"/>
              </w:rPr>
              <w:t>units per</w:t>
            </w:r>
            <w:r w:rsidR="00C67D16">
              <w:rPr>
                <w:rFonts w:asciiTheme="minorHAnsi" w:hAnsiTheme="minorHAnsi" w:cstheme="minorHAnsi"/>
                <w:sz w:val="18"/>
                <w:szCs w:val="18"/>
              </w:rPr>
              <w:t> mL</w:t>
            </w:r>
            <w:r w:rsidRPr="00D232DC">
              <w:rPr>
                <w:rFonts w:asciiTheme="minorHAnsi" w:hAnsiTheme="minorHAnsi" w:cstheme="minorHAnsi"/>
                <w:sz w:val="18"/>
                <w:szCs w:val="18"/>
              </w:rPr>
              <w:t>, 3</w:t>
            </w:r>
            <w:r w:rsidR="00C67D16">
              <w:rPr>
                <w:rFonts w:asciiTheme="minorHAnsi" w:hAnsiTheme="minorHAnsi" w:cstheme="minorHAnsi"/>
                <w:sz w:val="18"/>
                <w:szCs w:val="18"/>
              </w:rPr>
              <w:t> mL</w:t>
            </w:r>
          </w:p>
          <w:p w14:paraId="1DC50B21" w14:textId="77777777" w:rsidR="00BB57B7" w:rsidRPr="00D232DC" w:rsidRDefault="00BB57B7" w:rsidP="00BB57B7">
            <w:pPr>
              <w:jc w:val="center"/>
              <w:rPr>
                <w:rFonts w:asciiTheme="minorHAnsi" w:hAnsiTheme="minorHAnsi" w:cstheme="minorHAnsi"/>
                <w:sz w:val="18"/>
                <w:szCs w:val="18"/>
              </w:rPr>
            </w:pPr>
          </w:p>
          <w:p w14:paraId="335E0CAE" w14:textId="3950EA84" w:rsidR="00BB57B7" w:rsidRDefault="00B25328" w:rsidP="00BB57B7">
            <w:pPr>
              <w:jc w:val="center"/>
              <w:rPr>
                <w:rFonts w:asciiTheme="minorHAnsi" w:hAnsiTheme="minorHAnsi" w:cstheme="minorHAnsi"/>
                <w:sz w:val="18"/>
                <w:szCs w:val="18"/>
                <w:vertAlign w:val="superscript"/>
              </w:rPr>
            </w:pPr>
            <w:r w:rsidRPr="00D232DC">
              <w:rPr>
                <w:rFonts w:asciiTheme="minorHAnsi" w:hAnsiTheme="minorHAnsi" w:cstheme="minorHAnsi"/>
                <w:sz w:val="18"/>
                <w:szCs w:val="18"/>
              </w:rPr>
              <w:t>Truvelog</w:t>
            </w:r>
            <w:r w:rsidR="00971FC8" w:rsidRPr="008059F4">
              <w:rPr>
                <w:rFonts w:asciiTheme="minorHAnsi" w:hAnsiTheme="minorHAnsi" w:cstheme="minorHAnsi"/>
                <w:color w:val="000000"/>
                <w:sz w:val="18"/>
                <w:szCs w:val="18"/>
              </w:rPr>
              <w:t>®</w:t>
            </w:r>
          </w:p>
          <w:p w14:paraId="4A469EBD" w14:textId="33B4796C" w:rsidR="00B25328" w:rsidRDefault="00B25328" w:rsidP="00BB57B7">
            <w:pPr>
              <w:jc w:val="center"/>
              <w:rPr>
                <w:rFonts w:asciiTheme="minorHAnsi" w:hAnsiTheme="minorHAnsi" w:cstheme="minorHAnsi"/>
                <w:sz w:val="18"/>
                <w:szCs w:val="18"/>
                <w:vertAlign w:val="superscript"/>
              </w:rPr>
            </w:pPr>
            <w:r w:rsidRPr="00D232DC">
              <w:rPr>
                <w:rFonts w:asciiTheme="minorHAnsi" w:hAnsiTheme="minorHAnsi" w:cstheme="minorHAnsi"/>
                <w:sz w:val="18"/>
                <w:szCs w:val="18"/>
              </w:rPr>
              <w:br/>
              <w:t>Truvelog Solostar</w:t>
            </w:r>
            <w:r w:rsidRPr="00D232DC">
              <w:rPr>
                <w:rFonts w:asciiTheme="minorHAnsi" w:hAnsiTheme="minorHAnsi" w:cstheme="minorHAnsi"/>
                <w:sz w:val="18"/>
                <w:szCs w:val="18"/>
                <w:vertAlign w:val="superscript"/>
              </w:rPr>
              <w:t>®</w:t>
            </w:r>
          </w:p>
          <w:p w14:paraId="2DA2FFE0" w14:textId="77777777" w:rsidR="00BB57B7" w:rsidRPr="00D232DC" w:rsidRDefault="00BB57B7" w:rsidP="00BB57B7">
            <w:pPr>
              <w:jc w:val="center"/>
              <w:rPr>
                <w:rFonts w:asciiTheme="minorHAnsi" w:hAnsiTheme="minorHAnsi" w:cstheme="minorHAnsi"/>
                <w:sz w:val="18"/>
                <w:szCs w:val="18"/>
              </w:rPr>
            </w:pPr>
          </w:p>
          <w:p w14:paraId="3D138D7D" w14:textId="7656E0A3" w:rsidR="00B25328" w:rsidRPr="00D232DC" w:rsidRDefault="00B25328" w:rsidP="00BB57B7">
            <w:pPr>
              <w:jc w:val="center"/>
              <w:rPr>
                <w:rFonts w:asciiTheme="minorHAnsi" w:hAnsiTheme="minorHAnsi" w:cstheme="minorHAnsi"/>
                <w:snapToGrid w:val="0"/>
                <w:color w:val="FF0000"/>
                <w:sz w:val="18"/>
                <w:szCs w:val="18"/>
              </w:rPr>
            </w:pPr>
            <w:r w:rsidRPr="00D232DC">
              <w:rPr>
                <w:rFonts w:asciiTheme="minorHAnsi" w:hAnsiTheme="minorHAnsi" w:cstheme="minorHAnsi"/>
                <w:sz w:val="18"/>
                <w:szCs w:val="18"/>
              </w:rPr>
              <w:t>Sanofi-Aventis Australia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3227D25F" w14:textId="7DAAE843" w:rsidR="00B25328" w:rsidRPr="00D232DC" w:rsidRDefault="00B25328" w:rsidP="00BB57B7">
            <w:pPr>
              <w:widowControl w:val="0"/>
              <w:jc w:val="center"/>
              <w:rPr>
                <w:rFonts w:asciiTheme="minorHAnsi" w:hAnsiTheme="minorHAnsi" w:cstheme="minorHAnsi"/>
                <w:snapToGrid w:val="0"/>
                <w:color w:val="FF0000"/>
                <w:sz w:val="18"/>
                <w:szCs w:val="18"/>
              </w:rPr>
            </w:pPr>
            <w:r w:rsidRPr="00D232DC">
              <w:rPr>
                <w:rFonts w:asciiTheme="minorHAnsi" w:hAnsiTheme="minorHAnsi" w:cstheme="minorHAnsi"/>
                <w:bCs/>
                <w:sz w:val="18"/>
                <w:szCs w:val="18"/>
              </w:rPr>
              <w:t>Diabetes mellitus</w:t>
            </w:r>
          </w:p>
        </w:tc>
        <w:tc>
          <w:tcPr>
            <w:tcW w:w="1197" w:type="pct"/>
            <w:tcBorders>
              <w:top w:val="single" w:sz="4" w:space="0" w:color="auto"/>
              <w:left w:val="nil"/>
              <w:bottom w:val="single" w:sz="4" w:space="0" w:color="auto"/>
              <w:right w:val="single" w:sz="4" w:space="0" w:color="auto"/>
            </w:tcBorders>
            <w:shd w:val="clear" w:color="auto" w:fill="auto"/>
            <w:vAlign w:val="center"/>
          </w:tcPr>
          <w:p w14:paraId="6D3B7D1C" w14:textId="60392ED1" w:rsidR="00B25328" w:rsidRPr="00D232DC" w:rsidRDefault="00D232DC" w:rsidP="00BB57B7">
            <w:pPr>
              <w:widowControl w:val="0"/>
              <w:jc w:val="center"/>
              <w:rPr>
                <w:rFonts w:asciiTheme="minorHAnsi" w:hAnsiTheme="minorHAnsi" w:cstheme="minorHAnsi"/>
                <w:bCs/>
                <w:snapToGrid w:val="0"/>
                <w:color w:val="000000"/>
                <w:sz w:val="18"/>
                <w:szCs w:val="18"/>
              </w:rPr>
            </w:pPr>
            <w:r w:rsidRPr="00D232DC">
              <w:rPr>
                <w:rFonts w:asciiTheme="minorHAnsi" w:hAnsiTheme="minorHAnsi" w:cstheme="minorHAnsi"/>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1E3B7E01" w14:textId="52A12EAB" w:rsidR="00B25328" w:rsidRPr="00D232DC" w:rsidRDefault="00812466" w:rsidP="00BB57B7">
            <w:pPr>
              <w:widowControl w:val="0"/>
              <w:jc w:val="center"/>
              <w:rPr>
                <w:rFonts w:asciiTheme="minorHAnsi" w:hAnsiTheme="minorHAnsi" w:cstheme="minorHAnsi"/>
                <w:bCs/>
                <w:snapToGrid w:val="0"/>
                <w:sz w:val="18"/>
                <w:szCs w:val="18"/>
              </w:rPr>
            </w:pPr>
            <w:r w:rsidRPr="00812466">
              <w:rPr>
                <w:rFonts w:asciiTheme="minorHAnsi" w:hAnsiTheme="minorHAnsi" w:cstheme="minorHAnsi"/>
                <w:bCs/>
                <w:snapToGrid w:val="0"/>
                <w:sz w:val="18"/>
                <w:szCs w:val="18"/>
              </w:rPr>
              <w:t>The PBAC extended the July 2020 recommendation for a further 6 months.</w:t>
            </w:r>
          </w:p>
        </w:tc>
      </w:tr>
      <w:tr w:rsidR="00B25328" w:rsidRPr="00D232DC" w14:paraId="7A38C97D" w14:textId="77777777" w:rsidTr="00D5001E">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4EB96D23" w14:textId="7867FB74" w:rsidR="00B25328" w:rsidRDefault="00B25328" w:rsidP="00BB57B7">
            <w:pPr>
              <w:jc w:val="center"/>
              <w:rPr>
                <w:rFonts w:asciiTheme="minorHAnsi" w:hAnsiTheme="minorHAnsi" w:cstheme="minorHAnsi"/>
                <w:sz w:val="18"/>
                <w:szCs w:val="18"/>
              </w:rPr>
            </w:pPr>
            <w:r w:rsidRPr="00D232DC">
              <w:rPr>
                <w:rFonts w:asciiTheme="minorHAnsi" w:hAnsiTheme="minorHAnsi" w:cstheme="minorHAnsi"/>
                <w:sz w:val="18"/>
                <w:szCs w:val="18"/>
              </w:rPr>
              <w:t>IXEKIZUMAB</w:t>
            </w:r>
          </w:p>
          <w:p w14:paraId="48268CD9" w14:textId="77777777" w:rsidR="00BB57B7" w:rsidRPr="00D232DC" w:rsidRDefault="00BB57B7" w:rsidP="00BB57B7">
            <w:pPr>
              <w:jc w:val="center"/>
              <w:rPr>
                <w:rFonts w:asciiTheme="minorHAnsi" w:hAnsiTheme="minorHAnsi" w:cstheme="minorHAnsi"/>
                <w:sz w:val="18"/>
                <w:szCs w:val="18"/>
              </w:rPr>
            </w:pPr>
          </w:p>
          <w:p w14:paraId="3A9CC842" w14:textId="071EEF73" w:rsidR="00B25328" w:rsidRDefault="00B25328" w:rsidP="00BB57B7">
            <w:pPr>
              <w:jc w:val="center"/>
              <w:rPr>
                <w:rFonts w:asciiTheme="minorHAnsi" w:hAnsiTheme="minorHAnsi" w:cstheme="minorHAnsi"/>
                <w:sz w:val="18"/>
                <w:szCs w:val="18"/>
              </w:rPr>
            </w:pPr>
            <w:r w:rsidRPr="00D232DC">
              <w:rPr>
                <w:rFonts w:asciiTheme="minorHAnsi" w:hAnsiTheme="minorHAnsi" w:cstheme="minorHAnsi"/>
                <w:sz w:val="18"/>
                <w:szCs w:val="18"/>
              </w:rPr>
              <w:t>Injection 80</w:t>
            </w:r>
            <w:r w:rsidR="00F875EE">
              <w:rPr>
                <w:rFonts w:asciiTheme="minorHAnsi" w:hAnsiTheme="minorHAnsi" w:cstheme="minorHAnsi"/>
                <w:sz w:val="18"/>
                <w:szCs w:val="18"/>
              </w:rPr>
              <w:t> mg</w:t>
            </w:r>
            <w:r w:rsidRPr="00D232DC">
              <w:rPr>
                <w:rFonts w:asciiTheme="minorHAnsi" w:hAnsiTheme="minorHAnsi" w:cstheme="minorHAnsi"/>
                <w:sz w:val="18"/>
                <w:szCs w:val="18"/>
              </w:rPr>
              <w:t xml:space="preserve"> in 1</w:t>
            </w:r>
            <w:r w:rsidR="00C67D16">
              <w:rPr>
                <w:rFonts w:asciiTheme="minorHAnsi" w:hAnsiTheme="minorHAnsi" w:cstheme="minorHAnsi"/>
                <w:sz w:val="18"/>
                <w:szCs w:val="18"/>
              </w:rPr>
              <w:t> mL</w:t>
            </w:r>
            <w:r w:rsidRPr="00D232DC">
              <w:rPr>
                <w:rFonts w:asciiTheme="minorHAnsi" w:hAnsiTheme="minorHAnsi" w:cstheme="minorHAnsi"/>
                <w:sz w:val="18"/>
                <w:szCs w:val="18"/>
              </w:rPr>
              <w:t xml:space="preserve"> single dose pre-filled pen</w:t>
            </w:r>
          </w:p>
          <w:p w14:paraId="5B9F1A45" w14:textId="77777777" w:rsidR="00BB57B7" w:rsidRPr="00D232DC" w:rsidRDefault="00BB57B7" w:rsidP="00BB57B7">
            <w:pPr>
              <w:jc w:val="center"/>
              <w:rPr>
                <w:rFonts w:asciiTheme="minorHAnsi" w:hAnsiTheme="minorHAnsi" w:cstheme="minorHAnsi"/>
                <w:sz w:val="18"/>
                <w:szCs w:val="18"/>
              </w:rPr>
            </w:pPr>
          </w:p>
          <w:p w14:paraId="2BBB5F13" w14:textId="23DBA7C5" w:rsidR="00B25328" w:rsidRDefault="00B25328" w:rsidP="00BB57B7">
            <w:pPr>
              <w:jc w:val="center"/>
              <w:rPr>
                <w:rFonts w:asciiTheme="minorHAnsi" w:hAnsiTheme="minorHAnsi" w:cstheme="minorHAnsi"/>
                <w:sz w:val="18"/>
                <w:szCs w:val="18"/>
                <w:vertAlign w:val="superscript"/>
              </w:rPr>
            </w:pPr>
            <w:r w:rsidRPr="00D232DC">
              <w:rPr>
                <w:rFonts w:asciiTheme="minorHAnsi" w:hAnsiTheme="minorHAnsi" w:cstheme="minorHAnsi"/>
                <w:sz w:val="18"/>
                <w:szCs w:val="18"/>
              </w:rPr>
              <w:t>Taltz</w:t>
            </w:r>
            <w:r w:rsidR="00971FC8" w:rsidRPr="008059F4">
              <w:rPr>
                <w:rFonts w:asciiTheme="minorHAnsi" w:hAnsiTheme="minorHAnsi" w:cstheme="minorHAnsi"/>
                <w:color w:val="000000"/>
                <w:sz w:val="18"/>
                <w:szCs w:val="18"/>
              </w:rPr>
              <w:t>®</w:t>
            </w:r>
          </w:p>
          <w:p w14:paraId="511AE2A5" w14:textId="77777777" w:rsidR="00BB57B7" w:rsidRPr="00D232DC" w:rsidRDefault="00BB57B7" w:rsidP="00BB57B7">
            <w:pPr>
              <w:jc w:val="center"/>
              <w:rPr>
                <w:rFonts w:asciiTheme="minorHAnsi" w:hAnsiTheme="minorHAnsi" w:cstheme="minorHAnsi"/>
                <w:sz w:val="18"/>
                <w:szCs w:val="18"/>
              </w:rPr>
            </w:pPr>
          </w:p>
          <w:p w14:paraId="2D6D1C58" w14:textId="0CE83D63" w:rsidR="00B25328" w:rsidRPr="00D232DC" w:rsidRDefault="00B25328" w:rsidP="00BB57B7">
            <w:pPr>
              <w:jc w:val="center"/>
              <w:rPr>
                <w:rFonts w:asciiTheme="minorHAnsi" w:hAnsiTheme="minorHAnsi" w:cstheme="minorHAnsi"/>
                <w:sz w:val="18"/>
                <w:szCs w:val="18"/>
              </w:rPr>
            </w:pPr>
            <w:r w:rsidRPr="00D232DC">
              <w:rPr>
                <w:rFonts w:asciiTheme="minorHAnsi" w:hAnsiTheme="minorHAnsi" w:cstheme="minorHAnsi"/>
                <w:sz w:val="18"/>
                <w:szCs w:val="18"/>
              </w:rPr>
              <w:t>Eli Lilly Australia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4DE5216D" w14:textId="205DCE1F" w:rsidR="00B25328" w:rsidRPr="00D232DC" w:rsidRDefault="00B25328" w:rsidP="00BB57B7">
            <w:pPr>
              <w:widowControl w:val="0"/>
              <w:jc w:val="center"/>
              <w:rPr>
                <w:rFonts w:asciiTheme="minorHAnsi" w:hAnsiTheme="minorHAnsi" w:cstheme="minorHAnsi"/>
                <w:sz w:val="18"/>
                <w:szCs w:val="18"/>
              </w:rPr>
            </w:pPr>
            <w:r w:rsidRPr="00D232DC">
              <w:rPr>
                <w:rFonts w:asciiTheme="minorHAnsi" w:hAnsiTheme="minorHAnsi" w:cstheme="minorHAnsi"/>
                <w:bCs/>
                <w:sz w:val="18"/>
                <w:szCs w:val="18"/>
              </w:rPr>
              <w:t>Non-radiographic axial spondyloarthritis</w:t>
            </w:r>
          </w:p>
        </w:tc>
        <w:tc>
          <w:tcPr>
            <w:tcW w:w="1197" w:type="pct"/>
            <w:tcBorders>
              <w:top w:val="single" w:sz="4" w:space="0" w:color="auto"/>
              <w:left w:val="nil"/>
              <w:bottom w:val="single" w:sz="4" w:space="0" w:color="auto"/>
              <w:right w:val="single" w:sz="4" w:space="0" w:color="auto"/>
            </w:tcBorders>
            <w:shd w:val="clear" w:color="auto" w:fill="auto"/>
            <w:vAlign w:val="center"/>
          </w:tcPr>
          <w:p w14:paraId="6A403B0C" w14:textId="16D940D5" w:rsidR="00B25328" w:rsidRPr="00D232DC" w:rsidRDefault="00D232DC" w:rsidP="00BB57B7">
            <w:pPr>
              <w:widowControl w:val="0"/>
              <w:jc w:val="center"/>
              <w:rPr>
                <w:rFonts w:asciiTheme="minorHAnsi" w:hAnsiTheme="minorHAnsi" w:cstheme="minorHAnsi"/>
                <w:sz w:val="18"/>
                <w:szCs w:val="18"/>
              </w:rPr>
            </w:pPr>
            <w:r w:rsidRPr="00D232DC">
              <w:rPr>
                <w:rFonts w:asciiTheme="minorHAnsi" w:hAnsiTheme="minorHAnsi" w:cstheme="minorHAnsi"/>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3D261D24" w14:textId="6A37DA0F" w:rsidR="00B25328" w:rsidRPr="00D232DC" w:rsidRDefault="00812466" w:rsidP="00BB57B7">
            <w:pPr>
              <w:widowControl w:val="0"/>
              <w:jc w:val="center"/>
              <w:rPr>
                <w:rFonts w:asciiTheme="minorHAnsi" w:hAnsiTheme="minorHAnsi" w:cstheme="minorHAnsi"/>
                <w:sz w:val="18"/>
                <w:szCs w:val="18"/>
              </w:rPr>
            </w:pPr>
            <w:r w:rsidRPr="00812466">
              <w:rPr>
                <w:rFonts w:asciiTheme="minorHAnsi" w:hAnsiTheme="minorHAnsi" w:cstheme="minorHAnsi"/>
                <w:sz w:val="18"/>
                <w:szCs w:val="18"/>
              </w:rPr>
              <w:t>The PBAC extended the July 2020 recommendation for a further 12 months.</w:t>
            </w:r>
          </w:p>
        </w:tc>
      </w:tr>
      <w:tr w:rsidR="00B25328" w:rsidRPr="00D232DC" w14:paraId="1879FAA0" w14:textId="77777777" w:rsidTr="00E6019E">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60233BC1" w14:textId="1F93C300" w:rsidR="00B25328" w:rsidRDefault="00B25328" w:rsidP="00BB57B7">
            <w:pPr>
              <w:jc w:val="center"/>
              <w:rPr>
                <w:rFonts w:asciiTheme="minorHAnsi" w:hAnsiTheme="minorHAnsi" w:cstheme="minorHAnsi"/>
                <w:sz w:val="18"/>
                <w:szCs w:val="18"/>
              </w:rPr>
            </w:pPr>
            <w:r w:rsidRPr="00D232DC">
              <w:rPr>
                <w:rFonts w:asciiTheme="minorHAnsi" w:hAnsiTheme="minorHAnsi" w:cstheme="minorHAnsi"/>
                <w:sz w:val="18"/>
                <w:szCs w:val="18"/>
              </w:rPr>
              <w:t>MELATONIN</w:t>
            </w:r>
          </w:p>
          <w:p w14:paraId="02AC8E14" w14:textId="77777777" w:rsidR="00BB57B7" w:rsidRPr="00D232DC" w:rsidRDefault="00BB57B7" w:rsidP="00BB57B7">
            <w:pPr>
              <w:jc w:val="center"/>
              <w:rPr>
                <w:rFonts w:asciiTheme="minorHAnsi" w:hAnsiTheme="minorHAnsi" w:cstheme="minorHAnsi"/>
                <w:sz w:val="18"/>
                <w:szCs w:val="18"/>
              </w:rPr>
            </w:pPr>
          </w:p>
          <w:p w14:paraId="42B83B79" w14:textId="76207519" w:rsidR="00B25328" w:rsidRDefault="00B25328" w:rsidP="00BB57B7">
            <w:pPr>
              <w:jc w:val="center"/>
              <w:rPr>
                <w:rFonts w:asciiTheme="minorHAnsi" w:hAnsiTheme="minorHAnsi" w:cstheme="minorHAnsi"/>
                <w:sz w:val="18"/>
                <w:szCs w:val="18"/>
              </w:rPr>
            </w:pPr>
            <w:r w:rsidRPr="00D232DC">
              <w:rPr>
                <w:rFonts w:asciiTheme="minorHAnsi" w:hAnsiTheme="minorHAnsi" w:cstheme="minorHAnsi"/>
                <w:sz w:val="18"/>
                <w:szCs w:val="18"/>
              </w:rPr>
              <w:t>Tablet 1</w:t>
            </w:r>
            <w:r w:rsidR="00F875EE">
              <w:rPr>
                <w:rFonts w:asciiTheme="minorHAnsi" w:hAnsiTheme="minorHAnsi" w:cstheme="minorHAnsi"/>
                <w:sz w:val="18"/>
                <w:szCs w:val="18"/>
              </w:rPr>
              <w:t> mg</w:t>
            </w:r>
            <w:r w:rsidRPr="00D232DC">
              <w:rPr>
                <w:rFonts w:asciiTheme="minorHAnsi" w:hAnsiTheme="minorHAnsi" w:cstheme="minorHAnsi"/>
                <w:sz w:val="18"/>
                <w:szCs w:val="18"/>
              </w:rPr>
              <w:br/>
              <w:t>Tablet 5</w:t>
            </w:r>
            <w:r w:rsidR="00F875EE">
              <w:rPr>
                <w:rFonts w:asciiTheme="minorHAnsi" w:hAnsiTheme="minorHAnsi" w:cstheme="minorHAnsi"/>
                <w:sz w:val="18"/>
                <w:szCs w:val="18"/>
              </w:rPr>
              <w:t> mg</w:t>
            </w:r>
          </w:p>
          <w:p w14:paraId="33449EF7" w14:textId="77777777" w:rsidR="00BB57B7" w:rsidRPr="00D232DC" w:rsidRDefault="00BB57B7" w:rsidP="00BB57B7">
            <w:pPr>
              <w:jc w:val="center"/>
              <w:rPr>
                <w:rFonts w:asciiTheme="minorHAnsi" w:hAnsiTheme="minorHAnsi" w:cstheme="minorHAnsi"/>
                <w:sz w:val="18"/>
                <w:szCs w:val="18"/>
              </w:rPr>
            </w:pPr>
          </w:p>
          <w:p w14:paraId="30CE5B10" w14:textId="51DDF71E" w:rsidR="00B25328" w:rsidRDefault="00B25328" w:rsidP="00BB57B7">
            <w:pPr>
              <w:jc w:val="center"/>
              <w:rPr>
                <w:rFonts w:asciiTheme="minorHAnsi" w:hAnsiTheme="minorHAnsi" w:cstheme="minorHAnsi"/>
                <w:sz w:val="18"/>
                <w:szCs w:val="18"/>
                <w:vertAlign w:val="superscript"/>
              </w:rPr>
            </w:pPr>
            <w:r w:rsidRPr="00D232DC">
              <w:rPr>
                <w:rFonts w:asciiTheme="minorHAnsi" w:hAnsiTheme="minorHAnsi" w:cstheme="minorHAnsi"/>
                <w:sz w:val="18"/>
                <w:szCs w:val="18"/>
              </w:rPr>
              <w:t>Slenyto</w:t>
            </w:r>
            <w:r w:rsidR="0025420C" w:rsidRPr="008059F4">
              <w:rPr>
                <w:rFonts w:asciiTheme="minorHAnsi" w:hAnsiTheme="minorHAnsi" w:cstheme="minorHAnsi"/>
                <w:color w:val="000000"/>
                <w:sz w:val="18"/>
                <w:szCs w:val="18"/>
              </w:rPr>
              <w:t>®</w:t>
            </w:r>
          </w:p>
          <w:p w14:paraId="2EC72737" w14:textId="77777777" w:rsidR="00BB57B7" w:rsidRPr="00D232DC" w:rsidRDefault="00BB57B7" w:rsidP="00BB57B7">
            <w:pPr>
              <w:jc w:val="center"/>
              <w:rPr>
                <w:rFonts w:asciiTheme="minorHAnsi" w:hAnsiTheme="minorHAnsi" w:cstheme="minorHAnsi"/>
                <w:sz w:val="18"/>
                <w:szCs w:val="18"/>
              </w:rPr>
            </w:pPr>
          </w:p>
          <w:p w14:paraId="73A16BC9" w14:textId="39B66344" w:rsidR="00B25328" w:rsidRPr="00D232DC" w:rsidRDefault="00B25328" w:rsidP="00BB57B7">
            <w:pPr>
              <w:jc w:val="center"/>
              <w:rPr>
                <w:rFonts w:asciiTheme="minorHAnsi" w:hAnsiTheme="minorHAnsi" w:cstheme="minorHAnsi"/>
                <w:sz w:val="18"/>
                <w:szCs w:val="18"/>
              </w:rPr>
            </w:pPr>
            <w:r w:rsidRPr="00D232DC">
              <w:rPr>
                <w:rFonts w:asciiTheme="minorHAnsi" w:hAnsiTheme="minorHAnsi" w:cstheme="minorHAnsi"/>
                <w:sz w:val="18"/>
                <w:szCs w:val="18"/>
              </w:rPr>
              <w:t>Aspen Pharmacare Australia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12B0E0A1" w14:textId="7563C7A0" w:rsidR="00B25328" w:rsidRPr="00D232DC" w:rsidRDefault="00B25328" w:rsidP="00BB57B7">
            <w:pPr>
              <w:widowControl w:val="0"/>
              <w:jc w:val="center"/>
              <w:rPr>
                <w:rFonts w:asciiTheme="minorHAnsi" w:hAnsiTheme="minorHAnsi" w:cstheme="minorHAnsi"/>
                <w:bCs/>
                <w:sz w:val="18"/>
                <w:szCs w:val="18"/>
              </w:rPr>
            </w:pPr>
            <w:r w:rsidRPr="00D232DC">
              <w:rPr>
                <w:rFonts w:asciiTheme="minorHAnsi" w:hAnsiTheme="minorHAnsi" w:cstheme="minorHAnsi"/>
                <w:bCs/>
                <w:sz w:val="18"/>
                <w:szCs w:val="18"/>
              </w:rPr>
              <w:t>Smith-Magenis syndrome</w:t>
            </w:r>
          </w:p>
        </w:tc>
        <w:tc>
          <w:tcPr>
            <w:tcW w:w="1197" w:type="pct"/>
            <w:tcBorders>
              <w:top w:val="single" w:sz="4" w:space="0" w:color="auto"/>
              <w:left w:val="nil"/>
              <w:bottom w:val="single" w:sz="4" w:space="0" w:color="auto"/>
              <w:right w:val="single" w:sz="4" w:space="0" w:color="auto"/>
            </w:tcBorders>
            <w:shd w:val="clear" w:color="auto" w:fill="auto"/>
            <w:vAlign w:val="center"/>
          </w:tcPr>
          <w:p w14:paraId="26A63577" w14:textId="59B4D640" w:rsidR="00B25328" w:rsidRPr="00D232DC" w:rsidRDefault="00D232DC" w:rsidP="00BB57B7">
            <w:pPr>
              <w:jc w:val="center"/>
              <w:rPr>
                <w:rFonts w:asciiTheme="minorHAnsi" w:hAnsiTheme="minorHAnsi" w:cstheme="minorHAnsi"/>
                <w:sz w:val="18"/>
                <w:szCs w:val="18"/>
              </w:rPr>
            </w:pPr>
            <w:r w:rsidRPr="00D232DC">
              <w:rPr>
                <w:rFonts w:asciiTheme="minorHAnsi" w:hAnsiTheme="minorHAnsi" w:cstheme="minorHAnsi"/>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shd w:val="clear" w:color="auto" w:fill="auto"/>
            <w:vAlign w:val="center"/>
          </w:tcPr>
          <w:p w14:paraId="515DD9D1" w14:textId="333BA783" w:rsidR="00B25328" w:rsidRPr="00D232DC" w:rsidRDefault="00812466" w:rsidP="00BB57B7">
            <w:pPr>
              <w:widowControl w:val="0"/>
              <w:jc w:val="center"/>
              <w:rPr>
                <w:rFonts w:asciiTheme="minorHAnsi" w:hAnsiTheme="minorHAnsi" w:cstheme="minorHAnsi"/>
                <w:sz w:val="18"/>
                <w:szCs w:val="18"/>
              </w:rPr>
            </w:pPr>
            <w:r w:rsidRPr="00812466">
              <w:rPr>
                <w:rFonts w:asciiTheme="minorHAnsi" w:hAnsiTheme="minorHAnsi" w:cstheme="minorHAnsi"/>
                <w:sz w:val="18"/>
                <w:szCs w:val="18"/>
              </w:rPr>
              <w:t>The PBAC deferred this item. It will be considered at the December 2023 PBAC intracycle meeting.</w:t>
            </w:r>
          </w:p>
        </w:tc>
      </w:tr>
      <w:tr w:rsidR="00B25328" w:rsidRPr="00D232DC" w14:paraId="683742C3" w14:textId="77777777" w:rsidTr="00E6019E">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0FEE2B8E" w14:textId="482860A6" w:rsidR="00B25328" w:rsidRDefault="00B25328" w:rsidP="00BB57B7">
            <w:pPr>
              <w:jc w:val="center"/>
              <w:rPr>
                <w:rFonts w:asciiTheme="minorHAnsi" w:hAnsiTheme="minorHAnsi" w:cstheme="minorHAnsi"/>
                <w:sz w:val="18"/>
                <w:szCs w:val="18"/>
              </w:rPr>
            </w:pPr>
            <w:r w:rsidRPr="00D232DC">
              <w:rPr>
                <w:rFonts w:asciiTheme="minorHAnsi" w:hAnsiTheme="minorHAnsi" w:cstheme="minorHAnsi"/>
                <w:sz w:val="18"/>
                <w:szCs w:val="18"/>
              </w:rPr>
              <w:t>RISANKIZUMAB</w:t>
            </w:r>
          </w:p>
          <w:p w14:paraId="5010926D" w14:textId="77777777" w:rsidR="00BB57B7" w:rsidRPr="00D232DC" w:rsidRDefault="00BB57B7" w:rsidP="00BB57B7">
            <w:pPr>
              <w:jc w:val="center"/>
              <w:rPr>
                <w:rFonts w:asciiTheme="minorHAnsi" w:hAnsiTheme="minorHAnsi" w:cstheme="minorHAnsi"/>
                <w:sz w:val="18"/>
                <w:szCs w:val="18"/>
              </w:rPr>
            </w:pPr>
          </w:p>
          <w:p w14:paraId="3F09A5C0" w14:textId="62B9A3D1" w:rsidR="00B25328" w:rsidRDefault="00B25328" w:rsidP="00BB57B7">
            <w:pPr>
              <w:jc w:val="center"/>
              <w:rPr>
                <w:rFonts w:asciiTheme="minorHAnsi" w:hAnsiTheme="minorHAnsi" w:cstheme="minorHAnsi"/>
                <w:sz w:val="18"/>
                <w:szCs w:val="18"/>
              </w:rPr>
            </w:pPr>
            <w:r w:rsidRPr="00D232DC">
              <w:rPr>
                <w:rFonts w:asciiTheme="minorHAnsi" w:hAnsiTheme="minorHAnsi" w:cstheme="minorHAnsi"/>
                <w:sz w:val="18"/>
                <w:szCs w:val="18"/>
              </w:rPr>
              <w:t>Injection 150</w:t>
            </w:r>
            <w:r w:rsidR="00F875EE">
              <w:rPr>
                <w:rFonts w:asciiTheme="minorHAnsi" w:hAnsiTheme="minorHAnsi" w:cstheme="minorHAnsi"/>
                <w:sz w:val="18"/>
                <w:szCs w:val="18"/>
              </w:rPr>
              <w:t> mg</w:t>
            </w:r>
            <w:r w:rsidRPr="00D232DC">
              <w:rPr>
                <w:rFonts w:asciiTheme="minorHAnsi" w:hAnsiTheme="minorHAnsi" w:cstheme="minorHAnsi"/>
                <w:sz w:val="18"/>
                <w:szCs w:val="18"/>
              </w:rPr>
              <w:t xml:space="preserve"> in 1</w:t>
            </w:r>
            <w:r w:rsidR="00C67D16">
              <w:rPr>
                <w:rFonts w:asciiTheme="minorHAnsi" w:hAnsiTheme="minorHAnsi" w:cstheme="minorHAnsi"/>
                <w:sz w:val="18"/>
                <w:szCs w:val="18"/>
              </w:rPr>
              <w:t> mL</w:t>
            </w:r>
            <w:r w:rsidRPr="00D232DC">
              <w:rPr>
                <w:rFonts w:asciiTheme="minorHAnsi" w:hAnsiTheme="minorHAnsi" w:cstheme="minorHAnsi"/>
                <w:sz w:val="18"/>
                <w:szCs w:val="18"/>
              </w:rPr>
              <w:t xml:space="preserve"> pre-filled pen</w:t>
            </w:r>
            <w:r w:rsidRPr="00D232DC">
              <w:rPr>
                <w:rFonts w:asciiTheme="minorHAnsi" w:hAnsiTheme="minorHAnsi" w:cstheme="minorHAnsi"/>
                <w:sz w:val="18"/>
                <w:szCs w:val="18"/>
              </w:rPr>
              <w:br/>
              <w:t>Injection 150</w:t>
            </w:r>
            <w:r w:rsidR="00F875EE">
              <w:rPr>
                <w:rFonts w:asciiTheme="minorHAnsi" w:hAnsiTheme="minorHAnsi" w:cstheme="minorHAnsi"/>
                <w:sz w:val="18"/>
                <w:szCs w:val="18"/>
              </w:rPr>
              <w:t> mg</w:t>
            </w:r>
            <w:r w:rsidRPr="00D232DC">
              <w:rPr>
                <w:rFonts w:asciiTheme="minorHAnsi" w:hAnsiTheme="minorHAnsi" w:cstheme="minorHAnsi"/>
                <w:sz w:val="18"/>
                <w:szCs w:val="18"/>
              </w:rPr>
              <w:t xml:space="preserve"> in 1</w:t>
            </w:r>
            <w:r w:rsidR="00C67D16">
              <w:rPr>
                <w:rFonts w:asciiTheme="minorHAnsi" w:hAnsiTheme="minorHAnsi" w:cstheme="minorHAnsi"/>
                <w:sz w:val="18"/>
                <w:szCs w:val="18"/>
              </w:rPr>
              <w:t> mL</w:t>
            </w:r>
            <w:r w:rsidRPr="00D232DC">
              <w:rPr>
                <w:rFonts w:asciiTheme="minorHAnsi" w:hAnsiTheme="minorHAnsi" w:cstheme="minorHAnsi"/>
                <w:sz w:val="18"/>
                <w:szCs w:val="18"/>
              </w:rPr>
              <w:t xml:space="preserve"> pre-filled syringe</w:t>
            </w:r>
          </w:p>
          <w:p w14:paraId="6F588732" w14:textId="77777777" w:rsidR="00BB57B7" w:rsidRPr="00D232DC" w:rsidRDefault="00BB57B7" w:rsidP="00BB57B7">
            <w:pPr>
              <w:jc w:val="center"/>
              <w:rPr>
                <w:rFonts w:asciiTheme="minorHAnsi" w:hAnsiTheme="minorHAnsi" w:cstheme="minorHAnsi"/>
                <w:sz w:val="18"/>
                <w:szCs w:val="18"/>
              </w:rPr>
            </w:pPr>
          </w:p>
          <w:p w14:paraId="7028954F" w14:textId="10F0E2E8" w:rsidR="00B25328" w:rsidRDefault="00B25328" w:rsidP="00BB57B7">
            <w:pPr>
              <w:jc w:val="center"/>
              <w:rPr>
                <w:rFonts w:asciiTheme="minorHAnsi" w:hAnsiTheme="minorHAnsi" w:cstheme="minorHAnsi"/>
                <w:sz w:val="18"/>
                <w:szCs w:val="18"/>
                <w:vertAlign w:val="superscript"/>
              </w:rPr>
            </w:pPr>
            <w:r w:rsidRPr="00D232DC">
              <w:rPr>
                <w:rFonts w:asciiTheme="minorHAnsi" w:hAnsiTheme="minorHAnsi" w:cstheme="minorHAnsi"/>
                <w:sz w:val="18"/>
                <w:szCs w:val="18"/>
              </w:rPr>
              <w:t>Skyrizi</w:t>
            </w:r>
            <w:r w:rsidR="0025420C" w:rsidRPr="008059F4">
              <w:rPr>
                <w:rFonts w:asciiTheme="minorHAnsi" w:hAnsiTheme="minorHAnsi" w:cstheme="minorHAnsi"/>
                <w:color w:val="000000"/>
                <w:sz w:val="18"/>
                <w:szCs w:val="18"/>
              </w:rPr>
              <w:t>®</w:t>
            </w:r>
          </w:p>
          <w:p w14:paraId="0B42C324" w14:textId="77777777" w:rsidR="00BB57B7" w:rsidRPr="00D232DC" w:rsidRDefault="00BB57B7" w:rsidP="00BB57B7">
            <w:pPr>
              <w:jc w:val="center"/>
              <w:rPr>
                <w:rFonts w:asciiTheme="minorHAnsi" w:hAnsiTheme="minorHAnsi" w:cstheme="minorHAnsi"/>
                <w:sz w:val="18"/>
                <w:szCs w:val="18"/>
              </w:rPr>
            </w:pPr>
          </w:p>
          <w:p w14:paraId="13454A4E" w14:textId="52B8D28A" w:rsidR="00B25328" w:rsidRPr="00D232DC" w:rsidRDefault="00B25328" w:rsidP="00BB57B7">
            <w:pPr>
              <w:jc w:val="center"/>
              <w:rPr>
                <w:rFonts w:asciiTheme="minorHAnsi" w:hAnsiTheme="minorHAnsi" w:cstheme="minorHAnsi"/>
                <w:sz w:val="18"/>
                <w:szCs w:val="18"/>
              </w:rPr>
            </w:pPr>
            <w:r w:rsidRPr="00D232DC">
              <w:rPr>
                <w:rFonts w:asciiTheme="minorHAnsi" w:hAnsiTheme="minorHAnsi" w:cstheme="minorHAnsi"/>
                <w:sz w:val="18"/>
                <w:szCs w:val="18"/>
              </w:rPr>
              <w:t>AbbVie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64403DB8" w14:textId="482DA332" w:rsidR="00B25328" w:rsidRPr="00D232DC" w:rsidRDefault="00B25328" w:rsidP="00BB57B7">
            <w:pPr>
              <w:widowControl w:val="0"/>
              <w:jc w:val="center"/>
              <w:rPr>
                <w:rFonts w:asciiTheme="minorHAnsi" w:hAnsiTheme="minorHAnsi" w:cstheme="minorHAnsi"/>
                <w:bCs/>
                <w:sz w:val="18"/>
                <w:szCs w:val="18"/>
              </w:rPr>
            </w:pPr>
            <w:r w:rsidRPr="00D232DC">
              <w:rPr>
                <w:rFonts w:asciiTheme="minorHAnsi" w:hAnsiTheme="minorHAnsi" w:cstheme="minorHAnsi"/>
                <w:bCs/>
                <w:sz w:val="18"/>
                <w:szCs w:val="18"/>
              </w:rPr>
              <w:t>Severe chronic plaque psoriasis</w:t>
            </w:r>
          </w:p>
        </w:tc>
        <w:tc>
          <w:tcPr>
            <w:tcW w:w="1197" w:type="pct"/>
            <w:tcBorders>
              <w:top w:val="single" w:sz="4" w:space="0" w:color="auto"/>
              <w:left w:val="nil"/>
              <w:bottom w:val="single" w:sz="4" w:space="0" w:color="auto"/>
              <w:right w:val="single" w:sz="4" w:space="0" w:color="auto"/>
            </w:tcBorders>
            <w:shd w:val="clear" w:color="auto" w:fill="auto"/>
            <w:vAlign w:val="center"/>
          </w:tcPr>
          <w:p w14:paraId="0F8C9C34" w14:textId="3CA20008" w:rsidR="00B25328" w:rsidRPr="00D232DC" w:rsidRDefault="00D232DC" w:rsidP="00BB57B7">
            <w:pPr>
              <w:jc w:val="center"/>
              <w:rPr>
                <w:rFonts w:asciiTheme="minorHAnsi" w:hAnsiTheme="minorHAnsi" w:cstheme="minorHAnsi"/>
                <w:sz w:val="18"/>
                <w:szCs w:val="18"/>
              </w:rPr>
            </w:pPr>
            <w:r w:rsidRPr="00D232DC">
              <w:rPr>
                <w:rFonts w:asciiTheme="minorHAnsi" w:hAnsiTheme="minorHAnsi" w:cstheme="minorHAnsi"/>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shd w:val="clear" w:color="auto" w:fill="auto"/>
            <w:vAlign w:val="center"/>
          </w:tcPr>
          <w:p w14:paraId="205140FF" w14:textId="45B5E0F9" w:rsidR="00B25328" w:rsidRPr="00D232DC" w:rsidRDefault="00812466" w:rsidP="00BB57B7">
            <w:pPr>
              <w:widowControl w:val="0"/>
              <w:jc w:val="center"/>
              <w:rPr>
                <w:rFonts w:asciiTheme="minorHAnsi" w:hAnsiTheme="minorHAnsi" w:cstheme="minorHAnsi"/>
                <w:sz w:val="18"/>
                <w:szCs w:val="18"/>
              </w:rPr>
            </w:pPr>
            <w:r w:rsidRPr="00812466">
              <w:rPr>
                <w:rFonts w:asciiTheme="minorHAnsi" w:hAnsiTheme="minorHAnsi" w:cstheme="minorHAnsi"/>
                <w:sz w:val="18"/>
                <w:szCs w:val="18"/>
              </w:rPr>
              <w:t>The PBAC rescinded the November 2021 recommendation</w:t>
            </w:r>
            <w:r>
              <w:rPr>
                <w:rFonts w:asciiTheme="minorHAnsi" w:hAnsiTheme="minorHAnsi" w:cstheme="minorHAnsi"/>
                <w:sz w:val="18"/>
                <w:szCs w:val="18"/>
              </w:rPr>
              <w:t>.</w:t>
            </w:r>
          </w:p>
        </w:tc>
      </w:tr>
      <w:tr w:rsidR="00B25328" w:rsidRPr="00D232DC" w14:paraId="44D43573" w14:textId="77777777" w:rsidTr="00E6019E">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19DA851D" w14:textId="713DB68B" w:rsidR="00B25328" w:rsidRDefault="00B25328" w:rsidP="00BB57B7">
            <w:pPr>
              <w:jc w:val="center"/>
              <w:rPr>
                <w:rFonts w:asciiTheme="minorHAnsi" w:hAnsiTheme="minorHAnsi" w:cstheme="minorHAnsi"/>
                <w:sz w:val="18"/>
                <w:szCs w:val="18"/>
              </w:rPr>
            </w:pPr>
            <w:r w:rsidRPr="00D232DC">
              <w:rPr>
                <w:rFonts w:asciiTheme="minorHAnsi" w:hAnsiTheme="minorHAnsi" w:cstheme="minorHAnsi"/>
                <w:sz w:val="18"/>
                <w:szCs w:val="18"/>
              </w:rPr>
              <w:lastRenderedPageBreak/>
              <w:t>SECUKINUMAB</w:t>
            </w:r>
          </w:p>
          <w:p w14:paraId="6790DADE" w14:textId="77777777" w:rsidR="000E6793" w:rsidRPr="00D232DC" w:rsidRDefault="000E6793" w:rsidP="00BB57B7">
            <w:pPr>
              <w:jc w:val="center"/>
              <w:rPr>
                <w:rFonts w:asciiTheme="minorHAnsi" w:hAnsiTheme="minorHAnsi" w:cstheme="minorHAnsi"/>
                <w:sz w:val="18"/>
                <w:szCs w:val="18"/>
              </w:rPr>
            </w:pPr>
          </w:p>
          <w:p w14:paraId="6F317C1B" w14:textId="60E6D434" w:rsidR="00B25328" w:rsidRDefault="00B25328" w:rsidP="00BB57B7">
            <w:pPr>
              <w:jc w:val="center"/>
              <w:rPr>
                <w:rFonts w:asciiTheme="minorHAnsi" w:hAnsiTheme="minorHAnsi" w:cstheme="minorHAnsi"/>
                <w:sz w:val="18"/>
                <w:szCs w:val="18"/>
              </w:rPr>
            </w:pPr>
            <w:r w:rsidRPr="00D232DC">
              <w:rPr>
                <w:rFonts w:asciiTheme="minorHAnsi" w:hAnsiTheme="minorHAnsi" w:cstheme="minorHAnsi"/>
                <w:sz w:val="18"/>
                <w:szCs w:val="18"/>
              </w:rPr>
              <w:t>Injection 75</w:t>
            </w:r>
            <w:r w:rsidR="00F875EE">
              <w:rPr>
                <w:rFonts w:asciiTheme="minorHAnsi" w:hAnsiTheme="minorHAnsi" w:cstheme="minorHAnsi"/>
                <w:sz w:val="18"/>
                <w:szCs w:val="18"/>
              </w:rPr>
              <w:t> mg</w:t>
            </w:r>
            <w:r w:rsidRPr="00D232DC">
              <w:rPr>
                <w:rFonts w:asciiTheme="minorHAnsi" w:hAnsiTheme="minorHAnsi" w:cstheme="minorHAnsi"/>
                <w:sz w:val="18"/>
                <w:szCs w:val="18"/>
              </w:rPr>
              <w:t xml:space="preserve"> in 0.5</w:t>
            </w:r>
            <w:r w:rsidR="00C67D16">
              <w:rPr>
                <w:rFonts w:asciiTheme="minorHAnsi" w:hAnsiTheme="minorHAnsi" w:cstheme="minorHAnsi"/>
                <w:sz w:val="18"/>
                <w:szCs w:val="18"/>
              </w:rPr>
              <w:t> mL</w:t>
            </w:r>
            <w:r w:rsidRPr="00D232DC">
              <w:rPr>
                <w:rFonts w:asciiTheme="minorHAnsi" w:hAnsiTheme="minorHAnsi" w:cstheme="minorHAnsi"/>
                <w:sz w:val="18"/>
                <w:szCs w:val="18"/>
              </w:rPr>
              <w:t xml:space="preserve"> pre-filled syringe</w:t>
            </w:r>
            <w:r w:rsidRPr="00D232DC">
              <w:rPr>
                <w:rFonts w:asciiTheme="minorHAnsi" w:hAnsiTheme="minorHAnsi" w:cstheme="minorHAnsi"/>
                <w:sz w:val="18"/>
                <w:szCs w:val="18"/>
              </w:rPr>
              <w:br/>
              <w:t>Injection 150</w:t>
            </w:r>
            <w:r w:rsidR="00F875EE">
              <w:rPr>
                <w:rFonts w:asciiTheme="minorHAnsi" w:hAnsiTheme="minorHAnsi" w:cstheme="minorHAnsi"/>
                <w:sz w:val="18"/>
                <w:szCs w:val="18"/>
              </w:rPr>
              <w:t> mg</w:t>
            </w:r>
            <w:r w:rsidRPr="00D232DC">
              <w:rPr>
                <w:rFonts w:asciiTheme="minorHAnsi" w:hAnsiTheme="minorHAnsi" w:cstheme="minorHAnsi"/>
                <w:sz w:val="18"/>
                <w:szCs w:val="18"/>
              </w:rPr>
              <w:t xml:space="preserve"> in 1</w:t>
            </w:r>
            <w:r w:rsidR="00C67D16">
              <w:rPr>
                <w:rFonts w:asciiTheme="minorHAnsi" w:hAnsiTheme="minorHAnsi" w:cstheme="minorHAnsi"/>
                <w:sz w:val="18"/>
                <w:szCs w:val="18"/>
              </w:rPr>
              <w:t> mL</w:t>
            </w:r>
            <w:r w:rsidRPr="00D232DC">
              <w:rPr>
                <w:rFonts w:asciiTheme="minorHAnsi" w:hAnsiTheme="minorHAnsi" w:cstheme="minorHAnsi"/>
                <w:sz w:val="18"/>
                <w:szCs w:val="18"/>
              </w:rPr>
              <w:t xml:space="preserve"> pre-filled pen</w:t>
            </w:r>
            <w:r w:rsidRPr="00D232DC">
              <w:rPr>
                <w:rFonts w:asciiTheme="minorHAnsi" w:hAnsiTheme="minorHAnsi" w:cstheme="minorHAnsi"/>
                <w:sz w:val="18"/>
                <w:szCs w:val="18"/>
              </w:rPr>
              <w:br/>
              <w:t>Injection 300</w:t>
            </w:r>
            <w:r w:rsidR="00F875EE">
              <w:rPr>
                <w:rFonts w:asciiTheme="minorHAnsi" w:hAnsiTheme="minorHAnsi" w:cstheme="minorHAnsi"/>
                <w:sz w:val="18"/>
                <w:szCs w:val="18"/>
              </w:rPr>
              <w:t> mg</w:t>
            </w:r>
            <w:r w:rsidRPr="00D232DC">
              <w:rPr>
                <w:rFonts w:asciiTheme="minorHAnsi" w:hAnsiTheme="minorHAnsi" w:cstheme="minorHAnsi"/>
                <w:sz w:val="18"/>
                <w:szCs w:val="18"/>
              </w:rPr>
              <w:t xml:space="preserve"> in 2</w:t>
            </w:r>
            <w:r w:rsidR="00C67D16">
              <w:rPr>
                <w:rFonts w:asciiTheme="minorHAnsi" w:hAnsiTheme="minorHAnsi" w:cstheme="minorHAnsi"/>
                <w:sz w:val="18"/>
                <w:szCs w:val="18"/>
              </w:rPr>
              <w:t> mL</w:t>
            </w:r>
            <w:r w:rsidRPr="00D232DC">
              <w:rPr>
                <w:rFonts w:asciiTheme="minorHAnsi" w:hAnsiTheme="minorHAnsi" w:cstheme="minorHAnsi"/>
                <w:sz w:val="18"/>
                <w:szCs w:val="18"/>
              </w:rPr>
              <w:t xml:space="preserve"> pre-filled syringe</w:t>
            </w:r>
            <w:r w:rsidRPr="00D232DC">
              <w:rPr>
                <w:rFonts w:asciiTheme="minorHAnsi" w:hAnsiTheme="minorHAnsi" w:cstheme="minorHAnsi"/>
                <w:sz w:val="18"/>
                <w:szCs w:val="18"/>
              </w:rPr>
              <w:br/>
              <w:t>Injection 300</w:t>
            </w:r>
            <w:r w:rsidR="00F875EE">
              <w:rPr>
                <w:rFonts w:asciiTheme="minorHAnsi" w:hAnsiTheme="minorHAnsi" w:cstheme="minorHAnsi"/>
                <w:sz w:val="18"/>
                <w:szCs w:val="18"/>
              </w:rPr>
              <w:t> mg</w:t>
            </w:r>
            <w:r w:rsidRPr="00D232DC">
              <w:rPr>
                <w:rFonts w:asciiTheme="minorHAnsi" w:hAnsiTheme="minorHAnsi" w:cstheme="minorHAnsi"/>
                <w:sz w:val="18"/>
                <w:szCs w:val="18"/>
              </w:rPr>
              <w:t xml:space="preserve"> in 2</w:t>
            </w:r>
            <w:r w:rsidR="00C67D16">
              <w:rPr>
                <w:rFonts w:asciiTheme="minorHAnsi" w:hAnsiTheme="minorHAnsi" w:cstheme="minorHAnsi"/>
                <w:sz w:val="18"/>
                <w:szCs w:val="18"/>
              </w:rPr>
              <w:t> mL</w:t>
            </w:r>
            <w:r w:rsidRPr="00D232DC">
              <w:rPr>
                <w:rFonts w:asciiTheme="minorHAnsi" w:hAnsiTheme="minorHAnsi" w:cstheme="minorHAnsi"/>
                <w:sz w:val="18"/>
                <w:szCs w:val="18"/>
              </w:rPr>
              <w:t xml:space="preserve"> pre-filled pen</w:t>
            </w:r>
          </w:p>
          <w:p w14:paraId="6867A1CB" w14:textId="77777777" w:rsidR="000E6793" w:rsidRPr="00D232DC" w:rsidRDefault="000E6793" w:rsidP="00BB57B7">
            <w:pPr>
              <w:jc w:val="center"/>
              <w:rPr>
                <w:rFonts w:asciiTheme="minorHAnsi" w:hAnsiTheme="minorHAnsi" w:cstheme="minorHAnsi"/>
                <w:sz w:val="18"/>
                <w:szCs w:val="18"/>
              </w:rPr>
            </w:pPr>
          </w:p>
          <w:p w14:paraId="5872F817" w14:textId="3D7B975A" w:rsidR="00B25328" w:rsidRDefault="00B25328" w:rsidP="00BB57B7">
            <w:pPr>
              <w:jc w:val="center"/>
              <w:rPr>
                <w:rFonts w:asciiTheme="minorHAnsi" w:hAnsiTheme="minorHAnsi" w:cstheme="minorHAnsi"/>
                <w:sz w:val="18"/>
                <w:szCs w:val="18"/>
                <w:vertAlign w:val="superscript"/>
              </w:rPr>
            </w:pPr>
            <w:r w:rsidRPr="00D232DC">
              <w:rPr>
                <w:rFonts w:asciiTheme="minorHAnsi" w:hAnsiTheme="minorHAnsi" w:cstheme="minorHAnsi"/>
                <w:sz w:val="18"/>
                <w:szCs w:val="18"/>
              </w:rPr>
              <w:t>Cosentyx</w:t>
            </w:r>
            <w:r w:rsidR="0025420C" w:rsidRPr="008059F4">
              <w:rPr>
                <w:rFonts w:asciiTheme="minorHAnsi" w:hAnsiTheme="minorHAnsi" w:cstheme="minorHAnsi"/>
                <w:color w:val="000000"/>
                <w:sz w:val="18"/>
                <w:szCs w:val="18"/>
              </w:rPr>
              <w:t>®</w:t>
            </w:r>
          </w:p>
          <w:p w14:paraId="5BACB054" w14:textId="77777777" w:rsidR="000E6793" w:rsidRPr="00D232DC" w:rsidRDefault="000E6793" w:rsidP="00BB57B7">
            <w:pPr>
              <w:jc w:val="center"/>
              <w:rPr>
                <w:rFonts w:asciiTheme="minorHAnsi" w:hAnsiTheme="minorHAnsi" w:cstheme="minorHAnsi"/>
                <w:sz w:val="18"/>
                <w:szCs w:val="18"/>
              </w:rPr>
            </w:pPr>
          </w:p>
          <w:p w14:paraId="637D3A12" w14:textId="28E3288F" w:rsidR="00B25328" w:rsidRPr="00D232DC" w:rsidRDefault="00B25328" w:rsidP="00BB57B7">
            <w:pPr>
              <w:jc w:val="center"/>
              <w:rPr>
                <w:rFonts w:asciiTheme="minorHAnsi" w:hAnsiTheme="minorHAnsi" w:cstheme="minorHAnsi"/>
                <w:sz w:val="18"/>
                <w:szCs w:val="18"/>
              </w:rPr>
            </w:pPr>
            <w:r w:rsidRPr="00D232DC">
              <w:rPr>
                <w:rFonts w:asciiTheme="minorHAnsi" w:hAnsiTheme="minorHAnsi" w:cstheme="minorHAnsi"/>
                <w:sz w:val="18"/>
                <w:szCs w:val="18"/>
              </w:rPr>
              <w:t>Novartis Pharmaceuticals Australia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5629A7F8" w14:textId="5AF0FF2B" w:rsidR="00B25328" w:rsidRPr="00D232DC" w:rsidRDefault="00B25328" w:rsidP="00BB57B7">
            <w:pPr>
              <w:widowControl w:val="0"/>
              <w:jc w:val="center"/>
              <w:rPr>
                <w:rFonts w:asciiTheme="minorHAnsi" w:hAnsiTheme="minorHAnsi" w:cstheme="minorHAnsi"/>
                <w:bCs/>
                <w:sz w:val="18"/>
                <w:szCs w:val="18"/>
              </w:rPr>
            </w:pPr>
            <w:r w:rsidRPr="00D232DC">
              <w:rPr>
                <w:rFonts w:asciiTheme="minorHAnsi" w:hAnsiTheme="minorHAnsi" w:cstheme="minorHAnsi"/>
                <w:bCs/>
                <w:sz w:val="18"/>
                <w:szCs w:val="18"/>
              </w:rPr>
              <w:t>Paediatric psoriasis</w:t>
            </w:r>
          </w:p>
        </w:tc>
        <w:tc>
          <w:tcPr>
            <w:tcW w:w="1197" w:type="pct"/>
            <w:tcBorders>
              <w:top w:val="single" w:sz="4" w:space="0" w:color="auto"/>
              <w:left w:val="nil"/>
              <w:bottom w:val="single" w:sz="4" w:space="0" w:color="auto"/>
              <w:right w:val="single" w:sz="4" w:space="0" w:color="auto"/>
            </w:tcBorders>
            <w:shd w:val="clear" w:color="auto" w:fill="auto"/>
            <w:vAlign w:val="center"/>
          </w:tcPr>
          <w:p w14:paraId="171DB05C" w14:textId="2C9F4F67" w:rsidR="00B25328" w:rsidRPr="00D232DC" w:rsidRDefault="00D232DC" w:rsidP="00BB57B7">
            <w:pPr>
              <w:jc w:val="center"/>
              <w:rPr>
                <w:rFonts w:asciiTheme="minorHAnsi" w:hAnsiTheme="minorHAnsi" w:cstheme="minorHAnsi"/>
                <w:sz w:val="18"/>
                <w:szCs w:val="18"/>
              </w:rPr>
            </w:pPr>
            <w:r w:rsidRPr="00D232DC">
              <w:rPr>
                <w:rFonts w:asciiTheme="minorHAnsi" w:hAnsiTheme="minorHAnsi" w:cstheme="minorHAnsi"/>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shd w:val="clear" w:color="auto" w:fill="auto"/>
            <w:vAlign w:val="center"/>
          </w:tcPr>
          <w:p w14:paraId="69037609" w14:textId="2561F0A8" w:rsidR="00B25328" w:rsidRPr="00A016A7" w:rsidRDefault="00812466" w:rsidP="00BB57B7">
            <w:pPr>
              <w:widowControl w:val="0"/>
              <w:jc w:val="center"/>
              <w:rPr>
                <w:rFonts w:asciiTheme="minorHAnsi" w:hAnsiTheme="minorHAnsi" w:cstheme="minorHAnsi"/>
                <w:sz w:val="18"/>
                <w:szCs w:val="18"/>
              </w:rPr>
            </w:pPr>
            <w:r w:rsidRPr="009B3BC3">
              <w:rPr>
                <w:rFonts w:asciiTheme="minorHAnsi" w:hAnsiTheme="minorHAnsi" w:cstheme="minorHAnsi"/>
                <w:sz w:val="18"/>
                <w:szCs w:val="18"/>
              </w:rPr>
              <w:t>The PBAC extended the July 2020 recommendation for a further 12 months.</w:t>
            </w:r>
          </w:p>
        </w:tc>
      </w:tr>
    </w:tbl>
    <w:p w14:paraId="2FD4C11F" w14:textId="7EA68E21" w:rsidR="00FB3935" w:rsidRPr="00015520" w:rsidRDefault="00FB3935" w:rsidP="00BB57B7">
      <w:pPr>
        <w:rPr>
          <w:rFonts w:asciiTheme="minorHAnsi" w:hAnsiTheme="minorHAnsi" w:cstheme="minorHAnsi"/>
          <w:sz w:val="18"/>
          <w:szCs w:val="18"/>
        </w:rPr>
      </w:pPr>
    </w:p>
    <w:p w14:paraId="237E7119" w14:textId="4574191B" w:rsidR="000F6F0D" w:rsidRPr="00015520" w:rsidRDefault="000F6F0D" w:rsidP="00BB57B7">
      <w:pPr>
        <w:rPr>
          <w:rFonts w:asciiTheme="minorHAnsi" w:hAnsiTheme="minorHAnsi" w:cstheme="minorHAnsi"/>
          <w:sz w:val="18"/>
          <w:szCs w:val="18"/>
        </w:rPr>
      </w:pPr>
    </w:p>
    <w:p w14:paraId="511B88D5" w14:textId="196217C3" w:rsidR="003E0E09" w:rsidRPr="00015520" w:rsidRDefault="003E0E09" w:rsidP="00BB57B7">
      <w:pPr>
        <w:ind w:left="360"/>
        <w:rPr>
          <w:rFonts w:asciiTheme="minorHAnsi" w:hAnsiTheme="minorHAnsi" w:cstheme="minorHAnsi"/>
          <w:bCs/>
          <w:sz w:val="18"/>
          <w:szCs w:val="18"/>
          <w:lang w:val="en-US"/>
        </w:rPr>
      </w:pPr>
      <w:r w:rsidRPr="00015520">
        <w:rPr>
          <w:rFonts w:asciiTheme="minorHAnsi" w:hAnsiTheme="minorHAnsi" w:cstheme="minorHAnsi"/>
          <w:bCs/>
          <w:sz w:val="18"/>
          <w:szCs w:val="18"/>
          <w:lang w:val="en-US"/>
        </w:rPr>
        <w:br w:type="page"/>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8"/>
        <w:gridCol w:w="1699"/>
        <w:gridCol w:w="2839"/>
        <w:gridCol w:w="8168"/>
      </w:tblGrid>
      <w:tr w:rsidR="002F2228" w:rsidRPr="0066633F" w14:paraId="7FB72931" w14:textId="77777777" w:rsidTr="00344F5B">
        <w:trPr>
          <w:cantSplit/>
          <w:trHeight w:val="58"/>
          <w:tblHeader/>
        </w:trPr>
        <w:tc>
          <w:tcPr>
            <w:tcW w:w="873" w:type="pct"/>
            <w:shd w:val="clear" w:color="auto" w:fill="auto"/>
            <w:vAlign w:val="center"/>
          </w:tcPr>
          <w:p w14:paraId="50048F5E" w14:textId="77777777" w:rsidR="002F2228" w:rsidRPr="0066633F" w:rsidRDefault="002F2228" w:rsidP="00BB57B7">
            <w:pPr>
              <w:keepLines/>
              <w:widowControl w:val="0"/>
              <w:jc w:val="center"/>
              <w:rPr>
                <w:rFonts w:asciiTheme="minorHAnsi" w:hAnsiTheme="minorHAnsi" w:cstheme="minorHAnsi"/>
                <w:b/>
                <w:sz w:val="18"/>
                <w:szCs w:val="18"/>
              </w:rPr>
            </w:pPr>
            <w:r w:rsidRPr="0066633F">
              <w:rPr>
                <w:rFonts w:asciiTheme="minorHAnsi" w:hAnsiTheme="minorHAnsi" w:cstheme="minorHAnsi"/>
                <w:b/>
                <w:sz w:val="18"/>
                <w:szCs w:val="18"/>
              </w:rPr>
              <w:lastRenderedPageBreak/>
              <w:t>DRUG NAME, FORM(S), STRENGTH(S), SPONSOR, TYPE OF SUBMISSION</w:t>
            </w:r>
          </w:p>
        </w:tc>
        <w:tc>
          <w:tcPr>
            <w:tcW w:w="552" w:type="pct"/>
            <w:shd w:val="clear" w:color="auto" w:fill="auto"/>
            <w:vAlign w:val="center"/>
          </w:tcPr>
          <w:p w14:paraId="59FCD99F" w14:textId="77777777" w:rsidR="002F2228" w:rsidRPr="0066633F" w:rsidRDefault="002F2228" w:rsidP="00BB57B7">
            <w:pPr>
              <w:keepLines/>
              <w:widowControl w:val="0"/>
              <w:jc w:val="center"/>
              <w:rPr>
                <w:rFonts w:asciiTheme="minorHAnsi" w:hAnsiTheme="minorHAnsi" w:cstheme="minorHAnsi"/>
                <w:b/>
                <w:sz w:val="18"/>
                <w:szCs w:val="18"/>
              </w:rPr>
            </w:pPr>
            <w:r w:rsidRPr="0066633F">
              <w:rPr>
                <w:rFonts w:asciiTheme="minorHAnsi" w:hAnsiTheme="minorHAnsi" w:cstheme="minorHAnsi"/>
                <w:b/>
                <w:sz w:val="18"/>
                <w:szCs w:val="18"/>
              </w:rPr>
              <w:t>DRUG TYPE AND USE</w:t>
            </w:r>
          </w:p>
        </w:tc>
        <w:tc>
          <w:tcPr>
            <w:tcW w:w="922" w:type="pct"/>
            <w:shd w:val="clear" w:color="auto" w:fill="auto"/>
            <w:vAlign w:val="center"/>
          </w:tcPr>
          <w:p w14:paraId="543585BF" w14:textId="77777777" w:rsidR="002F2228" w:rsidRPr="0066633F" w:rsidRDefault="002F2228" w:rsidP="00BB57B7">
            <w:pPr>
              <w:keepLines/>
              <w:widowControl w:val="0"/>
              <w:jc w:val="center"/>
              <w:rPr>
                <w:rFonts w:asciiTheme="minorHAnsi" w:hAnsiTheme="minorHAnsi" w:cstheme="minorHAnsi"/>
                <w:b/>
                <w:sz w:val="18"/>
                <w:szCs w:val="18"/>
              </w:rPr>
            </w:pPr>
            <w:r w:rsidRPr="0066633F">
              <w:rPr>
                <w:rFonts w:asciiTheme="minorHAnsi" w:hAnsiTheme="minorHAnsi" w:cstheme="minorHAnsi"/>
                <w:b/>
                <w:sz w:val="18"/>
                <w:szCs w:val="18"/>
              </w:rPr>
              <w:t>LISTING REQUESTED BY SPONSOR / PURPOSE OF SUBMISSION</w:t>
            </w:r>
          </w:p>
        </w:tc>
        <w:tc>
          <w:tcPr>
            <w:tcW w:w="2653" w:type="pct"/>
            <w:shd w:val="clear" w:color="auto" w:fill="auto"/>
            <w:vAlign w:val="center"/>
          </w:tcPr>
          <w:p w14:paraId="2458DA30" w14:textId="77777777" w:rsidR="002F2228" w:rsidRPr="0066633F" w:rsidRDefault="002F2228" w:rsidP="00BB57B7">
            <w:pPr>
              <w:keepLines/>
              <w:jc w:val="center"/>
              <w:rPr>
                <w:rFonts w:asciiTheme="minorHAnsi" w:hAnsiTheme="minorHAnsi" w:cstheme="minorHAnsi"/>
                <w:b/>
                <w:sz w:val="18"/>
                <w:szCs w:val="18"/>
              </w:rPr>
            </w:pPr>
            <w:r w:rsidRPr="0066633F">
              <w:rPr>
                <w:rFonts w:asciiTheme="minorHAnsi" w:hAnsiTheme="minorHAnsi" w:cstheme="minorHAnsi"/>
                <w:b/>
                <w:sz w:val="18"/>
                <w:szCs w:val="18"/>
              </w:rPr>
              <w:t>PBAC OUTCOME</w:t>
            </w:r>
          </w:p>
        </w:tc>
      </w:tr>
      <w:tr w:rsidR="00E71F04" w:rsidRPr="0066633F" w14:paraId="695A9994" w14:textId="77777777" w:rsidTr="00851AFC">
        <w:trPr>
          <w:cantSplit/>
          <w:trHeight w:val="58"/>
        </w:trPr>
        <w:tc>
          <w:tcPr>
            <w:tcW w:w="873" w:type="pct"/>
            <w:shd w:val="clear" w:color="auto" w:fill="auto"/>
            <w:vAlign w:val="center"/>
          </w:tcPr>
          <w:p w14:paraId="3F71C68F" w14:textId="3CCBF49B" w:rsidR="0066633F" w:rsidRPr="0066633F" w:rsidRDefault="00E71F04" w:rsidP="00BB57B7">
            <w:pPr>
              <w:jc w:val="center"/>
              <w:rPr>
                <w:rFonts w:asciiTheme="minorHAnsi" w:hAnsiTheme="minorHAnsi" w:cstheme="minorHAnsi"/>
                <w:color w:val="000000"/>
                <w:sz w:val="18"/>
                <w:szCs w:val="18"/>
              </w:rPr>
            </w:pPr>
            <w:r w:rsidRPr="0066633F">
              <w:rPr>
                <w:rFonts w:asciiTheme="minorHAnsi" w:hAnsiTheme="minorHAnsi" w:cstheme="minorHAnsi"/>
                <w:color w:val="000000"/>
                <w:sz w:val="18"/>
                <w:szCs w:val="18"/>
              </w:rPr>
              <w:t xml:space="preserve">Access to medicines for people </w:t>
            </w:r>
            <w:r w:rsidR="000B771A">
              <w:rPr>
                <w:rFonts w:asciiTheme="minorHAnsi" w:hAnsiTheme="minorHAnsi" w:cstheme="minorHAnsi"/>
                <w:color w:val="000000"/>
                <w:sz w:val="18"/>
                <w:szCs w:val="18"/>
              </w:rPr>
              <w:t>in custodial settings</w:t>
            </w:r>
            <w:r w:rsidRPr="0066633F">
              <w:rPr>
                <w:rFonts w:asciiTheme="minorHAnsi" w:hAnsiTheme="minorHAnsi" w:cstheme="minorHAnsi"/>
                <w:color w:val="000000"/>
                <w:sz w:val="18"/>
                <w:szCs w:val="18"/>
              </w:rPr>
              <w:t xml:space="preserve"> </w:t>
            </w:r>
            <w:r w:rsidRPr="0066633F">
              <w:rPr>
                <w:rFonts w:asciiTheme="minorHAnsi" w:hAnsiTheme="minorHAnsi" w:cstheme="minorHAnsi"/>
                <w:color w:val="000000"/>
                <w:sz w:val="18"/>
                <w:szCs w:val="18"/>
              </w:rPr>
              <w:br/>
            </w:r>
          </w:p>
          <w:p w14:paraId="5C56CC49" w14:textId="4C59BCFE" w:rsidR="0066633F" w:rsidRPr="0066633F" w:rsidRDefault="0066633F" w:rsidP="00BB57B7">
            <w:pPr>
              <w:jc w:val="center"/>
              <w:rPr>
                <w:rFonts w:asciiTheme="minorHAnsi" w:hAnsiTheme="minorHAnsi" w:cstheme="minorHAnsi"/>
                <w:color w:val="000000"/>
                <w:sz w:val="18"/>
                <w:szCs w:val="18"/>
              </w:rPr>
            </w:pPr>
            <w:r w:rsidRPr="0066633F">
              <w:rPr>
                <w:rFonts w:asciiTheme="minorHAnsi" w:hAnsiTheme="minorHAnsi" w:cstheme="minorHAnsi"/>
                <w:color w:val="000000"/>
                <w:sz w:val="18"/>
                <w:szCs w:val="18"/>
              </w:rPr>
              <w:t>Various Medicines</w:t>
            </w:r>
          </w:p>
          <w:p w14:paraId="4ED0809F" w14:textId="77777777" w:rsidR="0066633F" w:rsidRPr="0066633F" w:rsidRDefault="0066633F" w:rsidP="00BB57B7">
            <w:pPr>
              <w:jc w:val="center"/>
              <w:rPr>
                <w:rFonts w:asciiTheme="minorHAnsi" w:hAnsiTheme="minorHAnsi" w:cstheme="minorHAnsi"/>
                <w:color w:val="000000"/>
                <w:sz w:val="18"/>
                <w:szCs w:val="18"/>
              </w:rPr>
            </w:pPr>
          </w:p>
          <w:p w14:paraId="130B31FB" w14:textId="426F9C6B" w:rsidR="00E71F04" w:rsidRPr="0066633F" w:rsidRDefault="00E71F04" w:rsidP="00BB57B7">
            <w:pPr>
              <w:jc w:val="center"/>
              <w:rPr>
                <w:rFonts w:asciiTheme="minorHAnsi" w:hAnsiTheme="minorHAnsi" w:cstheme="minorHAnsi"/>
                <w:sz w:val="18"/>
                <w:szCs w:val="18"/>
              </w:rPr>
            </w:pPr>
            <w:r w:rsidRPr="0066633F">
              <w:rPr>
                <w:rFonts w:asciiTheme="minorHAnsi" w:hAnsiTheme="minorHAnsi" w:cstheme="minorHAnsi"/>
                <w:color w:val="000000"/>
                <w:sz w:val="18"/>
                <w:szCs w:val="18"/>
              </w:rPr>
              <w:t>Other Matters</w:t>
            </w:r>
          </w:p>
        </w:tc>
        <w:tc>
          <w:tcPr>
            <w:tcW w:w="552" w:type="pct"/>
            <w:shd w:val="clear" w:color="auto" w:fill="auto"/>
            <w:vAlign w:val="center"/>
          </w:tcPr>
          <w:p w14:paraId="2F893005" w14:textId="0C78BD70" w:rsidR="00E71F04" w:rsidRPr="0066633F" w:rsidRDefault="00E670E6" w:rsidP="00BB57B7">
            <w:pPr>
              <w:jc w:val="center"/>
              <w:rPr>
                <w:rFonts w:asciiTheme="minorHAnsi" w:hAnsiTheme="minorHAnsi" w:cstheme="minorHAnsi"/>
                <w:sz w:val="18"/>
                <w:szCs w:val="18"/>
              </w:rPr>
            </w:pPr>
            <w:r w:rsidRPr="0066633F">
              <w:rPr>
                <w:rFonts w:asciiTheme="minorHAnsi" w:hAnsiTheme="minorHAnsi" w:cstheme="minorHAnsi"/>
                <w:color w:val="000000"/>
                <w:sz w:val="18"/>
                <w:szCs w:val="18"/>
              </w:rPr>
              <w:t>Various medicines</w:t>
            </w:r>
          </w:p>
        </w:tc>
        <w:tc>
          <w:tcPr>
            <w:tcW w:w="922" w:type="pct"/>
            <w:shd w:val="clear" w:color="auto" w:fill="auto"/>
            <w:vAlign w:val="center"/>
          </w:tcPr>
          <w:p w14:paraId="3D03EE62" w14:textId="2F5E491C" w:rsidR="00E71F04" w:rsidRPr="0066633F" w:rsidRDefault="000B771A" w:rsidP="0018238C">
            <w:pPr>
              <w:spacing w:line="256" w:lineRule="auto"/>
              <w:jc w:val="center"/>
              <w:rPr>
                <w:rFonts w:asciiTheme="minorHAnsi" w:hAnsiTheme="minorHAnsi" w:cstheme="minorHAnsi"/>
                <w:sz w:val="18"/>
                <w:szCs w:val="18"/>
              </w:rPr>
            </w:pPr>
            <w:r w:rsidRPr="009B3BC3">
              <w:rPr>
                <w:rFonts w:asciiTheme="minorHAnsi" w:hAnsiTheme="minorHAnsi" w:cstheme="minorHAnsi"/>
                <w:iCs/>
                <w:sz w:val="18"/>
                <w:szCs w:val="18"/>
              </w:rPr>
              <w:t>For the PBAC to note</w:t>
            </w:r>
            <w:r w:rsidRPr="009B3BC3">
              <w:rPr>
                <w:rFonts w:asciiTheme="minorHAnsi" w:hAnsiTheme="minorHAnsi" w:cstheme="minorHAnsi"/>
                <w:bCs/>
                <w:iCs/>
                <w:sz w:val="18"/>
                <w:szCs w:val="18"/>
              </w:rPr>
              <w:t xml:space="preserve"> </w:t>
            </w:r>
            <w:r w:rsidRPr="009B3BC3">
              <w:rPr>
                <w:rFonts w:asciiTheme="minorHAnsi" w:hAnsiTheme="minorHAnsi" w:cstheme="minorHAnsi"/>
                <w:bCs/>
                <w:iCs/>
                <w:snapToGrid w:val="0"/>
                <w:sz w:val="18"/>
                <w:szCs w:val="18"/>
              </w:rPr>
              <w:t>stakeholder</w:t>
            </w:r>
            <w:r>
              <w:rPr>
                <w:rFonts w:asciiTheme="minorHAnsi" w:hAnsiTheme="minorHAnsi" w:cstheme="minorHAnsi"/>
                <w:bCs/>
                <w:iCs/>
                <w:snapToGrid w:val="0"/>
                <w:sz w:val="18"/>
                <w:szCs w:val="18"/>
              </w:rPr>
              <w:t>s’</w:t>
            </w:r>
            <w:r w:rsidRPr="009B3BC3">
              <w:rPr>
                <w:rFonts w:asciiTheme="minorHAnsi" w:hAnsiTheme="minorHAnsi" w:cstheme="minorHAnsi"/>
                <w:bCs/>
                <w:iCs/>
                <w:snapToGrid w:val="0"/>
                <w:sz w:val="18"/>
                <w:szCs w:val="18"/>
              </w:rPr>
              <w:t xml:space="preserve"> concerns regarding inequitable access to PBS-listed General Schedule medicines for people in custodial settings.</w:t>
            </w:r>
          </w:p>
        </w:tc>
        <w:tc>
          <w:tcPr>
            <w:tcW w:w="2653" w:type="pct"/>
            <w:shd w:val="clear" w:color="auto" w:fill="auto"/>
            <w:vAlign w:val="center"/>
          </w:tcPr>
          <w:p w14:paraId="63566A44" w14:textId="70ABB132" w:rsidR="002C5B67" w:rsidRPr="0066633F" w:rsidRDefault="002C5B67" w:rsidP="008D65B8">
            <w:pPr>
              <w:pStyle w:val="3Bodytext"/>
              <w:spacing w:line="256" w:lineRule="auto"/>
              <w:ind w:left="0" w:firstLine="0"/>
              <w:rPr>
                <w:rFonts w:eastAsia="Times New Roman" w:cstheme="minorHAnsi"/>
                <w:iCs/>
                <w:sz w:val="18"/>
                <w:szCs w:val="18"/>
              </w:rPr>
            </w:pPr>
            <w:r w:rsidRPr="0066633F">
              <w:rPr>
                <w:rFonts w:eastAsia="Times New Roman" w:cstheme="minorHAnsi"/>
                <w:iCs/>
                <w:sz w:val="18"/>
                <w:szCs w:val="18"/>
              </w:rPr>
              <w:t>The PBAC noted the request from the Minister’s delegate for advice in response to concerns raised by stakeholders regarding inequitable access to medicines for people in custodial settings.</w:t>
            </w:r>
            <w:r w:rsidRPr="0066633F">
              <w:rPr>
                <w:rFonts w:cstheme="minorHAnsi"/>
                <w:sz w:val="18"/>
                <w:szCs w:val="18"/>
              </w:rPr>
              <w:t xml:space="preserve"> </w:t>
            </w:r>
            <w:r w:rsidRPr="0066633F">
              <w:rPr>
                <w:rFonts w:eastAsia="Times New Roman" w:cstheme="minorHAnsi"/>
                <w:iCs/>
                <w:sz w:val="18"/>
                <w:szCs w:val="18"/>
              </w:rPr>
              <w:t>The PBAC noted that state and territory governments fund the provision of healthcare to people in custodial settings, except for medicines listed on the Highly Specialised Drug</w:t>
            </w:r>
            <w:r w:rsidR="0033094F">
              <w:rPr>
                <w:rFonts w:eastAsia="Times New Roman" w:cstheme="minorHAnsi"/>
                <w:iCs/>
                <w:sz w:val="18"/>
                <w:szCs w:val="18"/>
              </w:rPr>
              <w:t>s</w:t>
            </w:r>
            <w:r w:rsidRPr="0066633F">
              <w:rPr>
                <w:rFonts w:eastAsia="Times New Roman" w:cstheme="minorHAnsi"/>
                <w:iCs/>
                <w:sz w:val="18"/>
                <w:szCs w:val="18"/>
              </w:rPr>
              <w:t xml:space="preserve"> program which is funded by the Commonwealth. The PBAC acknowledged barriers preventing people in custody from accessing medicines listed on the PBS General Schedule that are available to people in the community, and the need to improve access to medicines in these settings.</w:t>
            </w:r>
          </w:p>
          <w:p w14:paraId="5ADCF2C7" w14:textId="05379E3B" w:rsidR="00E71F04" w:rsidRPr="0066633F" w:rsidDel="00F00A70" w:rsidRDefault="002C5B67" w:rsidP="009B3BC3">
            <w:pPr>
              <w:pStyle w:val="Default"/>
              <w:jc w:val="both"/>
              <w:rPr>
                <w:rFonts w:asciiTheme="minorHAnsi" w:hAnsiTheme="minorHAnsi" w:cstheme="minorHAnsi"/>
                <w:color w:val="auto"/>
                <w:sz w:val="18"/>
                <w:szCs w:val="18"/>
              </w:rPr>
            </w:pPr>
            <w:r w:rsidRPr="0066633F">
              <w:rPr>
                <w:rFonts w:asciiTheme="minorHAnsi" w:hAnsiTheme="minorHAnsi" w:cstheme="minorHAnsi"/>
                <w:iCs/>
                <w:sz w:val="18"/>
                <w:szCs w:val="18"/>
              </w:rPr>
              <w:t>The PBAC noted the Department’s intention to undertake further work on a proposal from stakeholders to improve access to certain medicines for people in custodial settings. The PBAC noted it would consider further work undertaken by the Department and provide advice if required at a future meeting.</w:t>
            </w:r>
          </w:p>
        </w:tc>
      </w:tr>
      <w:tr w:rsidR="00E664A4" w:rsidRPr="0066633F" w14:paraId="13CC6938" w14:textId="77777777" w:rsidTr="00CA5989">
        <w:trPr>
          <w:cantSplit/>
          <w:trHeight w:val="58"/>
        </w:trPr>
        <w:tc>
          <w:tcPr>
            <w:tcW w:w="873" w:type="pct"/>
            <w:shd w:val="clear" w:color="auto" w:fill="auto"/>
            <w:vAlign w:val="center"/>
          </w:tcPr>
          <w:p w14:paraId="05D0332F" w14:textId="07212FAA" w:rsidR="0066633F" w:rsidRDefault="00E664A4" w:rsidP="00E664A4">
            <w:pPr>
              <w:jc w:val="center"/>
              <w:rPr>
                <w:rFonts w:asciiTheme="minorHAnsi" w:hAnsiTheme="minorHAnsi" w:cstheme="minorHAnsi"/>
                <w:color w:val="000000"/>
                <w:sz w:val="18"/>
                <w:szCs w:val="18"/>
              </w:rPr>
            </w:pPr>
            <w:r w:rsidRPr="0066633F">
              <w:rPr>
                <w:rFonts w:asciiTheme="minorHAnsi" w:hAnsiTheme="minorHAnsi" w:cstheme="minorHAnsi"/>
                <w:color w:val="000000"/>
                <w:sz w:val="18"/>
                <w:szCs w:val="18"/>
              </w:rPr>
              <w:t>OMALIZUMAB</w:t>
            </w:r>
            <w:r w:rsidRPr="0066633F">
              <w:rPr>
                <w:rFonts w:asciiTheme="minorHAnsi" w:hAnsiTheme="minorHAnsi" w:cstheme="minorHAnsi"/>
                <w:color w:val="000000"/>
                <w:sz w:val="18"/>
                <w:szCs w:val="18"/>
              </w:rPr>
              <w:br/>
            </w:r>
            <w:r w:rsidRPr="0066633F">
              <w:rPr>
                <w:rFonts w:asciiTheme="minorHAnsi" w:hAnsiTheme="minorHAnsi" w:cstheme="minorHAnsi"/>
                <w:color w:val="000000"/>
                <w:sz w:val="18"/>
                <w:szCs w:val="18"/>
              </w:rPr>
              <w:br/>
              <w:t>Injection 150</w:t>
            </w:r>
            <w:r w:rsidR="00F875EE">
              <w:rPr>
                <w:rFonts w:asciiTheme="minorHAnsi" w:hAnsiTheme="minorHAnsi" w:cstheme="minorHAnsi"/>
                <w:color w:val="000000"/>
                <w:sz w:val="18"/>
                <w:szCs w:val="18"/>
              </w:rPr>
              <w:t> mg</w:t>
            </w:r>
            <w:r w:rsidRPr="0066633F">
              <w:rPr>
                <w:rFonts w:asciiTheme="minorHAnsi" w:hAnsiTheme="minorHAnsi" w:cstheme="minorHAnsi"/>
                <w:color w:val="000000"/>
                <w:sz w:val="18"/>
                <w:szCs w:val="18"/>
              </w:rPr>
              <w:t xml:space="preserve"> in 1</w:t>
            </w:r>
            <w:r w:rsidR="00C67D16">
              <w:rPr>
                <w:rFonts w:asciiTheme="minorHAnsi" w:hAnsiTheme="minorHAnsi" w:cstheme="minorHAnsi"/>
                <w:color w:val="000000"/>
                <w:sz w:val="18"/>
                <w:szCs w:val="18"/>
              </w:rPr>
              <w:t> mL</w:t>
            </w:r>
            <w:r w:rsidRPr="0066633F">
              <w:rPr>
                <w:rFonts w:asciiTheme="minorHAnsi" w:hAnsiTheme="minorHAnsi" w:cstheme="minorHAnsi"/>
                <w:color w:val="000000"/>
                <w:sz w:val="18"/>
                <w:szCs w:val="18"/>
              </w:rPr>
              <w:t xml:space="preserve"> single dose pre-filled syringe </w:t>
            </w:r>
            <w:r w:rsidRPr="0066633F">
              <w:rPr>
                <w:rFonts w:asciiTheme="minorHAnsi" w:hAnsiTheme="minorHAnsi" w:cstheme="minorHAnsi"/>
                <w:color w:val="000000"/>
                <w:sz w:val="18"/>
                <w:szCs w:val="18"/>
              </w:rPr>
              <w:br/>
            </w:r>
            <w:r w:rsidRPr="0066633F">
              <w:rPr>
                <w:rFonts w:asciiTheme="minorHAnsi" w:hAnsiTheme="minorHAnsi" w:cstheme="minorHAnsi"/>
                <w:color w:val="000000"/>
                <w:sz w:val="18"/>
                <w:szCs w:val="18"/>
              </w:rPr>
              <w:br/>
              <w:t>Xolair</w:t>
            </w:r>
            <w:r w:rsidRPr="0066633F">
              <w:rPr>
                <w:rFonts w:asciiTheme="minorHAnsi" w:hAnsiTheme="minorHAnsi" w:cstheme="minorHAnsi"/>
                <w:color w:val="000000"/>
                <w:sz w:val="18"/>
                <w:szCs w:val="18"/>
                <w:vertAlign w:val="superscript"/>
              </w:rPr>
              <w:t>®</w:t>
            </w:r>
            <w:r w:rsidRPr="0066633F">
              <w:rPr>
                <w:rFonts w:asciiTheme="minorHAnsi" w:hAnsiTheme="minorHAnsi" w:cstheme="minorHAnsi"/>
                <w:color w:val="000000"/>
                <w:sz w:val="18"/>
                <w:szCs w:val="18"/>
              </w:rPr>
              <w:br/>
            </w:r>
            <w:r w:rsidRPr="0066633F">
              <w:rPr>
                <w:rFonts w:asciiTheme="minorHAnsi" w:hAnsiTheme="minorHAnsi" w:cstheme="minorHAnsi"/>
                <w:color w:val="000000"/>
                <w:sz w:val="18"/>
                <w:szCs w:val="18"/>
              </w:rPr>
              <w:br/>
              <w:t>NOVARTIS PHARMACEUTICALS AUSTRALIA PTY LIMITED</w:t>
            </w:r>
          </w:p>
          <w:p w14:paraId="30B44120" w14:textId="767691E1" w:rsidR="00E664A4" w:rsidRPr="0066633F" w:rsidRDefault="00E664A4" w:rsidP="00E664A4">
            <w:pPr>
              <w:jc w:val="center"/>
              <w:rPr>
                <w:rFonts w:asciiTheme="minorHAnsi" w:hAnsiTheme="minorHAnsi" w:cstheme="minorHAnsi"/>
                <w:sz w:val="18"/>
                <w:szCs w:val="18"/>
              </w:rPr>
            </w:pPr>
            <w:r w:rsidRPr="0066633F">
              <w:rPr>
                <w:rFonts w:asciiTheme="minorHAnsi" w:hAnsiTheme="minorHAnsi" w:cstheme="minorHAnsi"/>
                <w:color w:val="000000"/>
                <w:sz w:val="18"/>
                <w:szCs w:val="18"/>
              </w:rPr>
              <w:br/>
              <w:t>Systematic literature review to supplement DUSC Analysis</w:t>
            </w:r>
          </w:p>
        </w:tc>
        <w:tc>
          <w:tcPr>
            <w:tcW w:w="552" w:type="pct"/>
            <w:shd w:val="clear" w:color="auto" w:fill="auto"/>
            <w:vAlign w:val="center"/>
          </w:tcPr>
          <w:p w14:paraId="0E333A13" w14:textId="00A88441" w:rsidR="00E664A4" w:rsidRPr="0066633F" w:rsidRDefault="00E664A4" w:rsidP="00E664A4">
            <w:pPr>
              <w:jc w:val="center"/>
              <w:rPr>
                <w:rFonts w:asciiTheme="minorHAnsi" w:hAnsiTheme="minorHAnsi" w:cstheme="minorHAnsi"/>
                <w:sz w:val="18"/>
                <w:szCs w:val="18"/>
              </w:rPr>
            </w:pPr>
            <w:r w:rsidRPr="0066633F">
              <w:rPr>
                <w:rFonts w:asciiTheme="minorHAnsi" w:hAnsiTheme="minorHAnsi" w:cstheme="minorHAnsi"/>
                <w:color w:val="000000"/>
                <w:sz w:val="18"/>
                <w:szCs w:val="18"/>
              </w:rPr>
              <w:t>Chronic spontaneous urticaria (CSU)</w:t>
            </w:r>
          </w:p>
        </w:tc>
        <w:tc>
          <w:tcPr>
            <w:tcW w:w="922" w:type="pct"/>
            <w:shd w:val="clear" w:color="auto" w:fill="auto"/>
            <w:vAlign w:val="center"/>
          </w:tcPr>
          <w:p w14:paraId="5E47AF63" w14:textId="31117169" w:rsidR="00E664A4" w:rsidRPr="0066633F" w:rsidRDefault="00E664A4" w:rsidP="00E664A4">
            <w:pPr>
              <w:jc w:val="center"/>
              <w:rPr>
                <w:rFonts w:asciiTheme="minorHAnsi" w:hAnsiTheme="minorHAnsi" w:cstheme="minorHAnsi"/>
                <w:bCs/>
                <w:snapToGrid w:val="0"/>
                <w:color w:val="000000"/>
                <w:sz w:val="18"/>
                <w:szCs w:val="18"/>
              </w:rPr>
            </w:pPr>
            <w:r w:rsidRPr="0066633F">
              <w:rPr>
                <w:rFonts w:asciiTheme="minorHAnsi" w:hAnsiTheme="minorHAnsi" w:cstheme="minorHAnsi"/>
                <w:color w:val="000000"/>
                <w:sz w:val="18"/>
                <w:szCs w:val="18"/>
              </w:rPr>
              <w:t>To consider the findings of a systematic literature review of the most recent comparative clinical evidence for omalizumab and cyclosporin for the treatment of CSU, including the equi-effective dose, for comparison with the evidence previously considered by the PBAC.</w:t>
            </w:r>
          </w:p>
        </w:tc>
        <w:tc>
          <w:tcPr>
            <w:tcW w:w="2653" w:type="pct"/>
            <w:shd w:val="clear" w:color="auto" w:fill="auto"/>
            <w:vAlign w:val="center"/>
          </w:tcPr>
          <w:p w14:paraId="73EFBFF5" w14:textId="264E1347" w:rsidR="0016414D" w:rsidRPr="0016414D" w:rsidRDefault="0016414D" w:rsidP="00615136">
            <w:pPr>
              <w:pStyle w:val="Default"/>
              <w:spacing w:after="120"/>
              <w:jc w:val="both"/>
              <w:rPr>
                <w:rFonts w:asciiTheme="minorHAnsi" w:hAnsiTheme="minorHAnsi" w:cstheme="minorHAnsi"/>
                <w:bCs/>
                <w:sz w:val="18"/>
                <w:szCs w:val="18"/>
              </w:rPr>
            </w:pPr>
            <w:r w:rsidRPr="0016414D">
              <w:rPr>
                <w:rFonts w:asciiTheme="minorHAnsi" w:hAnsiTheme="minorHAnsi" w:cstheme="minorHAnsi"/>
                <w:bCs/>
                <w:sz w:val="18"/>
                <w:szCs w:val="18"/>
              </w:rPr>
              <w:t>The PBAC noted the findings from the Review of clinical evidence for omalizumab versus cyclosporin for the treatment of CSU, and an addendum to the predicted vs actual analyses of omalizumab, which presented an additional analysis of time between prescriptions for omalizumab. The PBAC also noted the DUSC’s advice.</w:t>
            </w:r>
          </w:p>
          <w:p w14:paraId="4FA3FF3B" w14:textId="1C4647A3" w:rsidR="0016414D" w:rsidRPr="0016414D" w:rsidRDefault="0016414D" w:rsidP="00615136">
            <w:pPr>
              <w:pStyle w:val="Default"/>
              <w:spacing w:after="120"/>
              <w:jc w:val="both"/>
              <w:rPr>
                <w:rFonts w:asciiTheme="minorHAnsi" w:hAnsiTheme="minorHAnsi" w:cstheme="minorHAnsi"/>
                <w:bCs/>
                <w:sz w:val="18"/>
                <w:szCs w:val="18"/>
              </w:rPr>
            </w:pPr>
            <w:r w:rsidRPr="0016414D">
              <w:rPr>
                <w:rFonts w:asciiTheme="minorHAnsi" w:hAnsiTheme="minorHAnsi" w:cstheme="minorHAnsi"/>
                <w:bCs/>
                <w:sz w:val="18"/>
                <w:szCs w:val="18"/>
              </w:rPr>
              <w:t>The PBAC noted that there was no evidence of a significant number of patients increasing dosing intervals to 6-</w:t>
            </w:r>
            <w:r w:rsidR="005E5675" w:rsidRPr="0016414D">
              <w:rPr>
                <w:rFonts w:asciiTheme="minorHAnsi" w:hAnsiTheme="minorHAnsi" w:cstheme="minorHAnsi"/>
                <w:bCs/>
                <w:sz w:val="18"/>
                <w:szCs w:val="18"/>
              </w:rPr>
              <w:t>8</w:t>
            </w:r>
            <w:r w:rsidR="005E5675">
              <w:rPr>
                <w:rFonts w:asciiTheme="minorHAnsi" w:hAnsiTheme="minorHAnsi" w:cstheme="minorHAnsi"/>
                <w:bCs/>
                <w:sz w:val="18"/>
                <w:szCs w:val="18"/>
              </w:rPr>
              <w:t> </w:t>
            </w:r>
            <w:r w:rsidRPr="0016414D">
              <w:rPr>
                <w:rFonts w:asciiTheme="minorHAnsi" w:hAnsiTheme="minorHAnsi" w:cstheme="minorHAnsi"/>
                <w:bCs/>
                <w:sz w:val="18"/>
                <w:szCs w:val="18"/>
              </w:rPr>
              <w:t>weeks in the time to resupply analyses.</w:t>
            </w:r>
          </w:p>
          <w:p w14:paraId="6183638E" w14:textId="6F54844B" w:rsidR="0016414D" w:rsidRPr="0016414D" w:rsidRDefault="0016414D" w:rsidP="00615136">
            <w:pPr>
              <w:pStyle w:val="Default"/>
              <w:spacing w:after="120"/>
              <w:jc w:val="both"/>
              <w:rPr>
                <w:rFonts w:asciiTheme="minorHAnsi" w:hAnsiTheme="minorHAnsi" w:cstheme="minorHAnsi"/>
                <w:bCs/>
                <w:sz w:val="18"/>
                <w:szCs w:val="18"/>
              </w:rPr>
            </w:pPr>
            <w:r w:rsidRPr="0016414D">
              <w:rPr>
                <w:rFonts w:asciiTheme="minorHAnsi" w:hAnsiTheme="minorHAnsi" w:cstheme="minorHAnsi"/>
                <w:bCs/>
                <w:sz w:val="18"/>
                <w:szCs w:val="18"/>
              </w:rPr>
              <w:t>The PBAC considered that the Review’s updated evidence supported the clinical effectiveness of omalizumab at both 300</w:t>
            </w:r>
            <w:r w:rsidR="005E5675">
              <w:rPr>
                <w:rFonts w:asciiTheme="minorHAnsi" w:hAnsiTheme="minorHAnsi" w:cstheme="minorHAnsi"/>
                <w:bCs/>
                <w:sz w:val="18"/>
                <w:szCs w:val="18"/>
              </w:rPr>
              <w:t> </w:t>
            </w:r>
            <w:r w:rsidRPr="0016414D">
              <w:rPr>
                <w:rFonts w:asciiTheme="minorHAnsi" w:hAnsiTheme="minorHAnsi" w:cstheme="minorHAnsi"/>
                <w:bCs/>
                <w:sz w:val="18"/>
                <w:szCs w:val="18"/>
              </w:rPr>
              <w:t>mg and 600</w:t>
            </w:r>
            <w:r w:rsidR="005E5675">
              <w:rPr>
                <w:rFonts w:asciiTheme="minorHAnsi" w:hAnsiTheme="minorHAnsi" w:cstheme="minorHAnsi"/>
                <w:bCs/>
                <w:sz w:val="18"/>
                <w:szCs w:val="18"/>
              </w:rPr>
              <w:t> </w:t>
            </w:r>
            <w:r w:rsidRPr="0016414D">
              <w:rPr>
                <w:rFonts w:asciiTheme="minorHAnsi" w:hAnsiTheme="minorHAnsi" w:cstheme="minorHAnsi"/>
                <w:bCs/>
                <w:sz w:val="18"/>
                <w:szCs w:val="18"/>
              </w:rPr>
              <w:t>mg doses. Consistent with the November 2015 submission, both cyclosporin and omalizumab were more effective than placebo, and omalizumab had a better safety profile than cyclosporin.</w:t>
            </w:r>
          </w:p>
          <w:p w14:paraId="7F20438D" w14:textId="7042004A" w:rsidR="00E664A4" w:rsidRPr="0066633F" w:rsidRDefault="0016414D" w:rsidP="00615136">
            <w:pPr>
              <w:pStyle w:val="Default"/>
              <w:jc w:val="both"/>
              <w:rPr>
                <w:rFonts w:asciiTheme="minorHAnsi" w:hAnsiTheme="minorHAnsi" w:cstheme="minorHAnsi"/>
                <w:bCs/>
                <w:sz w:val="18"/>
                <w:szCs w:val="18"/>
              </w:rPr>
            </w:pPr>
            <w:r w:rsidRPr="0016414D">
              <w:rPr>
                <w:rFonts w:asciiTheme="minorHAnsi" w:hAnsiTheme="minorHAnsi" w:cstheme="minorHAnsi"/>
                <w:bCs/>
                <w:sz w:val="18"/>
                <w:szCs w:val="18"/>
              </w:rPr>
              <w:t>The PBAC considered that there was insufficient evidence presented by the Review on which to base any change of the accepted equi-effective dose of omalizumab 300</w:t>
            </w:r>
            <w:r w:rsidR="005E5675">
              <w:rPr>
                <w:rFonts w:asciiTheme="minorHAnsi" w:hAnsiTheme="minorHAnsi" w:cstheme="minorHAnsi"/>
                <w:bCs/>
                <w:sz w:val="18"/>
                <w:szCs w:val="18"/>
              </w:rPr>
              <w:t> </w:t>
            </w:r>
            <w:r w:rsidRPr="0016414D">
              <w:rPr>
                <w:rFonts w:asciiTheme="minorHAnsi" w:hAnsiTheme="minorHAnsi" w:cstheme="minorHAnsi"/>
                <w:bCs/>
                <w:sz w:val="18"/>
                <w:szCs w:val="18"/>
              </w:rPr>
              <w:t>mg every four weeks and cyclosporin 4</w:t>
            </w:r>
            <w:r w:rsidR="005E5675">
              <w:rPr>
                <w:rFonts w:asciiTheme="minorHAnsi" w:hAnsiTheme="minorHAnsi" w:cstheme="minorHAnsi"/>
                <w:bCs/>
                <w:sz w:val="18"/>
                <w:szCs w:val="18"/>
              </w:rPr>
              <w:t> </w:t>
            </w:r>
            <w:r w:rsidRPr="0016414D">
              <w:rPr>
                <w:rFonts w:asciiTheme="minorHAnsi" w:hAnsiTheme="minorHAnsi" w:cstheme="minorHAnsi"/>
                <w:bCs/>
                <w:sz w:val="18"/>
                <w:szCs w:val="18"/>
              </w:rPr>
              <w:t>mg/kg/day for CSU. The PBAC would consider a resubmission for omalizumab, in light of the evidence in this Review, if required.</w:t>
            </w:r>
          </w:p>
        </w:tc>
      </w:tr>
    </w:tbl>
    <w:p w14:paraId="4B4CEA1A" w14:textId="77777777" w:rsidR="00C70A4F" w:rsidRDefault="00C70A4F" w:rsidP="00BB57B7"/>
    <w:p w14:paraId="42C02831" w14:textId="77777777" w:rsidR="00252D73" w:rsidRPr="00CC4BA2" w:rsidRDefault="00252D73" w:rsidP="00252D73">
      <w:pPr>
        <w:rPr>
          <w:rFonts w:asciiTheme="minorHAnsi" w:hAnsiTheme="minorHAnsi" w:cstheme="minorHAnsi"/>
          <w:sz w:val="18"/>
          <w:szCs w:val="18"/>
        </w:rPr>
      </w:pPr>
      <w:r w:rsidRPr="00CC4BA2">
        <w:rPr>
          <w:rFonts w:asciiTheme="minorHAnsi" w:hAnsiTheme="minorHAnsi" w:cstheme="minorHAnsi"/>
          <w:sz w:val="18"/>
          <w:szCs w:val="18"/>
        </w:rPr>
        <w:t xml:space="preserve">Version 2 </w:t>
      </w:r>
    </w:p>
    <w:p w14:paraId="60D2CA46" w14:textId="71593DDA" w:rsidR="00252D73" w:rsidRPr="00CC4BA2" w:rsidRDefault="00252D73" w:rsidP="00252D73">
      <w:pPr>
        <w:rPr>
          <w:rFonts w:asciiTheme="minorHAnsi" w:hAnsiTheme="minorHAnsi" w:cstheme="minorHAnsi"/>
          <w:sz w:val="18"/>
          <w:szCs w:val="18"/>
        </w:rPr>
      </w:pPr>
      <w:r w:rsidRPr="00CC4BA2">
        <w:rPr>
          <w:rFonts w:asciiTheme="minorHAnsi" w:hAnsiTheme="minorHAnsi" w:cstheme="minorHAnsi"/>
          <w:sz w:val="18"/>
          <w:szCs w:val="18"/>
        </w:rPr>
        <w:t>Amendment</w:t>
      </w:r>
      <w:r w:rsidR="003A0C9D">
        <w:rPr>
          <w:rFonts w:asciiTheme="minorHAnsi" w:hAnsiTheme="minorHAnsi" w:cstheme="minorHAnsi"/>
          <w:sz w:val="18"/>
          <w:szCs w:val="18"/>
        </w:rPr>
        <w:t>s</w:t>
      </w:r>
      <w:r w:rsidRPr="00CC4BA2">
        <w:rPr>
          <w:rFonts w:asciiTheme="minorHAnsi" w:hAnsiTheme="minorHAnsi" w:cstheme="minorHAnsi"/>
          <w:sz w:val="18"/>
          <w:szCs w:val="18"/>
        </w:rPr>
        <w:t xml:space="preserve"> </w:t>
      </w:r>
    </w:p>
    <w:p w14:paraId="29517FF8" w14:textId="73E39986" w:rsidR="00252D73" w:rsidRPr="003A0C9D" w:rsidRDefault="00252D73" w:rsidP="003A0C9D">
      <w:pPr>
        <w:pStyle w:val="ListParagraph"/>
        <w:numPr>
          <w:ilvl w:val="0"/>
          <w:numId w:val="12"/>
        </w:numPr>
        <w:rPr>
          <w:rFonts w:asciiTheme="minorHAnsi" w:hAnsiTheme="minorHAnsi" w:cstheme="minorHAnsi"/>
          <w:sz w:val="18"/>
          <w:szCs w:val="18"/>
        </w:rPr>
      </w:pPr>
      <w:r w:rsidRPr="008059F4">
        <w:rPr>
          <w:rFonts w:asciiTheme="minorHAnsi" w:hAnsiTheme="minorHAnsi" w:cstheme="minorHAnsi"/>
          <w:color w:val="000000"/>
          <w:sz w:val="18"/>
          <w:szCs w:val="18"/>
        </w:rPr>
        <w:t>ABEMACICLIB</w:t>
      </w:r>
      <w:r>
        <w:rPr>
          <w:rFonts w:asciiTheme="minorHAnsi" w:hAnsiTheme="minorHAnsi" w:cstheme="minorHAnsi"/>
          <w:color w:val="000000"/>
          <w:sz w:val="18"/>
          <w:szCs w:val="18"/>
        </w:rPr>
        <w:t xml:space="preserve"> – added PBAC recommended flow-on statement.</w:t>
      </w:r>
    </w:p>
    <w:p w14:paraId="39CCCECF" w14:textId="6486CB13" w:rsidR="00252D73" w:rsidRDefault="00252D73" w:rsidP="003A0C9D">
      <w:pPr>
        <w:pStyle w:val="ListParagraph"/>
        <w:numPr>
          <w:ilvl w:val="0"/>
          <w:numId w:val="12"/>
        </w:numPr>
        <w:rPr>
          <w:rFonts w:asciiTheme="minorHAnsi" w:hAnsiTheme="minorHAnsi" w:cstheme="minorHAnsi"/>
          <w:sz w:val="18"/>
          <w:szCs w:val="18"/>
        </w:rPr>
      </w:pPr>
      <w:r w:rsidRPr="00252D73">
        <w:rPr>
          <w:rFonts w:asciiTheme="minorHAnsi" w:hAnsiTheme="minorHAnsi" w:cstheme="minorHAnsi"/>
          <w:sz w:val="18"/>
          <w:szCs w:val="18"/>
        </w:rPr>
        <w:t>BUDESONIDE WITH FORMOTEROL</w:t>
      </w:r>
      <w:r>
        <w:rPr>
          <w:rFonts w:asciiTheme="minorHAnsi" w:hAnsiTheme="minorHAnsi" w:cstheme="minorHAnsi"/>
          <w:sz w:val="18"/>
          <w:szCs w:val="18"/>
        </w:rPr>
        <w:t xml:space="preserve"> – corrected naming by removing “+” and adding “with”. </w:t>
      </w:r>
    </w:p>
    <w:p w14:paraId="44DF4329" w14:textId="2D4ABC90" w:rsidR="00252D73" w:rsidRDefault="00252D73" w:rsidP="003A0C9D">
      <w:pPr>
        <w:pStyle w:val="ListParagraph"/>
        <w:numPr>
          <w:ilvl w:val="0"/>
          <w:numId w:val="12"/>
        </w:numPr>
        <w:rPr>
          <w:rFonts w:asciiTheme="minorHAnsi" w:hAnsiTheme="minorHAnsi" w:cstheme="minorHAnsi"/>
          <w:sz w:val="18"/>
          <w:szCs w:val="18"/>
        </w:rPr>
      </w:pPr>
      <w:r w:rsidRPr="008059F4">
        <w:rPr>
          <w:rFonts w:asciiTheme="minorHAnsi" w:hAnsiTheme="minorHAnsi" w:cstheme="minorHAnsi"/>
          <w:color w:val="000000"/>
          <w:sz w:val="18"/>
          <w:szCs w:val="18"/>
        </w:rPr>
        <w:t xml:space="preserve">FLUTICASONE PROPIONATE </w:t>
      </w:r>
      <w:r>
        <w:rPr>
          <w:rFonts w:asciiTheme="minorHAnsi" w:hAnsiTheme="minorHAnsi" w:cstheme="minorHAnsi"/>
          <w:color w:val="000000"/>
          <w:sz w:val="18"/>
          <w:szCs w:val="18"/>
        </w:rPr>
        <w:t>WITH</w:t>
      </w:r>
      <w:r w:rsidRPr="008059F4">
        <w:rPr>
          <w:rFonts w:asciiTheme="minorHAnsi" w:hAnsiTheme="minorHAnsi" w:cstheme="minorHAnsi"/>
          <w:color w:val="000000"/>
          <w:sz w:val="18"/>
          <w:szCs w:val="18"/>
        </w:rPr>
        <w:t xml:space="preserve"> SALMETEROL</w:t>
      </w:r>
      <w:r>
        <w:rPr>
          <w:rFonts w:asciiTheme="minorHAnsi" w:hAnsiTheme="minorHAnsi" w:cstheme="minorHAnsi"/>
          <w:color w:val="000000"/>
          <w:sz w:val="18"/>
          <w:szCs w:val="18"/>
        </w:rPr>
        <w:t xml:space="preserve"> </w:t>
      </w:r>
      <w:r>
        <w:rPr>
          <w:rFonts w:asciiTheme="minorHAnsi" w:hAnsiTheme="minorHAnsi" w:cstheme="minorHAnsi"/>
          <w:sz w:val="18"/>
          <w:szCs w:val="18"/>
        </w:rPr>
        <w:t>– corrected naming by removing “+” and adding “with”.</w:t>
      </w:r>
    </w:p>
    <w:p w14:paraId="0935E7D3" w14:textId="22F3DB8E" w:rsidR="00252D73" w:rsidRPr="003A0C9D" w:rsidRDefault="00252D73" w:rsidP="003A0C9D">
      <w:pPr>
        <w:pStyle w:val="ListParagraph"/>
        <w:numPr>
          <w:ilvl w:val="0"/>
          <w:numId w:val="12"/>
        </w:numPr>
        <w:rPr>
          <w:rFonts w:asciiTheme="minorHAnsi" w:hAnsiTheme="minorHAnsi" w:cstheme="minorHAnsi"/>
          <w:sz w:val="18"/>
          <w:szCs w:val="18"/>
        </w:rPr>
      </w:pPr>
      <w:r w:rsidRPr="008059F4">
        <w:rPr>
          <w:rFonts w:asciiTheme="minorHAnsi" w:hAnsiTheme="minorHAnsi" w:cstheme="minorHAnsi"/>
          <w:color w:val="000000"/>
          <w:sz w:val="18"/>
          <w:szCs w:val="18"/>
        </w:rPr>
        <w:t>LENACAPAVIR</w:t>
      </w:r>
      <w:r>
        <w:rPr>
          <w:rFonts w:asciiTheme="minorHAnsi" w:hAnsiTheme="minorHAnsi" w:cstheme="minorHAnsi"/>
          <w:color w:val="000000"/>
          <w:sz w:val="18"/>
          <w:szCs w:val="18"/>
        </w:rPr>
        <w:t xml:space="preserve"> – added PBAC recommended flow-on statement.</w:t>
      </w:r>
    </w:p>
    <w:p w14:paraId="5DA3749A" w14:textId="623728EF" w:rsidR="00C66F33" w:rsidRPr="003A0C9D" w:rsidRDefault="00C66F33" w:rsidP="003A0C9D">
      <w:pPr>
        <w:pStyle w:val="ListParagraph"/>
        <w:numPr>
          <w:ilvl w:val="0"/>
          <w:numId w:val="12"/>
        </w:numPr>
        <w:rPr>
          <w:rFonts w:asciiTheme="minorHAnsi" w:hAnsiTheme="minorHAnsi" w:cstheme="minorHAnsi"/>
          <w:sz w:val="18"/>
          <w:szCs w:val="18"/>
        </w:rPr>
      </w:pPr>
      <w:r w:rsidRPr="008059F4">
        <w:rPr>
          <w:rFonts w:asciiTheme="minorHAnsi" w:hAnsiTheme="minorHAnsi" w:cstheme="minorHAnsi"/>
          <w:color w:val="000000"/>
          <w:sz w:val="18"/>
          <w:szCs w:val="18"/>
        </w:rPr>
        <w:t>OXYBUTYNIN</w:t>
      </w:r>
      <w:r>
        <w:rPr>
          <w:rFonts w:asciiTheme="minorHAnsi" w:hAnsiTheme="minorHAnsi" w:cstheme="minorHAnsi"/>
          <w:color w:val="000000"/>
          <w:sz w:val="18"/>
          <w:szCs w:val="18"/>
        </w:rPr>
        <w:t xml:space="preserve"> – corrected outcome from “Recommended” to “Advice Provided”.</w:t>
      </w:r>
    </w:p>
    <w:p w14:paraId="42A7E9F8" w14:textId="77777777" w:rsidR="00C70A4F" w:rsidRDefault="00C70A4F" w:rsidP="00BB57B7">
      <w:pPr>
        <w:rPr>
          <w:rFonts w:ascii="Arial" w:hAnsi="Arial" w:cs="Arial"/>
          <w:b/>
          <w:lang w:val="en-US"/>
        </w:rPr>
      </w:pPr>
      <w:r>
        <w:rPr>
          <w:rFonts w:ascii="Arial" w:hAnsi="Arial" w:cs="Arial"/>
          <w:b/>
          <w:lang w:val="en-US"/>
        </w:rPr>
        <w:br w:type="page"/>
      </w:r>
    </w:p>
    <w:p w14:paraId="6B64D1DE" w14:textId="5E000AB7" w:rsidR="007F48F6" w:rsidRPr="00292120" w:rsidRDefault="007F48F6" w:rsidP="00BB57B7">
      <w:pPr>
        <w:rPr>
          <w:rFonts w:ascii="Arial" w:hAnsi="Arial" w:cs="Arial"/>
          <w:b/>
          <w:lang w:val="en-US"/>
        </w:rPr>
      </w:pPr>
      <w:r w:rsidRPr="00292120">
        <w:rPr>
          <w:rFonts w:ascii="Arial" w:hAnsi="Arial" w:cs="Arial"/>
          <w:b/>
          <w:lang w:val="en-US"/>
        </w:rPr>
        <w:lastRenderedPageBreak/>
        <w:t>Submission category types</w:t>
      </w:r>
    </w:p>
    <w:p w14:paraId="15D4233E" w14:textId="77777777" w:rsidR="007F48F6" w:rsidRPr="00292120" w:rsidRDefault="007F48F6" w:rsidP="00BB57B7">
      <w:pPr>
        <w:rPr>
          <w:rFonts w:ascii="Arial" w:hAnsi="Arial" w:cs="Arial"/>
          <w:b/>
          <w:lang w:val="en-US"/>
        </w:rPr>
      </w:pPr>
    </w:p>
    <w:tbl>
      <w:tblPr>
        <w:tblStyle w:val="TableGrid"/>
        <w:tblW w:w="14458" w:type="dxa"/>
        <w:tblInd w:w="421" w:type="dxa"/>
        <w:tblLook w:val="04A0" w:firstRow="1" w:lastRow="0" w:firstColumn="1" w:lastColumn="0" w:noHBand="0" w:noVBand="1"/>
      </w:tblPr>
      <w:tblGrid>
        <w:gridCol w:w="1984"/>
        <w:gridCol w:w="12474"/>
      </w:tblGrid>
      <w:tr w:rsidR="007F48F6" w:rsidRPr="00292120" w14:paraId="49C9D26F" w14:textId="77777777" w:rsidTr="005B583D">
        <w:tc>
          <w:tcPr>
            <w:tcW w:w="1984" w:type="dxa"/>
          </w:tcPr>
          <w:p w14:paraId="1640FA5D" w14:textId="3DC6C07C" w:rsidR="007F48F6" w:rsidRPr="00292120" w:rsidRDefault="007F48F6" w:rsidP="00BB57B7">
            <w:pPr>
              <w:autoSpaceDE w:val="0"/>
              <w:autoSpaceDN w:val="0"/>
              <w:adjustRightInd w:val="0"/>
              <w:rPr>
                <w:rFonts w:ascii="Arial" w:hAnsi="Arial" w:cs="Arial"/>
                <w:b/>
                <w:lang w:val="en-US"/>
              </w:rPr>
            </w:pPr>
            <w:r w:rsidRPr="00292120">
              <w:rPr>
                <w:rFonts w:ascii="Arial" w:hAnsi="Arial" w:cs="Arial"/>
                <w:b/>
                <w:color w:val="000000"/>
              </w:rPr>
              <w:t>Category 1</w:t>
            </w:r>
          </w:p>
        </w:tc>
        <w:tc>
          <w:tcPr>
            <w:tcW w:w="12474" w:type="dxa"/>
          </w:tcPr>
          <w:p w14:paraId="55D16D51" w14:textId="77777777" w:rsidR="007F48F6" w:rsidRPr="00292120" w:rsidRDefault="007F48F6" w:rsidP="00BB57B7">
            <w:pPr>
              <w:autoSpaceDE w:val="0"/>
              <w:autoSpaceDN w:val="0"/>
              <w:adjustRightInd w:val="0"/>
              <w:rPr>
                <w:rFonts w:ascii="Arial" w:hAnsi="Arial" w:cs="Arial"/>
                <w:b/>
                <w:color w:val="000000"/>
              </w:rPr>
            </w:pPr>
            <w:r w:rsidRPr="00292120">
              <w:rPr>
                <w:rFonts w:ascii="Arial" w:hAnsi="Arial" w:cs="Arial"/>
                <w:color w:val="000000"/>
              </w:rPr>
              <w:t xml:space="preserve">A request for PBS or NIP listing of one or more of the following: </w:t>
            </w:r>
          </w:p>
          <w:p w14:paraId="5E5BAAB8" w14:textId="77777777" w:rsidR="007F48F6" w:rsidRPr="00292120" w:rsidRDefault="007F48F6" w:rsidP="00BB57B7">
            <w:pPr>
              <w:pStyle w:val="ListParagraph"/>
              <w:numPr>
                <w:ilvl w:val="0"/>
                <w:numId w:val="3"/>
              </w:numPr>
              <w:autoSpaceDE w:val="0"/>
              <w:autoSpaceDN w:val="0"/>
              <w:adjustRightInd w:val="0"/>
              <w:ind w:left="360"/>
              <w:rPr>
                <w:rFonts w:ascii="Arial" w:hAnsi="Arial" w:cs="Arial"/>
                <w:b/>
                <w:color w:val="000000"/>
                <w:sz w:val="20"/>
                <w:szCs w:val="20"/>
              </w:rPr>
            </w:pPr>
            <w:r w:rsidRPr="00292120">
              <w:rPr>
                <w:rFonts w:ascii="Arial" w:hAnsi="Arial" w:cs="Arial"/>
                <w:color w:val="000000"/>
                <w:sz w:val="20"/>
                <w:szCs w:val="20"/>
              </w:rPr>
              <w:t xml:space="preserve">A first in class medicine or vaccine, and/or a medicine or vaccine for a new population. OR </w:t>
            </w:r>
          </w:p>
          <w:p w14:paraId="7DB13D11" w14:textId="77777777" w:rsidR="007F48F6" w:rsidRPr="00292120" w:rsidRDefault="007F48F6" w:rsidP="00BB57B7">
            <w:pPr>
              <w:pStyle w:val="ListParagraph"/>
              <w:numPr>
                <w:ilvl w:val="0"/>
                <w:numId w:val="3"/>
              </w:numPr>
              <w:autoSpaceDE w:val="0"/>
              <w:autoSpaceDN w:val="0"/>
              <w:adjustRightInd w:val="0"/>
              <w:ind w:left="360"/>
              <w:rPr>
                <w:rFonts w:ascii="Arial" w:hAnsi="Arial" w:cs="Arial"/>
                <w:b/>
                <w:color w:val="000000"/>
                <w:sz w:val="20"/>
                <w:szCs w:val="20"/>
              </w:rPr>
            </w:pPr>
            <w:r w:rsidRPr="00292120">
              <w:rPr>
                <w:rFonts w:ascii="Arial" w:hAnsi="Arial" w:cs="Arial"/>
                <w:color w:val="000000"/>
                <w:sz w:val="20"/>
                <w:szCs w:val="20"/>
              </w:rPr>
              <w:t xml:space="preserve">A drug with a codependent technology that requires an integrated codependent submission to the PBAC and MSAC. OR </w:t>
            </w:r>
          </w:p>
          <w:p w14:paraId="1380A86B" w14:textId="77777777" w:rsidR="007F48F6" w:rsidRPr="00292120" w:rsidRDefault="007F48F6" w:rsidP="00BB57B7">
            <w:pPr>
              <w:pStyle w:val="ListParagraph"/>
              <w:numPr>
                <w:ilvl w:val="0"/>
                <w:numId w:val="3"/>
              </w:numPr>
              <w:autoSpaceDE w:val="0"/>
              <w:autoSpaceDN w:val="0"/>
              <w:adjustRightInd w:val="0"/>
              <w:ind w:left="360"/>
              <w:rPr>
                <w:rFonts w:ascii="Arial" w:hAnsi="Arial" w:cs="Arial"/>
                <w:b/>
                <w:color w:val="000000"/>
                <w:sz w:val="20"/>
                <w:szCs w:val="20"/>
              </w:rPr>
            </w:pPr>
            <w:r w:rsidRPr="00292120">
              <w:rPr>
                <w:rFonts w:ascii="Arial" w:hAnsi="Arial" w:cs="Arial"/>
                <w:color w:val="000000"/>
                <w:sz w:val="20"/>
                <w:szCs w:val="20"/>
              </w:rPr>
              <w:t>A drug or designated vaccine with a TGA Provisional determination related to the proposed population.</w:t>
            </w:r>
          </w:p>
        </w:tc>
      </w:tr>
      <w:tr w:rsidR="007F48F6" w:rsidRPr="00292120" w14:paraId="55E97F75" w14:textId="77777777" w:rsidTr="005B583D">
        <w:tc>
          <w:tcPr>
            <w:tcW w:w="1984" w:type="dxa"/>
          </w:tcPr>
          <w:p w14:paraId="5E9AC3B0" w14:textId="77777777" w:rsidR="007F48F6" w:rsidRPr="00292120" w:rsidRDefault="007F48F6" w:rsidP="00BB57B7">
            <w:pPr>
              <w:tabs>
                <w:tab w:val="left" w:pos="5210"/>
              </w:tabs>
              <w:rPr>
                <w:rFonts w:ascii="Arial" w:hAnsi="Arial" w:cs="Arial"/>
                <w:b/>
                <w:lang w:val="en-US"/>
              </w:rPr>
            </w:pPr>
            <w:r w:rsidRPr="00292120">
              <w:rPr>
                <w:rFonts w:ascii="Arial" w:hAnsi="Arial" w:cs="Arial"/>
                <w:b/>
              </w:rPr>
              <w:t>Category 2</w:t>
            </w:r>
          </w:p>
        </w:tc>
        <w:tc>
          <w:tcPr>
            <w:tcW w:w="12474" w:type="dxa"/>
          </w:tcPr>
          <w:p w14:paraId="72522F32" w14:textId="77777777" w:rsidR="007F48F6" w:rsidRPr="00292120" w:rsidRDefault="007F48F6" w:rsidP="00BB57B7">
            <w:pPr>
              <w:tabs>
                <w:tab w:val="left" w:pos="5210"/>
              </w:tabs>
              <w:rPr>
                <w:rFonts w:ascii="Arial" w:hAnsi="Arial" w:cs="Arial"/>
              </w:rPr>
            </w:pPr>
            <w:r w:rsidRPr="00292120">
              <w:rPr>
                <w:rFonts w:ascii="Arial" w:hAnsi="Arial" w:cs="Arial"/>
              </w:rPr>
              <w:t>A request for PBS or NIP listing of a new medicine or new vaccine, a new indication of a currently listed medicine or vaccine, or to make material changes to a currently listed indication and do not meet the criteria for a Category 1 submission.</w:t>
            </w:r>
          </w:p>
        </w:tc>
      </w:tr>
      <w:tr w:rsidR="007F48F6" w:rsidRPr="00292120" w14:paraId="2189A220" w14:textId="77777777" w:rsidTr="005B583D">
        <w:tc>
          <w:tcPr>
            <w:tcW w:w="1984" w:type="dxa"/>
          </w:tcPr>
          <w:p w14:paraId="79CB93BA" w14:textId="77777777" w:rsidR="007F48F6" w:rsidRPr="00292120" w:rsidRDefault="007F48F6" w:rsidP="00BB57B7">
            <w:pPr>
              <w:tabs>
                <w:tab w:val="left" w:pos="5210"/>
              </w:tabs>
              <w:rPr>
                <w:rFonts w:ascii="Arial" w:hAnsi="Arial" w:cs="Arial"/>
                <w:b/>
                <w:lang w:val="en-US"/>
              </w:rPr>
            </w:pPr>
            <w:r w:rsidRPr="00292120">
              <w:rPr>
                <w:rFonts w:ascii="Arial" w:hAnsi="Arial" w:cs="Arial"/>
                <w:b/>
              </w:rPr>
              <w:t>Category 3</w:t>
            </w:r>
          </w:p>
        </w:tc>
        <w:tc>
          <w:tcPr>
            <w:tcW w:w="12474" w:type="dxa"/>
          </w:tcPr>
          <w:p w14:paraId="11EF39D0" w14:textId="77777777" w:rsidR="007F48F6" w:rsidRPr="00292120" w:rsidRDefault="007F48F6" w:rsidP="00BB57B7">
            <w:pPr>
              <w:tabs>
                <w:tab w:val="left" w:pos="5210"/>
              </w:tabs>
              <w:rPr>
                <w:rFonts w:ascii="Arial" w:hAnsi="Arial" w:cs="Arial"/>
              </w:rPr>
            </w:pPr>
            <w:r w:rsidRPr="00292120">
              <w:rPr>
                <w:rFonts w:ascii="Arial" w:hAnsi="Arial" w:cs="Arial"/>
              </w:rPr>
              <w:t>Requests to change existing listings that do not change the population or cost-effectiveness of the medicine or vaccine that do not meet the criteria for a Category 4 submission.</w:t>
            </w:r>
          </w:p>
        </w:tc>
      </w:tr>
      <w:tr w:rsidR="007F48F6" w:rsidRPr="00292120" w14:paraId="3189B6F0" w14:textId="77777777" w:rsidTr="005B583D">
        <w:tc>
          <w:tcPr>
            <w:tcW w:w="1984" w:type="dxa"/>
          </w:tcPr>
          <w:p w14:paraId="381D7CFE" w14:textId="5CAA3093" w:rsidR="007F48F6" w:rsidRPr="00292120" w:rsidRDefault="007F48F6" w:rsidP="00BB57B7">
            <w:pPr>
              <w:pStyle w:val="Default"/>
              <w:rPr>
                <w:rFonts w:ascii="Arial" w:hAnsi="Arial" w:cs="Arial"/>
                <w:b/>
                <w:sz w:val="20"/>
                <w:szCs w:val="20"/>
                <w:lang w:val="en-US"/>
              </w:rPr>
            </w:pPr>
            <w:r w:rsidRPr="00292120">
              <w:rPr>
                <w:rFonts w:ascii="Arial" w:hAnsi="Arial" w:cs="Arial"/>
                <w:b/>
                <w:sz w:val="20"/>
                <w:szCs w:val="20"/>
              </w:rPr>
              <w:t xml:space="preserve">Category 4 </w:t>
            </w:r>
          </w:p>
        </w:tc>
        <w:tc>
          <w:tcPr>
            <w:tcW w:w="12474" w:type="dxa"/>
          </w:tcPr>
          <w:p w14:paraId="5E50EE2B" w14:textId="77777777" w:rsidR="007F48F6" w:rsidRPr="00292120" w:rsidRDefault="007F48F6" w:rsidP="00BB57B7">
            <w:pPr>
              <w:pStyle w:val="Default"/>
              <w:rPr>
                <w:rFonts w:ascii="Arial" w:hAnsi="Arial" w:cs="Arial"/>
                <w:b/>
                <w:sz w:val="20"/>
                <w:szCs w:val="20"/>
              </w:rPr>
            </w:pPr>
            <w:r w:rsidRPr="00292120">
              <w:rPr>
                <w:rFonts w:ascii="Arial" w:hAnsi="Arial" w:cs="Arial"/>
                <w:sz w:val="20"/>
                <w:szCs w:val="20"/>
              </w:rPr>
              <w:t xml:space="preserve">A request for one or more of the following: </w:t>
            </w:r>
          </w:p>
          <w:p w14:paraId="61CDD5EA" w14:textId="77777777" w:rsidR="007F48F6" w:rsidRPr="00292120" w:rsidRDefault="007F48F6" w:rsidP="00BB57B7">
            <w:pPr>
              <w:pStyle w:val="ListParagraph"/>
              <w:numPr>
                <w:ilvl w:val="0"/>
                <w:numId w:val="4"/>
              </w:numPr>
              <w:autoSpaceDE w:val="0"/>
              <w:autoSpaceDN w:val="0"/>
              <w:adjustRightInd w:val="0"/>
              <w:ind w:left="360"/>
              <w:rPr>
                <w:rFonts w:ascii="Arial" w:hAnsi="Arial" w:cs="Arial"/>
                <w:b/>
                <w:color w:val="000000"/>
                <w:sz w:val="20"/>
                <w:szCs w:val="20"/>
              </w:rPr>
            </w:pPr>
            <w:r w:rsidRPr="00292120">
              <w:rPr>
                <w:rFonts w:ascii="Arial" w:hAnsi="Arial" w:cs="Arial"/>
                <w:color w:val="000000"/>
                <w:sz w:val="20"/>
                <w:szCs w:val="20"/>
              </w:rPr>
              <w:t xml:space="preserve">Listing of a new pharmaceutical item of a listed medicine. </w:t>
            </w:r>
          </w:p>
          <w:p w14:paraId="30945A3C" w14:textId="77777777" w:rsidR="007F48F6" w:rsidRPr="00292120" w:rsidRDefault="007F48F6" w:rsidP="00BB57B7">
            <w:pPr>
              <w:pStyle w:val="ListParagraph"/>
              <w:numPr>
                <w:ilvl w:val="0"/>
                <w:numId w:val="4"/>
              </w:numPr>
              <w:autoSpaceDE w:val="0"/>
              <w:autoSpaceDN w:val="0"/>
              <w:adjustRightInd w:val="0"/>
              <w:ind w:left="360"/>
              <w:rPr>
                <w:rFonts w:ascii="Arial" w:hAnsi="Arial" w:cs="Arial"/>
                <w:b/>
                <w:color w:val="000000"/>
                <w:sz w:val="20"/>
                <w:szCs w:val="20"/>
              </w:rPr>
            </w:pPr>
            <w:r w:rsidRPr="00292120">
              <w:rPr>
                <w:rFonts w:ascii="Arial" w:hAnsi="Arial" w:cs="Arial"/>
                <w:color w:val="000000"/>
                <w:sz w:val="20"/>
                <w:szCs w:val="20"/>
              </w:rPr>
              <w:t xml:space="preserve">Consideration as an exempt item (Exempt item as per subsection 84AH of the </w:t>
            </w:r>
            <w:r w:rsidRPr="00292120">
              <w:rPr>
                <w:rFonts w:ascii="Arial" w:hAnsi="Arial" w:cs="Arial"/>
                <w:i/>
                <w:iCs/>
                <w:color w:val="000000"/>
                <w:sz w:val="20"/>
                <w:szCs w:val="20"/>
              </w:rPr>
              <w:t>National Health Act 1953</w:t>
            </w:r>
            <w:r w:rsidRPr="00292120">
              <w:rPr>
                <w:rFonts w:ascii="Arial" w:hAnsi="Arial" w:cs="Arial"/>
                <w:color w:val="000000"/>
                <w:sz w:val="20"/>
                <w:szCs w:val="20"/>
              </w:rPr>
              <w:t xml:space="preserve">). </w:t>
            </w:r>
          </w:p>
          <w:p w14:paraId="46567CAC" w14:textId="77777777" w:rsidR="007F48F6" w:rsidRPr="00292120" w:rsidRDefault="007F48F6" w:rsidP="00BB57B7">
            <w:pPr>
              <w:pStyle w:val="ListParagraph"/>
              <w:numPr>
                <w:ilvl w:val="0"/>
                <w:numId w:val="4"/>
              </w:numPr>
              <w:autoSpaceDE w:val="0"/>
              <w:autoSpaceDN w:val="0"/>
              <w:adjustRightInd w:val="0"/>
              <w:ind w:left="360"/>
              <w:rPr>
                <w:rFonts w:ascii="Arial" w:hAnsi="Arial" w:cs="Arial"/>
                <w:b/>
                <w:color w:val="000000"/>
                <w:sz w:val="20"/>
                <w:szCs w:val="20"/>
              </w:rPr>
            </w:pPr>
            <w:r w:rsidRPr="00292120">
              <w:rPr>
                <w:rFonts w:ascii="Arial" w:hAnsi="Arial" w:cs="Arial"/>
                <w:sz w:val="20"/>
                <w:szCs w:val="20"/>
              </w:rPr>
              <w:t xml:space="preserve">Including a listed medicine on the prescriber bag, or varying an existing prescriber bag listing. </w:t>
            </w:r>
          </w:p>
          <w:p w14:paraId="7EF9BA42" w14:textId="77777777" w:rsidR="007F48F6" w:rsidRPr="00292120" w:rsidRDefault="007F48F6" w:rsidP="00BB57B7">
            <w:pPr>
              <w:pStyle w:val="ListParagraph"/>
              <w:numPr>
                <w:ilvl w:val="0"/>
                <w:numId w:val="5"/>
              </w:numPr>
              <w:autoSpaceDE w:val="0"/>
              <w:autoSpaceDN w:val="0"/>
              <w:adjustRightInd w:val="0"/>
              <w:ind w:left="360"/>
              <w:rPr>
                <w:rFonts w:ascii="Arial" w:hAnsi="Arial" w:cs="Arial"/>
                <w:b/>
                <w:sz w:val="20"/>
                <w:szCs w:val="20"/>
              </w:rPr>
            </w:pPr>
            <w:r w:rsidRPr="00292120">
              <w:rPr>
                <w:rFonts w:ascii="Arial" w:hAnsi="Arial" w:cs="Arial"/>
                <w:sz w:val="20"/>
                <w:szCs w:val="20"/>
              </w:rPr>
              <w:t xml:space="preserve">A change/new manner of administration of a listed medicine. </w:t>
            </w:r>
          </w:p>
          <w:p w14:paraId="4D6B65C5" w14:textId="77777777" w:rsidR="007F48F6" w:rsidRPr="00292120" w:rsidRDefault="007F48F6" w:rsidP="00BB57B7">
            <w:pPr>
              <w:pStyle w:val="ListParagraph"/>
              <w:numPr>
                <w:ilvl w:val="0"/>
                <w:numId w:val="5"/>
              </w:numPr>
              <w:autoSpaceDE w:val="0"/>
              <w:autoSpaceDN w:val="0"/>
              <w:adjustRightInd w:val="0"/>
              <w:ind w:left="360"/>
              <w:rPr>
                <w:rFonts w:ascii="Arial" w:hAnsi="Arial" w:cs="Arial"/>
                <w:b/>
                <w:sz w:val="20"/>
                <w:szCs w:val="20"/>
              </w:rPr>
            </w:pPr>
            <w:r w:rsidRPr="00292120">
              <w:rPr>
                <w:rFonts w:ascii="Arial" w:hAnsi="Arial" w:cs="Arial"/>
                <w:sz w:val="20"/>
                <w:szCs w:val="20"/>
              </w:rPr>
              <w:t xml:space="preserve">A change to the maximum quantity and/or number of repeats of a listed medicine. </w:t>
            </w:r>
          </w:p>
          <w:p w14:paraId="2C2C10B5" w14:textId="77777777" w:rsidR="007F48F6" w:rsidRPr="00292120" w:rsidRDefault="007F48F6" w:rsidP="00BB57B7">
            <w:pPr>
              <w:pStyle w:val="ListParagraph"/>
              <w:numPr>
                <w:ilvl w:val="0"/>
                <w:numId w:val="5"/>
              </w:numPr>
              <w:autoSpaceDE w:val="0"/>
              <w:autoSpaceDN w:val="0"/>
              <w:adjustRightInd w:val="0"/>
              <w:ind w:left="360"/>
              <w:rPr>
                <w:rFonts w:ascii="Arial" w:hAnsi="Arial" w:cs="Arial"/>
                <w:b/>
                <w:sz w:val="20"/>
                <w:szCs w:val="20"/>
              </w:rPr>
            </w:pPr>
            <w:r w:rsidRPr="00292120">
              <w:rPr>
                <w:rFonts w:ascii="Arial" w:hAnsi="Arial" w:cs="Arial"/>
                <w:sz w:val="20"/>
                <w:szCs w:val="20"/>
              </w:rPr>
              <w:t>A change or addition to the prescriber type(s) of a listed medicine.</w:t>
            </w:r>
          </w:p>
        </w:tc>
      </w:tr>
      <w:tr w:rsidR="009A1C75" w:rsidRPr="00292120" w14:paraId="5129ECF2" w14:textId="77777777" w:rsidTr="009A1C75">
        <w:trPr>
          <w:trHeight w:val="1026"/>
        </w:trPr>
        <w:tc>
          <w:tcPr>
            <w:tcW w:w="1984" w:type="dxa"/>
          </w:tcPr>
          <w:p w14:paraId="4FD9FAAA" w14:textId="0063D706" w:rsidR="009A1C75" w:rsidRPr="00292120" w:rsidRDefault="009A1C75" w:rsidP="00BB57B7">
            <w:pPr>
              <w:pStyle w:val="Default"/>
              <w:rPr>
                <w:rFonts w:ascii="Arial" w:hAnsi="Arial" w:cs="Arial"/>
                <w:sz w:val="20"/>
                <w:szCs w:val="20"/>
              </w:rPr>
            </w:pPr>
            <w:r w:rsidRPr="00292120">
              <w:rPr>
                <w:rFonts w:ascii="Arial" w:hAnsi="Arial" w:cs="Arial"/>
                <w:b/>
                <w:sz w:val="20"/>
                <w:szCs w:val="20"/>
              </w:rPr>
              <w:t>Committee Secretariat</w:t>
            </w:r>
          </w:p>
        </w:tc>
        <w:tc>
          <w:tcPr>
            <w:tcW w:w="12474" w:type="dxa"/>
          </w:tcPr>
          <w:p w14:paraId="4E0E04D8" w14:textId="77777777" w:rsidR="009A1C75" w:rsidRPr="00292120" w:rsidRDefault="009A1C75" w:rsidP="00BB57B7">
            <w:pPr>
              <w:rPr>
                <w:rFonts w:ascii="Arial" w:hAnsi="Arial" w:cs="Arial"/>
                <w:color w:val="000000"/>
              </w:rPr>
            </w:pPr>
            <w:r w:rsidRPr="00292120">
              <w:rPr>
                <w:rFonts w:ascii="Arial" w:hAnsi="Arial" w:cs="Arial"/>
                <w:color w:val="000000"/>
              </w:rPr>
              <w:t>Application is not in Categories 1, 2, 3 or 4 and requests for one or more of the following:</w:t>
            </w:r>
          </w:p>
          <w:p w14:paraId="0ADCA80A" w14:textId="77777777" w:rsidR="009A1C75" w:rsidRPr="00292120" w:rsidRDefault="009A1C75" w:rsidP="003A0C9D">
            <w:pPr>
              <w:pStyle w:val="ListParagraph"/>
              <w:numPr>
                <w:ilvl w:val="0"/>
                <w:numId w:val="6"/>
              </w:numPr>
              <w:rPr>
                <w:rFonts w:ascii="Arial" w:eastAsia="Times New Roman" w:hAnsi="Arial" w:cs="Arial"/>
                <w:sz w:val="20"/>
                <w:szCs w:val="20"/>
              </w:rPr>
            </w:pPr>
            <w:r w:rsidRPr="00292120">
              <w:rPr>
                <w:rFonts w:ascii="Arial" w:eastAsia="Times New Roman" w:hAnsi="Arial" w:cs="Arial"/>
                <w:sz w:val="20"/>
                <w:szCs w:val="20"/>
              </w:rPr>
              <w:t>New or varied listed drugs, medicinal preparations and designated vaccines that pose no greater risk</w:t>
            </w:r>
          </w:p>
          <w:p w14:paraId="4E274BBE" w14:textId="47479696" w:rsidR="009A1C75" w:rsidRPr="00292120" w:rsidRDefault="009A1C75" w:rsidP="003A0C9D">
            <w:pPr>
              <w:pStyle w:val="ListParagraph"/>
              <w:numPr>
                <w:ilvl w:val="0"/>
                <w:numId w:val="6"/>
              </w:numPr>
              <w:rPr>
                <w:rFonts w:ascii="Arial" w:eastAsia="Times New Roman" w:hAnsi="Arial" w:cs="Arial"/>
                <w:sz w:val="20"/>
                <w:szCs w:val="20"/>
              </w:rPr>
            </w:pPr>
            <w:r w:rsidRPr="00292120">
              <w:rPr>
                <w:rFonts w:ascii="Arial" w:eastAsia="Times New Roman" w:hAnsi="Arial" w:cs="Arial"/>
                <w:sz w:val="20"/>
                <w:szCs w:val="20"/>
              </w:rPr>
              <w:t>Pharmaceutical benefits that can no longer be supplied early</w:t>
            </w:r>
          </w:p>
          <w:p w14:paraId="78723A0D" w14:textId="4DE6AD96" w:rsidR="009A1C75" w:rsidRPr="00292120" w:rsidRDefault="009A1C75" w:rsidP="003A0C9D">
            <w:pPr>
              <w:pStyle w:val="ListParagraph"/>
              <w:numPr>
                <w:ilvl w:val="0"/>
                <w:numId w:val="6"/>
              </w:numPr>
              <w:rPr>
                <w:rFonts w:ascii="Arial" w:eastAsia="Times New Roman" w:hAnsi="Arial" w:cs="Arial"/>
                <w:sz w:val="20"/>
                <w:szCs w:val="20"/>
              </w:rPr>
            </w:pPr>
            <w:r w:rsidRPr="00292120">
              <w:rPr>
                <w:rFonts w:ascii="Arial" w:eastAsia="Times New Roman" w:hAnsi="Arial" w:cs="Arial"/>
                <w:sz w:val="20"/>
                <w:szCs w:val="20"/>
              </w:rPr>
              <w:t>New brand of glucose indicator pharmaceutical item.</w:t>
            </w:r>
          </w:p>
        </w:tc>
      </w:tr>
    </w:tbl>
    <w:p w14:paraId="1A3326E0" w14:textId="77777777" w:rsidR="007F48F6" w:rsidRPr="00292120" w:rsidRDefault="007F48F6" w:rsidP="00BB57B7">
      <w:pPr>
        <w:rPr>
          <w:rFonts w:ascii="Arial" w:hAnsi="Arial" w:cs="Arial"/>
          <w:b/>
          <w:lang w:val="en-US"/>
        </w:rPr>
      </w:pPr>
    </w:p>
    <w:p w14:paraId="379497B6" w14:textId="77777777" w:rsidR="008D62B4" w:rsidRPr="00292120" w:rsidRDefault="008D62B4" w:rsidP="00BB57B7">
      <w:pPr>
        <w:rPr>
          <w:rFonts w:ascii="Arial" w:hAnsi="Arial" w:cs="Arial"/>
          <w:b/>
          <w:lang w:val="en-US"/>
        </w:rPr>
      </w:pPr>
      <w:r w:rsidRPr="00292120">
        <w:rPr>
          <w:rFonts w:ascii="Arial" w:hAnsi="Arial" w:cs="Arial"/>
          <w:b/>
          <w:lang w:val="en-US"/>
        </w:rPr>
        <w:br w:type="page"/>
      </w:r>
    </w:p>
    <w:p w14:paraId="6CE3C41E" w14:textId="0367938F" w:rsidR="00640C80" w:rsidRPr="00292120" w:rsidRDefault="005A0A21" w:rsidP="00BB57B7">
      <w:pPr>
        <w:rPr>
          <w:rFonts w:ascii="Arial" w:hAnsi="Arial" w:cs="Arial"/>
          <w:b/>
          <w:lang w:val="en-US"/>
        </w:rPr>
      </w:pPr>
      <w:r w:rsidRPr="00292120">
        <w:rPr>
          <w:rFonts w:ascii="Arial" w:hAnsi="Arial" w:cs="Arial"/>
          <w:b/>
          <w:lang w:val="en-US"/>
        </w:rPr>
        <w:lastRenderedPageBreak/>
        <w:t>Resubmission pathways</w:t>
      </w:r>
    </w:p>
    <w:p w14:paraId="025CE011" w14:textId="77777777" w:rsidR="005A0A21" w:rsidRPr="00292120" w:rsidRDefault="005A0A21" w:rsidP="00BB57B7">
      <w:pPr>
        <w:tabs>
          <w:tab w:val="left" w:pos="5210"/>
        </w:tabs>
        <w:rPr>
          <w:rFonts w:ascii="Arial" w:hAnsi="Arial" w:cs="Arial"/>
          <w:b/>
          <w:lang w:val="en-US"/>
        </w:rPr>
      </w:pPr>
    </w:p>
    <w:tbl>
      <w:tblPr>
        <w:tblW w:w="4701" w:type="pct"/>
        <w:tblInd w:w="416" w:type="dxa"/>
        <w:tblCellMar>
          <w:left w:w="0" w:type="dxa"/>
          <w:right w:w="0" w:type="dxa"/>
        </w:tblCellMar>
        <w:tblLook w:val="04A0" w:firstRow="1" w:lastRow="0" w:firstColumn="1" w:lastColumn="0" w:noHBand="0" w:noVBand="1"/>
      </w:tblPr>
      <w:tblGrid>
        <w:gridCol w:w="2068"/>
        <w:gridCol w:w="12390"/>
      </w:tblGrid>
      <w:tr w:rsidR="004A3371" w:rsidRPr="00292120" w14:paraId="1B32CA1F" w14:textId="77777777" w:rsidTr="00A159CA">
        <w:trPr>
          <w:cantSplit/>
        </w:trPr>
        <w:tc>
          <w:tcPr>
            <w:tcW w:w="14458" w:type="dxa"/>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6822E31" w14:textId="44A07A5C" w:rsidR="004A3371" w:rsidRPr="00292120" w:rsidRDefault="004A3371" w:rsidP="00BB57B7">
            <w:pPr>
              <w:rPr>
                <w:rFonts w:ascii="Arial" w:hAnsi="Arial" w:cs="Arial"/>
              </w:rPr>
            </w:pPr>
            <w:r w:rsidRPr="00292120">
              <w:rPr>
                <w:rFonts w:ascii="Arial" w:hAnsi="Arial" w:cs="Arial"/>
                <w:color w:val="333333"/>
              </w:rPr>
              <w:t xml:space="preserve">There are four different resubmission pathways available to applicants following a ‘not recommended’ PBAC outcome. Resubmission pathways are not available for submissions that receive a positive recommendation from the PBAC. </w:t>
            </w:r>
            <w:r w:rsidRPr="00292120">
              <w:rPr>
                <w:rFonts w:ascii="Arial" w:hAnsi="Arial" w:cs="Arial"/>
              </w:rPr>
              <w:t>The resubmission pathways are classified into the following categories:</w:t>
            </w:r>
          </w:p>
        </w:tc>
      </w:tr>
      <w:tr w:rsidR="004A3371" w:rsidRPr="00292120" w14:paraId="5A78A628" w14:textId="77777777" w:rsidTr="00A159CA">
        <w:trPr>
          <w:cantSplit/>
        </w:trPr>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680C335" w14:textId="77777777" w:rsidR="004A3371" w:rsidRPr="00292120" w:rsidRDefault="004A3371" w:rsidP="00BB57B7">
            <w:pPr>
              <w:contextualSpacing/>
              <w:rPr>
                <w:rFonts w:ascii="Arial" w:hAnsi="Arial" w:cs="Arial"/>
                <w:b/>
                <w:bCs/>
              </w:rPr>
            </w:pPr>
            <w:r w:rsidRPr="00292120">
              <w:rPr>
                <w:rFonts w:ascii="Arial" w:hAnsi="Arial" w:cs="Arial"/>
                <w:b/>
                <w:bCs/>
              </w:rPr>
              <w:t>Standard re-entry</w:t>
            </w:r>
          </w:p>
          <w:p w14:paraId="14CD87B9" w14:textId="77777777" w:rsidR="004A3371" w:rsidRPr="00292120" w:rsidRDefault="004A3371" w:rsidP="00BB57B7">
            <w:pPr>
              <w:rPr>
                <w:rFonts w:ascii="Arial" w:hAnsi="Arial" w:cs="Arial"/>
                <w:b/>
                <w:bCs/>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BDC71EA" w14:textId="77777777" w:rsidR="004A3371" w:rsidRPr="00292120" w:rsidRDefault="004A3371" w:rsidP="00BB57B7">
            <w:pPr>
              <w:autoSpaceDE w:val="0"/>
              <w:autoSpaceDN w:val="0"/>
              <w:rPr>
                <w:rFonts w:ascii="Arial" w:hAnsi="Arial" w:cs="Arial"/>
                <w:color w:val="000000"/>
              </w:rPr>
            </w:pPr>
            <w:r w:rsidRPr="00292120">
              <w:rPr>
                <w:rFonts w:ascii="Arial" w:hAnsi="Arial" w:cs="Arial"/>
                <w:color w:val="000000"/>
              </w:rPr>
              <w:t xml:space="preserve">The Standard Re-entry Pathway is the default pathway for resubmissions and also applies where: </w:t>
            </w:r>
          </w:p>
          <w:p w14:paraId="430AF034" w14:textId="77777777" w:rsidR="004A3371" w:rsidRPr="00292120" w:rsidRDefault="004A3371" w:rsidP="00BB57B7">
            <w:pPr>
              <w:pStyle w:val="ListParagraph"/>
              <w:numPr>
                <w:ilvl w:val="0"/>
                <w:numId w:val="1"/>
              </w:numPr>
              <w:autoSpaceDE w:val="0"/>
              <w:autoSpaceDN w:val="0"/>
              <w:contextualSpacing w:val="0"/>
              <w:rPr>
                <w:rFonts w:ascii="Arial" w:hAnsi="Arial" w:cs="Arial"/>
                <w:color w:val="000000"/>
                <w:sz w:val="20"/>
                <w:szCs w:val="20"/>
              </w:rPr>
            </w:pPr>
            <w:r w:rsidRPr="00292120">
              <w:rPr>
                <w:rFonts w:ascii="Arial" w:hAnsi="Arial" w:cs="Arial"/>
                <w:color w:val="000000"/>
                <w:sz w:val="20"/>
                <w:szCs w:val="20"/>
              </w:rPr>
              <w:t xml:space="preserve">an applicant chooses not to accept the PBAC nominated resubmission pathway; or </w:t>
            </w:r>
          </w:p>
          <w:p w14:paraId="15ADDEB3" w14:textId="3C3608FE" w:rsidR="004A3371" w:rsidRPr="00292120" w:rsidRDefault="004A3371" w:rsidP="00BB57B7">
            <w:pPr>
              <w:pStyle w:val="ListParagraph"/>
              <w:numPr>
                <w:ilvl w:val="0"/>
                <w:numId w:val="1"/>
              </w:numPr>
              <w:autoSpaceDE w:val="0"/>
              <w:autoSpaceDN w:val="0"/>
              <w:contextualSpacing w:val="0"/>
              <w:rPr>
                <w:rFonts w:ascii="Arial" w:hAnsi="Arial" w:cs="Arial"/>
                <w:color w:val="000000"/>
                <w:sz w:val="20"/>
                <w:szCs w:val="20"/>
              </w:rPr>
            </w:pPr>
            <w:r w:rsidRPr="00292120">
              <w:rPr>
                <w:rFonts w:ascii="Arial" w:hAnsi="Arial" w:cs="Arial"/>
                <w:color w:val="000000"/>
                <w:sz w:val="20"/>
                <w:szCs w:val="20"/>
              </w:rPr>
              <w:t xml:space="preserve">an Early Re-entry or Early Resolution Pathway has been nominated by the PBAC and an applicant decides to address issues other than those identified by the PBAC (including a subset of issues); or </w:t>
            </w:r>
          </w:p>
          <w:p w14:paraId="4A452A68" w14:textId="4740DC48" w:rsidR="004A3371" w:rsidRPr="00292120" w:rsidRDefault="004A3371" w:rsidP="00BB57B7">
            <w:pPr>
              <w:pStyle w:val="ListParagraph"/>
              <w:numPr>
                <w:ilvl w:val="0"/>
                <w:numId w:val="1"/>
              </w:numPr>
              <w:autoSpaceDE w:val="0"/>
              <w:autoSpaceDN w:val="0"/>
              <w:contextualSpacing w:val="0"/>
              <w:rPr>
                <w:rFonts w:ascii="Arial" w:hAnsi="Arial" w:cs="Arial"/>
                <w:color w:val="000000"/>
                <w:sz w:val="20"/>
                <w:szCs w:val="20"/>
              </w:rPr>
            </w:pPr>
            <w:r w:rsidRPr="00292120">
              <w:rPr>
                <w:rFonts w:ascii="Arial" w:hAnsi="Arial" w:cs="Arial"/>
                <w:color w:val="000000"/>
                <w:sz w:val="20"/>
                <w:szCs w:val="20"/>
              </w:rPr>
              <w:t xml:space="preserve">an applicant decides to lodge later than the allowable timelines for the other pathways. </w:t>
            </w:r>
          </w:p>
        </w:tc>
      </w:tr>
      <w:tr w:rsidR="004A3371" w:rsidRPr="00292120" w14:paraId="46BDFCAF" w14:textId="77777777" w:rsidTr="00A159CA">
        <w:trPr>
          <w:cantSplit/>
        </w:trPr>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18B2638" w14:textId="77777777" w:rsidR="004A3371" w:rsidRPr="00292120" w:rsidRDefault="004A3371" w:rsidP="00BB57B7">
            <w:pPr>
              <w:contextualSpacing/>
              <w:rPr>
                <w:rFonts w:ascii="Arial" w:hAnsi="Arial" w:cs="Arial"/>
                <w:b/>
                <w:bCs/>
                <w:lang w:eastAsia="en-US"/>
              </w:rPr>
            </w:pPr>
            <w:r w:rsidRPr="00292120">
              <w:rPr>
                <w:rFonts w:ascii="Arial" w:hAnsi="Arial" w:cs="Arial"/>
                <w:b/>
                <w:bCs/>
              </w:rPr>
              <w:t>Early re-entry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2461C72" w14:textId="2B0ABB4E" w:rsidR="004A3371" w:rsidRPr="00292120" w:rsidRDefault="004A3371" w:rsidP="00BB57B7">
            <w:pPr>
              <w:contextualSpacing/>
              <w:rPr>
                <w:rFonts w:ascii="Arial" w:hAnsi="Arial" w:cs="Arial"/>
                <w:color w:val="000000"/>
              </w:rPr>
            </w:pPr>
            <w:r w:rsidRPr="00292120">
              <w:rPr>
                <w:rFonts w:ascii="Arial" w:hAnsi="Arial" w:cs="Arial"/>
              </w:rPr>
              <w:t xml:space="preserve">An Early Re-entry Pathway may be nominated by the PBAC where the PBAC considers that the remaining issues could be easily resolved and the medicine or vaccine does not represent </w:t>
            </w:r>
            <w:r w:rsidR="003577EB" w:rsidRPr="00292120">
              <w:rPr>
                <w:rFonts w:ascii="Arial" w:hAnsi="Arial" w:cs="Arial"/>
                <w:color w:val="000000"/>
              </w:rPr>
              <w:t xml:space="preserve">High Added Therapeutic Value (HATV) </w:t>
            </w:r>
            <w:r w:rsidRPr="00292120">
              <w:rPr>
                <w:rFonts w:ascii="Arial" w:hAnsi="Arial" w:cs="Arial"/>
              </w:rPr>
              <w:t>for the proposed population. Applicants who accept this pathway are eligible for PBAC consideration at the immediate next meeting.</w:t>
            </w:r>
          </w:p>
        </w:tc>
      </w:tr>
      <w:tr w:rsidR="004A3371" w:rsidRPr="00292120" w14:paraId="1A2475F2" w14:textId="77777777" w:rsidTr="00A159CA">
        <w:trPr>
          <w:cantSplit/>
        </w:trPr>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193930E" w14:textId="77777777" w:rsidR="004A3371" w:rsidRPr="00292120" w:rsidRDefault="004A3371" w:rsidP="00BB57B7">
            <w:pPr>
              <w:rPr>
                <w:rFonts w:ascii="Arial" w:hAnsi="Arial" w:cs="Arial"/>
                <w:b/>
                <w:bCs/>
                <w:lang w:eastAsia="en-US"/>
              </w:rPr>
            </w:pPr>
            <w:r w:rsidRPr="00292120">
              <w:rPr>
                <w:rFonts w:ascii="Arial" w:hAnsi="Arial" w:cs="Arial"/>
                <w:b/>
                <w:bCs/>
              </w:rPr>
              <w:t>Early resolution pathway</w:t>
            </w:r>
          </w:p>
          <w:p w14:paraId="157D2C85" w14:textId="77777777" w:rsidR="004A3371" w:rsidRPr="00292120" w:rsidRDefault="004A3371" w:rsidP="00BB57B7">
            <w:pPr>
              <w:rPr>
                <w:rFonts w:ascii="Arial" w:hAnsi="Arial" w:cs="Arial"/>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E21B924" w14:textId="61CC1928" w:rsidR="004A3371" w:rsidRPr="00292120" w:rsidRDefault="004A3371" w:rsidP="00BB57B7">
            <w:pPr>
              <w:autoSpaceDE w:val="0"/>
              <w:autoSpaceDN w:val="0"/>
              <w:rPr>
                <w:rFonts w:ascii="Arial" w:hAnsi="Arial" w:cs="Arial"/>
                <w:color w:val="000000"/>
              </w:rPr>
            </w:pPr>
            <w:r w:rsidRPr="00292120">
              <w:rPr>
                <w:rFonts w:ascii="Arial" w:hAnsi="Arial" w:cs="Arial"/>
                <w:color w:val="000000"/>
              </w:rPr>
              <w:t xml:space="preserve">For medicines or vaccines deemed by the PBAC to represent HATV AND where the PBAC considers that the remaining issues could be easily resolved, including when: </w:t>
            </w:r>
          </w:p>
          <w:p w14:paraId="6EC882B7" w14:textId="77777777" w:rsidR="004A3371" w:rsidRPr="00292120" w:rsidRDefault="004A3371" w:rsidP="00BB57B7">
            <w:pPr>
              <w:pStyle w:val="ListParagraph"/>
              <w:numPr>
                <w:ilvl w:val="0"/>
                <w:numId w:val="2"/>
              </w:numPr>
              <w:autoSpaceDE w:val="0"/>
              <w:autoSpaceDN w:val="0"/>
              <w:contextualSpacing w:val="0"/>
              <w:rPr>
                <w:rFonts w:ascii="Arial" w:hAnsi="Arial" w:cs="Arial"/>
                <w:color w:val="000000"/>
                <w:sz w:val="20"/>
                <w:szCs w:val="20"/>
              </w:rPr>
            </w:pPr>
            <w:r w:rsidRPr="00292120">
              <w:rPr>
                <w:rFonts w:ascii="Arial" w:hAnsi="Arial" w:cs="Arial"/>
                <w:color w:val="000000"/>
                <w:sz w:val="20"/>
                <w:szCs w:val="20"/>
              </w:rPr>
              <w:t xml:space="preserve">new clinical study data requiring evaluation is not considered necessary by the PBAC to support new clinical claims to be made in the resubmission; and </w:t>
            </w:r>
          </w:p>
          <w:p w14:paraId="1D4B869E" w14:textId="77777777" w:rsidR="004A3371" w:rsidRPr="00292120" w:rsidRDefault="004A3371" w:rsidP="00BB57B7">
            <w:pPr>
              <w:pStyle w:val="ListParagraph"/>
              <w:numPr>
                <w:ilvl w:val="0"/>
                <w:numId w:val="2"/>
              </w:numPr>
              <w:autoSpaceDE w:val="0"/>
              <w:autoSpaceDN w:val="0"/>
              <w:contextualSpacing w:val="0"/>
              <w:rPr>
                <w:rFonts w:ascii="Arial" w:hAnsi="Arial" w:cs="Arial"/>
                <w:color w:val="000000"/>
                <w:sz w:val="20"/>
                <w:szCs w:val="20"/>
              </w:rPr>
            </w:pPr>
            <w:r w:rsidRPr="00292120">
              <w:rPr>
                <w:rFonts w:ascii="Arial" w:hAnsi="Arial" w:cs="Arial"/>
                <w:color w:val="000000"/>
                <w:sz w:val="20"/>
                <w:szCs w:val="20"/>
              </w:rPr>
              <w:t xml:space="preserve">a revised model structure or input variable changes (beyond those specified by the PBAC) are not necessary to support any new economic claims, or to estimate the utilisation and financial impacts to be made in the resubmission. </w:t>
            </w:r>
          </w:p>
          <w:p w14:paraId="757810AB" w14:textId="77777777" w:rsidR="004A3371" w:rsidRPr="00292120" w:rsidRDefault="004A3371" w:rsidP="00BB57B7">
            <w:pPr>
              <w:pStyle w:val="NormalWeb"/>
              <w:spacing w:before="0" w:beforeAutospacing="0" w:after="0" w:afterAutospacing="0"/>
              <w:rPr>
                <w:rFonts w:ascii="Arial" w:hAnsi="Arial" w:cs="Arial"/>
                <w:sz w:val="20"/>
                <w:szCs w:val="20"/>
              </w:rPr>
            </w:pPr>
            <w:r w:rsidRPr="00292120">
              <w:rPr>
                <w:rFonts w:ascii="Arial" w:hAnsi="Arial" w:cs="Arial"/>
                <w:sz w:val="20"/>
                <w:szCs w:val="20"/>
              </w:rPr>
              <w:t xml:space="preserve">Applicants who accept this pathway are eligible for PBAC consideration out-of-session (before the main meeting), unless the department, in consultation with the PBAC Chair, identifies an unexpected issue such that the resubmission needs consideration at the next main PBAC meeting. </w:t>
            </w:r>
          </w:p>
        </w:tc>
      </w:tr>
      <w:tr w:rsidR="004A3371" w:rsidRPr="00292120" w14:paraId="1CF59836" w14:textId="77777777" w:rsidTr="00A159CA">
        <w:trPr>
          <w:cantSplit/>
        </w:trPr>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3CD8847" w14:textId="77777777" w:rsidR="004A3371" w:rsidRPr="00292120" w:rsidRDefault="004A3371" w:rsidP="00BB57B7">
            <w:pPr>
              <w:rPr>
                <w:rFonts w:ascii="Arial" w:hAnsi="Arial" w:cs="Arial"/>
              </w:rPr>
            </w:pPr>
            <w:r w:rsidRPr="00292120">
              <w:rPr>
                <w:rFonts w:ascii="Arial" w:hAnsi="Arial" w:cs="Arial"/>
                <w:b/>
                <w:bCs/>
              </w:rPr>
              <w:t>Facilitated resolution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EF1CA94" w14:textId="104C4A0C" w:rsidR="004A3371" w:rsidRPr="00292120" w:rsidRDefault="004A3371" w:rsidP="00BB57B7">
            <w:pPr>
              <w:autoSpaceDE w:val="0"/>
              <w:autoSpaceDN w:val="0"/>
              <w:rPr>
                <w:rFonts w:ascii="Arial" w:hAnsi="Arial" w:cs="Arial"/>
                <w:b/>
                <w:bCs/>
                <w:highlight w:val="green"/>
              </w:rPr>
            </w:pPr>
            <w:r w:rsidRPr="00292120">
              <w:rPr>
                <w:rFonts w:ascii="Arial" w:hAnsi="Arial" w:cs="Arial"/>
                <w:color w:val="000000"/>
              </w:rPr>
              <w:t>A Facilitated Resolution Pathway may be nominated by the PBAC where the PBAC considers the issues for resolution could be explored through a workshop AND where the medicine or vaccine meets the HATV criteria. Applicants who accept this pathway are eligible for a solution-focussed workshop with one or more members of the PBAC. The workshop agenda will be based on the issues for resolution outlined in the PBAC Minutes. This can be further clarified during the post-PBAC meeting with the Chair.</w:t>
            </w:r>
          </w:p>
        </w:tc>
      </w:tr>
    </w:tbl>
    <w:p w14:paraId="4455E1A3" w14:textId="4F2BEE75" w:rsidR="00AD3477" w:rsidRPr="00292120" w:rsidRDefault="00AD3477" w:rsidP="00BB57B7">
      <w:pPr>
        <w:tabs>
          <w:tab w:val="left" w:pos="5210"/>
        </w:tabs>
        <w:rPr>
          <w:rFonts w:ascii="Arial" w:hAnsi="Arial" w:cs="Arial"/>
          <w:lang w:val="en-US"/>
        </w:rPr>
      </w:pPr>
    </w:p>
    <w:p w14:paraId="6C9BA0D5" w14:textId="77777777" w:rsidR="00461045" w:rsidRPr="00292120" w:rsidRDefault="00461045" w:rsidP="00BB57B7">
      <w:pPr>
        <w:tabs>
          <w:tab w:val="left" w:pos="5210"/>
        </w:tabs>
        <w:rPr>
          <w:rFonts w:ascii="Arial" w:hAnsi="Arial" w:cs="Arial"/>
          <w:lang w:val="en-US"/>
        </w:rPr>
      </w:pPr>
    </w:p>
    <w:sectPr w:rsidR="00461045" w:rsidRPr="00292120" w:rsidSect="00257615">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F910F" w14:textId="77777777" w:rsidR="00E902E8" w:rsidRDefault="00E902E8">
      <w:r>
        <w:separator/>
      </w:r>
    </w:p>
  </w:endnote>
  <w:endnote w:type="continuationSeparator" w:id="0">
    <w:p w14:paraId="0B94B43F" w14:textId="77777777" w:rsidR="00E902E8" w:rsidRDefault="00E902E8">
      <w:r>
        <w:continuationSeparator/>
      </w:r>
    </w:p>
  </w:endnote>
  <w:endnote w:type="continuationNotice" w:id="1">
    <w:p w14:paraId="340BFECE" w14:textId="77777777" w:rsidR="00E902E8" w:rsidRDefault="00E902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7BCB" w14:textId="77777777" w:rsidR="00E902E8" w:rsidRDefault="00E902E8"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81329" w14:textId="77777777" w:rsidR="00E902E8" w:rsidRDefault="00E902E8"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180A" w14:textId="5E3AFE6F" w:rsidR="00E902E8" w:rsidRPr="00287C89" w:rsidRDefault="00E902E8"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Pr>
        <w:rStyle w:val="PageNumber"/>
        <w:rFonts w:ascii="Arial" w:hAnsi="Arial" w:cs="Arial"/>
        <w:noProof/>
      </w:rPr>
      <w:t>65</w:t>
    </w:r>
    <w:r w:rsidRPr="00287C89">
      <w:rPr>
        <w:rStyle w:val="PageNumber"/>
        <w:rFonts w:ascii="Arial" w:hAnsi="Arial" w:cs="Arial"/>
      </w:rPr>
      <w:fldChar w:fldCharType="end"/>
    </w:r>
  </w:p>
  <w:p w14:paraId="5DEC0542" w14:textId="77777777" w:rsidR="00E902E8" w:rsidRDefault="00E902E8" w:rsidP="00FE2A81">
    <w:pPr>
      <w:pStyle w:val="Footer"/>
      <w:ind w:right="360"/>
    </w:pPr>
  </w:p>
  <w:p w14:paraId="429295B6" w14:textId="77777777" w:rsidR="00E902E8" w:rsidRDefault="00E902E8" w:rsidP="00FE2A8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3F150" w14:textId="77777777" w:rsidR="00CB3CED" w:rsidRDefault="00CB3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1AF80" w14:textId="77777777" w:rsidR="00E902E8" w:rsidRDefault="00E902E8">
      <w:r>
        <w:separator/>
      </w:r>
    </w:p>
  </w:footnote>
  <w:footnote w:type="continuationSeparator" w:id="0">
    <w:p w14:paraId="7F846E8F" w14:textId="77777777" w:rsidR="00E902E8" w:rsidRDefault="00E902E8">
      <w:r>
        <w:continuationSeparator/>
      </w:r>
    </w:p>
  </w:footnote>
  <w:footnote w:type="continuationNotice" w:id="1">
    <w:p w14:paraId="70FA89B9" w14:textId="77777777" w:rsidR="00E902E8" w:rsidRDefault="00E902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398D9" w14:textId="77777777" w:rsidR="00CB3CED" w:rsidRDefault="00CB3C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6D89" w14:textId="77777777" w:rsidR="00E902E8" w:rsidRPr="00571206" w:rsidRDefault="00E902E8" w:rsidP="00571206">
    <w:pPr>
      <w:autoSpaceDE w:val="0"/>
      <w:autoSpaceDN w:val="0"/>
      <w:adjustRightInd w:val="0"/>
      <w:rPr>
        <w:rFonts w:ascii="Arial" w:hAnsi="Arial" w:cs="Arial"/>
        <w:color w:val="000000"/>
        <w:sz w:val="24"/>
        <w:szCs w:val="24"/>
      </w:rPr>
    </w:pPr>
  </w:p>
  <w:p w14:paraId="117035EF" w14:textId="1E14CCFB" w:rsidR="00E902E8" w:rsidRDefault="00E902E8" w:rsidP="00571206">
    <w:pPr>
      <w:pStyle w:val="Header"/>
      <w:jc w:val="center"/>
      <w:rPr>
        <w:rFonts w:ascii="Arial" w:hAnsi="Arial" w:cs="Arial"/>
        <w:b/>
      </w:rPr>
    </w:pPr>
    <w:r w:rsidRPr="00571206">
      <w:rPr>
        <w:rFonts w:ascii="Arial" w:hAnsi="Arial" w:cs="Arial"/>
        <w:color w:val="000000"/>
        <w:sz w:val="24"/>
        <w:szCs w:val="24"/>
      </w:rPr>
      <w:t xml:space="preserve"> </w:t>
    </w:r>
    <w:r w:rsidRPr="00571206">
      <w:rPr>
        <w:rFonts w:ascii="Arial" w:hAnsi="Arial" w:cs="Arial"/>
        <w:b/>
        <w:bCs/>
        <w:color w:val="000000"/>
      </w:rPr>
      <w:t xml:space="preserve">PHARMACEUTICAL BENEFITS ADVISORY COMMITTEE (PBAC) MEETING </w:t>
    </w:r>
    <w:r w:rsidRPr="0071356F">
      <w:rPr>
        <w:rFonts w:ascii="Arial" w:hAnsi="Arial" w:cs="Arial"/>
        <w:b/>
      </w:rPr>
      <w:t>OUTCOMES</w:t>
    </w:r>
  </w:p>
  <w:p w14:paraId="69737A53" w14:textId="0662687A" w:rsidR="00E902E8" w:rsidRDefault="00716550" w:rsidP="00571206">
    <w:pPr>
      <w:pStyle w:val="Header"/>
      <w:jc w:val="center"/>
      <w:rPr>
        <w:rFonts w:ascii="Arial" w:hAnsi="Arial" w:cs="Arial"/>
        <w:b/>
      </w:rPr>
    </w:pPr>
    <w:r>
      <w:rPr>
        <w:rFonts w:ascii="Arial" w:hAnsi="Arial" w:cs="Arial"/>
        <w:b/>
      </w:rPr>
      <w:t>NOVEMBER</w:t>
    </w:r>
    <w:r w:rsidR="00424F1F">
      <w:rPr>
        <w:rFonts w:ascii="Arial" w:hAnsi="Arial" w:cs="Arial"/>
        <w:b/>
      </w:rPr>
      <w:t xml:space="preserve"> </w:t>
    </w:r>
    <w:r w:rsidR="00E902E8">
      <w:rPr>
        <w:rFonts w:ascii="Arial" w:hAnsi="Arial" w:cs="Arial"/>
        <w:b/>
      </w:rPr>
      <w:t>202</w:t>
    </w:r>
    <w:r w:rsidR="00894AB9">
      <w:rPr>
        <w:rFonts w:ascii="Arial" w:hAnsi="Arial" w:cs="Arial"/>
        <w:b/>
      </w:rPr>
      <w:t>3</w:t>
    </w:r>
    <w:r w:rsidR="00E902E8">
      <w:rPr>
        <w:rFonts w:ascii="Arial" w:hAnsi="Arial" w:cs="Arial"/>
        <w:b/>
      </w:rPr>
      <w:t xml:space="preserve"> PBAC MEETING</w:t>
    </w:r>
  </w:p>
  <w:p w14:paraId="0E28AC1B" w14:textId="77777777" w:rsidR="00E902E8" w:rsidRPr="0071356F" w:rsidRDefault="00E902E8" w:rsidP="0071356F">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CD09D" w14:textId="77777777" w:rsidR="00CB3CED" w:rsidRDefault="00CB3C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D2057"/>
    <w:multiLevelType w:val="hybridMultilevel"/>
    <w:tmpl w:val="B6A20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5E2F98"/>
    <w:multiLevelType w:val="hybridMultilevel"/>
    <w:tmpl w:val="07106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D30749"/>
    <w:multiLevelType w:val="hybridMultilevel"/>
    <w:tmpl w:val="33ACD6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47523A"/>
    <w:multiLevelType w:val="hybridMultilevel"/>
    <w:tmpl w:val="67BE3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CF0056"/>
    <w:multiLevelType w:val="hybridMultilevel"/>
    <w:tmpl w:val="A4142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5" w15:restartNumberingAfterBreak="0">
    <w:nsid w:val="341554A2"/>
    <w:multiLevelType w:val="hybridMultilevel"/>
    <w:tmpl w:val="41B2A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2B2D4C"/>
    <w:multiLevelType w:val="multilevel"/>
    <w:tmpl w:val="34F04474"/>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7" w15:restartNumberingAfterBreak="0">
    <w:nsid w:val="4DA92195"/>
    <w:multiLevelType w:val="multilevel"/>
    <w:tmpl w:val="E1CE3240"/>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8" w15:restartNumberingAfterBreak="0">
    <w:nsid w:val="57C97701"/>
    <w:multiLevelType w:val="hybridMultilevel"/>
    <w:tmpl w:val="522A98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E6F75A3"/>
    <w:multiLevelType w:val="hybridMultilevel"/>
    <w:tmpl w:val="617420A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84D033C"/>
    <w:multiLevelType w:val="multilevel"/>
    <w:tmpl w:val="CC92A716"/>
    <w:lvl w:ilvl="0">
      <w:start w:val="1"/>
      <w:numFmt w:val="decimal"/>
      <w:pStyle w:val="2-SectionHeading"/>
      <w:lvlText w:val="%1"/>
      <w:lvlJc w:val="left"/>
      <w:pPr>
        <w:ind w:left="720" w:hanging="720"/>
      </w:pPr>
      <w:rPr>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7C021DBB"/>
    <w:multiLevelType w:val="hybridMultilevel"/>
    <w:tmpl w:val="7E5CF7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1843868">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8950695">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6997367">
    <w:abstractNumId w:val="9"/>
  </w:num>
  <w:num w:numId="4" w16cid:durableId="1955818708">
    <w:abstractNumId w:val="2"/>
  </w:num>
  <w:num w:numId="5" w16cid:durableId="1762793081">
    <w:abstractNumId w:val="4"/>
  </w:num>
  <w:num w:numId="6" w16cid:durableId="1042025453">
    <w:abstractNumId w:val="8"/>
  </w:num>
  <w:num w:numId="7" w16cid:durableId="6538040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1991393">
    <w:abstractNumId w:val="1"/>
  </w:num>
  <w:num w:numId="9" w16cid:durableId="1059479469">
    <w:abstractNumId w:val="5"/>
  </w:num>
  <w:num w:numId="10" w16cid:durableId="2069498770">
    <w:abstractNumId w:val="3"/>
  </w:num>
  <w:num w:numId="11" w16cid:durableId="722487997">
    <w:abstractNumId w:val="0"/>
  </w:num>
  <w:num w:numId="12" w16cid:durableId="526254357">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7147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364"/>
    <w:rsid w:val="0000162D"/>
    <w:rsid w:val="000017CE"/>
    <w:rsid w:val="00002288"/>
    <w:rsid w:val="00002868"/>
    <w:rsid w:val="00002E16"/>
    <w:rsid w:val="00002E7D"/>
    <w:rsid w:val="0000304C"/>
    <w:rsid w:val="000034C3"/>
    <w:rsid w:val="00003584"/>
    <w:rsid w:val="00004628"/>
    <w:rsid w:val="0000462B"/>
    <w:rsid w:val="00004D33"/>
    <w:rsid w:val="00004D75"/>
    <w:rsid w:val="00004F9D"/>
    <w:rsid w:val="00005B5B"/>
    <w:rsid w:val="00005F17"/>
    <w:rsid w:val="00005FA7"/>
    <w:rsid w:val="000063DB"/>
    <w:rsid w:val="000068DD"/>
    <w:rsid w:val="00006BB1"/>
    <w:rsid w:val="0000733C"/>
    <w:rsid w:val="000074BD"/>
    <w:rsid w:val="00007932"/>
    <w:rsid w:val="00007D69"/>
    <w:rsid w:val="000102AF"/>
    <w:rsid w:val="00010379"/>
    <w:rsid w:val="00010886"/>
    <w:rsid w:val="00010920"/>
    <w:rsid w:val="00010B32"/>
    <w:rsid w:val="00010EF9"/>
    <w:rsid w:val="00011394"/>
    <w:rsid w:val="00011420"/>
    <w:rsid w:val="0001152D"/>
    <w:rsid w:val="000118E3"/>
    <w:rsid w:val="00011EA7"/>
    <w:rsid w:val="000120D3"/>
    <w:rsid w:val="000129ED"/>
    <w:rsid w:val="00013284"/>
    <w:rsid w:val="0001362E"/>
    <w:rsid w:val="000136A0"/>
    <w:rsid w:val="00013785"/>
    <w:rsid w:val="00014746"/>
    <w:rsid w:val="00014B96"/>
    <w:rsid w:val="00014DC1"/>
    <w:rsid w:val="00014FF8"/>
    <w:rsid w:val="00015520"/>
    <w:rsid w:val="000155A7"/>
    <w:rsid w:val="00015748"/>
    <w:rsid w:val="00015DFE"/>
    <w:rsid w:val="00016092"/>
    <w:rsid w:val="0001617C"/>
    <w:rsid w:val="00016211"/>
    <w:rsid w:val="0001634D"/>
    <w:rsid w:val="00016386"/>
    <w:rsid w:val="00016707"/>
    <w:rsid w:val="00016F44"/>
    <w:rsid w:val="00017050"/>
    <w:rsid w:val="000171D6"/>
    <w:rsid w:val="00017870"/>
    <w:rsid w:val="000179CE"/>
    <w:rsid w:val="00017CDE"/>
    <w:rsid w:val="00020127"/>
    <w:rsid w:val="000210EB"/>
    <w:rsid w:val="000220E8"/>
    <w:rsid w:val="00022361"/>
    <w:rsid w:val="000223D3"/>
    <w:rsid w:val="00022435"/>
    <w:rsid w:val="00022686"/>
    <w:rsid w:val="000228B1"/>
    <w:rsid w:val="00022BDB"/>
    <w:rsid w:val="00022BF5"/>
    <w:rsid w:val="0002300F"/>
    <w:rsid w:val="0002305C"/>
    <w:rsid w:val="00023228"/>
    <w:rsid w:val="000235A6"/>
    <w:rsid w:val="00023817"/>
    <w:rsid w:val="0002401C"/>
    <w:rsid w:val="00024248"/>
    <w:rsid w:val="000245BC"/>
    <w:rsid w:val="0002470A"/>
    <w:rsid w:val="00024CE2"/>
    <w:rsid w:val="0002564D"/>
    <w:rsid w:val="00025967"/>
    <w:rsid w:val="00025F56"/>
    <w:rsid w:val="00026187"/>
    <w:rsid w:val="0002716D"/>
    <w:rsid w:val="00027346"/>
    <w:rsid w:val="00027672"/>
    <w:rsid w:val="00027773"/>
    <w:rsid w:val="00027AB0"/>
    <w:rsid w:val="0003017D"/>
    <w:rsid w:val="00030320"/>
    <w:rsid w:val="00030887"/>
    <w:rsid w:val="00030A03"/>
    <w:rsid w:val="00030A49"/>
    <w:rsid w:val="000311AC"/>
    <w:rsid w:val="00031946"/>
    <w:rsid w:val="00032078"/>
    <w:rsid w:val="00032226"/>
    <w:rsid w:val="0003225B"/>
    <w:rsid w:val="000322EC"/>
    <w:rsid w:val="00032AB9"/>
    <w:rsid w:val="00032CE5"/>
    <w:rsid w:val="00033D0B"/>
    <w:rsid w:val="00034086"/>
    <w:rsid w:val="00034121"/>
    <w:rsid w:val="00034321"/>
    <w:rsid w:val="000350A9"/>
    <w:rsid w:val="00035472"/>
    <w:rsid w:val="00035622"/>
    <w:rsid w:val="00035CFA"/>
    <w:rsid w:val="00036501"/>
    <w:rsid w:val="00036531"/>
    <w:rsid w:val="000365B0"/>
    <w:rsid w:val="00036CF7"/>
    <w:rsid w:val="00037175"/>
    <w:rsid w:val="00037F52"/>
    <w:rsid w:val="0004019D"/>
    <w:rsid w:val="000407E0"/>
    <w:rsid w:val="00041467"/>
    <w:rsid w:val="0004160D"/>
    <w:rsid w:val="00041F3D"/>
    <w:rsid w:val="0004257E"/>
    <w:rsid w:val="00042593"/>
    <w:rsid w:val="00042704"/>
    <w:rsid w:val="000428E8"/>
    <w:rsid w:val="00042970"/>
    <w:rsid w:val="000433CA"/>
    <w:rsid w:val="00043755"/>
    <w:rsid w:val="00043C1D"/>
    <w:rsid w:val="00044146"/>
    <w:rsid w:val="0004479C"/>
    <w:rsid w:val="00044BB4"/>
    <w:rsid w:val="00045450"/>
    <w:rsid w:val="00046725"/>
    <w:rsid w:val="000468C0"/>
    <w:rsid w:val="00046DA2"/>
    <w:rsid w:val="00050762"/>
    <w:rsid w:val="000507B9"/>
    <w:rsid w:val="00050DA9"/>
    <w:rsid w:val="0005132F"/>
    <w:rsid w:val="0005150B"/>
    <w:rsid w:val="00051AF5"/>
    <w:rsid w:val="000548C7"/>
    <w:rsid w:val="00054EA7"/>
    <w:rsid w:val="00055866"/>
    <w:rsid w:val="0005661F"/>
    <w:rsid w:val="00057006"/>
    <w:rsid w:val="000575B4"/>
    <w:rsid w:val="000601EA"/>
    <w:rsid w:val="000603CB"/>
    <w:rsid w:val="000605F9"/>
    <w:rsid w:val="0006084C"/>
    <w:rsid w:val="000608FE"/>
    <w:rsid w:val="00060E7B"/>
    <w:rsid w:val="000615B0"/>
    <w:rsid w:val="00061E01"/>
    <w:rsid w:val="0006239E"/>
    <w:rsid w:val="0006295A"/>
    <w:rsid w:val="00062DBE"/>
    <w:rsid w:val="00062EE7"/>
    <w:rsid w:val="00062F87"/>
    <w:rsid w:val="00062FEE"/>
    <w:rsid w:val="0006305A"/>
    <w:rsid w:val="00063210"/>
    <w:rsid w:val="0006357B"/>
    <w:rsid w:val="00063D17"/>
    <w:rsid w:val="000643D0"/>
    <w:rsid w:val="000648E2"/>
    <w:rsid w:val="000650C3"/>
    <w:rsid w:val="00065195"/>
    <w:rsid w:val="00065C22"/>
    <w:rsid w:val="000666A9"/>
    <w:rsid w:val="000672D3"/>
    <w:rsid w:val="0006744F"/>
    <w:rsid w:val="00067A06"/>
    <w:rsid w:val="00067E91"/>
    <w:rsid w:val="00070204"/>
    <w:rsid w:val="00070612"/>
    <w:rsid w:val="0007061C"/>
    <w:rsid w:val="000714CE"/>
    <w:rsid w:val="00071D67"/>
    <w:rsid w:val="0007221C"/>
    <w:rsid w:val="00072584"/>
    <w:rsid w:val="000728AC"/>
    <w:rsid w:val="00072E3B"/>
    <w:rsid w:val="00072F02"/>
    <w:rsid w:val="00072F85"/>
    <w:rsid w:val="00073432"/>
    <w:rsid w:val="00074126"/>
    <w:rsid w:val="0007567B"/>
    <w:rsid w:val="00075B7E"/>
    <w:rsid w:val="00076287"/>
    <w:rsid w:val="00076297"/>
    <w:rsid w:val="00076AED"/>
    <w:rsid w:val="00077533"/>
    <w:rsid w:val="00077555"/>
    <w:rsid w:val="00077A40"/>
    <w:rsid w:val="00077F45"/>
    <w:rsid w:val="00080510"/>
    <w:rsid w:val="000809F7"/>
    <w:rsid w:val="00081153"/>
    <w:rsid w:val="00081DCD"/>
    <w:rsid w:val="00082053"/>
    <w:rsid w:val="00082507"/>
    <w:rsid w:val="000827F9"/>
    <w:rsid w:val="00082A9D"/>
    <w:rsid w:val="00082ED9"/>
    <w:rsid w:val="000834C8"/>
    <w:rsid w:val="00083789"/>
    <w:rsid w:val="00083792"/>
    <w:rsid w:val="000839D5"/>
    <w:rsid w:val="00083A63"/>
    <w:rsid w:val="00083BE8"/>
    <w:rsid w:val="00083E6A"/>
    <w:rsid w:val="00084012"/>
    <w:rsid w:val="00084017"/>
    <w:rsid w:val="00084264"/>
    <w:rsid w:val="000842BB"/>
    <w:rsid w:val="00084CED"/>
    <w:rsid w:val="00084D37"/>
    <w:rsid w:val="000855C9"/>
    <w:rsid w:val="00085F9C"/>
    <w:rsid w:val="00086013"/>
    <w:rsid w:val="0008687E"/>
    <w:rsid w:val="000868A3"/>
    <w:rsid w:val="00086D66"/>
    <w:rsid w:val="000872FA"/>
    <w:rsid w:val="00090385"/>
    <w:rsid w:val="00090D21"/>
    <w:rsid w:val="00090E77"/>
    <w:rsid w:val="00090F42"/>
    <w:rsid w:val="00091262"/>
    <w:rsid w:val="00091269"/>
    <w:rsid w:val="00092523"/>
    <w:rsid w:val="0009260A"/>
    <w:rsid w:val="00093960"/>
    <w:rsid w:val="0009470A"/>
    <w:rsid w:val="00095C30"/>
    <w:rsid w:val="00096B9F"/>
    <w:rsid w:val="00096E39"/>
    <w:rsid w:val="000972AC"/>
    <w:rsid w:val="00097C0E"/>
    <w:rsid w:val="00097ED4"/>
    <w:rsid w:val="000A1E1C"/>
    <w:rsid w:val="000A2697"/>
    <w:rsid w:val="000A26EE"/>
    <w:rsid w:val="000A29FA"/>
    <w:rsid w:val="000A2A86"/>
    <w:rsid w:val="000A2C2D"/>
    <w:rsid w:val="000A2DE4"/>
    <w:rsid w:val="000A2FEC"/>
    <w:rsid w:val="000A3BB7"/>
    <w:rsid w:val="000A418B"/>
    <w:rsid w:val="000A46FC"/>
    <w:rsid w:val="000A4955"/>
    <w:rsid w:val="000A570D"/>
    <w:rsid w:val="000A59CC"/>
    <w:rsid w:val="000A6103"/>
    <w:rsid w:val="000A64C7"/>
    <w:rsid w:val="000A7C8A"/>
    <w:rsid w:val="000A7F23"/>
    <w:rsid w:val="000B1170"/>
    <w:rsid w:val="000B1811"/>
    <w:rsid w:val="000B1A6E"/>
    <w:rsid w:val="000B21DD"/>
    <w:rsid w:val="000B2F97"/>
    <w:rsid w:val="000B2FF6"/>
    <w:rsid w:val="000B3004"/>
    <w:rsid w:val="000B3043"/>
    <w:rsid w:val="000B3252"/>
    <w:rsid w:val="000B34FA"/>
    <w:rsid w:val="000B3688"/>
    <w:rsid w:val="000B36FE"/>
    <w:rsid w:val="000B372D"/>
    <w:rsid w:val="000B38D3"/>
    <w:rsid w:val="000B5120"/>
    <w:rsid w:val="000B5B24"/>
    <w:rsid w:val="000B6487"/>
    <w:rsid w:val="000B7528"/>
    <w:rsid w:val="000B771A"/>
    <w:rsid w:val="000B7A91"/>
    <w:rsid w:val="000B7F45"/>
    <w:rsid w:val="000C0211"/>
    <w:rsid w:val="000C040A"/>
    <w:rsid w:val="000C0497"/>
    <w:rsid w:val="000C0C31"/>
    <w:rsid w:val="000C0E21"/>
    <w:rsid w:val="000C147A"/>
    <w:rsid w:val="000C15DB"/>
    <w:rsid w:val="000C1A94"/>
    <w:rsid w:val="000C1BA1"/>
    <w:rsid w:val="000C219D"/>
    <w:rsid w:val="000C22B0"/>
    <w:rsid w:val="000C2786"/>
    <w:rsid w:val="000C2E72"/>
    <w:rsid w:val="000C2FFA"/>
    <w:rsid w:val="000C3369"/>
    <w:rsid w:val="000C339F"/>
    <w:rsid w:val="000C3CAA"/>
    <w:rsid w:val="000C3F2C"/>
    <w:rsid w:val="000C45E3"/>
    <w:rsid w:val="000C4805"/>
    <w:rsid w:val="000C494F"/>
    <w:rsid w:val="000C545B"/>
    <w:rsid w:val="000C56B4"/>
    <w:rsid w:val="000C586F"/>
    <w:rsid w:val="000C5A78"/>
    <w:rsid w:val="000C5B48"/>
    <w:rsid w:val="000C661A"/>
    <w:rsid w:val="000C77A9"/>
    <w:rsid w:val="000D0D8B"/>
    <w:rsid w:val="000D14F1"/>
    <w:rsid w:val="000D17E0"/>
    <w:rsid w:val="000D1C61"/>
    <w:rsid w:val="000D2AFE"/>
    <w:rsid w:val="000D2D84"/>
    <w:rsid w:val="000D3190"/>
    <w:rsid w:val="000D3BC0"/>
    <w:rsid w:val="000D3ECA"/>
    <w:rsid w:val="000D418F"/>
    <w:rsid w:val="000D4551"/>
    <w:rsid w:val="000D53FC"/>
    <w:rsid w:val="000D5D71"/>
    <w:rsid w:val="000D5EFB"/>
    <w:rsid w:val="000D6416"/>
    <w:rsid w:val="000D79EB"/>
    <w:rsid w:val="000D7F3B"/>
    <w:rsid w:val="000E055E"/>
    <w:rsid w:val="000E08A5"/>
    <w:rsid w:val="000E0C55"/>
    <w:rsid w:val="000E1259"/>
    <w:rsid w:val="000E12D5"/>
    <w:rsid w:val="000E15F8"/>
    <w:rsid w:val="000E18FB"/>
    <w:rsid w:val="000E1E84"/>
    <w:rsid w:val="000E21D8"/>
    <w:rsid w:val="000E2360"/>
    <w:rsid w:val="000E2C73"/>
    <w:rsid w:val="000E2C8F"/>
    <w:rsid w:val="000E2EA3"/>
    <w:rsid w:val="000E31F7"/>
    <w:rsid w:val="000E4B3E"/>
    <w:rsid w:val="000E539F"/>
    <w:rsid w:val="000E5563"/>
    <w:rsid w:val="000E5739"/>
    <w:rsid w:val="000E58C5"/>
    <w:rsid w:val="000E6793"/>
    <w:rsid w:val="000E6CF9"/>
    <w:rsid w:val="000E7005"/>
    <w:rsid w:val="000E73BD"/>
    <w:rsid w:val="000F0297"/>
    <w:rsid w:val="000F069C"/>
    <w:rsid w:val="000F0A1A"/>
    <w:rsid w:val="000F0B27"/>
    <w:rsid w:val="000F0D4C"/>
    <w:rsid w:val="000F0D73"/>
    <w:rsid w:val="000F0DFC"/>
    <w:rsid w:val="000F14EE"/>
    <w:rsid w:val="000F18F2"/>
    <w:rsid w:val="000F1D4F"/>
    <w:rsid w:val="000F26BE"/>
    <w:rsid w:val="000F2E82"/>
    <w:rsid w:val="000F305F"/>
    <w:rsid w:val="000F3A4F"/>
    <w:rsid w:val="000F3D50"/>
    <w:rsid w:val="000F4952"/>
    <w:rsid w:val="000F5D35"/>
    <w:rsid w:val="000F5DDE"/>
    <w:rsid w:val="000F6F0D"/>
    <w:rsid w:val="000F7390"/>
    <w:rsid w:val="000F7D67"/>
    <w:rsid w:val="001000EA"/>
    <w:rsid w:val="00100A53"/>
    <w:rsid w:val="00100B0B"/>
    <w:rsid w:val="001025E7"/>
    <w:rsid w:val="0010275F"/>
    <w:rsid w:val="0010316E"/>
    <w:rsid w:val="001038BB"/>
    <w:rsid w:val="00103F76"/>
    <w:rsid w:val="001049E3"/>
    <w:rsid w:val="00104C50"/>
    <w:rsid w:val="00105880"/>
    <w:rsid w:val="00107038"/>
    <w:rsid w:val="00107219"/>
    <w:rsid w:val="001074AC"/>
    <w:rsid w:val="00107D47"/>
    <w:rsid w:val="001101E1"/>
    <w:rsid w:val="00110379"/>
    <w:rsid w:val="001103CF"/>
    <w:rsid w:val="00111F4C"/>
    <w:rsid w:val="00112561"/>
    <w:rsid w:val="001129E8"/>
    <w:rsid w:val="00112BA9"/>
    <w:rsid w:val="0011385A"/>
    <w:rsid w:val="00113C3D"/>
    <w:rsid w:val="00113C76"/>
    <w:rsid w:val="00114588"/>
    <w:rsid w:val="001149B9"/>
    <w:rsid w:val="00114A58"/>
    <w:rsid w:val="00114D12"/>
    <w:rsid w:val="00115257"/>
    <w:rsid w:val="00115629"/>
    <w:rsid w:val="001158B6"/>
    <w:rsid w:val="00115B67"/>
    <w:rsid w:val="00115C32"/>
    <w:rsid w:val="0011605A"/>
    <w:rsid w:val="00116222"/>
    <w:rsid w:val="001171CB"/>
    <w:rsid w:val="00117210"/>
    <w:rsid w:val="0011744C"/>
    <w:rsid w:val="00117AF4"/>
    <w:rsid w:val="00120070"/>
    <w:rsid w:val="00120A89"/>
    <w:rsid w:val="00120F0F"/>
    <w:rsid w:val="00120FAC"/>
    <w:rsid w:val="00121311"/>
    <w:rsid w:val="00121A8E"/>
    <w:rsid w:val="00121BF6"/>
    <w:rsid w:val="00122A1C"/>
    <w:rsid w:val="00123872"/>
    <w:rsid w:val="001242F1"/>
    <w:rsid w:val="00124585"/>
    <w:rsid w:val="00124D80"/>
    <w:rsid w:val="00125074"/>
    <w:rsid w:val="00125CB8"/>
    <w:rsid w:val="001261A9"/>
    <w:rsid w:val="001267DB"/>
    <w:rsid w:val="001275A6"/>
    <w:rsid w:val="001276FB"/>
    <w:rsid w:val="00130019"/>
    <w:rsid w:val="00130C57"/>
    <w:rsid w:val="00130D30"/>
    <w:rsid w:val="0013141F"/>
    <w:rsid w:val="001317E4"/>
    <w:rsid w:val="00131CB1"/>
    <w:rsid w:val="00132052"/>
    <w:rsid w:val="0013211B"/>
    <w:rsid w:val="0013270B"/>
    <w:rsid w:val="001329B7"/>
    <w:rsid w:val="00132A3A"/>
    <w:rsid w:val="00132DAB"/>
    <w:rsid w:val="00132FA5"/>
    <w:rsid w:val="001334F9"/>
    <w:rsid w:val="001335DA"/>
    <w:rsid w:val="00133B4C"/>
    <w:rsid w:val="00133D7F"/>
    <w:rsid w:val="00134057"/>
    <w:rsid w:val="00134ECB"/>
    <w:rsid w:val="00134F08"/>
    <w:rsid w:val="001357A1"/>
    <w:rsid w:val="00135E47"/>
    <w:rsid w:val="001362A6"/>
    <w:rsid w:val="00136B3F"/>
    <w:rsid w:val="00136DF8"/>
    <w:rsid w:val="0013745F"/>
    <w:rsid w:val="001374F4"/>
    <w:rsid w:val="00137894"/>
    <w:rsid w:val="00137CB8"/>
    <w:rsid w:val="00140035"/>
    <w:rsid w:val="00140465"/>
    <w:rsid w:val="00140E09"/>
    <w:rsid w:val="0014101A"/>
    <w:rsid w:val="0014142D"/>
    <w:rsid w:val="0014148A"/>
    <w:rsid w:val="00141FEB"/>
    <w:rsid w:val="00142347"/>
    <w:rsid w:val="00142EED"/>
    <w:rsid w:val="00143743"/>
    <w:rsid w:val="001437D5"/>
    <w:rsid w:val="00143E66"/>
    <w:rsid w:val="00143EB0"/>
    <w:rsid w:val="00143FEE"/>
    <w:rsid w:val="0014495D"/>
    <w:rsid w:val="00144CCA"/>
    <w:rsid w:val="00145D66"/>
    <w:rsid w:val="00146059"/>
    <w:rsid w:val="00146F0E"/>
    <w:rsid w:val="0014776D"/>
    <w:rsid w:val="00147845"/>
    <w:rsid w:val="00147FC1"/>
    <w:rsid w:val="001500C8"/>
    <w:rsid w:val="001502B0"/>
    <w:rsid w:val="00150381"/>
    <w:rsid w:val="0015080E"/>
    <w:rsid w:val="0015100D"/>
    <w:rsid w:val="001511D3"/>
    <w:rsid w:val="00151705"/>
    <w:rsid w:val="00151C88"/>
    <w:rsid w:val="00151D35"/>
    <w:rsid w:val="00152387"/>
    <w:rsid w:val="00152A0C"/>
    <w:rsid w:val="00153424"/>
    <w:rsid w:val="00153C15"/>
    <w:rsid w:val="00153EE1"/>
    <w:rsid w:val="0015402E"/>
    <w:rsid w:val="00154524"/>
    <w:rsid w:val="001546E8"/>
    <w:rsid w:val="00154828"/>
    <w:rsid w:val="00155698"/>
    <w:rsid w:val="00155809"/>
    <w:rsid w:val="00155BC9"/>
    <w:rsid w:val="00155C11"/>
    <w:rsid w:val="00157D22"/>
    <w:rsid w:val="00157F62"/>
    <w:rsid w:val="001600EB"/>
    <w:rsid w:val="00160327"/>
    <w:rsid w:val="00160423"/>
    <w:rsid w:val="00160AB7"/>
    <w:rsid w:val="00160D70"/>
    <w:rsid w:val="00161177"/>
    <w:rsid w:val="00161841"/>
    <w:rsid w:val="00161C25"/>
    <w:rsid w:val="00161CC6"/>
    <w:rsid w:val="00161CD7"/>
    <w:rsid w:val="001628AD"/>
    <w:rsid w:val="0016312E"/>
    <w:rsid w:val="00163182"/>
    <w:rsid w:val="0016341E"/>
    <w:rsid w:val="00163694"/>
    <w:rsid w:val="0016414D"/>
    <w:rsid w:val="00164303"/>
    <w:rsid w:val="00164617"/>
    <w:rsid w:val="00164D3D"/>
    <w:rsid w:val="00164EA4"/>
    <w:rsid w:val="001654A9"/>
    <w:rsid w:val="00165A05"/>
    <w:rsid w:val="00165E5D"/>
    <w:rsid w:val="00166297"/>
    <w:rsid w:val="001663D5"/>
    <w:rsid w:val="0016683E"/>
    <w:rsid w:val="00166F24"/>
    <w:rsid w:val="00167277"/>
    <w:rsid w:val="00167AC7"/>
    <w:rsid w:val="00170573"/>
    <w:rsid w:val="001707C4"/>
    <w:rsid w:val="001711A9"/>
    <w:rsid w:val="001712DE"/>
    <w:rsid w:val="00171570"/>
    <w:rsid w:val="00171DC1"/>
    <w:rsid w:val="00171E1D"/>
    <w:rsid w:val="00171EF7"/>
    <w:rsid w:val="00172EAB"/>
    <w:rsid w:val="00174067"/>
    <w:rsid w:val="0017449B"/>
    <w:rsid w:val="00174944"/>
    <w:rsid w:val="00175139"/>
    <w:rsid w:val="00175BA1"/>
    <w:rsid w:val="00176067"/>
    <w:rsid w:val="00176100"/>
    <w:rsid w:val="00176645"/>
    <w:rsid w:val="001766A8"/>
    <w:rsid w:val="0017687A"/>
    <w:rsid w:val="00176E59"/>
    <w:rsid w:val="001772D4"/>
    <w:rsid w:val="001772F0"/>
    <w:rsid w:val="0017743E"/>
    <w:rsid w:val="00177845"/>
    <w:rsid w:val="00180261"/>
    <w:rsid w:val="001806A2"/>
    <w:rsid w:val="001807A5"/>
    <w:rsid w:val="00180A1D"/>
    <w:rsid w:val="001810C8"/>
    <w:rsid w:val="001812AE"/>
    <w:rsid w:val="0018238C"/>
    <w:rsid w:val="00182E45"/>
    <w:rsid w:val="00183DEE"/>
    <w:rsid w:val="0018419E"/>
    <w:rsid w:val="00184DA1"/>
    <w:rsid w:val="00184E8A"/>
    <w:rsid w:val="0018519A"/>
    <w:rsid w:val="00185571"/>
    <w:rsid w:val="00185989"/>
    <w:rsid w:val="00190272"/>
    <w:rsid w:val="00190B36"/>
    <w:rsid w:val="00190B9C"/>
    <w:rsid w:val="00190D52"/>
    <w:rsid w:val="00190E20"/>
    <w:rsid w:val="0019138B"/>
    <w:rsid w:val="001919D3"/>
    <w:rsid w:val="001925E9"/>
    <w:rsid w:val="00192900"/>
    <w:rsid w:val="00192D91"/>
    <w:rsid w:val="00192F48"/>
    <w:rsid w:val="0019395E"/>
    <w:rsid w:val="00193C35"/>
    <w:rsid w:val="0019441C"/>
    <w:rsid w:val="001950D9"/>
    <w:rsid w:val="00195379"/>
    <w:rsid w:val="00195A6E"/>
    <w:rsid w:val="00196144"/>
    <w:rsid w:val="00196284"/>
    <w:rsid w:val="00196644"/>
    <w:rsid w:val="001971B1"/>
    <w:rsid w:val="001971EA"/>
    <w:rsid w:val="00197975"/>
    <w:rsid w:val="001A0295"/>
    <w:rsid w:val="001A0765"/>
    <w:rsid w:val="001A0DC8"/>
    <w:rsid w:val="001A0F43"/>
    <w:rsid w:val="001A14F5"/>
    <w:rsid w:val="001A1777"/>
    <w:rsid w:val="001A1A8A"/>
    <w:rsid w:val="001A2649"/>
    <w:rsid w:val="001A307D"/>
    <w:rsid w:val="001A3986"/>
    <w:rsid w:val="001A3E19"/>
    <w:rsid w:val="001A4242"/>
    <w:rsid w:val="001A48FD"/>
    <w:rsid w:val="001A63A3"/>
    <w:rsid w:val="001A6A97"/>
    <w:rsid w:val="001A6DEF"/>
    <w:rsid w:val="001A7A6A"/>
    <w:rsid w:val="001A7A87"/>
    <w:rsid w:val="001B049D"/>
    <w:rsid w:val="001B04E4"/>
    <w:rsid w:val="001B0553"/>
    <w:rsid w:val="001B0636"/>
    <w:rsid w:val="001B1577"/>
    <w:rsid w:val="001B15BA"/>
    <w:rsid w:val="001B16C3"/>
    <w:rsid w:val="001B1838"/>
    <w:rsid w:val="001B1C15"/>
    <w:rsid w:val="001B1C67"/>
    <w:rsid w:val="001B1D5D"/>
    <w:rsid w:val="001B2234"/>
    <w:rsid w:val="001B22B4"/>
    <w:rsid w:val="001B2C7D"/>
    <w:rsid w:val="001B322D"/>
    <w:rsid w:val="001B344B"/>
    <w:rsid w:val="001B3984"/>
    <w:rsid w:val="001B3C3B"/>
    <w:rsid w:val="001B3E1C"/>
    <w:rsid w:val="001B3FE9"/>
    <w:rsid w:val="001B46AE"/>
    <w:rsid w:val="001B5009"/>
    <w:rsid w:val="001B54F0"/>
    <w:rsid w:val="001B5950"/>
    <w:rsid w:val="001B5DCE"/>
    <w:rsid w:val="001B61CA"/>
    <w:rsid w:val="001B6AAD"/>
    <w:rsid w:val="001B71B5"/>
    <w:rsid w:val="001B76C4"/>
    <w:rsid w:val="001B77E9"/>
    <w:rsid w:val="001B78E2"/>
    <w:rsid w:val="001B7BF2"/>
    <w:rsid w:val="001B7EED"/>
    <w:rsid w:val="001C00A8"/>
    <w:rsid w:val="001C0289"/>
    <w:rsid w:val="001C11E4"/>
    <w:rsid w:val="001C181C"/>
    <w:rsid w:val="001C1E19"/>
    <w:rsid w:val="001C246E"/>
    <w:rsid w:val="001C27AF"/>
    <w:rsid w:val="001C3033"/>
    <w:rsid w:val="001C30BA"/>
    <w:rsid w:val="001C3403"/>
    <w:rsid w:val="001C342C"/>
    <w:rsid w:val="001C3AAA"/>
    <w:rsid w:val="001C3D80"/>
    <w:rsid w:val="001C4100"/>
    <w:rsid w:val="001C41DA"/>
    <w:rsid w:val="001C43B3"/>
    <w:rsid w:val="001C4834"/>
    <w:rsid w:val="001C4C95"/>
    <w:rsid w:val="001C4FF2"/>
    <w:rsid w:val="001C5BA6"/>
    <w:rsid w:val="001C5EAD"/>
    <w:rsid w:val="001D0229"/>
    <w:rsid w:val="001D028A"/>
    <w:rsid w:val="001D0868"/>
    <w:rsid w:val="001D1636"/>
    <w:rsid w:val="001D181F"/>
    <w:rsid w:val="001D2755"/>
    <w:rsid w:val="001D2F4D"/>
    <w:rsid w:val="001D30A0"/>
    <w:rsid w:val="001D3816"/>
    <w:rsid w:val="001D39E8"/>
    <w:rsid w:val="001D4075"/>
    <w:rsid w:val="001D4E5E"/>
    <w:rsid w:val="001D548F"/>
    <w:rsid w:val="001D600F"/>
    <w:rsid w:val="001D6843"/>
    <w:rsid w:val="001D79BC"/>
    <w:rsid w:val="001E0221"/>
    <w:rsid w:val="001E0711"/>
    <w:rsid w:val="001E092F"/>
    <w:rsid w:val="001E0947"/>
    <w:rsid w:val="001E152C"/>
    <w:rsid w:val="001E17F9"/>
    <w:rsid w:val="001E1ABD"/>
    <w:rsid w:val="001E24EA"/>
    <w:rsid w:val="001E25FF"/>
    <w:rsid w:val="001E2CF5"/>
    <w:rsid w:val="001E35D6"/>
    <w:rsid w:val="001E3B0A"/>
    <w:rsid w:val="001E411C"/>
    <w:rsid w:val="001E5979"/>
    <w:rsid w:val="001E5C38"/>
    <w:rsid w:val="001E6EC5"/>
    <w:rsid w:val="001E70C9"/>
    <w:rsid w:val="001E776D"/>
    <w:rsid w:val="001E777A"/>
    <w:rsid w:val="001E77D9"/>
    <w:rsid w:val="001E79E9"/>
    <w:rsid w:val="001E7D4E"/>
    <w:rsid w:val="001F0D67"/>
    <w:rsid w:val="001F1A00"/>
    <w:rsid w:val="001F1B8A"/>
    <w:rsid w:val="001F2058"/>
    <w:rsid w:val="001F23BC"/>
    <w:rsid w:val="001F29C8"/>
    <w:rsid w:val="001F2E04"/>
    <w:rsid w:val="001F3474"/>
    <w:rsid w:val="001F391D"/>
    <w:rsid w:val="001F49C4"/>
    <w:rsid w:val="001F524C"/>
    <w:rsid w:val="001F5561"/>
    <w:rsid w:val="001F5939"/>
    <w:rsid w:val="001F5B96"/>
    <w:rsid w:val="001F67F2"/>
    <w:rsid w:val="001F6895"/>
    <w:rsid w:val="001F6A3C"/>
    <w:rsid w:val="001F6DCB"/>
    <w:rsid w:val="001F7055"/>
    <w:rsid w:val="001F716B"/>
    <w:rsid w:val="001F7B95"/>
    <w:rsid w:val="001F7E44"/>
    <w:rsid w:val="001F7FE1"/>
    <w:rsid w:val="0020062A"/>
    <w:rsid w:val="002010D3"/>
    <w:rsid w:val="002017E3"/>
    <w:rsid w:val="00201885"/>
    <w:rsid w:val="002024B2"/>
    <w:rsid w:val="002028FF"/>
    <w:rsid w:val="0020322B"/>
    <w:rsid w:val="002032C8"/>
    <w:rsid w:val="00203A75"/>
    <w:rsid w:val="0020409B"/>
    <w:rsid w:val="00204875"/>
    <w:rsid w:val="00205337"/>
    <w:rsid w:val="00205C7C"/>
    <w:rsid w:val="002060A5"/>
    <w:rsid w:val="0020622C"/>
    <w:rsid w:val="002068F5"/>
    <w:rsid w:val="002070E4"/>
    <w:rsid w:val="002070E6"/>
    <w:rsid w:val="0020721C"/>
    <w:rsid w:val="002072C3"/>
    <w:rsid w:val="002077A1"/>
    <w:rsid w:val="00207813"/>
    <w:rsid w:val="0020790A"/>
    <w:rsid w:val="00207C47"/>
    <w:rsid w:val="00207E86"/>
    <w:rsid w:val="00210594"/>
    <w:rsid w:val="00210F65"/>
    <w:rsid w:val="002114F0"/>
    <w:rsid w:val="00212939"/>
    <w:rsid w:val="002129AB"/>
    <w:rsid w:val="00212B8B"/>
    <w:rsid w:val="00213388"/>
    <w:rsid w:val="002133B8"/>
    <w:rsid w:val="0021371C"/>
    <w:rsid w:val="002139E7"/>
    <w:rsid w:val="00213C4D"/>
    <w:rsid w:val="00213C5E"/>
    <w:rsid w:val="002144A1"/>
    <w:rsid w:val="002147A6"/>
    <w:rsid w:val="00214D4B"/>
    <w:rsid w:val="00214DAE"/>
    <w:rsid w:val="00215739"/>
    <w:rsid w:val="002157B5"/>
    <w:rsid w:val="0021638C"/>
    <w:rsid w:val="00216869"/>
    <w:rsid w:val="0021720D"/>
    <w:rsid w:val="00217D17"/>
    <w:rsid w:val="0022016A"/>
    <w:rsid w:val="00220F03"/>
    <w:rsid w:val="00221057"/>
    <w:rsid w:val="002212CB"/>
    <w:rsid w:val="00221B4C"/>
    <w:rsid w:val="002226A9"/>
    <w:rsid w:val="0022277E"/>
    <w:rsid w:val="00222D2B"/>
    <w:rsid w:val="00223034"/>
    <w:rsid w:val="00223614"/>
    <w:rsid w:val="002238E6"/>
    <w:rsid w:val="00225CB8"/>
    <w:rsid w:val="00226E88"/>
    <w:rsid w:val="00226F8B"/>
    <w:rsid w:val="0022715D"/>
    <w:rsid w:val="00230AF7"/>
    <w:rsid w:val="00230B76"/>
    <w:rsid w:val="00230BA9"/>
    <w:rsid w:val="00231068"/>
    <w:rsid w:val="00231F8F"/>
    <w:rsid w:val="0023444B"/>
    <w:rsid w:val="00234DBA"/>
    <w:rsid w:val="00234FCD"/>
    <w:rsid w:val="00234FD9"/>
    <w:rsid w:val="0023596F"/>
    <w:rsid w:val="00236374"/>
    <w:rsid w:val="00236F49"/>
    <w:rsid w:val="00237E07"/>
    <w:rsid w:val="00237F8D"/>
    <w:rsid w:val="002400A1"/>
    <w:rsid w:val="00240222"/>
    <w:rsid w:val="002410D8"/>
    <w:rsid w:val="002411C9"/>
    <w:rsid w:val="0024218B"/>
    <w:rsid w:val="002425FE"/>
    <w:rsid w:val="00242CD9"/>
    <w:rsid w:val="0024349D"/>
    <w:rsid w:val="00243967"/>
    <w:rsid w:val="002440F8"/>
    <w:rsid w:val="0024424C"/>
    <w:rsid w:val="002444C2"/>
    <w:rsid w:val="00244BE9"/>
    <w:rsid w:val="0024530D"/>
    <w:rsid w:val="00245A74"/>
    <w:rsid w:val="00246A8F"/>
    <w:rsid w:val="0024723D"/>
    <w:rsid w:val="0024727D"/>
    <w:rsid w:val="0024736F"/>
    <w:rsid w:val="00247783"/>
    <w:rsid w:val="0025050D"/>
    <w:rsid w:val="00250912"/>
    <w:rsid w:val="00250DBA"/>
    <w:rsid w:val="00251087"/>
    <w:rsid w:val="00251294"/>
    <w:rsid w:val="00251AD5"/>
    <w:rsid w:val="00251E7D"/>
    <w:rsid w:val="002523E5"/>
    <w:rsid w:val="00252D73"/>
    <w:rsid w:val="00253058"/>
    <w:rsid w:val="00253764"/>
    <w:rsid w:val="0025420C"/>
    <w:rsid w:val="002550D8"/>
    <w:rsid w:val="00255896"/>
    <w:rsid w:val="00256078"/>
    <w:rsid w:val="002564FB"/>
    <w:rsid w:val="00256907"/>
    <w:rsid w:val="00257387"/>
    <w:rsid w:val="00257615"/>
    <w:rsid w:val="00257660"/>
    <w:rsid w:val="00257EB8"/>
    <w:rsid w:val="0026049B"/>
    <w:rsid w:val="00260EFA"/>
    <w:rsid w:val="00261377"/>
    <w:rsid w:val="00261714"/>
    <w:rsid w:val="00261EFF"/>
    <w:rsid w:val="00262160"/>
    <w:rsid w:val="00262814"/>
    <w:rsid w:val="002629E0"/>
    <w:rsid w:val="00262E2E"/>
    <w:rsid w:val="00263457"/>
    <w:rsid w:val="00263727"/>
    <w:rsid w:val="00263EF4"/>
    <w:rsid w:val="00264650"/>
    <w:rsid w:val="00264745"/>
    <w:rsid w:val="00264A64"/>
    <w:rsid w:val="00265312"/>
    <w:rsid w:val="00265FE9"/>
    <w:rsid w:val="00266D5F"/>
    <w:rsid w:val="00266F46"/>
    <w:rsid w:val="0026773E"/>
    <w:rsid w:val="00267F1F"/>
    <w:rsid w:val="0027062D"/>
    <w:rsid w:val="00271BEB"/>
    <w:rsid w:val="0027218C"/>
    <w:rsid w:val="002723FD"/>
    <w:rsid w:val="00272E01"/>
    <w:rsid w:val="00272F1D"/>
    <w:rsid w:val="00273015"/>
    <w:rsid w:val="00273042"/>
    <w:rsid w:val="0027463A"/>
    <w:rsid w:val="00274815"/>
    <w:rsid w:val="0027487A"/>
    <w:rsid w:val="00274D0D"/>
    <w:rsid w:val="00274D8B"/>
    <w:rsid w:val="00275318"/>
    <w:rsid w:val="00275FB7"/>
    <w:rsid w:val="00276041"/>
    <w:rsid w:val="002766B0"/>
    <w:rsid w:val="00277572"/>
    <w:rsid w:val="00277812"/>
    <w:rsid w:val="00277AA7"/>
    <w:rsid w:val="002802A1"/>
    <w:rsid w:val="002803B8"/>
    <w:rsid w:val="002808CA"/>
    <w:rsid w:val="00280926"/>
    <w:rsid w:val="00281269"/>
    <w:rsid w:val="00281922"/>
    <w:rsid w:val="00281B0A"/>
    <w:rsid w:val="00282CDE"/>
    <w:rsid w:val="00283073"/>
    <w:rsid w:val="0028348A"/>
    <w:rsid w:val="00283C7F"/>
    <w:rsid w:val="00284142"/>
    <w:rsid w:val="0028456B"/>
    <w:rsid w:val="00284579"/>
    <w:rsid w:val="00285478"/>
    <w:rsid w:val="00285792"/>
    <w:rsid w:val="0028663C"/>
    <w:rsid w:val="00287C89"/>
    <w:rsid w:val="002905B5"/>
    <w:rsid w:val="002911D8"/>
    <w:rsid w:val="00292120"/>
    <w:rsid w:val="0029294F"/>
    <w:rsid w:val="00293203"/>
    <w:rsid w:val="0029322C"/>
    <w:rsid w:val="0029329A"/>
    <w:rsid w:val="00293A15"/>
    <w:rsid w:val="00293D58"/>
    <w:rsid w:val="00294048"/>
    <w:rsid w:val="00295693"/>
    <w:rsid w:val="002960C3"/>
    <w:rsid w:val="00296781"/>
    <w:rsid w:val="002969C0"/>
    <w:rsid w:val="0029707F"/>
    <w:rsid w:val="002972D4"/>
    <w:rsid w:val="002978B6"/>
    <w:rsid w:val="002979D2"/>
    <w:rsid w:val="002979E1"/>
    <w:rsid w:val="00297AEF"/>
    <w:rsid w:val="00297F02"/>
    <w:rsid w:val="002A06E1"/>
    <w:rsid w:val="002A0D05"/>
    <w:rsid w:val="002A1520"/>
    <w:rsid w:val="002A21E8"/>
    <w:rsid w:val="002A29B6"/>
    <w:rsid w:val="002A2DC2"/>
    <w:rsid w:val="002A3220"/>
    <w:rsid w:val="002A3596"/>
    <w:rsid w:val="002A37BE"/>
    <w:rsid w:val="002A3AA9"/>
    <w:rsid w:val="002A570E"/>
    <w:rsid w:val="002A58F4"/>
    <w:rsid w:val="002A5AA2"/>
    <w:rsid w:val="002A5C85"/>
    <w:rsid w:val="002A5C87"/>
    <w:rsid w:val="002A5D50"/>
    <w:rsid w:val="002A5DE5"/>
    <w:rsid w:val="002A6503"/>
    <w:rsid w:val="002A659A"/>
    <w:rsid w:val="002A7542"/>
    <w:rsid w:val="002A7BE8"/>
    <w:rsid w:val="002B0474"/>
    <w:rsid w:val="002B04C5"/>
    <w:rsid w:val="002B0687"/>
    <w:rsid w:val="002B09C6"/>
    <w:rsid w:val="002B0C43"/>
    <w:rsid w:val="002B0F52"/>
    <w:rsid w:val="002B1071"/>
    <w:rsid w:val="002B129B"/>
    <w:rsid w:val="002B1B49"/>
    <w:rsid w:val="002B1C33"/>
    <w:rsid w:val="002B29E2"/>
    <w:rsid w:val="002B2C11"/>
    <w:rsid w:val="002B3708"/>
    <w:rsid w:val="002B4D46"/>
    <w:rsid w:val="002B4FB2"/>
    <w:rsid w:val="002B5625"/>
    <w:rsid w:val="002B5F9C"/>
    <w:rsid w:val="002B6147"/>
    <w:rsid w:val="002B6282"/>
    <w:rsid w:val="002B6BB5"/>
    <w:rsid w:val="002B7E81"/>
    <w:rsid w:val="002C0170"/>
    <w:rsid w:val="002C0B1F"/>
    <w:rsid w:val="002C0E18"/>
    <w:rsid w:val="002C180D"/>
    <w:rsid w:val="002C1F7B"/>
    <w:rsid w:val="002C2427"/>
    <w:rsid w:val="002C2773"/>
    <w:rsid w:val="002C2A4F"/>
    <w:rsid w:val="002C2A5F"/>
    <w:rsid w:val="002C3502"/>
    <w:rsid w:val="002C35B9"/>
    <w:rsid w:val="002C397B"/>
    <w:rsid w:val="002C3B01"/>
    <w:rsid w:val="002C3BA0"/>
    <w:rsid w:val="002C436C"/>
    <w:rsid w:val="002C47C4"/>
    <w:rsid w:val="002C5B67"/>
    <w:rsid w:val="002C5CD2"/>
    <w:rsid w:val="002C65DE"/>
    <w:rsid w:val="002C6BD4"/>
    <w:rsid w:val="002C6E41"/>
    <w:rsid w:val="002C748E"/>
    <w:rsid w:val="002C7BFF"/>
    <w:rsid w:val="002C7D3C"/>
    <w:rsid w:val="002D04DB"/>
    <w:rsid w:val="002D0DDF"/>
    <w:rsid w:val="002D17A5"/>
    <w:rsid w:val="002D1AC7"/>
    <w:rsid w:val="002D1D54"/>
    <w:rsid w:val="002D2926"/>
    <w:rsid w:val="002D347E"/>
    <w:rsid w:val="002D37D6"/>
    <w:rsid w:val="002D3C72"/>
    <w:rsid w:val="002D3D17"/>
    <w:rsid w:val="002D3DB2"/>
    <w:rsid w:val="002D42A0"/>
    <w:rsid w:val="002D43E8"/>
    <w:rsid w:val="002D440D"/>
    <w:rsid w:val="002D4C8C"/>
    <w:rsid w:val="002D4EF6"/>
    <w:rsid w:val="002D5367"/>
    <w:rsid w:val="002D545A"/>
    <w:rsid w:val="002D550B"/>
    <w:rsid w:val="002D59E5"/>
    <w:rsid w:val="002D5C23"/>
    <w:rsid w:val="002D5CBC"/>
    <w:rsid w:val="002D5DC3"/>
    <w:rsid w:val="002D6635"/>
    <w:rsid w:val="002D6B4D"/>
    <w:rsid w:val="002E0FD6"/>
    <w:rsid w:val="002E1388"/>
    <w:rsid w:val="002E13B3"/>
    <w:rsid w:val="002E16E6"/>
    <w:rsid w:val="002E17C5"/>
    <w:rsid w:val="002E1AD3"/>
    <w:rsid w:val="002E1B83"/>
    <w:rsid w:val="002E1C1F"/>
    <w:rsid w:val="002E2688"/>
    <w:rsid w:val="002E28A0"/>
    <w:rsid w:val="002E307D"/>
    <w:rsid w:val="002E34A3"/>
    <w:rsid w:val="002E36E1"/>
    <w:rsid w:val="002E39FE"/>
    <w:rsid w:val="002E3BF5"/>
    <w:rsid w:val="002E3E6F"/>
    <w:rsid w:val="002E3F75"/>
    <w:rsid w:val="002E45B7"/>
    <w:rsid w:val="002E4721"/>
    <w:rsid w:val="002E486A"/>
    <w:rsid w:val="002E4DC4"/>
    <w:rsid w:val="002E5281"/>
    <w:rsid w:val="002E5E0E"/>
    <w:rsid w:val="002E5E2F"/>
    <w:rsid w:val="002E5E35"/>
    <w:rsid w:val="002E5F1C"/>
    <w:rsid w:val="002E5F3E"/>
    <w:rsid w:val="002E62ED"/>
    <w:rsid w:val="002E6D48"/>
    <w:rsid w:val="002E736D"/>
    <w:rsid w:val="002E78AC"/>
    <w:rsid w:val="002F0875"/>
    <w:rsid w:val="002F0884"/>
    <w:rsid w:val="002F1A5B"/>
    <w:rsid w:val="002F1B87"/>
    <w:rsid w:val="002F1C7E"/>
    <w:rsid w:val="002F2228"/>
    <w:rsid w:val="002F3470"/>
    <w:rsid w:val="002F3532"/>
    <w:rsid w:val="002F3A0F"/>
    <w:rsid w:val="002F4CA2"/>
    <w:rsid w:val="002F51B3"/>
    <w:rsid w:val="002F527B"/>
    <w:rsid w:val="002F5306"/>
    <w:rsid w:val="002F5570"/>
    <w:rsid w:val="002F55A4"/>
    <w:rsid w:val="002F5792"/>
    <w:rsid w:val="002F5C9A"/>
    <w:rsid w:val="002F6254"/>
    <w:rsid w:val="002F6432"/>
    <w:rsid w:val="002F64A0"/>
    <w:rsid w:val="002F69EB"/>
    <w:rsid w:val="002F6A64"/>
    <w:rsid w:val="002F6D11"/>
    <w:rsid w:val="002F6FC4"/>
    <w:rsid w:val="002F7255"/>
    <w:rsid w:val="002F7D6F"/>
    <w:rsid w:val="00300450"/>
    <w:rsid w:val="003005AA"/>
    <w:rsid w:val="0030078C"/>
    <w:rsid w:val="00300E4E"/>
    <w:rsid w:val="00300EA5"/>
    <w:rsid w:val="00301004"/>
    <w:rsid w:val="003022B8"/>
    <w:rsid w:val="003023C4"/>
    <w:rsid w:val="003023EB"/>
    <w:rsid w:val="003026B9"/>
    <w:rsid w:val="00302C73"/>
    <w:rsid w:val="003035B2"/>
    <w:rsid w:val="00303733"/>
    <w:rsid w:val="003037A9"/>
    <w:rsid w:val="00303A2F"/>
    <w:rsid w:val="00303C94"/>
    <w:rsid w:val="00304BF7"/>
    <w:rsid w:val="00304CF9"/>
    <w:rsid w:val="00304F0A"/>
    <w:rsid w:val="00304FE8"/>
    <w:rsid w:val="0030527B"/>
    <w:rsid w:val="00305FA4"/>
    <w:rsid w:val="0030617A"/>
    <w:rsid w:val="00306989"/>
    <w:rsid w:val="00307214"/>
    <w:rsid w:val="00310015"/>
    <w:rsid w:val="0031005D"/>
    <w:rsid w:val="00310992"/>
    <w:rsid w:val="00311387"/>
    <w:rsid w:val="003119DF"/>
    <w:rsid w:val="00311EEA"/>
    <w:rsid w:val="00312151"/>
    <w:rsid w:val="00312763"/>
    <w:rsid w:val="0031351E"/>
    <w:rsid w:val="00313537"/>
    <w:rsid w:val="003135CD"/>
    <w:rsid w:val="003138AC"/>
    <w:rsid w:val="00313C59"/>
    <w:rsid w:val="00314373"/>
    <w:rsid w:val="00314425"/>
    <w:rsid w:val="003146EE"/>
    <w:rsid w:val="003153EA"/>
    <w:rsid w:val="00315536"/>
    <w:rsid w:val="003160B4"/>
    <w:rsid w:val="0031641C"/>
    <w:rsid w:val="00316745"/>
    <w:rsid w:val="00316CCF"/>
    <w:rsid w:val="00316D1E"/>
    <w:rsid w:val="00317FE3"/>
    <w:rsid w:val="00320015"/>
    <w:rsid w:val="00320263"/>
    <w:rsid w:val="003209C7"/>
    <w:rsid w:val="00320A02"/>
    <w:rsid w:val="00320AB2"/>
    <w:rsid w:val="003219EA"/>
    <w:rsid w:val="003225D5"/>
    <w:rsid w:val="0032271E"/>
    <w:rsid w:val="003229A0"/>
    <w:rsid w:val="00322BC4"/>
    <w:rsid w:val="00323247"/>
    <w:rsid w:val="003232F1"/>
    <w:rsid w:val="0032378E"/>
    <w:rsid w:val="00323C12"/>
    <w:rsid w:val="00323C80"/>
    <w:rsid w:val="00323CB9"/>
    <w:rsid w:val="00323D04"/>
    <w:rsid w:val="003243CB"/>
    <w:rsid w:val="003245FB"/>
    <w:rsid w:val="003250E2"/>
    <w:rsid w:val="0032569E"/>
    <w:rsid w:val="00325BC7"/>
    <w:rsid w:val="00326522"/>
    <w:rsid w:val="003270BF"/>
    <w:rsid w:val="003277B3"/>
    <w:rsid w:val="00327A0C"/>
    <w:rsid w:val="003301A3"/>
    <w:rsid w:val="00330353"/>
    <w:rsid w:val="0033063D"/>
    <w:rsid w:val="0033094F"/>
    <w:rsid w:val="00330D77"/>
    <w:rsid w:val="00331186"/>
    <w:rsid w:val="00331B79"/>
    <w:rsid w:val="00331DCA"/>
    <w:rsid w:val="00332129"/>
    <w:rsid w:val="00332736"/>
    <w:rsid w:val="0033322F"/>
    <w:rsid w:val="00334912"/>
    <w:rsid w:val="00335779"/>
    <w:rsid w:val="00336CE8"/>
    <w:rsid w:val="00336FF2"/>
    <w:rsid w:val="003376B5"/>
    <w:rsid w:val="003376DF"/>
    <w:rsid w:val="003402DF"/>
    <w:rsid w:val="00340A89"/>
    <w:rsid w:val="00340D16"/>
    <w:rsid w:val="00340D94"/>
    <w:rsid w:val="00340EB5"/>
    <w:rsid w:val="00341361"/>
    <w:rsid w:val="00342A29"/>
    <w:rsid w:val="00343D26"/>
    <w:rsid w:val="00343D77"/>
    <w:rsid w:val="00344CBB"/>
    <w:rsid w:val="00345308"/>
    <w:rsid w:val="003455FE"/>
    <w:rsid w:val="00345652"/>
    <w:rsid w:val="00345B4F"/>
    <w:rsid w:val="00346216"/>
    <w:rsid w:val="0034672E"/>
    <w:rsid w:val="00346BB9"/>
    <w:rsid w:val="00347577"/>
    <w:rsid w:val="0034782B"/>
    <w:rsid w:val="00347C46"/>
    <w:rsid w:val="00347FAD"/>
    <w:rsid w:val="00350DDB"/>
    <w:rsid w:val="00351A7F"/>
    <w:rsid w:val="003525C0"/>
    <w:rsid w:val="0035262D"/>
    <w:rsid w:val="00352CFB"/>
    <w:rsid w:val="00352F20"/>
    <w:rsid w:val="0035309E"/>
    <w:rsid w:val="003530B9"/>
    <w:rsid w:val="00353174"/>
    <w:rsid w:val="00353798"/>
    <w:rsid w:val="0035396F"/>
    <w:rsid w:val="003541D1"/>
    <w:rsid w:val="003548D7"/>
    <w:rsid w:val="003548F0"/>
    <w:rsid w:val="00354D94"/>
    <w:rsid w:val="003550C7"/>
    <w:rsid w:val="00355FEC"/>
    <w:rsid w:val="003564E7"/>
    <w:rsid w:val="003566E9"/>
    <w:rsid w:val="00357214"/>
    <w:rsid w:val="003577EB"/>
    <w:rsid w:val="0035791D"/>
    <w:rsid w:val="003607A0"/>
    <w:rsid w:val="00360CBD"/>
    <w:rsid w:val="00360D4F"/>
    <w:rsid w:val="00361072"/>
    <w:rsid w:val="00361851"/>
    <w:rsid w:val="00362461"/>
    <w:rsid w:val="003628AA"/>
    <w:rsid w:val="00362D37"/>
    <w:rsid w:val="003632EB"/>
    <w:rsid w:val="00363DA3"/>
    <w:rsid w:val="0036400A"/>
    <w:rsid w:val="00364B18"/>
    <w:rsid w:val="00364D63"/>
    <w:rsid w:val="00365105"/>
    <w:rsid w:val="0036579C"/>
    <w:rsid w:val="003657E7"/>
    <w:rsid w:val="00365E78"/>
    <w:rsid w:val="00366857"/>
    <w:rsid w:val="00370449"/>
    <w:rsid w:val="003708DD"/>
    <w:rsid w:val="00370DAC"/>
    <w:rsid w:val="00370EE0"/>
    <w:rsid w:val="003713B0"/>
    <w:rsid w:val="003717F5"/>
    <w:rsid w:val="00371B3D"/>
    <w:rsid w:val="00372F44"/>
    <w:rsid w:val="00374783"/>
    <w:rsid w:val="003750B5"/>
    <w:rsid w:val="00375135"/>
    <w:rsid w:val="003763FF"/>
    <w:rsid w:val="00377224"/>
    <w:rsid w:val="00377360"/>
    <w:rsid w:val="0037737B"/>
    <w:rsid w:val="003774E1"/>
    <w:rsid w:val="003777B8"/>
    <w:rsid w:val="00377A8B"/>
    <w:rsid w:val="00377BAD"/>
    <w:rsid w:val="0038196D"/>
    <w:rsid w:val="00381DCB"/>
    <w:rsid w:val="00381F87"/>
    <w:rsid w:val="003821D7"/>
    <w:rsid w:val="00382EFE"/>
    <w:rsid w:val="00383A59"/>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2721"/>
    <w:rsid w:val="00393110"/>
    <w:rsid w:val="00393B0C"/>
    <w:rsid w:val="00393DD4"/>
    <w:rsid w:val="003946AC"/>
    <w:rsid w:val="00395338"/>
    <w:rsid w:val="00395600"/>
    <w:rsid w:val="00395B97"/>
    <w:rsid w:val="00397340"/>
    <w:rsid w:val="00397572"/>
    <w:rsid w:val="003A0717"/>
    <w:rsid w:val="003A074E"/>
    <w:rsid w:val="003A0C9D"/>
    <w:rsid w:val="003A1531"/>
    <w:rsid w:val="003A1CFF"/>
    <w:rsid w:val="003A2BB7"/>
    <w:rsid w:val="003A312D"/>
    <w:rsid w:val="003A37BF"/>
    <w:rsid w:val="003A4AB4"/>
    <w:rsid w:val="003A4C61"/>
    <w:rsid w:val="003A4D4A"/>
    <w:rsid w:val="003A4F09"/>
    <w:rsid w:val="003A546F"/>
    <w:rsid w:val="003A565B"/>
    <w:rsid w:val="003A5C29"/>
    <w:rsid w:val="003A5D24"/>
    <w:rsid w:val="003A5DEB"/>
    <w:rsid w:val="003A5F75"/>
    <w:rsid w:val="003A61D4"/>
    <w:rsid w:val="003A6240"/>
    <w:rsid w:val="003A63B8"/>
    <w:rsid w:val="003A648B"/>
    <w:rsid w:val="003A6592"/>
    <w:rsid w:val="003A6A14"/>
    <w:rsid w:val="003A6FDD"/>
    <w:rsid w:val="003A72E4"/>
    <w:rsid w:val="003A7535"/>
    <w:rsid w:val="003A7616"/>
    <w:rsid w:val="003A799B"/>
    <w:rsid w:val="003A7D18"/>
    <w:rsid w:val="003B00C2"/>
    <w:rsid w:val="003B07D1"/>
    <w:rsid w:val="003B0A3B"/>
    <w:rsid w:val="003B0DFF"/>
    <w:rsid w:val="003B12DB"/>
    <w:rsid w:val="003B1AF6"/>
    <w:rsid w:val="003B1B75"/>
    <w:rsid w:val="003B2FBC"/>
    <w:rsid w:val="003B32CC"/>
    <w:rsid w:val="003B35CB"/>
    <w:rsid w:val="003B497D"/>
    <w:rsid w:val="003B4DA2"/>
    <w:rsid w:val="003B4DDF"/>
    <w:rsid w:val="003B4E68"/>
    <w:rsid w:val="003B4EE8"/>
    <w:rsid w:val="003B545C"/>
    <w:rsid w:val="003B57B7"/>
    <w:rsid w:val="003B5E19"/>
    <w:rsid w:val="003B64D8"/>
    <w:rsid w:val="003B6D36"/>
    <w:rsid w:val="003B78AC"/>
    <w:rsid w:val="003C08BD"/>
    <w:rsid w:val="003C1A62"/>
    <w:rsid w:val="003C1E2C"/>
    <w:rsid w:val="003C27F3"/>
    <w:rsid w:val="003C2F43"/>
    <w:rsid w:val="003C32FC"/>
    <w:rsid w:val="003C3FD4"/>
    <w:rsid w:val="003C457C"/>
    <w:rsid w:val="003C49A9"/>
    <w:rsid w:val="003C4EBE"/>
    <w:rsid w:val="003C558C"/>
    <w:rsid w:val="003C5A3A"/>
    <w:rsid w:val="003C6367"/>
    <w:rsid w:val="003C66C3"/>
    <w:rsid w:val="003C6F87"/>
    <w:rsid w:val="003C7429"/>
    <w:rsid w:val="003C75BD"/>
    <w:rsid w:val="003C7E0E"/>
    <w:rsid w:val="003D0802"/>
    <w:rsid w:val="003D098A"/>
    <w:rsid w:val="003D0B7A"/>
    <w:rsid w:val="003D1303"/>
    <w:rsid w:val="003D17E4"/>
    <w:rsid w:val="003D1A6C"/>
    <w:rsid w:val="003D1AE5"/>
    <w:rsid w:val="003D1AEC"/>
    <w:rsid w:val="003D23D5"/>
    <w:rsid w:val="003D2533"/>
    <w:rsid w:val="003D295D"/>
    <w:rsid w:val="003D2F1C"/>
    <w:rsid w:val="003D2FE6"/>
    <w:rsid w:val="003D3CD1"/>
    <w:rsid w:val="003D489A"/>
    <w:rsid w:val="003D4AED"/>
    <w:rsid w:val="003D4EA6"/>
    <w:rsid w:val="003D5944"/>
    <w:rsid w:val="003D5D05"/>
    <w:rsid w:val="003D5ECA"/>
    <w:rsid w:val="003D5FB6"/>
    <w:rsid w:val="003D63D1"/>
    <w:rsid w:val="003D66AA"/>
    <w:rsid w:val="003D6CBF"/>
    <w:rsid w:val="003D72CC"/>
    <w:rsid w:val="003D7D05"/>
    <w:rsid w:val="003E03C3"/>
    <w:rsid w:val="003E067B"/>
    <w:rsid w:val="003E0E09"/>
    <w:rsid w:val="003E11A4"/>
    <w:rsid w:val="003E1AD1"/>
    <w:rsid w:val="003E230A"/>
    <w:rsid w:val="003E236D"/>
    <w:rsid w:val="003E2512"/>
    <w:rsid w:val="003E2CFE"/>
    <w:rsid w:val="003E2E8C"/>
    <w:rsid w:val="003E3009"/>
    <w:rsid w:val="003E308A"/>
    <w:rsid w:val="003E367A"/>
    <w:rsid w:val="003E37A4"/>
    <w:rsid w:val="003E4136"/>
    <w:rsid w:val="003E4338"/>
    <w:rsid w:val="003E4E45"/>
    <w:rsid w:val="003E61CB"/>
    <w:rsid w:val="003E652F"/>
    <w:rsid w:val="003E6E90"/>
    <w:rsid w:val="003E7AFC"/>
    <w:rsid w:val="003E7C04"/>
    <w:rsid w:val="003E7C95"/>
    <w:rsid w:val="003E7FDA"/>
    <w:rsid w:val="003F01F7"/>
    <w:rsid w:val="003F0570"/>
    <w:rsid w:val="003F0D15"/>
    <w:rsid w:val="003F1283"/>
    <w:rsid w:val="003F13F6"/>
    <w:rsid w:val="003F148F"/>
    <w:rsid w:val="003F174E"/>
    <w:rsid w:val="003F1A53"/>
    <w:rsid w:val="003F1F13"/>
    <w:rsid w:val="003F29E1"/>
    <w:rsid w:val="003F2DAF"/>
    <w:rsid w:val="003F2ED2"/>
    <w:rsid w:val="003F3772"/>
    <w:rsid w:val="003F3ED2"/>
    <w:rsid w:val="003F40B6"/>
    <w:rsid w:val="003F4627"/>
    <w:rsid w:val="003F4850"/>
    <w:rsid w:val="003F4ABA"/>
    <w:rsid w:val="003F53B6"/>
    <w:rsid w:val="003F6169"/>
    <w:rsid w:val="003F6645"/>
    <w:rsid w:val="003F72D7"/>
    <w:rsid w:val="003F77A6"/>
    <w:rsid w:val="003F77DA"/>
    <w:rsid w:val="003F7B2D"/>
    <w:rsid w:val="003F7C7A"/>
    <w:rsid w:val="00400BA3"/>
    <w:rsid w:val="00400D40"/>
    <w:rsid w:val="0040144A"/>
    <w:rsid w:val="004014C9"/>
    <w:rsid w:val="00401B46"/>
    <w:rsid w:val="00401DDB"/>
    <w:rsid w:val="00402889"/>
    <w:rsid w:val="004028FD"/>
    <w:rsid w:val="00402B5F"/>
    <w:rsid w:val="00402C3D"/>
    <w:rsid w:val="00403087"/>
    <w:rsid w:val="00403EDA"/>
    <w:rsid w:val="00403F44"/>
    <w:rsid w:val="0040409C"/>
    <w:rsid w:val="00404A45"/>
    <w:rsid w:val="00405576"/>
    <w:rsid w:val="004058B8"/>
    <w:rsid w:val="00405B3F"/>
    <w:rsid w:val="00406113"/>
    <w:rsid w:val="004063C4"/>
    <w:rsid w:val="0040647F"/>
    <w:rsid w:val="004072FC"/>
    <w:rsid w:val="004074CB"/>
    <w:rsid w:val="00407D7D"/>
    <w:rsid w:val="00407EDD"/>
    <w:rsid w:val="00410247"/>
    <w:rsid w:val="00410B00"/>
    <w:rsid w:val="00410B24"/>
    <w:rsid w:val="00410E12"/>
    <w:rsid w:val="00410E3B"/>
    <w:rsid w:val="004115C8"/>
    <w:rsid w:val="004118DA"/>
    <w:rsid w:val="00413975"/>
    <w:rsid w:val="00413BE9"/>
    <w:rsid w:val="00413E03"/>
    <w:rsid w:val="00414E73"/>
    <w:rsid w:val="00415330"/>
    <w:rsid w:val="00415367"/>
    <w:rsid w:val="004161C2"/>
    <w:rsid w:val="004170A6"/>
    <w:rsid w:val="004174CB"/>
    <w:rsid w:val="004176BC"/>
    <w:rsid w:val="004176EB"/>
    <w:rsid w:val="004177A1"/>
    <w:rsid w:val="00417CB0"/>
    <w:rsid w:val="00417F47"/>
    <w:rsid w:val="00417FB8"/>
    <w:rsid w:val="00420584"/>
    <w:rsid w:val="004207B4"/>
    <w:rsid w:val="00420A61"/>
    <w:rsid w:val="00421048"/>
    <w:rsid w:val="0042164F"/>
    <w:rsid w:val="00421E8E"/>
    <w:rsid w:val="004220E5"/>
    <w:rsid w:val="00422A93"/>
    <w:rsid w:val="00422BB1"/>
    <w:rsid w:val="00422E7D"/>
    <w:rsid w:val="0042314F"/>
    <w:rsid w:val="0042315B"/>
    <w:rsid w:val="00423EA1"/>
    <w:rsid w:val="00424D21"/>
    <w:rsid w:val="00424F1F"/>
    <w:rsid w:val="00424F3C"/>
    <w:rsid w:val="00425333"/>
    <w:rsid w:val="00425C24"/>
    <w:rsid w:val="0042646A"/>
    <w:rsid w:val="00427238"/>
    <w:rsid w:val="004273BF"/>
    <w:rsid w:val="0042760E"/>
    <w:rsid w:val="00427E91"/>
    <w:rsid w:val="004311FF"/>
    <w:rsid w:val="00431211"/>
    <w:rsid w:val="004314B6"/>
    <w:rsid w:val="00432447"/>
    <w:rsid w:val="00432D97"/>
    <w:rsid w:val="00432F21"/>
    <w:rsid w:val="004336D1"/>
    <w:rsid w:val="004337DF"/>
    <w:rsid w:val="00433964"/>
    <w:rsid w:val="004349D9"/>
    <w:rsid w:val="00434C7F"/>
    <w:rsid w:val="004353AE"/>
    <w:rsid w:val="0043544F"/>
    <w:rsid w:val="004362C0"/>
    <w:rsid w:val="00436425"/>
    <w:rsid w:val="004364E6"/>
    <w:rsid w:val="00436B27"/>
    <w:rsid w:val="00437069"/>
    <w:rsid w:val="0043712E"/>
    <w:rsid w:val="00437E12"/>
    <w:rsid w:val="004400BC"/>
    <w:rsid w:val="00440B81"/>
    <w:rsid w:val="00440F39"/>
    <w:rsid w:val="004412E8"/>
    <w:rsid w:val="00441947"/>
    <w:rsid w:val="0044296C"/>
    <w:rsid w:val="00443331"/>
    <w:rsid w:val="00443561"/>
    <w:rsid w:val="00443591"/>
    <w:rsid w:val="00444A0A"/>
    <w:rsid w:val="00444BA5"/>
    <w:rsid w:val="00444C04"/>
    <w:rsid w:val="0044501E"/>
    <w:rsid w:val="0044580B"/>
    <w:rsid w:val="00445B35"/>
    <w:rsid w:val="00445DFA"/>
    <w:rsid w:val="004462BD"/>
    <w:rsid w:val="004462FA"/>
    <w:rsid w:val="0044692E"/>
    <w:rsid w:val="0044732A"/>
    <w:rsid w:val="00447CBD"/>
    <w:rsid w:val="00450BC1"/>
    <w:rsid w:val="00451103"/>
    <w:rsid w:val="00451F2C"/>
    <w:rsid w:val="0045203F"/>
    <w:rsid w:val="004520DB"/>
    <w:rsid w:val="004521E8"/>
    <w:rsid w:val="00452550"/>
    <w:rsid w:val="004525A5"/>
    <w:rsid w:val="004526B0"/>
    <w:rsid w:val="00453228"/>
    <w:rsid w:val="004534FB"/>
    <w:rsid w:val="00453DB2"/>
    <w:rsid w:val="00453E81"/>
    <w:rsid w:val="00453F45"/>
    <w:rsid w:val="00454471"/>
    <w:rsid w:val="00454829"/>
    <w:rsid w:val="00454D4D"/>
    <w:rsid w:val="00454F1D"/>
    <w:rsid w:val="00455817"/>
    <w:rsid w:val="00455982"/>
    <w:rsid w:val="00455AE4"/>
    <w:rsid w:val="004569E8"/>
    <w:rsid w:val="00457034"/>
    <w:rsid w:val="00457BAA"/>
    <w:rsid w:val="00460981"/>
    <w:rsid w:val="004609DE"/>
    <w:rsid w:val="00461045"/>
    <w:rsid w:val="00461A3E"/>
    <w:rsid w:val="00461DC0"/>
    <w:rsid w:val="00462516"/>
    <w:rsid w:val="00462699"/>
    <w:rsid w:val="00462787"/>
    <w:rsid w:val="004628F0"/>
    <w:rsid w:val="00462AAF"/>
    <w:rsid w:val="00462D54"/>
    <w:rsid w:val="00462D63"/>
    <w:rsid w:val="004636BC"/>
    <w:rsid w:val="00463886"/>
    <w:rsid w:val="00464E03"/>
    <w:rsid w:val="00464F36"/>
    <w:rsid w:val="00464F3A"/>
    <w:rsid w:val="0046507A"/>
    <w:rsid w:val="0046528B"/>
    <w:rsid w:val="0046568B"/>
    <w:rsid w:val="0046569B"/>
    <w:rsid w:val="00466121"/>
    <w:rsid w:val="00466912"/>
    <w:rsid w:val="004670C3"/>
    <w:rsid w:val="00467686"/>
    <w:rsid w:val="00467792"/>
    <w:rsid w:val="004679AB"/>
    <w:rsid w:val="00471665"/>
    <w:rsid w:val="0047195F"/>
    <w:rsid w:val="00471A9E"/>
    <w:rsid w:val="00471B86"/>
    <w:rsid w:val="00472227"/>
    <w:rsid w:val="00472E9C"/>
    <w:rsid w:val="0047312A"/>
    <w:rsid w:val="004732E6"/>
    <w:rsid w:val="00473FF9"/>
    <w:rsid w:val="00474927"/>
    <w:rsid w:val="00474FBE"/>
    <w:rsid w:val="0047540F"/>
    <w:rsid w:val="00475438"/>
    <w:rsid w:val="00476822"/>
    <w:rsid w:val="00476F8F"/>
    <w:rsid w:val="004772FF"/>
    <w:rsid w:val="00477324"/>
    <w:rsid w:val="00480310"/>
    <w:rsid w:val="0048048A"/>
    <w:rsid w:val="004807FF"/>
    <w:rsid w:val="00481705"/>
    <w:rsid w:val="00481966"/>
    <w:rsid w:val="00482044"/>
    <w:rsid w:val="00482254"/>
    <w:rsid w:val="004823C6"/>
    <w:rsid w:val="00482F51"/>
    <w:rsid w:val="00483166"/>
    <w:rsid w:val="0048365C"/>
    <w:rsid w:val="004837B4"/>
    <w:rsid w:val="00483E46"/>
    <w:rsid w:val="00484915"/>
    <w:rsid w:val="00484EEF"/>
    <w:rsid w:val="004853D8"/>
    <w:rsid w:val="0048589F"/>
    <w:rsid w:val="00486552"/>
    <w:rsid w:val="00486AEA"/>
    <w:rsid w:val="00486B59"/>
    <w:rsid w:val="00486DA8"/>
    <w:rsid w:val="00486EEE"/>
    <w:rsid w:val="0048735B"/>
    <w:rsid w:val="004875E6"/>
    <w:rsid w:val="00487AD4"/>
    <w:rsid w:val="00487BF3"/>
    <w:rsid w:val="00490275"/>
    <w:rsid w:val="00490628"/>
    <w:rsid w:val="0049071D"/>
    <w:rsid w:val="0049103F"/>
    <w:rsid w:val="00491532"/>
    <w:rsid w:val="00491F80"/>
    <w:rsid w:val="0049239D"/>
    <w:rsid w:val="004925C9"/>
    <w:rsid w:val="00492B52"/>
    <w:rsid w:val="00493577"/>
    <w:rsid w:val="00493767"/>
    <w:rsid w:val="00493EB8"/>
    <w:rsid w:val="004942A0"/>
    <w:rsid w:val="00494307"/>
    <w:rsid w:val="00494B3B"/>
    <w:rsid w:val="004954A4"/>
    <w:rsid w:val="00495665"/>
    <w:rsid w:val="004963FE"/>
    <w:rsid w:val="00496996"/>
    <w:rsid w:val="00496DD8"/>
    <w:rsid w:val="00497AE7"/>
    <w:rsid w:val="004A020A"/>
    <w:rsid w:val="004A036F"/>
    <w:rsid w:val="004A04FE"/>
    <w:rsid w:val="004A0859"/>
    <w:rsid w:val="004A0C71"/>
    <w:rsid w:val="004A0CF6"/>
    <w:rsid w:val="004A15D4"/>
    <w:rsid w:val="004A18E6"/>
    <w:rsid w:val="004A18FA"/>
    <w:rsid w:val="004A1B4E"/>
    <w:rsid w:val="004A20DA"/>
    <w:rsid w:val="004A2509"/>
    <w:rsid w:val="004A294E"/>
    <w:rsid w:val="004A2E67"/>
    <w:rsid w:val="004A3371"/>
    <w:rsid w:val="004A3391"/>
    <w:rsid w:val="004A3C39"/>
    <w:rsid w:val="004A3FAE"/>
    <w:rsid w:val="004A4291"/>
    <w:rsid w:val="004A4728"/>
    <w:rsid w:val="004A4AC3"/>
    <w:rsid w:val="004A4D02"/>
    <w:rsid w:val="004A4F2D"/>
    <w:rsid w:val="004A5AFA"/>
    <w:rsid w:val="004A5B38"/>
    <w:rsid w:val="004B0AF1"/>
    <w:rsid w:val="004B1768"/>
    <w:rsid w:val="004B17CE"/>
    <w:rsid w:val="004B18CE"/>
    <w:rsid w:val="004B1903"/>
    <w:rsid w:val="004B1A9C"/>
    <w:rsid w:val="004B1B15"/>
    <w:rsid w:val="004B1CB3"/>
    <w:rsid w:val="004B21DA"/>
    <w:rsid w:val="004B2241"/>
    <w:rsid w:val="004B27D6"/>
    <w:rsid w:val="004B2EBB"/>
    <w:rsid w:val="004B36DF"/>
    <w:rsid w:val="004B3C81"/>
    <w:rsid w:val="004B47F4"/>
    <w:rsid w:val="004B4E4F"/>
    <w:rsid w:val="004B50CC"/>
    <w:rsid w:val="004B5825"/>
    <w:rsid w:val="004B61C8"/>
    <w:rsid w:val="004B622F"/>
    <w:rsid w:val="004B6415"/>
    <w:rsid w:val="004B64FA"/>
    <w:rsid w:val="004B758A"/>
    <w:rsid w:val="004B7F9F"/>
    <w:rsid w:val="004C03EA"/>
    <w:rsid w:val="004C06CE"/>
    <w:rsid w:val="004C099B"/>
    <w:rsid w:val="004C0BAC"/>
    <w:rsid w:val="004C0DB4"/>
    <w:rsid w:val="004C10A2"/>
    <w:rsid w:val="004C13F1"/>
    <w:rsid w:val="004C16F5"/>
    <w:rsid w:val="004C20D0"/>
    <w:rsid w:val="004C2E64"/>
    <w:rsid w:val="004C33E8"/>
    <w:rsid w:val="004C366F"/>
    <w:rsid w:val="004C44DD"/>
    <w:rsid w:val="004C4A96"/>
    <w:rsid w:val="004C4E5F"/>
    <w:rsid w:val="004C5875"/>
    <w:rsid w:val="004C5F28"/>
    <w:rsid w:val="004C66F8"/>
    <w:rsid w:val="004C6736"/>
    <w:rsid w:val="004C6997"/>
    <w:rsid w:val="004C6CDB"/>
    <w:rsid w:val="004C723F"/>
    <w:rsid w:val="004C7C36"/>
    <w:rsid w:val="004C7D16"/>
    <w:rsid w:val="004D0132"/>
    <w:rsid w:val="004D080F"/>
    <w:rsid w:val="004D138E"/>
    <w:rsid w:val="004D185E"/>
    <w:rsid w:val="004D1EEB"/>
    <w:rsid w:val="004D2556"/>
    <w:rsid w:val="004D29F9"/>
    <w:rsid w:val="004D3701"/>
    <w:rsid w:val="004D3753"/>
    <w:rsid w:val="004D4B61"/>
    <w:rsid w:val="004D4CE4"/>
    <w:rsid w:val="004D606D"/>
    <w:rsid w:val="004D67CB"/>
    <w:rsid w:val="004D6B20"/>
    <w:rsid w:val="004D6C2F"/>
    <w:rsid w:val="004D71FE"/>
    <w:rsid w:val="004D72CE"/>
    <w:rsid w:val="004D7964"/>
    <w:rsid w:val="004D7A80"/>
    <w:rsid w:val="004D7CA3"/>
    <w:rsid w:val="004E0388"/>
    <w:rsid w:val="004E04C7"/>
    <w:rsid w:val="004E0894"/>
    <w:rsid w:val="004E135A"/>
    <w:rsid w:val="004E1AA0"/>
    <w:rsid w:val="004E1C50"/>
    <w:rsid w:val="004E20EE"/>
    <w:rsid w:val="004E23BB"/>
    <w:rsid w:val="004E251F"/>
    <w:rsid w:val="004E2B23"/>
    <w:rsid w:val="004E2FB9"/>
    <w:rsid w:val="004E3390"/>
    <w:rsid w:val="004E37C8"/>
    <w:rsid w:val="004E416F"/>
    <w:rsid w:val="004E424D"/>
    <w:rsid w:val="004E5F45"/>
    <w:rsid w:val="004E64DC"/>
    <w:rsid w:val="004E674C"/>
    <w:rsid w:val="004E6F86"/>
    <w:rsid w:val="004E706A"/>
    <w:rsid w:val="004F0671"/>
    <w:rsid w:val="004F0C01"/>
    <w:rsid w:val="004F126D"/>
    <w:rsid w:val="004F1E92"/>
    <w:rsid w:val="004F234E"/>
    <w:rsid w:val="004F24B5"/>
    <w:rsid w:val="004F2B02"/>
    <w:rsid w:val="004F2D1B"/>
    <w:rsid w:val="004F2E11"/>
    <w:rsid w:val="004F2E17"/>
    <w:rsid w:val="004F31BD"/>
    <w:rsid w:val="004F378C"/>
    <w:rsid w:val="004F3B34"/>
    <w:rsid w:val="004F3E23"/>
    <w:rsid w:val="004F4722"/>
    <w:rsid w:val="004F4767"/>
    <w:rsid w:val="004F498A"/>
    <w:rsid w:val="004F51B2"/>
    <w:rsid w:val="004F59C4"/>
    <w:rsid w:val="004F5D65"/>
    <w:rsid w:val="004F70F8"/>
    <w:rsid w:val="004F7230"/>
    <w:rsid w:val="004F7468"/>
    <w:rsid w:val="004F7D65"/>
    <w:rsid w:val="004F7D7B"/>
    <w:rsid w:val="00501519"/>
    <w:rsid w:val="00501659"/>
    <w:rsid w:val="00501733"/>
    <w:rsid w:val="00501B75"/>
    <w:rsid w:val="00501C39"/>
    <w:rsid w:val="00502203"/>
    <w:rsid w:val="005026D4"/>
    <w:rsid w:val="005027B8"/>
    <w:rsid w:val="00503286"/>
    <w:rsid w:val="00503C6D"/>
    <w:rsid w:val="00503F42"/>
    <w:rsid w:val="0050449C"/>
    <w:rsid w:val="00504D6F"/>
    <w:rsid w:val="00505378"/>
    <w:rsid w:val="00505A66"/>
    <w:rsid w:val="00505F9F"/>
    <w:rsid w:val="005060A2"/>
    <w:rsid w:val="00506192"/>
    <w:rsid w:val="00506576"/>
    <w:rsid w:val="00506710"/>
    <w:rsid w:val="00506DA6"/>
    <w:rsid w:val="00506E86"/>
    <w:rsid w:val="0050702C"/>
    <w:rsid w:val="0050723E"/>
    <w:rsid w:val="005072DD"/>
    <w:rsid w:val="00507403"/>
    <w:rsid w:val="00507430"/>
    <w:rsid w:val="005101E5"/>
    <w:rsid w:val="00511D75"/>
    <w:rsid w:val="00511FF2"/>
    <w:rsid w:val="005121CE"/>
    <w:rsid w:val="00512232"/>
    <w:rsid w:val="00513B7E"/>
    <w:rsid w:val="005140F7"/>
    <w:rsid w:val="00514597"/>
    <w:rsid w:val="005150AB"/>
    <w:rsid w:val="0051520F"/>
    <w:rsid w:val="005159F9"/>
    <w:rsid w:val="005164CC"/>
    <w:rsid w:val="0051769B"/>
    <w:rsid w:val="00517D26"/>
    <w:rsid w:val="0052052F"/>
    <w:rsid w:val="00520571"/>
    <w:rsid w:val="005212B6"/>
    <w:rsid w:val="00522C8A"/>
    <w:rsid w:val="00523AF8"/>
    <w:rsid w:val="00523F57"/>
    <w:rsid w:val="00523F8F"/>
    <w:rsid w:val="005242BC"/>
    <w:rsid w:val="005248F8"/>
    <w:rsid w:val="00524E1E"/>
    <w:rsid w:val="0052565F"/>
    <w:rsid w:val="00525D92"/>
    <w:rsid w:val="0052654A"/>
    <w:rsid w:val="00526E9C"/>
    <w:rsid w:val="005278F8"/>
    <w:rsid w:val="005300ED"/>
    <w:rsid w:val="005306B9"/>
    <w:rsid w:val="005314D8"/>
    <w:rsid w:val="00531706"/>
    <w:rsid w:val="00531F66"/>
    <w:rsid w:val="00532121"/>
    <w:rsid w:val="00532429"/>
    <w:rsid w:val="00532850"/>
    <w:rsid w:val="005328A9"/>
    <w:rsid w:val="00532C7A"/>
    <w:rsid w:val="00532E23"/>
    <w:rsid w:val="005331D3"/>
    <w:rsid w:val="005332FA"/>
    <w:rsid w:val="005335ED"/>
    <w:rsid w:val="00534668"/>
    <w:rsid w:val="005346BF"/>
    <w:rsid w:val="0053472D"/>
    <w:rsid w:val="00535189"/>
    <w:rsid w:val="005356B6"/>
    <w:rsid w:val="00535D75"/>
    <w:rsid w:val="00535FF9"/>
    <w:rsid w:val="0053609B"/>
    <w:rsid w:val="0053655A"/>
    <w:rsid w:val="00536ECF"/>
    <w:rsid w:val="0053740F"/>
    <w:rsid w:val="00540B60"/>
    <w:rsid w:val="00540D9E"/>
    <w:rsid w:val="0054171A"/>
    <w:rsid w:val="005420CF"/>
    <w:rsid w:val="00542C2A"/>
    <w:rsid w:val="0054337D"/>
    <w:rsid w:val="005438E3"/>
    <w:rsid w:val="005439A8"/>
    <w:rsid w:val="00543CAC"/>
    <w:rsid w:val="005440E4"/>
    <w:rsid w:val="00544497"/>
    <w:rsid w:val="005448FE"/>
    <w:rsid w:val="00545BEC"/>
    <w:rsid w:val="005468A5"/>
    <w:rsid w:val="00546A1D"/>
    <w:rsid w:val="00546C8E"/>
    <w:rsid w:val="00546CB9"/>
    <w:rsid w:val="00546E83"/>
    <w:rsid w:val="005471C3"/>
    <w:rsid w:val="00547725"/>
    <w:rsid w:val="0054795A"/>
    <w:rsid w:val="00550292"/>
    <w:rsid w:val="005506E5"/>
    <w:rsid w:val="00551309"/>
    <w:rsid w:val="00551D80"/>
    <w:rsid w:val="00552426"/>
    <w:rsid w:val="00552604"/>
    <w:rsid w:val="00552F1A"/>
    <w:rsid w:val="0055363B"/>
    <w:rsid w:val="00553693"/>
    <w:rsid w:val="005536D5"/>
    <w:rsid w:val="00553934"/>
    <w:rsid w:val="00553B71"/>
    <w:rsid w:val="00553D3C"/>
    <w:rsid w:val="005547BB"/>
    <w:rsid w:val="00554999"/>
    <w:rsid w:val="00554C4D"/>
    <w:rsid w:val="00555241"/>
    <w:rsid w:val="00555C08"/>
    <w:rsid w:val="0055622C"/>
    <w:rsid w:val="005564BE"/>
    <w:rsid w:val="00556A43"/>
    <w:rsid w:val="00556A63"/>
    <w:rsid w:val="0055727C"/>
    <w:rsid w:val="00557FCE"/>
    <w:rsid w:val="0056087F"/>
    <w:rsid w:val="00560D8A"/>
    <w:rsid w:val="0056121A"/>
    <w:rsid w:val="00561B79"/>
    <w:rsid w:val="00562195"/>
    <w:rsid w:val="0056261D"/>
    <w:rsid w:val="005627E1"/>
    <w:rsid w:val="005627E6"/>
    <w:rsid w:val="00562918"/>
    <w:rsid w:val="00562C78"/>
    <w:rsid w:val="00563269"/>
    <w:rsid w:val="00564169"/>
    <w:rsid w:val="00564643"/>
    <w:rsid w:val="00564772"/>
    <w:rsid w:val="005654CF"/>
    <w:rsid w:val="00566518"/>
    <w:rsid w:val="005669DA"/>
    <w:rsid w:val="00566B0A"/>
    <w:rsid w:val="00567613"/>
    <w:rsid w:val="00567D48"/>
    <w:rsid w:val="00570C88"/>
    <w:rsid w:val="00571206"/>
    <w:rsid w:val="00571640"/>
    <w:rsid w:val="00571678"/>
    <w:rsid w:val="00571902"/>
    <w:rsid w:val="0057194C"/>
    <w:rsid w:val="00571D62"/>
    <w:rsid w:val="005720AF"/>
    <w:rsid w:val="00572283"/>
    <w:rsid w:val="00572F6B"/>
    <w:rsid w:val="00573604"/>
    <w:rsid w:val="00573DE2"/>
    <w:rsid w:val="00573F29"/>
    <w:rsid w:val="00574693"/>
    <w:rsid w:val="00574949"/>
    <w:rsid w:val="00574AD1"/>
    <w:rsid w:val="0057501B"/>
    <w:rsid w:val="00575F52"/>
    <w:rsid w:val="005762C9"/>
    <w:rsid w:val="0057666F"/>
    <w:rsid w:val="005767F1"/>
    <w:rsid w:val="00576A92"/>
    <w:rsid w:val="00577417"/>
    <w:rsid w:val="005779BD"/>
    <w:rsid w:val="00580009"/>
    <w:rsid w:val="00580850"/>
    <w:rsid w:val="00580912"/>
    <w:rsid w:val="00580D6B"/>
    <w:rsid w:val="00580F14"/>
    <w:rsid w:val="005812AE"/>
    <w:rsid w:val="0058144C"/>
    <w:rsid w:val="0058159E"/>
    <w:rsid w:val="00581F46"/>
    <w:rsid w:val="00581F5D"/>
    <w:rsid w:val="00582234"/>
    <w:rsid w:val="005824FB"/>
    <w:rsid w:val="00582686"/>
    <w:rsid w:val="00582706"/>
    <w:rsid w:val="005829C4"/>
    <w:rsid w:val="00582D45"/>
    <w:rsid w:val="00582E8D"/>
    <w:rsid w:val="00582FA1"/>
    <w:rsid w:val="00582FFE"/>
    <w:rsid w:val="005843DF"/>
    <w:rsid w:val="005846E8"/>
    <w:rsid w:val="0058513F"/>
    <w:rsid w:val="005860BC"/>
    <w:rsid w:val="00587129"/>
    <w:rsid w:val="0058724D"/>
    <w:rsid w:val="0058725A"/>
    <w:rsid w:val="005879CE"/>
    <w:rsid w:val="0059000C"/>
    <w:rsid w:val="00590136"/>
    <w:rsid w:val="00590B24"/>
    <w:rsid w:val="00590B6C"/>
    <w:rsid w:val="00590E74"/>
    <w:rsid w:val="00591392"/>
    <w:rsid w:val="005913B9"/>
    <w:rsid w:val="00591429"/>
    <w:rsid w:val="005915E6"/>
    <w:rsid w:val="00591A74"/>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050E"/>
    <w:rsid w:val="005A0A21"/>
    <w:rsid w:val="005A118A"/>
    <w:rsid w:val="005A1897"/>
    <w:rsid w:val="005A252B"/>
    <w:rsid w:val="005A3B97"/>
    <w:rsid w:val="005A45EC"/>
    <w:rsid w:val="005A4A89"/>
    <w:rsid w:val="005A55F6"/>
    <w:rsid w:val="005A57CE"/>
    <w:rsid w:val="005A57D4"/>
    <w:rsid w:val="005A5C31"/>
    <w:rsid w:val="005A5DB4"/>
    <w:rsid w:val="005A600A"/>
    <w:rsid w:val="005A74D9"/>
    <w:rsid w:val="005A7E88"/>
    <w:rsid w:val="005A7F92"/>
    <w:rsid w:val="005B01F4"/>
    <w:rsid w:val="005B05BE"/>
    <w:rsid w:val="005B0692"/>
    <w:rsid w:val="005B07C7"/>
    <w:rsid w:val="005B14C2"/>
    <w:rsid w:val="005B1B4F"/>
    <w:rsid w:val="005B1E76"/>
    <w:rsid w:val="005B2564"/>
    <w:rsid w:val="005B2E53"/>
    <w:rsid w:val="005B2F26"/>
    <w:rsid w:val="005B3076"/>
    <w:rsid w:val="005B334E"/>
    <w:rsid w:val="005B389B"/>
    <w:rsid w:val="005B4224"/>
    <w:rsid w:val="005B426C"/>
    <w:rsid w:val="005B467F"/>
    <w:rsid w:val="005B4B88"/>
    <w:rsid w:val="005B4C25"/>
    <w:rsid w:val="005B52D8"/>
    <w:rsid w:val="005B57E9"/>
    <w:rsid w:val="005B583D"/>
    <w:rsid w:val="005B5DAD"/>
    <w:rsid w:val="005B6035"/>
    <w:rsid w:val="005B659A"/>
    <w:rsid w:val="005B65CA"/>
    <w:rsid w:val="005B79C6"/>
    <w:rsid w:val="005C04C0"/>
    <w:rsid w:val="005C0912"/>
    <w:rsid w:val="005C1912"/>
    <w:rsid w:val="005C1B46"/>
    <w:rsid w:val="005C1F7E"/>
    <w:rsid w:val="005C2057"/>
    <w:rsid w:val="005C20A0"/>
    <w:rsid w:val="005C2EF2"/>
    <w:rsid w:val="005C311F"/>
    <w:rsid w:val="005C3234"/>
    <w:rsid w:val="005C34D5"/>
    <w:rsid w:val="005C3AE2"/>
    <w:rsid w:val="005C5258"/>
    <w:rsid w:val="005C57F7"/>
    <w:rsid w:val="005C63C2"/>
    <w:rsid w:val="005C64B4"/>
    <w:rsid w:val="005C694E"/>
    <w:rsid w:val="005C7159"/>
    <w:rsid w:val="005C76FD"/>
    <w:rsid w:val="005C7A6D"/>
    <w:rsid w:val="005C7DC3"/>
    <w:rsid w:val="005D027B"/>
    <w:rsid w:val="005D09FF"/>
    <w:rsid w:val="005D0DAF"/>
    <w:rsid w:val="005D0E2B"/>
    <w:rsid w:val="005D14A4"/>
    <w:rsid w:val="005D1D83"/>
    <w:rsid w:val="005D2E2B"/>
    <w:rsid w:val="005D3D10"/>
    <w:rsid w:val="005D63D9"/>
    <w:rsid w:val="005D6947"/>
    <w:rsid w:val="005D6E2B"/>
    <w:rsid w:val="005D71BB"/>
    <w:rsid w:val="005D7D0E"/>
    <w:rsid w:val="005E07F3"/>
    <w:rsid w:val="005E0823"/>
    <w:rsid w:val="005E0D53"/>
    <w:rsid w:val="005E1008"/>
    <w:rsid w:val="005E10B7"/>
    <w:rsid w:val="005E11E2"/>
    <w:rsid w:val="005E170E"/>
    <w:rsid w:val="005E1717"/>
    <w:rsid w:val="005E1DDB"/>
    <w:rsid w:val="005E1F3B"/>
    <w:rsid w:val="005E1F3F"/>
    <w:rsid w:val="005E250E"/>
    <w:rsid w:val="005E2961"/>
    <w:rsid w:val="005E2FF7"/>
    <w:rsid w:val="005E30A9"/>
    <w:rsid w:val="005E3769"/>
    <w:rsid w:val="005E3B68"/>
    <w:rsid w:val="005E4148"/>
    <w:rsid w:val="005E4455"/>
    <w:rsid w:val="005E4674"/>
    <w:rsid w:val="005E4AF5"/>
    <w:rsid w:val="005E4F30"/>
    <w:rsid w:val="005E511D"/>
    <w:rsid w:val="005E5675"/>
    <w:rsid w:val="005E56C4"/>
    <w:rsid w:val="005E5BEB"/>
    <w:rsid w:val="005E6369"/>
    <w:rsid w:val="005E652A"/>
    <w:rsid w:val="005E68B2"/>
    <w:rsid w:val="005E6C14"/>
    <w:rsid w:val="005E6F87"/>
    <w:rsid w:val="005E7038"/>
    <w:rsid w:val="005E79FE"/>
    <w:rsid w:val="005F043C"/>
    <w:rsid w:val="005F0593"/>
    <w:rsid w:val="005F1BE8"/>
    <w:rsid w:val="005F1C1F"/>
    <w:rsid w:val="005F20C7"/>
    <w:rsid w:val="005F267F"/>
    <w:rsid w:val="005F29BA"/>
    <w:rsid w:val="005F2ABB"/>
    <w:rsid w:val="005F3375"/>
    <w:rsid w:val="005F354A"/>
    <w:rsid w:val="005F3FBF"/>
    <w:rsid w:val="005F405A"/>
    <w:rsid w:val="005F570C"/>
    <w:rsid w:val="005F74BD"/>
    <w:rsid w:val="005F7D2F"/>
    <w:rsid w:val="006003A9"/>
    <w:rsid w:val="00600E8E"/>
    <w:rsid w:val="006018CA"/>
    <w:rsid w:val="006019E6"/>
    <w:rsid w:val="00601AA5"/>
    <w:rsid w:val="006021EE"/>
    <w:rsid w:val="0060270D"/>
    <w:rsid w:val="00602A5A"/>
    <w:rsid w:val="006034A7"/>
    <w:rsid w:val="006037CC"/>
    <w:rsid w:val="00603A6B"/>
    <w:rsid w:val="00603DCD"/>
    <w:rsid w:val="006040F2"/>
    <w:rsid w:val="0060449A"/>
    <w:rsid w:val="00604805"/>
    <w:rsid w:val="00604C62"/>
    <w:rsid w:val="0060518C"/>
    <w:rsid w:val="0060529E"/>
    <w:rsid w:val="00605384"/>
    <w:rsid w:val="00605829"/>
    <w:rsid w:val="00606CD7"/>
    <w:rsid w:val="00606FBC"/>
    <w:rsid w:val="006072E8"/>
    <w:rsid w:val="00607C2D"/>
    <w:rsid w:val="00607E71"/>
    <w:rsid w:val="00610178"/>
    <w:rsid w:val="006103A4"/>
    <w:rsid w:val="00610837"/>
    <w:rsid w:val="00610922"/>
    <w:rsid w:val="00610D06"/>
    <w:rsid w:val="00610EC4"/>
    <w:rsid w:val="00611250"/>
    <w:rsid w:val="00611B57"/>
    <w:rsid w:val="00611D8D"/>
    <w:rsid w:val="006122E2"/>
    <w:rsid w:val="006125AA"/>
    <w:rsid w:val="00612638"/>
    <w:rsid w:val="0061367E"/>
    <w:rsid w:val="00613E9D"/>
    <w:rsid w:val="0061423C"/>
    <w:rsid w:val="0061427C"/>
    <w:rsid w:val="0061444C"/>
    <w:rsid w:val="00615053"/>
    <w:rsid w:val="006150FD"/>
    <w:rsid w:val="00615136"/>
    <w:rsid w:val="00615427"/>
    <w:rsid w:val="00615DED"/>
    <w:rsid w:val="00615FAB"/>
    <w:rsid w:val="00616105"/>
    <w:rsid w:val="006161F8"/>
    <w:rsid w:val="006169BB"/>
    <w:rsid w:val="00616B50"/>
    <w:rsid w:val="00616F11"/>
    <w:rsid w:val="006177F0"/>
    <w:rsid w:val="0062005F"/>
    <w:rsid w:val="00620165"/>
    <w:rsid w:val="006201DC"/>
    <w:rsid w:val="0062039B"/>
    <w:rsid w:val="00620985"/>
    <w:rsid w:val="00620BD5"/>
    <w:rsid w:val="00621B17"/>
    <w:rsid w:val="00622289"/>
    <w:rsid w:val="00622543"/>
    <w:rsid w:val="0062261D"/>
    <w:rsid w:val="00622643"/>
    <w:rsid w:val="00622676"/>
    <w:rsid w:val="00623312"/>
    <w:rsid w:val="0062351E"/>
    <w:rsid w:val="00623E92"/>
    <w:rsid w:val="00623E93"/>
    <w:rsid w:val="00624322"/>
    <w:rsid w:val="00624406"/>
    <w:rsid w:val="006248E3"/>
    <w:rsid w:val="00625D3D"/>
    <w:rsid w:val="00625DB6"/>
    <w:rsid w:val="00626280"/>
    <w:rsid w:val="00626CAC"/>
    <w:rsid w:val="00627AD4"/>
    <w:rsid w:val="00630F33"/>
    <w:rsid w:val="006312A4"/>
    <w:rsid w:val="006312F8"/>
    <w:rsid w:val="006313C9"/>
    <w:rsid w:val="006317D2"/>
    <w:rsid w:val="00631C0F"/>
    <w:rsid w:val="0063210D"/>
    <w:rsid w:val="00632B09"/>
    <w:rsid w:val="006337EA"/>
    <w:rsid w:val="00634871"/>
    <w:rsid w:val="006348ED"/>
    <w:rsid w:val="00634DF1"/>
    <w:rsid w:val="006355E6"/>
    <w:rsid w:val="0063593A"/>
    <w:rsid w:val="00635EFB"/>
    <w:rsid w:val="00636A18"/>
    <w:rsid w:val="00636A48"/>
    <w:rsid w:val="00636C52"/>
    <w:rsid w:val="0063771E"/>
    <w:rsid w:val="006401D2"/>
    <w:rsid w:val="0064038A"/>
    <w:rsid w:val="006406A6"/>
    <w:rsid w:val="006409F7"/>
    <w:rsid w:val="00640A5A"/>
    <w:rsid w:val="00640BE3"/>
    <w:rsid w:val="00640C80"/>
    <w:rsid w:val="00640E6C"/>
    <w:rsid w:val="00642351"/>
    <w:rsid w:val="006424F7"/>
    <w:rsid w:val="00642A2C"/>
    <w:rsid w:val="00642B51"/>
    <w:rsid w:val="00642C32"/>
    <w:rsid w:val="006433D0"/>
    <w:rsid w:val="00643467"/>
    <w:rsid w:val="00643A31"/>
    <w:rsid w:val="00643AAE"/>
    <w:rsid w:val="00643FAF"/>
    <w:rsid w:val="006443DD"/>
    <w:rsid w:val="006446AE"/>
    <w:rsid w:val="00644A9F"/>
    <w:rsid w:val="00646BA0"/>
    <w:rsid w:val="00646F54"/>
    <w:rsid w:val="006476B0"/>
    <w:rsid w:val="0065002D"/>
    <w:rsid w:val="00650254"/>
    <w:rsid w:val="006502BB"/>
    <w:rsid w:val="006515EF"/>
    <w:rsid w:val="00651FCE"/>
    <w:rsid w:val="0065219E"/>
    <w:rsid w:val="00652202"/>
    <w:rsid w:val="0065234B"/>
    <w:rsid w:val="006530E2"/>
    <w:rsid w:val="006535DE"/>
    <w:rsid w:val="006538F2"/>
    <w:rsid w:val="0065453F"/>
    <w:rsid w:val="00654758"/>
    <w:rsid w:val="00656256"/>
    <w:rsid w:val="006563FC"/>
    <w:rsid w:val="00656EAE"/>
    <w:rsid w:val="00657344"/>
    <w:rsid w:val="00657AE2"/>
    <w:rsid w:val="006602CF"/>
    <w:rsid w:val="00660FB0"/>
    <w:rsid w:val="00661356"/>
    <w:rsid w:val="00661FA9"/>
    <w:rsid w:val="00662399"/>
    <w:rsid w:val="006628D0"/>
    <w:rsid w:val="0066292F"/>
    <w:rsid w:val="00663E53"/>
    <w:rsid w:val="00664A30"/>
    <w:rsid w:val="00664B40"/>
    <w:rsid w:val="006652C0"/>
    <w:rsid w:val="006652FD"/>
    <w:rsid w:val="006653DF"/>
    <w:rsid w:val="00665679"/>
    <w:rsid w:val="0066568C"/>
    <w:rsid w:val="0066590A"/>
    <w:rsid w:val="00665DB7"/>
    <w:rsid w:val="00666038"/>
    <w:rsid w:val="0066633F"/>
    <w:rsid w:val="00666370"/>
    <w:rsid w:val="0066646F"/>
    <w:rsid w:val="00666775"/>
    <w:rsid w:val="00666A5B"/>
    <w:rsid w:val="00666C67"/>
    <w:rsid w:val="0066768F"/>
    <w:rsid w:val="006701F6"/>
    <w:rsid w:val="00670532"/>
    <w:rsid w:val="00670AA7"/>
    <w:rsid w:val="00670EFB"/>
    <w:rsid w:val="00671380"/>
    <w:rsid w:val="006713F9"/>
    <w:rsid w:val="006715DC"/>
    <w:rsid w:val="00672F3E"/>
    <w:rsid w:val="00673BF2"/>
    <w:rsid w:val="00673C58"/>
    <w:rsid w:val="0067494B"/>
    <w:rsid w:val="00674DB0"/>
    <w:rsid w:val="00675296"/>
    <w:rsid w:val="006761BE"/>
    <w:rsid w:val="006766B8"/>
    <w:rsid w:val="00677143"/>
    <w:rsid w:val="006807E1"/>
    <w:rsid w:val="006809A0"/>
    <w:rsid w:val="00680DE4"/>
    <w:rsid w:val="0068116A"/>
    <w:rsid w:val="00681663"/>
    <w:rsid w:val="006819C2"/>
    <w:rsid w:val="00681EF3"/>
    <w:rsid w:val="006823D9"/>
    <w:rsid w:val="00682434"/>
    <w:rsid w:val="00682741"/>
    <w:rsid w:val="00683367"/>
    <w:rsid w:val="00683B8F"/>
    <w:rsid w:val="006841B1"/>
    <w:rsid w:val="006841F4"/>
    <w:rsid w:val="0068436A"/>
    <w:rsid w:val="0068523F"/>
    <w:rsid w:val="006855A0"/>
    <w:rsid w:val="006861C4"/>
    <w:rsid w:val="006864D8"/>
    <w:rsid w:val="00686C23"/>
    <w:rsid w:val="00687033"/>
    <w:rsid w:val="0068762F"/>
    <w:rsid w:val="00687774"/>
    <w:rsid w:val="00687D28"/>
    <w:rsid w:val="00687EC6"/>
    <w:rsid w:val="00690AC8"/>
    <w:rsid w:val="00690CCF"/>
    <w:rsid w:val="00690E24"/>
    <w:rsid w:val="00691626"/>
    <w:rsid w:val="00692A7E"/>
    <w:rsid w:val="00692F2B"/>
    <w:rsid w:val="006936CD"/>
    <w:rsid w:val="0069391C"/>
    <w:rsid w:val="00693EA8"/>
    <w:rsid w:val="00694430"/>
    <w:rsid w:val="00694731"/>
    <w:rsid w:val="0069493D"/>
    <w:rsid w:val="00694C13"/>
    <w:rsid w:val="00694FF9"/>
    <w:rsid w:val="0069620B"/>
    <w:rsid w:val="00696363"/>
    <w:rsid w:val="0069659F"/>
    <w:rsid w:val="00696801"/>
    <w:rsid w:val="0069758F"/>
    <w:rsid w:val="006978DB"/>
    <w:rsid w:val="00697989"/>
    <w:rsid w:val="006979EF"/>
    <w:rsid w:val="006A049D"/>
    <w:rsid w:val="006A0623"/>
    <w:rsid w:val="006A12AE"/>
    <w:rsid w:val="006A12E9"/>
    <w:rsid w:val="006A1BC6"/>
    <w:rsid w:val="006A272F"/>
    <w:rsid w:val="006A2842"/>
    <w:rsid w:val="006A2B81"/>
    <w:rsid w:val="006A393F"/>
    <w:rsid w:val="006A4443"/>
    <w:rsid w:val="006A54EF"/>
    <w:rsid w:val="006A58A2"/>
    <w:rsid w:val="006A5A39"/>
    <w:rsid w:val="006A5C7F"/>
    <w:rsid w:val="006A5F5C"/>
    <w:rsid w:val="006A6263"/>
    <w:rsid w:val="006A6484"/>
    <w:rsid w:val="006A652E"/>
    <w:rsid w:val="006A67D8"/>
    <w:rsid w:val="006A7EA3"/>
    <w:rsid w:val="006B022C"/>
    <w:rsid w:val="006B06CD"/>
    <w:rsid w:val="006B07D8"/>
    <w:rsid w:val="006B0CEB"/>
    <w:rsid w:val="006B13C1"/>
    <w:rsid w:val="006B1707"/>
    <w:rsid w:val="006B1B45"/>
    <w:rsid w:val="006B2194"/>
    <w:rsid w:val="006B2489"/>
    <w:rsid w:val="006B3215"/>
    <w:rsid w:val="006B3348"/>
    <w:rsid w:val="006B3448"/>
    <w:rsid w:val="006B4346"/>
    <w:rsid w:val="006B4A1E"/>
    <w:rsid w:val="006B4F5C"/>
    <w:rsid w:val="006B5062"/>
    <w:rsid w:val="006B50A3"/>
    <w:rsid w:val="006B5725"/>
    <w:rsid w:val="006B6BDE"/>
    <w:rsid w:val="006B6CBE"/>
    <w:rsid w:val="006B71E4"/>
    <w:rsid w:val="006B721D"/>
    <w:rsid w:val="006B7256"/>
    <w:rsid w:val="006C00B5"/>
    <w:rsid w:val="006C04B0"/>
    <w:rsid w:val="006C062E"/>
    <w:rsid w:val="006C1170"/>
    <w:rsid w:val="006C17D4"/>
    <w:rsid w:val="006C1A53"/>
    <w:rsid w:val="006C1D88"/>
    <w:rsid w:val="006C2506"/>
    <w:rsid w:val="006C2793"/>
    <w:rsid w:val="006C2952"/>
    <w:rsid w:val="006C3343"/>
    <w:rsid w:val="006C348B"/>
    <w:rsid w:val="006C34C1"/>
    <w:rsid w:val="006C374C"/>
    <w:rsid w:val="006C3974"/>
    <w:rsid w:val="006C441B"/>
    <w:rsid w:val="006C4B43"/>
    <w:rsid w:val="006C4E73"/>
    <w:rsid w:val="006C4EB7"/>
    <w:rsid w:val="006C5014"/>
    <w:rsid w:val="006C565B"/>
    <w:rsid w:val="006C5D35"/>
    <w:rsid w:val="006C6470"/>
    <w:rsid w:val="006C75FA"/>
    <w:rsid w:val="006C7FAC"/>
    <w:rsid w:val="006D002D"/>
    <w:rsid w:val="006D0421"/>
    <w:rsid w:val="006D047B"/>
    <w:rsid w:val="006D0655"/>
    <w:rsid w:val="006D0F86"/>
    <w:rsid w:val="006D1D18"/>
    <w:rsid w:val="006D2413"/>
    <w:rsid w:val="006D2594"/>
    <w:rsid w:val="006D2BD4"/>
    <w:rsid w:val="006D3530"/>
    <w:rsid w:val="006D3BF4"/>
    <w:rsid w:val="006D407D"/>
    <w:rsid w:val="006D4721"/>
    <w:rsid w:val="006D477F"/>
    <w:rsid w:val="006D47BC"/>
    <w:rsid w:val="006D4ACA"/>
    <w:rsid w:val="006D4B0A"/>
    <w:rsid w:val="006D4E9E"/>
    <w:rsid w:val="006D4F07"/>
    <w:rsid w:val="006D5843"/>
    <w:rsid w:val="006D6871"/>
    <w:rsid w:val="006D6CA2"/>
    <w:rsid w:val="006D71D3"/>
    <w:rsid w:val="006E02F2"/>
    <w:rsid w:val="006E1BA4"/>
    <w:rsid w:val="006E1FB4"/>
    <w:rsid w:val="006E23E0"/>
    <w:rsid w:val="006E24D7"/>
    <w:rsid w:val="006E3415"/>
    <w:rsid w:val="006E3962"/>
    <w:rsid w:val="006E3A8F"/>
    <w:rsid w:val="006E404F"/>
    <w:rsid w:val="006E464C"/>
    <w:rsid w:val="006E4970"/>
    <w:rsid w:val="006E4A6B"/>
    <w:rsid w:val="006E4CCB"/>
    <w:rsid w:val="006E4CCC"/>
    <w:rsid w:val="006E516B"/>
    <w:rsid w:val="006E64FC"/>
    <w:rsid w:val="006E6536"/>
    <w:rsid w:val="006E6A28"/>
    <w:rsid w:val="006E78A4"/>
    <w:rsid w:val="006E7A04"/>
    <w:rsid w:val="006F065D"/>
    <w:rsid w:val="006F0C10"/>
    <w:rsid w:val="006F14B1"/>
    <w:rsid w:val="006F290B"/>
    <w:rsid w:val="006F29B4"/>
    <w:rsid w:val="006F36F0"/>
    <w:rsid w:val="006F3C48"/>
    <w:rsid w:val="006F533D"/>
    <w:rsid w:val="006F6D3E"/>
    <w:rsid w:val="006F6DDA"/>
    <w:rsid w:val="006F7041"/>
    <w:rsid w:val="006F726F"/>
    <w:rsid w:val="006F7BBD"/>
    <w:rsid w:val="0070068B"/>
    <w:rsid w:val="00700990"/>
    <w:rsid w:val="00700CF4"/>
    <w:rsid w:val="007016BE"/>
    <w:rsid w:val="00701816"/>
    <w:rsid w:val="007025A3"/>
    <w:rsid w:val="00702A5C"/>
    <w:rsid w:val="007030B9"/>
    <w:rsid w:val="00703181"/>
    <w:rsid w:val="00703505"/>
    <w:rsid w:val="00703B08"/>
    <w:rsid w:val="007042E7"/>
    <w:rsid w:val="007044EC"/>
    <w:rsid w:val="00704571"/>
    <w:rsid w:val="007048F0"/>
    <w:rsid w:val="00705362"/>
    <w:rsid w:val="0070604E"/>
    <w:rsid w:val="00706DF0"/>
    <w:rsid w:val="0070718C"/>
    <w:rsid w:val="00710339"/>
    <w:rsid w:val="00710630"/>
    <w:rsid w:val="00711526"/>
    <w:rsid w:val="0071165C"/>
    <w:rsid w:val="00711CAD"/>
    <w:rsid w:val="0071201B"/>
    <w:rsid w:val="007128F7"/>
    <w:rsid w:val="0071320C"/>
    <w:rsid w:val="0071356F"/>
    <w:rsid w:val="00714166"/>
    <w:rsid w:val="007153F0"/>
    <w:rsid w:val="007154CF"/>
    <w:rsid w:val="007159A1"/>
    <w:rsid w:val="00716550"/>
    <w:rsid w:val="007167FF"/>
    <w:rsid w:val="00716812"/>
    <w:rsid w:val="00716C0F"/>
    <w:rsid w:val="007171DB"/>
    <w:rsid w:val="00717651"/>
    <w:rsid w:val="0071796A"/>
    <w:rsid w:val="00717A8D"/>
    <w:rsid w:val="00717BF6"/>
    <w:rsid w:val="00717C21"/>
    <w:rsid w:val="00717F9F"/>
    <w:rsid w:val="00720493"/>
    <w:rsid w:val="00720B9E"/>
    <w:rsid w:val="00721887"/>
    <w:rsid w:val="00721962"/>
    <w:rsid w:val="00721CC5"/>
    <w:rsid w:val="00721D7F"/>
    <w:rsid w:val="00721DE0"/>
    <w:rsid w:val="007224ED"/>
    <w:rsid w:val="00722FD8"/>
    <w:rsid w:val="0072366C"/>
    <w:rsid w:val="00724291"/>
    <w:rsid w:val="00724D0C"/>
    <w:rsid w:val="00725190"/>
    <w:rsid w:val="0072590A"/>
    <w:rsid w:val="00725996"/>
    <w:rsid w:val="00726886"/>
    <w:rsid w:val="0072724E"/>
    <w:rsid w:val="00727381"/>
    <w:rsid w:val="00727924"/>
    <w:rsid w:val="00730896"/>
    <w:rsid w:val="007310CE"/>
    <w:rsid w:val="007314BA"/>
    <w:rsid w:val="007319B3"/>
    <w:rsid w:val="00732A2D"/>
    <w:rsid w:val="00732D06"/>
    <w:rsid w:val="00733D78"/>
    <w:rsid w:val="00733E70"/>
    <w:rsid w:val="00733FFC"/>
    <w:rsid w:val="0073438B"/>
    <w:rsid w:val="007343F1"/>
    <w:rsid w:val="00734428"/>
    <w:rsid w:val="007347C7"/>
    <w:rsid w:val="0073490E"/>
    <w:rsid w:val="00734FE8"/>
    <w:rsid w:val="0073536C"/>
    <w:rsid w:val="007359A2"/>
    <w:rsid w:val="007360A9"/>
    <w:rsid w:val="0073699B"/>
    <w:rsid w:val="0073710F"/>
    <w:rsid w:val="00737362"/>
    <w:rsid w:val="00737753"/>
    <w:rsid w:val="007409AA"/>
    <w:rsid w:val="00740E1B"/>
    <w:rsid w:val="00740EE3"/>
    <w:rsid w:val="007411F4"/>
    <w:rsid w:val="007413BF"/>
    <w:rsid w:val="00741968"/>
    <w:rsid w:val="00741BDD"/>
    <w:rsid w:val="007423E9"/>
    <w:rsid w:val="007438D0"/>
    <w:rsid w:val="00743A58"/>
    <w:rsid w:val="00743D1C"/>
    <w:rsid w:val="00743D29"/>
    <w:rsid w:val="0074406C"/>
    <w:rsid w:val="00744146"/>
    <w:rsid w:val="00744B1B"/>
    <w:rsid w:val="00745153"/>
    <w:rsid w:val="00745844"/>
    <w:rsid w:val="007460ED"/>
    <w:rsid w:val="0074661C"/>
    <w:rsid w:val="00746A2F"/>
    <w:rsid w:val="007472EF"/>
    <w:rsid w:val="00747669"/>
    <w:rsid w:val="0074771E"/>
    <w:rsid w:val="00751097"/>
    <w:rsid w:val="007519F6"/>
    <w:rsid w:val="00751E1F"/>
    <w:rsid w:val="0075296E"/>
    <w:rsid w:val="00752F33"/>
    <w:rsid w:val="0075319C"/>
    <w:rsid w:val="007531A5"/>
    <w:rsid w:val="007535E3"/>
    <w:rsid w:val="00753FCB"/>
    <w:rsid w:val="007542B1"/>
    <w:rsid w:val="00754A0F"/>
    <w:rsid w:val="007550FE"/>
    <w:rsid w:val="00755EE8"/>
    <w:rsid w:val="0075603B"/>
    <w:rsid w:val="00756609"/>
    <w:rsid w:val="007566A7"/>
    <w:rsid w:val="007567D2"/>
    <w:rsid w:val="00756E30"/>
    <w:rsid w:val="0075707E"/>
    <w:rsid w:val="00757941"/>
    <w:rsid w:val="007606E7"/>
    <w:rsid w:val="007615C0"/>
    <w:rsid w:val="00762FCA"/>
    <w:rsid w:val="007639A5"/>
    <w:rsid w:val="00763DE8"/>
    <w:rsid w:val="00763EE9"/>
    <w:rsid w:val="00764375"/>
    <w:rsid w:val="007653BF"/>
    <w:rsid w:val="00765630"/>
    <w:rsid w:val="00765919"/>
    <w:rsid w:val="007661BB"/>
    <w:rsid w:val="0076653E"/>
    <w:rsid w:val="00766647"/>
    <w:rsid w:val="0076786D"/>
    <w:rsid w:val="007700F8"/>
    <w:rsid w:val="007701D4"/>
    <w:rsid w:val="0077094D"/>
    <w:rsid w:val="00770E63"/>
    <w:rsid w:val="00772964"/>
    <w:rsid w:val="00773C06"/>
    <w:rsid w:val="00774469"/>
    <w:rsid w:val="00774752"/>
    <w:rsid w:val="00774913"/>
    <w:rsid w:val="00775291"/>
    <w:rsid w:val="0077594E"/>
    <w:rsid w:val="00775FB9"/>
    <w:rsid w:val="00776268"/>
    <w:rsid w:val="00777495"/>
    <w:rsid w:val="0078016F"/>
    <w:rsid w:val="007804B1"/>
    <w:rsid w:val="007805EC"/>
    <w:rsid w:val="007807E9"/>
    <w:rsid w:val="007808A4"/>
    <w:rsid w:val="00780928"/>
    <w:rsid w:val="00780B0E"/>
    <w:rsid w:val="00781689"/>
    <w:rsid w:val="00782394"/>
    <w:rsid w:val="00782848"/>
    <w:rsid w:val="007829B1"/>
    <w:rsid w:val="00782C5A"/>
    <w:rsid w:val="007834C1"/>
    <w:rsid w:val="00783873"/>
    <w:rsid w:val="00783F1A"/>
    <w:rsid w:val="007847D1"/>
    <w:rsid w:val="00784924"/>
    <w:rsid w:val="00785B0C"/>
    <w:rsid w:val="00785D82"/>
    <w:rsid w:val="00785DE4"/>
    <w:rsid w:val="0078647B"/>
    <w:rsid w:val="007866B1"/>
    <w:rsid w:val="00786ED4"/>
    <w:rsid w:val="0078716F"/>
    <w:rsid w:val="00787256"/>
    <w:rsid w:val="007873C8"/>
    <w:rsid w:val="0078793D"/>
    <w:rsid w:val="00787F80"/>
    <w:rsid w:val="00790F50"/>
    <w:rsid w:val="00791374"/>
    <w:rsid w:val="0079263D"/>
    <w:rsid w:val="007929C5"/>
    <w:rsid w:val="00792B66"/>
    <w:rsid w:val="0079352C"/>
    <w:rsid w:val="007937E7"/>
    <w:rsid w:val="00793B34"/>
    <w:rsid w:val="00793B84"/>
    <w:rsid w:val="00793D87"/>
    <w:rsid w:val="00794795"/>
    <w:rsid w:val="007949E6"/>
    <w:rsid w:val="00794CC2"/>
    <w:rsid w:val="00794D98"/>
    <w:rsid w:val="00794F29"/>
    <w:rsid w:val="007954BD"/>
    <w:rsid w:val="00795A2A"/>
    <w:rsid w:val="00795E7E"/>
    <w:rsid w:val="007964B5"/>
    <w:rsid w:val="007972BC"/>
    <w:rsid w:val="007972FB"/>
    <w:rsid w:val="007977AD"/>
    <w:rsid w:val="007978FC"/>
    <w:rsid w:val="007A02BC"/>
    <w:rsid w:val="007A099F"/>
    <w:rsid w:val="007A0ADA"/>
    <w:rsid w:val="007A0F0F"/>
    <w:rsid w:val="007A16EB"/>
    <w:rsid w:val="007A17E2"/>
    <w:rsid w:val="007A26C4"/>
    <w:rsid w:val="007A2742"/>
    <w:rsid w:val="007A2790"/>
    <w:rsid w:val="007A2F96"/>
    <w:rsid w:val="007A33C4"/>
    <w:rsid w:val="007A42DA"/>
    <w:rsid w:val="007A49D9"/>
    <w:rsid w:val="007A5620"/>
    <w:rsid w:val="007A7E4C"/>
    <w:rsid w:val="007B01E7"/>
    <w:rsid w:val="007B0810"/>
    <w:rsid w:val="007B0DC2"/>
    <w:rsid w:val="007B104F"/>
    <w:rsid w:val="007B120B"/>
    <w:rsid w:val="007B1418"/>
    <w:rsid w:val="007B1C29"/>
    <w:rsid w:val="007B2177"/>
    <w:rsid w:val="007B2FF1"/>
    <w:rsid w:val="007B3347"/>
    <w:rsid w:val="007B3584"/>
    <w:rsid w:val="007B3BDC"/>
    <w:rsid w:val="007B3F86"/>
    <w:rsid w:val="007B41BE"/>
    <w:rsid w:val="007B482A"/>
    <w:rsid w:val="007B52BB"/>
    <w:rsid w:val="007B56E1"/>
    <w:rsid w:val="007B5C49"/>
    <w:rsid w:val="007B71D9"/>
    <w:rsid w:val="007B7BB1"/>
    <w:rsid w:val="007C0B47"/>
    <w:rsid w:val="007C107C"/>
    <w:rsid w:val="007C1229"/>
    <w:rsid w:val="007C17AB"/>
    <w:rsid w:val="007C1DFF"/>
    <w:rsid w:val="007C1E1D"/>
    <w:rsid w:val="007C2145"/>
    <w:rsid w:val="007C21A1"/>
    <w:rsid w:val="007C2349"/>
    <w:rsid w:val="007C2A41"/>
    <w:rsid w:val="007C377C"/>
    <w:rsid w:val="007C378F"/>
    <w:rsid w:val="007C3815"/>
    <w:rsid w:val="007C3B7F"/>
    <w:rsid w:val="007C3F35"/>
    <w:rsid w:val="007C4A9F"/>
    <w:rsid w:val="007C5B20"/>
    <w:rsid w:val="007C65FA"/>
    <w:rsid w:val="007C685F"/>
    <w:rsid w:val="007C7F59"/>
    <w:rsid w:val="007D069C"/>
    <w:rsid w:val="007D090A"/>
    <w:rsid w:val="007D1AFD"/>
    <w:rsid w:val="007D1E73"/>
    <w:rsid w:val="007D23C4"/>
    <w:rsid w:val="007D25E6"/>
    <w:rsid w:val="007D2FC8"/>
    <w:rsid w:val="007D310A"/>
    <w:rsid w:val="007D408D"/>
    <w:rsid w:val="007D4CA7"/>
    <w:rsid w:val="007D4CD5"/>
    <w:rsid w:val="007D52A7"/>
    <w:rsid w:val="007D5BD5"/>
    <w:rsid w:val="007D619D"/>
    <w:rsid w:val="007D658F"/>
    <w:rsid w:val="007D6B04"/>
    <w:rsid w:val="007D6D6F"/>
    <w:rsid w:val="007D6E6D"/>
    <w:rsid w:val="007D6F1A"/>
    <w:rsid w:val="007D6F5D"/>
    <w:rsid w:val="007D7604"/>
    <w:rsid w:val="007D7642"/>
    <w:rsid w:val="007D7729"/>
    <w:rsid w:val="007D7AA9"/>
    <w:rsid w:val="007D7F8B"/>
    <w:rsid w:val="007E075D"/>
    <w:rsid w:val="007E0803"/>
    <w:rsid w:val="007E0D86"/>
    <w:rsid w:val="007E0E53"/>
    <w:rsid w:val="007E170B"/>
    <w:rsid w:val="007E1720"/>
    <w:rsid w:val="007E18BA"/>
    <w:rsid w:val="007E18FA"/>
    <w:rsid w:val="007E1DF2"/>
    <w:rsid w:val="007E2170"/>
    <w:rsid w:val="007E2888"/>
    <w:rsid w:val="007E2BA4"/>
    <w:rsid w:val="007E3026"/>
    <w:rsid w:val="007E32D4"/>
    <w:rsid w:val="007E349F"/>
    <w:rsid w:val="007E3514"/>
    <w:rsid w:val="007E3829"/>
    <w:rsid w:val="007E402B"/>
    <w:rsid w:val="007E495E"/>
    <w:rsid w:val="007E5FF3"/>
    <w:rsid w:val="007E6257"/>
    <w:rsid w:val="007E65FE"/>
    <w:rsid w:val="007E6782"/>
    <w:rsid w:val="007E6B64"/>
    <w:rsid w:val="007E6F9A"/>
    <w:rsid w:val="007E7679"/>
    <w:rsid w:val="007E7683"/>
    <w:rsid w:val="007E79F5"/>
    <w:rsid w:val="007E7AF0"/>
    <w:rsid w:val="007F02BF"/>
    <w:rsid w:val="007F10B5"/>
    <w:rsid w:val="007F10D0"/>
    <w:rsid w:val="007F1BC2"/>
    <w:rsid w:val="007F1C7A"/>
    <w:rsid w:val="007F1CCC"/>
    <w:rsid w:val="007F25B4"/>
    <w:rsid w:val="007F2C38"/>
    <w:rsid w:val="007F2EFF"/>
    <w:rsid w:val="007F3244"/>
    <w:rsid w:val="007F3395"/>
    <w:rsid w:val="007F3683"/>
    <w:rsid w:val="007F39D7"/>
    <w:rsid w:val="007F3A04"/>
    <w:rsid w:val="007F48F6"/>
    <w:rsid w:val="007F51FF"/>
    <w:rsid w:val="007F5557"/>
    <w:rsid w:val="007F57D6"/>
    <w:rsid w:val="007F5CD4"/>
    <w:rsid w:val="007F61AB"/>
    <w:rsid w:val="007F61E2"/>
    <w:rsid w:val="007F6460"/>
    <w:rsid w:val="007F6C16"/>
    <w:rsid w:val="007F730F"/>
    <w:rsid w:val="007F7527"/>
    <w:rsid w:val="007F7563"/>
    <w:rsid w:val="007F7A54"/>
    <w:rsid w:val="007F7AB8"/>
    <w:rsid w:val="00800125"/>
    <w:rsid w:val="0080026A"/>
    <w:rsid w:val="00800338"/>
    <w:rsid w:val="00800FCD"/>
    <w:rsid w:val="00801057"/>
    <w:rsid w:val="00801387"/>
    <w:rsid w:val="00801BFF"/>
    <w:rsid w:val="0080250E"/>
    <w:rsid w:val="0080281E"/>
    <w:rsid w:val="0080288E"/>
    <w:rsid w:val="00803DDF"/>
    <w:rsid w:val="00804C27"/>
    <w:rsid w:val="00805261"/>
    <w:rsid w:val="0080563D"/>
    <w:rsid w:val="008056BE"/>
    <w:rsid w:val="008059F4"/>
    <w:rsid w:val="00805F75"/>
    <w:rsid w:val="00806071"/>
    <w:rsid w:val="008070F2"/>
    <w:rsid w:val="00807692"/>
    <w:rsid w:val="00807C1B"/>
    <w:rsid w:val="00807E3E"/>
    <w:rsid w:val="00810489"/>
    <w:rsid w:val="00810B18"/>
    <w:rsid w:val="00810D65"/>
    <w:rsid w:val="00810F2E"/>
    <w:rsid w:val="00811026"/>
    <w:rsid w:val="0081143A"/>
    <w:rsid w:val="00811982"/>
    <w:rsid w:val="00811B7A"/>
    <w:rsid w:val="00811E77"/>
    <w:rsid w:val="0081206F"/>
    <w:rsid w:val="00812466"/>
    <w:rsid w:val="00812638"/>
    <w:rsid w:val="00812656"/>
    <w:rsid w:val="00812720"/>
    <w:rsid w:val="00812AE2"/>
    <w:rsid w:val="00812CD4"/>
    <w:rsid w:val="0081303A"/>
    <w:rsid w:val="0081342A"/>
    <w:rsid w:val="00814892"/>
    <w:rsid w:val="00814D78"/>
    <w:rsid w:val="00815167"/>
    <w:rsid w:val="008151B0"/>
    <w:rsid w:val="00815F87"/>
    <w:rsid w:val="00816744"/>
    <w:rsid w:val="0081696D"/>
    <w:rsid w:val="00816A62"/>
    <w:rsid w:val="00816B36"/>
    <w:rsid w:val="00817452"/>
    <w:rsid w:val="0081758D"/>
    <w:rsid w:val="00817C39"/>
    <w:rsid w:val="00817C8A"/>
    <w:rsid w:val="0082098B"/>
    <w:rsid w:val="008214EB"/>
    <w:rsid w:val="00821601"/>
    <w:rsid w:val="00821923"/>
    <w:rsid w:val="00821E84"/>
    <w:rsid w:val="00822005"/>
    <w:rsid w:val="0082256B"/>
    <w:rsid w:val="00822609"/>
    <w:rsid w:val="00822B0C"/>
    <w:rsid w:val="00822C45"/>
    <w:rsid w:val="00822F66"/>
    <w:rsid w:val="00823764"/>
    <w:rsid w:val="008241E4"/>
    <w:rsid w:val="00824394"/>
    <w:rsid w:val="00824912"/>
    <w:rsid w:val="00824F1A"/>
    <w:rsid w:val="00825B07"/>
    <w:rsid w:val="008265E8"/>
    <w:rsid w:val="00826634"/>
    <w:rsid w:val="00826C0C"/>
    <w:rsid w:val="0082711A"/>
    <w:rsid w:val="00827E75"/>
    <w:rsid w:val="00830810"/>
    <w:rsid w:val="008309CF"/>
    <w:rsid w:val="00830AF8"/>
    <w:rsid w:val="00830B5F"/>
    <w:rsid w:val="00830DC0"/>
    <w:rsid w:val="00831427"/>
    <w:rsid w:val="00831C09"/>
    <w:rsid w:val="00831C68"/>
    <w:rsid w:val="008322FB"/>
    <w:rsid w:val="0083272D"/>
    <w:rsid w:val="00832E6A"/>
    <w:rsid w:val="0083351E"/>
    <w:rsid w:val="00833E4E"/>
    <w:rsid w:val="0083473D"/>
    <w:rsid w:val="00834AF4"/>
    <w:rsid w:val="00834BEC"/>
    <w:rsid w:val="00834D47"/>
    <w:rsid w:val="00834DC9"/>
    <w:rsid w:val="00835389"/>
    <w:rsid w:val="00835459"/>
    <w:rsid w:val="008356D1"/>
    <w:rsid w:val="008358DA"/>
    <w:rsid w:val="00836F1C"/>
    <w:rsid w:val="00837060"/>
    <w:rsid w:val="008373F3"/>
    <w:rsid w:val="00837C5C"/>
    <w:rsid w:val="00840350"/>
    <w:rsid w:val="00840409"/>
    <w:rsid w:val="0084055F"/>
    <w:rsid w:val="0084098C"/>
    <w:rsid w:val="008411FD"/>
    <w:rsid w:val="008412C1"/>
    <w:rsid w:val="0084138C"/>
    <w:rsid w:val="00842584"/>
    <w:rsid w:val="008429DB"/>
    <w:rsid w:val="00842BA8"/>
    <w:rsid w:val="0084324E"/>
    <w:rsid w:val="00843E4B"/>
    <w:rsid w:val="00844B2A"/>
    <w:rsid w:val="00844ED2"/>
    <w:rsid w:val="0084562E"/>
    <w:rsid w:val="008470E8"/>
    <w:rsid w:val="0084736D"/>
    <w:rsid w:val="008479BC"/>
    <w:rsid w:val="00847C79"/>
    <w:rsid w:val="00850923"/>
    <w:rsid w:val="00850A19"/>
    <w:rsid w:val="00850AFC"/>
    <w:rsid w:val="00850C7E"/>
    <w:rsid w:val="00850DA6"/>
    <w:rsid w:val="0085106C"/>
    <w:rsid w:val="008514EC"/>
    <w:rsid w:val="00851AFC"/>
    <w:rsid w:val="00851F31"/>
    <w:rsid w:val="0085233E"/>
    <w:rsid w:val="008524F7"/>
    <w:rsid w:val="00852A9A"/>
    <w:rsid w:val="00852F34"/>
    <w:rsid w:val="008534FA"/>
    <w:rsid w:val="00853616"/>
    <w:rsid w:val="00853704"/>
    <w:rsid w:val="00853C23"/>
    <w:rsid w:val="00853EFD"/>
    <w:rsid w:val="0085413E"/>
    <w:rsid w:val="008542C1"/>
    <w:rsid w:val="00854674"/>
    <w:rsid w:val="00854784"/>
    <w:rsid w:val="00854C8E"/>
    <w:rsid w:val="008557F4"/>
    <w:rsid w:val="00855D65"/>
    <w:rsid w:val="00856542"/>
    <w:rsid w:val="00856B56"/>
    <w:rsid w:val="0085729A"/>
    <w:rsid w:val="008575ED"/>
    <w:rsid w:val="00857A8B"/>
    <w:rsid w:val="00857F3D"/>
    <w:rsid w:val="008608B0"/>
    <w:rsid w:val="00860F08"/>
    <w:rsid w:val="008610DA"/>
    <w:rsid w:val="008611C8"/>
    <w:rsid w:val="008612F5"/>
    <w:rsid w:val="00861376"/>
    <w:rsid w:val="00861D5B"/>
    <w:rsid w:val="00861E55"/>
    <w:rsid w:val="00861F9D"/>
    <w:rsid w:val="00862B4C"/>
    <w:rsid w:val="0086307F"/>
    <w:rsid w:val="008639AD"/>
    <w:rsid w:val="00863C1F"/>
    <w:rsid w:val="00863E22"/>
    <w:rsid w:val="0086425E"/>
    <w:rsid w:val="00866BCC"/>
    <w:rsid w:val="00866D92"/>
    <w:rsid w:val="00870856"/>
    <w:rsid w:val="00870F6E"/>
    <w:rsid w:val="0087157B"/>
    <w:rsid w:val="00871C4C"/>
    <w:rsid w:val="00871E03"/>
    <w:rsid w:val="00873845"/>
    <w:rsid w:val="008748D1"/>
    <w:rsid w:val="00874E52"/>
    <w:rsid w:val="00876400"/>
    <w:rsid w:val="00876522"/>
    <w:rsid w:val="00876AE3"/>
    <w:rsid w:val="00876E87"/>
    <w:rsid w:val="008775DB"/>
    <w:rsid w:val="00877B07"/>
    <w:rsid w:val="00877B7A"/>
    <w:rsid w:val="00880EFA"/>
    <w:rsid w:val="00881EBC"/>
    <w:rsid w:val="0088248D"/>
    <w:rsid w:val="008828DF"/>
    <w:rsid w:val="00882C23"/>
    <w:rsid w:val="00882E91"/>
    <w:rsid w:val="00882EA8"/>
    <w:rsid w:val="00883EE1"/>
    <w:rsid w:val="0088421A"/>
    <w:rsid w:val="00884ED2"/>
    <w:rsid w:val="00885317"/>
    <w:rsid w:val="0088567D"/>
    <w:rsid w:val="00885D0E"/>
    <w:rsid w:val="00885E1B"/>
    <w:rsid w:val="008863EC"/>
    <w:rsid w:val="008865CF"/>
    <w:rsid w:val="00886995"/>
    <w:rsid w:val="00886BEE"/>
    <w:rsid w:val="00887227"/>
    <w:rsid w:val="008872A5"/>
    <w:rsid w:val="008900AA"/>
    <w:rsid w:val="00890211"/>
    <w:rsid w:val="00890427"/>
    <w:rsid w:val="008905B4"/>
    <w:rsid w:val="0089096B"/>
    <w:rsid w:val="008919D4"/>
    <w:rsid w:val="00892157"/>
    <w:rsid w:val="0089225A"/>
    <w:rsid w:val="00892AC0"/>
    <w:rsid w:val="008934FE"/>
    <w:rsid w:val="00893B5D"/>
    <w:rsid w:val="00893E2F"/>
    <w:rsid w:val="008944DB"/>
    <w:rsid w:val="00894AB9"/>
    <w:rsid w:val="00895260"/>
    <w:rsid w:val="00895570"/>
    <w:rsid w:val="0089594E"/>
    <w:rsid w:val="008968C4"/>
    <w:rsid w:val="00896E93"/>
    <w:rsid w:val="00897463"/>
    <w:rsid w:val="0089753B"/>
    <w:rsid w:val="00897911"/>
    <w:rsid w:val="00897B11"/>
    <w:rsid w:val="00897FAC"/>
    <w:rsid w:val="008A03BE"/>
    <w:rsid w:val="008A0FD5"/>
    <w:rsid w:val="008A100E"/>
    <w:rsid w:val="008A10EF"/>
    <w:rsid w:val="008A17AC"/>
    <w:rsid w:val="008A1C8E"/>
    <w:rsid w:val="008A2377"/>
    <w:rsid w:val="008A2A21"/>
    <w:rsid w:val="008A2E17"/>
    <w:rsid w:val="008A344E"/>
    <w:rsid w:val="008A3721"/>
    <w:rsid w:val="008A382F"/>
    <w:rsid w:val="008A39A0"/>
    <w:rsid w:val="008A39AD"/>
    <w:rsid w:val="008A3DB6"/>
    <w:rsid w:val="008A4715"/>
    <w:rsid w:val="008A56ED"/>
    <w:rsid w:val="008A5BE4"/>
    <w:rsid w:val="008A5F0F"/>
    <w:rsid w:val="008A7E3B"/>
    <w:rsid w:val="008B0364"/>
    <w:rsid w:val="008B0379"/>
    <w:rsid w:val="008B0D70"/>
    <w:rsid w:val="008B0EA7"/>
    <w:rsid w:val="008B0FC7"/>
    <w:rsid w:val="008B18C5"/>
    <w:rsid w:val="008B256F"/>
    <w:rsid w:val="008B29B7"/>
    <w:rsid w:val="008B480A"/>
    <w:rsid w:val="008B4F76"/>
    <w:rsid w:val="008B58D9"/>
    <w:rsid w:val="008B5C98"/>
    <w:rsid w:val="008B5F66"/>
    <w:rsid w:val="008B64DC"/>
    <w:rsid w:val="008B6AFD"/>
    <w:rsid w:val="008B6B42"/>
    <w:rsid w:val="008B70D9"/>
    <w:rsid w:val="008B7209"/>
    <w:rsid w:val="008B7236"/>
    <w:rsid w:val="008C0396"/>
    <w:rsid w:val="008C07A9"/>
    <w:rsid w:val="008C0944"/>
    <w:rsid w:val="008C0A39"/>
    <w:rsid w:val="008C17C0"/>
    <w:rsid w:val="008C1814"/>
    <w:rsid w:val="008C18D1"/>
    <w:rsid w:val="008C3CCC"/>
    <w:rsid w:val="008C4084"/>
    <w:rsid w:val="008C4116"/>
    <w:rsid w:val="008C4162"/>
    <w:rsid w:val="008C43A5"/>
    <w:rsid w:val="008C5C81"/>
    <w:rsid w:val="008C5CDF"/>
    <w:rsid w:val="008C6580"/>
    <w:rsid w:val="008C66A9"/>
    <w:rsid w:val="008C7162"/>
    <w:rsid w:val="008C7375"/>
    <w:rsid w:val="008C79F3"/>
    <w:rsid w:val="008D021C"/>
    <w:rsid w:val="008D0267"/>
    <w:rsid w:val="008D04D0"/>
    <w:rsid w:val="008D1097"/>
    <w:rsid w:val="008D11A8"/>
    <w:rsid w:val="008D1417"/>
    <w:rsid w:val="008D1DF5"/>
    <w:rsid w:val="008D1F27"/>
    <w:rsid w:val="008D2EFD"/>
    <w:rsid w:val="008D2F95"/>
    <w:rsid w:val="008D384C"/>
    <w:rsid w:val="008D3EF5"/>
    <w:rsid w:val="008D43B3"/>
    <w:rsid w:val="008D483E"/>
    <w:rsid w:val="008D4B98"/>
    <w:rsid w:val="008D4BD7"/>
    <w:rsid w:val="008D5469"/>
    <w:rsid w:val="008D56F1"/>
    <w:rsid w:val="008D62B4"/>
    <w:rsid w:val="008D6375"/>
    <w:rsid w:val="008D65B8"/>
    <w:rsid w:val="008D7523"/>
    <w:rsid w:val="008D7D36"/>
    <w:rsid w:val="008E02E0"/>
    <w:rsid w:val="008E0670"/>
    <w:rsid w:val="008E0B71"/>
    <w:rsid w:val="008E114F"/>
    <w:rsid w:val="008E1153"/>
    <w:rsid w:val="008E1D76"/>
    <w:rsid w:val="008E2594"/>
    <w:rsid w:val="008E2DD0"/>
    <w:rsid w:val="008E3455"/>
    <w:rsid w:val="008E3BFB"/>
    <w:rsid w:val="008E4349"/>
    <w:rsid w:val="008E50BD"/>
    <w:rsid w:val="008E52DB"/>
    <w:rsid w:val="008E5755"/>
    <w:rsid w:val="008E5A64"/>
    <w:rsid w:val="008E6356"/>
    <w:rsid w:val="008E6529"/>
    <w:rsid w:val="008E664D"/>
    <w:rsid w:val="008E6C51"/>
    <w:rsid w:val="008E6F7A"/>
    <w:rsid w:val="008E7734"/>
    <w:rsid w:val="008F04B2"/>
    <w:rsid w:val="008F07ED"/>
    <w:rsid w:val="008F142D"/>
    <w:rsid w:val="008F1674"/>
    <w:rsid w:val="008F192D"/>
    <w:rsid w:val="008F2699"/>
    <w:rsid w:val="008F282A"/>
    <w:rsid w:val="008F345A"/>
    <w:rsid w:val="008F3FE5"/>
    <w:rsid w:val="008F42D7"/>
    <w:rsid w:val="008F4382"/>
    <w:rsid w:val="008F4CE7"/>
    <w:rsid w:val="008F4E16"/>
    <w:rsid w:val="008F5536"/>
    <w:rsid w:val="008F62BC"/>
    <w:rsid w:val="008F6537"/>
    <w:rsid w:val="00900416"/>
    <w:rsid w:val="00900590"/>
    <w:rsid w:val="00901459"/>
    <w:rsid w:val="00901C47"/>
    <w:rsid w:val="00902190"/>
    <w:rsid w:val="00902C9D"/>
    <w:rsid w:val="0090328B"/>
    <w:rsid w:val="009032E9"/>
    <w:rsid w:val="00903D57"/>
    <w:rsid w:val="00903EFE"/>
    <w:rsid w:val="009040EB"/>
    <w:rsid w:val="0090437C"/>
    <w:rsid w:val="0090472D"/>
    <w:rsid w:val="0090518E"/>
    <w:rsid w:val="0090563D"/>
    <w:rsid w:val="009067E1"/>
    <w:rsid w:val="00906EF4"/>
    <w:rsid w:val="00907057"/>
    <w:rsid w:val="00910287"/>
    <w:rsid w:val="00910D9D"/>
    <w:rsid w:val="00910F33"/>
    <w:rsid w:val="009110BA"/>
    <w:rsid w:val="00911691"/>
    <w:rsid w:val="009118B0"/>
    <w:rsid w:val="00912000"/>
    <w:rsid w:val="009120D7"/>
    <w:rsid w:val="009124E6"/>
    <w:rsid w:val="00913944"/>
    <w:rsid w:val="00913EF4"/>
    <w:rsid w:val="00914CD6"/>
    <w:rsid w:val="00915AC6"/>
    <w:rsid w:val="00915B92"/>
    <w:rsid w:val="00916440"/>
    <w:rsid w:val="00916748"/>
    <w:rsid w:val="00917332"/>
    <w:rsid w:val="009177FA"/>
    <w:rsid w:val="009202C5"/>
    <w:rsid w:val="009205FD"/>
    <w:rsid w:val="00920773"/>
    <w:rsid w:val="009209C5"/>
    <w:rsid w:val="00921817"/>
    <w:rsid w:val="00922327"/>
    <w:rsid w:val="0092265F"/>
    <w:rsid w:val="00922F1A"/>
    <w:rsid w:val="0092359E"/>
    <w:rsid w:val="00923EA0"/>
    <w:rsid w:val="00924224"/>
    <w:rsid w:val="0092474D"/>
    <w:rsid w:val="00924C0E"/>
    <w:rsid w:val="00925637"/>
    <w:rsid w:val="0092598F"/>
    <w:rsid w:val="00925FF9"/>
    <w:rsid w:val="009265E4"/>
    <w:rsid w:val="00927BAA"/>
    <w:rsid w:val="00927E94"/>
    <w:rsid w:val="009305AF"/>
    <w:rsid w:val="00930743"/>
    <w:rsid w:val="00930B6B"/>
    <w:rsid w:val="00931282"/>
    <w:rsid w:val="00931453"/>
    <w:rsid w:val="00931457"/>
    <w:rsid w:val="009315B3"/>
    <w:rsid w:val="0093167B"/>
    <w:rsid w:val="0093175E"/>
    <w:rsid w:val="00931B23"/>
    <w:rsid w:val="00932333"/>
    <w:rsid w:val="00932567"/>
    <w:rsid w:val="009326C6"/>
    <w:rsid w:val="00933665"/>
    <w:rsid w:val="00933695"/>
    <w:rsid w:val="00933A7E"/>
    <w:rsid w:val="00933C2B"/>
    <w:rsid w:val="00933CF4"/>
    <w:rsid w:val="00933F52"/>
    <w:rsid w:val="009344EF"/>
    <w:rsid w:val="00934513"/>
    <w:rsid w:val="0093661E"/>
    <w:rsid w:val="00936789"/>
    <w:rsid w:val="00936E0F"/>
    <w:rsid w:val="00936EF5"/>
    <w:rsid w:val="009372E1"/>
    <w:rsid w:val="00937FBA"/>
    <w:rsid w:val="009417AC"/>
    <w:rsid w:val="00942550"/>
    <w:rsid w:val="0094325C"/>
    <w:rsid w:val="00945766"/>
    <w:rsid w:val="009457AC"/>
    <w:rsid w:val="00945B1E"/>
    <w:rsid w:val="0094609D"/>
    <w:rsid w:val="0094617D"/>
    <w:rsid w:val="00946484"/>
    <w:rsid w:val="00946970"/>
    <w:rsid w:val="00946B28"/>
    <w:rsid w:val="00947447"/>
    <w:rsid w:val="00947B1C"/>
    <w:rsid w:val="009510F9"/>
    <w:rsid w:val="009516DD"/>
    <w:rsid w:val="00951D77"/>
    <w:rsid w:val="00951F1A"/>
    <w:rsid w:val="00952F06"/>
    <w:rsid w:val="00953586"/>
    <w:rsid w:val="0095377C"/>
    <w:rsid w:val="00953A0D"/>
    <w:rsid w:val="00954532"/>
    <w:rsid w:val="00954C5C"/>
    <w:rsid w:val="00954D4A"/>
    <w:rsid w:val="009552E3"/>
    <w:rsid w:val="009558BE"/>
    <w:rsid w:val="00955ADE"/>
    <w:rsid w:val="00955E1B"/>
    <w:rsid w:val="00955F37"/>
    <w:rsid w:val="0095706B"/>
    <w:rsid w:val="009570F9"/>
    <w:rsid w:val="009573EB"/>
    <w:rsid w:val="009575BF"/>
    <w:rsid w:val="00957F66"/>
    <w:rsid w:val="00960092"/>
    <w:rsid w:val="00960671"/>
    <w:rsid w:val="0096083A"/>
    <w:rsid w:val="009609E5"/>
    <w:rsid w:val="009610B1"/>
    <w:rsid w:val="009618CD"/>
    <w:rsid w:val="00961F2F"/>
    <w:rsid w:val="009621E4"/>
    <w:rsid w:val="00962429"/>
    <w:rsid w:val="00963644"/>
    <w:rsid w:val="0096451A"/>
    <w:rsid w:val="00964583"/>
    <w:rsid w:val="00964775"/>
    <w:rsid w:val="00964ACE"/>
    <w:rsid w:val="009659F8"/>
    <w:rsid w:val="009660FF"/>
    <w:rsid w:val="0096616D"/>
    <w:rsid w:val="009664CB"/>
    <w:rsid w:val="00966CC0"/>
    <w:rsid w:val="009671A1"/>
    <w:rsid w:val="0097179C"/>
    <w:rsid w:val="0097191C"/>
    <w:rsid w:val="0097198A"/>
    <w:rsid w:val="00971B84"/>
    <w:rsid w:val="00971FC8"/>
    <w:rsid w:val="009734BF"/>
    <w:rsid w:val="00973612"/>
    <w:rsid w:val="009737F3"/>
    <w:rsid w:val="00973917"/>
    <w:rsid w:val="00973C3E"/>
    <w:rsid w:val="0097420B"/>
    <w:rsid w:val="00974ACC"/>
    <w:rsid w:val="00974C49"/>
    <w:rsid w:val="00974EE4"/>
    <w:rsid w:val="009754CE"/>
    <w:rsid w:val="009756B6"/>
    <w:rsid w:val="00975EF7"/>
    <w:rsid w:val="00976A74"/>
    <w:rsid w:val="009774BE"/>
    <w:rsid w:val="00977A70"/>
    <w:rsid w:val="00980140"/>
    <w:rsid w:val="009801D6"/>
    <w:rsid w:val="0098027F"/>
    <w:rsid w:val="009802D1"/>
    <w:rsid w:val="0098050A"/>
    <w:rsid w:val="00980592"/>
    <w:rsid w:val="009806B0"/>
    <w:rsid w:val="009807B8"/>
    <w:rsid w:val="00981E56"/>
    <w:rsid w:val="00982064"/>
    <w:rsid w:val="00982142"/>
    <w:rsid w:val="00982267"/>
    <w:rsid w:val="00982639"/>
    <w:rsid w:val="00982BCF"/>
    <w:rsid w:val="00982EEA"/>
    <w:rsid w:val="00982F82"/>
    <w:rsid w:val="009831E2"/>
    <w:rsid w:val="00983255"/>
    <w:rsid w:val="00983D12"/>
    <w:rsid w:val="00983E5F"/>
    <w:rsid w:val="00984B42"/>
    <w:rsid w:val="00985051"/>
    <w:rsid w:val="00985C80"/>
    <w:rsid w:val="00985DA2"/>
    <w:rsid w:val="0098660C"/>
    <w:rsid w:val="00986765"/>
    <w:rsid w:val="009867E7"/>
    <w:rsid w:val="00987028"/>
    <w:rsid w:val="00987DF4"/>
    <w:rsid w:val="00987FDA"/>
    <w:rsid w:val="00990175"/>
    <w:rsid w:val="00990CAE"/>
    <w:rsid w:val="00990FEA"/>
    <w:rsid w:val="009919E9"/>
    <w:rsid w:val="00991ED6"/>
    <w:rsid w:val="009920A0"/>
    <w:rsid w:val="00992E8A"/>
    <w:rsid w:val="00992E8D"/>
    <w:rsid w:val="009937FD"/>
    <w:rsid w:val="00994F4D"/>
    <w:rsid w:val="0099582B"/>
    <w:rsid w:val="00995DAF"/>
    <w:rsid w:val="00995E94"/>
    <w:rsid w:val="00995FC3"/>
    <w:rsid w:val="00996AA6"/>
    <w:rsid w:val="00997230"/>
    <w:rsid w:val="009A0274"/>
    <w:rsid w:val="009A035E"/>
    <w:rsid w:val="009A0B9D"/>
    <w:rsid w:val="009A0C64"/>
    <w:rsid w:val="009A0E15"/>
    <w:rsid w:val="009A18AB"/>
    <w:rsid w:val="009A1C75"/>
    <w:rsid w:val="009A2533"/>
    <w:rsid w:val="009A2D7C"/>
    <w:rsid w:val="009A2F67"/>
    <w:rsid w:val="009A30CD"/>
    <w:rsid w:val="009A30FE"/>
    <w:rsid w:val="009A3FE3"/>
    <w:rsid w:val="009A4644"/>
    <w:rsid w:val="009A468E"/>
    <w:rsid w:val="009A48A4"/>
    <w:rsid w:val="009A4908"/>
    <w:rsid w:val="009A4A3E"/>
    <w:rsid w:val="009A5A31"/>
    <w:rsid w:val="009A6258"/>
    <w:rsid w:val="009A6B3A"/>
    <w:rsid w:val="009A7442"/>
    <w:rsid w:val="009A76F7"/>
    <w:rsid w:val="009B01CF"/>
    <w:rsid w:val="009B02DB"/>
    <w:rsid w:val="009B04BE"/>
    <w:rsid w:val="009B0A50"/>
    <w:rsid w:val="009B15C6"/>
    <w:rsid w:val="009B1DA0"/>
    <w:rsid w:val="009B1F5D"/>
    <w:rsid w:val="009B2407"/>
    <w:rsid w:val="009B2D5B"/>
    <w:rsid w:val="009B34FC"/>
    <w:rsid w:val="009B3BC3"/>
    <w:rsid w:val="009B3BEA"/>
    <w:rsid w:val="009B41BA"/>
    <w:rsid w:val="009B44F0"/>
    <w:rsid w:val="009B545D"/>
    <w:rsid w:val="009B5957"/>
    <w:rsid w:val="009B5C0B"/>
    <w:rsid w:val="009B5C8C"/>
    <w:rsid w:val="009B6013"/>
    <w:rsid w:val="009B7273"/>
    <w:rsid w:val="009B7356"/>
    <w:rsid w:val="009B76DB"/>
    <w:rsid w:val="009B7FAC"/>
    <w:rsid w:val="009C0126"/>
    <w:rsid w:val="009C03C5"/>
    <w:rsid w:val="009C0C99"/>
    <w:rsid w:val="009C1122"/>
    <w:rsid w:val="009C1840"/>
    <w:rsid w:val="009C1B99"/>
    <w:rsid w:val="009C1DC2"/>
    <w:rsid w:val="009C315D"/>
    <w:rsid w:val="009C323A"/>
    <w:rsid w:val="009C3A70"/>
    <w:rsid w:val="009C3AE8"/>
    <w:rsid w:val="009C4087"/>
    <w:rsid w:val="009C4959"/>
    <w:rsid w:val="009C4CFF"/>
    <w:rsid w:val="009C5961"/>
    <w:rsid w:val="009C674C"/>
    <w:rsid w:val="009C6DB6"/>
    <w:rsid w:val="009C76A3"/>
    <w:rsid w:val="009C79E5"/>
    <w:rsid w:val="009C7ACB"/>
    <w:rsid w:val="009C7C85"/>
    <w:rsid w:val="009D03F6"/>
    <w:rsid w:val="009D0701"/>
    <w:rsid w:val="009D1578"/>
    <w:rsid w:val="009D2372"/>
    <w:rsid w:val="009D366D"/>
    <w:rsid w:val="009D485D"/>
    <w:rsid w:val="009D5416"/>
    <w:rsid w:val="009D6353"/>
    <w:rsid w:val="009D6B28"/>
    <w:rsid w:val="009D6CF0"/>
    <w:rsid w:val="009D6E22"/>
    <w:rsid w:val="009D71D1"/>
    <w:rsid w:val="009D7591"/>
    <w:rsid w:val="009D75A9"/>
    <w:rsid w:val="009D7906"/>
    <w:rsid w:val="009E0A40"/>
    <w:rsid w:val="009E153F"/>
    <w:rsid w:val="009E19AE"/>
    <w:rsid w:val="009E1E60"/>
    <w:rsid w:val="009E1F86"/>
    <w:rsid w:val="009E2AAB"/>
    <w:rsid w:val="009E3112"/>
    <w:rsid w:val="009E34B7"/>
    <w:rsid w:val="009E434B"/>
    <w:rsid w:val="009E480B"/>
    <w:rsid w:val="009E4986"/>
    <w:rsid w:val="009E4C2E"/>
    <w:rsid w:val="009E5772"/>
    <w:rsid w:val="009E5BAE"/>
    <w:rsid w:val="009E5BF5"/>
    <w:rsid w:val="009E5D18"/>
    <w:rsid w:val="009E5EC1"/>
    <w:rsid w:val="009E5F8E"/>
    <w:rsid w:val="009E6485"/>
    <w:rsid w:val="009E648E"/>
    <w:rsid w:val="009E65CA"/>
    <w:rsid w:val="009E699D"/>
    <w:rsid w:val="009F1904"/>
    <w:rsid w:val="009F209E"/>
    <w:rsid w:val="009F21A0"/>
    <w:rsid w:val="009F2446"/>
    <w:rsid w:val="009F2450"/>
    <w:rsid w:val="009F2516"/>
    <w:rsid w:val="009F259C"/>
    <w:rsid w:val="009F29FF"/>
    <w:rsid w:val="009F2BF4"/>
    <w:rsid w:val="009F2C12"/>
    <w:rsid w:val="009F2F47"/>
    <w:rsid w:val="009F385D"/>
    <w:rsid w:val="009F48AF"/>
    <w:rsid w:val="009F4B7F"/>
    <w:rsid w:val="009F555E"/>
    <w:rsid w:val="009F5C78"/>
    <w:rsid w:val="009F5E9D"/>
    <w:rsid w:val="009F5F56"/>
    <w:rsid w:val="009F697A"/>
    <w:rsid w:val="009F6DAC"/>
    <w:rsid w:val="009F7274"/>
    <w:rsid w:val="009F7309"/>
    <w:rsid w:val="009F763F"/>
    <w:rsid w:val="009F7748"/>
    <w:rsid w:val="009F7802"/>
    <w:rsid w:val="009F78B7"/>
    <w:rsid w:val="009F791B"/>
    <w:rsid w:val="009F79D5"/>
    <w:rsid w:val="009F7D96"/>
    <w:rsid w:val="00A007E7"/>
    <w:rsid w:val="00A00F2E"/>
    <w:rsid w:val="00A0109E"/>
    <w:rsid w:val="00A0110C"/>
    <w:rsid w:val="00A016A7"/>
    <w:rsid w:val="00A01E64"/>
    <w:rsid w:val="00A02992"/>
    <w:rsid w:val="00A03470"/>
    <w:rsid w:val="00A035DE"/>
    <w:rsid w:val="00A035EA"/>
    <w:rsid w:val="00A03E2D"/>
    <w:rsid w:val="00A04331"/>
    <w:rsid w:val="00A04F59"/>
    <w:rsid w:val="00A05597"/>
    <w:rsid w:val="00A05B20"/>
    <w:rsid w:val="00A05CC6"/>
    <w:rsid w:val="00A070DE"/>
    <w:rsid w:val="00A0718D"/>
    <w:rsid w:val="00A07468"/>
    <w:rsid w:val="00A0797A"/>
    <w:rsid w:val="00A07FED"/>
    <w:rsid w:val="00A100A1"/>
    <w:rsid w:val="00A105EC"/>
    <w:rsid w:val="00A10896"/>
    <w:rsid w:val="00A10C0A"/>
    <w:rsid w:val="00A10D95"/>
    <w:rsid w:val="00A11019"/>
    <w:rsid w:val="00A114E5"/>
    <w:rsid w:val="00A115CB"/>
    <w:rsid w:val="00A116B1"/>
    <w:rsid w:val="00A11A73"/>
    <w:rsid w:val="00A11A7E"/>
    <w:rsid w:val="00A11C67"/>
    <w:rsid w:val="00A11F1D"/>
    <w:rsid w:val="00A121D9"/>
    <w:rsid w:val="00A1253F"/>
    <w:rsid w:val="00A12ACB"/>
    <w:rsid w:val="00A13C50"/>
    <w:rsid w:val="00A142CF"/>
    <w:rsid w:val="00A14331"/>
    <w:rsid w:val="00A145EB"/>
    <w:rsid w:val="00A14987"/>
    <w:rsid w:val="00A14AB2"/>
    <w:rsid w:val="00A14AC9"/>
    <w:rsid w:val="00A159CA"/>
    <w:rsid w:val="00A175A7"/>
    <w:rsid w:val="00A17608"/>
    <w:rsid w:val="00A177D9"/>
    <w:rsid w:val="00A1787D"/>
    <w:rsid w:val="00A17D5B"/>
    <w:rsid w:val="00A20573"/>
    <w:rsid w:val="00A207FA"/>
    <w:rsid w:val="00A20C94"/>
    <w:rsid w:val="00A21374"/>
    <w:rsid w:val="00A21C4C"/>
    <w:rsid w:val="00A220B7"/>
    <w:rsid w:val="00A227D6"/>
    <w:rsid w:val="00A227E7"/>
    <w:rsid w:val="00A22A71"/>
    <w:rsid w:val="00A22D55"/>
    <w:rsid w:val="00A22F6E"/>
    <w:rsid w:val="00A23736"/>
    <w:rsid w:val="00A239DB"/>
    <w:rsid w:val="00A24008"/>
    <w:rsid w:val="00A24078"/>
    <w:rsid w:val="00A2475E"/>
    <w:rsid w:val="00A251F2"/>
    <w:rsid w:val="00A258E0"/>
    <w:rsid w:val="00A25FCF"/>
    <w:rsid w:val="00A269B5"/>
    <w:rsid w:val="00A26A3F"/>
    <w:rsid w:val="00A2726D"/>
    <w:rsid w:val="00A30627"/>
    <w:rsid w:val="00A30B6C"/>
    <w:rsid w:val="00A31498"/>
    <w:rsid w:val="00A31D99"/>
    <w:rsid w:val="00A31F37"/>
    <w:rsid w:val="00A3244C"/>
    <w:rsid w:val="00A32555"/>
    <w:rsid w:val="00A32E59"/>
    <w:rsid w:val="00A33017"/>
    <w:rsid w:val="00A333C1"/>
    <w:rsid w:val="00A33D5D"/>
    <w:rsid w:val="00A33E4D"/>
    <w:rsid w:val="00A346EE"/>
    <w:rsid w:val="00A34995"/>
    <w:rsid w:val="00A34B14"/>
    <w:rsid w:val="00A34C32"/>
    <w:rsid w:val="00A34DDE"/>
    <w:rsid w:val="00A34EAB"/>
    <w:rsid w:val="00A350EA"/>
    <w:rsid w:val="00A35948"/>
    <w:rsid w:val="00A3594F"/>
    <w:rsid w:val="00A35BF0"/>
    <w:rsid w:val="00A35D94"/>
    <w:rsid w:val="00A362F7"/>
    <w:rsid w:val="00A36940"/>
    <w:rsid w:val="00A36990"/>
    <w:rsid w:val="00A36EBD"/>
    <w:rsid w:val="00A37C51"/>
    <w:rsid w:val="00A40F98"/>
    <w:rsid w:val="00A4174E"/>
    <w:rsid w:val="00A42AD8"/>
    <w:rsid w:val="00A4350C"/>
    <w:rsid w:val="00A43813"/>
    <w:rsid w:val="00A439B7"/>
    <w:rsid w:val="00A43D47"/>
    <w:rsid w:val="00A44090"/>
    <w:rsid w:val="00A440A6"/>
    <w:rsid w:val="00A44A4B"/>
    <w:rsid w:val="00A45121"/>
    <w:rsid w:val="00A45B00"/>
    <w:rsid w:val="00A4618D"/>
    <w:rsid w:val="00A464E1"/>
    <w:rsid w:val="00A46C4E"/>
    <w:rsid w:val="00A46D95"/>
    <w:rsid w:val="00A46F53"/>
    <w:rsid w:val="00A47081"/>
    <w:rsid w:val="00A47480"/>
    <w:rsid w:val="00A47E8C"/>
    <w:rsid w:val="00A50F9A"/>
    <w:rsid w:val="00A51BC0"/>
    <w:rsid w:val="00A5298C"/>
    <w:rsid w:val="00A52AD0"/>
    <w:rsid w:val="00A53497"/>
    <w:rsid w:val="00A535A7"/>
    <w:rsid w:val="00A536CB"/>
    <w:rsid w:val="00A542F8"/>
    <w:rsid w:val="00A54524"/>
    <w:rsid w:val="00A55A47"/>
    <w:rsid w:val="00A55AE0"/>
    <w:rsid w:val="00A56DF0"/>
    <w:rsid w:val="00A574BF"/>
    <w:rsid w:val="00A5790F"/>
    <w:rsid w:val="00A579F8"/>
    <w:rsid w:val="00A57EB9"/>
    <w:rsid w:val="00A605E1"/>
    <w:rsid w:val="00A60C15"/>
    <w:rsid w:val="00A60F08"/>
    <w:rsid w:val="00A6101C"/>
    <w:rsid w:val="00A61C56"/>
    <w:rsid w:val="00A6204A"/>
    <w:rsid w:val="00A62093"/>
    <w:rsid w:val="00A6310C"/>
    <w:rsid w:val="00A6316B"/>
    <w:rsid w:val="00A631ED"/>
    <w:rsid w:val="00A63679"/>
    <w:rsid w:val="00A639BE"/>
    <w:rsid w:val="00A63A8F"/>
    <w:rsid w:val="00A64389"/>
    <w:rsid w:val="00A64797"/>
    <w:rsid w:val="00A64817"/>
    <w:rsid w:val="00A66BE3"/>
    <w:rsid w:val="00A67102"/>
    <w:rsid w:val="00A67F2A"/>
    <w:rsid w:val="00A70347"/>
    <w:rsid w:val="00A718A6"/>
    <w:rsid w:val="00A71CDE"/>
    <w:rsid w:val="00A72306"/>
    <w:rsid w:val="00A7252E"/>
    <w:rsid w:val="00A72BBC"/>
    <w:rsid w:val="00A72E18"/>
    <w:rsid w:val="00A730F3"/>
    <w:rsid w:val="00A73C89"/>
    <w:rsid w:val="00A746A3"/>
    <w:rsid w:val="00A74BE6"/>
    <w:rsid w:val="00A754C4"/>
    <w:rsid w:val="00A7557C"/>
    <w:rsid w:val="00A758A4"/>
    <w:rsid w:val="00A75A61"/>
    <w:rsid w:val="00A75BA0"/>
    <w:rsid w:val="00A75FDF"/>
    <w:rsid w:val="00A768A2"/>
    <w:rsid w:val="00A76A55"/>
    <w:rsid w:val="00A773B4"/>
    <w:rsid w:val="00A80733"/>
    <w:rsid w:val="00A80948"/>
    <w:rsid w:val="00A81811"/>
    <w:rsid w:val="00A8234E"/>
    <w:rsid w:val="00A82CC3"/>
    <w:rsid w:val="00A833A3"/>
    <w:rsid w:val="00A835E5"/>
    <w:rsid w:val="00A83768"/>
    <w:rsid w:val="00A84373"/>
    <w:rsid w:val="00A8456A"/>
    <w:rsid w:val="00A845ED"/>
    <w:rsid w:val="00A859F5"/>
    <w:rsid w:val="00A867C8"/>
    <w:rsid w:val="00A867CD"/>
    <w:rsid w:val="00A86F87"/>
    <w:rsid w:val="00A87161"/>
    <w:rsid w:val="00A874D6"/>
    <w:rsid w:val="00A87C01"/>
    <w:rsid w:val="00A902A7"/>
    <w:rsid w:val="00A90327"/>
    <w:rsid w:val="00A904AB"/>
    <w:rsid w:val="00A90DEF"/>
    <w:rsid w:val="00A90E27"/>
    <w:rsid w:val="00A913D1"/>
    <w:rsid w:val="00A91FE5"/>
    <w:rsid w:val="00A92F34"/>
    <w:rsid w:val="00A93154"/>
    <w:rsid w:val="00A93214"/>
    <w:rsid w:val="00A93ABB"/>
    <w:rsid w:val="00A93C27"/>
    <w:rsid w:val="00A93C2B"/>
    <w:rsid w:val="00A94865"/>
    <w:rsid w:val="00A94D8C"/>
    <w:rsid w:val="00A9598F"/>
    <w:rsid w:val="00A95B4F"/>
    <w:rsid w:val="00A96FC0"/>
    <w:rsid w:val="00A97BFA"/>
    <w:rsid w:val="00AA007C"/>
    <w:rsid w:val="00AA0B30"/>
    <w:rsid w:val="00AA20ED"/>
    <w:rsid w:val="00AA25C9"/>
    <w:rsid w:val="00AA3676"/>
    <w:rsid w:val="00AA3726"/>
    <w:rsid w:val="00AA40AA"/>
    <w:rsid w:val="00AA4F09"/>
    <w:rsid w:val="00AA62A1"/>
    <w:rsid w:val="00AA64E9"/>
    <w:rsid w:val="00AA67F0"/>
    <w:rsid w:val="00AA7897"/>
    <w:rsid w:val="00AA7A72"/>
    <w:rsid w:val="00AA7DCE"/>
    <w:rsid w:val="00AA7F8C"/>
    <w:rsid w:val="00AA7FA5"/>
    <w:rsid w:val="00AB0725"/>
    <w:rsid w:val="00AB0807"/>
    <w:rsid w:val="00AB0C5B"/>
    <w:rsid w:val="00AB0FB2"/>
    <w:rsid w:val="00AB10E3"/>
    <w:rsid w:val="00AB18AB"/>
    <w:rsid w:val="00AB1FAD"/>
    <w:rsid w:val="00AB26FB"/>
    <w:rsid w:val="00AB2AF8"/>
    <w:rsid w:val="00AB32A1"/>
    <w:rsid w:val="00AB37FD"/>
    <w:rsid w:val="00AB41AF"/>
    <w:rsid w:val="00AB42BB"/>
    <w:rsid w:val="00AB4316"/>
    <w:rsid w:val="00AB4B6A"/>
    <w:rsid w:val="00AB502F"/>
    <w:rsid w:val="00AB50C3"/>
    <w:rsid w:val="00AB562B"/>
    <w:rsid w:val="00AB57D9"/>
    <w:rsid w:val="00AB6F61"/>
    <w:rsid w:val="00AB7601"/>
    <w:rsid w:val="00AB7957"/>
    <w:rsid w:val="00AB7A15"/>
    <w:rsid w:val="00AC0BD8"/>
    <w:rsid w:val="00AC1E53"/>
    <w:rsid w:val="00AC2F56"/>
    <w:rsid w:val="00AC3669"/>
    <w:rsid w:val="00AC40D8"/>
    <w:rsid w:val="00AC42FA"/>
    <w:rsid w:val="00AC455C"/>
    <w:rsid w:val="00AC45CA"/>
    <w:rsid w:val="00AC4D66"/>
    <w:rsid w:val="00AC5C0E"/>
    <w:rsid w:val="00AC5FCE"/>
    <w:rsid w:val="00AC615E"/>
    <w:rsid w:val="00AC62B7"/>
    <w:rsid w:val="00AC692A"/>
    <w:rsid w:val="00AC6BDA"/>
    <w:rsid w:val="00AC6E20"/>
    <w:rsid w:val="00AC749B"/>
    <w:rsid w:val="00AC7A38"/>
    <w:rsid w:val="00AD0404"/>
    <w:rsid w:val="00AD07F1"/>
    <w:rsid w:val="00AD1F02"/>
    <w:rsid w:val="00AD20E0"/>
    <w:rsid w:val="00AD280C"/>
    <w:rsid w:val="00AD2BE1"/>
    <w:rsid w:val="00AD3477"/>
    <w:rsid w:val="00AD3491"/>
    <w:rsid w:val="00AD3C49"/>
    <w:rsid w:val="00AD3D21"/>
    <w:rsid w:val="00AD68F8"/>
    <w:rsid w:val="00AD692B"/>
    <w:rsid w:val="00AD74BD"/>
    <w:rsid w:val="00AD7E1C"/>
    <w:rsid w:val="00AE08FD"/>
    <w:rsid w:val="00AE0B68"/>
    <w:rsid w:val="00AE0CA2"/>
    <w:rsid w:val="00AE10CD"/>
    <w:rsid w:val="00AE13BB"/>
    <w:rsid w:val="00AE1499"/>
    <w:rsid w:val="00AE2D0A"/>
    <w:rsid w:val="00AE3725"/>
    <w:rsid w:val="00AE448F"/>
    <w:rsid w:val="00AE4A88"/>
    <w:rsid w:val="00AE4E58"/>
    <w:rsid w:val="00AE4F14"/>
    <w:rsid w:val="00AE5139"/>
    <w:rsid w:val="00AE54FA"/>
    <w:rsid w:val="00AE5C8B"/>
    <w:rsid w:val="00AE64DD"/>
    <w:rsid w:val="00AE65CA"/>
    <w:rsid w:val="00AE6800"/>
    <w:rsid w:val="00AE6CDA"/>
    <w:rsid w:val="00AE72FC"/>
    <w:rsid w:val="00AE7389"/>
    <w:rsid w:val="00AE751E"/>
    <w:rsid w:val="00AE7E09"/>
    <w:rsid w:val="00AF000E"/>
    <w:rsid w:val="00AF16A0"/>
    <w:rsid w:val="00AF17A5"/>
    <w:rsid w:val="00AF1E36"/>
    <w:rsid w:val="00AF239F"/>
    <w:rsid w:val="00AF23AA"/>
    <w:rsid w:val="00AF23C2"/>
    <w:rsid w:val="00AF3040"/>
    <w:rsid w:val="00AF31DB"/>
    <w:rsid w:val="00AF39BC"/>
    <w:rsid w:val="00AF44E0"/>
    <w:rsid w:val="00AF4979"/>
    <w:rsid w:val="00AF51E5"/>
    <w:rsid w:val="00AF52E7"/>
    <w:rsid w:val="00AF575D"/>
    <w:rsid w:val="00AF5D55"/>
    <w:rsid w:val="00AF605B"/>
    <w:rsid w:val="00AF62CE"/>
    <w:rsid w:val="00AF6749"/>
    <w:rsid w:val="00AF741B"/>
    <w:rsid w:val="00AF7453"/>
    <w:rsid w:val="00AF7C3D"/>
    <w:rsid w:val="00AF7E72"/>
    <w:rsid w:val="00AF7F12"/>
    <w:rsid w:val="00B00223"/>
    <w:rsid w:val="00B00C97"/>
    <w:rsid w:val="00B00E2D"/>
    <w:rsid w:val="00B0115C"/>
    <w:rsid w:val="00B01F83"/>
    <w:rsid w:val="00B01FA9"/>
    <w:rsid w:val="00B02BD8"/>
    <w:rsid w:val="00B0328C"/>
    <w:rsid w:val="00B0338C"/>
    <w:rsid w:val="00B036CF"/>
    <w:rsid w:val="00B0396C"/>
    <w:rsid w:val="00B03F9B"/>
    <w:rsid w:val="00B0432F"/>
    <w:rsid w:val="00B043ED"/>
    <w:rsid w:val="00B054FF"/>
    <w:rsid w:val="00B05CB6"/>
    <w:rsid w:val="00B0633F"/>
    <w:rsid w:val="00B06DE5"/>
    <w:rsid w:val="00B070A0"/>
    <w:rsid w:val="00B07CC0"/>
    <w:rsid w:val="00B102F5"/>
    <w:rsid w:val="00B103E9"/>
    <w:rsid w:val="00B10BEF"/>
    <w:rsid w:val="00B10C2E"/>
    <w:rsid w:val="00B11539"/>
    <w:rsid w:val="00B11586"/>
    <w:rsid w:val="00B11E6D"/>
    <w:rsid w:val="00B11FA4"/>
    <w:rsid w:val="00B12242"/>
    <w:rsid w:val="00B13427"/>
    <w:rsid w:val="00B1393B"/>
    <w:rsid w:val="00B140D2"/>
    <w:rsid w:val="00B1462C"/>
    <w:rsid w:val="00B14CD1"/>
    <w:rsid w:val="00B15491"/>
    <w:rsid w:val="00B15580"/>
    <w:rsid w:val="00B1562F"/>
    <w:rsid w:val="00B16C77"/>
    <w:rsid w:val="00B16D0D"/>
    <w:rsid w:val="00B16D63"/>
    <w:rsid w:val="00B172E7"/>
    <w:rsid w:val="00B174AB"/>
    <w:rsid w:val="00B17629"/>
    <w:rsid w:val="00B2135F"/>
    <w:rsid w:val="00B214E4"/>
    <w:rsid w:val="00B21D6E"/>
    <w:rsid w:val="00B222B5"/>
    <w:rsid w:val="00B22C39"/>
    <w:rsid w:val="00B22D8C"/>
    <w:rsid w:val="00B22DE0"/>
    <w:rsid w:val="00B230F8"/>
    <w:rsid w:val="00B2352F"/>
    <w:rsid w:val="00B23D2D"/>
    <w:rsid w:val="00B24380"/>
    <w:rsid w:val="00B24FEA"/>
    <w:rsid w:val="00B25328"/>
    <w:rsid w:val="00B2540B"/>
    <w:rsid w:val="00B25426"/>
    <w:rsid w:val="00B258B5"/>
    <w:rsid w:val="00B25B94"/>
    <w:rsid w:val="00B25FE6"/>
    <w:rsid w:val="00B2603E"/>
    <w:rsid w:val="00B26397"/>
    <w:rsid w:val="00B26407"/>
    <w:rsid w:val="00B26CD6"/>
    <w:rsid w:val="00B27255"/>
    <w:rsid w:val="00B2749B"/>
    <w:rsid w:val="00B2763A"/>
    <w:rsid w:val="00B27A0A"/>
    <w:rsid w:val="00B30160"/>
    <w:rsid w:val="00B301E2"/>
    <w:rsid w:val="00B302B8"/>
    <w:rsid w:val="00B3068C"/>
    <w:rsid w:val="00B314D4"/>
    <w:rsid w:val="00B317DC"/>
    <w:rsid w:val="00B31A2F"/>
    <w:rsid w:val="00B31E48"/>
    <w:rsid w:val="00B327F4"/>
    <w:rsid w:val="00B32D08"/>
    <w:rsid w:val="00B32F4E"/>
    <w:rsid w:val="00B3322F"/>
    <w:rsid w:val="00B334B1"/>
    <w:rsid w:val="00B339CE"/>
    <w:rsid w:val="00B33E53"/>
    <w:rsid w:val="00B3426C"/>
    <w:rsid w:val="00B346E2"/>
    <w:rsid w:val="00B35631"/>
    <w:rsid w:val="00B3586B"/>
    <w:rsid w:val="00B3587C"/>
    <w:rsid w:val="00B35902"/>
    <w:rsid w:val="00B35B04"/>
    <w:rsid w:val="00B36E10"/>
    <w:rsid w:val="00B36E89"/>
    <w:rsid w:val="00B37246"/>
    <w:rsid w:val="00B3733C"/>
    <w:rsid w:val="00B3775E"/>
    <w:rsid w:val="00B37810"/>
    <w:rsid w:val="00B37B94"/>
    <w:rsid w:val="00B37E95"/>
    <w:rsid w:val="00B37FC0"/>
    <w:rsid w:val="00B4097F"/>
    <w:rsid w:val="00B410B3"/>
    <w:rsid w:val="00B4190C"/>
    <w:rsid w:val="00B41956"/>
    <w:rsid w:val="00B42A22"/>
    <w:rsid w:val="00B43539"/>
    <w:rsid w:val="00B43B71"/>
    <w:rsid w:val="00B43F67"/>
    <w:rsid w:val="00B45359"/>
    <w:rsid w:val="00B45535"/>
    <w:rsid w:val="00B4553C"/>
    <w:rsid w:val="00B4572C"/>
    <w:rsid w:val="00B4592A"/>
    <w:rsid w:val="00B459C8"/>
    <w:rsid w:val="00B45BAB"/>
    <w:rsid w:val="00B46739"/>
    <w:rsid w:val="00B46975"/>
    <w:rsid w:val="00B472EC"/>
    <w:rsid w:val="00B4777F"/>
    <w:rsid w:val="00B51611"/>
    <w:rsid w:val="00B518C6"/>
    <w:rsid w:val="00B52046"/>
    <w:rsid w:val="00B5259A"/>
    <w:rsid w:val="00B52CB1"/>
    <w:rsid w:val="00B53A25"/>
    <w:rsid w:val="00B53B6D"/>
    <w:rsid w:val="00B53C9A"/>
    <w:rsid w:val="00B53D31"/>
    <w:rsid w:val="00B54F0D"/>
    <w:rsid w:val="00B553DF"/>
    <w:rsid w:val="00B5563C"/>
    <w:rsid w:val="00B55939"/>
    <w:rsid w:val="00B56301"/>
    <w:rsid w:val="00B57469"/>
    <w:rsid w:val="00B57CDA"/>
    <w:rsid w:val="00B57D54"/>
    <w:rsid w:val="00B60946"/>
    <w:rsid w:val="00B609C3"/>
    <w:rsid w:val="00B609D4"/>
    <w:rsid w:val="00B60C95"/>
    <w:rsid w:val="00B60FB5"/>
    <w:rsid w:val="00B62014"/>
    <w:rsid w:val="00B629C9"/>
    <w:rsid w:val="00B63426"/>
    <w:rsid w:val="00B63656"/>
    <w:rsid w:val="00B63F21"/>
    <w:rsid w:val="00B63FB6"/>
    <w:rsid w:val="00B64086"/>
    <w:rsid w:val="00B64519"/>
    <w:rsid w:val="00B64541"/>
    <w:rsid w:val="00B6456D"/>
    <w:rsid w:val="00B64BD0"/>
    <w:rsid w:val="00B64DCA"/>
    <w:rsid w:val="00B64FCD"/>
    <w:rsid w:val="00B65C38"/>
    <w:rsid w:val="00B65CBD"/>
    <w:rsid w:val="00B660D9"/>
    <w:rsid w:val="00B667B1"/>
    <w:rsid w:val="00B66802"/>
    <w:rsid w:val="00B67453"/>
    <w:rsid w:val="00B675F7"/>
    <w:rsid w:val="00B677EA"/>
    <w:rsid w:val="00B67A78"/>
    <w:rsid w:val="00B707BA"/>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645"/>
    <w:rsid w:val="00B80A5E"/>
    <w:rsid w:val="00B80F1F"/>
    <w:rsid w:val="00B813C8"/>
    <w:rsid w:val="00B8146F"/>
    <w:rsid w:val="00B8167D"/>
    <w:rsid w:val="00B82C49"/>
    <w:rsid w:val="00B82D90"/>
    <w:rsid w:val="00B82FB4"/>
    <w:rsid w:val="00B83B69"/>
    <w:rsid w:val="00B83DFC"/>
    <w:rsid w:val="00B83F10"/>
    <w:rsid w:val="00B8406A"/>
    <w:rsid w:val="00B84439"/>
    <w:rsid w:val="00B8654A"/>
    <w:rsid w:val="00B86589"/>
    <w:rsid w:val="00B865EE"/>
    <w:rsid w:val="00B86B7E"/>
    <w:rsid w:val="00B8769D"/>
    <w:rsid w:val="00B87BE1"/>
    <w:rsid w:val="00B87DD5"/>
    <w:rsid w:val="00B90F96"/>
    <w:rsid w:val="00B9219F"/>
    <w:rsid w:val="00B926CB"/>
    <w:rsid w:val="00B92BB9"/>
    <w:rsid w:val="00B92FBB"/>
    <w:rsid w:val="00B933B2"/>
    <w:rsid w:val="00B936CB"/>
    <w:rsid w:val="00B93BDF"/>
    <w:rsid w:val="00B93CAF"/>
    <w:rsid w:val="00B941B6"/>
    <w:rsid w:val="00B94A06"/>
    <w:rsid w:val="00B952E7"/>
    <w:rsid w:val="00B95B2F"/>
    <w:rsid w:val="00B95B37"/>
    <w:rsid w:val="00B95E21"/>
    <w:rsid w:val="00B95E9C"/>
    <w:rsid w:val="00B97356"/>
    <w:rsid w:val="00B97A6D"/>
    <w:rsid w:val="00BA0391"/>
    <w:rsid w:val="00BA060B"/>
    <w:rsid w:val="00BA0710"/>
    <w:rsid w:val="00BA0D90"/>
    <w:rsid w:val="00BA0DCD"/>
    <w:rsid w:val="00BA22BB"/>
    <w:rsid w:val="00BA2423"/>
    <w:rsid w:val="00BA249D"/>
    <w:rsid w:val="00BA34B1"/>
    <w:rsid w:val="00BA382E"/>
    <w:rsid w:val="00BA3830"/>
    <w:rsid w:val="00BA41E7"/>
    <w:rsid w:val="00BA42E0"/>
    <w:rsid w:val="00BA5792"/>
    <w:rsid w:val="00BA7701"/>
    <w:rsid w:val="00BA7A25"/>
    <w:rsid w:val="00BA7AF1"/>
    <w:rsid w:val="00BA7BAB"/>
    <w:rsid w:val="00BA7C02"/>
    <w:rsid w:val="00BA7C73"/>
    <w:rsid w:val="00BB00C3"/>
    <w:rsid w:val="00BB01F3"/>
    <w:rsid w:val="00BB073E"/>
    <w:rsid w:val="00BB0741"/>
    <w:rsid w:val="00BB17AD"/>
    <w:rsid w:val="00BB2428"/>
    <w:rsid w:val="00BB292D"/>
    <w:rsid w:val="00BB300F"/>
    <w:rsid w:val="00BB309F"/>
    <w:rsid w:val="00BB369B"/>
    <w:rsid w:val="00BB3919"/>
    <w:rsid w:val="00BB3A56"/>
    <w:rsid w:val="00BB3E2E"/>
    <w:rsid w:val="00BB49CB"/>
    <w:rsid w:val="00BB4CAE"/>
    <w:rsid w:val="00BB57B7"/>
    <w:rsid w:val="00BB67F1"/>
    <w:rsid w:val="00BB6A14"/>
    <w:rsid w:val="00BB79C2"/>
    <w:rsid w:val="00BB7E42"/>
    <w:rsid w:val="00BB7F0F"/>
    <w:rsid w:val="00BC0EC7"/>
    <w:rsid w:val="00BC1722"/>
    <w:rsid w:val="00BC194A"/>
    <w:rsid w:val="00BC1B69"/>
    <w:rsid w:val="00BC2214"/>
    <w:rsid w:val="00BC247C"/>
    <w:rsid w:val="00BC2825"/>
    <w:rsid w:val="00BC2E96"/>
    <w:rsid w:val="00BC365F"/>
    <w:rsid w:val="00BC3A31"/>
    <w:rsid w:val="00BC406F"/>
    <w:rsid w:val="00BC4C88"/>
    <w:rsid w:val="00BC4DFB"/>
    <w:rsid w:val="00BC59CA"/>
    <w:rsid w:val="00BC6970"/>
    <w:rsid w:val="00BC6BA8"/>
    <w:rsid w:val="00BC6D81"/>
    <w:rsid w:val="00BC6F87"/>
    <w:rsid w:val="00BC733D"/>
    <w:rsid w:val="00BC734E"/>
    <w:rsid w:val="00BC7713"/>
    <w:rsid w:val="00BC7C93"/>
    <w:rsid w:val="00BD0286"/>
    <w:rsid w:val="00BD0A29"/>
    <w:rsid w:val="00BD1B3F"/>
    <w:rsid w:val="00BD33A9"/>
    <w:rsid w:val="00BD33BE"/>
    <w:rsid w:val="00BD3623"/>
    <w:rsid w:val="00BD3792"/>
    <w:rsid w:val="00BD3C72"/>
    <w:rsid w:val="00BD4E12"/>
    <w:rsid w:val="00BD4F07"/>
    <w:rsid w:val="00BD56F8"/>
    <w:rsid w:val="00BD5D4E"/>
    <w:rsid w:val="00BD5F7E"/>
    <w:rsid w:val="00BD7991"/>
    <w:rsid w:val="00BD7E30"/>
    <w:rsid w:val="00BE0BDD"/>
    <w:rsid w:val="00BE1789"/>
    <w:rsid w:val="00BE21E3"/>
    <w:rsid w:val="00BE305B"/>
    <w:rsid w:val="00BE5C0F"/>
    <w:rsid w:val="00BE5C9E"/>
    <w:rsid w:val="00BE5F4E"/>
    <w:rsid w:val="00BE618A"/>
    <w:rsid w:val="00BE62B2"/>
    <w:rsid w:val="00BE6350"/>
    <w:rsid w:val="00BE67F1"/>
    <w:rsid w:val="00BE6FD8"/>
    <w:rsid w:val="00BE7287"/>
    <w:rsid w:val="00BE7964"/>
    <w:rsid w:val="00BE7C93"/>
    <w:rsid w:val="00BF0362"/>
    <w:rsid w:val="00BF0479"/>
    <w:rsid w:val="00BF0CDC"/>
    <w:rsid w:val="00BF0D73"/>
    <w:rsid w:val="00BF1069"/>
    <w:rsid w:val="00BF1A87"/>
    <w:rsid w:val="00BF1D23"/>
    <w:rsid w:val="00BF1F82"/>
    <w:rsid w:val="00BF2520"/>
    <w:rsid w:val="00BF3470"/>
    <w:rsid w:val="00BF3885"/>
    <w:rsid w:val="00BF3B94"/>
    <w:rsid w:val="00BF3FF8"/>
    <w:rsid w:val="00BF4C53"/>
    <w:rsid w:val="00BF54DC"/>
    <w:rsid w:val="00BF5748"/>
    <w:rsid w:val="00BF5B81"/>
    <w:rsid w:val="00BF6270"/>
    <w:rsid w:val="00BF67B7"/>
    <w:rsid w:val="00BF6A3C"/>
    <w:rsid w:val="00BF703E"/>
    <w:rsid w:val="00BF770B"/>
    <w:rsid w:val="00BF7802"/>
    <w:rsid w:val="00C007A6"/>
    <w:rsid w:val="00C01510"/>
    <w:rsid w:val="00C01CEB"/>
    <w:rsid w:val="00C01F6E"/>
    <w:rsid w:val="00C02B42"/>
    <w:rsid w:val="00C02BED"/>
    <w:rsid w:val="00C03249"/>
    <w:rsid w:val="00C036F7"/>
    <w:rsid w:val="00C03978"/>
    <w:rsid w:val="00C04BA2"/>
    <w:rsid w:val="00C04BAE"/>
    <w:rsid w:val="00C05362"/>
    <w:rsid w:val="00C05537"/>
    <w:rsid w:val="00C05896"/>
    <w:rsid w:val="00C0599A"/>
    <w:rsid w:val="00C05D89"/>
    <w:rsid w:val="00C06C42"/>
    <w:rsid w:val="00C06D80"/>
    <w:rsid w:val="00C06EB2"/>
    <w:rsid w:val="00C073DA"/>
    <w:rsid w:val="00C078C1"/>
    <w:rsid w:val="00C079DB"/>
    <w:rsid w:val="00C07A40"/>
    <w:rsid w:val="00C07C15"/>
    <w:rsid w:val="00C10B9B"/>
    <w:rsid w:val="00C10C30"/>
    <w:rsid w:val="00C1104C"/>
    <w:rsid w:val="00C11577"/>
    <w:rsid w:val="00C11990"/>
    <w:rsid w:val="00C11DC5"/>
    <w:rsid w:val="00C11F13"/>
    <w:rsid w:val="00C11F39"/>
    <w:rsid w:val="00C11F55"/>
    <w:rsid w:val="00C12249"/>
    <w:rsid w:val="00C1250E"/>
    <w:rsid w:val="00C1262D"/>
    <w:rsid w:val="00C138E7"/>
    <w:rsid w:val="00C139A1"/>
    <w:rsid w:val="00C13D15"/>
    <w:rsid w:val="00C1448C"/>
    <w:rsid w:val="00C14D7A"/>
    <w:rsid w:val="00C153BC"/>
    <w:rsid w:val="00C15FAD"/>
    <w:rsid w:val="00C16490"/>
    <w:rsid w:val="00C168E7"/>
    <w:rsid w:val="00C17059"/>
    <w:rsid w:val="00C17174"/>
    <w:rsid w:val="00C171C5"/>
    <w:rsid w:val="00C17B44"/>
    <w:rsid w:val="00C17F63"/>
    <w:rsid w:val="00C2041C"/>
    <w:rsid w:val="00C20869"/>
    <w:rsid w:val="00C20DC6"/>
    <w:rsid w:val="00C2113D"/>
    <w:rsid w:val="00C21363"/>
    <w:rsid w:val="00C215D1"/>
    <w:rsid w:val="00C21AE1"/>
    <w:rsid w:val="00C223D1"/>
    <w:rsid w:val="00C227C6"/>
    <w:rsid w:val="00C22816"/>
    <w:rsid w:val="00C22B32"/>
    <w:rsid w:val="00C230F6"/>
    <w:rsid w:val="00C23686"/>
    <w:rsid w:val="00C23F8A"/>
    <w:rsid w:val="00C244B3"/>
    <w:rsid w:val="00C24B05"/>
    <w:rsid w:val="00C24D07"/>
    <w:rsid w:val="00C25052"/>
    <w:rsid w:val="00C25D31"/>
    <w:rsid w:val="00C262C1"/>
    <w:rsid w:val="00C265D0"/>
    <w:rsid w:val="00C26FE5"/>
    <w:rsid w:val="00C3022B"/>
    <w:rsid w:val="00C30723"/>
    <w:rsid w:val="00C3137D"/>
    <w:rsid w:val="00C31756"/>
    <w:rsid w:val="00C31F7F"/>
    <w:rsid w:val="00C32186"/>
    <w:rsid w:val="00C335AE"/>
    <w:rsid w:val="00C34197"/>
    <w:rsid w:val="00C3427B"/>
    <w:rsid w:val="00C34E1F"/>
    <w:rsid w:val="00C35C70"/>
    <w:rsid w:val="00C35E26"/>
    <w:rsid w:val="00C3626A"/>
    <w:rsid w:val="00C36684"/>
    <w:rsid w:val="00C36DCC"/>
    <w:rsid w:val="00C36F0A"/>
    <w:rsid w:val="00C36F4F"/>
    <w:rsid w:val="00C372CB"/>
    <w:rsid w:val="00C37B23"/>
    <w:rsid w:val="00C4067A"/>
    <w:rsid w:val="00C41480"/>
    <w:rsid w:val="00C417F1"/>
    <w:rsid w:val="00C439E0"/>
    <w:rsid w:val="00C44052"/>
    <w:rsid w:val="00C44368"/>
    <w:rsid w:val="00C44D4E"/>
    <w:rsid w:val="00C46111"/>
    <w:rsid w:val="00C46816"/>
    <w:rsid w:val="00C46822"/>
    <w:rsid w:val="00C468CE"/>
    <w:rsid w:val="00C46CE5"/>
    <w:rsid w:val="00C4706F"/>
    <w:rsid w:val="00C47CFC"/>
    <w:rsid w:val="00C50206"/>
    <w:rsid w:val="00C50260"/>
    <w:rsid w:val="00C512B5"/>
    <w:rsid w:val="00C51395"/>
    <w:rsid w:val="00C51553"/>
    <w:rsid w:val="00C518A5"/>
    <w:rsid w:val="00C51A60"/>
    <w:rsid w:val="00C520E4"/>
    <w:rsid w:val="00C52334"/>
    <w:rsid w:val="00C5261F"/>
    <w:rsid w:val="00C52C65"/>
    <w:rsid w:val="00C53110"/>
    <w:rsid w:val="00C53B12"/>
    <w:rsid w:val="00C5406E"/>
    <w:rsid w:val="00C541B2"/>
    <w:rsid w:val="00C54928"/>
    <w:rsid w:val="00C54A44"/>
    <w:rsid w:val="00C54E2A"/>
    <w:rsid w:val="00C558CE"/>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728"/>
    <w:rsid w:val="00C658F4"/>
    <w:rsid w:val="00C65B6B"/>
    <w:rsid w:val="00C66492"/>
    <w:rsid w:val="00C664AB"/>
    <w:rsid w:val="00C66584"/>
    <w:rsid w:val="00C665A9"/>
    <w:rsid w:val="00C66705"/>
    <w:rsid w:val="00C66F33"/>
    <w:rsid w:val="00C67754"/>
    <w:rsid w:val="00C67D16"/>
    <w:rsid w:val="00C70254"/>
    <w:rsid w:val="00C703C0"/>
    <w:rsid w:val="00C706D1"/>
    <w:rsid w:val="00C70A4F"/>
    <w:rsid w:val="00C70FAE"/>
    <w:rsid w:val="00C7113D"/>
    <w:rsid w:val="00C71284"/>
    <w:rsid w:val="00C719C3"/>
    <w:rsid w:val="00C724F5"/>
    <w:rsid w:val="00C72987"/>
    <w:rsid w:val="00C72BA3"/>
    <w:rsid w:val="00C72DD5"/>
    <w:rsid w:val="00C733A6"/>
    <w:rsid w:val="00C737B0"/>
    <w:rsid w:val="00C73D39"/>
    <w:rsid w:val="00C744D7"/>
    <w:rsid w:val="00C760ED"/>
    <w:rsid w:val="00C76282"/>
    <w:rsid w:val="00C7675A"/>
    <w:rsid w:val="00C76D5D"/>
    <w:rsid w:val="00C76E9D"/>
    <w:rsid w:val="00C77906"/>
    <w:rsid w:val="00C80E18"/>
    <w:rsid w:val="00C816DF"/>
    <w:rsid w:val="00C820EE"/>
    <w:rsid w:val="00C82C1E"/>
    <w:rsid w:val="00C82CD4"/>
    <w:rsid w:val="00C84475"/>
    <w:rsid w:val="00C84713"/>
    <w:rsid w:val="00C84758"/>
    <w:rsid w:val="00C853AB"/>
    <w:rsid w:val="00C856EF"/>
    <w:rsid w:val="00C85CAC"/>
    <w:rsid w:val="00C85D45"/>
    <w:rsid w:val="00C85F72"/>
    <w:rsid w:val="00C85FB3"/>
    <w:rsid w:val="00C86896"/>
    <w:rsid w:val="00C8736D"/>
    <w:rsid w:val="00C875CF"/>
    <w:rsid w:val="00C876E1"/>
    <w:rsid w:val="00C90162"/>
    <w:rsid w:val="00C908A9"/>
    <w:rsid w:val="00C908BE"/>
    <w:rsid w:val="00C91507"/>
    <w:rsid w:val="00C929E1"/>
    <w:rsid w:val="00C92F67"/>
    <w:rsid w:val="00C93C36"/>
    <w:rsid w:val="00C940C2"/>
    <w:rsid w:val="00C944D1"/>
    <w:rsid w:val="00C952E2"/>
    <w:rsid w:val="00C952E9"/>
    <w:rsid w:val="00C95AC8"/>
    <w:rsid w:val="00C95AF0"/>
    <w:rsid w:val="00C95E95"/>
    <w:rsid w:val="00C962BE"/>
    <w:rsid w:val="00C9639C"/>
    <w:rsid w:val="00C96514"/>
    <w:rsid w:val="00C972A5"/>
    <w:rsid w:val="00C9760B"/>
    <w:rsid w:val="00C976E0"/>
    <w:rsid w:val="00C9796B"/>
    <w:rsid w:val="00C97C19"/>
    <w:rsid w:val="00CA0174"/>
    <w:rsid w:val="00CA018B"/>
    <w:rsid w:val="00CA05EE"/>
    <w:rsid w:val="00CA0C53"/>
    <w:rsid w:val="00CA0FB8"/>
    <w:rsid w:val="00CA105A"/>
    <w:rsid w:val="00CA1AE4"/>
    <w:rsid w:val="00CA1E0C"/>
    <w:rsid w:val="00CA1FA7"/>
    <w:rsid w:val="00CA20E3"/>
    <w:rsid w:val="00CA245C"/>
    <w:rsid w:val="00CA26EC"/>
    <w:rsid w:val="00CA3AC7"/>
    <w:rsid w:val="00CA423D"/>
    <w:rsid w:val="00CA4AAC"/>
    <w:rsid w:val="00CA4DA8"/>
    <w:rsid w:val="00CA5989"/>
    <w:rsid w:val="00CA5AF9"/>
    <w:rsid w:val="00CA5D0C"/>
    <w:rsid w:val="00CA5E13"/>
    <w:rsid w:val="00CA625D"/>
    <w:rsid w:val="00CA69FF"/>
    <w:rsid w:val="00CA6F73"/>
    <w:rsid w:val="00CA7A1F"/>
    <w:rsid w:val="00CA7DAF"/>
    <w:rsid w:val="00CB017E"/>
    <w:rsid w:val="00CB0226"/>
    <w:rsid w:val="00CB0717"/>
    <w:rsid w:val="00CB0A65"/>
    <w:rsid w:val="00CB0DC8"/>
    <w:rsid w:val="00CB0FDE"/>
    <w:rsid w:val="00CB1177"/>
    <w:rsid w:val="00CB1618"/>
    <w:rsid w:val="00CB1A88"/>
    <w:rsid w:val="00CB277F"/>
    <w:rsid w:val="00CB2809"/>
    <w:rsid w:val="00CB328B"/>
    <w:rsid w:val="00CB3318"/>
    <w:rsid w:val="00CB3628"/>
    <w:rsid w:val="00CB3CED"/>
    <w:rsid w:val="00CB407C"/>
    <w:rsid w:val="00CB46B4"/>
    <w:rsid w:val="00CB4940"/>
    <w:rsid w:val="00CB4A70"/>
    <w:rsid w:val="00CB5D5B"/>
    <w:rsid w:val="00CB6E94"/>
    <w:rsid w:val="00CB7060"/>
    <w:rsid w:val="00CB763C"/>
    <w:rsid w:val="00CB77F2"/>
    <w:rsid w:val="00CB7DD6"/>
    <w:rsid w:val="00CC0438"/>
    <w:rsid w:val="00CC0563"/>
    <w:rsid w:val="00CC0C66"/>
    <w:rsid w:val="00CC140D"/>
    <w:rsid w:val="00CC1E56"/>
    <w:rsid w:val="00CC2270"/>
    <w:rsid w:val="00CC2EC5"/>
    <w:rsid w:val="00CC3277"/>
    <w:rsid w:val="00CC385B"/>
    <w:rsid w:val="00CC3EBF"/>
    <w:rsid w:val="00CC4207"/>
    <w:rsid w:val="00CC51BD"/>
    <w:rsid w:val="00CC5222"/>
    <w:rsid w:val="00CC5775"/>
    <w:rsid w:val="00CC62CD"/>
    <w:rsid w:val="00CC6C6A"/>
    <w:rsid w:val="00CC6F07"/>
    <w:rsid w:val="00CC702B"/>
    <w:rsid w:val="00CC7881"/>
    <w:rsid w:val="00CC7971"/>
    <w:rsid w:val="00CD0422"/>
    <w:rsid w:val="00CD083E"/>
    <w:rsid w:val="00CD0982"/>
    <w:rsid w:val="00CD0FFA"/>
    <w:rsid w:val="00CD104F"/>
    <w:rsid w:val="00CD124B"/>
    <w:rsid w:val="00CD19CF"/>
    <w:rsid w:val="00CD265B"/>
    <w:rsid w:val="00CD2987"/>
    <w:rsid w:val="00CD2A22"/>
    <w:rsid w:val="00CD2A3D"/>
    <w:rsid w:val="00CD2EE0"/>
    <w:rsid w:val="00CD3DD5"/>
    <w:rsid w:val="00CD400D"/>
    <w:rsid w:val="00CD40C7"/>
    <w:rsid w:val="00CD4F38"/>
    <w:rsid w:val="00CD5885"/>
    <w:rsid w:val="00CD5D11"/>
    <w:rsid w:val="00CD5D93"/>
    <w:rsid w:val="00CD63D3"/>
    <w:rsid w:val="00CD6924"/>
    <w:rsid w:val="00CD7055"/>
    <w:rsid w:val="00CD7340"/>
    <w:rsid w:val="00CD73E8"/>
    <w:rsid w:val="00CD78B1"/>
    <w:rsid w:val="00CE047A"/>
    <w:rsid w:val="00CE06B1"/>
    <w:rsid w:val="00CE0944"/>
    <w:rsid w:val="00CE0A76"/>
    <w:rsid w:val="00CE166B"/>
    <w:rsid w:val="00CE2362"/>
    <w:rsid w:val="00CE3120"/>
    <w:rsid w:val="00CE37A8"/>
    <w:rsid w:val="00CE3C60"/>
    <w:rsid w:val="00CE42DB"/>
    <w:rsid w:val="00CE4C6F"/>
    <w:rsid w:val="00CE52CC"/>
    <w:rsid w:val="00CE53F4"/>
    <w:rsid w:val="00CE5510"/>
    <w:rsid w:val="00CE5B5C"/>
    <w:rsid w:val="00CE5B69"/>
    <w:rsid w:val="00CE5CA9"/>
    <w:rsid w:val="00CE6071"/>
    <w:rsid w:val="00CE66E3"/>
    <w:rsid w:val="00CE793F"/>
    <w:rsid w:val="00CE7E6F"/>
    <w:rsid w:val="00CF15DD"/>
    <w:rsid w:val="00CF223D"/>
    <w:rsid w:val="00CF2703"/>
    <w:rsid w:val="00CF2824"/>
    <w:rsid w:val="00CF3526"/>
    <w:rsid w:val="00CF3A33"/>
    <w:rsid w:val="00CF3C7D"/>
    <w:rsid w:val="00CF4388"/>
    <w:rsid w:val="00CF45BF"/>
    <w:rsid w:val="00CF51C1"/>
    <w:rsid w:val="00CF548B"/>
    <w:rsid w:val="00CF5B47"/>
    <w:rsid w:val="00CF5B54"/>
    <w:rsid w:val="00CF5EE3"/>
    <w:rsid w:val="00CF6C01"/>
    <w:rsid w:val="00CF6EB7"/>
    <w:rsid w:val="00CF7105"/>
    <w:rsid w:val="00CF7271"/>
    <w:rsid w:val="00CF7305"/>
    <w:rsid w:val="00D005E0"/>
    <w:rsid w:val="00D00AD1"/>
    <w:rsid w:val="00D00FF7"/>
    <w:rsid w:val="00D012FF"/>
    <w:rsid w:val="00D0157B"/>
    <w:rsid w:val="00D01CC4"/>
    <w:rsid w:val="00D01E6B"/>
    <w:rsid w:val="00D0354D"/>
    <w:rsid w:val="00D0497C"/>
    <w:rsid w:val="00D04E4D"/>
    <w:rsid w:val="00D04F45"/>
    <w:rsid w:val="00D04FAA"/>
    <w:rsid w:val="00D0534B"/>
    <w:rsid w:val="00D0548B"/>
    <w:rsid w:val="00D05AEE"/>
    <w:rsid w:val="00D05D6E"/>
    <w:rsid w:val="00D060AA"/>
    <w:rsid w:val="00D0648D"/>
    <w:rsid w:val="00D06EB9"/>
    <w:rsid w:val="00D1153F"/>
    <w:rsid w:val="00D11995"/>
    <w:rsid w:val="00D11CFD"/>
    <w:rsid w:val="00D12432"/>
    <w:rsid w:val="00D126CF"/>
    <w:rsid w:val="00D12AD9"/>
    <w:rsid w:val="00D13808"/>
    <w:rsid w:val="00D14317"/>
    <w:rsid w:val="00D146FE"/>
    <w:rsid w:val="00D1581E"/>
    <w:rsid w:val="00D15D19"/>
    <w:rsid w:val="00D15D93"/>
    <w:rsid w:val="00D15DA1"/>
    <w:rsid w:val="00D15EEC"/>
    <w:rsid w:val="00D1635E"/>
    <w:rsid w:val="00D16380"/>
    <w:rsid w:val="00D163FF"/>
    <w:rsid w:val="00D1643C"/>
    <w:rsid w:val="00D166B5"/>
    <w:rsid w:val="00D167D0"/>
    <w:rsid w:val="00D16E87"/>
    <w:rsid w:val="00D17335"/>
    <w:rsid w:val="00D1797A"/>
    <w:rsid w:val="00D17BF1"/>
    <w:rsid w:val="00D2079E"/>
    <w:rsid w:val="00D21356"/>
    <w:rsid w:val="00D216EE"/>
    <w:rsid w:val="00D220B5"/>
    <w:rsid w:val="00D224CF"/>
    <w:rsid w:val="00D230C1"/>
    <w:rsid w:val="00D232D8"/>
    <w:rsid w:val="00D232DC"/>
    <w:rsid w:val="00D233CD"/>
    <w:rsid w:val="00D23500"/>
    <w:rsid w:val="00D23AD3"/>
    <w:rsid w:val="00D23FC0"/>
    <w:rsid w:val="00D23FCE"/>
    <w:rsid w:val="00D2401D"/>
    <w:rsid w:val="00D24364"/>
    <w:rsid w:val="00D2469E"/>
    <w:rsid w:val="00D2649E"/>
    <w:rsid w:val="00D264D3"/>
    <w:rsid w:val="00D27300"/>
    <w:rsid w:val="00D27875"/>
    <w:rsid w:val="00D307FD"/>
    <w:rsid w:val="00D30A3B"/>
    <w:rsid w:val="00D30DAC"/>
    <w:rsid w:val="00D313FB"/>
    <w:rsid w:val="00D3141B"/>
    <w:rsid w:val="00D319AB"/>
    <w:rsid w:val="00D31E2D"/>
    <w:rsid w:val="00D321E8"/>
    <w:rsid w:val="00D328E1"/>
    <w:rsid w:val="00D329D8"/>
    <w:rsid w:val="00D32E01"/>
    <w:rsid w:val="00D33975"/>
    <w:rsid w:val="00D33A8C"/>
    <w:rsid w:val="00D3523D"/>
    <w:rsid w:val="00D35597"/>
    <w:rsid w:val="00D35689"/>
    <w:rsid w:val="00D35E06"/>
    <w:rsid w:val="00D365FA"/>
    <w:rsid w:val="00D369BC"/>
    <w:rsid w:val="00D37093"/>
    <w:rsid w:val="00D40425"/>
    <w:rsid w:val="00D40BC3"/>
    <w:rsid w:val="00D40D6B"/>
    <w:rsid w:val="00D4129E"/>
    <w:rsid w:val="00D418A3"/>
    <w:rsid w:val="00D41AB6"/>
    <w:rsid w:val="00D42946"/>
    <w:rsid w:val="00D42DEC"/>
    <w:rsid w:val="00D43984"/>
    <w:rsid w:val="00D44105"/>
    <w:rsid w:val="00D4459D"/>
    <w:rsid w:val="00D45A14"/>
    <w:rsid w:val="00D46189"/>
    <w:rsid w:val="00D46BE9"/>
    <w:rsid w:val="00D46FA2"/>
    <w:rsid w:val="00D47451"/>
    <w:rsid w:val="00D47947"/>
    <w:rsid w:val="00D5001E"/>
    <w:rsid w:val="00D50053"/>
    <w:rsid w:val="00D50089"/>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51"/>
    <w:rsid w:val="00D5578A"/>
    <w:rsid w:val="00D5616C"/>
    <w:rsid w:val="00D56C00"/>
    <w:rsid w:val="00D57082"/>
    <w:rsid w:val="00D577BB"/>
    <w:rsid w:val="00D57B91"/>
    <w:rsid w:val="00D57E0C"/>
    <w:rsid w:val="00D60E67"/>
    <w:rsid w:val="00D62320"/>
    <w:rsid w:val="00D6248B"/>
    <w:rsid w:val="00D62B5D"/>
    <w:rsid w:val="00D62B75"/>
    <w:rsid w:val="00D6317D"/>
    <w:rsid w:val="00D63379"/>
    <w:rsid w:val="00D635B1"/>
    <w:rsid w:val="00D639C5"/>
    <w:rsid w:val="00D63DB5"/>
    <w:rsid w:val="00D63E14"/>
    <w:rsid w:val="00D63F98"/>
    <w:rsid w:val="00D64155"/>
    <w:rsid w:val="00D649A1"/>
    <w:rsid w:val="00D64BEA"/>
    <w:rsid w:val="00D653B9"/>
    <w:rsid w:val="00D65C02"/>
    <w:rsid w:val="00D65CC7"/>
    <w:rsid w:val="00D661D2"/>
    <w:rsid w:val="00D66410"/>
    <w:rsid w:val="00D66550"/>
    <w:rsid w:val="00D66648"/>
    <w:rsid w:val="00D66EFB"/>
    <w:rsid w:val="00D66FDA"/>
    <w:rsid w:val="00D67292"/>
    <w:rsid w:val="00D67956"/>
    <w:rsid w:val="00D70C38"/>
    <w:rsid w:val="00D710E5"/>
    <w:rsid w:val="00D71197"/>
    <w:rsid w:val="00D7178C"/>
    <w:rsid w:val="00D72008"/>
    <w:rsid w:val="00D72192"/>
    <w:rsid w:val="00D72D32"/>
    <w:rsid w:val="00D731D1"/>
    <w:rsid w:val="00D73645"/>
    <w:rsid w:val="00D73AC1"/>
    <w:rsid w:val="00D73BD2"/>
    <w:rsid w:val="00D73BE7"/>
    <w:rsid w:val="00D73DF6"/>
    <w:rsid w:val="00D73FC4"/>
    <w:rsid w:val="00D73FE8"/>
    <w:rsid w:val="00D74538"/>
    <w:rsid w:val="00D749A0"/>
    <w:rsid w:val="00D749CB"/>
    <w:rsid w:val="00D74C9E"/>
    <w:rsid w:val="00D75F19"/>
    <w:rsid w:val="00D767AE"/>
    <w:rsid w:val="00D77AD8"/>
    <w:rsid w:val="00D80605"/>
    <w:rsid w:val="00D80973"/>
    <w:rsid w:val="00D80BD8"/>
    <w:rsid w:val="00D8261C"/>
    <w:rsid w:val="00D82A2B"/>
    <w:rsid w:val="00D8301D"/>
    <w:rsid w:val="00D8473E"/>
    <w:rsid w:val="00D85797"/>
    <w:rsid w:val="00D86255"/>
    <w:rsid w:val="00D863D1"/>
    <w:rsid w:val="00D872B7"/>
    <w:rsid w:val="00D87DCF"/>
    <w:rsid w:val="00D87F5B"/>
    <w:rsid w:val="00D90125"/>
    <w:rsid w:val="00D90299"/>
    <w:rsid w:val="00D9057B"/>
    <w:rsid w:val="00D9096B"/>
    <w:rsid w:val="00D90ED1"/>
    <w:rsid w:val="00D91C34"/>
    <w:rsid w:val="00D925C5"/>
    <w:rsid w:val="00D9279F"/>
    <w:rsid w:val="00D92BB0"/>
    <w:rsid w:val="00D92D23"/>
    <w:rsid w:val="00D935AB"/>
    <w:rsid w:val="00D936B4"/>
    <w:rsid w:val="00D94900"/>
    <w:rsid w:val="00D94E4C"/>
    <w:rsid w:val="00D953F7"/>
    <w:rsid w:val="00D95709"/>
    <w:rsid w:val="00D958D7"/>
    <w:rsid w:val="00D96083"/>
    <w:rsid w:val="00D96248"/>
    <w:rsid w:val="00D96AFA"/>
    <w:rsid w:val="00D96B2B"/>
    <w:rsid w:val="00D96D46"/>
    <w:rsid w:val="00D97B72"/>
    <w:rsid w:val="00D97CF6"/>
    <w:rsid w:val="00DA0BBE"/>
    <w:rsid w:val="00DA11AE"/>
    <w:rsid w:val="00DA16E5"/>
    <w:rsid w:val="00DA17FF"/>
    <w:rsid w:val="00DA1A59"/>
    <w:rsid w:val="00DA1BE6"/>
    <w:rsid w:val="00DA1BE9"/>
    <w:rsid w:val="00DA1DAA"/>
    <w:rsid w:val="00DA283D"/>
    <w:rsid w:val="00DA2CA6"/>
    <w:rsid w:val="00DA3E12"/>
    <w:rsid w:val="00DA4141"/>
    <w:rsid w:val="00DA417B"/>
    <w:rsid w:val="00DA45BD"/>
    <w:rsid w:val="00DA5000"/>
    <w:rsid w:val="00DA52EB"/>
    <w:rsid w:val="00DA5CD6"/>
    <w:rsid w:val="00DA6868"/>
    <w:rsid w:val="00DA6DC2"/>
    <w:rsid w:val="00DA7044"/>
    <w:rsid w:val="00DB0312"/>
    <w:rsid w:val="00DB06ED"/>
    <w:rsid w:val="00DB0ED0"/>
    <w:rsid w:val="00DB10F3"/>
    <w:rsid w:val="00DB115A"/>
    <w:rsid w:val="00DB1DCE"/>
    <w:rsid w:val="00DB31DB"/>
    <w:rsid w:val="00DB3213"/>
    <w:rsid w:val="00DB387C"/>
    <w:rsid w:val="00DB42F5"/>
    <w:rsid w:val="00DB4353"/>
    <w:rsid w:val="00DB43F8"/>
    <w:rsid w:val="00DB4688"/>
    <w:rsid w:val="00DB46DA"/>
    <w:rsid w:val="00DB5186"/>
    <w:rsid w:val="00DB5A7F"/>
    <w:rsid w:val="00DB640B"/>
    <w:rsid w:val="00DB656B"/>
    <w:rsid w:val="00DB6A23"/>
    <w:rsid w:val="00DB75BE"/>
    <w:rsid w:val="00DB7CD6"/>
    <w:rsid w:val="00DB7D6B"/>
    <w:rsid w:val="00DC00C2"/>
    <w:rsid w:val="00DC01DD"/>
    <w:rsid w:val="00DC198F"/>
    <w:rsid w:val="00DC29D6"/>
    <w:rsid w:val="00DC2DA2"/>
    <w:rsid w:val="00DC2F60"/>
    <w:rsid w:val="00DC2FFF"/>
    <w:rsid w:val="00DC3149"/>
    <w:rsid w:val="00DC317B"/>
    <w:rsid w:val="00DC3FB4"/>
    <w:rsid w:val="00DC430F"/>
    <w:rsid w:val="00DC43B0"/>
    <w:rsid w:val="00DC478C"/>
    <w:rsid w:val="00DC47BF"/>
    <w:rsid w:val="00DC4CEC"/>
    <w:rsid w:val="00DC5F0A"/>
    <w:rsid w:val="00DC6348"/>
    <w:rsid w:val="00DC6447"/>
    <w:rsid w:val="00DC6F43"/>
    <w:rsid w:val="00DD086B"/>
    <w:rsid w:val="00DD0C80"/>
    <w:rsid w:val="00DD1091"/>
    <w:rsid w:val="00DD145B"/>
    <w:rsid w:val="00DD1ACD"/>
    <w:rsid w:val="00DD2409"/>
    <w:rsid w:val="00DD2798"/>
    <w:rsid w:val="00DD2A6B"/>
    <w:rsid w:val="00DD2DB6"/>
    <w:rsid w:val="00DD3217"/>
    <w:rsid w:val="00DD3A79"/>
    <w:rsid w:val="00DD4174"/>
    <w:rsid w:val="00DD418A"/>
    <w:rsid w:val="00DD452E"/>
    <w:rsid w:val="00DD4929"/>
    <w:rsid w:val="00DD4EA1"/>
    <w:rsid w:val="00DD6998"/>
    <w:rsid w:val="00DD720F"/>
    <w:rsid w:val="00DD7C32"/>
    <w:rsid w:val="00DD7D9D"/>
    <w:rsid w:val="00DE00A7"/>
    <w:rsid w:val="00DE0A7D"/>
    <w:rsid w:val="00DE0DC9"/>
    <w:rsid w:val="00DE1058"/>
    <w:rsid w:val="00DE12EF"/>
    <w:rsid w:val="00DE19AA"/>
    <w:rsid w:val="00DE1BFE"/>
    <w:rsid w:val="00DE2156"/>
    <w:rsid w:val="00DE367F"/>
    <w:rsid w:val="00DE3E2A"/>
    <w:rsid w:val="00DE4014"/>
    <w:rsid w:val="00DE4973"/>
    <w:rsid w:val="00DE4F7F"/>
    <w:rsid w:val="00DE5469"/>
    <w:rsid w:val="00DE54CA"/>
    <w:rsid w:val="00DE5D83"/>
    <w:rsid w:val="00DE5E44"/>
    <w:rsid w:val="00DE6EC6"/>
    <w:rsid w:val="00DE704F"/>
    <w:rsid w:val="00DE7DBA"/>
    <w:rsid w:val="00DE7FB5"/>
    <w:rsid w:val="00DF02A0"/>
    <w:rsid w:val="00DF0953"/>
    <w:rsid w:val="00DF354D"/>
    <w:rsid w:val="00DF3B05"/>
    <w:rsid w:val="00DF44BC"/>
    <w:rsid w:val="00DF46D2"/>
    <w:rsid w:val="00DF4D9D"/>
    <w:rsid w:val="00DF4F63"/>
    <w:rsid w:val="00DF5209"/>
    <w:rsid w:val="00DF5300"/>
    <w:rsid w:val="00DF6443"/>
    <w:rsid w:val="00DF649D"/>
    <w:rsid w:val="00DF64D4"/>
    <w:rsid w:val="00DF6D56"/>
    <w:rsid w:val="00E00733"/>
    <w:rsid w:val="00E00948"/>
    <w:rsid w:val="00E00C13"/>
    <w:rsid w:val="00E00C41"/>
    <w:rsid w:val="00E00C46"/>
    <w:rsid w:val="00E01D40"/>
    <w:rsid w:val="00E024F6"/>
    <w:rsid w:val="00E0287E"/>
    <w:rsid w:val="00E02D84"/>
    <w:rsid w:val="00E037FD"/>
    <w:rsid w:val="00E04271"/>
    <w:rsid w:val="00E04F96"/>
    <w:rsid w:val="00E053BA"/>
    <w:rsid w:val="00E05420"/>
    <w:rsid w:val="00E0562D"/>
    <w:rsid w:val="00E05C05"/>
    <w:rsid w:val="00E0606D"/>
    <w:rsid w:val="00E06510"/>
    <w:rsid w:val="00E065C8"/>
    <w:rsid w:val="00E0676D"/>
    <w:rsid w:val="00E072B0"/>
    <w:rsid w:val="00E07619"/>
    <w:rsid w:val="00E07C90"/>
    <w:rsid w:val="00E111E7"/>
    <w:rsid w:val="00E111F8"/>
    <w:rsid w:val="00E11DB5"/>
    <w:rsid w:val="00E12041"/>
    <w:rsid w:val="00E12618"/>
    <w:rsid w:val="00E128D7"/>
    <w:rsid w:val="00E129DF"/>
    <w:rsid w:val="00E12B5D"/>
    <w:rsid w:val="00E12C2E"/>
    <w:rsid w:val="00E13435"/>
    <w:rsid w:val="00E13A9C"/>
    <w:rsid w:val="00E13F23"/>
    <w:rsid w:val="00E143D4"/>
    <w:rsid w:val="00E14773"/>
    <w:rsid w:val="00E14EC6"/>
    <w:rsid w:val="00E1521D"/>
    <w:rsid w:val="00E154D2"/>
    <w:rsid w:val="00E155E5"/>
    <w:rsid w:val="00E16633"/>
    <w:rsid w:val="00E16C08"/>
    <w:rsid w:val="00E16E19"/>
    <w:rsid w:val="00E1769F"/>
    <w:rsid w:val="00E17930"/>
    <w:rsid w:val="00E20164"/>
    <w:rsid w:val="00E21AA6"/>
    <w:rsid w:val="00E223DC"/>
    <w:rsid w:val="00E2304B"/>
    <w:rsid w:val="00E2320D"/>
    <w:rsid w:val="00E23447"/>
    <w:rsid w:val="00E23F6C"/>
    <w:rsid w:val="00E23FBF"/>
    <w:rsid w:val="00E24712"/>
    <w:rsid w:val="00E24A35"/>
    <w:rsid w:val="00E24B61"/>
    <w:rsid w:val="00E24E2E"/>
    <w:rsid w:val="00E2523E"/>
    <w:rsid w:val="00E25549"/>
    <w:rsid w:val="00E2575D"/>
    <w:rsid w:val="00E25ECA"/>
    <w:rsid w:val="00E264B9"/>
    <w:rsid w:val="00E26859"/>
    <w:rsid w:val="00E26DB9"/>
    <w:rsid w:val="00E26E41"/>
    <w:rsid w:val="00E26EF2"/>
    <w:rsid w:val="00E27441"/>
    <w:rsid w:val="00E274C1"/>
    <w:rsid w:val="00E277E0"/>
    <w:rsid w:val="00E30920"/>
    <w:rsid w:val="00E309C7"/>
    <w:rsid w:val="00E30A90"/>
    <w:rsid w:val="00E30D47"/>
    <w:rsid w:val="00E30F4F"/>
    <w:rsid w:val="00E31008"/>
    <w:rsid w:val="00E31068"/>
    <w:rsid w:val="00E3123A"/>
    <w:rsid w:val="00E312E5"/>
    <w:rsid w:val="00E31699"/>
    <w:rsid w:val="00E31B79"/>
    <w:rsid w:val="00E31CB7"/>
    <w:rsid w:val="00E32715"/>
    <w:rsid w:val="00E32D36"/>
    <w:rsid w:val="00E32E22"/>
    <w:rsid w:val="00E334B8"/>
    <w:rsid w:val="00E33C3F"/>
    <w:rsid w:val="00E33C76"/>
    <w:rsid w:val="00E34523"/>
    <w:rsid w:val="00E3511E"/>
    <w:rsid w:val="00E35FC8"/>
    <w:rsid w:val="00E36F8A"/>
    <w:rsid w:val="00E37394"/>
    <w:rsid w:val="00E37482"/>
    <w:rsid w:val="00E37A6A"/>
    <w:rsid w:val="00E37CC3"/>
    <w:rsid w:val="00E40479"/>
    <w:rsid w:val="00E408F2"/>
    <w:rsid w:val="00E40B38"/>
    <w:rsid w:val="00E40FB5"/>
    <w:rsid w:val="00E41884"/>
    <w:rsid w:val="00E4192C"/>
    <w:rsid w:val="00E41DF6"/>
    <w:rsid w:val="00E420CB"/>
    <w:rsid w:val="00E4281D"/>
    <w:rsid w:val="00E42BB9"/>
    <w:rsid w:val="00E42FB9"/>
    <w:rsid w:val="00E446FD"/>
    <w:rsid w:val="00E451B6"/>
    <w:rsid w:val="00E454AD"/>
    <w:rsid w:val="00E458B2"/>
    <w:rsid w:val="00E46089"/>
    <w:rsid w:val="00E4671A"/>
    <w:rsid w:val="00E474DE"/>
    <w:rsid w:val="00E47920"/>
    <w:rsid w:val="00E5019C"/>
    <w:rsid w:val="00E51311"/>
    <w:rsid w:val="00E51D11"/>
    <w:rsid w:val="00E52056"/>
    <w:rsid w:val="00E52222"/>
    <w:rsid w:val="00E522E3"/>
    <w:rsid w:val="00E52725"/>
    <w:rsid w:val="00E52841"/>
    <w:rsid w:val="00E52FF6"/>
    <w:rsid w:val="00E530E1"/>
    <w:rsid w:val="00E532BD"/>
    <w:rsid w:val="00E53D9D"/>
    <w:rsid w:val="00E53F98"/>
    <w:rsid w:val="00E54446"/>
    <w:rsid w:val="00E54704"/>
    <w:rsid w:val="00E55623"/>
    <w:rsid w:val="00E55CB7"/>
    <w:rsid w:val="00E55DC8"/>
    <w:rsid w:val="00E56479"/>
    <w:rsid w:val="00E567C7"/>
    <w:rsid w:val="00E56821"/>
    <w:rsid w:val="00E569DE"/>
    <w:rsid w:val="00E56F73"/>
    <w:rsid w:val="00E57111"/>
    <w:rsid w:val="00E574A7"/>
    <w:rsid w:val="00E57BEF"/>
    <w:rsid w:val="00E6019E"/>
    <w:rsid w:val="00E603AF"/>
    <w:rsid w:val="00E604FA"/>
    <w:rsid w:val="00E60FAB"/>
    <w:rsid w:val="00E6133F"/>
    <w:rsid w:val="00E615BD"/>
    <w:rsid w:val="00E61F48"/>
    <w:rsid w:val="00E62A1B"/>
    <w:rsid w:val="00E62B98"/>
    <w:rsid w:val="00E62C01"/>
    <w:rsid w:val="00E62F16"/>
    <w:rsid w:val="00E631E5"/>
    <w:rsid w:val="00E6329E"/>
    <w:rsid w:val="00E6390E"/>
    <w:rsid w:val="00E63980"/>
    <w:rsid w:val="00E64FA9"/>
    <w:rsid w:val="00E65018"/>
    <w:rsid w:val="00E65948"/>
    <w:rsid w:val="00E664A4"/>
    <w:rsid w:val="00E66CF4"/>
    <w:rsid w:val="00E66EAB"/>
    <w:rsid w:val="00E670E6"/>
    <w:rsid w:val="00E67339"/>
    <w:rsid w:val="00E6734C"/>
    <w:rsid w:val="00E67560"/>
    <w:rsid w:val="00E67B4D"/>
    <w:rsid w:val="00E67B50"/>
    <w:rsid w:val="00E67EF0"/>
    <w:rsid w:val="00E705EE"/>
    <w:rsid w:val="00E70B72"/>
    <w:rsid w:val="00E70FDA"/>
    <w:rsid w:val="00E7132D"/>
    <w:rsid w:val="00E713BF"/>
    <w:rsid w:val="00E71F04"/>
    <w:rsid w:val="00E721F6"/>
    <w:rsid w:val="00E722A2"/>
    <w:rsid w:val="00E729B9"/>
    <w:rsid w:val="00E730FA"/>
    <w:rsid w:val="00E742E4"/>
    <w:rsid w:val="00E746A4"/>
    <w:rsid w:val="00E752A9"/>
    <w:rsid w:val="00E75529"/>
    <w:rsid w:val="00E75D96"/>
    <w:rsid w:val="00E75DC3"/>
    <w:rsid w:val="00E76D6E"/>
    <w:rsid w:val="00E76DCC"/>
    <w:rsid w:val="00E7757E"/>
    <w:rsid w:val="00E7789E"/>
    <w:rsid w:val="00E77A75"/>
    <w:rsid w:val="00E77B23"/>
    <w:rsid w:val="00E77D56"/>
    <w:rsid w:val="00E80364"/>
    <w:rsid w:val="00E80511"/>
    <w:rsid w:val="00E80C27"/>
    <w:rsid w:val="00E8108F"/>
    <w:rsid w:val="00E81C1A"/>
    <w:rsid w:val="00E81C1F"/>
    <w:rsid w:val="00E822F5"/>
    <w:rsid w:val="00E83C04"/>
    <w:rsid w:val="00E83F2F"/>
    <w:rsid w:val="00E843F7"/>
    <w:rsid w:val="00E846F7"/>
    <w:rsid w:val="00E84FD5"/>
    <w:rsid w:val="00E850D4"/>
    <w:rsid w:val="00E8551B"/>
    <w:rsid w:val="00E878A3"/>
    <w:rsid w:val="00E900A4"/>
    <w:rsid w:val="00E902E8"/>
    <w:rsid w:val="00E9033D"/>
    <w:rsid w:val="00E9041B"/>
    <w:rsid w:val="00E9076C"/>
    <w:rsid w:val="00E90F41"/>
    <w:rsid w:val="00E91398"/>
    <w:rsid w:val="00E9159F"/>
    <w:rsid w:val="00E91897"/>
    <w:rsid w:val="00E91BF4"/>
    <w:rsid w:val="00E91E02"/>
    <w:rsid w:val="00E92398"/>
    <w:rsid w:val="00E92777"/>
    <w:rsid w:val="00E92CBF"/>
    <w:rsid w:val="00E92E0A"/>
    <w:rsid w:val="00E935F5"/>
    <w:rsid w:val="00E9381C"/>
    <w:rsid w:val="00E93CFD"/>
    <w:rsid w:val="00E94584"/>
    <w:rsid w:val="00E94D45"/>
    <w:rsid w:val="00E95C26"/>
    <w:rsid w:val="00E95CEA"/>
    <w:rsid w:val="00E962EC"/>
    <w:rsid w:val="00E963CD"/>
    <w:rsid w:val="00E967F1"/>
    <w:rsid w:val="00E976D8"/>
    <w:rsid w:val="00E97FE2"/>
    <w:rsid w:val="00EA08E8"/>
    <w:rsid w:val="00EA0F7E"/>
    <w:rsid w:val="00EA13BF"/>
    <w:rsid w:val="00EA1457"/>
    <w:rsid w:val="00EA1903"/>
    <w:rsid w:val="00EA19A5"/>
    <w:rsid w:val="00EA1A5A"/>
    <w:rsid w:val="00EA258D"/>
    <w:rsid w:val="00EA2FC0"/>
    <w:rsid w:val="00EA3085"/>
    <w:rsid w:val="00EA3CD8"/>
    <w:rsid w:val="00EA3F5C"/>
    <w:rsid w:val="00EA4397"/>
    <w:rsid w:val="00EA4816"/>
    <w:rsid w:val="00EA48E1"/>
    <w:rsid w:val="00EA499D"/>
    <w:rsid w:val="00EA4E8E"/>
    <w:rsid w:val="00EA4FFF"/>
    <w:rsid w:val="00EA53F7"/>
    <w:rsid w:val="00EA54AD"/>
    <w:rsid w:val="00EA58A0"/>
    <w:rsid w:val="00EA5AE3"/>
    <w:rsid w:val="00EA5C8C"/>
    <w:rsid w:val="00EA5ECB"/>
    <w:rsid w:val="00EA62F8"/>
    <w:rsid w:val="00EA6B56"/>
    <w:rsid w:val="00EA6D49"/>
    <w:rsid w:val="00EA7D0C"/>
    <w:rsid w:val="00EA7F0B"/>
    <w:rsid w:val="00EB0CCF"/>
    <w:rsid w:val="00EB0DAE"/>
    <w:rsid w:val="00EB114C"/>
    <w:rsid w:val="00EB18C0"/>
    <w:rsid w:val="00EB1B2E"/>
    <w:rsid w:val="00EB20F4"/>
    <w:rsid w:val="00EB2490"/>
    <w:rsid w:val="00EB2737"/>
    <w:rsid w:val="00EB3F05"/>
    <w:rsid w:val="00EB4207"/>
    <w:rsid w:val="00EB506D"/>
    <w:rsid w:val="00EB53CC"/>
    <w:rsid w:val="00EB56C4"/>
    <w:rsid w:val="00EB5955"/>
    <w:rsid w:val="00EB6662"/>
    <w:rsid w:val="00EB6903"/>
    <w:rsid w:val="00EB6E71"/>
    <w:rsid w:val="00EC05E1"/>
    <w:rsid w:val="00EC07BA"/>
    <w:rsid w:val="00EC08E4"/>
    <w:rsid w:val="00EC1186"/>
    <w:rsid w:val="00EC23D8"/>
    <w:rsid w:val="00EC25BB"/>
    <w:rsid w:val="00EC3785"/>
    <w:rsid w:val="00EC3B2D"/>
    <w:rsid w:val="00EC3E5A"/>
    <w:rsid w:val="00EC453E"/>
    <w:rsid w:val="00EC458A"/>
    <w:rsid w:val="00EC4DE4"/>
    <w:rsid w:val="00EC51A1"/>
    <w:rsid w:val="00EC531B"/>
    <w:rsid w:val="00EC6178"/>
    <w:rsid w:val="00EC6288"/>
    <w:rsid w:val="00EC65DD"/>
    <w:rsid w:val="00EC6A56"/>
    <w:rsid w:val="00EC7166"/>
    <w:rsid w:val="00EC75D3"/>
    <w:rsid w:val="00EC7E78"/>
    <w:rsid w:val="00ED06AD"/>
    <w:rsid w:val="00ED0BED"/>
    <w:rsid w:val="00ED1232"/>
    <w:rsid w:val="00ED1A7F"/>
    <w:rsid w:val="00ED20BB"/>
    <w:rsid w:val="00ED22C5"/>
    <w:rsid w:val="00ED307B"/>
    <w:rsid w:val="00ED3503"/>
    <w:rsid w:val="00ED4DFC"/>
    <w:rsid w:val="00ED4E42"/>
    <w:rsid w:val="00ED54D7"/>
    <w:rsid w:val="00ED5E54"/>
    <w:rsid w:val="00ED69D8"/>
    <w:rsid w:val="00ED6CFE"/>
    <w:rsid w:val="00ED7786"/>
    <w:rsid w:val="00ED7EA9"/>
    <w:rsid w:val="00EE00E5"/>
    <w:rsid w:val="00EE014A"/>
    <w:rsid w:val="00EE0B31"/>
    <w:rsid w:val="00EE1E9C"/>
    <w:rsid w:val="00EE200B"/>
    <w:rsid w:val="00EE2083"/>
    <w:rsid w:val="00EE20A8"/>
    <w:rsid w:val="00EE23BC"/>
    <w:rsid w:val="00EE25D9"/>
    <w:rsid w:val="00EE433B"/>
    <w:rsid w:val="00EE434D"/>
    <w:rsid w:val="00EE46D0"/>
    <w:rsid w:val="00EE476D"/>
    <w:rsid w:val="00EE49A6"/>
    <w:rsid w:val="00EE4C73"/>
    <w:rsid w:val="00EE5ACC"/>
    <w:rsid w:val="00EE5C23"/>
    <w:rsid w:val="00EE67FE"/>
    <w:rsid w:val="00EE6BDD"/>
    <w:rsid w:val="00EE703E"/>
    <w:rsid w:val="00EE76F0"/>
    <w:rsid w:val="00EE795F"/>
    <w:rsid w:val="00EE7B1C"/>
    <w:rsid w:val="00EF02BD"/>
    <w:rsid w:val="00EF0965"/>
    <w:rsid w:val="00EF0986"/>
    <w:rsid w:val="00EF1350"/>
    <w:rsid w:val="00EF13A5"/>
    <w:rsid w:val="00EF17B9"/>
    <w:rsid w:val="00EF1EB9"/>
    <w:rsid w:val="00EF2028"/>
    <w:rsid w:val="00EF274D"/>
    <w:rsid w:val="00EF2A0D"/>
    <w:rsid w:val="00EF3436"/>
    <w:rsid w:val="00EF34F6"/>
    <w:rsid w:val="00EF355D"/>
    <w:rsid w:val="00EF3725"/>
    <w:rsid w:val="00EF37B5"/>
    <w:rsid w:val="00EF388A"/>
    <w:rsid w:val="00EF3B9C"/>
    <w:rsid w:val="00EF3CFD"/>
    <w:rsid w:val="00EF3D14"/>
    <w:rsid w:val="00EF3EEE"/>
    <w:rsid w:val="00EF3F88"/>
    <w:rsid w:val="00EF499A"/>
    <w:rsid w:val="00EF4E97"/>
    <w:rsid w:val="00EF61FC"/>
    <w:rsid w:val="00EF7388"/>
    <w:rsid w:val="00EF75A6"/>
    <w:rsid w:val="00EF76F8"/>
    <w:rsid w:val="00EF795C"/>
    <w:rsid w:val="00EF7C48"/>
    <w:rsid w:val="00F0045E"/>
    <w:rsid w:val="00F006D2"/>
    <w:rsid w:val="00F00724"/>
    <w:rsid w:val="00F00774"/>
    <w:rsid w:val="00F0081B"/>
    <w:rsid w:val="00F00A70"/>
    <w:rsid w:val="00F00B7A"/>
    <w:rsid w:val="00F01298"/>
    <w:rsid w:val="00F012A0"/>
    <w:rsid w:val="00F01968"/>
    <w:rsid w:val="00F01B3E"/>
    <w:rsid w:val="00F01F95"/>
    <w:rsid w:val="00F0256E"/>
    <w:rsid w:val="00F030DD"/>
    <w:rsid w:val="00F03681"/>
    <w:rsid w:val="00F03E2F"/>
    <w:rsid w:val="00F04555"/>
    <w:rsid w:val="00F04D9B"/>
    <w:rsid w:val="00F05533"/>
    <w:rsid w:val="00F0588E"/>
    <w:rsid w:val="00F05AB5"/>
    <w:rsid w:val="00F05BC9"/>
    <w:rsid w:val="00F0608B"/>
    <w:rsid w:val="00F0659C"/>
    <w:rsid w:val="00F065FA"/>
    <w:rsid w:val="00F06776"/>
    <w:rsid w:val="00F06CDD"/>
    <w:rsid w:val="00F06D5D"/>
    <w:rsid w:val="00F10A31"/>
    <w:rsid w:val="00F1139F"/>
    <w:rsid w:val="00F116E1"/>
    <w:rsid w:val="00F11AA5"/>
    <w:rsid w:val="00F11E55"/>
    <w:rsid w:val="00F1210C"/>
    <w:rsid w:val="00F128DE"/>
    <w:rsid w:val="00F12B5D"/>
    <w:rsid w:val="00F12DF4"/>
    <w:rsid w:val="00F13400"/>
    <w:rsid w:val="00F13708"/>
    <w:rsid w:val="00F1411B"/>
    <w:rsid w:val="00F148AE"/>
    <w:rsid w:val="00F149A9"/>
    <w:rsid w:val="00F14C07"/>
    <w:rsid w:val="00F14C0C"/>
    <w:rsid w:val="00F14CD6"/>
    <w:rsid w:val="00F14CF7"/>
    <w:rsid w:val="00F154D7"/>
    <w:rsid w:val="00F1585C"/>
    <w:rsid w:val="00F15FFE"/>
    <w:rsid w:val="00F16901"/>
    <w:rsid w:val="00F16B69"/>
    <w:rsid w:val="00F16FA4"/>
    <w:rsid w:val="00F170D8"/>
    <w:rsid w:val="00F17267"/>
    <w:rsid w:val="00F211C9"/>
    <w:rsid w:val="00F21448"/>
    <w:rsid w:val="00F215D1"/>
    <w:rsid w:val="00F2210C"/>
    <w:rsid w:val="00F22F2A"/>
    <w:rsid w:val="00F231FB"/>
    <w:rsid w:val="00F243C4"/>
    <w:rsid w:val="00F243FF"/>
    <w:rsid w:val="00F2515E"/>
    <w:rsid w:val="00F25199"/>
    <w:rsid w:val="00F254D8"/>
    <w:rsid w:val="00F25953"/>
    <w:rsid w:val="00F25CD3"/>
    <w:rsid w:val="00F26A46"/>
    <w:rsid w:val="00F26F86"/>
    <w:rsid w:val="00F2780A"/>
    <w:rsid w:val="00F30B28"/>
    <w:rsid w:val="00F314EF"/>
    <w:rsid w:val="00F3167E"/>
    <w:rsid w:val="00F320E3"/>
    <w:rsid w:val="00F3265E"/>
    <w:rsid w:val="00F332B2"/>
    <w:rsid w:val="00F33C57"/>
    <w:rsid w:val="00F33DD2"/>
    <w:rsid w:val="00F33E94"/>
    <w:rsid w:val="00F33F0D"/>
    <w:rsid w:val="00F34D2E"/>
    <w:rsid w:val="00F352BD"/>
    <w:rsid w:val="00F357B7"/>
    <w:rsid w:val="00F3589E"/>
    <w:rsid w:val="00F35DAE"/>
    <w:rsid w:val="00F368F2"/>
    <w:rsid w:val="00F36FB5"/>
    <w:rsid w:val="00F3715D"/>
    <w:rsid w:val="00F374F7"/>
    <w:rsid w:val="00F37A09"/>
    <w:rsid w:val="00F404BF"/>
    <w:rsid w:val="00F404D3"/>
    <w:rsid w:val="00F405B4"/>
    <w:rsid w:val="00F40EB5"/>
    <w:rsid w:val="00F40F31"/>
    <w:rsid w:val="00F41380"/>
    <w:rsid w:val="00F41421"/>
    <w:rsid w:val="00F4174A"/>
    <w:rsid w:val="00F41886"/>
    <w:rsid w:val="00F419C3"/>
    <w:rsid w:val="00F41A80"/>
    <w:rsid w:val="00F41C4B"/>
    <w:rsid w:val="00F42798"/>
    <w:rsid w:val="00F4311B"/>
    <w:rsid w:val="00F43206"/>
    <w:rsid w:val="00F4322A"/>
    <w:rsid w:val="00F435B6"/>
    <w:rsid w:val="00F43849"/>
    <w:rsid w:val="00F4392C"/>
    <w:rsid w:val="00F448F9"/>
    <w:rsid w:val="00F44EC7"/>
    <w:rsid w:val="00F452E7"/>
    <w:rsid w:val="00F45E3F"/>
    <w:rsid w:val="00F4670C"/>
    <w:rsid w:val="00F467C0"/>
    <w:rsid w:val="00F47C6B"/>
    <w:rsid w:val="00F5002C"/>
    <w:rsid w:val="00F503D2"/>
    <w:rsid w:val="00F505AC"/>
    <w:rsid w:val="00F50603"/>
    <w:rsid w:val="00F50C03"/>
    <w:rsid w:val="00F50E6A"/>
    <w:rsid w:val="00F50F47"/>
    <w:rsid w:val="00F5154E"/>
    <w:rsid w:val="00F51899"/>
    <w:rsid w:val="00F51E43"/>
    <w:rsid w:val="00F51F74"/>
    <w:rsid w:val="00F523D3"/>
    <w:rsid w:val="00F5253A"/>
    <w:rsid w:val="00F5325B"/>
    <w:rsid w:val="00F53AF0"/>
    <w:rsid w:val="00F544DD"/>
    <w:rsid w:val="00F55337"/>
    <w:rsid w:val="00F55BB0"/>
    <w:rsid w:val="00F55F0A"/>
    <w:rsid w:val="00F562DF"/>
    <w:rsid w:val="00F5636E"/>
    <w:rsid w:val="00F5652C"/>
    <w:rsid w:val="00F568F6"/>
    <w:rsid w:val="00F56BEF"/>
    <w:rsid w:val="00F57843"/>
    <w:rsid w:val="00F578D7"/>
    <w:rsid w:val="00F57C49"/>
    <w:rsid w:val="00F57D6B"/>
    <w:rsid w:val="00F609BF"/>
    <w:rsid w:val="00F60A98"/>
    <w:rsid w:val="00F618C5"/>
    <w:rsid w:val="00F619E0"/>
    <w:rsid w:val="00F61A38"/>
    <w:rsid w:val="00F61B54"/>
    <w:rsid w:val="00F622E5"/>
    <w:rsid w:val="00F626FF"/>
    <w:rsid w:val="00F62A13"/>
    <w:rsid w:val="00F63036"/>
    <w:rsid w:val="00F6380C"/>
    <w:rsid w:val="00F63E23"/>
    <w:rsid w:val="00F64675"/>
    <w:rsid w:val="00F64E0F"/>
    <w:rsid w:val="00F65102"/>
    <w:rsid w:val="00F652AD"/>
    <w:rsid w:val="00F652B8"/>
    <w:rsid w:val="00F65D31"/>
    <w:rsid w:val="00F666A7"/>
    <w:rsid w:val="00F66A2E"/>
    <w:rsid w:val="00F66D0C"/>
    <w:rsid w:val="00F66D58"/>
    <w:rsid w:val="00F67F09"/>
    <w:rsid w:val="00F706A0"/>
    <w:rsid w:val="00F709F5"/>
    <w:rsid w:val="00F717CC"/>
    <w:rsid w:val="00F720B7"/>
    <w:rsid w:val="00F724F5"/>
    <w:rsid w:val="00F72F11"/>
    <w:rsid w:val="00F72F51"/>
    <w:rsid w:val="00F73999"/>
    <w:rsid w:val="00F73AB3"/>
    <w:rsid w:val="00F73AB7"/>
    <w:rsid w:val="00F7566A"/>
    <w:rsid w:val="00F76268"/>
    <w:rsid w:val="00F765FD"/>
    <w:rsid w:val="00F76CF3"/>
    <w:rsid w:val="00F76CF4"/>
    <w:rsid w:val="00F76DA3"/>
    <w:rsid w:val="00F7718B"/>
    <w:rsid w:val="00F77BCA"/>
    <w:rsid w:val="00F805CA"/>
    <w:rsid w:val="00F807A4"/>
    <w:rsid w:val="00F809ED"/>
    <w:rsid w:val="00F80DD8"/>
    <w:rsid w:val="00F81914"/>
    <w:rsid w:val="00F81B7D"/>
    <w:rsid w:val="00F8215F"/>
    <w:rsid w:val="00F824D5"/>
    <w:rsid w:val="00F82628"/>
    <w:rsid w:val="00F82BC6"/>
    <w:rsid w:val="00F82D8E"/>
    <w:rsid w:val="00F8321D"/>
    <w:rsid w:val="00F83461"/>
    <w:rsid w:val="00F83883"/>
    <w:rsid w:val="00F83F7C"/>
    <w:rsid w:val="00F8457A"/>
    <w:rsid w:val="00F85165"/>
    <w:rsid w:val="00F8517B"/>
    <w:rsid w:val="00F853BE"/>
    <w:rsid w:val="00F8675D"/>
    <w:rsid w:val="00F86E2D"/>
    <w:rsid w:val="00F870B7"/>
    <w:rsid w:val="00F875EE"/>
    <w:rsid w:val="00F87B71"/>
    <w:rsid w:val="00F87EB0"/>
    <w:rsid w:val="00F9052C"/>
    <w:rsid w:val="00F90EBF"/>
    <w:rsid w:val="00F9135D"/>
    <w:rsid w:val="00F9176D"/>
    <w:rsid w:val="00F91AD8"/>
    <w:rsid w:val="00F91B71"/>
    <w:rsid w:val="00F91BA8"/>
    <w:rsid w:val="00F9207A"/>
    <w:rsid w:val="00F922F2"/>
    <w:rsid w:val="00F9260F"/>
    <w:rsid w:val="00F9308E"/>
    <w:rsid w:val="00F9404B"/>
    <w:rsid w:val="00F9493C"/>
    <w:rsid w:val="00F95D20"/>
    <w:rsid w:val="00F95E64"/>
    <w:rsid w:val="00F960B8"/>
    <w:rsid w:val="00F9649D"/>
    <w:rsid w:val="00F967C4"/>
    <w:rsid w:val="00F96A46"/>
    <w:rsid w:val="00F96BB8"/>
    <w:rsid w:val="00F97647"/>
    <w:rsid w:val="00F97724"/>
    <w:rsid w:val="00F97A19"/>
    <w:rsid w:val="00FA068B"/>
    <w:rsid w:val="00FA1973"/>
    <w:rsid w:val="00FA1B1B"/>
    <w:rsid w:val="00FA20F0"/>
    <w:rsid w:val="00FA2534"/>
    <w:rsid w:val="00FA25D7"/>
    <w:rsid w:val="00FA2BC2"/>
    <w:rsid w:val="00FA2D57"/>
    <w:rsid w:val="00FA313D"/>
    <w:rsid w:val="00FA37EA"/>
    <w:rsid w:val="00FA381E"/>
    <w:rsid w:val="00FA3DE3"/>
    <w:rsid w:val="00FA3F50"/>
    <w:rsid w:val="00FA4C5D"/>
    <w:rsid w:val="00FA52C8"/>
    <w:rsid w:val="00FA54B2"/>
    <w:rsid w:val="00FA5642"/>
    <w:rsid w:val="00FA5812"/>
    <w:rsid w:val="00FA59CD"/>
    <w:rsid w:val="00FA7990"/>
    <w:rsid w:val="00FA7A7E"/>
    <w:rsid w:val="00FA7E50"/>
    <w:rsid w:val="00FB07FC"/>
    <w:rsid w:val="00FB1180"/>
    <w:rsid w:val="00FB15B5"/>
    <w:rsid w:val="00FB174F"/>
    <w:rsid w:val="00FB1FEB"/>
    <w:rsid w:val="00FB22AB"/>
    <w:rsid w:val="00FB2BD9"/>
    <w:rsid w:val="00FB2C51"/>
    <w:rsid w:val="00FB3935"/>
    <w:rsid w:val="00FB4250"/>
    <w:rsid w:val="00FB440D"/>
    <w:rsid w:val="00FB47E8"/>
    <w:rsid w:val="00FB4E05"/>
    <w:rsid w:val="00FB50F4"/>
    <w:rsid w:val="00FB5638"/>
    <w:rsid w:val="00FB59AB"/>
    <w:rsid w:val="00FB5A8D"/>
    <w:rsid w:val="00FB603D"/>
    <w:rsid w:val="00FB6627"/>
    <w:rsid w:val="00FB6721"/>
    <w:rsid w:val="00FB69FF"/>
    <w:rsid w:val="00FB7318"/>
    <w:rsid w:val="00FB77DE"/>
    <w:rsid w:val="00FC0251"/>
    <w:rsid w:val="00FC05D8"/>
    <w:rsid w:val="00FC1102"/>
    <w:rsid w:val="00FC16AD"/>
    <w:rsid w:val="00FC1F94"/>
    <w:rsid w:val="00FC2E23"/>
    <w:rsid w:val="00FC3241"/>
    <w:rsid w:val="00FC374E"/>
    <w:rsid w:val="00FC3BB3"/>
    <w:rsid w:val="00FC3ED9"/>
    <w:rsid w:val="00FC4018"/>
    <w:rsid w:val="00FC501B"/>
    <w:rsid w:val="00FC54D5"/>
    <w:rsid w:val="00FC664D"/>
    <w:rsid w:val="00FC737A"/>
    <w:rsid w:val="00FC7844"/>
    <w:rsid w:val="00FC78E5"/>
    <w:rsid w:val="00FC7EA9"/>
    <w:rsid w:val="00FD0189"/>
    <w:rsid w:val="00FD0A8B"/>
    <w:rsid w:val="00FD0CE5"/>
    <w:rsid w:val="00FD126A"/>
    <w:rsid w:val="00FD1512"/>
    <w:rsid w:val="00FD1AB4"/>
    <w:rsid w:val="00FD1DDF"/>
    <w:rsid w:val="00FD2217"/>
    <w:rsid w:val="00FD28E8"/>
    <w:rsid w:val="00FD3330"/>
    <w:rsid w:val="00FD3355"/>
    <w:rsid w:val="00FD3CF7"/>
    <w:rsid w:val="00FD472A"/>
    <w:rsid w:val="00FD4FCC"/>
    <w:rsid w:val="00FD522F"/>
    <w:rsid w:val="00FD55AE"/>
    <w:rsid w:val="00FD5690"/>
    <w:rsid w:val="00FD5A00"/>
    <w:rsid w:val="00FD5F89"/>
    <w:rsid w:val="00FD620A"/>
    <w:rsid w:val="00FD6570"/>
    <w:rsid w:val="00FD66E5"/>
    <w:rsid w:val="00FD6EA4"/>
    <w:rsid w:val="00FD6FCC"/>
    <w:rsid w:val="00FD79A7"/>
    <w:rsid w:val="00FD7DB9"/>
    <w:rsid w:val="00FD7E42"/>
    <w:rsid w:val="00FE0841"/>
    <w:rsid w:val="00FE08FD"/>
    <w:rsid w:val="00FE12A5"/>
    <w:rsid w:val="00FE1352"/>
    <w:rsid w:val="00FE1B58"/>
    <w:rsid w:val="00FE1DFA"/>
    <w:rsid w:val="00FE1EDA"/>
    <w:rsid w:val="00FE1F3B"/>
    <w:rsid w:val="00FE22CB"/>
    <w:rsid w:val="00FE2859"/>
    <w:rsid w:val="00FE2A81"/>
    <w:rsid w:val="00FE2F6A"/>
    <w:rsid w:val="00FE303A"/>
    <w:rsid w:val="00FE345D"/>
    <w:rsid w:val="00FE486C"/>
    <w:rsid w:val="00FE4E00"/>
    <w:rsid w:val="00FE5194"/>
    <w:rsid w:val="00FE544E"/>
    <w:rsid w:val="00FE5A35"/>
    <w:rsid w:val="00FE5D77"/>
    <w:rsid w:val="00FE64A9"/>
    <w:rsid w:val="00FE6BD7"/>
    <w:rsid w:val="00FE6C8F"/>
    <w:rsid w:val="00FE6F0F"/>
    <w:rsid w:val="00FF0644"/>
    <w:rsid w:val="00FF094E"/>
    <w:rsid w:val="00FF0A66"/>
    <w:rsid w:val="00FF1FCE"/>
    <w:rsid w:val="00FF2234"/>
    <w:rsid w:val="00FF290B"/>
    <w:rsid w:val="00FF2B9E"/>
    <w:rsid w:val="00FF320D"/>
    <w:rsid w:val="00FF33BD"/>
    <w:rsid w:val="00FF3B8C"/>
    <w:rsid w:val="00FF3C13"/>
    <w:rsid w:val="00FF3CEA"/>
    <w:rsid w:val="00FF3F18"/>
    <w:rsid w:val="00FF4169"/>
    <w:rsid w:val="00FF42CC"/>
    <w:rsid w:val="00FF4B56"/>
    <w:rsid w:val="00FF4D79"/>
    <w:rsid w:val="00FF4FD5"/>
    <w:rsid w:val="00FF57C0"/>
    <w:rsid w:val="00FF582B"/>
    <w:rsid w:val="00FF6702"/>
    <w:rsid w:val="00FF6822"/>
    <w:rsid w:val="00FF7188"/>
    <w:rsid w:val="00FF72DC"/>
    <w:rsid w:val="00FF750F"/>
    <w:rsid w:val="00FF76DE"/>
    <w:rsid w:val="00FF7785"/>
    <w:rsid w:val="00FF79FE"/>
    <w:rsid w:val="043C57EC"/>
    <w:rsid w:val="07F78205"/>
    <w:rsid w:val="0DEB1C25"/>
    <w:rsid w:val="11E22C4A"/>
    <w:rsid w:val="12BE8D48"/>
    <w:rsid w:val="13DB5ACD"/>
    <w:rsid w:val="145ED399"/>
    <w:rsid w:val="1B5A43D5"/>
    <w:rsid w:val="1C4C4731"/>
    <w:rsid w:val="1CB5B124"/>
    <w:rsid w:val="1DED22E3"/>
    <w:rsid w:val="1F3DEE6A"/>
    <w:rsid w:val="1FED51E6"/>
    <w:rsid w:val="2060D9EE"/>
    <w:rsid w:val="211FB854"/>
    <w:rsid w:val="2238F720"/>
    <w:rsid w:val="25C6C36D"/>
    <w:rsid w:val="276293CE"/>
    <w:rsid w:val="2BCBBC29"/>
    <w:rsid w:val="2C1EC6F0"/>
    <w:rsid w:val="2CAA50C7"/>
    <w:rsid w:val="2EF0BA70"/>
    <w:rsid w:val="310175D0"/>
    <w:rsid w:val="31AE206B"/>
    <w:rsid w:val="343A7F00"/>
    <w:rsid w:val="372C27B2"/>
    <w:rsid w:val="417E8D10"/>
    <w:rsid w:val="42AA2F68"/>
    <w:rsid w:val="43BF5569"/>
    <w:rsid w:val="4BD863BF"/>
    <w:rsid w:val="4C7F750E"/>
    <w:rsid w:val="4D980A94"/>
    <w:rsid w:val="525BADD2"/>
    <w:rsid w:val="52B6A45C"/>
    <w:rsid w:val="54CE23F9"/>
    <w:rsid w:val="5557A13B"/>
    <w:rsid w:val="5720733B"/>
    <w:rsid w:val="57988337"/>
    <w:rsid w:val="588FA029"/>
    <w:rsid w:val="58BC439C"/>
    <w:rsid w:val="5BEA6AB7"/>
    <w:rsid w:val="62154131"/>
    <w:rsid w:val="6451865E"/>
    <w:rsid w:val="653AA482"/>
    <w:rsid w:val="666D0AF0"/>
    <w:rsid w:val="680C6DEA"/>
    <w:rsid w:val="68262080"/>
    <w:rsid w:val="68FFBEF7"/>
    <w:rsid w:val="7B667373"/>
    <w:rsid w:val="7B74C4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4753"/>
    <o:shapelayout v:ext="edit">
      <o:idmap v:ext="edit" data="1"/>
    </o:shapelayout>
  </w:shapeDefaults>
  <w:decimalSymbol w:val="."/>
  <w:listSeparator w:val=","/>
  <w14:docId w14:val="2BC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uiPriority w:val="20"/>
    <w:qFormat/>
    <w:rPr>
      <w:b/>
      <w:bCs/>
      <w:i w:val="0"/>
      <w:iCs w:val="0"/>
    </w:rPr>
  </w:style>
  <w:style w:type="paragraph" w:customStyle="1" w:styleId="Char0">
    <w:name w:val="Char0"/>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rsid w:val="005C311F"/>
    <w:pPr>
      <w:spacing w:line="256" w:lineRule="auto"/>
      <w:jc w:val="both"/>
    </w:pPr>
    <w:rPr>
      <w:rFonts w:ascii="Arial" w:hAnsi="Arial"/>
      <w:u w:val="single"/>
    </w:rPr>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ody Text Bullet Points,Bullet Point,Bullet point,BulletPoints,Bulletr List Paragraph,ES Paragraph,Footnote,L,List Paragraph1,List Paragraph11,Numbered para,PBAC ES Paragraph,PBAC normal points,Recommendation,Section heading,Styl moj"/>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ody Text Bullet Points Char,Bullet Point Char,Bullet point Char,BulletPoints Char,Bulletr List Paragraph Char,ES Paragraph Char,Footnote Char,L Char,List Paragraph1 Char,List Paragraph11 Char,Numbered para Char,Recommendation Char"/>
    <w:link w:val="ListParagraph"/>
    <w:uiPriority w:val="34"/>
    <w:qFormat/>
    <w:rsid w:val="001E35D6"/>
    <w:rPr>
      <w:rFonts w:eastAsia="SimSun"/>
      <w:sz w:val="24"/>
      <w:szCs w:val="24"/>
    </w:rPr>
  </w:style>
  <w:style w:type="character" w:customStyle="1" w:styleId="CommentTextChar">
    <w:name w:val="Comment Text Char"/>
    <w:basedOn w:val="DefaultParagraphFont"/>
    <w:link w:val="CommentText"/>
    <w:uiPriority w:val="99"/>
    <w:rsid w:val="00377360"/>
  </w:style>
  <w:style w:type="paragraph" w:styleId="Revision">
    <w:name w:val="Revision"/>
    <w:hidden/>
    <w:uiPriority w:val="99"/>
    <w:semiHidden/>
    <w:rsid w:val="00DA7044"/>
  </w:style>
  <w:style w:type="character" w:customStyle="1" w:styleId="FooterChar">
    <w:name w:val="Footer Char"/>
    <w:link w:val="Footer"/>
    <w:rsid w:val="00035622"/>
  </w:style>
  <w:style w:type="paragraph" w:customStyle="1" w:styleId="3Bodytext">
    <w:name w:val="3. Body text"/>
    <w:basedOn w:val="ListParagraph"/>
    <w:link w:val="3BodytextChar"/>
    <w:qFormat/>
    <w:rsid w:val="00155809"/>
    <w:pPr>
      <w:spacing w:after="120"/>
      <w:ind w:hanging="720"/>
      <w:contextualSpacing w:val="0"/>
      <w:jc w:val="both"/>
    </w:pPr>
    <w:rPr>
      <w:rFonts w:asciiTheme="minorHAnsi" w:eastAsiaTheme="minorHAnsi" w:hAnsiTheme="minorHAnsi" w:cstheme="minorBidi"/>
      <w:szCs w:val="22"/>
      <w:lang w:eastAsia="en-US"/>
    </w:rPr>
  </w:style>
  <w:style w:type="character" w:customStyle="1" w:styleId="3BodytextChar">
    <w:name w:val="3. Body text Char"/>
    <w:basedOn w:val="DefaultParagraphFont"/>
    <w:link w:val="3Bodytext"/>
    <w:rsid w:val="00155809"/>
    <w:rPr>
      <w:rFonts w:asciiTheme="minorHAnsi" w:eastAsiaTheme="minorHAnsi" w:hAnsiTheme="minorHAnsi" w:cstheme="minorBidi"/>
      <w:sz w:val="24"/>
      <w:szCs w:val="22"/>
      <w:lang w:eastAsia="en-US"/>
    </w:rPr>
  </w:style>
  <w:style w:type="paragraph" w:customStyle="1" w:styleId="2-SectionHeading">
    <w:name w:val="2-Section Heading"/>
    <w:qFormat/>
    <w:rsid w:val="00A35BF0"/>
    <w:pPr>
      <w:keepNext/>
      <w:numPr>
        <w:numId w:val="7"/>
      </w:numPr>
      <w:snapToGrid w:val="0"/>
      <w:spacing w:before="240" w:after="120"/>
      <w:outlineLvl w:val="0"/>
    </w:pPr>
    <w:rPr>
      <w:rFonts w:asciiTheme="minorHAnsi" w:hAnsiTheme="minorHAnsi" w:cs="Arial"/>
      <w:b/>
      <w:sz w:val="32"/>
      <w:szCs w:val="32"/>
    </w:rPr>
  </w:style>
  <w:style w:type="character" w:customStyle="1" w:styleId="ExecSumBodyTextChar">
    <w:name w:val="Exec Sum Body Text Char"/>
    <w:basedOn w:val="DefaultParagraphFont"/>
    <w:link w:val="ExecSumBodyText"/>
    <w:uiPriority w:val="99"/>
    <w:locked/>
    <w:rsid w:val="00A35BF0"/>
    <w:rPr>
      <w:rFonts w:asciiTheme="minorHAnsi" w:hAnsiTheme="minorHAnsi" w:cs="Arial"/>
    </w:rPr>
  </w:style>
  <w:style w:type="paragraph" w:customStyle="1" w:styleId="ExecSumBodyText">
    <w:name w:val="Exec Sum Body Text"/>
    <w:basedOn w:val="Normal"/>
    <w:link w:val="ExecSumBodyTextChar"/>
    <w:uiPriority w:val="99"/>
    <w:qFormat/>
    <w:rsid w:val="00A35BF0"/>
    <w:pPr>
      <w:numPr>
        <w:ilvl w:val="1"/>
        <w:numId w:val="7"/>
      </w:numPr>
      <w:snapToGrid w:val="0"/>
      <w:spacing w:after="120"/>
      <w:jc w:val="both"/>
    </w:pPr>
    <w:rPr>
      <w:rFonts w:asciiTheme="minorHAnsi" w:hAnsiTheme="minorHAnsi" w:cs="Arial"/>
    </w:rPr>
  </w:style>
  <w:style w:type="character" w:styleId="FollowedHyperlink">
    <w:name w:val="FollowedHyperlink"/>
    <w:basedOn w:val="DefaultParagraphFont"/>
    <w:semiHidden/>
    <w:unhideWhenUsed/>
    <w:rsid w:val="00642B51"/>
    <w:rPr>
      <w:color w:val="800080" w:themeColor="followedHyperlink"/>
      <w:u w:val="single"/>
    </w:rPr>
  </w:style>
  <w:style w:type="paragraph" w:styleId="Quote">
    <w:name w:val="Quote"/>
    <w:basedOn w:val="Normal"/>
    <w:next w:val="Normal"/>
    <w:link w:val="QuoteChar"/>
    <w:uiPriority w:val="29"/>
    <w:qFormat/>
    <w:rsid w:val="001D30A0"/>
    <w:pPr>
      <w:spacing w:before="240" w:after="60"/>
      <w:ind w:left="142" w:right="-663" w:hanging="142"/>
    </w:pPr>
    <w:rPr>
      <w:i/>
      <w:iCs/>
      <w:color w:val="000000" w:themeColor="text1"/>
      <w:sz w:val="24"/>
      <w:szCs w:val="24"/>
      <w:lang w:eastAsia="en-US"/>
    </w:rPr>
  </w:style>
  <w:style w:type="character" w:customStyle="1" w:styleId="QuoteChar">
    <w:name w:val="Quote Char"/>
    <w:basedOn w:val="DefaultParagraphFont"/>
    <w:link w:val="Quote"/>
    <w:uiPriority w:val="29"/>
    <w:rsid w:val="001D30A0"/>
    <w:rPr>
      <w:i/>
      <w:iCs/>
      <w:color w:val="000000" w:themeColor="text1"/>
      <w:sz w:val="24"/>
      <w:szCs w:val="24"/>
      <w:lang w:eastAsia="en-US"/>
    </w:rPr>
  </w:style>
  <w:style w:type="paragraph" w:styleId="NoSpacing">
    <w:name w:val="No Spacing"/>
    <w:basedOn w:val="Normal"/>
    <w:link w:val="NoSpacingChar"/>
    <w:uiPriority w:val="1"/>
    <w:qFormat/>
    <w:rsid w:val="008D62B4"/>
    <w:pPr>
      <w:jc w:val="both"/>
    </w:pPr>
    <w:rPr>
      <w:rFonts w:asciiTheme="minorHAnsi" w:hAnsiTheme="minorHAnsi" w:cstheme="minorHAnsi"/>
      <w:sz w:val="24"/>
      <w:szCs w:val="24"/>
      <w:lang w:eastAsia="en-US"/>
    </w:rPr>
  </w:style>
  <w:style w:type="character" w:customStyle="1" w:styleId="NoSpacingChar">
    <w:name w:val="No Spacing Char"/>
    <w:basedOn w:val="DefaultParagraphFont"/>
    <w:link w:val="NoSpacing"/>
    <w:uiPriority w:val="1"/>
    <w:rsid w:val="008D62B4"/>
    <w:rPr>
      <w:rFonts w:asciiTheme="minorHAnsi" w:hAnsiTheme="minorHAnsi" w:cstheme="minorHAnsi"/>
      <w:sz w:val="24"/>
      <w:szCs w:val="24"/>
      <w:lang w:eastAsia="en-US"/>
    </w:rPr>
  </w:style>
  <w:style w:type="paragraph" w:customStyle="1" w:styleId="2Sections">
    <w:name w:val="2. Sections"/>
    <w:qFormat/>
    <w:rsid w:val="0061444C"/>
    <w:pPr>
      <w:spacing w:before="240" w:after="120"/>
      <w:ind w:left="720" w:hanging="720"/>
      <w:outlineLvl w:val="0"/>
    </w:pPr>
    <w:rPr>
      <w:rFonts w:asciiTheme="minorHAnsi" w:hAnsiTheme="minorHAnsi" w:cs="Arial"/>
      <w:b/>
      <w:snapToGrid w:val="0"/>
      <w:sz w:val="32"/>
      <w:szCs w:val="32"/>
      <w:lang w:eastAsia="en-US"/>
    </w:rPr>
  </w:style>
  <w:style w:type="paragraph" w:customStyle="1" w:styleId="4Bodytextnumbered">
    <w:name w:val="4. Body text numbered"/>
    <w:basedOn w:val="ListParagraph"/>
    <w:qFormat/>
    <w:rsid w:val="0061444C"/>
    <w:pPr>
      <w:spacing w:after="120"/>
      <w:ind w:hanging="720"/>
      <w:contextualSpacing w:val="0"/>
      <w:jc w:val="both"/>
    </w:pPr>
    <w:rPr>
      <w:rFonts w:asciiTheme="minorHAnsi" w:eastAsiaTheme="minorHAnsi" w:hAnsiTheme="minorHAnsi" w:cstheme="minorBidi"/>
      <w:szCs w:val="22"/>
      <w:lang w:eastAsia="en-US"/>
    </w:rPr>
  </w:style>
  <w:style w:type="paragraph" w:customStyle="1" w:styleId="Tablewriting">
    <w:name w:val="Table writing"/>
    <w:basedOn w:val="Normal"/>
    <w:qFormat/>
    <w:rsid w:val="003A37BF"/>
    <w:pPr>
      <w:autoSpaceDE w:val="0"/>
      <w:autoSpaceDN w:val="0"/>
      <w:adjustRightInd w:val="0"/>
      <w:spacing w:before="60" w:after="60"/>
    </w:pPr>
    <w:rPr>
      <w:rFonts w:asciiTheme="minorHAnsi" w:eastAsiaTheme="minorEastAsia" w:hAnsiTheme="minorHAnsi" w:cs="Calibri"/>
      <w:color w:val="000000"/>
    </w:rPr>
  </w:style>
  <w:style w:type="character" w:styleId="UnresolvedMention">
    <w:name w:val="Unresolved Mention"/>
    <w:basedOn w:val="DefaultParagraphFont"/>
    <w:uiPriority w:val="99"/>
    <w:semiHidden/>
    <w:unhideWhenUsed/>
    <w:rsid w:val="00427E91"/>
    <w:rPr>
      <w:color w:val="605E5C"/>
      <w:shd w:val="clear" w:color="auto" w:fill="E1DFDD"/>
    </w:rPr>
  </w:style>
  <w:style w:type="paragraph" w:customStyle="1" w:styleId="3-BodyText">
    <w:name w:val="3-Body Text"/>
    <w:basedOn w:val="ListParagraph"/>
    <w:link w:val="3-BodyTextChar"/>
    <w:qFormat/>
    <w:rsid w:val="00120070"/>
    <w:pPr>
      <w:spacing w:after="120"/>
      <w:ind w:hanging="720"/>
      <w:contextualSpacing w:val="0"/>
      <w:jc w:val="both"/>
    </w:pPr>
    <w:rPr>
      <w:rFonts w:asciiTheme="minorHAnsi" w:eastAsia="Times New Roman" w:hAnsiTheme="minorHAnsi" w:cs="Arial"/>
      <w:snapToGrid w:val="0"/>
    </w:rPr>
  </w:style>
  <w:style w:type="character" w:customStyle="1" w:styleId="3-BodyTextChar">
    <w:name w:val="3-Body Text Char"/>
    <w:basedOn w:val="DefaultParagraphFont"/>
    <w:link w:val="3-BodyText"/>
    <w:rsid w:val="00120070"/>
    <w:rPr>
      <w:rFonts w:asciiTheme="minorHAnsi" w:hAnsiTheme="minorHAnsi" w:cs="Arial"/>
      <w:snapToGrid w:val="0"/>
      <w:sz w:val="24"/>
      <w:szCs w:val="24"/>
    </w:rPr>
  </w:style>
  <w:style w:type="character" w:styleId="FootnoteReference">
    <w:name w:val="footnote reference"/>
    <w:basedOn w:val="DefaultParagraphFont"/>
    <w:uiPriority w:val="99"/>
    <w:semiHidden/>
    <w:unhideWhenUsed/>
    <w:rsid w:val="00273042"/>
    <w:rPr>
      <w:vertAlign w:val="superscript"/>
    </w:rPr>
  </w:style>
  <w:style w:type="character" w:customStyle="1" w:styleId="normaltextrun">
    <w:name w:val="normaltextrun"/>
    <w:basedOn w:val="DefaultParagraphFont"/>
    <w:rsid w:val="003D4AED"/>
  </w:style>
  <w:style w:type="paragraph" w:customStyle="1" w:styleId="commentcontentpara">
    <w:name w:val="commentcontentpara"/>
    <w:basedOn w:val="Normal"/>
    <w:rsid w:val="001C41DA"/>
    <w:pPr>
      <w:spacing w:before="100" w:beforeAutospacing="1" w:after="100" w:afterAutospacing="1"/>
    </w:pPr>
    <w:rPr>
      <w:sz w:val="24"/>
      <w:szCs w:val="24"/>
    </w:rPr>
  </w:style>
  <w:style w:type="character" w:customStyle="1" w:styleId="cf01">
    <w:name w:val="cf01"/>
    <w:basedOn w:val="DefaultParagraphFont"/>
    <w:rsid w:val="009B3BC3"/>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4904">
      <w:bodyDiv w:val="1"/>
      <w:marLeft w:val="0"/>
      <w:marRight w:val="0"/>
      <w:marTop w:val="0"/>
      <w:marBottom w:val="0"/>
      <w:divBdr>
        <w:top w:val="none" w:sz="0" w:space="0" w:color="auto"/>
        <w:left w:val="none" w:sz="0" w:space="0" w:color="auto"/>
        <w:bottom w:val="none" w:sz="0" w:space="0" w:color="auto"/>
        <w:right w:val="none" w:sz="0" w:space="0" w:color="auto"/>
      </w:divBdr>
    </w:div>
    <w:div w:id="12726310">
      <w:bodyDiv w:val="1"/>
      <w:marLeft w:val="0"/>
      <w:marRight w:val="0"/>
      <w:marTop w:val="0"/>
      <w:marBottom w:val="0"/>
      <w:divBdr>
        <w:top w:val="none" w:sz="0" w:space="0" w:color="auto"/>
        <w:left w:val="none" w:sz="0" w:space="0" w:color="auto"/>
        <w:bottom w:val="none" w:sz="0" w:space="0" w:color="auto"/>
        <w:right w:val="none" w:sz="0" w:space="0" w:color="auto"/>
      </w:divBdr>
    </w:div>
    <w:div w:id="17506909">
      <w:bodyDiv w:val="1"/>
      <w:marLeft w:val="0"/>
      <w:marRight w:val="0"/>
      <w:marTop w:val="0"/>
      <w:marBottom w:val="0"/>
      <w:divBdr>
        <w:top w:val="none" w:sz="0" w:space="0" w:color="auto"/>
        <w:left w:val="none" w:sz="0" w:space="0" w:color="auto"/>
        <w:bottom w:val="none" w:sz="0" w:space="0" w:color="auto"/>
        <w:right w:val="none" w:sz="0" w:space="0" w:color="auto"/>
      </w:divBdr>
    </w:div>
    <w:div w:id="21715848">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30419117">
      <w:bodyDiv w:val="1"/>
      <w:marLeft w:val="0"/>
      <w:marRight w:val="0"/>
      <w:marTop w:val="0"/>
      <w:marBottom w:val="0"/>
      <w:divBdr>
        <w:top w:val="none" w:sz="0" w:space="0" w:color="auto"/>
        <w:left w:val="none" w:sz="0" w:space="0" w:color="auto"/>
        <w:bottom w:val="none" w:sz="0" w:space="0" w:color="auto"/>
        <w:right w:val="none" w:sz="0" w:space="0" w:color="auto"/>
      </w:divBdr>
    </w:div>
    <w:div w:id="30618514">
      <w:bodyDiv w:val="1"/>
      <w:marLeft w:val="0"/>
      <w:marRight w:val="0"/>
      <w:marTop w:val="0"/>
      <w:marBottom w:val="0"/>
      <w:divBdr>
        <w:top w:val="none" w:sz="0" w:space="0" w:color="auto"/>
        <w:left w:val="none" w:sz="0" w:space="0" w:color="auto"/>
        <w:bottom w:val="none" w:sz="0" w:space="0" w:color="auto"/>
        <w:right w:val="none" w:sz="0" w:space="0" w:color="auto"/>
      </w:divBdr>
    </w:div>
    <w:div w:id="38482908">
      <w:bodyDiv w:val="1"/>
      <w:marLeft w:val="0"/>
      <w:marRight w:val="0"/>
      <w:marTop w:val="0"/>
      <w:marBottom w:val="0"/>
      <w:divBdr>
        <w:top w:val="none" w:sz="0" w:space="0" w:color="auto"/>
        <w:left w:val="none" w:sz="0" w:space="0" w:color="auto"/>
        <w:bottom w:val="none" w:sz="0" w:space="0" w:color="auto"/>
        <w:right w:val="none" w:sz="0" w:space="0" w:color="auto"/>
      </w:divBdr>
    </w:div>
    <w:div w:id="39327168">
      <w:bodyDiv w:val="1"/>
      <w:marLeft w:val="0"/>
      <w:marRight w:val="0"/>
      <w:marTop w:val="0"/>
      <w:marBottom w:val="0"/>
      <w:divBdr>
        <w:top w:val="none" w:sz="0" w:space="0" w:color="auto"/>
        <w:left w:val="none" w:sz="0" w:space="0" w:color="auto"/>
        <w:bottom w:val="none" w:sz="0" w:space="0" w:color="auto"/>
        <w:right w:val="none" w:sz="0" w:space="0" w:color="auto"/>
      </w:divBdr>
    </w:div>
    <w:div w:id="42606998">
      <w:bodyDiv w:val="1"/>
      <w:marLeft w:val="0"/>
      <w:marRight w:val="0"/>
      <w:marTop w:val="0"/>
      <w:marBottom w:val="0"/>
      <w:divBdr>
        <w:top w:val="none" w:sz="0" w:space="0" w:color="auto"/>
        <w:left w:val="none" w:sz="0" w:space="0" w:color="auto"/>
        <w:bottom w:val="none" w:sz="0" w:space="0" w:color="auto"/>
        <w:right w:val="none" w:sz="0" w:space="0" w:color="auto"/>
      </w:divBdr>
    </w:div>
    <w:div w:id="44527400">
      <w:bodyDiv w:val="1"/>
      <w:marLeft w:val="0"/>
      <w:marRight w:val="0"/>
      <w:marTop w:val="0"/>
      <w:marBottom w:val="0"/>
      <w:divBdr>
        <w:top w:val="none" w:sz="0" w:space="0" w:color="auto"/>
        <w:left w:val="none" w:sz="0" w:space="0" w:color="auto"/>
        <w:bottom w:val="none" w:sz="0" w:space="0" w:color="auto"/>
        <w:right w:val="none" w:sz="0" w:space="0" w:color="auto"/>
      </w:divBdr>
    </w:div>
    <w:div w:id="49698225">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8260771">
      <w:bodyDiv w:val="1"/>
      <w:marLeft w:val="0"/>
      <w:marRight w:val="0"/>
      <w:marTop w:val="0"/>
      <w:marBottom w:val="0"/>
      <w:divBdr>
        <w:top w:val="none" w:sz="0" w:space="0" w:color="auto"/>
        <w:left w:val="none" w:sz="0" w:space="0" w:color="auto"/>
        <w:bottom w:val="none" w:sz="0" w:space="0" w:color="auto"/>
        <w:right w:val="none" w:sz="0" w:space="0" w:color="auto"/>
      </w:divBdr>
    </w:div>
    <w:div w:id="78602948">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86199920">
      <w:bodyDiv w:val="1"/>
      <w:marLeft w:val="0"/>
      <w:marRight w:val="0"/>
      <w:marTop w:val="0"/>
      <w:marBottom w:val="0"/>
      <w:divBdr>
        <w:top w:val="none" w:sz="0" w:space="0" w:color="auto"/>
        <w:left w:val="none" w:sz="0" w:space="0" w:color="auto"/>
        <w:bottom w:val="none" w:sz="0" w:space="0" w:color="auto"/>
        <w:right w:val="none" w:sz="0" w:space="0" w:color="auto"/>
      </w:divBdr>
    </w:div>
    <w:div w:id="93676734">
      <w:bodyDiv w:val="1"/>
      <w:marLeft w:val="0"/>
      <w:marRight w:val="0"/>
      <w:marTop w:val="0"/>
      <w:marBottom w:val="0"/>
      <w:divBdr>
        <w:top w:val="none" w:sz="0" w:space="0" w:color="auto"/>
        <w:left w:val="none" w:sz="0" w:space="0" w:color="auto"/>
        <w:bottom w:val="none" w:sz="0" w:space="0" w:color="auto"/>
        <w:right w:val="none" w:sz="0" w:space="0" w:color="auto"/>
      </w:divBdr>
    </w:div>
    <w:div w:id="100035097">
      <w:bodyDiv w:val="1"/>
      <w:marLeft w:val="0"/>
      <w:marRight w:val="0"/>
      <w:marTop w:val="0"/>
      <w:marBottom w:val="0"/>
      <w:divBdr>
        <w:top w:val="none" w:sz="0" w:space="0" w:color="auto"/>
        <w:left w:val="none" w:sz="0" w:space="0" w:color="auto"/>
        <w:bottom w:val="none" w:sz="0" w:space="0" w:color="auto"/>
        <w:right w:val="none" w:sz="0" w:space="0" w:color="auto"/>
      </w:divBdr>
    </w:div>
    <w:div w:id="102237776">
      <w:bodyDiv w:val="1"/>
      <w:marLeft w:val="0"/>
      <w:marRight w:val="0"/>
      <w:marTop w:val="0"/>
      <w:marBottom w:val="0"/>
      <w:divBdr>
        <w:top w:val="none" w:sz="0" w:space="0" w:color="auto"/>
        <w:left w:val="none" w:sz="0" w:space="0" w:color="auto"/>
        <w:bottom w:val="none" w:sz="0" w:space="0" w:color="auto"/>
        <w:right w:val="none" w:sz="0" w:space="0" w:color="auto"/>
      </w:divBdr>
    </w:div>
    <w:div w:id="109008514">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815">
      <w:bodyDiv w:val="1"/>
      <w:marLeft w:val="0"/>
      <w:marRight w:val="0"/>
      <w:marTop w:val="0"/>
      <w:marBottom w:val="0"/>
      <w:divBdr>
        <w:top w:val="none" w:sz="0" w:space="0" w:color="auto"/>
        <w:left w:val="none" w:sz="0" w:space="0" w:color="auto"/>
        <w:bottom w:val="none" w:sz="0" w:space="0" w:color="auto"/>
        <w:right w:val="none" w:sz="0" w:space="0" w:color="auto"/>
      </w:divBdr>
    </w:div>
    <w:div w:id="149106779">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59390996">
      <w:bodyDiv w:val="1"/>
      <w:marLeft w:val="0"/>
      <w:marRight w:val="0"/>
      <w:marTop w:val="0"/>
      <w:marBottom w:val="0"/>
      <w:divBdr>
        <w:top w:val="none" w:sz="0" w:space="0" w:color="auto"/>
        <w:left w:val="none" w:sz="0" w:space="0" w:color="auto"/>
        <w:bottom w:val="none" w:sz="0" w:space="0" w:color="auto"/>
        <w:right w:val="none" w:sz="0" w:space="0" w:color="auto"/>
      </w:divBdr>
    </w:div>
    <w:div w:id="170413016">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4387919">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197739570">
      <w:bodyDiv w:val="1"/>
      <w:marLeft w:val="0"/>
      <w:marRight w:val="0"/>
      <w:marTop w:val="0"/>
      <w:marBottom w:val="0"/>
      <w:divBdr>
        <w:top w:val="none" w:sz="0" w:space="0" w:color="auto"/>
        <w:left w:val="none" w:sz="0" w:space="0" w:color="auto"/>
        <w:bottom w:val="none" w:sz="0" w:space="0" w:color="auto"/>
        <w:right w:val="none" w:sz="0" w:space="0" w:color="auto"/>
      </w:divBdr>
    </w:div>
    <w:div w:id="198864661">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1452626">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309872">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61110226">
      <w:bodyDiv w:val="1"/>
      <w:marLeft w:val="0"/>
      <w:marRight w:val="0"/>
      <w:marTop w:val="0"/>
      <w:marBottom w:val="0"/>
      <w:divBdr>
        <w:top w:val="none" w:sz="0" w:space="0" w:color="auto"/>
        <w:left w:val="none" w:sz="0" w:space="0" w:color="auto"/>
        <w:bottom w:val="none" w:sz="0" w:space="0" w:color="auto"/>
        <w:right w:val="none" w:sz="0" w:space="0" w:color="auto"/>
      </w:divBdr>
    </w:div>
    <w:div w:id="262148266">
      <w:bodyDiv w:val="1"/>
      <w:marLeft w:val="0"/>
      <w:marRight w:val="0"/>
      <w:marTop w:val="0"/>
      <w:marBottom w:val="0"/>
      <w:divBdr>
        <w:top w:val="none" w:sz="0" w:space="0" w:color="auto"/>
        <w:left w:val="none" w:sz="0" w:space="0" w:color="auto"/>
        <w:bottom w:val="none" w:sz="0" w:space="0" w:color="auto"/>
        <w:right w:val="none" w:sz="0" w:space="0" w:color="auto"/>
      </w:divBdr>
    </w:div>
    <w:div w:id="269170932">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77833250">
      <w:bodyDiv w:val="1"/>
      <w:marLeft w:val="0"/>
      <w:marRight w:val="0"/>
      <w:marTop w:val="0"/>
      <w:marBottom w:val="0"/>
      <w:divBdr>
        <w:top w:val="none" w:sz="0" w:space="0" w:color="auto"/>
        <w:left w:val="none" w:sz="0" w:space="0" w:color="auto"/>
        <w:bottom w:val="none" w:sz="0" w:space="0" w:color="auto"/>
        <w:right w:val="none" w:sz="0" w:space="0" w:color="auto"/>
      </w:divBdr>
    </w:div>
    <w:div w:id="278028945">
      <w:bodyDiv w:val="1"/>
      <w:marLeft w:val="0"/>
      <w:marRight w:val="0"/>
      <w:marTop w:val="0"/>
      <w:marBottom w:val="0"/>
      <w:divBdr>
        <w:top w:val="none" w:sz="0" w:space="0" w:color="auto"/>
        <w:left w:val="none" w:sz="0" w:space="0" w:color="auto"/>
        <w:bottom w:val="none" w:sz="0" w:space="0" w:color="auto"/>
        <w:right w:val="none" w:sz="0" w:space="0" w:color="auto"/>
      </w:divBdr>
    </w:div>
    <w:div w:id="283926532">
      <w:bodyDiv w:val="1"/>
      <w:marLeft w:val="0"/>
      <w:marRight w:val="0"/>
      <w:marTop w:val="0"/>
      <w:marBottom w:val="0"/>
      <w:divBdr>
        <w:top w:val="none" w:sz="0" w:space="0" w:color="auto"/>
        <w:left w:val="none" w:sz="0" w:space="0" w:color="auto"/>
        <w:bottom w:val="none" w:sz="0" w:space="0" w:color="auto"/>
        <w:right w:val="none" w:sz="0" w:space="0" w:color="auto"/>
      </w:divBdr>
    </w:div>
    <w:div w:id="284431974">
      <w:bodyDiv w:val="1"/>
      <w:marLeft w:val="0"/>
      <w:marRight w:val="0"/>
      <w:marTop w:val="0"/>
      <w:marBottom w:val="0"/>
      <w:divBdr>
        <w:top w:val="none" w:sz="0" w:space="0" w:color="auto"/>
        <w:left w:val="none" w:sz="0" w:space="0" w:color="auto"/>
        <w:bottom w:val="none" w:sz="0" w:space="0" w:color="auto"/>
        <w:right w:val="none" w:sz="0" w:space="0" w:color="auto"/>
      </w:divBdr>
    </w:div>
    <w:div w:id="287012127">
      <w:bodyDiv w:val="1"/>
      <w:marLeft w:val="0"/>
      <w:marRight w:val="0"/>
      <w:marTop w:val="0"/>
      <w:marBottom w:val="0"/>
      <w:divBdr>
        <w:top w:val="none" w:sz="0" w:space="0" w:color="auto"/>
        <w:left w:val="none" w:sz="0" w:space="0" w:color="auto"/>
        <w:bottom w:val="none" w:sz="0" w:space="0" w:color="auto"/>
        <w:right w:val="none" w:sz="0" w:space="0" w:color="auto"/>
      </w:divBdr>
    </w:div>
    <w:div w:id="287126852">
      <w:bodyDiv w:val="1"/>
      <w:marLeft w:val="0"/>
      <w:marRight w:val="0"/>
      <w:marTop w:val="0"/>
      <w:marBottom w:val="0"/>
      <w:divBdr>
        <w:top w:val="none" w:sz="0" w:space="0" w:color="auto"/>
        <w:left w:val="none" w:sz="0" w:space="0" w:color="auto"/>
        <w:bottom w:val="none" w:sz="0" w:space="0" w:color="auto"/>
        <w:right w:val="none" w:sz="0" w:space="0" w:color="auto"/>
      </w:divBdr>
    </w:div>
    <w:div w:id="290595589">
      <w:bodyDiv w:val="1"/>
      <w:marLeft w:val="0"/>
      <w:marRight w:val="0"/>
      <w:marTop w:val="0"/>
      <w:marBottom w:val="0"/>
      <w:divBdr>
        <w:top w:val="none" w:sz="0" w:space="0" w:color="auto"/>
        <w:left w:val="none" w:sz="0" w:space="0" w:color="auto"/>
        <w:bottom w:val="none" w:sz="0" w:space="0" w:color="auto"/>
        <w:right w:val="none" w:sz="0" w:space="0" w:color="auto"/>
      </w:divBdr>
    </w:div>
    <w:div w:id="305866709">
      <w:bodyDiv w:val="1"/>
      <w:marLeft w:val="0"/>
      <w:marRight w:val="0"/>
      <w:marTop w:val="0"/>
      <w:marBottom w:val="0"/>
      <w:divBdr>
        <w:top w:val="none" w:sz="0" w:space="0" w:color="auto"/>
        <w:left w:val="none" w:sz="0" w:space="0" w:color="auto"/>
        <w:bottom w:val="none" w:sz="0" w:space="0" w:color="auto"/>
        <w:right w:val="none" w:sz="0" w:space="0" w:color="auto"/>
      </w:divBdr>
    </w:div>
    <w:div w:id="307396148">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1102701">
      <w:bodyDiv w:val="1"/>
      <w:marLeft w:val="0"/>
      <w:marRight w:val="0"/>
      <w:marTop w:val="0"/>
      <w:marBottom w:val="0"/>
      <w:divBdr>
        <w:top w:val="none" w:sz="0" w:space="0" w:color="auto"/>
        <w:left w:val="none" w:sz="0" w:space="0" w:color="auto"/>
        <w:bottom w:val="none" w:sz="0" w:space="0" w:color="auto"/>
        <w:right w:val="none" w:sz="0" w:space="0" w:color="auto"/>
      </w:divBdr>
    </w:div>
    <w:div w:id="33627743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50028983">
      <w:bodyDiv w:val="1"/>
      <w:marLeft w:val="0"/>
      <w:marRight w:val="0"/>
      <w:marTop w:val="0"/>
      <w:marBottom w:val="0"/>
      <w:divBdr>
        <w:top w:val="none" w:sz="0" w:space="0" w:color="auto"/>
        <w:left w:val="none" w:sz="0" w:space="0" w:color="auto"/>
        <w:bottom w:val="none" w:sz="0" w:space="0" w:color="auto"/>
        <w:right w:val="none" w:sz="0" w:space="0" w:color="auto"/>
      </w:divBdr>
    </w:div>
    <w:div w:id="36205195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0813506">
      <w:bodyDiv w:val="1"/>
      <w:marLeft w:val="0"/>
      <w:marRight w:val="0"/>
      <w:marTop w:val="0"/>
      <w:marBottom w:val="0"/>
      <w:divBdr>
        <w:top w:val="none" w:sz="0" w:space="0" w:color="auto"/>
        <w:left w:val="none" w:sz="0" w:space="0" w:color="auto"/>
        <w:bottom w:val="none" w:sz="0" w:space="0" w:color="auto"/>
        <w:right w:val="none" w:sz="0" w:space="0" w:color="auto"/>
      </w:divBdr>
    </w:div>
    <w:div w:id="373621871">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6244455">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09607">
      <w:bodyDiv w:val="1"/>
      <w:marLeft w:val="0"/>
      <w:marRight w:val="0"/>
      <w:marTop w:val="0"/>
      <w:marBottom w:val="0"/>
      <w:divBdr>
        <w:top w:val="none" w:sz="0" w:space="0" w:color="auto"/>
        <w:left w:val="none" w:sz="0" w:space="0" w:color="auto"/>
        <w:bottom w:val="none" w:sz="0" w:space="0" w:color="auto"/>
        <w:right w:val="none" w:sz="0" w:space="0" w:color="auto"/>
      </w:divBdr>
    </w:div>
    <w:div w:id="428045846">
      <w:bodyDiv w:val="1"/>
      <w:marLeft w:val="0"/>
      <w:marRight w:val="0"/>
      <w:marTop w:val="0"/>
      <w:marBottom w:val="0"/>
      <w:divBdr>
        <w:top w:val="none" w:sz="0" w:space="0" w:color="auto"/>
        <w:left w:val="none" w:sz="0" w:space="0" w:color="auto"/>
        <w:bottom w:val="none" w:sz="0" w:space="0" w:color="auto"/>
        <w:right w:val="none" w:sz="0" w:space="0" w:color="auto"/>
      </w:divBdr>
    </w:div>
    <w:div w:id="429351912">
      <w:bodyDiv w:val="1"/>
      <w:marLeft w:val="0"/>
      <w:marRight w:val="0"/>
      <w:marTop w:val="0"/>
      <w:marBottom w:val="0"/>
      <w:divBdr>
        <w:top w:val="none" w:sz="0" w:space="0" w:color="auto"/>
        <w:left w:val="none" w:sz="0" w:space="0" w:color="auto"/>
        <w:bottom w:val="none" w:sz="0" w:space="0" w:color="auto"/>
        <w:right w:val="none" w:sz="0" w:space="0" w:color="auto"/>
      </w:divBdr>
    </w:div>
    <w:div w:id="437867935">
      <w:bodyDiv w:val="1"/>
      <w:marLeft w:val="0"/>
      <w:marRight w:val="0"/>
      <w:marTop w:val="0"/>
      <w:marBottom w:val="0"/>
      <w:divBdr>
        <w:top w:val="none" w:sz="0" w:space="0" w:color="auto"/>
        <w:left w:val="none" w:sz="0" w:space="0" w:color="auto"/>
        <w:bottom w:val="none" w:sz="0" w:space="0" w:color="auto"/>
        <w:right w:val="none" w:sz="0" w:space="0" w:color="auto"/>
      </w:divBdr>
    </w:div>
    <w:div w:id="437986911">
      <w:bodyDiv w:val="1"/>
      <w:marLeft w:val="0"/>
      <w:marRight w:val="0"/>
      <w:marTop w:val="0"/>
      <w:marBottom w:val="0"/>
      <w:divBdr>
        <w:top w:val="none" w:sz="0" w:space="0" w:color="auto"/>
        <w:left w:val="none" w:sz="0" w:space="0" w:color="auto"/>
        <w:bottom w:val="none" w:sz="0" w:space="0" w:color="auto"/>
        <w:right w:val="none" w:sz="0" w:space="0" w:color="auto"/>
      </w:divBdr>
    </w:div>
    <w:div w:id="44952081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6630068">
      <w:bodyDiv w:val="1"/>
      <w:marLeft w:val="0"/>
      <w:marRight w:val="0"/>
      <w:marTop w:val="0"/>
      <w:marBottom w:val="0"/>
      <w:divBdr>
        <w:top w:val="none" w:sz="0" w:space="0" w:color="auto"/>
        <w:left w:val="none" w:sz="0" w:space="0" w:color="auto"/>
        <w:bottom w:val="none" w:sz="0" w:space="0" w:color="auto"/>
        <w:right w:val="none" w:sz="0" w:space="0" w:color="auto"/>
      </w:divBdr>
    </w:div>
    <w:div w:id="473520806">
      <w:bodyDiv w:val="1"/>
      <w:marLeft w:val="0"/>
      <w:marRight w:val="0"/>
      <w:marTop w:val="0"/>
      <w:marBottom w:val="0"/>
      <w:divBdr>
        <w:top w:val="none" w:sz="0" w:space="0" w:color="auto"/>
        <w:left w:val="none" w:sz="0" w:space="0" w:color="auto"/>
        <w:bottom w:val="none" w:sz="0" w:space="0" w:color="auto"/>
        <w:right w:val="none" w:sz="0" w:space="0" w:color="auto"/>
      </w:divBdr>
    </w:div>
    <w:div w:id="475339772">
      <w:bodyDiv w:val="1"/>
      <w:marLeft w:val="0"/>
      <w:marRight w:val="0"/>
      <w:marTop w:val="0"/>
      <w:marBottom w:val="0"/>
      <w:divBdr>
        <w:top w:val="none" w:sz="0" w:space="0" w:color="auto"/>
        <w:left w:val="none" w:sz="0" w:space="0" w:color="auto"/>
        <w:bottom w:val="none" w:sz="0" w:space="0" w:color="auto"/>
        <w:right w:val="none" w:sz="0" w:space="0" w:color="auto"/>
      </w:divBdr>
    </w:div>
    <w:div w:id="478497054">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8139631">
      <w:bodyDiv w:val="1"/>
      <w:marLeft w:val="0"/>
      <w:marRight w:val="0"/>
      <w:marTop w:val="0"/>
      <w:marBottom w:val="0"/>
      <w:divBdr>
        <w:top w:val="none" w:sz="0" w:space="0" w:color="auto"/>
        <w:left w:val="none" w:sz="0" w:space="0" w:color="auto"/>
        <w:bottom w:val="none" w:sz="0" w:space="0" w:color="auto"/>
        <w:right w:val="none" w:sz="0" w:space="0" w:color="auto"/>
      </w:divBdr>
    </w:div>
    <w:div w:id="494423005">
      <w:bodyDiv w:val="1"/>
      <w:marLeft w:val="0"/>
      <w:marRight w:val="0"/>
      <w:marTop w:val="0"/>
      <w:marBottom w:val="0"/>
      <w:divBdr>
        <w:top w:val="none" w:sz="0" w:space="0" w:color="auto"/>
        <w:left w:val="none" w:sz="0" w:space="0" w:color="auto"/>
        <w:bottom w:val="none" w:sz="0" w:space="0" w:color="auto"/>
        <w:right w:val="none" w:sz="0" w:space="0" w:color="auto"/>
      </w:divBdr>
    </w:div>
    <w:div w:id="502014915">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09370300">
      <w:bodyDiv w:val="1"/>
      <w:marLeft w:val="0"/>
      <w:marRight w:val="0"/>
      <w:marTop w:val="0"/>
      <w:marBottom w:val="0"/>
      <w:divBdr>
        <w:top w:val="none" w:sz="0" w:space="0" w:color="auto"/>
        <w:left w:val="none" w:sz="0" w:space="0" w:color="auto"/>
        <w:bottom w:val="none" w:sz="0" w:space="0" w:color="auto"/>
        <w:right w:val="none" w:sz="0" w:space="0" w:color="auto"/>
      </w:divBdr>
    </w:div>
    <w:div w:id="517888676">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0385049">
      <w:bodyDiv w:val="1"/>
      <w:marLeft w:val="0"/>
      <w:marRight w:val="0"/>
      <w:marTop w:val="0"/>
      <w:marBottom w:val="0"/>
      <w:divBdr>
        <w:top w:val="none" w:sz="0" w:space="0" w:color="auto"/>
        <w:left w:val="none" w:sz="0" w:space="0" w:color="auto"/>
        <w:bottom w:val="none" w:sz="0" w:space="0" w:color="auto"/>
        <w:right w:val="none" w:sz="0" w:space="0" w:color="auto"/>
      </w:divBdr>
    </w:div>
    <w:div w:id="532499012">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39971603">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6334289">
      <w:bodyDiv w:val="1"/>
      <w:marLeft w:val="0"/>
      <w:marRight w:val="0"/>
      <w:marTop w:val="0"/>
      <w:marBottom w:val="0"/>
      <w:divBdr>
        <w:top w:val="none" w:sz="0" w:space="0" w:color="auto"/>
        <w:left w:val="none" w:sz="0" w:space="0" w:color="auto"/>
        <w:bottom w:val="none" w:sz="0" w:space="0" w:color="auto"/>
        <w:right w:val="none" w:sz="0" w:space="0" w:color="auto"/>
      </w:divBdr>
    </w:div>
    <w:div w:id="547374723">
      <w:bodyDiv w:val="1"/>
      <w:marLeft w:val="0"/>
      <w:marRight w:val="0"/>
      <w:marTop w:val="0"/>
      <w:marBottom w:val="0"/>
      <w:divBdr>
        <w:top w:val="none" w:sz="0" w:space="0" w:color="auto"/>
        <w:left w:val="none" w:sz="0" w:space="0" w:color="auto"/>
        <w:bottom w:val="none" w:sz="0" w:space="0" w:color="auto"/>
        <w:right w:val="none" w:sz="0" w:space="0" w:color="auto"/>
      </w:divBdr>
    </w:div>
    <w:div w:id="553007000">
      <w:bodyDiv w:val="1"/>
      <w:marLeft w:val="0"/>
      <w:marRight w:val="0"/>
      <w:marTop w:val="0"/>
      <w:marBottom w:val="0"/>
      <w:divBdr>
        <w:top w:val="none" w:sz="0" w:space="0" w:color="auto"/>
        <w:left w:val="none" w:sz="0" w:space="0" w:color="auto"/>
        <w:bottom w:val="none" w:sz="0" w:space="0" w:color="auto"/>
        <w:right w:val="none" w:sz="0" w:space="0" w:color="auto"/>
      </w:divBdr>
    </w:div>
    <w:div w:id="561140185">
      <w:bodyDiv w:val="1"/>
      <w:marLeft w:val="0"/>
      <w:marRight w:val="0"/>
      <w:marTop w:val="0"/>
      <w:marBottom w:val="0"/>
      <w:divBdr>
        <w:top w:val="none" w:sz="0" w:space="0" w:color="auto"/>
        <w:left w:val="none" w:sz="0" w:space="0" w:color="auto"/>
        <w:bottom w:val="none" w:sz="0" w:space="0" w:color="auto"/>
        <w:right w:val="none" w:sz="0" w:space="0" w:color="auto"/>
      </w:divBdr>
    </w:div>
    <w:div w:id="564026402">
      <w:bodyDiv w:val="1"/>
      <w:marLeft w:val="0"/>
      <w:marRight w:val="0"/>
      <w:marTop w:val="0"/>
      <w:marBottom w:val="0"/>
      <w:divBdr>
        <w:top w:val="none" w:sz="0" w:space="0" w:color="auto"/>
        <w:left w:val="none" w:sz="0" w:space="0" w:color="auto"/>
        <w:bottom w:val="none" w:sz="0" w:space="0" w:color="auto"/>
        <w:right w:val="none" w:sz="0" w:space="0" w:color="auto"/>
      </w:divBdr>
    </w:div>
    <w:div w:id="566259580">
      <w:bodyDiv w:val="1"/>
      <w:marLeft w:val="0"/>
      <w:marRight w:val="0"/>
      <w:marTop w:val="0"/>
      <w:marBottom w:val="0"/>
      <w:divBdr>
        <w:top w:val="none" w:sz="0" w:space="0" w:color="auto"/>
        <w:left w:val="none" w:sz="0" w:space="0" w:color="auto"/>
        <w:bottom w:val="none" w:sz="0" w:space="0" w:color="auto"/>
        <w:right w:val="none" w:sz="0" w:space="0" w:color="auto"/>
      </w:divBdr>
    </w:div>
    <w:div w:id="568274447">
      <w:bodyDiv w:val="1"/>
      <w:marLeft w:val="0"/>
      <w:marRight w:val="0"/>
      <w:marTop w:val="0"/>
      <w:marBottom w:val="0"/>
      <w:divBdr>
        <w:top w:val="none" w:sz="0" w:space="0" w:color="auto"/>
        <w:left w:val="none" w:sz="0" w:space="0" w:color="auto"/>
        <w:bottom w:val="none" w:sz="0" w:space="0" w:color="auto"/>
        <w:right w:val="none" w:sz="0" w:space="0" w:color="auto"/>
      </w:divBdr>
    </w:div>
    <w:div w:id="569852536">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2736795">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2523594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9169519">
      <w:bodyDiv w:val="1"/>
      <w:marLeft w:val="0"/>
      <w:marRight w:val="0"/>
      <w:marTop w:val="0"/>
      <w:marBottom w:val="0"/>
      <w:divBdr>
        <w:top w:val="none" w:sz="0" w:space="0" w:color="auto"/>
        <w:left w:val="none" w:sz="0" w:space="0" w:color="auto"/>
        <w:bottom w:val="none" w:sz="0" w:space="0" w:color="auto"/>
        <w:right w:val="none" w:sz="0" w:space="0" w:color="auto"/>
      </w:divBdr>
    </w:div>
    <w:div w:id="654918750">
      <w:bodyDiv w:val="1"/>
      <w:marLeft w:val="0"/>
      <w:marRight w:val="0"/>
      <w:marTop w:val="0"/>
      <w:marBottom w:val="0"/>
      <w:divBdr>
        <w:top w:val="none" w:sz="0" w:space="0" w:color="auto"/>
        <w:left w:val="none" w:sz="0" w:space="0" w:color="auto"/>
        <w:bottom w:val="none" w:sz="0" w:space="0" w:color="auto"/>
        <w:right w:val="none" w:sz="0" w:space="0" w:color="auto"/>
      </w:divBdr>
    </w:div>
    <w:div w:id="659891731">
      <w:bodyDiv w:val="1"/>
      <w:marLeft w:val="0"/>
      <w:marRight w:val="0"/>
      <w:marTop w:val="0"/>
      <w:marBottom w:val="0"/>
      <w:divBdr>
        <w:top w:val="none" w:sz="0" w:space="0" w:color="auto"/>
        <w:left w:val="none" w:sz="0" w:space="0" w:color="auto"/>
        <w:bottom w:val="none" w:sz="0" w:space="0" w:color="auto"/>
        <w:right w:val="none" w:sz="0" w:space="0" w:color="auto"/>
      </w:divBdr>
    </w:div>
    <w:div w:id="689454014">
      <w:bodyDiv w:val="1"/>
      <w:marLeft w:val="0"/>
      <w:marRight w:val="0"/>
      <w:marTop w:val="0"/>
      <w:marBottom w:val="0"/>
      <w:divBdr>
        <w:top w:val="none" w:sz="0" w:space="0" w:color="auto"/>
        <w:left w:val="none" w:sz="0" w:space="0" w:color="auto"/>
        <w:bottom w:val="none" w:sz="0" w:space="0" w:color="auto"/>
        <w:right w:val="none" w:sz="0" w:space="0" w:color="auto"/>
      </w:divBdr>
    </w:div>
    <w:div w:id="695156804">
      <w:bodyDiv w:val="1"/>
      <w:marLeft w:val="0"/>
      <w:marRight w:val="0"/>
      <w:marTop w:val="0"/>
      <w:marBottom w:val="0"/>
      <w:divBdr>
        <w:top w:val="none" w:sz="0" w:space="0" w:color="auto"/>
        <w:left w:val="none" w:sz="0" w:space="0" w:color="auto"/>
        <w:bottom w:val="none" w:sz="0" w:space="0" w:color="auto"/>
        <w:right w:val="none" w:sz="0" w:space="0" w:color="auto"/>
      </w:divBdr>
    </w:div>
    <w:div w:id="710883354">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9232485">
      <w:bodyDiv w:val="1"/>
      <w:marLeft w:val="0"/>
      <w:marRight w:val="0"/>
      <w:marTop w:val="0"/>
      <w:marBottom w:val="0"/>
      <w:divBdr>
        <w:top w:val="none" w:sz="0" w:space="0" w:color="auto"/>
        <w:left w:val="none" w:sz="0" w:space="0" w:color="auto"/>
        <w:bottom w:val="none" w:sz="0" w:space="0" w:color="auto"/>
        <w:right w:val="none" w:sz="0" w:space="0" w:color="auto"/>
      </w:divBdr>
    </w:div>
    <w:div w:id="755983056">
      <w:bodyDiv w:val="1"/>
      <w:marLeft w:val="0"/>
      <w:marRight w:val="0"/>
      <w:marTop w:val="0"/>
      <w:marBottom w:val="0"/>
      <w:divBdr>
        <w:top w:val="none" w:sz="0" w:space="0" w:color="auto"/>
        <w:left w:val="none" w:sz="0" w:space="0" w:color="auto"/>
        <w:bottom w:val="none" w:sz="0" w:space="0" w:color="auto"/>
        <w:right w:val="none" w:sz="0" w:space="0" w:color="auto"/>
      </w:divBdr>
    </w:div>
    <w:div w:id="765345643">
      <w:bodyDiv w:val="1"/>
      <w:marLeft w:val="0"/>
      <w:marRight w:val="0"/>
      <w:marTop w:val="0"/>
      <w:marBottom w:val="0"/>
      <w:divBdr>
        <w:top w:val="none" w:sz="0" w:space="0" w:color="auto"/>
        <w:left w:val="none" w:sz="0" w:space="0" w:color="auto"/>
        <w:bottom w:val="none" w:sz="0" w:space="0" w:color="auto"/>
        <w:right w:val="none" w:sz="0" w:space="0" w:color="auto"/>
      </w:divBdr>
    </w:div>
    <w:div w:id="77486078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8257922">
      <w:bodyDiv w:val="1"/>
      <w:marLeft w:val="0"/>
      <w:marRight w:val="0"/>
      <w:marTop w:val="0"/>
      <w:marBottom w:val="0"/>
      <w:divBdr>
        <w:top w:val="none" w:sz="0" w:space="0" w:color="auto"/>
        <w:left w:val="none" w:sz="0" w:space="0" w:color="auto"/>
        <w:bottom w:val="none" w:sz="0" w:space="0" w:color="auto"/>
        <w:right w:val="none" w:sz="0" w:space="0" w:color="auto"/>
      </w:divBdr>
    </w:div>
    <w:div w:id="791091114">
      <w:bodyDiv w:val="1"/>
      <w:marLeft w:val="0"/>
      <w:marRight w:val="0"/>
      <w:marTop w:val="0"/>
      <w:marBottom w:val="0"/>
      <w:divBdr>
        <w:top w:val="none" w:sz="0" w:space="0" w:color="auto"/>
        <w:left w:val="none" w:sz="0" w:space="0" w:color="auto"/>
        <w:bottom w:val="none" w:sz="0" w:space="0" w:color="auto"/>
        <w:right w:val="none" w:sz="0" w:space="0" w:color="auto"/>
      </w:divBdr>
    </w:div>
    <w:div w:id="801120009">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3858419">
      <w:bodyDiv w:val="1"/>
      <w:marLeft w:val="0"/>
      <w:marRight w:val="0"/>
      <w:marTop w:val="0"/>
      <w:marBottom w:val="0"/>
      <w:divBdr>
        <w:top w:val="none" w:sz="0" w:space="0" w:color="auto"/>
        <w:left w:val="none" w:sz="0" w:space="0" w:color="auto"/>
        <w:bottom w:val="none" w:sz="0" w:space="0" w:color="auto"/>
        <w:right w:val="none" w:sz="0" w:space="0" w:color="auto"/>
      </w:divBdr>
    </w:div>
    <w:div w:id="833647241">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5824613">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5195507">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296281">
      <w:bodyDiv w:val="1"/>
      <w:marLeft w:val="0"/>
      <w:marRight w:val="0"/>
      <w:marTop w:val="0"/>
      <w:marBottom w:val="0"/>
      <w:divBdr>
        <w:top w:val="none" w:sz="0" w:space="0" w:color="auto"/>
        <w:left w:val="none" w:sz="0" w:space="0" w:color="auto"/>
        <w:bottom w:val="none" w:sz="0" w:space="0" w:color="auto"/>
        <w:right w:val="none" w:sz="0" w:space="0" w:color="auto"/>
      </w:divBdr>
    </w:div>
    <w:div w:id="882867782">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7187936">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892739765">
      <w:bodyDiv w:val="1"/>
      <w:marLeft w:val="0"/>
      <w:marRight w:val="0"/>
      <w:marTop w:val="0"/>
      <w:marBottom w:val="0"/>
      <w:divBdr>
        <w:top w:val="none" w:sz="0" w:space="0" w:color="auto"/>
        <w:left w:val="none" w:sz="0" w:space="0" w:color="auto"/>
        <w:bottom w:val="none" w:sz="0" w:space="0" w:color="auto"/>
        <w:right w:val="none" w:sz="0" w:space="0" w:color="auto"/>
      </w:divBdr>
    </w:div>
    <w:div w:id="900477946">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290">
      <w:bodyDiv w:val="1"/>
      <w:marLeft w:val="0"/>
      <w:marRight w:val="0"/>
      <w:marTop w:val="0"/>
      <w:marBottom w:val="0"/>
      <w:divBdr>
        <w:top w:val="none" w:sz="0" w:space="0" w:color="auto"/>
        <w:left w:val="none" w:sz="0" w:space="0" w:color="auto"/>
        <w:bottom w:val="none" w:sz="0" w:space="0" w:color="auto"/>
        <w:right w:val="none" w:sz="0" w:space="0" w:color="auto"/>
      </w:divBdr>
    </w:div>
    <w:div w:id="922035327">
      <w:bodyDiv w:val="1"/>
      <w:marLeft w:val="0"/>
      <w:marRight w:val="0"/>
      <w:marTop w:val="0"/>
      <w:marBottom w:val="0"/>
      <w:divBdr>
        <w:top w:val="none" w:sz="0" w:space="0" w:color="auto"/>
        <w:left w:val="none" w:sz="0" w:space="0" w:color="auto"/>
        <w:bottom w:val="none" w:sz="0" w:space="0" w:color="auto"/>
        <w:right w:val="none" w:sz="0" w:space="0" w:color="auto"/>
      </w:divBdr>
    </w:div>
    <w:div w:id="937786799">
      <w:bodyDiv w:val="1"/>
      <w:marLeft w:val="0"/>
      <w:marRight w:val="0"/>
      <w:marTop w:val="0"/>
      <w:marBottom w:val="0"/>
      <w:divBdr>
        <w:top w:val="none" w:sz="0" w:space="0" w:color="auto"/>
        <w:left w:val="none" w:sz="0" w:space="0" w:color="auto"/>
        <w:bottom w:val="none" w:sz="0" w:space="0" w:color="auto"/>
        <w:right w:val="none" w:sz="0" w:space="0" w:color="auto"/>
      </w:divBdr>
    </w:div>
    <w:div w:id="941687883">
      <w:bodyDiv w:val="1"/>
      <w:marLeft w:val="0"/>
      <w:marRight w:val="0"/>
      <w:marTop w:val="0"/>
      <w:marBottom w:val="0"/>
      <w:divBdr>
        <w:top w:val="none" w:sz="0" w:space="0" w:color="auto"/>
        <w:left w:val="none" w:sz="0" w:space="0" w:color="auto"/>
        <w:bottom w:val="none" w:sz="0" w:space="0" w:color="auto"/>
        <w:right w:val="none" w:sz="0" w:space="0" w:color="auto"/>
      </w:divBdr>
    </w:div>
    <w:div w:id="94341450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0430577">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4556088">
      <w:bodyDiv w:val="1"/>
      <w:marLeft w:val="0"/>
      <w:marRight w:val="0"/>
      <w:marTop w:val="0"/>
      <w:marBottom w:val="0"/>
      <w:divBdr>
        <w:top w:val="none" w:sz="0" w:space="0" w:color="auto"/>
        <w:left w:val="none" w:sz="0" w:space="0" w:color="auto"/>
        <w:bottom w:val="none" w:sz="0" w:space="0" w:color="auto"/>
        <w:right w:val="none" w:sz="0" w:space="0" w:color="auto"/>
      </w:divBdr>
    </w:div>
    <w:div w:id="955256250">
      <w:bodyDiv w:val="1"/>
      <w:marLeft w:val="0"/>
      <w:marRight w:val="0"/>
      <w:marTop w:val="0"/>
      <w:marBottom w:val="0"/>
      <w:divBdr>
        <w:top w:val="none" w:sz="0" w:space="0" w:color="auto"/>
        <w:left w:val="none" w:sz="0" w:space="0" w:color="auto"/>
        <w:bottom w:val="none" w:sz="0" w:space="0" w:color="auto"/>
        <w:right w:val="none" w:sz="0" w:space="0" w:color="auto"/>
      </w:divBdr>
    </w:div>
    <w:div w:id="965085253">
      <w:bodyDiv w:val="1"/>
      <w:marLeft w:val="0"/>
      <w:marRight w:val="0"/>
      <w:marTop w:val="0"/>
      <w:marBottom w:val="0"/>
      <w:divBdr>
        <w:top w:val="none" w:sz="0" w:space="0" w:color="auto"/>
        <w:left w:val="none" w:sz="0" w:space="0" w:color="auto"/>
        <w:bottom w:val="none" w:sz="0" w:space="0" w:color="auto"/>
        <w:right w:val="none" w:sz="0" w:space="0" w:color="auto"/>
      </w:divBdr>
    </w:div>
    <w:div w:id="967248649">
      <w:bodyDiv w:val="1"/>
      <w:marLeft w:val="0"/>
      <w:marRight w:val="0"/>
      <w:marTop w:val="0"/>
      <w:marBottom w:val="0"/>
      <w:divBdr>
        <w:top w:val="none" w:sz="0" w:space="0" w:color="auto"/>
        <w:left w:val="none" w:sz="0" w:space="0" w:color="auto"/>
        <w:bottom w:val="none" w:sz="0" w:space="0" w:color="auto"/>
        <w:right w:val="none" w:sz="0" w:space="0" w:color="auto"/>
      </w:divBdr>
    </w:div>
    <w:div w:id="97001918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79773119">
      <w:bodyDiv w:val="1"/>
      <w:marLeft w:val="0"/>
      <w:marRight w:val="0"/>
      <w:marTop w:val="0"/>
      <w:marBottom w:val="0"/>
      <w:divBdr>
        <w:top w:val="none" w:sz="0" w:space="0" w:color="auto"/>
        <w:left w:val="none" w:sz="0" w:space="0" w:color="auto"/>
        <w:bottom w:val="none" w:sz="0" w:space="0" w:color="auto"/>
        <w:right w:val="none" w:sz="0" w:space="0" w:color="auto"/>
      </w:divBdr>
    </w:div>
    <w:div w:id="980497923">
      <w:bodyDiv w:val="1"/>
      <w:marLeft w:val="0"/>
      <w:marRight w:val="0"/>
      <w:marTop w:val="0"/>
      <w:marBottom w:val="0"/>
      <w:divBdr>
        <w:top w:val="none" w:sz="0" w:space="0" w:color="auto"/>
        <w:left w:val="none" w:sz="0" w:space="0" w:color="auto"/>
        <w:bottom w:val="none" w:sz="0" w:space="0" w:color="auto"/>
        <w:right w:val="none" w:sz="0" w:space="0" w:color="auto"/>
      </w:divBdr>
    </w:div>
    <w:div w:id="985013797">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2244106">
      <w:bodyDiv w:val="1"/>
      <w:marLeft w:val="0"/>
      <w:marRight w:val="0"/>
      <w:marTop w:val="0"/>
      <w:marBottom w:val="0"/>
      <w:divBdr>
        <w:top w:val="none" w:sz="0" w:space="0" w:color="auto"/>
        <w:left w:val="none" w:sz="0" w:space="0" w:color="auto"/>
        <w:bottom w:val="none" w:sz="0" w:space="0" w:color="auto"/>
        <w:right w:val="none" w:sz="0" w:space="0" w:color="auto"/>
      </w:divBdr>
    </w:div>
    <w:div w:id="1002969706">
      <w:bodyDiv w:val="1"/>
      <w:marLeft w:val="0"/>
      <w:marRight w:val="0"/>
      <w:marTop w:val="0"/>
      <w:marBottom w:val="0"/>
      <w:divBdr>
        <w:top w:val="none" w:sz="0" w:space="0" w:color="auto"/>
        <w:left w:val="none" w:sz="0" w:space="0" w:color="auto"/>
        <w:bottom w:val="none" w:sz="0" w:space="0" w:color="auto"/>
        <w:right w:val="none" w:sz="0" w:space="0" w:color="auto"/>
      </w:divBdr>
    </w:div>
    <w:div w:id="1010523143">
      <w:bodyDiv w:val="1"/>
      <w:marLeft w:val="0"/>
      <w:marRight w:val="0"/>
      <w:marTop w:val="0"/>
      <w:marBottom w:val="0"/>
      <w:divBdr>
        <w:top w:val="none" w:sz="0" w:space="0" w:color="auto"/>
        <w:left w:val="none" w:sz="0" w:space="0" w:color="auto"/>
        <w:bottom w:val="none" w:sz="0" w:space="0" w:color="auto"/>
        <w:right w:val="none" w:sz="0" w:space="0" w:color="auto"/>
      </w:divBdr>
    </w:div>
    <w:div w:id="1026716762">
      <w:bodyDiv w:val="1"/>
      <w:marLeft w:val="0"/>
      <w:marRight w:val="0"/>
      <w:marTop w:val="0"/>
      <w:marBottom w:val="0"/>
      <w:divBdr>
        <w:top w:val="none" w:sz="0" w:space="0" w:color="auto"/>
        <w:left w:val="none" w:sz="0" w:space="0" w:color="auto"/>
        <w:bottom w:val="none" w:sz="0" w:space="0" w:color="auto"/>
        <w:right w:val="none" w:sz="0" w:space="0" w:color="auto"/>
      </w:divBdr>
    </w:div>
    <w:div w:id="1036270014">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238514">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87383105">
      <w:bodyDiv w:val="1"/>
      <w:marLeft w:val="0"/>
      <w:marRight w:val="0"/>
      <w:marTop w:val="0"/>
      <w:marBottom w:val="0"/>
      <w:divBdr>
        <w:top w:val="none" w:sz="0" w:space="0" w:color="auto"/>
        <w:left w:val="none" w:sz="0" w:space="0" w:color="auto"/>
        <w:bottom w:val="none" w:sz="0" w:space="0" w:color="auto"/>
        <w:right w:val="none" w:sz="0" w:space="0" w:color="auto"/>
      </w:divBdr>
    </w:div>
    <w:div w:id="1099563873">
      <w:bodyDiv w:val="1"/>
      <w:marLeft w:val="0"/>
      <w:marRight w:val="0"/>
      <w:marTop w:val="0"/>
      <w:marBottom w:val="0"/>
      <w:divBdr>
        <w:top w:val="none" w:sz="0" w:space="0" w:color="auto"/>
        <w:left w:val="none" w:sz="0" w:space="0" w:color="auto"/>
        <w:bottom w:val="none" w:sz="0" w:space="0" w:color="auto"/>
        <w:right w:val="none" w:sz="0" w:space="0" w:color="auto"/>
      </w:divBdr>
    </w:div>
    <w:div w:id="1111360562">
      <w:bodyDiv w:val="1"/>
      <w:marLeft w:val="0"/>
      <w:marRight w:val="0"/>
      <w:marTop w:val="0"/>
      <w:marBottom w:val="0"/>
      <w:divBdr>
        <w:top w:val="none" w:sz="0" w:space="0" w:color="auto"/>
        <w:left w:val="none" w:sz="0" w:space="0" w:color="auto"/>
        <w:bottom w:val="none" w:sz="0" w:space="0" w:color="auto"/>
        <w:right w:val="none" w:sz="0" w:space="0" w:color="auto"/>
      </w:divBdr>
    </w:div>
    <w:div w:id="111321038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48834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87907883">
      <w:bodyDiv w:val="1"/>
      <w:marLeft w:val="0"/>
      <w:marRight w:val="0"/>
      <w:marTop w:val="0"/>
      <w:marBottom w:val="0"/>
      <w:divBdr>
        <w:top w:val="none" w:sz="0" w:space="0" w:color="auto"/>
        <w:left w:val="none" w:sz="0" w:space="0" w:color="auto"/>
        <w:bottom w:val="none" w:sz="0" w:space="0" w:color="auto"/>
        <w:right w:val="none" w:sz="0" w:space="0" w:color="auto"/>
      </w:divBdr>
    </w:div>
    <w:div w:id="1201016743">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13422993">
      <w:bodyDiv w:val="1"/>
      <w:marLeft w:val="0"/>
      <w:marRight w:val="0"/>
      <w:marTop w:val="0"/>
      <w:marBottom w:val="0"/>
      <w:divBdr>
        <w:top w:val="none" w:sz="0" w:space="0" w:color="auto"/>
        <w:left w:val="none" w:sz="0" w:space="0" w:color="auto"/>
        <w:bottom w:val="none" w:sz="0" w:space="0" w:color="auto"/>
        <w:right w:val="none" w:sz="0" w:space="0" w:color="auto"/>
      </w:divBdr>
    </w:div>
    <w:div w:id="1217857677">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1818598">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41450925">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1572122">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1083430">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716168">
      <w:bodyDiv w:val="1"/>
      <w:marLeft w:val="0"/>
      <w:marRight w:val="0"/>
      <w:marTop w:val="0"/>
      <w:marBottom w:val="0"/>
      <w:divBdr>
        <w:top w:val="none" w:sz="0" w:space="0" w:color="auto"/>
        <w:left w:val="none" w:sz="0" w:space="0" w:color="auto"/>
        <w:bottom w:val="none" w:sz="0" w:space="0" w:color="auto"/>
        <w:right w:val="none" w:sz="0" w:space="0" w:color="auto"/>
      </w:divBdr>
    </w:div>
    <w:div w:id="1278681942">
      <w:bodyDiv w:val="1"/>
      <w:marLeft w:val="0"/>
      <w:marRight w:val="0"/>
      <w:marTop w:val="0"/>
      <w:marBottom w:val="0"/>
      <w:divBdr>
        <w:top w:val="none" w:sz="0" w:space="0" w:color="auto"/>
        <w:left w:val="none" w:sz="0" w:space="0" w:color="auto"/>
        <w:bottom w:val="none" w:sz="0" w:space="0" w:color="auto"/>
        <w:right w:val="none" w:sz="0" w:space="0" w:color="auto"/>
      </w:divBdr>
    </w:div>
    <w:div w:id="1281381875">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11180418">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1172823">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40429973">
      <w:bodyDiv w:val="1"/>
      <w:marLeft w:val="0"/>
      <w:marRight w:val="0"/>
      <w:marTop w:val="0"/>
      <w:marBottom w:val="0"/>
      <w:divBdr>
        <w:top w:val="none" w:sz="0" w:space="0" w:color="auto"/>
        <w:left w:val="none" w:sz="0" w:space="0" w:color="auto"/>
        <w:bottom w:val="none" w:sz="0" w:space="0" w:color="auto"/>
        <w:right w:val="none" w:sz="0" w:space="0" w:color="auto"/>
      </w:divBdr>
    </w:div>
    <w:div w:id="1345791376">
      <w:bodyDiv w:val="1"/>
      <w:marLeft w:val="0"/>
      <w:marRight w:val="0"/>
      <w:marTop w:val="0"/>
      <w:marBottom w:val="0"/>
      <w:divBdr>
        <w:top w:val="none" w:sz="0" w:space="0" w:color="auto"/>
        <w:left w:val="none" w:sz="0" w:space="0" w:color="auto"/>
        <w:bottom w:val="none" w:sz="0" w:space="0" w:color="auto"/>
        <w:right w:val="none" w:sz="0" w:space="0" w:color="auto"/>
      </w:divBdr>
    </w:div>
    <w:div w:id="136000633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1686932">
      <w:bodyDiv w:val="1"/>
      <w:marLeft w:val="0"/>
      <w:marRight w:val="0"/>
      <w:marTop w:val="0"/>
      <w:marBottom w:val="0"/>
      <w:divBdr>
        <w:top w:val="none" w:sz="0" w:space="0" w:color="auto"/>
        <w:left w:val="none" w:sz="0" w:space="0" w:color="auto"/>
        <w:bottom w:val="none" w:sz="0" w:space="0" w:color="auto"/>
        <w:right w:val="none" w:sz="0" w:space="0" w:color="auto"/>
      </w:divBdr>
    </w:div>
    <w:div w:id="137226431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5618002">
      <w:bodyDiv w:val="1"/>
      <w:marLeft w:val="0"/>
      <w:marRight w:val="0"/>
      <w:marTop w:val="0"/>
      <w:marBottom w:val="0"/>
      <w:divBdr>
        <w:top w:val="none" w:sz="0" w:space="0" w:color="auto"/>
        <w:left w:val="none" w:sz="0" w:space="0" w:color="auto"/>
        <w:bottom w:val="none" w:sz="0" w:space="0" w:color="auto"/>
        <w:right w:val="none" w:sz="0" w:space="0" w:color="auto"/>
      </w:divBdr>
    </w:div>
    <w:div w:id="1380205011">
      <w:bodyDiv w:val="1"/>
      <w:marLeft w:val="0"/>
      <w:marRight w:val="0"/>
      <w:marTop w:val="0"/>
      <w:marBottom w:val="0"/>
      <w:divBdr>
        <w:top w:val="none" w:sz="0" w:space="0" w:color="auto"/>
        <w:left w:val="none" w:sz="0" w:space="0" w:color="auto"/>
        <w:bottom w:val="none" w:sz="0" w:space="0" w:color="auto"/>
        <w:right w:val="none" w:sz="0" w:space="0" w:color="auto"/>
      </w:divBdr>
    </w:div>
    <w:div w:id="1380520609">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5951965">
      <w:bodyDiv w:val="1"/>
      <w:marLeft w:val="0"/>
      <w:marRight w:val="0"/>
      <w:marTop w:val="0"/>
      <w:marBottom w:val="0"/>
      <w:divBdr>
        <w:top w:val="none" w:sz="0" w:space="0" w:color="auto"/>
        <w:left w:val="none" w:sz="0" w:space="0" w:color="auto"/>
        <w:bottom w:val="none" w:sz="0" w:space="0" w:color="auto"/>
        <w:right w:val="none" w:sz="0" w:space="0" w:color="auto"/>
      </w:divBdr>
    </w:div>
    <w:div w:id="1407798390">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2333606">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52282243">
      <w:bodyDiv w:val="1"/>
      <w:marLeft w:val="0"/>
      <w:marRight w:val="0"/>
      <w:marTop w:val="0"/>
      <w:marBottom w:val="0"/>
      <w:divBdr>
        <w:top w:val="none" w:sz="0" w:space="0" w:color="auto"/>
        <w:left w:val="none" w:sz="0" w:space="0" w:color="auto"/>
        <w:bottom w:val="none" w:sz="0" w:space="0" w:color="auto"/>
        <w:right w:val="none" w:sz="0" w:space="0" w:color="auto"/>
      </w:divBdr>
    </w:div>
    <w:div w:id="1455637831">
      <w:bodyDiv w:val="1"/>
      <w:marLeft w:val="0"/>
      <w:marRight w:val="0"/>
      <w:marTop w:val="0"/>
      <w:marBottom w:val="0"/>
      <w:divBdr>
        <w:top w:val="none" w:sz="0" w:space="0" w:color="auto"/>
        <w:left w:val="none" w:sz="0" w:space="0" w:color="auto"/>
        <w:bottom w:val="none" w:sz="0" w:space="0" w:color="auto"/>
        <w:right w:val="none" w:sz="0" w:space="0" w:color="auto"/>
      </w:divBdr>
      <w:divsChild>
        <w:div w:id="776564052">
          <w:marLeft w:val="0"/>
          <w:marRight w:val="0"/>
          <w:marTop w:val="0"/>
          <w:marBottom w:val="0"/>
          <w:divBdr>
            <w:top w:val="none" w:sz="0" w:space="0" w:color="auto"/>
            <w:left w:val="none" w:sz="0" w:space="0" w:color="auto"/>
            <w:bottom w:val="none" w:sz="0" w:space="0" w:color="auto"/>
            <w:right w:val="none" w:sz="0" w:space="0" w:color="auto"/>
          </w:divBdr>
        </w:div>
      </w:divsChild>
    </w:div>
    <w:div w:id="146573563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5536029">
      <w:bodyDiv w:val="1"/>
      <w:marLeft w:val="0"/>
      <w:marRight w:val="0"/>
      <w:marTop w:val="0"/>
      <w:marBottom w:val="0"/>
      <w:divBdr>
        <w:top w:val="none" w:sz="0" w:space="0" w:color="auto"/>
        <w:left w:val="none" w:sz="0" w:space="0" w:color="auto"/>
        <w:bottom w:val="none" w:sz="0" w:space="0" w:color="auto"/>
        <w:right w:val="none" w:sz="0" w:space="0" w:color="auto"/>
      </w:divBdr>
    </w:div>
    <w:div w:id="1552961696">
      <w:bodyDiv w:val="1"/>
      <w:marLeft w:val="0"/>
      <w:marRight w:val="0"/>
      <w:marTop w:val="0"/>
      <w:marBottom w:val="0"/>
      <w:divBdr>
        <w:top w:val="none" w:sz="0" w:space="0" w:color="auto"/>
        <w:left w:val="none" w:sz="0" w:space="0" w:color="auto"/>
        <w:bottom w:val="none" w:sz="0" w:space="0" w:color="auto"/>
        <w:right w:val="none" w:sz="0" w:space="0" w:color="auto"/>
      </w:divBdr>
    </w:div>
    <w:div w:id="1553077231">
      <w:bodyDiv w:val="1"/>
      <w:marLeft w:val="0"/>
      <w:marRight w:val="0"/>
      <w:marTop w:val="0"/>
      <w:marBottom w:val="0"/>
      <w:divBdr>
        <w:top w:val="none" w:sz="0" w:space="0" w:color="auto"/>
        <w:left w:val="none" w:sz="0" w:space="0" w:color="auto"/>
        <w:bottom w:val="none" w:sz="0" w:space="0" w:color="auto"/>
        <w:right w:val="none" w:sz="0" w:space="0" w:color="auto"/>
      </w:divBdr>
    </w:div>
    <w:div w:id="1555967347">
      <w:bodyDiv w:val="1"/>
      <w:marLeft w:val="0"/>
      <w:marRight w:val="0"/>
      <w:marTop w:val="0"/>
      <w:marBottom w:val="0"/>
      <w:divBdr>
        <w:top w:val="none" w:sz="0" w:space="0" w:color="auto"/>
        <w:left w:val="none" w:sz="0" w:space="0" w:color="auto"/>
        <w:bottom w:val="none" w:sz="0" w:space="0" w:color="auto"/>
        <w:right w:val="none" w:sz="0" w:space="0" w:color="auto"/>
      </w:divBdr>
    </w:div>
    <w:div w:id="1561939067">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422453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4075503">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28848946">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0258799">
      <w:bodyDiv w:val="1"/>
      <w:marLeft w:val="0"/>
      <w:marRight w:val="0"/>
      <w:marTop w:val="0"/>
      <w:marBottom w:val="0"/>
      <w:divBdr>
        <w:top w:val="none" w:sz="0" w:space="0" w:color="auto"/>
        <w:left w:val="none" w:sz="0" w:space="0" w:color="auto"/>
        <w:bottom w:val="none" w:sz="0" w:space="0" w:color="auto"/>
        <w:right w:val="none" w:sz="0" w:space="0" w:color="auto"/>
      </w:divBdr>
    </w:div>
    <w:div w:id="1648314831">
      <w:bodyDiv w:val="1"/>
      <w:marLeft w:val="0"/>
      <w:marRight w:val="0"/>
      <w:marTop w:val="0"/>
      <w:marBottom w:val="0"/>
      <w:divBdr>
        <w:top w:val="none" w:sz="0" w:space="0" w:color="auto"/>
        <w:left w:val="none" w:sz="0" w:space="0" w:color="auto"/>
        <w:bottom w:val="none" w:sz="0" w:space="0" w:color="auto"/>
        <w:right w:val="none" w:sz="0" w:space="0" w:color="auto"/>
      </w:divBdr>
    </w:div>
    <w:div w:id="1649823297">
      <w:bodyDiv w:val="1"/>
      <w:marLeft w:val="0"/>
      <w:marRight w:val="0"/>
      <w:marTop w:val="0"/>
      <w:marBottom w:val="0"/>
      <w:divBdr>
        <w:top w:val="none" w:sz="0" w:space="0" w:color="auto"/>
        <w:left w:val="none" w:sz="0" w:space="0" w:color="auto"/>
        <w:bottom w:val="none" w:sz="0" w:space="0" w:color="auto"/>
        <w:right w:val="none" w:sz="0" w:space="0" w:color="auto"/>
      </w:divBdr>
    </w:div>
    <w:div w:id="1652365715">
      <w:bodyDiv w:val="1"/>
      <w:marLeft w:val="0"/>
      <w:marRight w:val="0"/>
      <w:marTop w:val="0"/>
      <w:marBottom w:val="0"/>
      <w:divBdr>
        <w:top w:val="none" w:sz="0" w:space="0" w:color="auto"/>
        <w:left w:val="none" w:sz="0" w:space="0" w:color="auto"/>
        <w:bottom w:val="none" w:sz="0" w:space="0" w:color="auto"/>
        <w:right w:val="none" w:sz="0" w:space="0" w:color="auto"/>
      </w:divBdr>
    </w:div>
    <w:div w:id="1654217766">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7367833">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649475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7607399">
      <w:bodyDiv w:val="1"/>
      <w:marLeft w:val="0"/>
      <w:marRight w:val="0"/>
      <w:marTop w:val="0"/>
      <w:marBottom w:val="0"/>
      <w:divBdr>
        <w:top w:val="none" w:sz="0" w:space="0" w:color="auto"/>
        <w:left w:val="none" w:sz="0" w:space="0" w:color="auto"/>
        <w:bottom w:val="none" w:sz="0" w:space="0" w:color="auto"/>
        <w:right w:val="none" w:sz="0" w:space="0" w:color="auto"/>
      </w:divBdr>
    </w:div>
    <w:div w:id="1735858038">
      <w:bodyDiv w:val="1"/>
      <w:marLeft w:val="0"/>
      <w:marRight w:val="0"/>
      <w:marTop w:val="0"/>
      <w:marBottom w:val="0"/>
      <w:divBdr>
        <w:top w:val="none" w:sz="0" w:space="0" w:color="auto"/>
        <w:left w:val="none" w:sz="0" w:space="0" w:color="auto"/>
        <w:bottom w:val="none" w:sz="0" w:space="0" w:color="auto"/>
        <w:right w:val="none" w:sz="0" w:space="0" w:color="auto"/>
      </w:divBdr>
    </w:div>
    <w:div w:id="1739547031">
      <w:bodyDiv w:val="1"/>
      <w:marLeft w:val="0"/>
      <w:marRight w:val="0"/>
      <w:marTop w:val="0"/>
      <w:marBottom w:val="0"/>
      <w:divBdr>
        <w:top w:val="none" w:sz="0" w:space="0" w:color="auto"/>
        <w:left w:val="none" w:sz="0" w:space="0" w:color="auto"/>
        <w:bottom w:val="none" w:sz="0" w:space="0" w:color="auto"/>
        <w:right w:val="none" w:sz="0" w:space="0" w:color="auto"/>
      </w:divBdr>
    </w:div>
    <w:div w:id="1743063244">
      <w:bodyDiv w:val="1"/>
      <w:marLeft w:val="0"/>
      <w:marRight w:val="0"/>
      <w:marTop w:val="0"/>
      <w:marBottom w:val="0"/>
      <w:divBdr>
        <w:top w:val="none" w:sz="0" w:space="0" w:color="auto"/>
        <w:left w:val="none" w:sz="0" w:space="0" w:color="auto"/>
        <w:bottom w:val="none" w:sz="0" w:space="0" w:color="auto"/>
        <w:right w:val="none" w:sz="0" w:space="0" w:color="auto"/>
      </w:divBdr>
    </w:div>
    <w:div w:id="1748960952">
      <w:bodyDiv w:val="1"/>
      <w:marLeft w:val="0"/>
      <w:marRight w:val="0"/>
      <w:marTop w:val="0"/>
      <w:marBottom w:val="0"/>
      <w:divBdr>
        <w:top w:val="none" w:sz="0" w:space="0" w:color="auto"/>
        <w:left w:val="none" w:sz="0" w:space="0" w:color="auto"/>
        <w:bottom w:val="none" w:sz="0" w:space="0" w:color="auto"/>
        <w:right w:val="none" w:sz="0" w:space="0" w:color="auto"/>
      </w:divBdr>
    </w:div>
    <w:div w:id="1771505373">
      <w:bodyDiv w:val="1"/>
      <w:marLeft w:val="0"/>
      <w:marRight w:val="0"/>
      <w:marTop w:val="0"/>
      <w:marBottom w:val="0"/>
      <w:divBdr>
        <w:top w:val="none" w:sz="0" w:space="0" w:color="auto"/>
        <w:left w:val="none" w:sz="0" w:space="0" w:color="auto"/>
        <w:bottom w:val="none" w:sz="0" w:space="0" w:color="auto"/>
        <w:right w:val="none" w:sz="0" w:space="0" w:color="auto"/>
      </w:divBdr>
    </w:div>
    <w:div w:id="1795638705">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7529058">
      <w:bodyDiv w:val="1"/>
      <w:marLeft w:val="0"/>
      <w:marRight w:val="0"/>
      <w:marTop w:val="0"/>
      <w:marBottom w:val="0"/>
      <w:divBdr>
        <w:top w:val="none" w:sz="0" w:space="0" w:color="auto"/>
        <w:left w:val="none" w:sz="0" w:space="0" w:color="auto"/>
        <w:bottom w:val="none" w:sz="0" w:space="0" w:color="auto"/>
        <w:right w:val="none" w:sz="0" w:space="0" w:color="auto"/>
      </w:divBdr>
    </w:div>
    <w:div w:id="1825196039">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3066006">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616538">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48863711">
      <w:bodyDiv w:val="1"/>
      <w:marLeft w:val="0"/>
      <w:marRight w:val="0"/>
      <w:marTop w:val="0"/>
      <w:marBottom w:val="0"/>
      <w:divBdr>
        <w:top w:val="none" w:sz="0" w:space="0" w:color="auto"/>
        <w:left w:val="none" w:sz="0" w:space="0" w:color="auto"/>
        <w:bottom w:val="none" w:sz="0" w:space="0" w:color="auto"/>
        <w:right w:val="none" w:sz="0" w:space="0" w:color="auto"/>
      </w:divBdr>
    </w:div>
    <w:div w:id="1853911105">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9366782">
      <w:bodyDiv w:val="1"/>
      <w:marLeft w:val="0"/>
      <w:marRight w:val="0"/>
      <w:marTop w:val="0"/>
      <w:marBottom w:val="0"/>
      <w:divBdr>
        <w:top w:val="none" w:sz="0" w:space="0" w:color="auto"/>
        <w:left w:val="none" w:sz="0" w:space="0" w:color="auto"/>
        <w:bottom w:val="none" w:sz="0" w:space="0" w:color="auto"/>
        <w:right w:val="none" w:sz="0" w:space="0" w:color="auto"/>
      </w:divBdr>
    </w:div>
    <w:div w:id="1876380239">
      <w:bodyDiv w:val="1"/>
      <w:marLeft w:val="0"/>
      <w:marRight w:val="0"/>
      <w:marTop w:val="0"/>
      <w:marBottom w:val="0"/>
      <w:divBdr>
        <w:top w:val="none" w:sz="0" w:space="0" w:color="auto"/>
        <w:left w:val="none" w:sz="0" w:space="0" w:color="auto"/>
        <w:bottom w:val="none" w:sz="0" w:space="0" w:color="auto"/>
        <w:right w:val="none" w:sz="0" w:space="0" w:color="auto"/>
      </w:divBdr>
    </w:div>
    <w:div w:id="1877305247">
      <w:bodyDiv w:val="1"/>
      <w:marLeft w:val="0"/>
      <w:marRight w:val="0"/>
      <w:marTop w:val="0"/>
      <w:marBottom w:val="0"/>
      <w:divBdr>
        <w:top w:val="none" w:sz="0" w:space="0" w:color="auto"/>
        <w:left w:val="none" w:sz="0" w:space="0" w:color="auto"/>
        <w:bottom w:val="none" w:sz="0" w:space="0" w:color="auto"/>
        <w:right w:val="none" w:sz="0" w:space="0" w:color="auto"/>
      </w:divBdr>
    </w:div>
    <w:div w:id="1886793692">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897741001">
      <w:bodyDiv w:val="1"/>
      <w:marLeft w:val="0"/>
      <w:marRight w:val="0"/>
      <w:marTop w:val="0"/>
      <w:marBottom w:val="0"/>
      <w:divBdr>
        <w:top w:val="none" w:sz="0" w:space="0" w:color="auto"/>
        <w:left w:val="none" w:sz="0" w:space="0" w:color="auto"/>
        <w:bottom w:val="none" w:sz="0" w:space="0" w:color="auto"/>
        <w:right w:val="none" w:sz="0" w:space="0" w:color="auto"/>
      </w:divBdr>
    </w:div>
    <w:div w:id="1900633936">
      <w:bodyDiv w:val="1"/>
      <w:marLeft w:val="0"/>
      <w:marRight w:val="0"/>
      <w:marTop w:val="0"/>
      <w:marBottom w:val="0"/>
      <w:divBdr>
        <w:top w:val="none" w:sz="0" w:space="0" w:color="auto"/>
        <w:left w:val="none" w:sz="0" w:space="0" w:color="auto"/>
        <w:bottom w:val="none" w:sz="0" w:space="0" w:color="auto"/>
        <w:right w:val="none" w:sz="0" w:space="0" w:color="auto"/>
      </w:divBdr>
    </w:div>
    <w:div w:id="1904295893">
      <w:bodyDiv w:val="1"/>
      <w:marLeft w:val="0"/>
      <w:marRight w:val="0"/>
      <w:marTop w:val="0"/>
      <w:marBottom w:val="0"/>
      <w:divBdr>
        <w:top w:val="none" w:sz="0" w:space="0" w:color="auto"/>
        <w:left w:val="none" w:sz="0" w:space="0" w:color="auto"/>
        <w:bottom w:val="none" w:sz="0" w:space="0" w:color="auto"/>
        <w:right w:val="none" w:sz="0" w:space="0" w:color="auto"/>
      </w:divBdr>
    </w:div>
    <w:div w:id="1925066737">
      <w:bodyDiv w:val="1"/>
      <w:marLeft w:val="0"/>
      <w:marRight w:val="0"/>
      <w:marTop w:val="0"/>
      <w:marBottom w:val="0"/>
      <w:divBdr>
        <w:top w:val="none" w:sz="0" w:space="0" w:color="auto"/>
        <w:left w:val="none" w:sz="0" w:space="0" w:color="auto"/>
        <w:bottom w:val="none" w:sz="0" w:space="0" w:color="auto"/>
        <w:right w:val="none" w:sz="0" w:space="0" w:color="auto"/>
      </w:divBdr>
    </w:div>
    <w:div w:id="1932004456">
      <w:bodyDiv w:val="1"/>
      <w:marLeft w:val="0"/>
      <w:marRight w:val="0"/>
      <w:marTop w:val="0"/>
      <w:marBottom w:val="0"/>
      <w:divBdr>
        <w:top w:val="none" w:sz="0" w:space="0" w:color="auto"/>
        <w:left w:val="none" w:sz="0" w:space="0" w:color="auto"/>
        <w:bottom w:val="none" w:sz="0" w:space="0" w:color="auto"/>
        <w:right w:val="none" w:sz="0" w:space="0" w:color="auto"/>
      </w:divBdr>
    </w:div>
    <w:div w:id="1937203323">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0971545">
      <w:bodyDiv w:val="1"/>
      <w:marLeft w:val="0"/>
      <w:marRight w:val="0"/>
      <w:marTop w:val="0"/>
      <w:marBottom w:val="0"/>
      <w:divBdr>
        <w:top w:val="none" w:sz="0" w:space="0" w:color="auto"/>
        <w:left w:val="none" w:sz="0" w:space="0" w:color="auto"/>
        <w:bottom w:val="none" w:sz="0" w:space="0" w:color="auto"/>
        <w:right w:val="none" w:sz="0" w:space="0" w:color="auto"/>
      </w:divBdr>
    </w:div>
    <w:div w:id="1981694127">
      <w:bodyDiv w:val="1"/>
      <w:marLeft w:val="0"/>
      <w:marRight w:val="0"/>
      <w:marTop w:val="0"/>
      <w:marBottom w:val="0"/>
      <w:divBdr>
        <w:top w:val="none" w:sz="0" w:space="0" w:color="auto"/>
        <w:left w:val="none" w:sz="0" w:space="0" w:color="auto"/>
        <w:bottom w:val="none" w:sz="0" w:space="0" w:color="auto"/>
        <w:right w:val="none" w:sz="0" w:space="0" w:color="auto"/>
      </w:divBdr>
    </w:div>
    <w:div w:id="1986929905">
      <w:bodyDiv w:val="1"/>
      <w:marLeft w:val="0"/>
      <w:marRight w:val="0"/>
      <w:marTop w:val="0"/>
      <w:marBottom w:val="0"/>
      <w:divBdr>
        <w:top w:val="none" w:sz="0" w:space="0" w:color="auto"/>
        <w:left w:val="none" w:sz="0" w:space="0" w:color="auto"/>
        <w:bottom w:val="none" w:sz="0" w:space="0" w:color="auto"/>
        <w:right w:val="none" w:sz="0" w:space="0" w:color="auto"/>
      </w:divBdr>
    </w:div>
    <w:div w:id="1988510933">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25937613">
      <w:bodyDiv w:val="1"/>
      <w:marLeft w:val="0"/>
      <w:marRight w:val="0"/>
      <w:marTop w:val="0"/>
      <w:marBottom w:val="0"/>
      <w:divBdr>
        <w:top w:val="none" w:sz="0" w:space="0" w:color="auto"/>
        <w:left w:val="none" w:sz="0" w:space="0" w:color="auto"/>
        <w:bottom w:val="none" w:sz="0" w:space="0" w:color="auto"/>
        <w:right w:val="none" w:sz="0" w:space="0" w:color="auto"/>
      </w:divBdr>
    </w:div>
    <w:div w:id="2037121866">
      <w:bodyDiv w:val="1"/>
      <w:marLeft w:val="0"/>
      <w:marRight w:val="0"/>
      <w:marTop w:val="0"/>
      <w:marBottom w:val="0"/>
      <w:divBdr>
        <w:top w:val="none" w:sz="0" w:space="0" w:color="auto"/>
        <w:left w:val="none" w:sz="0" w:space="0" w:color="auto"/>
        <w:bottom w:val="none" w:sz="0" w:space="0" w:color="auto"/>
        <w:right w:val="none" w:sz="0" w:space="0" w:color="auto"/>
      </w:divBdr>
    </w:div>
    <w:div w:id="2048291655">
      <w:bodyDiv w:val="1"/>
      <w:marLeft w:val="0"/>
      <w:marRight w:val="0"/>
      <w:marTop w:val="0"/>
      <w:marBottom w:val="0"/>
      <w:divBdr>
        <w:top w:val="none" w:sz="0" w:space="0" w:color="auto"/>
        <w:left w:val="none" w:sz="0" w:space="0" w:color="auto"/>
        <w:bottom w:val="none" w:sz="0" w:space="0" w:color="auto"/>
        <w:right w:val="none" w:sz="0" w:space="0" w:color="auto"/>
      </w:divBdr>
    </w:div>
    <w:div w:id="2052266418">
      <w:bodyDiv w:val="1"/>
      <w:marLeft w:val="0"/>
      <w:marRight w:val="0"/>
      <w:marTop w:val="0"/>
      <w:marBottom w:val="0"/>
      <w:divBdr>
        <w:top w:val="none" w:sz="0" w:space="0" w:color="auto"/>
        <w:left w:val="none" w:sz="0" w:space="0" w:color="auto"/>
        <w:bottom w:val="none" w:sz="0" w:space="0" w:color="auto"/>
        <w:right w:val="none" w:sz="0" w:space="0" w:color="auto"/>
      </w:divBdr>
      <w:divsChild>
        <w:div w:id="1944531965">
          <w:marLeft w:val="0"/>
          <w:marRight w:val="0"/>
          <w:marTop w:val="0"/>
          <w:marBottom w:val="0"/>
          <w:divBdr>
            <w:top w:val="none" w:sz="0" w:space="0" w:color="auto"/>
            <w:left w:val="none" w:sz="0" w:space="0" w:color="auto"/>
            <w:bottom w:val="none" w:sz="0" w:space="0" w:color="auto"/>
            <w:right w:val="none" w:sz="0" w:space="0" w:color="auto"/>
          </w:divBdr>
        </w:div>
      </w:divsChild>
    </w:div>
    <w:div w:id="2063744031">
      <w:bodyDiv w:val="1"/>
      <w:marLeft w:val="0"/>
      <w:marRight w:val="0"/>
      <w:marTop w:val="0"/>
      <w:marBottom w:val="0"/>
      <w:divBdr>
        <w:top w:val="none" w:sz="0" w:space="0" w:color="auto"/>
        <w:left w:val="none" w:sz="0" w:space="0" w:color="auto"/>
        <w:bottom w:val="none" w:sz="0" w:space="0" w:color="auto"/>
        <w:right w:val="none" w:sz="0" w:space="0" w:color="auto"/>
      </w:divBdr>
    </w:div>
    <w:div w:id="2065446484">
      <w:bodyDiv w:val="1"/>
      <w:marLeft w:val="0"/>
      <w:marRight w:val="0"/>
      <w:marTop w:val="0"/>
      <w:marBottom w:val="0"/>
      <w:divBdr>
        <w:top w:val="none" w:sz="0" w:space="0" w:color="auto"/>
        <w:left w:val="none" w:sz="0" w:space="0" w:color="auto"/>
        <w:bottom w:val="none" w:sz="0" w:space="0" w:color="auto"/>
        <w:right w:val="none" w:sz="0" w:space="0" w:color="auto"/>
      </w:divBdr>
    </w:div>
    <w:div w:id="2068064230">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5467349">
      <w:bodyDiv w:val="1"/>
      <w:marLeft w:val="0"/>
      <w:marRight w:val="0"/>
      <w:marTop w:val="0"/>
      <w:marBottom w:val="0"/>
      <w:divBdr>
        <w:top w:val="none" w:sz="0" w:space="0" w:color="auto"/>
        <w:left w:val="none" w:sz="0" w:space="0" w:color="auto"/>
        <w:bottom w:val="none" w:sz="0" w:space="0" w:color="auto"/>
        <w:right w:val="none" w:sz="0" w:space="0" w:color="auto"/>
      </w:divBdr>
    </w:div>
    <w:div w:id="2086874022">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01442702">
      <w:bodyDiv w:val="1"/>
      <w:marLeft w:val="0"/>
      <w:marRight w:val="0"/>
      <w:marTop w:val="0"/>
      <w:marBottom w:val="0"/>
      <w:divBdr>
        <w:top w:val="none" w:sz="0" w:space="0" w:color="auto"/>
        <w:left w:val="none" w:sz="0" w:space="0" w:color="auto"/>
        <w:bottom w:val="none" w:sz="0" w:space="0" w:color="auto"/>
        <w:right w:val="none" w:sz="0" w:space="0" w:color="auto"/>
      </w:divBdr>
    </w:div>
    <w:div w:id="2110613540">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76769">
      <w:bodyDiv w:val="1"/>
      <w:marLeft w:val="0"/>
      <w:marRight w:val="0"/>
      <w:marTop w:val="0"/>
      <w:marBottom w:val="0"/>
      <w:divBdr>
        <w:top w:val="none" w:sz="0" w:space="0" w:color="auto"/>
        <w:left w:val="none" w:sz="0" w:space="0" w:color="auto"/>
        <w:bottom w:val="none" w:sz="0" w:space="0" w:color="auto"/>
        <w:right w:val="none" w:sz="0" w:space="0" w:color="auto"/>
      </w:divBdr>
    </w:div>
    <w:div w:id="2132236234">
      <w:bodyDiv w:val="1"/>
      <w:marLeft w:val="0"/>
      <w:marRight w:val="0"/>
      <w:marTop w:val="0"/>
      <w:marBottom w:val="0"/>
      <w:divBdr>
        <w:top w:val="none" w:sz="0" w:space="0" w:color="auto"/>
        <w:left w:val="none" w:sz="0" w:space="0" w:color="auto"/>
        <w:bottom w:val="none" w:sz="0" w:space="0" w:color="auto"/>
        <w:right w:val="none" w:sz="0" w:space="0" w:color="auto"/>
      </w:divBdr>
    </w:div>
    <w:div w:id="2134908128">
      <w:bodyDiv w:val="1"/>
      <w:marLeft w:val="0"/>
      <w:marRight w:val="0"/>
      <w:marTop w:val="0"/>
      <w:marBottom w:val="0"/>
      <w:divBdr>
        <w:top w:val="none" w:sz="0" w:space="0" w:color="auto"/>
        <w:left w:val="none" w:sz="0" w:space="0" w:color="auto"/>
        <w:bottom w:val="none" w:sz="0" w:space="0" w:color="auto"/>
        <w:right w:val="none" w:sz="0" w:space="0" w:color="auto"/>
      </w:divBdr>
    </w:div>
    <w:div w:id="213937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6C467-907A-4F8E-A6C2-57DB6BACB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11068</Words>
  <Characters>64539</Characters>
  <Application>Microsoft Office Word</Application>
  <DocSecurity>0</DocSecurity>
  <Lines>537</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2024-03-05T03:23:00Z</dcterms:created>
  <dcterms:modified xsi:type="dcterms:W3CDTF">2024-03-05T22:21:00Z</dcterms:modified>
</cp:coreProperties>
</file>