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7"/>
        <w:gridCol w:w="2268"/>
        <w:gridCol w:w="1699"/>
        <w:gridCol w:w="6605"/>
      </w:tblGrid>
      <w:tr w:rsidR="00DE5E85" w:rsidRPr="00687774" w14:paraId="2F780D8A" w14:textId="77777777" w:rsidTr="006B73D1">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EC08C1">
            <w:pPr>
              <w:widowControl w:val="0"/>
              <w:ind w:right="-106"/>
              <w:contextualSpacing/>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691" w:type="pct"/>
            <w:tcBorders>
              <w:bottom w:val="single" w:sz="4" w:space="0" w:color="auto"/>
            </w:tcBorders>
            <w:shd w:val="clear" w:color="auto" w:fill="auto"/>
            <w:tcMar>
              <w:top w:w="28" w:type="dxa"/>
              <w:bottom w:w="28" w:type="dxa"/>
            </w:tcMar>
          </w:tcPr>
          <w:p w14:paraId="22DBCABB" w14:textId="77777777" w:rsidR="00DE5E85" w:rsidRPr="003E3EC0" w:rsidRDefault="00DE5E85" w:rsidP="00EC08C1">
            <w:pPr>
              <w:widowControl w:val="0"/>
              <w:contextualSpacing/>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EC08C1">
            <w:pPr>
              <w:widowControl w:val="0"/>
              <w:contextualSpacing/>
              <w:jc w:val="center"/>
              <w:rPr>
                <w:rFonts w:ascii="Arial" w:hAnsi="Arial" w:cs="Arial"/>
                <w:b/>
                <w:snapToGrid w:val="0"/>
                <w:sz w:val="18"/>
                <w:szCs w:val="18"/>
                <w:lang w:eastAsia="en-US"/>
              </w:rPr>
            </w:pPr>
          </w:p>
        </w:tc>
        <w:tc>
          <w:tcPr>
            <w:tcW w:w="737" w:type="pct"/>
            <w:tcBorders>
              <w:bottom w:val="single" w:sz="4" w:space="0" w:color="auto"/>
            </w:tcBorders>
            <w:shd w:val="clear" w:color="auto" w:fill="auto"/>
            <w:tcMar>
              <w:top w:w="28" w:type="dxa"/>
              <w:bottom w:w="28" w:type="dxa"/>
            </w:tcMar>
          </w:tcPr>
          <w:p w14:paraId="60A9336E" w14:textId="77777777" w:rsidR="00DE5E85" w:rsidRPr="003E3EC0" w:rsidRDefault="00DE5E85" w:rsidP="00EC08C1">
            <w:pPr>
              <w:widowControl w:val="0"/>
              <w:contextualSpacing/>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8" w:type="pct"/>
            <w:gridSpan w:val="2"/>
            <w:tcBorders>
              <w:bottom w:val="single" w:sz="4" w:space="0" w:color="auto"/>
            </w:tcBorders>
            <w:shd w:val="clear" w:color="auto" w:fill="auto"/>
          </w:tcPr>
          <w:p w14:paraId="5626F454" w14:textId="5D0E1C48" w:rsidR="00DE5E85" w:rsidRPr="003E3EC0" w:rsidRDefault="00DE5E85" w:rsidP="00EC08C1">
            <w:pPr>
              <w:pStyle w:val="Header"/>
              <w:contextualSpacing/>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415189" w:rsidRPr="00687774" w14:paraId="0F67289A" w14:textId="77777777" w:rsidTr="004F6C3C">
        <w:trPr>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19376F4C" w14:textId="52A97F1F" w:rsidR="00415189" w:rsidRPr="001C1BA7" w:rsidRDefault="00415189" w:rsidP="00EC27E1">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CABOTEGRAVIR</w:t>
            </w:r>
            <w:r w:rsidRPr="001C1BA7">
              <w:rPr>
                <w:rFonts w:asciiTheme="minorHAnsi" w:eastAsia="Times New Roman" w:hAnsiTheme="minorHAnsi" w:cstheme="minorHAnsi"/>
                <w:color w:val="000000"/>
                <w:sz w:val="18"/>
                <w:szCs w:val="18"/>
              </w:rPr>
              <w:br/>
            </w:r>
            <w:r w:rsidRPr="001C1BA7">
              <w:rPr>
                <w:rFonts w:asciiTheme="minorHAnsi" w:eastAsia="Times New Roman" w:hAnsiTheme="minorHAnsi" w:cstheme="minorHAnsi"/>
                <w:color w:val="000000"/>
                <w:sz w:val="18"/>
                <w:szCs w:val="18"/>
              </w:rPr>
              <w:br/>
              <w:t>Suspension for injection 600 mg in 3 mL</w:t>
            </w:r>
            <w:r w:rsidRPr="001C1BA7">
              <w:rPr>
                <w:rFonts w:asciiTheme="minorHAnsi" w:eastAsia="Times New Roman" w:hAnsiTheme="minorHAnsi" w:cstheme="minorHAnsi"/>
                <w:color w:val="000000"/>
                <w:sz w:val="18"/>
                <w:szCs w:val="18"/>
              </w:rPr>
              <w:br/>
            </w:r>
            <w:r w:rsidRPr="001C1BA7">
              <w:rPr>
                <w:rFonts w:asciiTheme="minorHAnsi" w:eastAsia="Times New Roman" w:hAnsiTheme="minorHAnsi" w:cstheme="minorHAnsi"/>
                <w:color w:val="000000"/>
                <w:sz w:val="18"/>
                <w:szCs w:val="18"/>
              </w:rPr>
              <w:br/>
            </w:r>
            <w:proofErr w:type="spellStart"/>
            <w:r w:rsidRPr="001C1BA7">
              <w:rPr>
                <w:rFonts w:asciiTheme="minorHAnsi" w:eastAsia="Times New Roman" w:hAnsiTheme="minorHAnsi" w:cstheme="minorHAnsi"/>
                <w:color w:val="000000"/>
                <w:sz w:val="18"/>
                <w:szCs w:val="18"/>
              </w:rPr>
              <w:t>Apretude</w:t>
            </w:r>
            <w:proofErr w:type="spellEnd"/>
            <w:r w:rsidRPr="001C1BA7">
              <w:rPr>
                <w:rFonts w:asciiTheme="minorHAnsi" w:eastAsia="Times New Roman" w:hAnsiTheme="minorHAnsi" w:cstheme="minorHAnsi"/>
                <w:color w:val="000000"/>
                <w:sz w:val="18"/>
                <w:szCs w:val="18"/>
              </w:rPr>
              <w:t>®</w:t>
            </w:r>
            <w:r w:rsidRPr="001C1BA7">
              <w:rPr>
                <w:rFonts w:asciiTheme="minorHAnsi" w:eastAsia="Times New Roman" w:hAnsiTheme="minorHAnsi" w:cstheme="minorHAnsi"/>
                <w:color w:val="000000"/>
                <w:sz w:val="18"/>
                <w:szCs w:val="18"/>
              </w:rPr>
              <w:br/>
            </w:r>
            <w:r w:rsidRPr="001C1BA7">
              <w:rPr>
                <w:rFonts w:asciiTheme="minorHAnsi" w:eastAsia="Times New Roman" w:hAnsiTheme="minorHAnsi" w:cstheme="minorHAnsi"/>
                <w:color w:val="000000"/>
                <w:sz w:val="18"/>
                <w:szCs w:val="18"/>
              </w:rPr>
              <w:br/>
            </w:r>
            <w:proofErr w:type="spellStart"/>
            <w:r w:rsidRPr="001C1BA7">
              <w:rPr>
                <w:rFonts w:asciiTheme="minorHAnsi" w:eastAsia="Times New Roman" w:hAnsiTheme="minorHAnsi" w:cstheme="minorHAnsi"/>
                <w:color w:val="000000"/>
                <w:sz w:val="18"/>
                <w:szCs w:val="18"/>
              </w:rPr>
              <w:t>ViiV</w:t>
            </w:r>
            <w:proofErr w:type="spellEnd"/>
            <w:r w:rsidRPr="001C1BA7">
              <w:rPr>
                <w:rFonts w:asciiTheme="minorHAnsi" w:eastAsia="Times New Roman" w:hAnsiTheme="minorHAnsi" w:cstheme="minorHAnsi"/>
                <w:color w:val="000000"/>
                <w:sz w:val="18"/>
                <w:szCs w:val="18"/>
              </w:rPr>
              <w:t xml:space="preserve"> </w:t>
            </w:r>
            <w:r w:rsidR="00B85554" w:rsidRPr="001C1BA7">
              <w:rPr>
                <w:rFonts w:asciiTheme="minorHAnsi" w:eastAsia="Times New Roman" w:hAnsiTheme="minorHAnsi" w:cstheme="minorHAnsi"/>
                <w:color w:val="000000"/>
                <w:sz w:val="18"/>
                <w:szCs w:val="18"/>
              </w:rPr>
              <w:t>Healthcare Pty Ltd</w:t>
            </w:r>
            <w:r w:rsidRPr="001C1BA7">
              <w:rPr>
                <w:rFonts w:asciiTheme="minorHAnsi" w:eastAsia="Times New Roman" w:hAnsiTheme="minorHAnsi" w:cstheme="minorHAnsi"/>
                <w:color w:val="000000"/>
                <w:sz w:val="18"/>
                <w:szCs w:val="18"/>
              </w:rPr>
              <w:br/>
            </w:r>
          </w:p>
          <w:p w14:paraId="65222114" w14:textId="6DBACE67" w:rsidR="00415189" w:rsidRPr="001C1BA7" w:rsidRDefault="00415189" w:rsidP="00EC27E1">
            <w:pPr>
              <w:pStyle w:val="ListParagraph"/>
              <w:ind w:left="0"/>
              <w:jc w:val="center"/>
              <w:rPr>
                <w:rFonts w:asciiTheme="minorHAnsi" w:eastAsia="Times New Roman" w:hAnsiTheme="minorHAnsi" w:cstheme="minorHAnsi"/>
                <w:color w:val="000000"/>
                <w:sz w:val="18"/>
                <w:szCs w:val="18"/>
              </w:rPr>
            </w:pPr>
            <w:r w:rsidRPr="00DD0E48">
              <w:rPr>
                <w:rFonts w:asciiTheme="minorHAnsi" w:eastAsia="Times New Roman" w:hAnsiTheme="minorHAnsi" w:cstheme="minorHAnsi"/>
                <w:color w:val="000000"/>
                <w:sz w:val="18"/>
                <w:szCs w:val="18"/>
              </w:rPr>
              <w:t>Matters outstanding</w:t>
            </w:r>
            <w:r w:rsidRPr="001C1BA7">
              <w:rPr>
                <w:rFonts w:asciiTheme="minorHAnsi" w:eastAsia="Times New Roman" w:hAnsiTheme="minorHAnsi" w:cstheme="minorHAnsi"/>
                <w:color w:val="000000"/>
                <w:sz w:val="18"/>
                <w:szCs w:val="18"/>
              </w:rPr>
              <w:b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0A1144D9" w14:textId="1DDDF071" w:rsidR="00415189" w:rsidRPr="001C1BA7" w:rsidRDefault="00415189" w:rsidP="00EC27E1">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 xml:space="preserve">Pre-exposure prophylaxis </w:t>
            </w:r>
            <w:r w:rsidR="00057E40" w:rsidRPr="001C1BA7">
              <w:rPr>
                <w:rFonts w:asciiTheme="minorHAnsi" w:hAnsiTheme="minorHAnsi" w:cstheme="minorHAnsi"/>
                <w:color w:val="000000"/>
                <w:sz w:val="18"/>
                <w:szCs w:val="18"/>
              </w:rPr>
              <w:t>(</w:t>
            </w:r>
            <w:proofErr w:type="spellStart"/>
            <w:r w:rsidR="00057E40" w:rsidRPr="001C1BA7">
              <w:rPr>
                <w:rFonts w:asciiTheme="minorHAnsi" w:hAnsiTheme="minorHAnsi" w:cstheme="minorHAnsi"/>
                <w:color w:val="000000"/>
                <w:sz w:val="18"/>
                <w:szCs w:val="18"/>
              </w:rPr>
              <w:t>PrEP</w:t>
            </w:r>
            <w:proofErr w:type="spellEnd"/>
            <w:r w:rsidR="00057E40" w:rsidRPr="001C1BA7">
              <w:rPr>
                <w:rFonts w:asciiTheme="minorHAnsi" w:hAnsiTheme="minorHAnsi" w:cstheme="minorHAnsi"/>
                <w:color w:val="000000"/>
                <w:sz w:val="18"/>
                <w:szCs w:val="18"/>
              </w:rPr>
              <w:t>)</w:t>
            </w:r>
            <w:r w:rsidR="00057E40">
              <w:rPr>
                <w:rFonts w:asciiTheme="minorHAnsi" w:hAnsiTheme="minorHAnsi" w:cstheme="minorHAnsi"/>
                <w:color w:val="000000"/>
                <w:sz w:val="18"/>
                <w:szCs w:val="18"/>
              </w:rPr>
              <w:t xml:space="preserve"> </w:t>
            </w:r>
            <w:r w:rsidRPr="001C1BA7">
              <w:rPr>
                <w:rFonts w:asciiTheme="minorHAnsi" w:eastAsia="Times New Roman" w:hAnsiTheme="minorHAnsi" w:cstheme="minorHAnsi"/>
                <w:color w:val="000000"/>
                <w:sz w:val="18"/>
                <w:szCs w:val="18"/>
              </w:rPr>
              <w:t>for</w:t>
            </w:r>
          </w:p>
          <w:p w14:paraId="538AF3F3" w14:textId="492DB824" w:rsidR="00415189" w:rsidRPr="001C1BA7" w:rsidRDefault="00415189" w:rsidP="00EC27E1">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human immunodeficiency virus</w:t>
            </w:r>
          </w:p>
          <w:p w14:paraId="695BD7E7" w14:textId="14BD972F" w:rsidR="00415189" w:rsidRPr="001C1BA7" w:rsidRDefault="00415189" w:rsidP="00EC27E1">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(HIV) infection</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03769861" w14:textId="7E23FA63" w:rsidR="00415189" w:rsidRPr="001C1BA7" w:rsidRDefault="00427136" w:rsidP="00EC27E1">
            <w:pPr>
              <w:pStyle w:val="ListParagraph"/>
              <w:ind w:left="0"/>
              <w:jc w:val="center"/>
              <w:rPr>
                <w:rFonts w:asciiTheme="minorHAnsi" w:eastAsia="Times New Roman" w:hAnsiTheme="minorHAnsi" w:cstheme="minorHAnsi"/>
                <w:color w:val="000000"/>
                <w:sz w:val="18"/>
                <w:szCs w:val="18"/>
              </w:rPr>
            </w:pPr>
            <w:r w:rsidRPr="00427136">
              <w:rPr>
                <w:rFonts w:asciiTheme="minorHAnsi" w:eastAsia="Times New Roman" w:hAnsiTheme="minorHAnsi" w:cstheme="minorHAnsi"/>
                <w:color w:val="000000"/>
                <w:sz w:val="18"/>
                <w:szCs w:val="18"/>
              </w:rPr>
              <w:t xml:space="preserve">To request a General Schedule Authority Required (STREAMLINED) listing for use as </w:t>
            </w:r>
            <w:proofErr w:type="spellStart"/>
            <w:r w:rsidR="00057E40" w:rsidRPr="001C1BA7">
              <w:rPr>
                <w:rFonts w:asciiTheme="minorHAnsi" w:hAnsiTheme="minorHAnsi" w:cstheme="minorHAnsi"/>
                <w:color w:val="000000"/>
                <w:sz w:val="18"/>
                <w:szCs w:val="18"/>
              </w:rPr>
              <w:t>PrEP</w:t>
            </w:r>
            <w:proofErr w:type="spellEnd"/>
            <w:r w:rsidR="00057E40">
              <w:rPr>
                <w:rFonts w:asciiTheme="minorHAnsi" w:hAnsiTheme="minorHAnsi" w:cstheme="minorHAnsi"/>
                <w:color w:val="000000"/>
                <w:sz w:val="18"/>
                <w:szCs w:val="18"/>
              </w:rPr>
              <w:t xml:space="preserve"> </w:t>
            </w:r>
            <w:r w:rsidRPr="00427136">
              <w:rPr>
                <w:rFonts w:asciiTheme="minorHAnsi" w:eastAsia="Times New Roman" w:hAnsiTheme="minorHAnsi" w:cstheme="minorHAnsi"/>
                <w:color w:val="000000"/>
                <w:sz w:val="18"/>
                <w:szCs w:val="18"/>
              </w:rPr>
              <w:t>for HIV infection in persons in whom tenofovir</w:t>
            </w:r>
            <w:r w:rsidR="00057E40">
              <w:rPr>
                <w:rFonts w:asciiTheme="minorHAnsi" w:eastAsia="Times New Roman" w:hAnsiTheme="minorHAnsi" w:cstheme="minorHAnsi"/>
                <w:color w:val="000000"/>
                <w:sz w:val="18"/>
                <w:szCs w:val="18"/>
              </w:rPr>
              <w:t xml:space="preserve"> disoproxil with </w:t>
            </w:r>
            <w:r w:rsidRPr="00427136">
              <w:rPr>
                <w:rFonts w:asciiTheme="minorHAnsi" w:eastAsia="Times New Roman" w:hAnsiTheme="minorHAnsi" w:cstheme="minorHAnsi"/>
                <w:color w:val="000000"/>
                <w:sz w:val="18"/>
                <w:szCs w:val="18"/>
              </w:rPr>
              <w:t>emtricitabine</w:t>
            </w:r>
            <w:r w:rsidR="00057E40">
              <w:rPr>
                <w:rFonts w:asciiTheme="minorHAnsi" w:eastAsia="Times New Roman" w:hAnsiTheme="minorHAnsi" w:cstheme="minorHAnsi"/>
                <w:color w:val="000000"/>
                <w:sz w:val="18"/>
                <w:szCs w:val="18"/>
              </w:rPr>
              <w:t xml:space="preserve"> </w:t>
            </w:r>
            <w:r w:rsidR="00057E40" w:rsidRPr="001C1BA7">
              <w:rPr>
                <w:rFonts w:asciiTheme="minorHAnsi" w:hAnsiTheme="minorHAnsi" w:cstheme="minorHAnsi"/>
                <w:color w:val="000000"/>
                <w:sz w:val="18"/>
                <w:szCs w:val="18"/>
              </w:rPr>
              <w:t>(TD/FTC)</w:t>
            </w:r>
            <w:r w:rsidRPr="00427136">
              <w:rPr>
                <w:rFonts w:asciiTheme="minorHAnsi" w:eastAsia="Times New Roman" w:hAnsiTheme="minorHAnsi" w:cstheme="minorHAnsi"/>
                <w:color w:val="000000"/>
                <w:sz w:val="18"/>
                <w:szCs w:val="18"/>
              </w:rPr>
              <w:t xml:space="preserve"> is contraindicated.</w:t>
            </w:r>
          </w:p>
        </w:tc>
        <w:tc>
          <w:tcPr>
            <w:tcW w:w="552" w:type="pct"/>
            <w:tcBorders>
              <w:top w:val="single" w:sz="4" w:space="0" w:color="auto"/>
              <w:left w:val="single" w:sz="4" w:space="0" w:color="auto"/>
              <w:right w:val="single" w:sz="4" w:space="0" w:color="auto"/>
            </w:tcBorders>
            <w:shd w:val="clear" w:color="auto" w:fill="auto"/>
            <w:vAlign w:val="center"/>
          </w:tcPr>
          <w:p w14:paraId="77C08472" w14:textId="35F929B8" w:rsidR="00415189" w:rsidRPr="001C1BA7" w:rsidRDefault="00415189" w:rsidP="00EC08C1">
            <w:pPr>
              <w:contextualSpacing/>
              <w:jc w:val="center"/>
              <w:rPr>
                <w:rFonts w:asciiTheme="minorHAnsi" w:hAnsiTheme="minorHAnsi" w:cstheme="minorHAnsi"/>
                <w:color w:val="000000"/>
                <w:sz w:val="18"/>
                <w:szCs w:val="18"/>
              </w:rPr>
            </w:pPr>
            <w:r w:rsidRPr="001C1BA7">
              <w:rPr>
                <w:rFonts w:asciiTheme="minorHAnsi" w:hAnsiTheme="minorHAnsi" w:cstheme="minorHAnsi"/>
                <w:color w:val="000000"/>
                <w:sz w:val="18"/>
                <w:szCs w:val="18"/>
              </w:rPr>
              <w:t>Recommended</w:t>
            </w:r>
          </w:p>
        </w:tc>
        <w:tc>
          <w:tcPr>
            <w:tcW w:w="2146" w:type="pct"/>
            <w:tcBorders>
              <w:top w:val="single" w:sz="4" w:space="0" w:color="auto"/>
            </w:tcBorders>
            <w:shd w:val="clear" w:color="auto" w:fill="auto"/>
            <w:vAlign w:val="center"/>
          </w:tcPr>
          <w:p w14:paraId="2FA606FF" w14:textId="5448A1A4" w:rsidR="00415189" w:rsidRPr="001C1BA7" w:rsidRDefault="00415189" w:rsidP="00EC08C1">
            <w:pPr>
              <w:contextualSpacing/>
              <w:rPr>
                <w:rFonts w:asciiTheme="minorHAnsi" w:hAnsiTheme="minorHAnsi" w:cstheme="minorHAnsi"/>
                <w:color w:val="000000"/>
                <w:sz w:val="18"/>
                <w:szCs w:val="18"/>
              </w:rPr>
            </w:pPr>
            <w:r w:rsidRPr="001C1BA7">
              <w:rPr>
                <w:rFonts w:asciiTheme="minorHAnsi" w:hAnsiTheme="minorHAnsi" w:cstheme="minorHAnsi"/>
                <w:color w:val="000000"/>
                <w:sz w:val="18"/>
                <w:szCs w:val="18"/>
              </w:rPr>
              <w:t xml:space="preserve">The PBAC recommended the General Schedule, Authority Required (STREAMLINED) listing of cabotegravir long-acting injection (CAB-LA) for HIV </w:t>
            </w:r>
            <w:proofErr w:type="spellStart"/>
            <w:r w:rsidRPr="001C1BA7">
              <w:rPr>
                <w:rFonts w:asciiTheme="minorHAnsi" w:hAnsiTheme="minorHAnsi" w:cstheme="minorHAnsi"/>
                <w:color w:val="000000"/>
                <w:sz w:val="18"/>
                <w:szCs w:val="18"/>
              </w:rPr>
              <w:t>PrEP</w:t>
            </w:r>
            <w:proofErr w:type="spellEnd"/>
            <w:r w:rsidRPr="001C1BA7">
              <w:rPr>
                <w:rFonts w:asciiTheme="minorHAnsi" w:hAnsiTheme="minorHAnsi" w:cstheme="minorHAnsi"/>
                <w:color w:val="000000"/>
                <w:sz w:val="18"/>
                <w:szCs w:val="18"/>
              </w:rPr>
              <w:t xml:space="preserve">, on </w:t>
            </w:r>
            <w:r w:rsidR="00E971AA" w:rsidRPr="00E971AA">
              <w:rPr>
                <w:rFonts w:asciiTheme="minorHAnsi" w:hAnsiTheme="minorHAnsi" w:cstheme="minorHAnsi"/>
                <w:color w:val="000000"/>
                <w:sz w:val="18"/>
                <w:szCs w:val="18"/>
              </w:rPr>
              <w:t>the basis that the revised restriction and price offer would achieve an equitable and</w:t>
            </w:r>
            <w:r w:rsidR="00E971AA">
              <w:rPr>
                <w:rFonts w:asciiTheme="minorHAnsi" w:hAnsiTheme="minorHAnsi" w:cstheme="minorHAnsi"/>
                <w:color w:val="000000"/>
                <w:sz w:val="18"/>
                <w:szCs w:val="18"/>
              </w:rPr>
              <w:t xml:space="preserve"> acceptably</w:t>
            </w:r>
            <w:r w:rsidR="00E971AA" w:rsidRPr="00E971AA">
              <w:rPr>
                <w:rFonts w:asciiTheme="minorHAnsi" w:hAnsiTheme="minorHAnsi" w:cstheme="minorHAnsi"/>
                <w:color w:val="000000"/>
                <w:sz w:val="18"/>
                <w:szCs w:val="18"/>
              </w:rPr>
              <w:t xml:space="preserve"> cost-effective listing.</w:t>
            </w:r>
            <w:r w:rsidRPr="001C1BA7">
              <w:rPr>
                <w:rFonts w:asciiTheme="minorHAnsi" w:hAnsiTheme="minorHAnsi" w:cstheme="minorHAnsi"/>
                <w:color w:val="000000"/>
                <w:sz w:val="18"/>
                <w:szCs w:val="18"/>
              </w:rPr>
              <w:br/>
              <w:t>The PBAC considered the revised restriction appropriately allow</w:t>
            </w:r>
            <w:r w:rsidR="00997735">
              <w:rPr>
                <w:rFonts w:asciiTheme="minorHAnsi" w:hAnsiTheme="minorHAnsi" w:cstheme="minorHAnsi"/>
                <w:color w:val="000000"/>
                <w:sz w:val="18"/>
                <w:szCs w:val="18"/>
              </w:rPr>
              <w:t>s</w:t>
            </w:r>
            <w:r w:rsidR="00E971AA">
              <w:rPr>
                <w:rFonts w:asciiTheme="minorHAnsi" w:hAnsiTheme="minorHAnsi" w:cstheme="minorHAnsi"/>
                <w:color w:val="000000"/>
                <w:sz w:val="18"/>
                <w:szCs w:val="18"/>
              </w:rPr>
              <w:t xml:space="preserve"> </w:t>
            </w:r>
            <w:r w:rsidR="00E971AA" w:rsidRPr="00E971AA">
              <w:rPr>
                <w:rFonts w:asciiTheme="minorHAnsi" w:hAnsiTheme="minorHAnsi" w:cstheme="minorHAnsi"/>
                <w:color w:val="000000"/>
                <w:sz w:val="18"/>
                <w:szCs w:val="18"/>
              </w:rPr>
              <w:t xml:space="preserve">a simpler clinical assessment of whether an individual is likely to have compromised efficacy with oral </w:t>
            </w:r>
            <w:proofErr w:type="spellStart"/>
            <w:r w:rsidR="00E971AA" w:rsidRPr="00E971AA">
              <w:rPr>
                <w:rFonts w:asciiTheme="minorHAnsi" w:hAnsiTheme="minorHAnsi" w:cstheme="minorHAnsi"/>
                <w:color w:val="000000"/>
                <w:sz w:val="18"/>
                <w:szCs w:val="18"/>
              </w:rPr>
              <w:t>PrEP</w:t>
            </w:r>
            <w:proofErr w:type="spellEnd"/>
            <w:r w:rsidR="00E971AA" w:rsidRPr="00E971AA">
              <w:rPr>
                <w:rFonts w:asciiTheme="minorHAnsi" w:hAnsiTheme="minorHAnsi" w:cstheme="minorHAnsi"/>
                <w:color w:val="000000"/>
                <w:sz w:val="18"/>
                <w:szCs w:val="18"/>
              </w:rPr>
              <w:t xml:space="preserve"> and would experience a benefit from a long-acting injectable alternative.</w:t>
            </w:r>
          </w:p>
        </w:tc>
      </w:tr>
      <w:tr w:rsidR="004E45B1" w:rsidRPr="00687774" w14:paraId="1A99C2DA" w14:textId="77777777" w:rsidTr="004F6C3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7204CBBA" w14:textId="208335C4" w:rsidR="00BC6AF1" w:rsidRDefault="004E45B1" w:rsidP="00EC27E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PATISIRAN</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t>Solution concentrate for I.V. infusion 10 mg in 5 mL</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r>
            <w:proofErr w:type="spellStart"/>
            <w:r w:rsidRPr="001C1BA7">
              <w:rPr>
                <w:rFonts w:asciiTheme="minorHAnsi" w:eastAsia="Times New Roman" w:hAnsiTheme="minorHAnsi" w:cstheme="minorHAnsi"/>
                <w:sz w:val="18"/>
                <w:szCs w:val="18"/>
              </w:rPr>
              <w:t>Onpattro</w:t>
            </w:r>
            <w:proofErr w:type="spellEnd"/>
            <w:r w:rsidRPr="001C1BA7">
              <w:rPr>
                <w:rFonts w:asciiTheme="minorHAnsi" w:eastAsia="Times New Roman" w:hAnsiTheme="minorHAnsi" w:cstheme="minorHAnsi"/>
                <w:sz w:val="18"/>
                <w:szCs w:val="18"/>
              </w:rPr>
              <w:t>®</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r>
            <w:r w:rsidR="00B85554" w:rsidRPr="001C1BA7">
              <w:rPr>
                <w:rFonts w:asciiTheme="minorHAnsi" w:eastAsia="Times New Roman" w:hAnsiTheme="minorHAnsi" w:cstheme="minorHAnsi"/>
                <w:sz w:val="18"/>
                <w:szCs w:val="18"/>
              </w:rPr>
              <w:t>Alnylam Australia Pty Ltd</w:t>
            </w:r>
          </w:p>
          <w:p w14:paraId="2086EDAC" w14:textId="30BC2175" w:rsidR="004E45B1" w:rsidRPr="001C1BA7" w:rsidRDefault="004E45B1" w:rsidP="00EC27E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br/>
            </w:r>
            <w:r w:rsidR="00BC6AF1" w:rsidRPr="00BC6AF1">
              <w:rPr>
                <w:rFonts w:asciiTheme="minorHAnsi" w:eastAsia="Times New Roman" w:hAnsiTheme="minorHAnsi" w:cstheme="minorHAnsi"/>
                <w:sz w:val="18"/>
                <w:szCs w:val="18"/>
              </w:rPr>
              <w:t>Early resolution</w:t>
            </w:r>
            <w:r w:rsidR="00743E90">
              <w:rPr>
                <w:rFonts w:asciiTheme="minorHAnsi" w:eastAsia="Times New Roman" w:hAnsiTheme="minorHAnsi" w:cstheme="minorHAnsi"/>
                <w:sz w:val="18"/>
                <w:szCs w:val="18"/>
              </w:rPr>
              <w:t xml:space="preserve"> submission</w:t>
            </w:r>
            <w:r w:rsidRPr="001C1BA7">
              <w:rPr>
                <w:rFonts w:asciiTheme="minorHAnsi" w:eastAsia="Times New Roman" w:hAnsiTheme="minorHAnsi" w:cstheme="minorHAnsi"/>
                <w:sz w:val="18"/>
                <w:szCs w:val="18"/>
              </w:rPr>
              <w:b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7358A829" w14:textId="792288A5" w:rsidR="004E45B1" w:rsidRPr="001C1BA7" w:rsidRDefault="004E45B1" w:rsidP="00EC27E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Hereditary transthyretin-mediated amyloidosis (</w:t>
            </w:r>
            <w:proofErr w:type="spellStart"/>
            <w:r w:rsidRPr="001C1BA7">
              <w:rPr>
                <w:rFonts w:asciiTheme="minorHAnsi" w:eastAsia="Times New Roman" w:hAnsiTheme="minorHAnsi" w:cstheme="minorHAnsi"/>
                <w:sz w:val="18"/>
                <w:szCs w:val="18"/>
              </w:rPr>
              <w:t>hATTR</w:t>
            </w:r>
            <w:proofErr w:type="spellEnd"/>
            <w:r w:rsidRPr="001C1BA7">
              <w:rPr>
                <w:rFonts w:asciiTheme="minorHAnsi" w:eastAsia="Times New Roman" w:hAnsiTheme="minorHAnsi" w:cstheme="minorHAnsi"/>
                <w:sz w:val="18"/>
                <w:szCs w:val="18"/>
              </w:rPr>
              <w:t xml:space="preserve"> amyloidosis)</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2B383471" w14:textId="23D677F7" w:rsidR="004E45B1" w:rsidRPr="001C1BA7" w:rsidRDefault="004E45B1" w:rsidP="00EC27E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 xml:space="preserve">A resubmission requesting the listing of patisiran for the treatment of </w:t>
            </w:r>
            <w:proofErr w:type="spellStart"/>
            <w:r w:rsidRPr="001C1BA7">
              <w:rPr>
                <w:rFonts w:asciiTheme="minorHAnsi" w:eastAsia="Times New Roman" w:hAnsiTheme="minorHAnsi" w:cstheme="minorHAnsi"/>
                <w:sz w:val="18"/>
                <w:szCs w:val="18"/>
              </w:rPr>
              <w:t>hATTR</w:t>
            </w:r>
            <w:proofErr w:type="spellEnd"/>
            <w:r w:rsidRPr="001C1BA7">
              <w:rPr>
                <w:rFonts w:asciiTheme="minorHAnsi" w:eastAsia="Times New Roman" w:hAnsiTheme="minorHAnsi" w:cstheme="minorHAnsi"/>
                <w:sz w:val="18"/>
                <w:szCs w:val="18"/>
              </w:rPr>
              <w:t xml:space="preserve"> amyloidosis in adult patients with stage 1 or stage 2 polyneuropathy.</w:t>
            </w:r>
          </w:p>
        </w:tc>
        <w:tc>
          <w:tcPr>
            <w:tcW w:w="552" w:type="pct"/>
            <w:tcBorders>
              <w:top w:val="single" w:sz="4" w:space="0" w:color="auto"/>
              <w:left w:val="single" w:sz="4" w:space="0" w:color="auto"/>
              <w:right w:val="single" w:sz="4" w:space="0" w:color="auto"/>
            </w:tcBorders>
            <w:shd w:val="clear" w:color="auto" w:fill="auto"/>
            <w:vAlign w:val="center"/>
          </w:tcPr>
          <w:p w14:paraId="26409D28" w14:textId="43CAE3C8" w:rsidR="004E45B1" w:rsidRPr="001C1BA7" w:rsidRDefault="004E45B1" w:rsidP="00EC08C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Deferred</w:t>
            </w:r>
          </w:p>
        </w:tc>
        <w:tc>
          <w:tcPr>
            <w:tcW w:w="2146" w:type="pct"/>
            <w:tcBorders>
              <w:top w:val="single" w:sz="4" w:space="0" w:color="auto"/>
            </w:tcBorders>
            <w:shd w:val="clear" w:color="auto" w:fill="auto"/>
            <w:vAlign w:val="center"/>
          </w:tcPr>
          <w:p w14:paraId="79D5165C" w14:textId="3007BFD8" w:rsidR="00F162A9" w:rsidRDefault="00F162A9" w:rsidP="00EC08C1">
            <w:pPr>
              <w:contextualSpacing/>
              <w:rPr>
                <w:rFonts w:asciiTheme="minorHAnsi" w:hAnsiTheme="minorHAnsi" w:cstheme="minorHAnsi"/>
                <w:sz w:val="18"/>
                <w:szCs w:val="18"/>
              </w:rPr>
            </w:pPr>
            <w:r w:rsidRPr="00F162A9">
              <w:rPr>
                <w:rFonts w:asciiTheme="minorHAnsi" w:hAnsiTheme="minorHAnsi" w:cstheme="minorHAnsi"/>
                <w:sz w:val="18"/>
                <w:szCs w:val="18"/>
              </w:rPr>
              <w:t xml:space="preserve">The PBAC deferred making a recommendation for patisiran for the treatment of patients with </w:t>
            </w:r>
            <w:proofErr w:type="spellStart"/>
            <w:r w:rsidRPr="00F162A9">
              <w:rPr>
                <w:rFonts w:asciiTheme="minorHAnsi" w:hAnsiTheme="minorHAnsi" w:cstheme="minorHAnsi"/>
                <w:sz w:val="18"/>
                <w:szCs w:val="18"/>
              </w:rPr>
              <w:t>hATTR</w:t>
            </w:r>
            <w:proofErr w:type="spellEnd"/>
            <w:r w:rsidRPr="00F162A9">
              <w:rPr>
                <w:rFonts w:asciiTheme="minorHAnsi" w:hAnsiTheme="minorHAnsi" w:cstheme="minorHAnsi"/>
                <w:sz w:val="18"/>
                <w:szCs w:val="18"/>
              </w:rPr>
              <w:t xml:space="preserve"> amyloidosis with polyneuropathy to allow for further consultation with the sponsor. In deciding to defer making a recommendation, the PBAC reaffirmed its view that there was a high clinical need for effective treatments for this patient population, however the PBAC considered that further consultation with the sponsor was required regarding a cost-effective price for patisiran and addressing the uncertainty with the cost-effectiveness estimates (through a Managed Access Program) and the financial estimates (through a Risk Sharing Arrangement). </w:t>
            </w:r>
          </w:p>
          <w:p w14:paraId="5FE86742" w14:textId="77777777" w:rsidR="00447987" w:rsidRDefault="00447987" w:rsidP="00EC08C1">
            <w:pPr>
              <w:contextualSpacing/>
              <w:rPr>
                <w:rFonts w:asciiTheme="minorHAnsi" w:hAnsiTheme="minorHAnsi" w:cstheme="minorHAnsi"/>
                <w:sz w:val="18"/>
                <w:szCs w:val="18"/>
                <w:u w:val="single"/>
              </w:rPr>
            </w:pPr>
          </w:p>
          <w:p w14:paraId="44ED9855" w14:textId="77777777" w:rsidR="004E45B1" w:rsidRDefault="00F162A9" w:rsidP="00EC08C1">
            <w:pPr>
              <w:contextualSpacing/>
              <w:rPr>
                <w:rFonts w:asciiTheme="minorHAnsi" w:hAnsiTheme="minorHAnsi" w:cstheme="minorHAnsi"/>
                <w:sz w:val="18"/>
                <w:szCs w:val="18"/>
                <w:u w:val="single"/>
              </w:rPr>
            </w:pPr>
            <w:r w:rsidRPr="00447987">
              <w:rPr>
                <w:rFonts w:asciiTheme="minorHAnsi" w:hAnsiTheme="minorHAnsi" w:cstheme="minorHAnsi"/>
                <w:sz w:val="18"/>
                <w:szCs w:val="18"/>
                <w:u w:val="single"/>
              </w:rPr>
              <w:t xml:space="preserve">Sponsor’s </w:t>
            </w:r>
            <w:r w:rsidR="00447987">
              <w:rPr>
                <w:rFonts w:asciiTheme="minorHAnsi" w:hAnsiTheme="minorHAnsi" w:cstheme="minorHAnsi"/>
                <w:sz w:val="18"/>
                <w:szCs w:val="18"/>
                <w:u w:val="single"/>
              </w:rPr>
              <w:t>C</w:t>
            </w:r>
            <w:r w:rsidRPr="00447987">
              <w:rPr>
                <w:rFonts w:asciiTheme="minorHAnsi" w:hAnsiTheme="minorHAnsi" w:cstheme="minorHAnsi"/>
                <w:sz w:val="18"/>
                <w:szCs w:val="18"/>
                <w:u w:val="single"/>
              </w:rPr>
              <w:t>omment:</w:t>
            </w:r>
          </w:p>
          <w:p w14:paraId="17D9D3A9" w14:textId="08D66207" w:rsidR="005C59FD" w:rsidRPr="00447987" w:rsidRDefault="005C59FD" w:rsidP="00EE4A78">
            <w:pPr>
              <w:spacing w:after="120"/>
              <w:rPr>
                <w:rFonts w:asciiTheme="minorHAnsi" w:hAnsiTheme="minorHAnsi" w:cstheme="minorHAnsi"/>
                <w:b/>
                <w:bCs/>
                <w:sz w:val="18"/>
                <w:szCs w:val="18"/>
                <w:u w:val="single"/>
              </w:rPr>
            </w:pPr>
            <w:r w:rsidRPr="00EE4A78">
              <w:rPr>
                <w:rFonts w:asciiTheme="minorHAnsi" w:hAnsiTheme="minorHAnsi"/>
                <w:bCs/>
                <w:sz w:val="18"/>
                <w:szCs w:val="18"/>
              </w:rPr>
              <w:t>The sponsor had no comment.</w:t>
            </w:r>
          </w:p>
        </w:tc>
      </w:tr>
      <w:tr w:rsidR="004E45B1" w:rsidRPr="00687774" w14:paraId="43515BA6" w14:textId="77777777" w:rsidTr="004F6C3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4BC9700B" w14:textId="77777777" w:rsidR="00BC6AF1" w:rsidRDefault="004E45B1" w:rsidP="00EC08C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lastRenderedPageBreak/>
              <w:t>TEBENTAFUSP</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t>Solution concentrate for I.V. infusion 100 mcg in 0.5 mL vial</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r>
            <w:proofErr w:type="spellStart"/>
            <w:r w:rsidRPr="001C1BA7">
              <w:rPr>
                <w:rFonts w:asciiTheme="minorHAnsi" w:eastAsia="Times New Roman" w:hAnsiTheme="minorHAnsi" w:cstheme="minorHAnsi"/>
                <w:sz w:val="18"/>
                <w:szCs w:val="18"/>
              </w:rPr>
              <w:t>Kimmtrak</w:t>
            </w:r>
            <w:proofErr w:type="spellEnd"/>
            <w:r w:rsidRPr="001C1BA7">
              <w:rPr>
                <w:rFonts w:asciiTheme="minorHAnsi" w:eastAsia="Times New Roman" w:hAnsiTheme="minorHAnsi" w:cstheme="minorHAnsi"/>
                <w:sz w:val="18"/>
                <w:szCs w:val="18"/>
              </w:rPr>
              <w:t>®</w:t>
            </w:r>
            <w:r w:rsidRPr="001C1BA7">
              <w:rPr>
                <w:rFonts w:asciiTheme="minorHAnsi" w:eastAsia="Times New Roman" w:hAnsiTheme="minorHAnsi" w:cstheme="minorHAnsi"/>
                <w:sz w:val="18"/>
                <w:szCs w:val="18"/>
              </w:rPr>
              <w:br/>
            </w:r>
            <w:r w:rsidRPr="001C1BA7">
              <w:rPr>
                <w:rFonts w:asciiTheme="minorHAnsi" w:eastAsia="Times New Roman" w:hAnsiTheme="minorHAnsi" w:cstheme="minorHAnsi"/>
                <w:sz w:val="18"/>
                <w:szCs w:val="18"/>
              </w:rPr>
              <w:br/>
            </w:r>
            <w:proofErr w:type="spellStart"/>
            <w:r w:rsidRPr="001C1BA7">
              <w:rPr>
                <w:rFonts w:asciiTheme="minorHAnsi" w:eastAsia="Times New Roman" w:hAnsiTheme="minorHAnsi" w:cstheme="minorHAnsi"/>
                <w:sz w:val="18"/>
                <w:szCs w:val="18"/>
              </w:rPr>
              <w:t>Synevi</w:t>
            </w:r>
            <w:proofErr w:type="spellEnd"/>
            <w:r w:rsidRPr="001C1BA7">
              <w:rPr>
                <w:rFonts w:asciiTheme="minorHAnsi" w:eastAsia="Times New Roman" w:hAnsiTheme="minorHAnsi" w:cstheme="minorHAnsi"/>
                <w:sz w:val="18"/>
                <w:szCs w:val="18"/>
              </w:rPr>
              <w:t xml:space="preserve"> Pty Limited</w:t>
            </w:r>
            <w:r w:rsidRPr="001C1BA7">
              <w:rPr>
                <w:rFonts w:asciiTheme="minorHAnsi" w:eastAsia="Times New Roman" w:hAnsiTheme="minorHAnsi" w:cstheme="minorHAnsi"/>
                <w:sz w:val="18"/>
                <w:szCs w:val="18"/>
              </w:rPr>
              <w:br/>
            </w:r>
          </w:p>
          <w:p w14:paraId="4B3D9C15" w14:textId="05CD9459" w:rsidR="004E45B1" w:rsidRPr="001C1BA7" w:rsidRDefault="00BC6AF1" w:rsidP="00EC08C1">
            <w:pPr>
              <w:pStyle w:val="ListParagraph"/>
              <w:ind w:left="0"/>
              <w:jc w:val="center"/>
              <w:rPr>
                <w:rFonts w:asciiTheme="minorHAnsi" w:eastAsia="Times New Roman" w:hAnsiTheme="minorHAnsi" w:cstheme="minorHAnsi"/>
                <w:sz w:val="18"/>
                <w:szCs w:val="18"/>
              </w:rPr>
            </w:pPr>
            <w:r w:rsidRPr="00BC6AF1">
              <w:rPr>
                <w:rFonts w:asciiTheme="minorHAnsi" w:eastAsia="Times New Roman" w:hAnsiTheme="minorHAnsi" w:cstheme="minorHAnsi"/>
                <w:sz w:val="18"/>
                <w:szCs w:val="18"/>
              </w:rPr>
              <w:t>Early resolution</w:t>
            </w:r>
            <w:r w:rsidR="00743E90">
              <w:rPr>
                <w:rFonts w:asciiTheme="minorHAnsi" w:eastAsia="Times New Roman" w:hAnsiTheme="minorHAnsi" w:cstheme="minorHAnsi"/>
                <w:sz w:val="18"/>
                <w:szCs w:val="18"/>
              </w:rPr>
              <w:t xml:space="preserve"> submission</w:t>
            </w:r>
            <w:r w:rsidR="004E45B1" w:rsidRPr="001C1BA7">
              <w:rPr>
                <w:rFonts w:asciiTheme="minorHAnsi" w:eastAsia="Times New Roman" w:hAnsiTheme="minorHAnsi" w:cstheme="minorHAnsi"/>
                <w:sz w:val="18"/>
                <w:szCs w:val="18"/>
              </w:rPr>
              <w:br/>
              <w:t>(New PBS listing)</w:t>
            </w:r>
          </w:p>
        </w:tc>
        <w:tc>
          <w:tcPr>
            <w:tcW w:w="691" w:type="pct"/>
            <w:tcBorders>
              <w:top w:val="single" w:sz="4" w:space="0" w:color="auto"/>
              <w:left w:val="single" w:sz="4" w:space="0" w:color="auto"/>
              <w:right w:val="single" w:sz="4" w:space="0" w:color="auto"/>
            </w:tcBorders>
            <w:shd w:val="clear" w:color="auto" w:fill="auto"/>
            <w:vAlign w:val="center"/>
          </w:tcPr>
          <w:p w14:paraId="1599BAAE" w14:textId="290F4412" w:rsidR="004E45B1" w:rsidRPr="001C1BA7" w:rsidRDefault="004E45B1" w:rsidP="00EC08C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Advanced (unresectable or metastatic) human leukocyte antigen (HLA)-A*02:01-positive uveal melanoma</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7C0D22AB" w14:textId="3DABB130" w:rsidR="004E45B1" w:rsidRPr="001C1BA7" w:rsidRDefault="004E45B1"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A resubmission requesting</w:t>
            </w:r>
            <w:r w:rsidR="00743E90">
              <w:rPr>
                <w:rFonts w:asciiTheme="minorHAnsi" w:hAnsiTheme="minorHAnsi" w:cstheme="minorHAnsi"/>
                <w:sz w:val="18"/>
                <w:szCs w:val="18"/>
              </w:rPr>
              <w:t xml:space="preserve"> </w:t>
            </w:r>
            <w:r w:rsidRPr="001C1BA7">
              <w:rPr>
                <w:rFonts w:asciiTheme="minorHAnsi" w:hAnsiTheme="minorHAnsi" w:cstheme="minorHAnsi"/>
                <w:sz w:val="18"/>
                <w:szCs w:val="18"/>
              </w:rPr>
              <w:t xml:space="preserve"> the listing of tebentafusp for the treatment of HLA-A*02:01-positive adult patients with advanced (unresectable or metastatic) uveal melanoma.</w:t>
            </w:r>
          </w:p>
          <w:p w14:paraId="459B7203" w14:textId="49B33BE2" w:rsidR="004E45B1" w:rsidRPr="001C1BA7" w:rsidRDefault="004E45B1" w:rsidP="00EC08C1">
            <w:pPr>
              <w:pStyle w:val="ListParagraph"/>
              <w:ind w:left="0"/>
              <w:jc w:val="center"/>
              <w:rPr>
                <w:rFonts w:asciiTheme="minorHAnsi" w:eastAsia="Times New Roman" w:hAnsiTheme="minorHAnsi" w:cstheme="minorHAnsi"/>
                <w:sz w:val="18"/>
                <w:szCs w:val="18"/>
              </w:rPr>
            </w:pPr>
          </w:p>
        </w:tc>
        <w:tc>
          <w:tcPr>
            <w:tcW w:w="552" w:type="pct"/>
            <w:tcBorders>
              <w:top w:val="single" w:sz="4" w:space="0" w:color="auto"/>
              <w:left w:val="single" w:sz="4" w:space="0" w:color="auto"/>
              <w:right w:val="single" w:sz="4" w:space="0" w:color="auto"/>
            </w:tcBorders>
            <w:shd w:val="clear" w:color="auto" w:fill="auto"/>
            <w:vAlign w:val="center"/>
          </w:tcPr>
          <w:p w14:paraId="7771BDE5" w14:textId="66CB9C53" w:rsidR="004E45B1" w:rsidRPr="001C1BA7" w:rsidRDefault="004E45B1" w:rsidP="00EC08C1">
            <w:pPr>
              <w:pStyle w:val="ListParagraph"/>
              <w:ind w:left="0"/>
              <w:jc w:val="center"/>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Recommended</w:t>
            </w:r>
          </w:p>
        </w:tc>
        <w:tc>
          <w:tcPr>
            <w:tcW w:w="2146" w:type="pct"/>
            <w:tcBorders>
              <w:top w:val="single" w:sz="4" w:space="0" w:color="auto"/>
            </w:tcBorders>
            <w:shd w:val="clear" w:color="auto" w:fill="auto"/>
            <w:vAlign w:val="center"/>
          </w:tcPr>
          <w:p w14:paraId="618EEE1B" w14:textId="74B6DC70" w:rsidR="004E45B1" w:rsidRPr="001C1BA7" w:rsidRDefault="004E45B1" w:rsidP="00EC08C1">
            <w:pPr>
              <w:pStyle w:val="ListParagraph"/>
              <w:ind w:left="0"/>
              <w:rPr>
                <w:rFonts w:asciiTheme="minorHAnsi" w:eastAsia="Times New Roman" w:hAnsiTheme="minorHAnsi" w:cstheme="minorHAnsi"/>
                <w:sz w:val="18"/>
                <w:szCs w:val="18"/>
              </w:rPr>
            </w:pPr>
            <w:r w:rsidRPr="001C1BA7">
              <w:rPr>
                <w:rFonts w:asciiTheme="minorHAnsi" w:eastAsia="Times New Roman" w:hAnsiTheme="minorHAnsi" w:cstheme="minorHAnsi"/>
                <w:sz w:val="18"/>
                <w:szCs w:val="18"/>
              </w:rPr>
              <w:t>The PBAC recommended tebentafusp</w:t>
            </w:r>
            <w:r w:rsidR="00327E3C">
              <w:rPr>
                <w:rFonts w:asciiTheme="minorHAnsi" w:eastAsia="Times New Roman" w:hAnsiTheme="minorHAnsi" w:cstheme="minorHAnsi"/>
                <w:sz w:val="18"/>
                <w:szCs w:val="18"/>
              </w:rPr>
              <w:t xml:space="preserve"> be listed on the PBS </w:t>
            </w:r>
            <w:r w:rsidR="00327E3C" w:rsidRPr="00327E3C">
              <w:rPr>
                <w:rFonts w:asciiTheme="minorHAnsi" w:eastAsia="Times New Roman" w:hAnsiTheme="minorHAnsi" w:cstheme="minorHAnsi"/>
                <w:sz w:val="18"/>
                <w:szCs w:val="18"/>
              </w:rPr>
              <w:t>as a Section 100 (Efficient Funding of Chemotherapy) item</w:t>
            </w:r>
            <w:r w:rsidRPr="001C1BA7">
              <w:rPr>
                <w:rFonts w:asciiTheme="minorHAnsi" w:eastAsia="Times New Roman" w:hAnsiTheme="minorHAnsi" w:cstheme="minorHAnsi"/>
                <w:sz w:val="18"/>
                <w:szCs w:val="18"/>
              </w:rPr>
              <w:t xml:space="preserve"> for the treatment of HLA-A*02:01-positive adult patients with advanced (unresectable or metastatic) uveal melanoma. The PBAC recalled that it had previously noted the high unmet clinical need for new treatments in this setting and had considered that tebentafusp was superior compared to pembrolizumab in terms of efficacy, but likely inferior in terms of safety. The PBAC considered that the resubmission’s changes to the proposed restrictions, economic model and financial impact estimates adequately addressed its previous concerns and considered that tebentafusp would be acceptably cost-effective at the price proposed in the resubmission.</w:t>
            </w:r>
          </w:p>
        </w:tc>
      </w:tr>
      <w:tr w:rsidR="00415189" w:rsidRPr="00687774" w14:paraId="47D85B2B" w14:textId="77777777" w:rsidTr="004F6C3C">
        <w:trPr>
          <w:cantSplit/>
          <w:trHeight w:val="857"/>
        </w:trPr>
        <w:tc>
          <w:tcPr>
            <w:tcW w:w="874" w:type="pct"/>
            <w:tcBorders>
              <w:top w:val="single" w:sz="4" w:space="0" w:color="auto"/>
              <w:left w:val="single" w:sz="4" w:space="0" w:color="auto"/>
              <w:right w:val="nil"/>
            </w:tcBorders>
            <w:shd w:val="clear" w:color="auto" w:fill="auto"/>
            <w:tcMar>
              <w:top w:w="28" w:type="dxa"/>
              <w:bottom w:w="28" w:type="dxa"/>
            </w:tcMar>
            <w:vAlign w:val="center"/>
          </w:tcPr>
          <w:p w14:paraId="02392E08" w14:textId="0A785769" w:rsidR="00415189" w:rsidRPr="001C1BA7" w:rsidRDefault="00415189" w:rsidP="00EC08C1">
            <w:pPr>
              <w:contextualSpacing/>
              <w:jc w:val="center"/>
              <w:rPr>
                <w:rFonts w:asciiTheme="minorHAnsi" w:hAnsiTheme="minorHAnsi" w:cstheme="minorHAnsi"/>
                <w:color w:val="000000"/>
                <w:sz w:val="18"/>
                <w:szCs w:val="18"/>
              </w:rPr>
            </w:pPr>
            <w:r w:rsidRPr="001C1BA7">
              <w:rPr>
                <w:rFonts w:asciiTheme="minorHAnsi" w:hAnsiTheme="minorHAnsi" w:cstheme="minorHAnsi"/>
                <w:color w:val="000000"/>
                <w:sz w:val="18"/>
                <w:szCs w:val="18"/>
              </w:rPr>
              <w:t>SOMATROPIN</w:t>
            </w:r>
          </w:p>
          <w:p w14:paraId="45BE19AE" w14:textId="77777777" w:rsidR="00415189" w:rsidRPr="001C1BA7" w:rsidRDefault="00415189" w:rsidP="00EC08C1">
            <w:pPr>
              <w:contextualSpacing/>
              <w:jc w:val="center"/>
              <w:rPr>
                <w:rFonts w:asciiTheme="minorHAnsi" w:hAnsiTheme="minorHAnsi" w:cstheme="minorHAnsi"/>
                <w:color w:val="000000"/>
                <w:sz w:val="18"/>
                <w:szCs w:val="18"/>
                <w:highlight w:val="yellow"/>
              </w:rPr>
            </w:pPr>
          </w:p>
          <w:p w14:paraId="738A3D6C" w14:textId="6949EBD8" w:rsidR="00415189" w:rsidRPr="001C1BA7" w:rsidRDefault="00415189" w:rsidP="00EC08C1">
            <w:pPr>
              <w:contextualSpacing/>
              <w:jc w:val="center"/>
              <w:rPr>
                <w:rFonts w:asciiTheme="minorHAnsi" w:hAnsiTheme="minorHAnsi" w:cstheme="minorHAnsi"/>
                <w:color w:val="000000"/>
                <w:sz w:val="18"/>
                <w:szCs w:val="18"/>
              </w:rPr>
            </w:pPr>
            <w:r w:rsidRPr="001C1BA7">
              <w:rPr>
                <w:rFonts w:asciiTheme="minorHAnsi" w:hAnsiTheme="minorHAnsi" w:cstheme="minorHAnsi"/>
                <w:color w:val="000000"/>
                <w:sz w:val="18"/>
                <w:szCs w:val="18"/>
              </w:rPr>
              <w:t xml:space="preserve">Solution for injection 6 mg (18 </w:t>
            </w:r>
            <w:proofErr w:type="spellStart"/>
            <w:r w:rsidRPr="001C1BA7">
              <w:rPr>
                <w:rFonts w:asciiTheme="minorHAnsi" w:hAnsiTheme="minorHAnsi" w:cstheme="minorHAnsi"/>
                <w:color w:val="000000"/>
                <w:sz w:val="18"/>
                <w:szCs w:val="18"/>
              </w:rPr>
              <w:t>i.u.</w:t>
            </w:r>
            <w:proofErr w:type="spellEnd"/>
            <w:r w:rsidRPr="001C1BA7">
              <w:rPr>
                <w:rFonts w:asciiTheme="minorHAnsi" w:hAnsiTheme="minorHAnsi" w:cstheme="minorHAnsi"/>
                <w:color w:val="000000"/>
                <w:sz w:val="18"/>
                <w:szCs w:val="18"/>
              </w:rPr>
              <w:t>) in 1.03 mL cartridge (with preservative)</w:t>
            </w:r>
          </w:p>
          <w:p w14:paraId="19635717" w14:textId="53E9BD12" w:rsidR="00415189" w:rsidRPr="001C1BA7" w:rsidRDefault="00415189" w:rsidP="00EC08C1">
            <w:pPr>
              <w:contextualSpacing/>
              <w:jc w:val="center"/>
              <w:rPr>
                <w:rFonts w:asciiTheme="minorHAnsi" w:hAnsiTheme="minorHAnsi" w:cstheme="minorHAnsi"/>
                <w:color w:val="000000"/>
                <w:sz w:val="18"/>
                <w:szCs w:val="18"/>
              </w:rPr>
            </w:pPr>
            <w:r w:rsidRPr="001C1BA7">
              <w:rPr>
                <w:rFonts w:asciiTheme="minorHAnsi" w:hAnsiTheme="minorHAnsi" w:cstheme="minorHAnsi"/>
                <w:color w:val="000000"/>
                <w:sz w:val="18"/>
                <w:szCs w:val="18"/>
              </w:rPr>
              <w:t xml:space="preserve">Solution for injection 12 mg (36 </w:t>
            </w:r>
            <w:proofErr w:type="spellStart"/>
            <w:r w:rsidRPr="001C1BA7">
              <w:rPr>
                <w:rFonts w:asciiTheme="minorHAnsi" w:hAnsiTheme="minorHAnsi" w:cstheme="minorHAnsi"/>
                <w:color w:val="000000"/>
                <w:sz w:val="18"/>
                <w:szCs w:val="18"/>
              </w:rPr>
              <w:t>i.u.</w:t>
            </w:r>
            <w:proofErr w:type="spellEnd"/>
            <w:r w:rsidRPr="001C1BA7">
              <w:rPr>
                <w:rFonts w:asciiTheme="minorHAnsi" w:hAnsiTheme="minorHAnsi" w:cstheme="minorHAnsi"/>
                <w:color w:val="000000"/>
                <w:sz w:val="18"/>
                <w:szCs w:val="18"/>
              </w:rPr>
              <w:t>) in 1.5 mL cartridge (with preservative)</w:t>
            </w:r>
          </w:p>
          <w:p w14:paraId="2501BDB3" w14:textId="77777777" w:rsidR="00415189" w:rsidRPr="001C1BA7" w:rsidRDefault="00415189" w:rsidP="00EC08C1">
            <w:pPr>
              <w:contextualSpacing/>
              <w:jc w:val="center"/>
              <w:rPr>
                <w:rFonts w:asciiTheme="minorHAnsi" w:hAnsiTheme="minorHAnsi" w:cstheme="minorHAnsi"/>
                <w:color w:val="000000"/>
                <w:sz w:val="18"/>
                <w:szCs w:val="18"/>
              </w:rPr>
            </w:pPr>
          </w:p>
          <w:p w14:paraId="6A14CFEF" w14:textId="004FACE5" w:rsidR="00415189" w:rsidRDefault="00415189" w:rsidP="00EC08C1">
            <w:pPr>
              <w:contextualSpacing/>
              <w:jc w:val="center"/>
              <w:rPr>
                <w:rFonts w:asciiTheme="minorHAnsi" w:hAnsiTheme="minorHAnsi" w:cstheme="minorHAnsi"/>
                <w:color w:val="000000"/>
                <w:sz w:val="18"/>
                <w:szCs w:val="18"/>
              </w:rPr>
            </w:pPr>
            <w:proofErr w:type="spellStart"/>
            <w:r w:rsidRPr="001C1BA7">
              <w:rPr>
                <w:rFonts w:asciiTheme="minorHAnsi" w:hAnsiTheme="minorHAnsi" w:cstheme="minorHAnsi"/>
                <w:color w:val="000000"/>
                <w:sz w:val="18"/>
                <w:szCs w:val="18"/>
              </w:rPr>
              <w:t>Saizen</w:t>
            </w:r>
            <w:proofErr w:type="spellEnd"/>
            <w:r w:rsidRPr="001C1BA7">
              <w:rPr>
                <w:rFonts w:asciiTheme="minorHAnsi" w:hAnsiTheme="minorHAnsi" w:cstheme="minorHAnsi"/>
                <w:color w:val="000000"/>
                <w:sz w:val="18"/>
                <w:szCs w:val="18"/>
              </w:rPr>
              <w:t>®</w:t>
            </w:r>
          </w:p>
          <w:p w14:paraId="0BA86E17" w14:textId="77777777" w:rsidR="002B7078" w:rsidRPr="001C1BA7" w:rsidRDefault="002B7078" w:rsidP="00EC08C1">
            <w:pPr>
              <w:contextualSpacing/>
              <w:jc w:val="center"/>
              <w:rPr>
                <w:rFonts w:asciiTheme="minorHAnsi" w:hAnsiTheme="minorHAnsi" w:cstheme="minorHAnsi"/>
                <w:color w:val="000000"/>
                <w:sz w:val="18"/>
                <w:szCs w:val="18"/>
              </w:rPr>
            </w:pPr>
          </w:p>
          <w:p w14:paraId="4C99884A" w14:textId="07BF1AA7" w:rsidR="00415189" w:rsidRPr="001C1BA7" w:rsidRDefault="00415189" w:rsidP="00EC08C1">
            <w:pPr>
              <w:contextualSpacing/>
              <w:jc w:val="center"/>
              <w:rPr>
                <w:rFonts w:asciiTheme="minorHAnsi" w:hAnsiTheme="minorHAnsi" w:cstheme="minorHAnsi"/>
                <w:color w:val="000000"/>
                <w:sz w:val="18"/>
                <w:szCs w:val="18"/>
                <w:highlight w:val="yellow"/>
              </w:rPr>
            </w:pPr>
            <w:r w:rsidRPr="001C1BA7">
              <w:rPr>
                <w:rFonts w:asciiTheme="minorHAnsi" w:hAnsiTheme="minorHAnsi" w:cstheme="minorHAnsi"/>
                <w:color w:val="000000"/>
                <w:sz w:val="18"/>
                <w:szCs w:val="18"/>
              </w:rPr>
              <w:t>Merck Healthcare Pty Ltd</w:t>
            </w:r>
          </w:p>
          <w:p w14:paraId="363D6CAD" w14:textId="77777777" w:rsidR="000A6709" w:rsidRDefault="000A6709" w:rsidP="00EC08C1">
            <w:pPr>
              <w:contextualSpacing/>
              <w:jc w:val="center"/>
              <w:rPr>
                <w:rFonts w:asciiTheme="minorHAnsi" w:hAnsiTheme="minorHAnsi" w:cstheme="minorHAnsi"/>
                <w:color w:val="FF0000"/>
                <w:sz w:val="18"/>
                <w:szCs w:val="18"/>
                <w:highlight w:val="yellow"/>
              </w:rPr>
            </w:pPr>
          </w:p>
          <w:p w14:paraId="75C50D81" w14:textId="24DFBC09" w:rsidR="00415189" w:rsidRPr="000A6709" w:rsidRDefault="000A6709" w:rsidP="00EC08C1">
            <w:pPr>
              <w:contextualSpacing/>
              <w:jc w:val="center"/>
              <w:rPr>
                <w:rFonts w:asciiTheme="minorHAnsi" w:hAnsiTheme="minorHAnsi" w:cstheme="minorHAnsi"/>
                <w:color w:val="000000"/>
                <w:sz w:val="18"/>
                <w:szCs w:val="18"/>
              </w:rPr>
            </w:pPr>
            <w:r w:rsidRPr="000A6709">
              <w:rPr>
                <w:rFonts w:asciiTheme="minorHAnsi" w:hAnsiTheme="minorHAnsi" w:cstheme="minorHAnsi"/>
                <w:color w:val="000000"/>
                <w:sz w:val="18"/>
                <w:szCs w:val="18"/>
              </w:rPr>
              <w:t>Category 3 submission</w:t>
            </w:r>
          </w:p>
          <w:p w14:paraId="0E33649C" w14:textId="79FF012B" w:rsidR="00415189" w:rsidRPr="001C1BA7" w:rsidRDefault="00415189" w:rsidP="00EC08C1">
            <w:pPr>
              <w:contextualSpacing/>
              <w:jc w:val="center"/>
              <w:rPr>
                <w:rFonts w:asciiTheme="minorHAnsi" w:hAnsiTheme="minorHAnsi" w:cstheme="minorHAnsi"/>
                <w:sz w:val="18"/>
                <w:szCs w:val="18"/>
              </w:rPr>
            </w:pPr>
            <w:r w:rsidRPr="001C1BA7">
              <w:rPr>
                <w:rFonts w:asciiTheme="minorHAnsi" w:hAnsiTheme="minorHAnsi" w:cstheme="minorHAnsi"/>
                <w:color w:val="000000"/>
                <w:sz w:val="18"/>
                <w:szCs w:val="18"/>
              </w:rPr>
              <w:t>(Change to PBS listing)</w:t>
            </w:r>
          </w:p>
        </w:tc>
        <w:tc>
          <w:tcPr>
            <w:tcW w:w="691" w:type="pct"/>
            <w:tcBorders>
              <w:top w:val="single" w:sz="4" w:space="0" w:color="auto"/>
              <w:left w:val="single" w:sz="4" w:space="0" w:color="auto"/>
              <w:right w:val="single" w:sz="4" w:space="0" w:color="auto"/>
            </w:tcBorders>
            <w:shd w:val="clear" w:color="auto" w:fill="auto"/>
            <w:vAlign w:val="center"/>
          </w:tcPr>
          <w:p w14:paraId="64A77230" w14:textId="3C5A19BF" w:rsidR="00415189" w:rsidRPr="001C1BA7" w:rsidRDefault="00743E90" w:rsidP="00EC08C1">
            <w:pPr>
              <w:widowControl w:val="0"/>
              <w:contextualSpacing/>
              <w:jc w:val="center"/>
              <w:rPr>
                <w:rFonts w:asciiTheme="minorHAnsi" w:hAnsiTheme="minorHAnsi" w:cstheme="minorHAnsi"/>
                <w:snapToGrid w:val="0"/>
                <w:sz w:val="18"/>
                <w:szCs w:val="18"/>
                <w:lang w:eastAsia="en-US"/>
              </w:rPr>
            </w:pPr>
            <w:r>
              <w:rPr>
                <w:rFonts w:asciiTheme="minorHAnsi" w:hAnsiTheme="minorHAnsi" w:cstheme="minorHAnsi"/>
                <w:color w:val="000000"/>
                <w:sz w:val="18"/>
                <w:szCs w:val="18"/>
              </w:rPr>
              <w:t>S</w:t>
            </w:r>
            <w:r w:rsidR="00415189" w:rsidRPr="001C1BA7">
              <w:rPr>
                <w:rFonts w:asciiTheme="minorHAnsi" w:hAnsiTheme="minorHAnsi" w:cstheme="minorHAnsi"/>
                <w:color w:val="000000"/>
                <w:sz w:val="18"/>
                <w:szCs w:val="18"/>
              </w:rPr>
              <w:t>evere</w:t>
            </w:r>
            <w:r>
              <w:rPr>
                <w:rFonts w:asciiTheme="minorHAnsi" w:hAnsiTheme="minorHAnsi" w:cstheme="minorHAnsi"/>
                <w:color w:val="000000"/>
                <w:sz w:val="18"/>
                <w:szCs w:val="18"/>
              </w:rPr>
              <w:t xml:space="preserve"> late onset</w:t>
            </w:r>
            <w:r w:rsidR="00415189" w:rsidRPr="001C1BA7">
              <w:rPr>
                <w:rFonts w:asciiTheme="minorHAnsi" w:hAnsiTheme="minorHAnsi" w:cstheme="minorHAnsi"/>
                <w:color w:val="000000"/>
                <w:sz w:val="18"/>
                <w:szCs w:val="18"/>
              </w:rPr>
              <w:t xml:space="preserve"> growth hormone deficiency (GHD)</w:t>
            </w:r>
          </w:p>
        </w:tc>
        <w:tc>
          <w:tcPr>
            <w:tcW w:w="737" w:type="pct"/>
            <w:tcBorders>
              <w:top w:val="single" w:sz="4" w:space="0" w:color="auto"/>
              <w:left w:val="nil"/>
              <w:right w:val="single" w:sz="4" w:space="0" w:color="auto"/>
            </w:tcBorders>
            <w:shd w:val="clear" w:color="auto" w:fill="auto"/>
            <w:tcMar>
              <w:top w:w="28" w:type="dxa"/>
              <w:bottom w:w="28" w:type="dxa"/>
            </w:tcMar>
            <w:vAlign w:val="center"/>
          </w:tcPr>
          <w:p w14:paraId="06D47A27" w14:textId="23ECD158" w:rsidR="00415189" w:rsidRPr="001C1BA7" w:rsidRDefault="00415189" w:rsidP="00EC27E1">
            <w:pPr>
              <w:pStyle w:val="ListParagraph"/>
              <w:ind w:left="0"/>
              <w:jc w:val="center"/>
              <w:rPr>
                <w:rFonts w:asciiTheme="minorHAnsi" w:hAnsiTheme="minorHAnsi" w:cstheme="minorHAnsi"/>
                <w:sz w:val="18"/>
                <w:szCs w:val="18"/>
              </w:rPr>
            </w:pPr>
            <w:r w:rsidRPr="001C1BA7">
              <w:rPr>
                <w:rFonts w:asciiTheme="minorHAnsi" w:hAnsiTheme="minorHAnsi" w:cstheme="minorHAnsi"/>
                <w:sz w:val="18"/>
                <w:szCs w:val="18"/>
              </w:rPr>
              <w:t xml:space="preserve">To extend the PBS listing of somatropin solution for injection 6 mg (18 </w:t>
            </w:r>
            <w:proofErr w:type="spellStart"/>
            <w:r w:rsidRPr="001C1BA7">
              <w:rPr>
                <w:rFonts w:asciiTheme="minorHAnsi" w:hAnsiTheme="minorHAnsi" w:cstheme="minorHAnsi"/>
                <w:sz w:val="18"/>
                <w:szCs w:val="18"/>
              </w:rPr>
              <w:t>i.u.</w:t>
            </w:r>
            <w:proofErr w:type="spellEnd"/>
            <w:r w:rsidRPr="001C1BA7">
              <w:rPr>
                <w:rFonts w:asciiTheme="minorHAnsi" w:hAnsiTheme="minorHAnsi" w:cstheme="minorHAnsi"/>
                <w:sz w:val="18"/>
                <w:szCs w:val="18"/>
              </w:rPr>
              <w:t xml:space="preserve">) in 1.03 mL and 12 mg (36 </w:t>
            </w:r>
            <w:proofErr w:type="spellStart"/>
            <w:r w:rsidRPr="001C1BA7">
              <w:rPr>
                <w:rFonts w:asciiTheme="minorHAnsi" w:hAnsiTheme="minorHAnsi" w:cstheme="minorHAnsi"/>
                <w:sz w:val="18"/>
                <w:szCs w:val="18"/>
              </w:rPr>
              <w:t>i.u.</w:t>
            </w:r>
            <w:proofErr w:type="spellEnd"/>
            <w:r w:rsidRPr="001C1BA7">
              <w:rPr>
                <w:rFonts w:asciiTheme="minorHAnsi" w:hAnsiTheme="minorHAnsi" w:cstheme="minorHAnsi"/>
                <w:sz w:val="18"/>
                <w:szCs w:val="18"/>
              </w:rPr>
              <w:t>) in 1.5 mL (</w:t>
            </w:r>
            <w:proofErr w:type="spellStart"/>
            <w:r w:rsidRPr="001C1BA7">
              <w:rPr>
                <w:rFonts w:asciiTheme="minorHAnsi" w:hAnsiTheme="minorHAnsi" w:cstheme="minorHAnsi"/>
                <w:sz w:val="18"/>
                <w:szCs w:val="18"/>
              </w:rPr>
              <w:t>Saizen</w:t>
            </w:r>
            <w:proofErr w:type="spellEnd"/>
            <w:r w:rsidRPr="001C1BA7">
              <w:rPr>
                <w:rFonts w:asciiTheme="minorHAnsi" w:hAnsiTheme="minorHAnsi" w:cstheme="minorHAnsi"/>
                <w:sz w:val="18"/>
                <w:szCs w:val="18"/>
              </w:rPr>
              <w:t>®) to include the treatment of severe late onset GHD</w:t>
            </w:r>
            <w:r w:rsidR="00743E90">
              <w:rPr>
                <w:rFonts w:asciiTheme="minorHAnsi" w:hAnsiTheme="minorHAnsi" w:cstheme="minorHAnsi"/>
                <w:sz w:val="18"/>
                <w:szCs w:val="18"/>
              </w:rPr>
              <w:t>.</w:t>
            </w:r>
          </w:p>
        </w:tc>
        <w:tc>
          <w:tcPr>
            <w:tcW w:w="552" w:type="pct"/>
            <w:tcBorders>
              <w:top w:val="single" w:sz="4" w:space="0" w:color="auto"/>
              <w:left w:val="single" w:sz="4" w:space="0" w:color="auto"/>
              <w:right w:val="single" w:sz="4" w:space="0" w:color="auto"/>
            </w:tcBorders>
            <w:shd w:val="clear" w:color="auto" w:fill="auto"/>
            <w:vAlign w:val="center"/>
          </w:tcPr>
          <w:p w14:paraId="205ECE10" w14:textId="5C5296B3" w:rsidR="00415189" w:rsidRPr="001C1BA7" w:rsidRDefault="00415189" w:rsidP="00EC27E1">
            <w:pPr>
              <w:pStyle w:val="ListParagraph"/>
              <w:ind w:left="0"/>
              <w:jc w:val="center"/>
              <w:rPr>
                <w:rFonts w:asciiTheme="minorHAnsi" w:hAnsiTheme="minorHAnsi" w:cstheme="minorHAnsi"/>
                <w:snapToGrid w:val="0"/>
                <w:sz w:val="18"/>
                <w:szCs w:val="18"/>
                <w:lang w:eastAsia="en-US"/>
              </w:rPr>
            </w:pPr>
            <w:r w:rsidRPr="001C1BA7">
              <w:rPr>
                <w:rFonts w:asciiTheme="minorHAnsi" w:hAnsiTheme="minorHAnsi" w:cstheme="minorHAnsi"/>
                <w:snapToGrid w:val="0"/>
                <w:sz w:val="18"/>
                <w:szCs w:val="18"/>
                <w:lang w:eastAsia="en-US"/>
              </w:rPr>
              <w:t>Recommended</w:t>
            </w:r>
          </w:p>
        </w:tc>
        <w:tc>
          <w:tcPr>
            <w:tcW w:w="2146" w:type="pct"/>
            <w:tcBorders>
              <w:top w:val="single" w:sz="4" w:space="0" w:color="auto"/>
            </w:tcBorders>
            <w:shd w:val="clear" w:color="auto" w:fill="auto"/>
            <w:vAlign w:val="center"/>
          </w:tcPr>
          <w:p w14:paraId="32259238" w14:textId="7757A398" w:rsidR="00415189" w:rsidRPr="001C1BA7" w:rsidRDefault="00415189" w:rsidP="00EC08C1">
            <w:pPr>
              <w:contextualSpacing/>
              <w:rPr>
                <w:rFonts w:asciiTheme="minorHAnsi" w:hAnsiTheme="minorHAnsi" w:cstheme="minorHAnsi"/>
                <w:sz w:val="18"/>
                <w:szCs w:val="18"/>
              </w:rPr>
            </w:pPr>
            <w:r w:rsidRPr="001C1BA7">
              <w:rPr>
                <w:rFonts w:asciiTheme="minorHAnsi" w:hAnsiTheme="minorHAnsi" w:cstheme="minorHAnsi"/>
                <w:sz w:val="18"/>
                <w:szCs w:val="18"/>
              </w:rPr>
              <w:t xml:space="preserve">The PBAC recommended the listing of somatropin solution for injection 6 mg (18 </w:t>
            </w:r>
            <w:proofErr w:type="spellStart"/>
            <w:r w:rsidRPr="001C1BA7">
              <w:rPr>
                <w:rFonts w:asciiTheme="minorHAnsi" w:hAnsiTheme="minorHAnsi" w:cstheme="minorHAnsi"/>
                <w:sz w:val="18"/>
                <w:szCs w:val="18"/>
              </w:rPr>
              <w:t>i.u.</w:t>
            </w:r>
            <w:proofErr w:type="spellEnd"/>
            <w:r w:rsidRPr="001C1BA7">
              <w:rPr>
                <w:rFonts w:asciiTheme="minorHAnsi" w:hAnsiTheme="minorHAnsi" w:cstheme="minorHAnsi"/>
                <w:sz w:val="18"/>
                <w:szCs w:val="18"/>
              </w:rPr>
              <w:t xml:space="preserve">) in 1.03 mL and 12 mg (36 </w:t>
            </w:r>
            <w:proofErr w:type="spellStart"/>
            <w:r w:rsidRPr="001C1BA7">
              <w:rPr>
                <w:rFonts w:asciiTheme="minorHAnsi" w:hAnsiTheme="minorHAnsi" w:cstheme="minorHAnsi"/>
                <w:sz w:val="18"/>
                <w:szCs w:val="18"/>
              </w:rPr>
              <w:t>i.u.</w:t>
            </w:r>
            <w:proofErr w:type="spellEnd"/>
            <w:r w:rsidRPr="001C1BA7">
              <w:rPr>
                <w:rFonts w:asciiTheme="minorHAnsi" w:hAnsiTheme="minorHAnsi" w:cstheme="minorHAnsi"/>
                <w:sz w:val="18"/>
                <w:szCs w:val="18"/>
              </w:rPr>
              <w:t xml:space="preserve">) in 1.5 mL on a cost-minimisation basis for the treatment of severe late onset GHD on the basis that it should be available only under special arrangements under Section 100 (Growth Hormone Program), and under the same circumstances as somatropin products currently PBS-listed for this indication. </w:t>
            </w:r>
          </w:p>
          <w:p w14:paraId="7013EF83" w14:textId="23D8BE48" w:rsidR="00415189" w:rsidRPr="001C1BA7" w:rsidRDefault="00415189" w:rsidP="00EC08C1">
            <w:pPr>
              <w:contextualSpacing/>
              <w:rPr>
                <w:rFonts w:asciiTheme="minorHAnsi" w:hAnsiTheme="minorHAnsi" w:cstheme="minorHAnsi"/>
                <w:color w:val="000000"/>
                <w:sz w:val="18"/>
                <w:szCs w:val="18"/>
              </w:rPr>
            </w:pPr>
            <w:r w:rsidRPr="001C1BA7">
              <w:rPr>
                <w:rFonts w:asciiTheme="minorHAnsi" w:hAnsiTheme="minorHAnsi" w:cstheme="minorHAnsi"/>
                <w:sz w:val="18"/>
                <w:szCs w:val="18"/>
              </w:rPr>
              <w:t xml:space="preserve">The PBAC recalled its previous recommendation in July 2017 to list somatropin for severe late onset GHD. It noted that three brands of somatropin are currently PBS-listed as a result of this recommendation, however, one brand will be discontinued next year, and one brand is experiencing a supply shortage. The PBAC therefore considered there was a clinical need to list an additional brand of somatropin on the PBS for this indication. The PBAC considered the equi-effective doses to be 1 mg of </w:t>
            </w:r>
            <w:proofErr w:type="spellStart"/>
            <w:r w:rsidRPr="001C1BA7">
              <w:rPr>
                <w:rFonts w:asciiTheme="minorHAnsi" w:hAnsiTheme="minorHAnsi" w:cstheme="minorHAnsi"/>
                <w:sz w:val="18"/>
                <w:szCs w:val="18"/>
              </w:rPr>
              <w:t>Saizen</w:t>
            </w:r>
            <w:proofErr w:type="spellEnd"/>
            <w:r w:rsidRPr="001C1BA7">
              <w:rPr>
                <w:rFonts w:asciiTheme="minorHAnsi" w:hAnsiTheme="minorHAnsi" w:cstheme="minorHAnsi"/>
                <w:sz w:val="18"/>
                <w:szCs w:val="18"/>
              </w:rPr>
              <w:t xml:space="preserve"> and 1 mg of other somatropin products PBS-listed for this indication and considered that all the different brands of somatropin are considered equivalent on a per mg basis.</w:t>
            </w:r>
          </w:p>
        </w:tc>
      </w:tr>
    </w:tbl>
    <w:p w14:paraId="4081BEC2" w14:textId="635180E2" w:rsidR="00AC2F56" w:rsidRPr="001D4E5E" w:rsidRDefault="00AC2F56">
      <w:pPr>
        <w:rPr>
          <w:rFonts w:asciiTheme="minorHAnsi" w:hAnsiTheme="minorHAnsi" w:cstheme="minorHAnsi"/>
          <w:sz w:val="18"/>
          <w:szCs w:val="18"/>
          <w:lang w:val="en-US"/>
        </w:rPr>
      </w:pPr>
    </w:p>
    <w:p w14:paraId="50C821D7" w14:textId="55F695CA" w:rsidR="003835EB" w:rsidRDefault="003835E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3DCF312E" w14:textId="51DED862" w:rsidR="00ED6AE3" w:rsidRDefault="00ED6AE3">
      <w:pPr>
        <w:rPr>
          <w:rFonts w:ascii="Arial" w:hAnsi="Arial" w:cs="Arial"/>
          <w:i/>
          <w:iCs/>
          <w:sz w:val="18"/>
          <w:szCs w:val="18"/>
        </w:rPr>
      </w:pPr>
      <w:r>
        <w:rPr>
          <w:rFonts w:ascii="Arial" w:hAnsi="Arial" w:cs="Arial"/>
          <w:i/>
          <w:iCs/>
          <w:sz w:val="18"/>
          <w:szCs w:val="18"/>
        </w:rPr>
        <w:lastRenderedPageBreak/>
        <w:t>Non-s</w:t>
      </w:r>
      <w:r w:rsidRPr="00ED6AE3">
        <w:rPr>
          <w:rFonts w:ascii="Arial" w:hAnsi="Arial" w:cs="Arial"/>
          <w:i/>
          <w:iCs/>
          <w:sz w:val="18"/>
          <w:szCs w:val="18"/>
        </w:rPr>
        <w:t>ubmission items</w:t>
      </w:r>
    </w:p>
    <w:p w14:paraId="305BBCEA" w14:textId="77777777" w:rsidR="00ED6AE3" w:rsidRDefault="00ED6AE3">
      <w:pPr>
        <w:rPr>
          <w:rFonts w:asciiTheme="minorHAnsi" w:hAnsiTheme="minorHAnsi" w:cstheme="minorHAnsi"/>
          <w:sz w:val="18"/>
          <w:szCs w:val="18"/>
          <w:lang w:val="en-US"/>
        </w:rPr>
      </w:pPr>
    </w:p>
    <w:tbl>
      <w:tblPr>
        <w:tblW w:w="5003" w:type="pct"/>
        <w:tblLayout w:type="fixed"/>
        <w:tblLook w:val="04A0" w:firstRow="1" w:lastRow="0" w:firstColumn="1" w:lastColumn="0" w:noHBand="0" w:noVBand="1"/>
      </w:tblPr>
      <w:tblGrid>
        <w:gridCol w:w="2688"/>
        <w:gridCol w:w="1700"/>
        <w:gridCol w:w="2691"/>
        <w:gridCol w:w="1703"/>
        <w:gridCol w:w="6615"/>
      </w:tblGrid>
      <w:tr w:rsidR="003835EB" w:rsidRPr="00A159CA" w14:paraId="6ADE83BF" w14:textId="77777777" w:rsidTr="00EF74BA">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3835EB" w:rsidRPr="00A159CA" w:rsidRDefault="003835EB" w:rsidP="00EC08C1">
            <w:pPr>
              <w:keepLines/>
              <w:widowControl w:val="0"/>
              <w:contextualSpacing/>
              <w:jc w:val="center"/>
              <w:rPr>
                <w:rFonts w:ascii="Arial" w:hAnsi="Arial" w:cs="Arial"/>
                <w:b/>
                <w:sz w:val="18"/>
                <w:szCs w:val="18"/>
              </w:rPr>
            </w:pPr>
            <w:bookmarkStart w:id="0" w:name="_Hlk84500855"/>
            <w:r w:rsidRPr="00A159CA">
              <w:rPr>
                <w:rFonts w:ascii="Arial" w:hAnsi="Arial" w:cs="Arial"/>
                <w:b/>
                <w:sz w:val="18"/>
                <w:szCs w:val="18"/>
              </w:rPr>
              <w:t>DRUG NAME, FORM(S), STRENGTH(S), SPONSOR, TYPE OF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3835EB" w:rsidRPr="00A159CA" w:rsidRDefault="003835EB" w:rsidP="00EC08C1">
            <w:pPr>
              <w:keepLines/>
              <w:widowControl w:val="0"/>
              <w:contextualSpacing/>
              <w:jc w:val="center"/>
              <w:rPr>
                <w:rFonts w:ascii="Arial" w:hAnsi="Arial" w:cs="Arial"/>
                <w:b/>
                <w:sz w:val="18"/>
                <w:szCs w:val="18"/>
              </w:rPr>
            </w:pPr>
            <w:r w:rsidRPr="00A159CA">
              <w:rPr>
                <w:rFonts w:ascii="Arial" w:hAnsi="Arial" w:cs="Arial"/>
                <w:b/>
                <w:sz w:val="18"/>
                <w:szCs w:val="18"/>
              </w:rPr>
              <w:t>DRUG TYPE AND USE</w:t>
            </w:r>
          </w:p>
          <w:p w14:paraId="6328A465" w14:textId="77777777" w:rsidR="003835EB" w:rsidRPr="00A159CA" w:rsidRDefault="003835EB" w:rsidP="00EC08C1">
            <w:pPr>
              <w:keepLines/>
              <w:widowControl w:val="0"/>
              <w:contextualSpacing/>
              <w:jc w:val="center"/>
              <w:rPr>
                <w:rFonts w:ascii="Arial" w:hAnsi="Arial" w:cs="Arial"/>
                <w:b/>
                <w:sz w:val="18"/>
                <w:szCs w:val="18"/>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3835EB" w:rsidRPr="00A159CA" w:rsidRDefault="003835EB" w:rsidP="00EC08C1">
            <w:pPr>
              <w:keepLines/>
              <w:widowControl w:val="0"/>
              <w:contextualSpacing/>
              <w:jc w:val="center"/>
              <w:rPr>
                <w:rFonts w:ascii="Arial" w:hAnsi="Arial" w:cs="Arial"/>
                <w:b/>
                <w:sz w:val="18"/>
                <w:szCs w:val="18"/>
              </w:rPr>
            </w:pPr>
            <w:r w:rsidRPr="00A159CA">
              <w:rPr>
                <w:rFonts w:ascii="Arial" w:hAnsi="Arial" w:cs="Arial"/>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tcPr>
          <w:p w14:paraId="54E1355E" w14:textId="77777777" w:rsidR="003835EB" w:rsidRPr="00A159CA" w:rsidRDefault="003835EB" w:rsidP="00EC08C1">
            <w:pPr>
              <w:keepLines/>
              <w:contextualSpacing/>
              <w:jc w:val="center"/>
              <w:rPr>
                <w:rFonts w:ascii="Arial" w:hAnsi="Arial" w:cs="Arial"/>
                <w:b/>
                <w:sz w:val="18"/>
                <w:szCs w:val="18"/>
              </w:rPr>
            </w:pPr>
            <w:r w:rsidRPr="00A159CA">
              <w:rPr>
                <w:rFonts w:ascii="Arial" w:hAnsi="Arial" w:cs="Arial"/>
                <w:b/>
                <w:sz w:val="18"/>
                <w:szCs w:val="18"/>
              </w:rPr>
              <w:t>PBAC OUTCOME</w:t>
            </w:r>
          </w:p>
          <w:p w14:paraId="5EC94810" w14:textId="77777777" w:rsidR="003835EB" w:rsidRPr="00A159CA" w:rsidRDefault="003835EB" w:rsidP="00EC08C1">
            <w:pPr>
              <w:keepLines/>
              <w:contextualSpacing/>
              <w:jc w:val="center"/>
              <w:rPr>
                <w:rFonts w:ascii="Arial" w:hAnsi="Arial" w:cs="Arial"/>
                <w:b/>
                <w:sz w:val="18"/>
                <w:szCs w:val="18"/>
              </w:rPr>
            </w:pPr>
          </w:p>
        </w:tc>
      </w:tr>
      <w:tr w:rsidR="007174FD" w:rsidRPr="00D2401D" w14:paraId="44EDF77D" w14:textId="77777777" w:rsidTr="00F82E86">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F84EC41" w14:textId="77777777" w:rsidR="007174FD" w:rsidRPr="001C1BA7" w:rsidRDefault="007174FD"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CHORIOGONADOTROPIN ALFA</w:t>
            </w:r>
          </w:p>
          <w:p w14:paraId="49682AEA" w14:textId="77777777" w:rsidR="007174FD" w:rsidRPr="001C1BA7" w:rsidRDefault="007174FD" w:rsidP="00EC08C1">
            <w:pPr>
              <w:contextualSpacing/>
              <w:jc w:val="center"/>
              <w:rPr>
                <w:rFonts w:asciiTheme="minorHAnsi" w:hAnsiTheme="minorHAnsi" w:cstheme="minorHAnsi"/>
                <w:sz w:val="18"/>
                <w:szCs w:val="18"/>
              </w:rPr>
            </w:pPr>
          </w:p>
          <w:p w14:paraId="3C4340C7" w14:textId="604DCE56" w:rsidR="007174FD" w:rsidRPr="001C1BA7" w:rsidRDefault="007174FD"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Solution for injection 250 micrograms in 0.5 ml, pre</w:t>
            </w:r>
            <w:r w:rsidRPr="001C1BA7">
              <w:rPr>
                <w:rFonts w:ascii="Cambria Math" w:hAnsi="Cambria Math" w:cs="Cambria Math"/>
                <w:sz w:val="18"/>
                <w:szCs w:val="18"/>
              </w:rPr>
              <w:t>‑</w:t>
            </w:r>
            <w:r w:rsidRPr="001C1BA7">
              <w:rPr>
                <w:rFonts w:asciiTheme="minorHAnsi" w:hAnsiTheme="minorHAnsi" w:cstheme="minorHAnsi"/>
                <w:sz w:val="18"/>
                <w:szCs w:val="18"/>
              </w:rPr>
              <w:t>filled pen</w:t>
            </w:r>
          </w:p>
          <w:p w14:paraId="7B18F01A" w14:textId="77777777" w:rsidR="007174FD" w:rsidRPr="001C1BA7" w:rsidRDefault="007174FD" w:rsidP="00EC08C1">
            <w:pPr>
              <w:contextualSpacing/>
              <w:jc w:val="center"/>
              <w:rPr>
                <w:rFonts w:asciiTheme="minorHAnsi" w:hAnsiTheme="minorHAnsi" w:cstheme="minorHAnsi"/>
                <w:sz w:val="18"/>
                <w:szCs w:val="18"/>
              </w:rPr>
            </w:pPr>
          </w:p>
          <w:p w14:paraId="06BFFF2C" w14:textId="23F1A12B" w:rsidR="007174FD" w:rsidRPr="001C1BA7" w:rsidRDefault="007174FD"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Ovidrel®</w:t>
            </w:r>
          </w:p>
          <w:p w14:paraId="0EACF9DA" w14:textId="77777777" w:rsidR="007174FD" w:rsidRPr="001C1BA7" w:rsidRDefault="007174FD" w:rsidP="00EC08C1">
            <w:pPr>
              <w:contextualSpacing/>
              <w:jc w:val="center"/>
              <w:rPr>
                <w:rFonts w:asciiTheme="minorHAnsi" w:hAnsiTheme="minorHAnsi" w:cstheme="minorHAnsi"/>
                <w:sz w:val="18"/>
                <w:szCs w:val="18"/>
              </w:rPr>
            </w:pPr>
          </w:p>
          <w:p w14:paraId="1CF9E2E2" w14:textId="77777777" w:rsidR="007174FD" w:rsidRPr="001C1BA7" w:rsidRDefault="007174FD"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Merck healthcare Pty Ltd</w:t>
            </w:r>
          </w:p>
          <w:p w14:paraId="3981C4E7" w14:textId="77777777" w:rsidR="007174FD" w:rsidRPr="001C1BA7" w:rsidRDefault="007174FD" w:rsidP="00EC08C1">
            <w:pPr>
              <w:contextualSpacing/>
              <w:jc w:val="center"/>
              <w:rPr>
                <w:rFonts w:asciiTheme="minorHAnsi" w:hAnsiTheme="minorHAnsi" w:cstheme="minorHAnsi"/>
                <w:sz w:val="18"/>
                <w:szCs w:val="18"/>
                <w:highlight w:val="yellow"/>
              </w:rPr>
            </w:pPr>
          </w:p>
          <w:p w14:paraId="440ECE84" w14:textId="07C0C5FE" w:rsidR="007174FD" w:rsidRPr="00D2401D" w:rsidRDefault="007174FD" w:rsidP="00EC08C1">
            <w:pPr>
              <w:contextualSpacing/>
              <w:jc w:val="center"/>
              <w:rPr>
                <w:rFonts w:ascii="Arial" w:hAnsi="Arial" w:cs="Arial"/>
                <w:sz w:val="18"/>
                <w:szCs w:val="18"/>
              </w:rPr>
            </w:pPr>
            <w:r w:rsidRPr="001C1BA7">
              <w:rPr>
                <w:rFonts w:asciiTheme="minorHAnsi" w:hAnsiTheme="minorHAnsi" w:cstheme="minorHAnsi"/>
                <w:sz w:val="18"/>
                <w:szCs w:val="18"/>
              </w:rPr>
              <w:t>(</w:t>
            </w:r>
            <w:r w:rsidR="00BC6AF1">
              <w:rPr>
                <w:rFonts w:asciiTheme="minorHAnsi" w:hAnsiTheme="minorHAnsi" w:cstheme="minorHAnsi"/>
                <w:sz w:val="18"/>
                <w:szCs w:val="18"/>
              </w:rPr>
              <w:t>Change to PBS listing</w:t>
            </w:r>
            <w:r w:rsidRPr="001C1BA7">
              <w:rPr>
                <w:rFonts w:asciiTheme="minorHAnsi" w:hAnsiTheme="minorHAnsi" w:cstheme="minorHAnsi"/>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7156AD5" w14:textId="24CCC8DD" w:rsidR="007174FD" w:rsidRDefault="007174FD" w:rsidP="00EC08C1">
            <w:pPr>
              <w:keepLines/>
              <w:widowControl w:val="0"/>
              <w:contextualSpacing/>
              <w:jc w:val="center"/>
              <w:rPr>
                <w:rFonts w:ascii="Arial" w:hAnsi="Arial" w:cs="Arial"/>
                <w:sz w:val="18"/>
                <w:szCs w:val="18"/>
              </w:rPr>
            </w:pPr>
            <w:r w:rsidRPr="001C1BA7">
              <w:rPr>
                <w:rFonts w:asciiTheme="minorHAnsi" w:hAnsiTheme="minorHAnsi" w:cstheme="minorHAnsi"/>
                <w:snapToGrid w:val="0"/>
                <w:sz w:val="18"/>
                <w:szCs w:val="18"/>
                <w:lang w:eastAsia="en-US"/>
              </w:rPr>
              <w:t>Infertility indications other than that of Assisted Reproductive Technology</w:t>
            </w:r>
            <w:r w:rsidR="00325D12">
              <w:rPr>
                <w:rFonts w:asciiTheme="minorHAnsi" w:hAnsiTheme="minorHAnsi" w:cstheme="minorHAnsi"/>
                <w:snapToGrid w:val="0"/>
                <w:sz w:val="18"/>
                <w:szCs w:val="18"/>
                <w:lang w:eastAsia="en-US"/>
              </w:rPr>
              <w:t xml:space="preserve"> (ART)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BB02ECA" w14:textId="67276921" w:rsidR="007174FD" w:rsidRPr="006A1809" w:rsidRDefault="007174FD" w:rsidP="00EC08C1">
            <w:pPr>
              <w:keepLines/>
              <w:widowControl w:val="0"/>
              <w:contextualSpacing/>
              <w:rPr>
                <w:rFonts w:ascii="Arial" w:hAnsi="Arial" w:cs="Arial"/>
                <w:snapToGrid w:val="0"/>
                <w:sz w:val="18"/>
                <w:szCs w:val="18"/>
                <w:lang w:eastAsia="en-US"/>
              </w:rPr>
            </w:pPr>
            <w:r w:rsidRPr="001C1BA7">
              <w:rPr>
                <w:rFonts w:asciiTheme="minorHAnsi" w:hAnsiTheme="minorHAnsi" w:cstheme="minorHAnsi"/>
                <w:sz w:val="18"/>
                <w:szCs w:val="18"/>
              </w:rPr>
              <w:t xml:space="preserve">To consider the request to increase the maximum quantity of choriogonadotropin alfa (Ovidrel®) that is listed on the PBS as a Section 85 (S85) General Schedule listing for infertility indications other than that of </w:t>
            </w:r>
            <w:r w:rsidR="00325D12">
              <w:rPr>
                <w:rFonts w:asciiTheme="minorHAnsi" w:hAnsiTheme="minorHAnsi" w:cstheme="minorHAnsi"/>
                <w:sz w:val="18"/>
                <w:szCs w:val="18"/>
              </w:rPr>
              <w:t>ART.</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197F177" w14:textId="1C164940" w:rsidR="007174FD" w:rsidRDefault="007174FD" w:rsidP="00EC08C1">
            <w:pPr>
              <w:keepLines/>
              <w:contextualSpacing/>
              <w:rPr>
                <w:rFonts w:ascii="Arial" w:hAnsi="Arial" w:cs="Arial"/>
                <w:color w:val="000000"/>
                <w:sz w:val="18"/>
                <w:szCs w:val="21"/>
                <w:shd w:val="clear" w:color="auto" w:fill="FFFFFF"/>
              </w:rPr>
            </w:pPr>
            <w:r w:rsidRPr="001C1BA7">
              <w:rPr>
                <w:rFonts w:asciiTheme="minorHAnsi" w:hAnsiTheme="minorHAnsi" w:cstheme="minorHAnsi"/>
                <w:snapToGrid w:val="0"/>
                <w:sz w:val="18"/>
                <w:szCs w:val="18"/>
                <w:lang w:eastAsia="en-US"/>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0FFEB2E" w14:textId="2928B754" w:rsidR="007174FD" w:rsidRPr="001C4557" w:rsidRDefault="007174FD" w:rsidP="00EC08C1">
            <w:pPr>
              <w:keepLines/>
              <w:contextualSpacing/>
              <w:rPr>
                <w:rFonts w:ascii="Arial" w:hAnsi="Arial" w:cs="Arial"/>
                <w:color w:val="000000"/>
                <w:sz w:val="18"/>
                <w:szCs w:val="21"/>
                <w:shd w:val="clear" w:color="auto" w:fill="FFFFFF"/>
              </w:rPr>
            </w:pPr>
            <w:r w:rsidRPr="001C1BA7">
              <w:rPr>
                <w:rFonts w:asciiTheme="minorHAnsi" w:hAnsiTheme="minorHAnsi" w:cstheme="minorHAnsi"/>
                <w:color w:val="000000"/>
                <w:sz w:val="18"/>
                <w:szCs w:val="18"/>
              </w:rPr>
              <w:t xml:space="preserve">The PBAC recommended increasing the maximum quantity of Ovidrel that is currently listed on the PBS as a General Schedule Restricted Benefit for infertility indications other than that of </w:t>
            </w:r>
            <w:r w:rsidR="00325D12">
              <w:rPr>
                <w:rFonts w:asciiTheme="minorHAnsi" w:hAnsiTheme="minorHAnsi" w:cstheme="minorHAnsi"/>
                <w:color w:val="000000"/>
                <w:sz w:val="18"/>
                <w:szCs w:val="18"/>
              </w:rPr>
              <w:t>ART</w:t>
            </w:r>
            <w:r w:rsidRPr="001C1BA7">
              <w:rPr>
                <w:rFonts w:asciiTheme="minorHAnsi" w:hAnsiTheme="minorHAnsi" w:cstheme="minorHAnsi"/>
                <w:color w:val="000000"/>
                <w:sz w:val="18"/>
                <w:szCs w:val="18"/>
              </w:rPr>
              <w:t xml:space="preserve"> to 4 pens, to allow for sufficient quantity for 1 month of treatment at standard doses. The PBAC noted standard induction doses required the use of one Ovidrel pen every 2 weeks and approximately half of patients using Ovidrel for infertility indications other than that of </w:t>
            </w:r>
            <w:r w:rsidR="00325D12">
              <w:rPr>
                <w:rFonts w:asciiTheme="minorHAnsi" w:hAnsiTheme="minorHAnsi" w:cstheme="minorHAnsi"/>
                <w:color w:val="000000"/>
                <w:sz w:val="18"/>
                <w:szCs w:val="18"/>
              </w:rPr>
              <w:t>ART</w:t>
            </w:r>
            <w:r w:rsidRPr="001C1BA7">
              <w:rPr>
                <w:rFonts w:asciiTheme="minorHAnsi" w:hAnsiTheme="minorHAnsi" w:cstheme="minorHAnsi"/>
                <w:color w:val="000000"/>
                <w:sz w:val="18"/>
                <w:szCs w:val="18"/>
              </w:rPr>
              <w:t xml:space="preserve"> would require up to 4 Ovidrel pens per month. The PBAC noted the change to the listing is not expected to change utilisation or the patient population. However, it may result in a financial impact on Government due to the difference in dispensing fees, mark-ups and changes in the number of patient co-payments, which the PBAC considered to be acceptable.</w:t>
            </w:r>
          </w:p>
        </w:tc>
      </w:tr>
      <w:bookmarkEnd w:id="0"/>
      <w:tr w:rsidR="00D868C3" w:rsidRPr="00D2401D" w14:paraId="052E875C" w14:textId="77777777" w:rsidTr="00F82E86">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26CAA74" w14:textId="77777777" w:rsidR="00D868C3" w:rsidRPr="001C1BA7" w:rsidRDefault="00D868C3" w:rsidP="00EC08C1">
            <w:pPr>
              <w:contextualSpacing/>
              <w:jc w:val="center"/>
              <w:rPr>
                <w:rFonts w:asciiTheme="minorHAnsi" w:hAnsiTheme="minorHAnsi" w:cstheme="minorHAnsi"/>
                <w:sz w:val="18"/>
                <w:szCs w:val="18"/>
              </w:rPr>
            </w:pPr>
            <w:r w:rsidRPr="001C1BA7">
              <w:rPr>
                <w:rFonts w:asciiTheme="minorHAnsi" w:hAnsiTheme="minorHAnsi" w:cstheme="minorHAnsi"/>
                <w:sz w:val="18"/>
                <w:szCs w:val="18"/>
              </w:rPr>
              <w:t>HYDROCORTISONE</w:t>
            </w:r>
          </w:p>
          <w:p w14:paraId="7DD4053F" w14:textId="77777777" w:rsidR="00D868C3" w:rsidRPr="001C1BA7" w:rsidRDefault="00D868C3" w:rsidP="00EC08C1">
            <w:pPr>
              <w:contextualSpacing/>
              <w:jc w:val="center"/>
              <w:rPr>
                <w:rFonts w:asciiTheme="minorHAnsi" w:hAnsiTheme="minorHAnsi" w:cstheme="minorHAnsi"/>
                <w:sz w:val="18"/>
                <w:szCs w:val="18"/>
              </w:rPr>
            </w:pPr>
          </w:p>
          <w:p w14:paraId="49DA2B50" w14:textId="77777777" w:rsidR="00D868C3" w:rsidRPr="008B2727" w:rsidRDefault="00D868C3" w:rsidP="00EC08C1">
            <w:pPr>
              <w:keepLines/>
              <w:widowControl w:val="0"/>
              <w:ind w:right="-106"/>
              <w:contextualSpacing/>
              <w:jc w:val="center"/>
              <w:rPr>
                <w:rFonts w:asciiTheme="minorHAnsi" w:hAnsiTheme="minorHAnsi" w:cstheme="minorHAnsi"/>
                <w:bCs/>
                <w:sz w:val="18"/>
                <w:szCs w:val="18"/>
              </w:rPr>
            </w:pPr>
            <w:r>
              <w:rPr>
                <w:rFonts w:asciiTheme="minorHAnsi" w:hAnsiTheme="minorHAnsi" w:cstheme="minorHAnsi"/>
                <w:bCs/>
                <w:sz w:val="18"/>
                <w:szCs w:val="18"/>
              </w:rPr>
              <w:t>Capsule containing granules 0.5  mg</w:t>
            </w:r>
            <w:r>
              <w:rPr>
                <w:rFonts w:asciiTheme="minorHAnsi" w:hAnsiTheme="minorHAnsi" w:cstheme="minorHAnsi"/>
                <w:bCs/>
                <w:sz w:val="18"/>
                <w:szCs w:val="18"/>
              </w:rPr>
              <w:br/>
              <w:t>Capsule containing granules 1 mg</w:t>
            </w:r>
            <w:r>
              <w:rPr>
                <w:rFonts w:asciiTheme="minorHAnsi" w:hAnsiTheme="minorHAnsi" w:cstheme="minorHAnsi"/>
                <w:bCs/>
                <w:sz w:val="18"/>
                <w:szCs w:val="18"/>
              </w:rPr>
              <w:br/>
              <w:t>Capsule containing granules 2 mg</w:t>
            </w:r>
            <w:r>
              <w:rPr>
                <w:rFonts w:asciiTheme="minorHAnsi" w:hAnsiTheme="minorHAnsi" w:cstheme="minorHAnsi"/>
                <w:bCs/>
                <w:sz w:val="18"/>
                <w:szCs w:val="18"/>
              </w:rPr>
              <w:br/>
              <w:t>Capsule containing granules 5 mg</w:t>
            </w:r>
          </w:p>
          <w:p w14:paraId="51BC656B" w14:textId="77777777" w:rsidR="00D868C3" w:rsidRPr="001C1BA7" w:rsidRDefault="00D868C3" w:rsidP="00EC08C1">
            <w:pPr>
              <w:contextualSpacing/>
              <w:jc w:val="center"/>
              <w:rPr>
                <w:rFonts w:asciiTheme="minorHAnsi" w:hAnsiTheme="minorHAnsi" w:cstheme="minorHAnsi"/>
                <w:sz w:val="18"/>
                <w:szCs w:val="18"/>
              </w:rPr>
            </w:pPr>
          </w:p>
          <w:p w14:paraId="438B8D0B" w14:textId="77777777" w:rsidR="00D868C3" w:rsidRPr="001C1BA7" w:rsidRDefault="00D868C3" w:rsidP="00EC08C1">
            <w:pPr>
              <w:contextualSpacing/>
              <w:jc w:val="center"/>
              <w:rPr>
                <w:rFonts w:asciiTheme="minorHAnsi" w:hAnsiTheme="minorHAnsi" w:cstheme="minorHAnsi"/>
                <w:sz w:val="18"/>
                <w:szCs w:val="18"/>
              </w:rPr>
            </w:pPr>
            <w:proofErr w:type="spellStart"/>
            <w:r w:rsidRPr="001C1BA7">
              <w:rPr>
                <w:rFonts w:asciiTheme="minorHAnsi" w:hAnsiTheme="minorHAnsi" w:cstheme="minorHAnsi"/>
                <w:sz w:val="18"/>
                <w:szCs w:val="18"/>
              </w:rPr>
              <w:t>Alkindi</w:t>
            </w:r>
            <w:proofErr w:type="spellEnd"/>
            <w:r w:rsidRPr="001C1BA7">
              <w:rPr>
                <w:rFonts w:asciiTheme="minorHAnsi" w:hAnsiTheme="minorHAnsi" w:cstheme="minorHAnsi"/>
                <w:sz w:val="18"/>
                <w:szCs w:val="18"/>
              </w:rPr>
              <w:t>®</w:t>
            </w:r>
          </w:p>
          <w:p w14:paraId="5BAEAA4C" w14:textId="77777777" w:rsidR="00D868C3" w:rsidRPr="001C1BA7" w:rsidRDefault="00D868C3" w:rsidP="00EC08C1">
            <w:pPr>
              <w:contextualSpacing/>
              <w:jc w:val="center"/>
              <w:rPr>
                <w:rFonts w:asciiTheme="minorHAnsi" w:hAnsiTheme="minorHAnsi" w:cstheme="minorHAnsi"/>
                <w:sz w:val="18"/>
                <w:szCs w:val="18"/>
              </w:rPr>
            </w:pPr>
          </w:p>
          <w:p w14:paraId="7ED21580" w14:textId="56C81481" w:rsidR="00D868C3" w:rsidRPr="001C1BA7" w:rsidRDefault="00D868C3" w:rsidP="00EC08C1">
            <w:pPr>
              <w:contextualSpacing/>
              <w:jc w:val="center"/>
              <w:rPr>
                <w:rFonts w:asciiTheme="minorHAnsi" w:hAnsiTheme="minorHAnsi" w:cstheme="minorHAnsi"/>
                <w:sz w:val="18"/>
                <w:szCs w:val="18"/>
              </w:rPr>
            </w:pPr>
            <w:proofErr w:type="spellStart"/>
            <w:r w:rsidRPr="001C1BA7">
              <w:rPr>
                <w:rFonts w:asciiTheme="minorHAnsi" w:hAnsiTheme="minorHAnsi" w:cstheme="minorHAnsi"/>
                <w:sz w:val="18"/>
                <w:szCs w:val="18"/>
              </w:rPr>
              <w:t>Chiesi</w:t>
            </w:r>
            <w:proofErr w:type="spellEnd"/>
            <w:r w:rsidRPr="001C1BA7">
              <w:rPr>
                <w:rFonts w:asciiTheme="minorHAnsi" w:hAnsiTheme="minorHAnsi" w:cstheme="minorHAnsi"/>
                <w:sz w:val="18"/>
                <w:szCs w:val="18"/>
              </w:rPr>
              <w:t xml:space="preserve"> Australia Pty Ltd</w:t>
            </w:r>
            <w:r w:rsidRPr="001C1BA7">
              <w:rPr>
                <w:rFonts w:asciiTheme="minorHAnsi" w:hAnsiTheme="minorHAnsi" w:cstheme="minorHAnsi"/>
                <w:sz w:val="18"/>
                <w:szCs w:val="18"/>
              </w:rPr>
              <w:br/>
            </w:r>
            <w:r w:rsidRPr="001C1BA7">
              <w:rPr>
                <w:rFonts w:asciiTheme="minorHAnsi" w:hAnsiTheme="minorHAnsi" w:cstheme="minorHAnsi"/>
                <w:sz w:val="18"/>
                <w:szCs w:val="18"/>
              </w:rPr>
              <w:br/>
              <w:t>(Matter</w:t>
            </w:r>
            <w:r>
              <w:rPr>
                <w:rFonts w:asciiTheme="minorHAnsi" w:hAnsiTheme="minorHAnsi" w:cstheme="minorHAnsi"/>
                <w:sz w:val="18"/>
                <w:szCs w:val="18"/>
              </w:rPr>
              <w:t>s</w:t>
            </w:r>
            <w:r w:rsidRPr="001C1BA7">
              <w:rPr>
                <w:rFonts w:asciiTheme="minorHAnsi" w:hAnsiTheme="minorHAnsi" w:cstheme="minorHAnsi"/>
                <w:sz w:val="18"/>
                <w:szCs w:val="18"/>
              </w:rPr>
              <w:t xml:space="preserve"> arising)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C8FCD87" w14:textId="54C76C1C" w:rsidR="00D868C3" w:rsidRPr="001C1BA7" w:rsidRDefault="00D868C3" w:rsidP="00EC08C1">
            <w:pPr>
              <w:keepLines/>
              <w:widowControl w:val="0"/>
              <w:contextualSpacing/>
              <w:jc w:val="center"/>
              <w:rPr>
                <w:rFonts w:asciiTheme="minorHAnsi" w:hAnsiTheme="minorHAnsi" w:cstheme="minorHAnsi"/>
                <w:snapToGrid w:val="0"/>
                <w:sz w:val="18"/>
                <w:szCs w:val="18"/>
                <w:lang w:eastAsia="en-US"/>
              </w:rPr>
            </w:pPr>
            <w:r>
              <w:rPr>
                <w:rFonts w:asciiTheme="minorHAnsi" w:hAnsiTheme="minorHAnsi" w:cstheme="minorHAnsi"/>
                <w:bCs/>
                <w:snapToGrid w:val="0"/>
                <w:sz w:val="18"/>
                <w:szCs w:val="18"/>
                <w:lang w:eastAsia="en-US"/>
              </w:rPr>
              <w:t>Adrenal insufficiency in children aged 6 or younger</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3CCA1F7" w14:textId="018B4073" w:rsidR="00D868C3" w:rsidRPr="001C1BA7" w:rsidRDefault="00D868C3" w:rsidP="00EC08C1">
            <w:pPr>
              <w:keepLines/>
              <w:widowControl w:val="0"/>
              <w:contextualSpacing/>
              <w:rPr>
                <w:rFonts w:asciiTheme="minorHAnsi" w:hAnsiTheme="minorHAnsi" w:cstheme="minorHAnsi"/>
                <w:sz w:val="18"/>
                <w:szCs w:val="18"/>
              </w:rPr>
            </w:pPr>
            <w:r w:rsidRPr="008B2727">
              <w:rPr>
                <w:rFonts w:asciiTheme="minorHAnsi" w:hAnsiTheme="minorHAnsi" w:cstheme="minorHAnsi"/>
                <w:bCs/>
                <w:snapToGrid w:val="0"/>
                <w:sz w:val="18"/>
                <w:szCs w:val="18"/>
                <w:lang w:eastAsia="en-US"/>
              </w:rPr>
              <w:t>Review of positive PBAC recommendations not accepted by applicants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C6E461E" w14:textId="563419D3" w:rsidR="00D868C3" w:rsidRPr="001C1BA7" w:rsidRDefault="00D868C3" w:rsidP="00EC08C1">
            <w:pPr>
              <w:keepLines/>
              <w:contextualSpacing/>
              <w:rPr>
                <w:rFonts w:asciiTheme="minorHAnsi" w:hAnsiTheme="minorHAnsi" w:cstheme="minorHAnsi"/>
                <w:snapToGrid w:val="0"/>
                <w:sz w:val="18"/>
                <w:szCs w:val="18"/>
                <w:lang w:eastAsia="en-US"/>
              </w:rPr>
            </w:pPr>
            <w:r w:rsidRPr="001C1BA7">
              <w:rPr>
                <w:rFonts w:asciiTheme="minorHAnsi" w:hAnsiTheme="minorHAnsi" w:cstheme="minorHAnsi"/>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D84A805" w14:textId="27CF8746" w:rsidR="00D868C3" w:rsidRPr="001C1BA7" w:rsidRDefault="00D868C3" w:rsidP="00EC08C1">
            <w:pPr>
              <w:keepLines/>
              <w:contextualSpacing/>
              <w:rPr>
                <w:rFonts w:asciiTheme="minorHAnsi" w:hAnsiTheme="minorHAnsi" w:cstheme="minorHAnsi"/>
                <w:color w:val="000000"/>
                <w:sz w:val="18"/>
                <w:szCs w:val="18"/>
              </w:rPr>
            </w:pPr>
            <w:r w:rsidRPr="008B2727">
              <w:rPr>
                <w:rFonts w:asciiTheme="minorHAnsi" w:hAnsiTheme="minorHAnsi" w:cstheme="minorBidi"/>
                <w:bCs/>
                <w:snapToGrid w:val="0"/>
                <w:sz w:val="18"/>
                <w:szCs w:val="18"/>
                <w:lang w:eastAsia="en-US"/>
              </w:rPr>
              <w:t xml:space="preserve">The PBAC advised that the recommendation be extended for an additional </w:t>
            </w:r>
            <w:r>
              <w:rPr>
                <w:rFonts w:asciiTheme="minorHAnsi" w:hAnsiTheme="minorHAnsi" w:cstheme="minorBidi"/>
                <w:bCs/>
                <w:snapToGrid w:val="0"/>
                <w:sz w:val="18"/>
                <w:szCs w:val="18"/>
                <w:lang w:eastAsia="en-US"/>
              </w:rPr>
              <w:t xml:space="preserve">6 </w:t>
            </w:r>
            <w:r w:rsidRPr="008B2727">
              <w:rPr>
                <w:rFonts w:asciiTheme="minorHAnsi" w:hAnsiTheme="minorHAnsi" w:cstheme="minorBidi"/>
                <w:bCs/>
                <w:snapToGrid w:val="0"/>
                <w:sz w:val="18"/>
                <w:szCs w:val="18"/>
                <w:lang w:eastAsia="en-US"/>
              </w:rPr>
              <w:t>months</w:t>
            </w:r>
            <w:r>
              <w:rPr>
                <w:rFonts w:asciiTheme="minorHAnsi" w:hAnsiTheme="minorHAnsi" w:cstheme="minorBidi"/>
                <w:bCs/>
                <w:snapToGrid w:val="0"/>
                <w:sz w:val="18"/>
                <w:szCs w:val="18"/>
                <w:lang w:eastAsia="en-US"/>
              </w:rPr>
              <w:t>.</w:t>
            </w:r>
          </w:p>
        </w:tc>
      </w:tr>
      <w:tr w:rsidR="00D868C3" w:rsidRPr="00D2401D" w14:paraId="14967140" w14:textId="77777777" w:rsidTr="0027611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0B7B56E7" w14:textId="77777777" w:rsidR="00D868C3" w:rsidRPr="001C1BA7" w:rsidRDefault="00D868C3" w:rsidP="00DB0B57">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lastRenderedPageBreak/>
              <w:t>METHOTREXATE</w:t>
            </w:r>
          </w:p>
          <w:p w14:paraId="15C18ECC" w14:textId="77777777" w:rsidR="00D868C3" w:rsidRPr="001C1BA7" w:rsidRDefault="00D868C3" w:rsidP="00DB0B57">
            <w:pPr>
              <w:pStyle w:val="ListParagraph"/>
              <w:ind w:left="0"/>
              <w:jc w:val="center"/>
              <w:rPr>
                <w:rFonts w:asciiTheme="minorHAnsi" w:eastAsia="Times New Roman" w:hAnsiTheme="minorHAnsi" w:cstheme="minorHAnsi"/>
                <w:color w:val="000000"/>
                <w:sz w:val="18"/>
                <w:szCs w:val="18"/>
              </w:rPr>
            </w:pPr>
          </w:p>
          <w:p w14:paraId="5EEAB2D0" w14:textId="77777777" w:rsidR="00E92127" w:rsidRDefault="00D868C3" w:rsidP="00DB0B57">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Tablet 2.5 mg,</w:t>
            </w:r>
            <w:r w:rsidRPr="001C1BA7">
              <w:rPr>
                <w:rFonts w:asciiTheme="minorHAnsi" w:eastAsia="Times New Roman" w:hAnsiTheme="minorHAnsi" w:cstheme="minorHAnsi"/>
                <w:color w:val="000000"/>
                <w:sz w:val="18"/>
                <w:szCs w:val="18"/>
              </w:rPr>
              <w:br/>
              <w:t>Tablet 10 mg</w:t>
            </w:r>
            <w:r w:rsidRPr="001C1BA7">
              <w:rPr>
                <w:rFonts w:asciiTheme="minorHAnsi" w:eastAsia="Times New Roman" w:hAnsiTheme="minorHAnsi" w:cstheme="minorHAnsi"/>
                <w:color w:val="000000"/>
                <w:sz w:val="18"/>
                <w:szCs w:val="18"/>
              </w:rPr>
              <w:br/>
            </w:r>
            <w:r w:rsidRPr="001C1BA7">
              <w:rPr>
                <w:rFonts w:asciiTheme="minorHAnsi" w:eastAsia="Times New Roman" w:hAnsiTheme="minorHAnsi" w:cstheme="minorHAnsi"/>
                <w:color w:val="000000"/>
                <w:sz w:val="18"/>
                <w:szCs w:val="18"/>
              </w:rPr>
              <w:br/>
              <w:t>Injection 5 mg in 2 mL vial,</w:t>
            </w:r>
            <w:r w:rsidRPr="001C1BA7">
              <w:rPr>
                <w:rFonts w:asciiTheme="minorHAnsi" w:eastAsia="Times New Roman" w:hAnsiTheme="minorHAnsi" w:cstheme="minorHAnsi"/>
                <w:color w:val="000000"/>
                <w:sz w:val="18"/>
                <w:szCs w:val="18"/>
              </w:rPr>
              <w:br/>
              <w:t>Injection 50 mg in 2 mL vial</w:t>
            </w:r>
            <w:r w:rsidRPr="001C1BA7">
              <w:rPr>
                <w:rFonts w:asciiTheme="minorHAnsi" w:eastAsia="Times New Roman" w:hAnsiTheme="minorHAnsi" w:cstheme="minorHAnsi"/>
                <w:color w:val="000000"/>
                <w:sz w:val="18"/>
                <w:szCs w:val="18"/>
              </w:rPr>
              <w:br/>
            </w:r>
          </w:p>
          <w:p w14:paraId="3D8FE866" w14:textId="6CDACC06" w:rsidR="00D868C3" w:rsidRPr="001C1BA7" w:rsidRDefault="00E92127" w:rsidP="00DB0B57">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Injection 7.5 mg in 0.15 mL pre-filled syringe</w:t>
            </w:r>
            <w:r w:rsidRPr="001C1BA7">
              <w:rPr>
                <w:rFonts w:asciiTheme="minorHAnsi" w:eastAsia="Times New Roman" w:hAnsiTheme="minorHAnsi" w:cstheme="minorHAnsi"/>
                <w:color w:val="000000"/>
                <w:sz w:val="18"/>
                <w:szCs w:val="18"/>
              </w:rPr>
              <w:br/>
              <w:t>Injection 10 mg in 0.2 mL pre-filled syringe</w:t>
            </w:r>
            <w:r w:rsidRPr="001C1BA7">
              <w:rPr>
                <w:rFonts w:asciiTheme="minorHAnsi" w:eastAsia="Times New Roman" w:hAnsiTheme="minorHAnsi" w:cstheme="minorHAnsi"/>
                <w:color w:val="000000"/>
                <w:sz w:val="18"/>
                <w:szCs w:val="18"/>
              </w:rPr>
              <w:br/>
              <w:t>Injection 15 mg in 0.3 mL pre-filled syringe</w:t>
            </w:r>
            <w:r w:rsidRPr="001C1BA7">
              <w:rPr>
                <w:rFonts w:asciiTheme="minorHAnsi" w:eastAsia="Times New Roman" w:hAnsiTheme="minorHAnsi" w:cstheme="minorHAnsi"/>
                <w:color w:val="000000"/>
                <w:sz w:val="18"/>
                <w:szCs w:val="18"/>
              </w:rPr>
              <w:br/>
              <w:t>Injection 20 mg in 0.4 mL pre-filled syringe</w:t>
            </w:r>
            <w:r w:rsidRPr="001C1BA7">
              <w:rPr>
                <w:rFonts w:asciiTheme="minorHAnsi" w:eastAsia="Times New Roman" w:hAnsiTheme="minorHAnsi" w:cstheme="minorHAnsi"/>
                <w:color w:val="000000"/>
                <w:sz w:val="18"/>
                <w:szCs w:val="18"/>
              </w:rPr>
              <w:br/>
              <w:t>Injection 25 mg in 0.5 mL pre-filled syringe</w:t>
            </w:r>
            <w:r w:rsidRPr="001C1BA7">
              <w:rPr>
                <w:rFonts w:asciiTheme="minorHAnsi" w:eastAsia="Times New Roman" w:hAnsiTheme="minorHAnsi" w:cstheme="minorHAnsi"/>
                <w:color w:val="000000"/>
                <w:sz w:val="18"/>
                <w:szCs w:val="18"/>
              </w:rPr>
              <w:br/>
            </w:r>
            <w:r w:rsidR="00D868C3" w:rsidRPr="001C1BA7">
              <w:rPr>
                <w:rFonts w:asciiTheme="minorHAnsi" w:eastAsia="Times New Roman" w:hAnsiTheme="minorHAnsi" w:cstheme="minorHAnsi"/>
                <w:color w:val="000000"/>
                <w:sz w:val="18"/>
                <w:szCs w:val="18"/>
              </w:rPr>
              <w:br/>
            </w:r>
            <w:proofErr w:type="spellStart"/>
            <w:r w:rsidR="00D868C3" w:rsidRPr="001C1BA7">
              <w:rPr>
                <w:rFonts w:asciiTheme="minorHAnsi" w:eastAsia="Times New Roman" w:hAnsiTheme="minorHAnsi" w:cstheme="minorHAnsi"/>
                <w:color w:val="000000"/>
                <w:sz w:val="18"/>
                <w:szCs w:val="18"/>
              </w:rPr>
              <w:t>Methoblastin</w:t>
            </w:r>
            <w:proofErr w:type="spellEnd"/>
            <w:r w:rsidR="00D868C3" w:rsidRPr="001C1BA7">
              <w:rPr>
                <w:rFonts w:asciiTheme="minorHAnsi" w:eastAsia="Times New Roman" w:hAnsiTheme="minorHAnsi" w:cstheme="minorHAnsi"/>
                <w:color w:val="000000"/>
                <w:sz w:val="18"/>
                <w:szCs w:val="18"/>
              </w:rPr>
              <w:t>®</w:t>
            </w:r>
          </w:p>
          <w:p w14:paraId="4CD86EF3" w14:textId="213FCE12" w:rsidR="00D868C3" w:rsidRDefault="00D868C3" w:rsidP="00DB0B57">
            <w:pPr>
              <w:pStyle w:val="ListParagraph"/>
              <w:ind w:left="0"/>
              <w:jc w:val="center"/>
              <w:rPr>
                <w:rFonts w:asciiTheme="minorHAnsi" w:eastAsia="Times New Roman" w:hAnsiTheme="minorHAnsi" w:cstheme="minorHAnsi"/>
                <w:color w:val="000000"/>
                <w:sz w:val="18"/>
                <w:szCs w:val="18"/>
              </w:rPr>
            </w:pPr>
            <w:r w:rsidRPr="001C1BA7">
              <w:rPr>
                <w:rFonts w:asciiTheme="minorHAnsi" w:eastAsia="Times New Roman" w:hAnsiTheme="minorHAnsi" w:cstheme="minorHAnsi"/>
                <w:color w:val="000000"/>
                <w:sz w:val="18"/>
                <w:szCs w:val="18"/>
              </w:rPr>
              <w:t>DBL™ Methotrexate</w:t>
            </w:r>
          </w:p>
          <w:p w14:paraId="27D151BF" w14:textId="34277190" w:rsidR="00E92127" w:rsidRPr="001C1BA7" w:rsidRDefault="00E92127" w:rsidP="00DB0B57">
            <w:pPr>
              <w:pStyle w:val="ListParagraph"/>
              <w:ind w:left="0"/>
              <w:jc w:val="center"/>
              <w:rPr>
                <w:rFonts w:asciiTheme="minorHAnsi" w:eastAsia="Times New Roman" w:hAnsiTheme="minorHAnsi" w:cstheme="minorHAnsi"/>
                <w:color w:val="000000"/>
                <w:sz w:val="18"/>
                <w:szCs w:val="18"/>
              </w:rPr>
            </w:pPr>
            <w:proofErr w:type="spellStart"/>
            <w:r w:rsidRPr="001C1BA7">
              <w:rPr>
                <w:rFonts w:asciiTheme="minorHAnsi" w:eastAsia="Times New Roman" w:hAnsiTheme="minorHAnsi" w:cstheme="minorHAnsi"/>
                <w:color w:val="000000"/>
                <w:sz w:val="18"/>
                <w:szCs w:val="18"/>
              </w:rPr>
              <w:t>Trexject</w:t>
            </w:r>
            <w:proofErr w:type="spellEnd"/>
            <w:r w:rsidRPr="001C1BA7">
              <w:rPr>
                <w:rFonts w:asciiTheme="minorHAnsi" w:eastAsia="Times New Roman" w:hAnsiTheme="minorHAnsi" w:cstheme="minorHAnsi"/>
                <w:color w:val="000000"/>
                <w:sz w:val="18"/>
                <w:szCs w:val="18"/>
              </w:rPr>
              <w:t>®</w:t>
            </w:r>
          </w:p>
          <w:p w14:paraId="26254834" w14:textId="77777777" w:rsidR="00D868C3" w:rsidRPr="001C1BA7" w:rsidRDefault="00D868C3" w:rsidP="00DB0B57">
            <w:pPr>
              <w:pStyle w:val="ListParagraph"/>
              <w:ind w:left="0"/>
              <w:jc w:val="center"/>
              <w:rPr>
                <w:rFonts w:asciiTheme="minorHAnsi" w:eastAsia="Times New Roman" w:hAnsiTheme="minorHAnsi" w:cstheme="minorHAnsi"/>
                <w:color w:val="000000"/>
                <w:sz w:val="18"/>
                <w:szCs w:val="18"/>
              </w:rPr>
            </w:pPr>
          </w:p>
          <w:p w14:paraId="5B9F2380" w14:textId="72D4323F" w:rsidR="00D868C3" w:rsidRPr="00A07B6A" w:rsidRDefault="00D868C3" w:rsidP="00EC08C1">
            <w:pPr>
              <w:contextualSpacing/>
              <w:jc w:val="center"/>
              <w:rPr>
                <w:rFonts w:ascii="Arial" w:hAnsi="Arial" w:cs="Arial"/>
                <w:sz w:val="18"/>
                <w:szCs w:val="18"/>
              </w:rPr>
            </w:pPr>
            <w:r w:rsidRPr="001C1BA7">
              <w:rPr>
                <w:rFonts w:asciiTheme="minorHAnsi" w:hAnsiTheme="minorHAnsi" w:cstheme="minorHAnsi"/>
                <w:color w:val="000000"/>
                <w:sz w:val="18"/>
                <w:szCs w:val="18"/>
              </w:rPr>
              <w:t>Pfizer Australia Pty Ltd</w:t>
            </w:r>
            <w:r w:rsidRPr="001C1BA7">
              <w:rPr>
                <w:rFonts w:asciiTheme="minorHAnsi" w:hAnsiTheme="minorHAnsi" w:cstheme="minorHAnsi"/>
                <w:color w:val="000000"/>
                <w:sz w:val="18"/>
                <w:szCs w:val="18"/>
              </w:rPr>
              <w:br/>
              <w:t>Link Medical Products Pty Ltd</w:t>
            </w:r>
            <w:r w:rsidRPr="001C1BA7">
              <w:rPr>
                <w:rFonts w:asciiTheme="minorHAnsi" w:hAnsiTheme="minorHAnsi" w:cstheme="minorHAnsi"/>
                <w:color w:val="000000"/>
                <w:sz w:val="18"/>
                <w:szCs w:val="18"/>
              </w:rPr>
              <w:br/>
            </w:r>
            <w:r w:rsidRPr="001C1BA7">
              <w:rPr>
                <w:rFonts w:asciiTheme="minorHAnsi" w:hAnsiTheme="minorHAnsi" w:cstheme="minorHAnsi"/>
                <w:color w:val="000000"/>
                <w:sz w:val="18"/>
                <w:szCs w:val="18"/>
              </w:rPr>
              <w:br/>
              <w:t>(</w:t>
            </w:r>
            <w:r w:rsidR="00BC6AF1">
              <w:rPr>
                <w:rFonts w:asciiTheme="minorHAnsi" w:hAnsiTheme="minorHAnsi" w:cstheme="minorHAnsi"/>
                <w:color w:val="000000"/>
                <w:sz w:val="18"/>
                <w:szCs w:val="18"/>
              </w:rPr>
              <w:t>Change to PBS listing</w:t>
            </w:r>
            <w:r w:rsidRPr="001C1BA7">
              <w:rPr>
                <w:rFonts w:asciiTheme="minorHAnsi" w:hAnsiTheme="minorHAnsi" w:cstheme="minorHAnsi"/>
                <w:color w:val="000000"/>
                <w:sz w:val="18"/>
                <w:szCs w:val="18"/>
              </w:rPr>
              <w:t>)</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321D991" w14:textId="330F17E0" w:rsidR="00D868C3" w:rsidRDefault="00D868C3" w:rsidP="00EC08C1">
            <w:pPr>
              <w:keepLines/>
              <w:widowControl w:val="0"/>
              <w:contextualSpacing/>
              <w:jc w:val="center"/>
              <w:rPr>
                <w:rFonts w:ascii="Arial" w:hAnsi="Arial" w:cs="Arial"/>
                <w:sz w:val="18"/>
                <w:szCs w:val="18"/>
              </w:rPr>
            </w:pPr>
            <w:r w:rsidRPr="001C1BA7">
              <w:rPr>
                <w:rFonts w:asciiTheme="minorHAnsi" w:hAnsiTheme="minorHAnsi" w:cstheme="minorHAnsi"/>
                <w:color w:val="000000"/>
                <w:sz w:val="18"/>
                <w:szCs w:val="18"/>
              </w:rPr>
              <w:t>Rheumatological conditions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4A45103" w14:textId="3E6899A4" w:rsidR="00D868C3" w:rsidRPr="004F6C3C" w:rsidRDefault="00D868C3" w:rsidP="00EC08C1">
            <w:pPr>
              <w:keepLines/>
              <w:widowControl w:val="0"/>
              <w:contextualSpacing/>
              <w:rPr>
                <w:rFonts w:ascii="Arial" w:hAnsi="Arial" w:cs="Arial"/>
                <w:snapToGrid w:val="0"/>
                <w:sz w:val="18"/>
                <w:szCs w:val="18"/>
                <w:lang w:eastAsia="en-US"/>
              </w:rPr>
            </w:pPr>
            <w:r w:rsidRPr="001C1BA7">
              <w:rPr>
                <w:rFonts w:asciiTheme="minorHAnsi" w:hAnsiTheme="minorHAnsi" w:cstheme="minorHAnsi"/>
                <w:color w:val="000000"/>
                <w:sz w:val="18"/>
                <w:szCs w:val="18"/>
              </w:rPr>
              <w:t>T</w:t>
            </w:r>
            <w:r w:rsidR="008A51D0">
              <w:rPr>
                <w:rFonts w:asciiTheme="minorHAnsi" w:hAnsiTheme="minorHAnsi" w:cstheme="minorHAnsi"/>
                <w:color w:val="000000"/>
                <w:sz w:val="18"/>
                <w:szCs w:val="18"/>
              </w:rPr>
              <w:t>o</w:t>
            </w:r>
            <w:r w:rsidRPr="001C1BA7">
              <w:rPr>
                <w:rFonts w:asciiTheme="minorHAnsi" w:hAnsiTheme="minorHAnsi" w:cstheme="minorHAnsi"/>
                <w:color w:val="000000"/>
                <w:sz w:val="18"/>
                <w:szCs w:val="18"/>
              </w:rPr>
              <w:t xml:space="preserve"> seek the advice of the PBAC on </w:t>
            </w:r>
            <w:r w:rsidR="00E92127">
              <w:rPr>
                <w:rFonts w:asciiTheme="minorHAnsi" w:hAnsiTheme="minorHAnsi" w:cstheme="minorHAnsi"/>
                <w:color w:val="000000"/>
                <w:sz w:val="18"/>
                <w:szCs w:val="18"/>
              </w:rPr>
              <w:t>a</w:t>
            </w:r>
            <w:r w:rsidRPr="001C1BA7">
              <w:rPr>
                <w:rFonts w:asciiTheme="minorHAnsi" w:hAnsiTheme="minorHAnsi" w:cstheme="minorHAnsi"/>
                <w:color w:val="000000"/>
                <w:sz w:val="18"/>
                <w:szCs w:val="18"/>
              </w:rPr>
              <w:t xml:space="preserve"> request to change the current PBS listings of low-dose </w:t>
            </w:r>
            <w:r w:rsidR="00E92127">
              <w:rPr>
                <w:rFonts w:asciiTheme="minorHAnsi" w:hAnsiTheme="minorHAnsi" w:cstheme="minorHAnsi"/>
                <w:color w:val="000000"/>
                <w:sz w:val="18"/>
                <w:szCs w:val="18"/>
              </w:rPr>
              <w:t xml:space="preserve">methotrexate </w:t>
            </w:r>
            <w:r w:rsidRPr="001C1BA7">
              <w:rPr>
                <w:rFonts w:asciiTheme="minorHAnsi" w:hAnsiTheme="minorHAnsi" w:cstheme="minorHAnsi"/>
                <w:color w:val="000000"/>
                <w:sz w:val="18"/>
                <w:szCs w:val="18"/>
              </w:rPr>
              <w:t>for the management of rheumatological conditions to include nurse practitioners</w:t>
            </w:r>
            <w:r w:rsidR="000A6709">
              <w:rPr>
                <w:rFonts w:asciiTheme="minorHAnsi" w:hAnsiTheme="minorHAnsi" w:cstheme="minorHAnsi"/>
                <w:color w:val="000000"/>
                <w:sz w:val="18"/>
                <w:szCs w:val="18"/>
              </w:rPr>
              <w:t xml:space="preserve"> (NPs)</w:t>
            </w:r>
            <w:r w:rsidRPr="001C1BA7">
              <w:rPr>
                <w:rFonts w:asciiTheme="minorHAnsi" w:hAnsiTheme="minorHAnsi" w:cstheme="minorHAnsi"/>
                <w:color w:val="000000"/>
                <w:sz w:val="18"/>
                <w:szCs w:val="18"/>
              </w:rPr>
              <w:t xml:space="preserve"> as eligible prescribers.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EC4C8EA" w14:textId="3FFBDC6F" w:rsidR="00D868C3" w:rsidRDefault="00D868C3" w:rsidP="00EC08C1">
            <w:pPr>
              <w:keepLines/>
              <w:contextualSpacing/>
              <w:rPr>
                <w:rFonts w:ascii="Arial" w:hAnsi="Arial" w:cs="Arial"/>
                <w:color w:val="000000"/>
                <w:sz w:val="18"/>
                <w:szCs w:val="21"/>
                <w:shd w:val="clear" w:color="auto" w:fill="FFFFFF"/>
              </w:rPr>
            </w:pPr>
            <w:r w:rsidRPr="001C1BA7">
              <w:rPr>
                <w:rFonts w:asciiTheme="minorHAnsi" w:hAnsiTheme="minorHAnsi" w:cstheme="minorHAns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0E5CAE46" w14:textId="25B7F1D4" w:rsidR="00D868C3" w:rsidRPr="004F6C3C" w:rsidRDefault="00D868C3" w:rsidP="00EC08C1">
            <w:pPr>
              <w:keepLines/>
              <w:contextualSpacing/>
              <w:rPr>
                <w:rFonts w:ascii="Arial" w:hAnsi="Arial" w:cs="Arial"/>
                <w:color w:val="000000"/>
                <w:sz w:val="18"/>
                <w:szCs w:val="21"/>
                <w:shd w:val="clear" w:color="auto" w:fill="FFFFFF"/>
              </w:rPr>
            </w:pPr>
            <w:r w:rsidRPr="001C1BA7">
              <w:rPr>
                <w:rFonts w:asciiTheme="minorHAnsi" w:hAnsiTheme="minorHAnsi" w:cstheme="minorHAnsi"/>
                <w:color w:val="000000"/>
                <w:sz w:val="18"/>
                <w:szCs w:val="18"/>
              </w:rPr>
              <w:t>The PBAC recommended amending the current PBS</w:t>
            </w:r>
            <w:r w:rsidR="00DD0E48">
              <w:rPr>
                <w:rFonts w:asciiTheme="minorHAnsi" w:hAnsiTheme="minorHAnsi" w:cstheme="minorHAnsi"/>
                <w:color w:val="000000"/>
                <w:sz w:val="18"/>
                <w:szCs w:val="18"/>
              </w:rPr>
              <w:t xml:space="preserve"> </w:t>
            </w:r>
            <w:r w:rsidRPr="001C1BA7">
              <w:rPr>
                <w:rFonts w:asciiTheme="minorHAnsi" w:hAnsiTheme="minorHAnsi" w:cstheme="minorHAnsi"/>
                <w:color w:val="000000"/>
                <w:sz w:val="18"/>
                <w:szCs w:val="18"/>
              </w:rPr>
              <w:t>listings of low</w:t>
            </w:r>
            <w:r w:rsidRPr="001C1BA7">
              <w:rPr>
                <w:rFonts w:asciiTheme="minorHAnsi" w:hAnsiTheme="minorHAnsi" w:cstheme="minorHAnsi"/>
                <w:color w:val="000000"/>
                <w:sz w:val="18"/>
                <w:szCs w:val="18"/>
              </w:rPr>
              <w:noBreakHyphen/>
              <w:t>dose methotrexate used for the management of rheumatological conditions to include NPs as eligible prescribers. The PBAC noted its intention was for the recommendation to apply to those NPs who have undertaken specific training in managing rheumatological conditions and who are approved for prescribing low-dose methotrexate. The PBAC considered allowing rheumatology NPs to prescribe low-dose methotrexate could improve patient access to the medicine.</w:t>
            </w:r>
          </w:p>
        </w:tc>
      </w:tr>
      <w:tr w:rsidR="001543D1" w:rsidRPr="00D2401D" w14:paraId="67606FDF" w14:textId="77777777" w:rsidTr="0027611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1EE277A0" w14:textId="1880BF6D" w:rsidR="001543D1" w:rsidRPr="001C1BA7" w:rsidRDefault="00267BE4" w:rsidP="00DB0B57">
            <w:pPr>
              <w:pStyle w:val="ListParagraph"/>
              <w:ind w:left="0"/>
              <w:jc w:val="center"/>
              <w:rPr>
                <w:rFonts w:asciiTheme="minorHAnsi" w:eastAsia="Times New Roman" w:hAnsiTheme="minorHAnsi" w:cstheme="minorHAnsi"/>
                <w:color w:val="000000"/>
                <w:sz w:val="18"/>
                <w:szCs w:val="18"/>
              </w:rPr>
            </w:pPr>
            <w:r w:rsidRPr="00267BE4">
              <w:rPr>
                <w:rFonts w:asciiTheme="minorHAnsi" w:hAnsiTheme="minorHAnsi" w:cstheme="minorHAnsi"/>
                <w:color w:val="000000"/>
                <w:sz w:val="18"/>
                <w:szCs w:val="18"/>
              </w:rPr>
              <w:lastRenderedPageBreak/>
              <w:t>Zoledronic acid</w:t>
            </w:r>
            <w:r w:rsidRPr="00267BE4">
              <w:rPr>
                <w:rFonts w:asciiTheme="minorHAnsi" w:hAnsiTheme="minorHAnsi" w:cstheme="minorHAnsi"/>
                <w:color w:val="000000"/>
                <w:sz w:val="18"/>
                <w:szCs w:val="18"/>
              </w:rPr>
              <w:br/>
            </w:r>
            <w:r w:rsidRPr="00267BE4">
              <w:rPr>
                <w:rFonts w:asciiTheme="minorHAnsi" w:hAnsiTheme="minorHAnsi" w:cstheme="minorHAnsi"/>
                <w:color w:val="000000"/>
                <w:sz w:val="18"/>
                <w:szCs w:val="18"/>
              </w:rPr>
              <w:br/>
              <w:t>Injection concentrate for I.V. infusion 4 mg (as monohydrate) in 5 mL</w:t>
            </w:r>
            <w:r w:rsidRPr="00267BE4">
              <w:rPr>
                <w:rFonts w:asciiTheme="minorHAnsi" w:hAnsiTheme="minorHAnsi" w:cstheme="minorHAnsi"/>
                <w:color w:val="000000"/>
                <w:sz w:val="18"/>
                <w:szCs w:val="18"/>
              </w:rPr>
              <w:br/>
            </w:r>
            <w:r w:rsidRPr="00267BE4">
              <w:rPr>
                <w:rFonts w:asciiTheme="minorHAnsi" w:hAnsiTheme="minorHAnsi" w:cstheme="minorHAnsi"/>
                <w:color w:val="000000"/>
                <w:sz w:val="18"/>
                <w:szCs w:val="18"/>
              </w:rPr>
              <w:br/>
              <w:t>APO-Zoledronic Acid</w:t>
            </w:r>
            <w:r w:rsidRPr="00267BE4">
              <w:rPr>
                <w:rFonts w:asciiTheme="minorHAnsi" w:hAnsiTheme="minorHAnsi" w:cstheme="minorHAnsi"/>
                <w:color w:val="000000"/>
                <w:sz w:val="18"/>
                <w:szCs w:val="18"/>
              </w:rPr>
              <w:br/>
            </w:r>
            <w:r w:rsidRPr="00267BE4">
              <w:rPr>
                <w:rFonts w:asciiTheme="minorHAnsi" w:hAnsiTheme="minorHAnsi" w:cstheme="minorHAnsi"/>
                <w:color w:val="000000"/>
                <w:sz w:val="18"/>
                <w:szCs w:val="18"/>
              </w:rPr>
              <w:br/>
              <w:t>Apotex Pty Ltd</w:t>
            </w:r>
            <w:r w:rsidRPr="00267BE4">
              <w:rPr>
                <w:rFonts w:asciiTheme="minorHAnsi" w:hAnsiTheme="minorHAnsi" w:cstheme="minorHAnsi"/>
                <w:color w:val="000000"/>
                <w:sz w:val="18"/>
                <w:szCs w:val="18"/>
              </w:rPr>
              <w:br/>
            </w:r>
            <w:r w:rsidRPr="00267BE4">
              <w:rPr>
                <w:rFonts w:asciiTheme="minorHAnsi" w:hAnsiTheme="minorHAnsi" w:cstheme="minorHAnsi"/>
                <w:color w:val="000000"/>
                <w:sz w:val="18"/>
                <w:szCs w:val="18"/>
              </w:rPr>
              <w:br/>
              <w:t>(Matters Outstanding)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7113E680" w14:textId="37B5F5B2" w:rsidR="001543D1" w:rsidRPr="001C1BA7" w:rsidRDefault="00267BE4" w:rsidP="00EC08C1">
            <w:pPr>
              <w:keepLines/>
              <w:widowControl w:val="0"/>
              <w:contextualSpacing/>
              <w:jc w:val="center"/>
              <w:rPr>
                <w:rFonts w:asciiTheme="minorHAnsi" w:hAnsiTheme="minorHAnsi" w:cstheme="minorHAnsi"/>
                <w:color w:val="000000"/>
                <w:sz w:val="18"/>
                <w:szCs w:val="18"/>
              </w:rPr>
            </w:pPr>
            <w:r w:rsidRPr="00267BE4">
              <w:rPr>
                <w:rFonts w:asciiTheme="minorHAnsi" w:hAnsiTheme="minorHAnsi" w:cstheme="minorHAnsi"/>
                <w:color w:val="000000"/>
                <w:sz w:val="18"/>
                <w:szCs w:val="18"/>
              </w:rPr>
              <w:t>Adjuvant management of breast cancer in post-menopausal women</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72E4BDDD" w14:textId="705E311E" w:rsidR="00ED3318" w:rsidRPr="00EC08C1" w:rsidRDefault="00ED3318" w:rsidP="00EC08C1">
            <w:pPr>
              <w:contextualSpacing/>
              <w:rPr>
                <w:rFonts w:ascii="Calibri" w:hAnsi="Calibri" w:cs="Calibri"/>
                <w:color w:val="000000"/>
                <w:sz w:val="18"/>
                <w:szCs w:val="18"/>
              </w:rPr>
            </w:pPr>
            <w:r w:rsidRPr="00EC08C1">
              <w:rPr>
                <w:rFonts w:ascii="Calibri" w:hAnsi="Calibri" w:cs="Calibri"/>
                <w:color w:val="000000"/>
                <w:sz w:val="18"/>
                <w:szCs w:val="18"/>
              </w:rPr>
              <w:t>To seek PBAC advice on a potential addendum to the December 2022 minutes for zoledronic acid for the adjuvant management of breast cancer in post-menopausal women.</w:t>
            </w:r>
          </w:p>
          <w:p w14:paraId="237EB13E" w14:textId="77777777" w:rsidR="001543D1" w:rsidRPr="001C1BA7" w:rsidRDefault="001543D1" w:rsidP="00EC08C1">
            <w:pPr>
              <w:keepLines/>
              <w:widowControl w:val="0"/>
              <w:contextualSpacing/>
              <w:rPr>
                <w:rFonts w:asciiTheme="minorHAnsi" w:hAnsiTheme="minorHAnsi" w:cstheme="minorHAnsi"/>
                <w:color w:val="000000"/>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4E624B00" w14:textId="48E34317" w:rsidR="001543D1" w:rsidRPr="001C1BA7" w:rsidRDefault="00ED3318" w:rsidP="00EC08C1">
            <w:pPr>
              <w:keepLines/>
              <w:contextualSpacing/>
              <w:rPr>
                <w:rFonts w:asciiTheme="minorHAnsi" w:hAnsiTheme="minorHAnsi" w:cstheme="minorHAnsi"/>
                <w:color w:val="000000"/>
                <w:sz w:val="18"/>
                <w:szCs w:val="18"/>
              </w:rPr>
            </w:pPr>
            <w:r>
              <w:rPr>
                <w:rFonts w:asciiTheme="minorHAnsi" w:hAnsiTheme="minorHAnsi" w:cstheme="minorHAnsi"/>
                <w:color w:val="000000"/>
                <w:sz w:val="18"/>
                <w:szCs w:val="18"/>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4572C9C" w14:textId="3B9BFD94" w:rsidR="00ED3318" w:rsidRPr="00ED3318" w:rsidRDefault="00ED3318" w:rsidP="00EC08C1">
            <w:pPr>
              <w:keepLines/>
              <w:contextualSpacing/>
              <w:rPr>
                <w:rFonts w:asciiTheme="minorHAnsi" w:hAnsiTheme="minorHAnsi" w:cstheme="minorHAnsi"/>
                <w:color w:val="000000"/>
                <w:sz w:val="18"/>
                <w:szCs w:val="18"/>
              </w:rPr>
            </w:pPr>
            <w:r w:rsidRPr="00ED3318">
              <w:rPr>
                <w:rFonts w:asciiTheme="minorHAnsi" w:hAnsiTheme="minorHAnsi" w:cstheme="minorHAnsi"/>
                <w:color w:val="000000"/>
                <w:sz w:val="18"/>
                <w:szCs w:val="18"/>
              </w:rPr>
              <w:t xml:space="preserve">The PBAC noted that APO-Zoledronic Acid has been approved for use for the adjuvant management of breast cancer in post-menopausal women by the Therapeutic Goods Administration (TGA) and recalled its previous recommendation in July 2023 to amend the PBS-listing of APO-Zoledronic acid to include this indication. The PBAC noted that following this recommendation, the sponsor of APO-Zoledronic Acid has advised that it will be unable to supply the product to market. </w:t>
            </w:r>
          </w:p>
          <w:p w14:paraId="6F5713BE" w14:textId="77777777" w:rsidR="00ED3318" w:rsidRPr="00ED3318" w:rsidRDefault="00ED3318" w:rsidP="00EC08C1">
            <w:pPr>
              <w:keepLines/>
              <w:contextualSpacing/>
              <w:rPr>
                <w:rFonts w:asciiTheme="minorHAnsi" w:hAnsiTheme="minorHAnsi" w:cstheme="minorHAnsi"/>
                <w:color w:val="000000"/>
                <w:sz w:val="18"/>
                <w:szCs w:val="18"/>
              </w:rPr>
            </w:pPr>
          </w:p>
          <w:p w14:paraId="7A9D4D44" w14:textId="77777777" w:rsidR="00ED3318" w:rsidRPr="00ED3318" w:rsidRDefault="00ED3318" w:rsidP="00EC08C1">
            <w:pPr>
              <w:keepLines/>
              <w:contextualSpacing/>
              <w:rPr>
                <w:rFonts w:asciiTheme="minorHAnsi" w:hAnsiTheme="minorHAnsi" w:cstheme="minorHAnsi"/>
                <w:color w:val="000000"/>
                <w:sz w:val="18"/>
                <w:szCs w:val="18"/>
              </w:rPr>
            </w:pPr>
            <w:r w:rsidRPr="00ED3318">
              <w:rPr>
                <w:rFonts w:asciiTheme="minorHAnsi" w:hAnsiTheme="minorHAnsi" w:cstheme="minorHAnsi"/>
                <w:color w:val="000000"/>
                <w:sz w:val="18"/>
                <w:szCs w:val="18"/>
              </w:rPr>
              <w:t>The PBAC noted that no other brands of zoledronic acid 4 mg in 5 mL are currently TGA-approved for this indication.</w:t>
            </w:r>
          </w:p>
          <w:p w14:paraId="7FAA239C" w14:textId="77777777" w:rsidR="00ED3318" w:rsidRPr="00ED3318" w:rsidRDefault="00ED3318" w:rsidP="00EC08C1">
            <w:pPr>
              <w:keepLines/>
              <w:contextualSpacing/>
              <w:rPr>
                <w:rFonts w:asciiTheme="minorHAnsi" w:hAnsiTheme="minorHAnsi" w:cstheme="minorHAnsi"/>
                <w:color w:val="000000"/>
                <w:sz w:val="18"/>
                <w:szCs w:val="18"/>
              </w:rPr>
            </w:pPr>
          </w:p>
          <w:p w14:paraId="2BE410AC" w14:textId="5F60B311" w:rsidR="001543D1" w:rsidRPr="001C1BA7" w:rsidRDefault="00ED3318" w:rsidP="00EC08C1">
            <w:pPr>
              <w:keepLines/>
              <w:contextualSpacing/>
              <w:rPr>
                <w:rFonts w:asciiTheme="minorHAnsi" w:hAnsiTheme="minorHAnsi" w:cstheme="minorHAnsi"/>
                <w:color w:val="000000"/>
                <w:sz w:val="18"/>
                <w:szCs w:val="18"/>
              </w:rPr>
            </w:pPr>
            <w:r w:rsidRPr="00ED3318">
              <w:rPr>
                <w:rFonts w:asciiTheme="minorHAnsi" w:hAnsiTheme="minorHAnsi" w:cstheme="minorHAnsi"/>
                <w:color w:val="000000"/>
                <w:sz w:val="18"/>
                <w:szCs w:val="18"/>
              </w:rPr>
              <w:t>The PBAC advised that, consistent with its July 2023 recommendation, it considered that any brand of zoledronic acid 4 mg in 5 mL would be effective and cost-effective in the adjuvant management of breast cancer in post-menopausal women at the existing PBS price, provided that brand had been registered by the TGA for use in this indication.</w:t>
            </w:r>
          </w:p>
        </w:tc>
      </w:tr>
    </w:tbl>
    <w:p w14:paraId="727D3224" w14:textId="77777777" w:rsidR="00D6605A" w:rsidRDefault="00D6605A">
      <w:pPr>
        <w:rPr>
          <w:rFonts w:ascii="Arial" w:hAnsi="Arial" w:cs="Arial"/>
          <w:b/>
          <w:sz w:val="18"/>
          <w:szCs w:val="18"/>
          <w:lang w:val="en-US"/>
        </w:rPr>
      </w:pPr>
      <w:r>
        <w:rPr>
          <w:rFonts w:ascii="Arial" w:hAnsi="Arial" w:cs="Arial"/>
          <w:b/>
          <w:sz w:val="18"/>
          <w:szCs w:val="18"/>
          <w:lang w:val="en-US"/>
        </w:rPr>
        <w:br w:type="page"/>
      </w:r>
    </w:p>
    <w:p w14:paraId="6CE3C41E" w14:textId="68CF4454"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4A3371">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F1210C">
            <w:pPr>
              <w:pStyle w:val="ListParagraph"/>
              <w:numPr>
                <w:ilvl w:val="0"/>
                <w:numId w:val="46"/>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4A3371">
            <w:pPr>
              <w:pStyle w:val="ListParagraph"/>
              <w:numPr>
                <w:ilvl w:val="0"/>
                <w:numId w:val="47"/>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4A3371">
            <w:pPr>
              <w:pStyle w:val="ListParagraph"/>
              <w:numPr>
                <w:ilvl w:val="0"/>
                <w:numId w:val="47"/>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2790ECD7" w:rsidR="00762FCA" w:rsidRDefault="00170912" w:rsidP="00571206">
    <w:pPr>
      <w:pStyle w:val="Header"/>
      <w:jc w:val="center"/>
      <w:rPr>
        <w:rFonts w:ascii="Arial" w:hAnsi="Arial" w:cs="Arial"/>
        <w:b/>
      </w:rPr>
    </w:pPr>
    <w:r>
      <w:rPr>
        <w:rFonts w:ascii="Arial" w:hAnsi="Arial" w:cs="Arial"/>
        <w:b/>
      </w:rPr>
      <w:t>SEPTEMBER</w:t>
    </w:r>
    <w:r w:rsidR="002C51AF">
      <w:rPr>
        <w:rFonts w:ascii="Arial" w:hAnsi="Arial" w:cs="Arial"/>
        <w:b/>
      </w:rPr>
      <w:t xml:space="preserve"> </w:t>
    </w:r>
    <w:r w:rsidR="00762FCA">
      <w:rPr>
        <w:rFonts w:ascii="Arial" w:hAnsi="Arial" w:cs="Arial"/>
        <w:b/>
      </w:rPr>
      <w:t>202</w:t>
    </w:r>
    <w:r w:rsidR="00476EBB">
      <w:rPr>
        <w:rFonts w:ascii="Arial" w:hAnsi="Arial" w:cs="Arial"/>
        <w:b/>
      </w:rPr>
      <w:t>3</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410BE4"/>
    <w:multiLevelType w:val="hybridMultilevel"/>
    <w:tmpl w:val="F6D83D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302707E"/>
    <w:multiLevelType w:val="hybridMultilevel"/>
    <w:tmpl w:val="73BEBA6E"/>
    <w:lvl w:ilvl="0" w:tplc="602272C6">
      <w:start w:val="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4"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6"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8" w15:restartNumberingAfterBreak="0">
    <w:nsid w:val="535B1360"/>
    <w:multiLevelType w:val="hybridMultilevel"/>
    <w:tmpl w:val="718C8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94066C"/>
    <w:multiLevelType w:val="hybridMultilevel"/>
    <w:tmpl w:val="9A80C8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5D3B7667"/>
    <w:multiLevelType w:val="hybridMultilevel"/>
    <w:tmpl w:val="8326B8B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A428E5"/>
    <w:multiLevelType w:val="hybridMultilevel"/>
    <w:tmpl w:val="1F8CA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40"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3"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9837B0"/>
    <w:multiLevelType w:val="hybridMultilevel"/>
    <w:tmpl w:val="0E7AB222"/>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743CE0"/>
    <w:multiLevelType w:val="hybridMultilevel"/>
    <w:tmpl w:val="C9D0D22E"/>
    <w:lvl w:ilvl="0" w:tplc="69C2B46A">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4358279">
    <w:abstractNumId w:val="10"/>
  </w:num>
  <w:num w:numId="2" w16cid:durableId="1331519547">
    <w:abstractNumId w:val="36"/>
  </w:num>
  <w:num w:numId="3" w16cid:durableId="4329944">
    <w:abstractNumId w:val="35"/>
  </w:num>
  <w:num w:numId="4" w16cid:durableId="2026663762">
    <w:abstractNumId w:val="26"/>
  </w:num>
  <w:num w:numId="5" w16cid:durableId="146291553">
    <w:abstractNumId w:val="13"/>
  </w:num>
  <w:num w:numId="6" w16cid:durableId="491025950">
    <w:abstractNumId w:val="6"/>
  </w:num>
  <w:num w:numId="7" w16cid:durableId="760836640">
    <w:abstractNumId w:val="37"/>
  </w:num>
  <w:num w:numId="8" w16cid:durableId="6351886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865386">
    <w:abstractNumId w:val="0"/>
  </w:num>
  <w:num w:numId="10" w16cid:durableId="1881549907">
    <w:abstractNumId w:val="41"/>
  </w:num>
  <w:num w:numId="11" w16cid:durableId="1993026711">
    <w:abstractNumId w:val="30"/>
  </w:num>
  <w:num w:numId="12" w16cid:durableId="918246550">
    <w:abstractNumId w:val="32"/>
  </w:num>
  <w:num w:numId="13" w16cid:durableId="1946034669">
    <w:abstractNumId w:val="8"/>
  </w:num>
  <w:num w:numId="14" w16cid:durableId="1476754389">
    <w:abstractNumId w:val="31"/>
  </w:num>
  <w:num w:numId="15" w16cid:durableId="551116411">
    <w:abstractNumId w:val="34"/>
  </w:num>
  <w:num w:numId="16" w16cid:durableId="188372898">
    <w:abstractNumId w:val="27"/>
  </w:num>
  <w:num w:numId="17" w16cid:durableId="787044161">
    <w:abstractNumId w:val="47"/>
  </w:num>
  <w:num w:numId="18" w16cid:durableId="873689920">
    <w:abstractNumId w:val="49"/>
  </w:num>
  <w:num w:numId="19" w16cid:durableId="681511064">
    <w:abstractNumId w:val="5"/>
  </w:num>
  <w:num w:numId="20" w16cid:durableId="1422068876">
    <w:abstractNumId w:val="14"/>
  </w:num>
  <w:num w:numId="21" w16cid:durableId="1872719343">
    <w:abstractNumId w:val="16"/>
  </w:num>
  <w:num w:numId="22" w16cid:durableId="1606838672">
    <w:abstractNumId w:val="43"/>
  </w:num>
  <w:num w:numId="23" w16cid:durableId="1853570917">
    <w:abstractNumId w:val="4"/>
  </w:num>
  <w:num w:numId="24" w16cid:durableId="1180196561">
    <w:abstractNumId w:val="19"/>
  </w:num>
  <w:num w:numId="25" w16cid:durableId="1641572613">
    <w:abstractNumId w:val="11"/>
  </w:num>
  <w:num w:numId="26" w16cid:durableId="653610485">
    <w:abstractNumId w:val="9"/>
  </w:num>
  <w:num w:numId="27" w16cid:durableId="1385790452">
    <w:abstractNumId w:val="21"/>
  </w:num>
  <w:num w:numId="28" w16cid:durableId="945818405">
    <w:abstractNumId w:val="24"/>
  </w:num>
  <w:num w:numId="29" w16cid:durableId="16741305">
    <w:abstractNumId w:val="20"/>
  </w:num>
  <w:num w:numId="30" w16cid:durableId="594245353">
    <w:abstractNumId w:val="48"/>
  </w:num>
  <w:num w:numId="31" w16cid:durableId="1981181785">
    <w:abstractNumId w:val="17"/>
  </w:num>
  <w:num w:numId="32" w16cid:durableId="1262910000">
    <w:abstractNumId w:val="39"/>
  </w:num>
  <w:num w:numId="33" w16cid:durableId="1095007334">
    <w:abstractNumId w:val="46"/>
  </w:num>
  <w:num w:numId="34" w16cid:durableId="512495308">
    <w:abstractNumId w:val="42"/>
  </w:num>
  <w:num w:numId="35" w16cid:durableId="2080518588">
    <w:abstractNumId w:val="3"/>
  </w:num>
  <w:num w:numId="36" w16cid:durableId="605042459">
    <w:abstractNumId w:val="40"/>
  </w:num>
  <w:num w:numId="37" w16cid:durableId="343672746">
    <w:abstractNumId w:val="2"/>
  </w:num>
  <w:num w:numId="38" w16cid:durableId="621376381">
    <w:abstractNumId w:val="18"/>
  </w:num>
  <w:num w:numId="39" w16cid:durableId="1463159476">
    <w:abstractNumId w:val="1"/>
  </w:num>
  <w:num w:numId="40" w16cid:durableId="27991046">
    <w:abstractNumId w:val="28"/>
  </w:num>
  <w:num w:numId="41" w16cid:durableId="1964187742">
    <w:abstractNumId w:val="7"/>
  </w:num>
  <w:num w:numId="42" w16cid:durableId="1675838510">
    <w:abstractNumId w:val="33"/>
  </w:num>
  <w:num w:numId="43" w16cid:durableId="1266575509">
    <w:abstractNumId w:val="29"/>
  </w:num>
  <w:num w:numId="44" w16cid:durableId="1986162680">
    <w:abstractNumId w:val="38"/>
  </w:num>
  <w:num w:numId="45" w16cid:durableId="1586671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168574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68721320">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9200421">
    <w:abstractNumId w:val="45"/>
  </w:num>
  <w:num w:numId="49" w16cid:durableId="552959550">
    <w:abstractNumId w:val="44"/>
  </w:num>
  <w:num w:numId="50" w16cid:durableId="14732575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57E40"/>
    <w:rsid w:val="000601EA"/>
    <w:rsid w:val="000603CB"/>
    <w:rsid w:val="0006084C"/>
    <w:rsid w:val="000608FE"/>
    <w:rsid w:val="000615B0"/>
    <w:rsid w:val="00061E01"/>
    <w:rsid w:val="000621DF"/>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6709"/>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3C60"/>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DAD"/>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665"/>
    <w:rsid w:val="001024B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807"/>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3D1"/>
    <w:rsid w:val="001546E8"/>
    <w:rsid w:val="00154828"/>
    <w:rsid w:val="00154C05"/>
    <w:rsid w:val="00155698"/>
    <w:rsid w:val="00155BC9"/>
    <w:rsid w:val="00155C11"/>
    <w:rsid w:val="00157D22"/>
    <w:rsid w:val="00157F62"/>
    <w:rsid w:val="001600EB"/>
    <w:rsid w:val="0016039F"/>
    <w:rsid w:val="00160423"/>
    <w:rsid w:val="00161C25"/>
    <w:rsid w:val="00161CD7"/>
    <w:rsid w:val="00162FD6"/>
    <w:rsid w:val="0016312E"/>
    <w:rsid w:val="00163182"/>
    <w:rsid w:val="0016341E"/>
    <w:rsid w:val="00164E2E"/>
    <w:rsid w:val="001654A9"/>
    <w:rsid w:val="00165A05"/>
    <w:rsid w:val="00165E5D"/>
    <w:rsid w:val="00166297"/>
    <w:rsid w:val="001663D5"/>
    <w:rsid w:val="0016683E"/>
    <w:rsid w:val="00167277"/>
    <w:rsid w:val="001703EE"/>
    <w:rsid w:val="00170573"/>
    <w:rsid w:val="001707C4"/>
    <w:rsid w:val="00170912"/>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6DEF"/>
    <w:rsid w:val="001A776D"/>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098D"/>
    <w:rsid w:val="001C181C"/>
    <w:rsid w:val="001C1BA7"/>
    <w:rsid w:val="001C27AF"/>
    <w:rsid w:val="001C3033"/>
    <w:rsid w:val="001C30BA"/>
    <w:rsid w:val="001C3403"/>
    <w:rsid w:val="001C3AAA"/>
    <w:rsid w:val="001C43B3"/>
    <w:rsid w:val="001C4834"/>
    <w:rsid w:val="001C4C95"/>
    <w:rsid w:val="001C5BA6"/>
    <w:rsid w:val="001D0229"/>
    <w:rsid w:val="001D028A"/>
    <w:rsid w:val="001D0339"/>
    <w:rsid w:val="001D0868"/>
    <w:rsid w:val="001D1636"/>
    <w:rsid w:val="001D181F"/>
    <w:rsid w:val="001D18E4"/>
    <w:rsid w:val="001D1F9C"/>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4693"/>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343"/>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225"/>
    <w:rsid w:val="002226A9"/>
    <w:rsid w:val="0022277E"/>
    <w:rsid w:val="00223034"/>
    <w:rsid w:val="00223614"/>
    <w:rsid w:val="002238E6"/>
    <w:rsid w:val="002240AF"/>
    <w:rsid w:val="00225CB8"/>
    <w:rsid w:val="00226E88"/>
    <w:rsid w:val="00226F8B"/>
    <w:rsid w:val="0022715D"/>
    <w:rsid w:val="00230AF7"/>
    <w:rsid w:val="00230B76"/>
    <w:rsid w:val="00231068"/>
    <w:rsid w:val="0023119F"/>
    <w:rsid w:val="00231F8F"/>
    <w:rsid w:val="00234DBA"/>
    <w:rsid w:val="00234FCD"/>
    <w:rsid w:val="00234FD9"/>
    <w:rsid w:val="00235C68"/>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67BE4"/>
    <w:rsid w:val="00267F1F"/>
    <w:rsid w:val="002719DE"/>
    <w:rsid w:val="0027218C"/>
    <w:rsid w:val="002723FD"/>
    <w:rsid w:val="00272E01"/>
    <w:rsid w:val="00273015"/>
    <w:rsid w:val="0027463A"/>
    <w:rsid w:val="0027487A"/>
    <w:rsid w:val="00274D0D"/>
    <w:rsid w:val="00274D8B"/>
    <w:rsid w:val="00275318"/>
    <w:rsid w:val="00276113"/>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5A53"/>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9C6"/>
    <w:rsid w:val="002B0F52"/>
    <w:rsid w:val="002B1071"/>
    <w:rsid w:val="002B129B"/>
    <w:rsid w:val="002B29E2"/>
    <w:rsid w:val="002B342C"/>
    <w:rsid w:val="002B3708"/>
    <w:rsid w:val="002B4D46"/>
    <w:rsid w:val="002B4F19"/>
    <w:rsid w:val="002B5625"/>
    <w:rsid w:val="002B5F9C"/>
    <w:rsid w:val="002B6147"/>
    <w:rsid w:val="002B7078"/>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11E"/>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5D12"/>
    <w:rsid w:val="00326522"/>
    <w:rsid w:val="003270BF"/>
    <w:rsid w:val="0032768B"/>
    <w:rsid w:val="00327A0C"/>
    <w:rsid w:val="00327E3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E97"/>
    <w:rsid w:val="003901EF"/>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5FA9"/>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BE9"/>
    <w:rsid w:val="00413E03"/>
    <w:rsid w:val="00414E73"/>
    <w:rsid w:val="00414FB3"/>
    <w:rsid w:val="00415189"/>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136"/>
    <w:rsid w:val="004273BF"/>
    <w:rsid w:val="004311FF"/>
    <w:rsid w:val="004314B6"/>
    <w:rsid w:val="00432447"/>
    <w:rsid w:val="00432D97"/>
    <w:rsid w:val="00432F21"/>
    <w:rsid w:val="00433964"/>
    <w:rsid w:val="004349D9"/>
    <w:rsid w:val="0043544F"/>
    <w:rsid w:val="004362C0"/>
    <w:rsid w:val="00436425"/>
    <w:rsid w:val="004364E6"/>
    <w:rsid w:val="00436B27"/>
    <w:rsid w:val="0043712E"/>
    <w:rsid w:val="00437EFF"/>
    <w:rsid w:val="004400BC"/>
    <w:rsid w:val="004412E8"/>
    <w:rsid w:val="00441947"/>
    <w:rsid w:val="00443331"/>
    <w:rsid w:val="00443561"/>
    <w:rsid w:val="00443591"/>
    <w:rsid w:val="00443A4B"/>
    <w:rsid w:val="00444C04"/>
    <w:rsid w:val="0044501E"/>
    <w:rsid w:val="00445B35"/>
    <w:rsid w:val="00445DFA"/>
    <w:rsid w:val="004462BD"/>
    <w:rsid w:val="004462FA"/>
    <w:rsid w:val="0044692E"/>
    <w:rsid w:val="0044732A"/>
    <w:rsid w:val="00447987"/>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577"/>
    <w:rsid w:val="0049362A"/>
    <w:rsid w:val="004942A0"/>
    <w:rsid w:val="00494307"/>
    <w:rsid w:val="00494B3B"/>
    <w:rsid w:val="00495665"/>
    <w:rsid w:val="004963FE"/>
    <w:rsid w:val="004A020A"/>
    <w:rsid w:val="004A036F"/>
    <w:rsid w:val="004A04FE"/>
    <w:rsid w:val="004A0859"/>
    <w:rsid w:val="004A0C71"/>
    <w:rsid w:val="004A0CF6"/>
    <w:rsid w:val="004A1389"/>
    <w:rsid w:val="004A18E6"/>
    <w:rsid w:val="004A18FA"/>
    <w:rsid w:val="004A1B4E"/>
    <w:rsid w:val="004A20DA"/>
    <w:rsid w:val="004A2509"/>
    <w:rsid w:val="004A294E"/>
    <w:rsid w:val="004A3371"/>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ABE"/>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45B1"/>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C4"/>
    <w:rsid w:val="004F5D65"/>
    <w:rsid w:val="004F6C3C"/>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0C5"/>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07C"/>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7F7"/>
    <w:rsid w:val="005C59FD"/>
    <w:rsid w:val="005C76FD"/>
    <w:rsid w:val="005C7A6D"/>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3C"/>
    <w:rsid w:val="00603A6B"/>
    <w:rsid w:val="006040F2"/>
    <w:rsid w:val="0060449A"/>
    <w:rsid w:val="00604805"/>
    <w:rsid w:val="0060529E"/>
    <w:rsid w:val="00605384"/>
    <w:rsid w:val="00605D25"/>
    <w:rsid w:val="0060615A"/>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3A77"/>
    <w:rsid w:val="006348ED"/>
    <w:rsid w:val="00635314"/>
    <w:rsid w:val="006355E6"/>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89F"/>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215"/>
    <w:rsid w:val="006B3348"/>
    <w:rsid w:val="006B3448"/>
    <w:rsid w:val="006B386D"/>
    <w:rsid w:val="006B4F5C"/>
    <w:rsid w:val="006B5062"/>
    <w:rsid w:val="006B50A3"/>
    <w:rsid w:val="006B5725"/>
    <w:rsid w:val="006B6BDE"/>
    <w:rsid w:val="006B6CBE"/>
    <w:rsid w:val="006B71E4"/>
    <w:rsid w:val="006B721D"/>
    <w:rsid w:val="006B73D1"/>
    <w:rsid w:val="006C00B5"/>
    <w:rsid w:val="006C1170"/>
    <w:rsid w:val="006C2506"/>
    <w:rsid w:val="006C2952"/>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2C57"/>
    <w:rsid w:val="0071320C"/>
    <w:rsid w:val="0071356F"/>
    <w:rsid w:val="00714166"/>
    <w:rsid w:val="007153F0"/>
    <w:rsid w:val="007154CF"/>
    <w:rsid w:val="007159A1"/>
    <w:rsid w:val="00716812"/>
    <w:rsid w:val="007171DB"/>
    <w:rsid w:val="007174FD"/>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2D75"/>
    <w:rsid w:val="00743A58"/>
    <w:rsid w:val="00743D1C"/>
    <w:rsid w:val="00743D29"/>
    <w:rsid w:val="00743E90"/>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C685F"/>
    <w:rsid w:val="007D069C"/>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7B3"/>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C42"/>
    <w:rsid w:val="00860F08"/>
    <w:rsid w:val="008612F5"/>
    <w:rsid w:val="00861F9D"/>
    <w:rsid w:val="00862CED"/>
    <w:rsid w:val="0086307F"/>
    <w:rsid w:val="00863714"/>
    <w:rsid w:val="008639AD"/>
    <w:rsid w:val="00863C1F"/>
    <w:rsid w:val="00866BCC"/>
    <w:rsid w:val="00870856"/>
    <w:rsid w:val="0087157B"/>
    <w:rsid w:val="00872B3A"/>
    <w:rsid w:val="00873845"/>
    <w:rsid w:val="00876522"/>
    <w:rsid w:val="00876AE3"/>
    <w:rsid w:val="00876B27"/>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40D8"/>
    <w:rsid w:val="008A51D0"/>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33D"/>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A3"/>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97735"/>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B6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02F"/>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6F0B"/>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240B"/>
    <w:rsid w:val="00A93154"/>
    <w:rsid w:val="00A93214"/>
    <w:rsid w:val="00A93C27"/>
    <w:rsid w:val="00A93C2B"/>
    <w:rsid w:val="00A94D8C"/>
    <w:rsid w:val="00A95D27"/>
    <w:rsid w:val="00A95F8B"/>
    <w:rsid w:val="00A96FC0"/>
    <w:rsid w:val="00A97BFA"/>
    <w:rsid w:val="00AA007C"/>
    <w:rsid w:val="00AA0B30"/>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629"/>
    <w:rsid w:val="00B21D6E"/>
    <w:rsid w:val="00B22C39"/>
    <w:rsid w:val="00B22DE0"/>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2C60"/>
    <w:rsid w:val="00B63426"/>
    <w:rsid w:val="00B63656"/>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CCA"/>
    <w:rsid w:val="00B765CE"/>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5554"/>
    <w:rsid w:val="00B86B7E"/>
    <w:rsid w:val="00B87DD5"/>
    <w:rsid w:val="00B90F96"/>
    <w:rsid w:val="00B91AC2"/>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3A31"/>
    <w:rsid w:val="00BC406F"/>
    <w:rsid w:val="00BC4C88"/>
    <w:rsid w:val="00BC59CA"/>
    <w:rsid w:val="00BC6687"/>
    <w:rsid w:val="00BC6970"/>
    <w:rsid w:val="00BC6AF1"/>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BDA"/>
    <w:rsid w:val="00C01CEB"/>
    <w:rsid w:val="00C01F6E"/>
    <w:rsid w:val="00C02C21"/>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04A"/>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C6A"/>
    <w:rsid w:val="00CC7881"/>
    <w:rsid w:val="00CC7971"/>
    <w:rsid w:val="00CD0422"/>
    <w:rsid w:val="00CD083E"/>
    <w:rsid w:val="00CD0982"/>
    <w:rsid w:val="00CD124B"/>
    <w:rsid w:val="00CD14D2"/>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D73E8"/>
    <w:rsid w:val="00CE06B1"/>
    <w:rsid w:val="00CE0944"/>
    <w:rsid w:val="00CE0A76"/>
    <w:rsid w:val="00CE143E"/>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6742"/>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9A1"/>
    <w:rsid w:val="00D64BEA"/>
    <w:rsid w:val="00D65C02"/>
    <w:rsid w:val="00D65CC7"/>
    <w:rsid w:val="00D6605A"/>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68C3"/>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CD6"/>
    <w:rsid w:val="00DA6868"/>
    <w:rsid w:val="00DA7044"/>
    <w:rsid w:val="00DB0312"/>
    <w:rsid w:val="00DB0B57"/>
    <w:rsid w:val="00DB115A"/>
    <w:rsid w:val="00DB1C47"/>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0E48"/>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4CC2"/>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3F7"/>
    <w:rsid w:val="00E9041B"/>
    <w:rsid w:val="00E91398"/>
    <w:rsid w:val="00E9159F"/>
    <w:rsid w:val="00E91BF4"/>
    <w:rsid w:val="00E91E02"/>
    <w:rsid w:val="00E92127"/>
    <w:rsid w:val="00E92398"/>
    <w:rsid w:val="00E92CBF"/>
    <w:rsid w:val="00E92E0A"/>
    <w:rsid w:val="00E9381C"/>
    <w:rsid w:val="00E93CFD"/>
    <w:rsid w:val="00E94584"/>
    <w:rsid w:val="00E95C26"/>
    <w:rsid w:val="00E95CEA"/>
    <w:rsid w:val="00E967F1"/>
    <w:rsid w:val="00E971AA"/>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CD"/>
    <w:rsid w:val="00EB20F4"/>
    <w:rsid w:val="00EB2490"/>
    <w:rsid w:val="00EB3C4F"/>
    <w:rsid w:val="00EB3F05"/>
    <w:rsid w:val="00EB56C4"/>
    <w:rsid w:val="00EB5955"/>
    <w:rsid w:val="00EB6662"/>
    <w:rsid w:val="00EB6E71"/>
    <w:rsid w:val="00EC05E1"/>
    <w:rsid w:val="00EC07BA"/>
    <w:rsid w:val="00EC08C1"/>
    <w:rsid w:val="00EC08E4"/>
    <w:rsid w:val="00EC23D8"/>
    <w:rsid w:val="00EC25BB"/>
    <w:rsid w:val="00EC27E1"/>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318"/>
    <w:rsid w:val="00ED3503"/>
    <w:rsid w:val="00ED4DFC"/>
    <w:rsid w:val="00ED4E42"/>
    <w:rsid w:val="00ED5E54"/>
    <w:rsid w:val="00ED6AE3"/>
    <w:rsid w:val="00ED7786"/>
    <w:rsid w:val="00ED7EA9"/>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A78"/>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2A9"/>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1A75"/>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7FC"/>
    <w:rsid w:val="00FB1180"/>
    <w:rsid w:val="00FB15B5"/>
    <w:rsid w:val="00FB174F"/>
    <w:rsid w:val="00FB1FEB"/>
    <w:rsid w:val="00FB22AB"/>
    <w:rsid w:val="00FB29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3F18"/>
    <w:rsid w:val="00FF4169"/>
    <w:rsid w:val="00FF4B56"/>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7328">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479129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5528968">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48992675">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8740886">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59185696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5085776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28006003">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3401411">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73378191">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1805</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2023-10-11T22:21:00Z</dcterms:created>
  <dcterms:modified xsi:type="dcterms:W3CDTF">2023-10-12T04:28:00Z</dcterms:modified>
</cp:coreProperties>
</file>