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51C4" w14:textId="0E0FF772" w:rsidR="007567D2" w:rsidRPr="00E33C76" w:rsidRDefault="007567D2" w:rsidP="00E33C76">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3"/>
        <w:gridCol w:w="2764"/>
        <w:gridCol w:w="3098"/>
        <w:gridCol w:w="1920"/>
        <w:gridCol w:w="4593"/>
      </w:tblGrid>
      <w:tr w:rsidR="00F374F7" w:rsidRPr="00544497" w14:paraId="2F780D8A" w14:textId="77777777" w:rsidTr="00344CBB">
        <w:trPr>
          <w:cantSplit/>
          <w:tblHeader/>
          <w:jc w:val="center"/>
        </w:trPr>
        <w:tc>
          <w:tcPr>
            <w:tcW w:w="3013" w:type="dxa"/>
            <w:shd w:val="clear" w:color="auto" w:fill="auto"/>
            <w:tcMar>
              <w:top w:w="28" w:type="dxa"/>
              <w:bottom w:w="28" w:type="dxa"/>
            </w:tcMar>
            <w:vAlign w:val="center"/>
          </w:tcPr>
          <w:p w14:paraId="58BB41E5" w14:textId="46F847AB" w:rsidR="00F374F7" w:rsidRPr="00D60E67" w:rsidRDefault="00F374F7" w:rsidP="008608B0">
            <w:pPr>
              <w:keepLines/>
              <w:widowControl w:val="0"/>
              <w:ind w:right="-106"/>
              <w:jc w:val="center"/>
              <w:rPr>
                <w:rFonts w:asciiTheme="minorHAnsi" w:hAnsiTheme="minorHAnsi" w:cstheme="minorHAnsi"/>
                <w:b/>
                <w:sz w:val="18"/>
                <w:szCs w:val="18"/>
              </w:rPr>
            </w:pPr>
            <w:bookmarkStart w:id="0" w:name="_Hlk143070631"/>
            <w:r w:rsidRPr="00D60E67">
              <w:rPr>
                <w:rFonts w:asciiTheme="minorHAnsi" w:hAnsiTheme="minorHAnsi" w:cstheme="minorHAnsi"/>
                <w:b/>
                <w:sz w:val="18"/>
                <w:szCs w:val="18"/>
              </w:rPr>
              <w:t>DRUG NAME, FORM(S), STRENGTH(S), SPONSOR, TYPE OF SUBMISSION</w:t>
            </w:r>
          </w:p>
        </w:tc>
        <w:tc>
          <w:tcPr>
            <w:tcW w:w="2764" w:type="dxa"/>
            <w:shd w:val="clear" w:color="auto" w:fill="auto"/>
            <w:tcMar>
              <w:top w:w="28" w:type="dxa"/>
              <w:bottom w:w="28" w:type="dxa"/>
            </w:tcMar>
            <w:vAlign w:val="center"/>
          </w:tcPr>
          <w:p w14:paraId="22DBCABB" w14:textId="77777777" w:rsidR="00F374F7" w:rsidRPr="00D60E67" w:rsidRDefault="00F374F7" w:rsidP="008608B0">
            <w:pPr>
              <w:keepLines/>
              <w:widowControl w:val="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DRUG TYPE AND USE</w:t>
            </w:r>
          </w:p>
          <w:p w14:paraId="64FD3362" w14:textId="77777777" w:rsidR="00F374F7" w:rsidRPr="00D60E67" w:rsidRDefault="00F374F7" w:rsidP="008608B0">
            <w:pPr>
              <w:keepLines/>
              <w:widowControl w:val="0"/>
              <w:jc w:val="center"/>
              <w:rPr>
                <w:rFonts w:asciiTheme="minorHAnsi" w:hAnsiTheme="minorHAnsi" w:cstheme="minorHAnsi"/>
                <w:b/>
                <w:snapToGrid w:val="0"/>
                <w:sz w:val="18"/>
                <w:szCs w:val="18"/>
                <w:lang w:eastAsia="en-US"/>
              </w:rPr>
            </w:pPr>
          </w:p>
        </w:tc>
        <w:tc>
          <w:tcPr>
            <w:tcW w:w="3098" w:type="dxa"/>
            <w:shd w:val="clear" w:color="auto" w:fill="auto"/>
            <w:tcMar>
              <w:top w:w="28" w:type="dxa"/>
              <w:bottom w:w="28" w:type="dxa"/>
            </w:tcMar>
            <w:vAlign w:val="center"/>
          </w:tcPr>
          <w:p w14:paraId="60A9336E" w14:textId="77777777" w:rsidR="00F374F7" w:rsidRPr="00D60E67" w:rsidRDefault="00F374F7" w:rsidP="008608B0">
            <w:pPr>
              <w:keepLines/>
              <w:widowControl w:val="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LISTING REQUESTED BY SPONSOR / PURPOSE OF SUBMISSION</w:t>
            </w:r>
          </w:p>
        </w:tc>
        <w:tc>
          <w:tcPr>
            <w:tcW w:w="6513" w:type="dxa"/>
            <w:gridSpan w:val="2"/>
            <w:shd w:val="clear" w:color="auto" w:fill="auto"/>
            <w:vAlign w:val="center"/>
          </w:tcPr>
          <w:p w14:paraId="5BEF59E0" w14:textId="77777777" w:rsidR="00F374F7" w:rsidRPr="00D60E67" w:rsidRDefault="00F374F7" w:rsidP="62154131">
            <w:pPr>
              <w:pStyle w:val="Header"/>
              <w:keepLines/>
              <w:jc w:val="center"/>
              <w:rPr>
                <w:rFonts w:asciiTheme="minorHAnsi" w:hAnsiTheme="minorHAnsi" w:cstheme="minorBidi"/>
                <w:b/>
                <w:bCs/>
                <w:snapToGrid w:val="0"/>
                <w:sz w:val="18"/>
                <w:szCs w:val="18"/>
                <w:lang w:eastAsia="en-US"/>
              </w:rPr>
            </w:pPr>
            <w:r w:rsidRPr="62154131">
              <w:rPr>
                <w:rFonts w:asciiTheme="minorHAnsi" w:hAnsiTheme="minorHAnsi" w:cstheme="minorBidi"/>
                <w:b/>
                <w:bCs/>
                <w:snapToGrid w:val="0"/>
                <w:sz w:val="18"/>
                <w:szCs w:val="18"/>
                <w:lang w:eastAsia="en-US"/>
              </w:rPr>
              <w:t>PBAC OUTCOME</w:t>
            </w:r>
          </w:p>
          <w:p w14:paraId="5626F454" w14:textId="542D2F29" w:rsidR="00F374F7" w:rsidRPr="00D60E67" w:rsidRDefault="00F374F7" w:rsidP="008608B0">
            <w:pPr>
              <w:pStyle w:val="Header"/>
              <w:keepLines/>
              <w:jc w:val="center"/>
              <w:rPr>
                <w:rFonts w:asciiTheme="minorHAnsi" w:hAnsiTheme="minorHAnsi" w:cstheme="minorHAnsi"/>
                <w:b/>
                <w:snapToGrid w:val="0"/>
                <w:sz w:val="18"/>
                <w:szCs w:val="18"/>
                <w:lang w:eastAsia="en-US"/>
              </w:rPr>
            </w:pPr>
          </w:p>
        </w:tc>
      </w:tr>
      <w:bookmarkEnd w:id="0"/>
      <w:tr w:rsidR="00897FAC" w:rsidRPr="00015520" w14:paraId="1293704A" w14:textId="77777777" w:rsidTr="00344CBB">
        <w:trPr>
          <w:cantSplit/>
          <w:trHeight w:val="2948"/>
          <w:jc w:val="center"/>
        </w:trPr>
        <w:tc>
          <w:tcPr>
            <w:tcW w:w="3013" w:type="dxa"/>
            <w:shd w:val="clear" w:color="auto" w:fill="auto"/>
            <w:tcMar>
              <w:top w:w="28" w:type="dxa"/>
              <w:bottom w:w="28" w:type="dxa"/>
            </w:tcMar>
            <w:vAlign w:val="center"/>
          </w:tcPr>
          <w:p w14:paraId="51B8E855" w14:textId="59FFB741" w:rsidR="00A95B4F"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ABIRATERONE AND METHYLPREDNISOLONE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Pack containing 120 tablets abiraterone (as acetate) 125</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and 30 tablets methylprednisolone 4</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Yonsa</w:t>
            </w:r>
            <w:proofErr w:type="spellEnd"/>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Mpred</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1A6A97" w:rsidRPr="00015520">
              <w:rPr>
                <w:rFonts w:asciiTheme="minorHAnsi" w:hAnsiTheme="minorHAnsi" w:cstheme="minorHAnsi"/>
                <w:color w:val="000000"/>
                <w:sz w:val="18"/>
                <w:szCs w:val="18"/>
              </w:rPr>
              <w:t xml:space="preserve">Sun Pharma </w:t>
            </w:r>
            <w:r w:rsidR="00E55623" w:rsidRPr="00015520">
              <w:rPr>
                <w:rFonts w:asciiTheme="minorHAnsi" w:hAnsiTheme="minorHAnsi" w:cstheme="minorHAnsi"/>
                <w:color w:val="000000"/>
                <w:sz w:val="18"/>
                <w:szCs w:val="18"/>
              </w:rPr>
              <w:t>A</w:t>
            </w:r>
            <w:r w:rsidR="00E55623">
              <w:rPr>
                <w:rFonts w:asciiTheme="minorHAnsi" w:hAnsiTheme="minorHAnsi" w:cstheme="minorHAnsi"/>
                <w:color w:val="000000"/>
                <w:sz w:val="18"/>
                <w:szCs w:val="18"/>
              </w:rPr>
              <w:t>NZ</w:t>
            </w:r>
            <w:r w:rsidR="00E55623" w:rsidRPr="00015520">
              <w:rPr>
                <w:rFonts w:asciiTheme="minorHAnsi" w:hAnsiTheme="minorHAnsi" w:cstheme="minorHAnsi"/>
                <w:color w:val="000000"/>
                <w:sz w:val="18"/>
                <w:szCs w:val="18"/>
              </w:rPr>
              <w:t xml:space="preserve"> </w:t>
            </w:r>
            <w:r w:rsidR="001A6A97" w:rsidRPr="00015520">
              <w:rPr>
                <w:rFonts w:asciiTheme="minorHAnsi" w:hAnsiTheme="minorHAnsi" w:cstheme="minorHAnsi"/>
                <w:color w:val="000000"/>
                <w:sz w:val="18"/>
                <w:szCs w:val="18"/>
              </w:rPr>
              <w:t>Pty Ltd</w:t>
            </w:r>
          </w:p>
          <w:p w14:paraId="03BE52E3" w14:textId="035D16ED" w:rsidR="00897FAC" w:rsidRPr="00015520" w:rsidRDefault="00897FAC" w:rsidP="008542C1">
            <w:pPr>
              <w:keepLines/>
              <w:jc w:val="center"/>
              <w:rPr>
                <w:rFonts w:asciiTheme="minorHAnsi" w:hAnsiTheme="minorHAnsi" w:cstheme="minorHAnsi"/>
                <w:sz w:val="18"/>
                <w:szCs w:val="18"/>
              </w:rPr>
            </w:pPr>
            <w:r w:rsidRPr="00015520">
              <w:rPr>
                <w:rFonts w:asciiTheme="minorHAnsi" w:hAnsiTheme="minorHAnsi" w:cstheme="minorHAnsi"/>
                <w:color w:val="000000"/>
                <w:sz w:val="18"/>
                <w:szCs w:val="18"/>
              </w:rPr>
              <w:br/>
            </w:r>
            <w:r w:rsidR="00A95B4F">
              <w:rPr>
                <w:rFonts w:asciiTheme="minorHAnsi" w:hAnsiTheme="minorHAnsi" w:cstheme="minorHAnsi"/>
                <w:color w:val="000000"/>
                <w:sz w:val="18"/>
                <w:szCs w:val="18"/>
              </w:rPr>
              <w:t>Category 2</w:t>
            </w:r>
            <w:r w:rsidR="00C76D5D">
              <w:rPr>
                <w:rFonts w:asciiTheme="minorHAnsi" w:hAnsiTheme="minorHAnsi" w:cstheme="minorHAnsi"/>
                <w:color w:val="000000"/>
                <w:sz w:val="18"/>
                <w:szCs w:val="18"/>
              </w:rPr>
              <w:t xml:space="preserve"> submission</w:t>
            </w:r>
            <w:r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377E88FC" w14:textId="026E8960"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Metastatic hormone sensitive prostate cancer</w:t>
            </w:r>
          </w:p>
        </w:tc>
        <w:tc>
          <w:tcPr>
            <w:tcW w:w="3098" w:type="dxa"/>
            <w:shd w:val="clear" w:color="auto" w:fill="auto"/>
            <w:tcMar>
              <w:top w:w="28" w:type="dxa"/>
              <w:bottom w:w="28" w:type="dxa"/>
            </w:tcMar>
            <w:vAlign w:val="center"/>
          </w:tcPr>
          <w:p w14:paraId="0C5A0012" w14:textId="6598CB8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(Telephone/Online) listing for the treatment of patients with metastatic hormone sensitive prostate cancer.</w:t>
            </w:r>
          </w:p>
        </w:tc>
        <w:tc>
          <w:tcPr>
            <w:tcW w:w="1920" w:type="dxa"/>
            <w:shd w:val="clear" w:color="auto" w:fill="auto"/>
            <w:vAlign w:val="center"/>
          </w:tcPr>
          <w:p w14:paraId="73C161D1" w14:textId="31C558A9"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5CD2805E" w14:textId="71F392AE" w:rsidR="00897FAC" w:rsidRPr="00015520" w:rsidRDefault="00897FAC" w:rsidP="008542C1">
            <w:pPr>
              <w:rPr>
                <w:rFonts w:asciiTheme="minorHAnsi" w:hAnsiTheme="minorHAnsi" w:cstheme="minorHAnsi"/>
                <w:sz w:val="18"/>
                <w:szCs w:val="18"/>
              </w:rPr>
            </w:pPr>
            <w:r w:rsidRPr="00015520">
              <w:rPr>
                <w:rFonts w:asciiTheme="minorHAnsi" w:hAnsiTheme="minorHAnsi" w:cstheme="minorHAnsi"/>
                <w:sz w:val="18"/>
                <w:szCs w:val="18"/>
              </w:rPr>
              <w:t>The PBAC recommended the listing of the composite pack of abiraterone acetate with 30 methylprednisolone (SAA+MPRED) tablets for the treatment of metastatic hormone sensitive prostate cancer on a cost</w:t>
            </w:r>
            <w:r w:rsidR="0023444B">
              <w:rPr>
                <w:rFonts w:asciiTheme="minorHAnsi" w:hAnsiTheme="minorHAnsi" w:cstheme="minorHAnsi"/>
                <w:sz w:val="18"/>
                <w:szCs w:val="18"/>
              </w:rPr>
              <w:t>-</w:t>
            </w:r>
            <w:r w:rsidRPr="00015520">
              <w:rPr>
                <w:rFonts w:asciiTheme="minorHAnsi" w:hAnsiTheme="minorHAnsi" w:cstheme="minorHAnsi"/>
                <w:sz w:val="18"/>
                <w:szCs w:val="18"/>
              </w:rPr>
              <w:t>minimisation approach (CMA) versus apalutamide. The PBAC considered that SAA+MPRED, in combination with androgen deprivation therapy (ADT), was non-inferior to apalutamide plus ADT in terms of efficacy and although it was inferior in terms of safety, that the cost</w:t>
            </w:r>
            <w:r w:rsidR="003037A9">
              <w:rPr>
                <w:rFonts w:asciiTheme="minorHAnsi" w:hAnsiTheme="minorHAnsi" w:cstheme="minorHAnsi"/>
                <w:sz w:val="18"/>
                <w:szCs w:val="18"/>
              </w:rPr>
              <w:t>-</w:t>
            </w:r>
            <w:r w:rsidRPr="00015520">
              <w:rPr>
                <w:rFonts w:asciiTheme="minorHAnsi" w:hAnsiTheme="minorHAnsi" w:cstheme="minorHAnsi"/>
                <w:sz w:val="18"/>
                <w:szCs w:val="18"/>
              </w:rPr>
              <w:t>offsets applied in the CMA were reasonable. The PBAC advised that SAA+MPRED should join the existing risk sharing arrangement for novel hormonal agents in this setting.</w:t>
            </w:r>
            <w:r w:rsidR="00F012A0">
              <w:rPr>
                <w:rFonts w:asciiTheme="minorHAnsi" w:hAnsiTheme="minorHAnsi" w:cstheme="minorHAnsi"/>
                <w:sz w:val="18"/>
                <w:szCs w:val="18"/>
              </w:rPr>
              <w:t xml:space="preserve"> The PBAC noted flow</w:t>
            </w:r>
            <w:r w:rsidR="00851AFC">
              <w:rPr>
                <w:rFonts w:asciiTheme="minorHAnsi" w:hAnsiTheme="minorHAnsi" w:cstheme="minorHAnsi"/>
                <w:sz w:val="18"/>
                <w:szCs w:val="18"/>
              </w:rPr>
              <w:t> </w:t>
            </w:r>
            <w:r w:rsidR="00F012A0">
              <w:rPr>
                <w:rFonts w:asciiTheme="minorHAnsi" w:hAnsiTheme="minorHAnsi" w:cstheme="minorHAnsi"/>
                <w:sz w:val="18"/>
                <w:szCs w:val="18"/>
              </w:rPr>
              <w:t>-</w:t>
            </w:r>
            <w:r w:rsidR="00851AFC">
              <w:rPr>
                <w:rFonts w:asciiTheme="minorHAnsi" w:hAnsiTheme="minorHAnsi" w:cstheme="minorHAnsi"/>
                <w:sz w:val="18"/>
                <w:szCs w:val="18"/>
              </w:rPr>
              <w:t> </w:t>
            </w:r>
            <w:r w:rsidR="00F012A0">
              <w:rPr>
                <w:rFonts w:asciiTheme="minorHAnsi" w:hAnsiTheme="minorHAnsi" w:cstheme="minorHAnsi"/>
                <w:sz w:val="18"/>
                <w:szCs w:val="18"/>
              </w:rPr>
              <w:t>on restriction changes to include SAA+MPRED in the administration note.</w:t>
            </w:r>
          </w:p>
        </w:tc>
      </w:tr>
      <w:tr w:rsidR="00897FAC" w:rsidRPr="00015520" w14:paraId="59456C9B" w14:textId="77777777" w:rsidTr="00344CBB">
        <w:trPr>
          <w:cantSplit/>
          <w:trHeight w:val="2948"/>
          <w:jc w:val="center"/>
        </w:trPr>
        <w:tc>
          <w:tcPr>
            <w:tcW w:w="3013" w:type="dxa"/>
            <w:shd w:val="clear" w:color="auto" w:fill="auto"/>
            <w:tcMar>
              <w:top w:w="28" w:type="dxa"/>
              <w:bottom w:w="28" w:type="dxa"/>
            </w:tcMar>
            <w:vAlign w:val="center"/>
          </w:tcPr>
          <w:p w14:paraId="63A0A1F6" w14:textId="703CAA39" w:rsidR="00A95B4F"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ACALABRUTINIB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100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Calquence</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1A6A97" w:rsidRPr="00015520">
              <w:rPr>
                <w:rFonts w:asciiTheme="minorHAnsi" w:hAnsiTheme="minorHAnsi" w:cstheme="minorHAnsi"/>
                <w:color w:val="000000"/>
                <w:sz w:val="18"/>
                <w:szCs w:val="18"/>
              </w:rPr>
              <w:t>AstraZeneca Pty Ltd</w:t>
            </w:r>
          </w:p>
          <w:p w14:paraId="5074E5FF" w14:textId="1CE7815C"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br/>
            </w:r>
            <w:r w:rsidR="00A95B4F">
              <w:rPr>
                <w:rFonts w:asciiTheme="minorHAnsi" w:hAnsiTheme="minorHAnsi" w:cstheme="minorHAnsi"/>
                <w:color w:val="000000"/>
                <w:sz w:val="18"/>
                <w:szCs w:val="18"/>
              </w:rPr>
              <w:t>Standard re-entry</w:t>
            </w:r>
            <w:r w:rsidR="00C76D5D">
              <w:rPr>
                <w:rFonts w:asciiTheme="minorHAnsi" w:hAnsiTheme="minorHAnsi" w:cstheme="minorHAnsi"/>
                <w:color w:val="000000"/>
                <w:sz w:val="18"/>
                <w:szCs w:val="18"/>
              </w:rPr>
              <w:t xml:space="preserve"> submission</w:t>
            </w:r>
            <w:r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2FA85509" w14:textId="77A64817"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Chronic lymphocytic leukaemia (CLL) or small lymphocytic lymphoma (SLL)</w:t>
            </w:r>
          </w:p>
        </w:tc>
        <w:tc>
          <w:tcPr>
            <w:tcW w:w="3098" w:type="dxa"/>
            <w:shd w:val="clear" w:color="auto" w:fill="auto"/>
            <w:tcMar>
              <w:top w:w="28" w:type="dxa"/>
              <w:bottom w:w="28" w:type="dxa"/>
            </w:tcMar>
            <w:vAlign w:val="center"/>
          </w:tcPr>
          <w:p w14:paraId="67D2F53C" w14:textId="3B4FF591" w:rsidR="00897FAC" w:rsidRPr="00015520" w:rsidRDefault="00897FAC" w:rsidP="62154131">
            <w:pPr>
              <w:pStyle w:val="ListParagraph"/>
              <w:keepLines/>
              <w:ind w:left="0"/>
              <w:jc w:val="cente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 xml:space="preserve">Resubmission to request a General Schedule Authority Required (Telephone/Online) listing, for use as monotherapy or in combination with </w:t>
            </w:r>
            <w:proofErr w:type="spellStart"/>
            <w:r w:rsidRPr="62154131">
              <w:rPr>
                <w:rFonts w:asciiTheme="minorHAnsi" w:hAnsiTheme="minorHAnsi" w:cstheme="minorBidi"/>
                <w:color w:val="000000" w:themeColor="text1"/>
                <w:sz w:val="18"/>
                <w:szCs w:val="18"/>
              </w:rPr>
              <w:t>obinutuzumab</w:t>
            </w:r>
            <w:proofErr w:type="spellEnd"/>
            <w:r w:rsidRPr="62154131">
              <w:rPr>
                <w:rFonts w:asciiTheme="minorHAnsi" w:hAnsiTheme="minorHAnsi" w:cstheme="minorBidi"/>
                <w:color w:val="000000" w:themeColor="text1"/>
                <w:sz w:val="18"/>
                <w:szCs w:val="18"/>
              </w:rPr>
              <w:t>, for the treatment of previously untreated CLL or SLL</w:t>
            </w:r>
            <w:r w:rsidR="00866D92" w:rsidRPr="62154131">
              <w:rPr>
                <w:rFonts w:asciiTheme="minorHAnsi" w:hAnsiTheme="minorHAnsi" w:cstheme="minorBidi"/>
                <w:color w:val="000000" w:themeColor="text1"/>
                <w:sz w:val="18"/>
                <w:szCs w:val="18"/>
              </w:rPr>
              <w:t>.</w:t>
            </w:r>
          </w:p>
        </w:tc>
        <w:tc>
          <w:tcPr>
            <w:tcW w:w="1920" w:type="dxa"/>
            <w:shd w:val="clear" w:color="auto" w:fill="auto"/>
            <w:vAlign w:val="center"/>
          </w:tcPr>
          <w:p w14:paraId="2316FD21" w14:textId="4BE9A6B3"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43F997E8" w14:textId="4175B137"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extending the listing of acalabrutinib (ACA) to include the treatment of patients with previously untreated CLL</w:t>
            </w:r>
            <w:r w:rsidR="00855D65"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SLL. The PBAC considered the nominated comparator of </w:t>
            </w:r>
            <w:proofErr w:type="spellStart"/>
            <w:r w:rsidRPr="00015520">
              <w:rPr>
                <w:rFonts w:asciiTheme="minorHAnsi" w:hAnsiTheme="minorHAnsi" w:cstheme="minorHAnsi"/>
                <w:color w:val="000000"/>
                <w:sz w:val="18"/>
                <w:szCs w:val="18"/>
              </w:rPr>
              <w:t>venetoclax</w:t>
            </w:r>
            <w:proofErr w:type="spellEnd"/>
            <w:r w:rsidRPr="00015520">
              <w:rPr>
                <w:rFonts w:asciiTheme="minorHAnsi" w:hAnsiTheme="minorHAnsi" w:cstheme="minorHAnsi"/>
                <w:color w:val="000000"/>
                <w:sz w:val="18"/>
                <w:szCs w:val="18"/>
              </w:rPr>
              <w:t xml:space="preserve"> plus </w:t>
            </w:r>
            <w:proofErr w:type="spellStart"/>
            <w:r w:rsidRPr="00015520">
              <w:rPr>
                <w:rFonts w:asciiTheme="minorHAnsi" w:hAnsiTheme="minorHAnsi" w:cstheme="minorHAnsi"/>
                <w:color w:val="000000"/>
                <w:sz w:val="18"/>
                <w:szCs w:val="18"/>
              </w:rPr>
              <w:t>obinutuzumab</w:t>
            </w:r>
            <w:proofErr w:type="spellEnd"/>
            <w:r w:rsidRPr="00015520">
              <w:rPr>
                <w:rFonts w:asciiTheme="minorHAnsi" w:hAnsiTheme="minorHAnsi" w:cstheme="minorHAnsi"/>
                <w:color w:val="000000"/>
                <w:sz w:val="18"/>
                <w:szCs w:val="18"/>
              </w:rPr>
              <w:t xml:space="preserve"> (VTX+OBIN) was appropriate. The PBAC’s consideration was based on, among other matters, its assessment as described above, that the cost-effectiveness of ACA as monotherapy or in combination with </w:t>
            </w:r>
            <w:proofErr w:type="spellStart"/>
            <w:r w:rsidRPr="00015520">
              <w:rPr>
                <w:rFonts w:asciiTheme="minorHAnsi" w:hAnsiTheme="minorHAnsi" w:cstheme="minorHAnsi"/>
                <w:color w:val="000000"/>
                <w:sz w:val="18"/>
                <w:szCs w:val="18"/>
              </w:rPr>
              <w:t>obinutuzumab</w:t>
            </w:r>
            <w:proofErr w:type="spellEnd"/>
            <w:r w:rsidRPr="00015520">
              <w:rPr>
                <w:rFonts w:asciiTheme="minorHAnsi" w:hAnsiTheme="minorHAnsi" w:cstheme="minorHAnsi"/>
                <w:color w:val="000000"/>
                <w:sz w:val="18"/>
                <w:szCs w:val="18"/>
              </w:rPr>
              <w:t xml:space="preserve"> (OBIN) would be acceptable if it were cost-minimised to VTX+OBIN, and </w:t>
            </w:r>
            <w:proofErr w:type="spellStart"/>
            <w:r w:rsidRPr="00015520">
              <w:rPr>
                <w:rFonts w:asciiTheme="minorHAnsi" w:hAnsiTheme="minorHAnsi" w:cstheme="minorHAnsi"/>
                <w:color w:val="000000"/>
                <w:sz w:val="18"/>
                <w:szCs w:val="18"/>
              </w:rPr>
              <w:t>zanubrutinib</w:t>
            </w:r>
            <w:proofErr w:type="spellEnd"/>
            <w:r w:rsidRPr="00015520">
              <w:rPr>
                <w:rFonts w:asciiTheme="minorHAnsi" w:hAnsiTheme="minorHAnsi" w:cstheme="minorHAnsi"/>
                <w:color w:val="000000"/>
                <w:sz w:val="18"/>
                <w:szCs w:val="18"/>
              </w:rPr>
              <w:t xml:space="preserve"> (ZANU) if PBS</w:t>
            </w:r>
            <w:r w:rsidR="0023444B">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listed for previously untreated patients. The PBAC considered a </w:t>
            </w:r>
            <w:r w:rsidR="00982267">
              <w:rPr>
                <w:rFonts w:asciiTheme="minorHAnsi" w:hAnsiTheme="minorHAnsi" w:cstheme="minorHAnsi"/>
                <w:color w:val="000000"/>
                <w:sz w:val="18"/>
                <w:szCs w:val="18"/>
              </w:rPr>
              <w:t>risk sharing arrangement</w:t>
            </w:r>
            <w:r w:rsidRPr="00015520">
              <w:rPr>
                <w:rFonts w:asciiTheme="minorHAnsi" w:hAnsiTheme="minorHAnsi" w:cstheme="minorHAnsi"/>
                <w:color w:val="000000"/>
                <w:sz w:val="18"/>
                <w:szCs w:val="18"/>
              </w:rPr>
              <w:t xml:space="preserve"> (RSA) would be required to manage the risks of the duration of treatment with ACA being longer than modelled and earlier use in patients not meeting the International Workshop on CLL criteria for initiating treatment. The PBAC advised that ACA should join the ZANU RSA should ZANU have progressed to PBS listing for previously untreated CLL/SLL.</w:t>
            </w:r>
            <w:r w:rsidR="005E30A9">
              <w:rPr>
                <w:rFonts w:asciiTheme="minorHAnsi" w:hAnsiTheme="minorHAnsi" w:cstheme="minorHAnsi"/>
                <w:color w:val="000000"/>
                <w:sz w:val="18"/>
                <w:szCs w:val="18"/>
              </w:rPr>
              <w:t xml:space="preserve"> </w:t>
            </w:r>
            <w:r w:rsidR="005E30A9" w:rsidRPr="009F2516">
              <w:rPr>
                <w:rFonts w:asciiTheme="minorHAnsi" w:hAnsiTheme="minorHAnsi" w:cstheme="minorHAnsi"/>
                <w:color w:val="000000"/>
                <w:sz w:val="18"/>
                <w:szCs w:val="18"/>
              </w:rPr>
              <w:t>The PBAC noted flow-on restriction changes would be required for OBIN</w:t>
            </w:r>
            <w:r w:rsidR="005E30A9" w:rsidRPr="005E30A9">
              <w:rPr>
                <w:rFonts w:asciiTheme="minorHAnsi" w:hAnsiTheme="minorHAnsi" w:cstheme="minorHAnsi"/>
                <w:color w:val="000000"/>
                <w:sz w:val="18"/>
                <w:szCs w:val="18"/>
              </w:rPr>
              <w:t>.</w:t>
            </w:r>
          </w:p>
        </w:tc>
      </w:tr>
      <w:tr w:rsidR="00897FAC" w:rsidRPr="00015520" w14:paraId="41369496" w14:textId="77777777" w:rsidTr="00344CBB">
        <w:trPr>
          <w:cantSplit/>
          <w:trHeight w:val="2948"/>
          <w:jc w:val="center"/>
        </w:trPr>
        <w:tc>
          <w:tcPr>
            <w:tcW w:w="3013" w:type="dxa"/>
            <w:shd w:val="clear" w:color="auto" w:fill="auto"/>
            <w:tcMar>
              <w:top w:w="28" w:type="dxa"/>
              <w:bottom w:w="28" w:type="dxa"/>
            </w:tcMar>
            <w:vAlign w:val="center"/>
          </w:tcPr>
          <w:p w14:paraId="05284AC7" w14:textId="6D3B8BCD" w:rsidR="00A95B4F"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ADALIMUMAB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40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0.4</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pen</w:t>
            </w:r>
            <w:r w:rsidRPr="00015520">
              <w:rPr>
                <w:rFonts w:asciiTheme="minorHAnsi" w:hAnsiTheme="minorHAnsi" w:cstheme="minorHAnsi"/>
                <w:color w:val="000000"/>
                <w:sz w:val="18"/>
                <w:szCs w:val="18"/>
              </w:rPr>
              <w:br/>
              <w:t>Injection 40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0.4</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syringe</w:t>
            </w:r>
            <w:r w:rsidRPr="00015520">
              <w:rPr>
                <w:rFonts w:asciiTheme="minorHAnsi" w:hAnsiTheme="minorHAnsi" w:cstheme="minorHAnsi"/>
                <w:color w:val="000000"/>
                <w:sz w:val="18"/>
                <w:szCs w:val="18"/>
              </w:rPr>
              <w:br/>
              <w:t>Injection 80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0.8</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syringe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Ardalicip</w:t>
            </w:r>
            <w:proofErr w:type="spellEnd"/>
            <w:r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1A6A97" w:rsidRPr="00015520">
              <w:rPr>
                <w:rFonts w:asciiTheme="minorHAnsi" w:hAnsiTheme="minorHAnsi" w:cstheme="minorHAnsi"/>
                <w:color w:val="000000"/>
                <w:sz w:val="18"/>
                <w:szCs w:val="18"/>
              </w:rPr>
              <w:t>Cipla Australia Pty Ltd</w:t>
            </w:r>
            <w:r w:rsidRPr="00015520">
              <w:rPr>
                <w:rFonts w:asciiTheme="minorHAnsi" w:hAnsiTheme="minorHAnsi" w:cstheme="minorHAnsi"/>
                <w:color w:val="000000"/>
                <w:sz w:val="18"/>
                <w:szCs w:val="18"/>
              </w:rPr>
              <w:br/>
            </w:r>
          </w:p>
          <w:p w14:paraId="2C96B27B" w14:textId="411A317B" w:rsidR="00897FAC" w:rsidRPr="00015520" w:rsidRDefault="00A95B4F"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1A00AEEC" w14:textId="3B42D547"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Severe Crohn disease</w:t>
            </w:r>
          </w:p>
          <w:p w14:paraId="5E140056" w14:textId="5D01F69A" w:rsidR="00DA1A59" w:rsidRDefault="00DA1A59" w:rsidP="008542C1">
            <w:pPr>
              <w:keepLines/>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t>M</w:t>
            </w:r>
            <w:r w:rsidR="00897FAC" w:rsidRPr="00015520">
              <w:rPr>
                <w:rFonts w:asciiTheme="minorHAnsi" w:hAnsiTheme="minorHAnsi" w:cstheme="minorHAnsi"/>
                <w:color w:val="000000"/>
                <w:sz w:val="18"/>
                <w:szCs w:val="18"/>
              </w:rPr>
              <w:t>oderate to severe ulcerative colitis</w:t>
            </w:r>
          </w:p>
          <w:p w14:paraId="6D68AF6B" w14:textId="2D8E275E"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Severe active juvenile idiopathic arthritis</w:t>
            </w:r>
          </w:p>
          <w:p w14:paraId="688653BD" w14:textId="2962144D"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Complex refractory fistulising Crohn disease</w:t>
            </w:r>
          </w:p>
          <w:p w14:paraId="5091B487" w14:textId="77777777"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Severe active rheumatoid arthritis</w:t>
            </w:r>
          </w:p>
          <w:p w14:paraId="14E24CF2" w14:textId="75A105B0"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Severe psoriatic arthritis</w:t>
            </w:r>
          </w:p>
          <w:p w14:paraId="36F2EDC5" w14:textId="6340F2B4"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Ankylosing spondylitis </w:t>
            </w:r>
          </w:p>
          <w:p w14:paraId="484FD353" w14:textId="6F7191EE" w:rsidR="00DA1A59"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Severe chronic plaque psoriasis</w:t>
            </w:r>
          </w:p>
          <w:p w14:paraId="2C49DFF1" w14:textId="6AB9D95F"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Moderate to severe hidradenitis suppurativa</w:t>
            </w:r>
          </w:p>
        </w:tc>
        <w:tc>
          <w:tcPr>
            <w:tcW w:w="3098" w:type="dxa"/>
            <w:shd w:val="clear" w:color="auto" w:fill="auto"/>
            <w:tcMar>
              <w:top w:w="28" w:type="dxa"/>
              <w:bottom w:w="28" w:type="dxa"/>
            </w:tcMar>
            <w:vAlign w:val="center"/>
          </w:tcPr>
          <w:p w14:paraId="2920F06D" w14:textId="448975A4"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listing of an adalimumab biosimilar under the same conditions as its reference biologic.</w:t>
            </w:r>
          </w:p>
        </w:tc>
        <w:tc>
          <w:tcPr>
            <w:tcW w:w="1920" w:type="dxa"/>
            <w:shd w:val="clear" w:color="auto" w:fill="auto"/>
            <w:vAlign w:val="center"/>
          </w:tcPr>
          <w:p w14:paraId="6FB45133" w14:textId="6872F71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5221D91F" w14:textId="40E25253" w:rsidR="00DA1A59"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the Authority Required listing of adalimumab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in the form of 40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0.4</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syringe (PFS) and pre-filled pen (PFP) and 80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0.8</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PFS as biosimilar brands of Humira</w:t>
            </w:r>
            <w:r w:rsidR="00DA1A59">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on the General Schedule and Section 100 (Highly Specialised Drug Program). The PBAC’s recommendation for listing was based on, among other matters, its assessment that the cost</w:t>
            </w:r>
            <w:r w:rsidR="00154524">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15452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effectiveness of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PFP and PFS would be acceptable if it were cost minimised to the lowest cost PBS-listed adalimumab brand. The PBAC advised the </w:t>
            </w:r>
            <w:proofErr w:type="spellStart"/>
            <w:r w:rsidRPr="00015520">
              <w:rPr>
                <w:rFonts w:asciiTheme="minorHAnsi" w:hAnsiTheme="minorHAnsi" w:cstheme="minorHAnsi"/>
                <w:color w:val="000000"/>
                <w:sz w:val="18"/>
                <w:szCs w:val="18"/>
              </w:rPr>
              <w:t>equi</w:t>
            </w:r>
            <w:proofErr w:type="spellEnd"/>
            <w:r w:rsidRPr="00015520">
              <w:rPr>
                <w:rFonts w:asciiTheme="minorHAnsi" w:hAnsiTheme="minorHAnsi" w:cstheme="minorHAnsi"/>
                <w:color w:val="000000"/>
                <w:sz w:val="18"/>
                <w:szCs w:val="18"/>
              </w:rPr>
              <w:t>-effective doses to be 1</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of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w:t>
            </w:r>
            <w:r w:rsidR="001E2CF5">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1</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of Humira</w:t>
            </w:r>
            <w:r w:rsidR="00DA1A59">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and all other biosimilar brands and formulations of adalimumab.</w:t>
            </w:r>
          </w:p>
          <w:p w14:paraId="320EA79A" w14:textId="77777777" w:rsidR="00DA1A59" w:rsidRDefault="00DA1A59" w:rsidP="008542C1">
            <w:pPr>
              <w:rPr>
                <w:rFonts w:asciiTheme="minorHAnsi" w:hAnsiTheme="minorHAnsi" w:cstheme="minorHAnsi"/>
                <w:color w:val="000000"/>
                <w:sz w:val="18"/>
                <w:szCs w:val="18"/>
              </w:rPr>
            </w:pPr>
          </w:p>
          <w:p w14:paraId="739BF5EE" w14:textId="404981C9"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advised that Humira</w:t>
            </w:r>
            <w:r w:rsidR="00DA1A59">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and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PFS should be treated as equivalent to each other; and Humira</w:t>
            </w:r>
            <w:r w:rsidR="00DA1A59">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and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PFP should be treated as equivalent to each other for the purposes of substitution. The PBAC advised that 40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0.4</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mL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PFS and 40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0.8</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mL </w:t>
            </w:r>
            <w:proofErr w:type="spellStart"/>
            <w:r w:rsidRPr="00015520">
              <w:rPr>
                <w:rFonts w:asciiTheme="minorHAnsi" w:hAnsiTheme="minorHAnsi" w:cstheme="minorHAnsi"/>
                <w:color w:val="000000"/>
                <w:sz w:val="18"/>
                <w:szCs w:val="18"/>
              </w:rPr>
              <w:t>Amgevita</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Hadlima</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Hyrimoz</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and </w:t>
            </w:r>
            <w:proofErr w:type="spellStart"/>
            <w:r w:rsidRPr="00015520">
              <w:rPr>
                <w:rFonts w:asciiTheme="minorHAnsi" w:hAnsiTheme="minorHAnsi" w:cstheme="minorHAnsi"/>
                <w:color w:val="000000"/>
                <w:sz w:val="18"/>
                <w:szCs w:val="18"/>
              </w:rPr>
              <w:t>Idacio</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PFS should be treated as equivalent to each other for the purpose of substitution; 40</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0.4</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mL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PFP and 40</w:t>
            </w:r>
            <w:r w:rsidR="00DA1A59">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in 0.8 mL </w:t>
            </w:r>
            <w:proofErr w:type="spellStart"/>
            <w:r w:rsidRPr="00015520">
              <w:rPr>
                <w:rFonts w:asciiTheme="minorHAnsi" w:hAnsiTheme="minorHAnsi" w:cstheme="minorHAnsi"/>
                <w:color w:val="000000"/>
                <w:sz w:val="18"/>
                <w:szCs w:val="18"/>
              </w:rPr>
              <w:t>Amgevita</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Hadlima</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Hyrimoz</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and </w:t>
            </w:r>
            <w:proofErr w:type="spellStart"/>
            <w:r w:rsidRPr="00015520">
              <w:rPr>
                <w:rFonts w:asciiTheme="minorHAnsi" w:hAnsiTheme="minorHAnsi" w:cstheme="minorHAnsi"/>
                <w:color w:val="000000"/>
                <w:sz w:val="18"/>
                <w:szCs w:val="18"/>
              </w:rPr>
              <w:t>Idacio</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PFP should be treated as equivalent to each other for the purpose of substitution. The PBAC advised that </w:t>
            </w:r>
            <w:proofErr w:type="spellStart"/>
            <w:r w:rsidRPr="00015520">
              <w:rPr>
                <w:rFonts w:asciiTheme="minorHAnsi" w:hAnsiTheme="minorHAnsi" w:cstheme="minorHAnsi"/>
                <w:color w:val="000000"/>
                <w:sz w:val="18"/>
                <w:szCs w:val="18"/>
              </w:rPr>
              <w:t>Ardalicip</w:t>
            </w:r>
            <w:proofErr w:type="spellEnd"/>
            <w:r w:rsidR="00681EF3"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PFP should not be considered equivalent for the purposes of substitution with any adalimumab PFS, consistent with its previous considerations of adalimumab.</w:t>
            </w:r>
          </w:p>
        </w:tc>
      </w:tr>
      <w:tr w:rsidR="00897FAC" w:rsidRPr="00015520" w14:paraId="15392436" w14:textId="77777777" w:rsidTr="00344CBB">
        <w:trPr>
          <w:cantSplit/>
          <w:trHeight w:val="2948"/>
          <w:jc w:val="center"/>
        </w:trPr>
        <w:tc>
          <w:tcPr>
            <w:tcW w:w="3013" w:type="dxa"/>
            <w:shd w:val="clear" w:color="auto" w:fill="auto"/>
            <w:tcMar>
              <w:top w:w="28" w:type="dxa"/>
              <w:bottom w:w="28" w:type="dxa"/>
            </w:tcMar>
            <w:vAlign w:val="center"/>
          </w:tcPr>
          <w:p w14:paraId="0882C3C6" w14:textId="62B55C41" w:rsidR="00A95B4F"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ATOGEPANT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60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Aquipta</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1A6A97" w:rsidRPr="00015520">
              <w:rPr>
                <w:rFonts w:asciiTheme="minorHAnsi" w:hAnsiTheme="minorHAnsi" w:cstheme="minorHAnsi"/>
                <w:color w:val="000000"/>
                <w:sz w:val="18"/>
                <w:szCs w:val="18"/>
              </w:rPr>
              <w:t>Allergan Australia Pty Limited</w:t>
            </w:r>
            <w:r w:rsidRPr="00015520">
              <w:rPr>
                <w:rFonts w:asciiTheme="minorHAnsi" w:hAnsiTheme="minorHAnsi" w:cstheme="minorHAnsi"/>
                <w:color w:val="000000"/>
                <w:sz w:val="18"/>
                <w:szCs w:val="18"/>
              </w:rPr>
              <w:br/>
            </w:r>
          </w:p>
          <w:p w14:paraId="5064FF2E" w14:textId="1BE31341" w:rsidR="00897FAC" w:rsidRPr="00015520" w:rsidRDefault="00A95B4F"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4D9E6C30" w14:textId="3344B228"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Prophylaxis of migraine</w:t>
            </w:r>
          </w:p>
        </w:tc>
        <w:tc>
          <w:tcPr>
            <w:tcW w:w="3098" w:type="dxa"/>
            <w:shd w:val="clear" w:color="auto" w:fill="auto"/>
            <w:tcMar>
              <w:top w:w="28" w:type="dxa"/>
              <w:bottom w:w="28" w:type="dxa"/>
            </w:tcMar>
            <w:vAlign w:val="center"/>
          </w:tcPr>
          <w:p w14:paraId="51A95D88" w14:textId="2FD797DC"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for the prophylaxis of high frequency episodic and chronic migraine.</w:t>
            </w:r>
          </w:p>
        </w:tc>
        <w:tc>
          <w:tcPr>
            <w:tcW w:w="1920" w:type="dxa"/>
            <w:shd w:val="clear" w:color="auto" w:fill="auto"/>
            <w:vAlign w:val="center"/>
          </w:tcPr>
          <w:p w14:paraId="6975FA0E" w14:textId="7CE9933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5E169259" w14:textId="48940B8A" w:rsidR="00143EB0" w:rsidRDefault="00B57469" w:rsidP="00DA1A59">
            <w:pPr>
              <w:rPr>
                <w:rFonts w:asciiTheme="minorHAnsi" w:hAnsiTheme="minorHAnsi" w:cstheme="minorHAnsi"/>
                <w:color w:val="000000"/>
                <w:sz w:val="18"/>
                <w:szCs w:val="18"/>
              </w:rPr>
            </w:pPr>
            <w:r w:rsidRPr="00B57469">
              <w:rPr>
                <w:rFonts w:asciiTheme="minorHAnsi" w:hAnsiTheme="minorHAnsi" w:cstheme="minorHAnsi"/>
                <w:color w:val="000000"/>
                <w:sz w:val="18"/>
                <w:szCs w:val="18"/>
              </w:rPr>
              <w:t xml:space="preserve">The PBAC did not recommend </w:t>
            </w:r>
            <w:proofErr w:type="spellStart"/>
            <w:r w:rsidRPr="00B57469">
              <w:rPr>
                <w:rFonts w:asciiTheme="minorHAnsi" w:hAnsiTheme="minorHAnsi" w:cstheme="minorHAnsi"/>
                <w:color w:val="000000"/>
                <w:sz w:val="18"/>
                <w:szCs w:val="18"/>
              </w:rPr>
              <w:t>atogepant</w:t>
            </w:r>
            <w:proofErr w:type="spellEnd"/>
            <w:r w:rsidRPr="00B57469">
              <w:rPr>
                <w:rFonts w:asciiTheme="minorHAnsi" w:hAnsiTheme="minorHAnsi" w:cstheme="minorHAnsi"/>
                <w:color w:val="000000"/>
                <w:sz w:val="18"/>
                <w:szCs w:val="18"/>
              </w:rPr>
              <w:t xml:space="preserve"> for use as prophylaxis in adult patients with chronic migraine or high frequency episodic migraine who have experienced an inadequate response, intolerance or a contraindication to at least three prophylactic migraine medications. The PBAC acknowledged that there was a need for an oral prophylactic migraine treatment but considered that the indirect treatment comparisons presented did not establish that </w:t>
            </w:r>
            <w:proofErr w:type="spellStart"/>
            <w:r w:rsidRPr="00B57469">
              <w:rPr>
                <w:rFonts w:asciiTheme="minorHAnsi" w:hAnsiTheme="minorHAnsi" w:cstheme="minorHAnsi"/>
                <w:color w:val="000000"/>
                <w:sz w:val="18"/>
                <w:szCs w:val="18"/>
              </w:rPr>
              <w:t>atogepant</w:t>
            </w:r>
            <w:proofErr w:type="spellEnd"/>
            <w:r w:rsidRPr="00B57469">
              <w:rPr>
                <w:rFonts w:asciiTheme="minorHAnsi" w:hAnsiTheme="minorHAnsi" w:cstheme="minorHAnsi"/>
                <w:color w:val="000000"/>
                <w:sz w:val="18"/>
                <w:szCs w:val="18"/>
              </w:rPr>
              <w:t xml:space="preserve"> was non-inferior in terms of effectiveness compared to the nominated comparators, </w:t>
            </w:r>
            <w:proofErr w:type="spellStart"/>
            <w:r w:rsidRPr="00B57469">
              <w:rPr>
                <w:rFonts w:asciiTheme="minorHAnsi" w:hAnsiTheme="minorHAnsi" w:cstheme="minorHAnsi"/>
                <w:color w:val="000000"/>
                <w:sz w:val="18"/>
                <w:szCs w:val="18"/>
              </w:rPr>
              <w:t>galcanezumab</w:t>
            </w:r>
            <w:proofErr w:type="spellEnd"/>
            <w:r w:rsidRPr="00B57469">
              <w:rPr>
                <w:rFonts w:asciiTheme="minorHAnsi" w:hAnsiTheme="minorHAnsi" w:cstheme="minorHAnsi"/>
                <w:color w:val="000000"/>
                <w:sz w:val="18"/>
                <w:szCs w:val="18"/>
              </w:rPr>
              <w:t xml:space="preserve"> and </w:t>
            </w:r>
            <w:proofErr w:type="spellStart"/>
            <w:r w:rsidRPr="00B57469">
              <w:rPr>
                <w:rFonts w:asciiTheme="minorHAnsi" w:hAnsiTheme="minorHAnsi" w:cstheme="minorHAnsi"/>
                <w:color w:val="000000"/>
                <w:sz w:val="18"/>
                <w:szCs w:val="18"/>
              </w:rPr>
              <w:t>fremanezumab</w:t>
            </w:r>
            <w:proofErr w:type="spellEnd"/>
            <w:r w:rsidRPr="00B57469">
              <w:rPr>
                <w:rFonts w:asciiTheme="minorHAnsi" w:hAnsiTheme="minorHAnsi" w:cstheme="minorHAnsi"/>
                <w:color w:val="000000"/>
                <w:sz w:val="18"/>
                <w:szCs w:val="18"/>
              </w:rPr>
              <w:t xml:space="preserve">. The PBAC considered that the utilisation estimates were not adequately supported and that the structure of the </w:t>
            </w:r>
            <w:r w:rsidR="00134057">
              <w:rPr>
                <w:rFonts w:asciiTheme="minorHAnsi" w:hAnsiTheme="minorHAnsi" w:cstheme="minorHAnsi"/>
                <w:color w:val="000000"/>
                <w:sz w:val="18"/>
                <w:szCs w:val="18"/>
              </w:rPr>
              <w:t>r</w:t>
            </w:r>
            <w:r w:rsidRPr="00B57469">
              <w:rPr>
                <w:rFonts w:asciiTheme="minorHAnsi" w:hAnsiTheme="minorHAnsi" w:cstheme="minorHAnsi"/>
                <w:color w:val="000000"/>
                <w:sz w:val="18"/>
                <w:szCs w:val="18"/>
              </w:rPr>
              <w:t xml:space="preserve">isk </w:t>
            </w:r>
            <w:r w:rsidR="00134057">
              <w:rPr>
                <w:rFonts w:asciiTheme="minorHAnsi" w:hAnsiTheme="minorHAnsi" w:cstheme="minorHAnsi"/>
                <w:color w:val="000000"/>
                <w:sz w:val="18"/>
                <w:szCs w:val="18"/>
              </w:rPr>
              <w:t>s</w:t>
            </w:r>
            <w:r w:rsidRPr="00B57469">
              <w:rPr>
                <w:rFonts w:asciiTheme="minorHAnsi" w:hAnsiTheme="minorHAnsi" w:cstheme="minorHAnsi"/>
                <w:color w:val="000000"/>
                <w:sz w:val="18"/>
                <w:szCs w:val="18"/>
              </w:rPr>
              <w:t xml:space="preserve">haring </w:t>
            </w:r>
            <w:r w:rsidR="00134057">
              <w:rPr>
                <w:rFonts w:asciiTheme="minorHAnsi" w:hAnsiTheme="minorHAnsi" w:cstheme="minorHAnsi"/>
                <w:color w:val="000000"/>
                <w:sz w:val="18"/>
                <w:szCs w:val="18"/>
              </w:rPr>
              <w:t>a</w:t>
            </w:r>
            <w:r w:rsidRPr="00B57469">
              <w:rPr>
                <w:rFonts w:asciiTheme="minorHAnsi" w:hAnsiTheme="minorHAnsi" w:cstheme="minorHAnsi"/>
                <w:color w:val="000000"/>
                <w:sz w:val="18"/>
                <w:szCs w:val="18"/>
              </w:rPr>
              <w:t>rrangement as proposed in the submission were poorly justified.</w:t>
            </w:r>
          </w:p>
          <w:p w14:paraId="0E63A79C" w14:textId="77777777" w:rsidR="00B57469" w:rsidRPr="00134057" w:rsidRDefault="00B57469" w:rsidP="00DA1A59">
            <w:pPr>
              <w:rPr>
                <w:rFonts w:asciiTheme="minorHAnsi" w:hAnsiTheme="minorHAnsi" w:cstheme="minorHAnsi"/>
                <w:color w:val="000000"/>
                <w:sz w:val="18"/>
                <w:szCs w:val="18"/>
              </w:rPr>
            </w:pPr>
          </w:p>
          <w:p w14:paraId="2A04E25B" w14:textId="4753349F" w:rsidR="00DA1A59" w:rsidRDefault="00DA1A59" w:rsidP="00DA1A5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6E06C825" w14:textId="79B60E6D" w:rsidR="00897FAC" w:rsidRPr="00015520" w:rsidRDefault="00843E4B" w:rsidP="008542C1">
            <w:pPr>
              <w:rPr>
                <w:rFonts w:asciiTheme="minorHAnsi" w:hAnsiTheme="minorHAnsi" w:cstheme="minorHAnsi"/>
                <w:color w:val="000000"/>
                <w:sz w:val="18"/>
                <w:szCs w:val="18"/>
              </w:rPr>
            </w:pPr>
            <w:r w:rsidRPr="62154131">
              <w:rPr>
                <w:rFonts w:asciiTheme="minorHAnsi" w:hAnsiTheme="minorHAnsi" w:cstheme="minorBidi"/>
                <w:color w:val="000000" w:themeColor="text1"/>
                <w:sz w:val="18"/>
                <w:szCs w:val="18"/>
              </w:rPr>
              <w:t>A</w:t>
            </w:r>
            <w:r w:rsidR="00E53F98">
              <w:rPr>
                <w:rFonts w:asciiTheme="minorHAnsi" w:hAnsiTheme="minorHAnsi" w:cstheme="minorBidi"/>
                <w:color w:val="000000" w:themeColor="text1"/>
                <w:sz w:val="18"/>
                <w:szCs w:val="18"/>
              </w:rPr>
              <w:t>bb</w:t>
            </w:r>
            <w:r w:rsidRPr="62154131">
              <w:rPr>
                <w:rFonts w:asciiTheme="minorHAnsi" w:hAnsiTheme="minorHAnsi" w:cstheme="minorBidi"/>
                <w:color w:val="000000" w:themeColor="text1"/>
                <w:sz w:val="18"/>
                <w:szCs w:val="18"/>
              </w:rPr>
              <w:t>V</w:t>
            </w:r>
            <w:r w:rsidR="00E53F98">
              <w:rPr>
                <w:rFonts w:asciiTheme="minorHAnsi" w:hAnsiTheme="minorHAnsi" w:cstheme="minorBidi"/>
                <w:color w:val="000000" w:themeColor="text1"/>
                <w:sz w:val="18"/>
                <w:szCs w:val="18"/>
              </w:rPr>
              <w:t>ie</w:t>
            </w:r>
            <w:r w:rsidRPr="62154131">
              <w:rPr>
                <w:rFonts w:asciiTheme="minorHAnsi" w:hAnsiTheme="minorHAnsi" w:cstheme="minorBidi"/>
                <w:color w:val="000000" w:themeColor="text1"/>
                <w:sz w:val="18"/>
                <w:szCs w:val="18"/>
              </w:rPr>
              <w:t xml:space="preserve"> is disappointed with this outcome and is currently reviewing next steps.</w:t>
            </w:r>
          </w:p>
        </w:tc>
      </w:tr>
      <w:tr w:rsidR="00897FAC" w:rsidRPr="00015520" w14:paraId="4FFCA2D9" w14:textId="77777777" w:rsidTr="00344CBB">
        <w:trPr>
          <w:cantSplit/>
          <w:trHeight w:val="2948"/>
          <w:jc w:val="center"/>
        </w:trPr>
        <w:tc>
          <w:tcPr>
            <w:tcW w:w="3013" w:type="dxa"/>
            <w:shd w:val="clear" w:color="auto" w:fill="auto"/>
            <w:tcMar>
              <w:top w:w="28" w:type="dxa"/>
              <w:bottom w:w="28" w:type="dxa"/>
            </w:tcMar>
            <w:vAlign w:val="center"/>
          </w:tcPr>
          <w:p w14:paraId="6FB1D75B" w14:textId="55D1ED87" w:rsidR="00A95B4F"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AVACOPAN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10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Tavneos</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001A6A97" w:rsidRPr="00015520">
              <w:rPr>
                <w:rFonts w:asciiTheme="minorHAnsi" w:hAnsiTheme="minorHAnsi" w:cstheme="minorHAnsi"/>
                <w:color w:val="000000"/>
                <w:sz w:val="18"/>
                <w:szCs w:val="18"/>
              </w:rPr>
              <w:t>Vifor</w:t>
            </w:r>
            <w:proofErr w:type="spellEnd"/>
            <w:r w:rsidR="001A6A97" w:rsidRPr="00015520">
              <w:rPr>
                <w:rFonts w:asciiTheme="minorHAnsi" w:hAnsiTheme="minorHAnsi" w:cstheme="minorHAnsi"/>
                <w:color w:val="000000"/>
                <w:sz w:val="18"/>
                <w:szCs w:val="18"/>
              </w:rPr>
              <w:t xml:space="preserve"> Pharma Pty Limited</w:t>
            </w:r>
            <w:r w:rsidR="001A6A97" w:rsidRPr="00015520">
              <w:rPr>
                <w:rFonts w:asciiTheme="minorHAnsi" w:hAnsiTheme="minorHAnsi" w:cstheme="minorHAnsi"/>
                <w:color w:val="000000"/>
                <w:sz w:val="18"/>
                <w:szCs w:val="18"/>
              </w:rPr>
              <w:br/>
            </w:r>
          </w:p>
          <w:p w14:paraId="46CBC672" w14:textId="7D90848F" w:rsidR="00897FAC" w:rsidRPr="00015520" w:rsidRDefault="00A95B4F"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1288EEF0" w14:textId="6D736BBD"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Severe active granulomatosis with polyangiitis (GPA) and severe active microscopic polyangiitis (MPA)</w:t>
            </w:r>
          </w:p>
        </w:tc>
        <w:tc>
          <w:tcPr>
            <w:tcW w:w="3098" w:type="dxa"/>
            <w:shd w:val="clear" w:color="auto" w:fill="auto"/>
            <w:tcMar>
              <w:top w:w="28" w:type="dxa"/>
              <w:bottom w:w="28" w:type="dxa"/>
            </w:tcMar>
            <w:vAlign w:val="center"/>
          </w:tcPr>
          <w:p w14:paraId="2A4339C4" w14:textId="79CAFE22"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for the treatment of severe active GPA and severe active MPA in combination with rituximab or cyclophosphamide/azathioprine.</w:t>
            </w:r>
          </w:p>
        </w:tc>
        <w:tc>
          <w:tcPr>
            <w:tcW w:w="1920" w:type="dxa"/>
            <w:shd w:val="clear" w:color="auto" w:fill="auto"/>
            <w:vAlign w:val="center"/>
          </w:tcPr>
          <w:p w14:paraId="700BE01A" w14:textId="7B8457F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5B0A0DA8" w14:textId="2D53CB4B" w:rsidR="00143EB0" w:rsidRDefault="00143EB0" w:rsidP="00DA1A59">
            <w:pPr>
              <w:rPr>
                <w:rFonts w:asciiTheme="minorHAnsi" w:hAnsiTheme="minorHAnsi" w:cstheme="minorHAnsi"/>
                <w:color w:val="000000"/>
                <w:sz w:val="18"/>
                <w:szCs w:val="18"/>
              </w:rPr>
            </w:pPr>
            <w:r w:rsidRPr="00143EB0">
              <w:rPr>
                <w:rFonts w:asciiTheme="minorHAnsi" w:hAnsiTheme="minorHAnsi" w:cstheme="minorHAnsi"/>
                <w:color w:val="000000"/>
                <w:sz w:val="18"/>
                <w:szCs w:val="18"/>
              </w:rPr>
              <w:t xml:space="preserve">The PBAC did not recommend the listing for </w:t>
            </w:r>
            <w:proofErr w:type="spellStart"/>
            <w:r w:rsidRPr="00143EB0">
              <w:rPr>
                <w:rFonts w:asciiTheme="minorHAnsi" w:hAnsiTheme="minorHAnsi" w:cstheme="minorHAnsi"/>
                <w:color w:val="000000"/>
                <w:sz w:val="18"/>
                <w:szCs w:val="18"/>
              </w:rPr>
              <w:t>avacopan</w:t>
            </w:r>
            <w:proofErr w:type="spellEnd"/>
            <w:r w:rsidRPr="00143EB0">
              <w:rPr>
                <w:rFonts w:asciiTheme="minorHAnsi" w:hAnsiTheme="minorHAnsi" w:cstheme="minorHAnsi"/>
                <w:color w:val="000000"/>
                <w:sz w:val="18"/>
                <w:szCs w:val="18"/>
              </w:rPr>
              <w:t xml:space="preserve"> for the treatment of severe active </w:t>
            </w:r>
            <w:r>
              <w:rPr>
                <w:rFonts w:asciiTheme="minorHAnsi" w:hAnsiTheme="minorHAnsi" w:cstheme="minorHAnsi"/>
                <w:color w:val="000000"/>
                <w:sz w:val="18"/>
                <w:szCs w:val="18"/>
              </w:rPr>
              <w:t xml:space="preserve">GPA </w:t>
            </w:r>
            <w:r w:rsidRPr="00143EB0">
              <w:rPr>
                <w:rFonts w:asciiTheme="minorHAnsi" w:hAnsiTheme="minorHAnsi" w:cstheme="minorHAnsi"/>
                <w:color w:val="000000"/>
                <w:sz w:val="18"/>
                <w:szCs w:val="18"/>
              </w:rPr>
              <w:t xml:space="preserve">or severe active </w:t>
            </w:r>
            <w:r>
              <w:rPr>
                <w:rFonts w:asciiTheme="minorHAnsi" w:hAnsiTheme="minorHAnsi" w:cstheme="minorHAnsi"/>
                <w:color w:val="000000"/>
                <w:sz w:val="18"/>
                <w:szCs w:val="18"/>
              </w:rPr>
              <w:t xml:space="preserve">MPA </w:t>
            </w:r>
            <w:r w:rsidRPr="00143EB0">
              <w:rPr>
                <w:rFonts w:asciiTheme="minorHAnsi" w:hAnsiTheme="minorHAnsi" w:cstheme="minorHAnsi"/>
                <w:color w:val="000000"/>
                <w:sz w:val="18"/>
                <w:szCs w:val="18"/>
              </w:rPr>
              <w:t xml:space="preserve">in combination with rituximab or cyclophosphamide/azathioprine. The PBAC acknowledged there was a clinical need for treatments that can be used to reduce exposure to glucocorticoids (GCs) in this condition. The PBAC considered the key clinical data from the ADVOCATE trial suggested the magnitude of benefit that </w:t>
            </w:r>
            <w:proofErr w:type="spellStart"/>
            <w:r w:rsidRPr="00143EB0">
              <w:rPr>
                <w:rFonts w:asciiTheme="minorHAnsi" w:hAnsiTheme="minorHAnsi" w:cstheme="minorHAnsi"/>
                <w:color w:val="000000"/>
                <w:sz w:val="18"/>
                <w:szCs w:val="18"/>
              </w:rPr>
              <w:t>avacopan</w:t>
            </w:r>
            <w:proofErr w:type="spellEnd"/>
            <w:r w:rsidR="00134057">
              <w:rPr>
                <w:rFonts w:asciiTheme="minorHAnsi" w:hAnsiTheme="minorHAnsi" w:cstheme="minorHAnsi"/>
                <w:color w:val="000000"/>
                <w:sz w:val="18"/>
                <w:szCs w:val="18"/>
              </w:rPr>
              <w:t xml:space="preserve"> and</w:t>
            </w:r>
            <w:r w:rsidRPr="00143EB0">
              <w:rPr>
                <w:rFonts w:asciiTheme="minorHAnsi" w:hAnsiTheme="minorHAnsi" w:cstheme="minorHAnsi"/>
                <w:color w:val="000000"/>
                <w:sz w:val="18"/>
                <w:szCs w:val="18"/>
              </w:rPr>
              <w:t xml:space="preserve"> standard of care (SOC) may provide in induction therapy compared to prednisolone </w:t>
            </w:r>
            <w:r w:rsidR="00134057">
              <w:rPr>
                <w:rFonts w:asciiTheme="minorHAnsi" w:hAnsiTheme="minorHAnsi" w:cstheme="minorHAnsi"/>
                <w:color w:val="000000"/>
                <w:sz w:val="18"/>
                <w:szCs w:val="18"/>
              </w:rPr>
              <w:t>and</w:t>
            </w:r>
            <w:r w:rsidR="00851AFC">
              <w:rPr>
                <w:rFonts w:asciiTheme="minorHAnsi" w:hAnsiTheme="minorHAnsi" w:cstheme="minorHAnsi"/>
                <w:color w:val="000000"/>
                <w:sz w:val="18"/>
                <w:szCs w:val="18"/>
              </w:rPr>
              <w:t xml:space="preserve"> </w:t>
            </w:r>
            <w:r w:rsidRPr="00143EB0">
              <w:rPr>
                <w:rFonts w:asciiTheme="minorHAnsi" w:hAnsiTheme="minorHAnsi" w:cstheme="minorHAnsi"/>
                <w:color w:val="000000"/>
                <w:sz w:val="18"/>
                <w:szCs w:val="18"/>
              </w:rPr>
              <w:t>SOC was limited to a potential reduction in GC use with no significant benefit in remission at 26</w:t>
            </w:r>
            <w:r>
              <w:rPr>
                <w:rFonts w:asciiTheme="minorHAnsi" w:hAnsiTheme="minorHAnsi" w:cstheme="minorHAnsi"/>
                <w:color w:val="000000"/>
                <w:sz w:val="18"/>
                <w:szCs w:val="18"/>
              </w:rPr>
              <w:t> </w:t>
            </w:r>
            <w:r w:rsidRPr="00143EB0">
              <w:rPr>
                <w:rFonts w:asciiTheme="minorHAnsi" w:hAnsiTheme="minorHAnsi" w:cstheme="minorHAnsi"/>
                <w:color w:val="000000"/>
                <w:sz w:val="18"/>
                <w:szCs w:val="18"/>
              </w:rPr>
              <w:t xml:space="preserve">weeks. In addition, the </w:t>
            </w:r>
            <w:r w:rsidR="00915AC6">
              <w:rPr>
                <w:rFonts w:asciiTheme="minorHAnsi" w:hAnsiTheme="minorHAnsi" w:cstheme="minorHAnsi"/>
                <w:color w:val="000000"/>
                <w:sz w:val="18"/>
                <w:szCs w:val="18"/>
              </w:rPr>
              <w:t>Committee</w:t>
            </w:r>
            <w:r w:rsidR="00915AC6" w:rsidRPr="00143EB0">
              <w:rPr>
                <w:rFonts w:asciiTheme="minorHAnsi" w:hAnsiTheme="minorHAnsi" w:cstheme="minorHAnsi"/>
                <w:color w:val="000000"/>
                <w:sz w:val="18"/>
                <w:szCs w:val="18"/>
              </w:rPr>
              <w:t xml:space="preserve"> </w:t>
            </w:r>
            <w:r w:rsidRPr="00143EB0">
              <w:rPr>
                <w:rFonts w:asciiTheme="minorHAnsi" w:hAnsiTheme="minorHAnsi" w:cstheme="minorHAnsi"/>
                <w:color w:val="000000"/>
                <w:sz w:val="18"/>
                <w:szCs w:val="18"/>
              </w:rPr>
              <w:t>considered the clinical evidence provided was inadequate to assess remission at 52 weeks and did not support comparative assessment of use as maintenance therapy. The PBAC considered the economic model was unreliable due to the uncertainties underpinning clinical data. Additional optimistic assumptions and inputs meant the PBAC considered the resulting incremental cost</w:t>
            </w:r>
            <w:r w:rsidR="00011394">
              <w:rPr>
                <w:rFonts w:asciiTheme="minorHAnsi" w:hAnsiTheme="minorHAnsi" w:cstheme="minorHAnsi"/>
                <w:color w:val="000000"/>
                <w:sz w:val="18"/>
                <w:szCs w:val="18"/>
              </w:rPr>
              <w:t>-</w:t>
            </w:r>
            <w:r w:rsidRPr="00143EB0">
              <w:rPr>
                <w:rFonts w:asciiTheme="minorHAnsi" w:hAnsiTheme="minorHAnsi" w:cstheme="minorHAnsi"/>
                <w:color w:val="000000"/>
                <w:sz w:val="18"/>
                <w:szCs w:val="18"/>
              </w:rPr>
              <w:t>effectiveness ratio was likely underestimated and highly uncertain.</w:t>
            </w:r>
          </w:p>
          <w:p w14:paraId="39383961" w14:textId="77777777" w:rsidR="00143EB0" w:rsidRPr="00851AFC" w:rsidRDefault="00143EB0" w:rsidP="00DA1A59">
            <w:pPr>
              <w:rPr>
                <w:rFonts w:asciiTheme="minorHAnsi" w:hAnsiTheme="minorHAnsi" w:cstheme="minorHAnsi"/>
                <w:color w:val="000000"/>
                <w:sz w:val="18"/>
                <w:szCs w:val="18"/>
              </w:rPr>
            </w:pPr>
          </w:p>
          <w:p w14:paraId="702FC90F" w14:textId="642E3091" w:rsidR="00DA1A59" w:rsidRDefault="00DA1A59" w:rsidP="00DA1A5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2A145BA" w14:textId="2AD81ABD" w:rsidR="00897FAC" w:rsidRPr="00015520" w:rsidRDefault="6451865E"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The sponsor had no comment.</w:t>
            </w:r>
          </w:p>
        </w:tc>
      </w:tr>
      <w:tr w:rsidR="00897FAC" w:rsidRPr="00015520" w14:paraId="160A6F61" w14:textId="77777777" w:rsidTr="00344CBB">
        <w:trPr>
          <w:cantSplit/>
          <w:trHeight w:val="2948"/>
          <w:jc w:val="center"/>
        </w:trPr>
        <w:tc>
          <w:tcPr>
            <w:tcW w:w="3013" w:type="dxa"/>
            <w:shd w:val="clear" w:color="auto" w:fill="auto"/>
            <w:tcMar>
              <w:top w:w="28" w:type="dxa"/>
              <w:bottom w:w="28" w:type="dxa"/>
            </w:tcMar>
            <w:vAlign w:val="center"/>
          </w:tcPr>
          <w:p w14:paraId="7C57905C" w14:textId="7E734883" w:rsidR="00C76D5D"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BUDESONIDE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500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micrograms (orally disintegrating) </w:t>
            </w:r>
            <w:r w:rsidRPr="00015520">
              <w:rPr>
                <w:rFonts w:asciiTheme="minorHAnsi" w:hAnsiTheme="minorHAnsi" w:cstheme="minorHAnsi"/>
                <w:color w:val="000000"/>
                <w:sz w:val="18"/>
                <w:szCs w:val="18"/>
              </w:rPr>
              <w:br/>
              <w:t>Tablet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(orally disintegrating)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Jorveza</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Dr Falk Pharma Australia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Pr="00C76D5D">
              <w:rPr>
                <w:rFonts w:asciiTheme="minorHAnsi" w:hAnsiTheme="minorHAnsi" w:cstheme="minorHAnsi"/>
                <w:color w:val="000000"/>
                <w:sz w:val="18"/>
                <w:szCs w:val="18"/>
              </w:rPr>
              <w:t>Matters outstanding</w:t>
            </w:r>
          </w:p>
          <w:p w14:paraId="59B8CAF2" w14:textId="633ED3FE" w:rsidR="00897FAC" w:rsidRPr="00015520" w:rsidRDefault="00C76D5D"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 </w:t>
            </w:r>
            <w:r w:rsidR="00897FAC" w:rsidRPr="00015520">
              <w:rPr>
                <w:rFonts w:asciiTheme="minorHAnsi" w:hAnsiTheme="minorHAnsi" w:cstheme="minorHAnsi"/>
                <w:color w:val="000000"/>
                <w:sz w:val="18"/>
                <w:szCs w:val="18"/>
              </w:rPr>
              <w:t>(Change to PBS listing)</w:t>
            </w:r>
          </w:p>
        </w:tc>
        <w:tc>
          <w:tcPr>
            <w:tcW w:w="2764" w:type="dxa"/>
            <w:shd w:val="clear" w:color="auto" w:fill="auto"/>
            <w:vAlign w:val="center"/>
          </w:tcPr>
          <w:p w14:paraId="214E87B3" w14:textId="745219EE"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Eosinophilic oesophagitis (</w:t>
            </w:r>
            <w:proofErr w:type="spellStart"/>
            <w:r w:rsidRPr="00015520">
              <w:rPr>
                <w:rFonts w:asciiTheme="minorHAnsi" w:hAnsiTheme="minorHAnsi" w:cstheme="minorHAnsi"/>
                <w:color w:val="000000"/>
                <w:sz w:val="18"/>
                <w:szCs w:val="18"/>
              </w:rPr>
              <w:t>EoE</w:t>
            </w:r>
            <w:proofErr w:type="spellEnd"/>
            <w:r w:rsidRPr="00015520">
              <w:rPr>
                <w:rFonts w:asciiTheme="minorHAnsi" w:hAnsiTheme="minorHAnsi" w:cstheme="minorHAnsi"/>
                <w:color w:val="000000"/>
                <w:sz w:val="18"/>
                <w:szCs w:val="18"/>
              </w:rPr>
              <w:t>)</w:t>
            </w:r>
          </w:p>
        </w:tc>
        <w:tc>
          <w:tcPr>
            <w:tcW w:w="3098" w:type="dxa"/>
            <w:shd w:val="clear" w:color="auto" w:fill="auto"/>
            <w:tcMar>
              <w:top w:w="28" w:type="dxa"/>
              <w:bottom w:w="28" w:type="dxa"/>
            </w:tcMar>
            <w:vAlign w:val="center"/>
          </w:tcPr>
          <w:p w14:paraId="5CB89313" w14:textId="64628B7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PBAC advice regarding the removal of the histological assessment to determine eligibility for continuing treatment as deferred at the March</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PBAC meeting</w:t>
            </w:r>
          </w:p>
        </w:tc>
        <w:tc>
          <w:tcPr>
            <w:tcW w:w="1920" w:type="dxa"/>
            <w:shd w:val="clear" w:color="auto" w:fill="auto"/>
            <w:vAlign w:val="center"/>
          </w:tcPr>
          <w:p w14:paraId="2FEF30D2" w14:textId="4C795466"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0630B7DE" w14:textId="2FD5F1E3"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extending the timeframe for a histological assessment (endoscopy) following initiation of treatment to determine treatment response</w:t>
            </w:r>
            <w:r w:rsidR="00952F06">
              <w:rPr>
                <w:rFonts w:asciiTheme="minorHAnsi" w:hAnsiTheme="minorHAnsi" w:cstheme="minorHAnsi"/>
                <w:color w:val="000000"/>
                <w:sz w:val="18"/>
                <w:szCs w:val="18"/>
              </w:rPr>
              <w:t xml:space="preserve"> and </w:t>
            </w:r>
            <w:r w:rsidRPr="00015520">
              <w:rPr>
                <w:rFonts w:asciiTheme="minorHAnsi" w:hAnsiTheme="minorHAnsi" w:cstheme="minorHAnsi"/>
                <w:color w:val="000000"/>
                <w:sz w:val="18"/>
                <w:szCs w:val="18"/>
              </w:rPr>
              <w:t>eligibility for continuing treatment with</w:t>
            </w:r>
            <w:r w:rsidR="00952F06">
              <w:rPr>
                <w:rFonts w:asciiTheme="minorHAnsi" w:hAnsiTheme="minorHAnsi" w:cstheme="minorHAnsi"/>
                <w:color w:val="000000"/>
                <w:sz w:val="18"/>
                <w:szCs w:val="18"/>
              </w:rPr>
              <w:t xml:space="preserve"> </w:t>
            </w:r>
            <w:r w:rsidR="00952F06" w:rsidRPr="00952F06">
              <w:rPr>
                <w:rFonts w:asciiTheme="minorHAnsi" w:hAnsiTheme="minorHAnsi" w:cstheme="minorHAnsi"/>
                <w:color w:val="000000"/>
                <w:sz w:val="18"/>
                <w:szCs w:val="18"/>
              </w:rPr>
              <w:t>budesonide orally disintegrating tablets</w:t>
            </w:r>
            <w:r w:rsidRPr="00015520">
              <w:rPr>
                <w:rFonts w:asciiTheme="minorHAnsi" w:hAnsiTheme="minorHAnsi" w:cstheme="minorHAnsi"/>
                <w:color w:val="000000"/>
                <w:sz w:val="18"/>
                <w:szCs w:val="18"/>
              </w:rPr>
              <w:t xml:space="preserve"> </w:t>
            </w:r>
            <w:r w:rsidR="00952F06">
              <w:rPr>
                <w:rFonts w:asciiTheme="minorHAnsi" w:hAnsiTheme="minorHAnsi" w:cstheme="minorHAnsi"/>
                <w:color w:val="000000"/>
                <w:sz w:val="18"/>
                <w:szCs w:val="18"/>
              </w:rPr>
              <w:t>(</w:t>
            </w:r>
            <w:r w:rsidRPr="00015520">
              <w:rPr>
                <w:rFonts w:asciiTheme="minorHAnsi" w:hAnsiTheme="minorHAnsi" w:cstheme="minorHAnsi"/>
                <w:color w:val="000000"/>
                <w:sz w:val="18"/>
                <w:szCs w:val="18"/>
              </w:rPr>
              <w:t>BOT</w:t>
            </w:r>
            <w:r w:rsidR="00952F06">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500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micrograms and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for </w:t>
            </w:r>
            <w:proofErr w:type="spellStart"/>
            <w:r w:rsidRPr="00015520">
              <w:rPr>
                <w:rFonts w:asciiTheme="minorHAnsi" w:hAnsiTheme="minorHAnsi" w:cstheme="minorHAnsi"/>
                <w:color w:val="000000"/>
                <w:sz w:val="18"/>
                <w:szCs w:val="18"/>
              </w:rPr>
              <w:t>EoE</w:t>
            </w:r>
            <w:proofErr w:type="spellEnd"/>
            <w:r w:rsidRPr="00015520">
              <w:rPr>
                <w:rFonts w:asciiTheme="minorHAnsi" w:hAnsiTheme="minorHAnsi" w:cstheme="minorHAnsi"/>
                <w:color w:val="000000"/>
                <w:sz w:val="18"/>
                <w:szCs w:val="18"/>
              </w:rPr>
              <w:t>. The PBAC considered that the timeframe could be extended from 8</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10 weeks to within 12</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months of starting treatment. The PBAC recommended patients could continue to access BOT through the PBS until they have the repeat endoscopy, subject to advice provided by their treating clinician.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The PBAC recalled the concerns raised in the </w:t>
            </w:r>
            <w:r w:rsidR="00952F06" w:rsidRPr="00015520">
              <w:rPr>
                <w:rFonts w:asciiTheme="minorHAnsi" w:hAnsiTheme="minorHAnsi" w:cstheme="minorHAnsi"/>
                <w:color w:val="000000"/>
                <w:sz w:val="18"/>
                <w:szCs w:val="18"/>
              </w:rPr>
              <w:t>March</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submission that clinicians reported challenges for clinicians and patients in obtaining a follow-up endoscopy within the 8</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10 week timeframe. The PBAC noted advice received from the Gastroenterological Society of Australia (GESA) that the current requirement for a second endoscopy within 8</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10 weeks was difficult to meet, but a histological follow-up is still best practice. The PBAC noted GESA’s suggestion to extend the time for a follow-up endoscopy. The PBAC also noted advice from GESA that BOT is well tolerated and has a favourable adverse effect profile and considered the risk to patients in extending the time for a follow-up endoscopy would be low.</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The PBAC noted the findings from the utilisation review of BOT by the Drug Utilisation Sub-Committee (DUSC) and the projected use of BOT for 12 months since initial listing. The PBAC noted the number of patients accessing continuing treatment was lower than predicted. The PBAC asked DUSC to continue to monitor the use of BOT and undertake a repeat review of its utilisation in 12 months’ time.</w:t>
            </w:r>
          </w:p>
        </w:tc>
      </w:tr>
      <w:tr w:rsidR="00897FAC" w:rsidRPr="00015520" w14:paraId="7750751C" w14:textId="77777777" w:rsidTr="00344CBB">
        <w:trPr>
          <w:cantSplit/>
          <w:trHeight w:val="2948"/>
          <w:jc w:val="center"/>
        </w:trPr>
        <w:tc>
          <w:tcPr>
            <w:tcW w:w="3013" w:type="dxa"/>
            <w:shd w:val="clear" w:color="auto" w:fill="auto"/>
            <w:tcMar>
              <w:top w:w="28" w:type="dxa"/>
              <w:bottom w:w="28" w:type="dxa"/>
            </w:tcMar>
            <w:vAlign w:val="center"/>
          </w:tcPr>
          <w:p w14:paraId="4CE18BE8" w14:textId="77777777" w:rsidR="00D313FB" w:rsidRPr="00015520" w:rsidRDefault="00D313FB"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CABOTEGRAVIR</w:t>
            </w:r>
          </w:p>
          <w:p w14:paraId="03C12537" w14:textId="77777777" w:rsidR="00D313FB" w:rsidRPr="00015520" w:rsidRDefault="00D313FB" w:rsidP="008542C1">
            <w:pPr>
              <w:keepLines/>
              <w:jc w:val="center"/>
              <w:rPr>
                <w:rFonts w:asciiTheme="minorHAnsi" w:hAnsiTheme="minorHAnsi" w:cstheme="minorHAnsi"/>
                <w:color w:val="000000"/>
                <w:sz w:val="18"/>
                <w:szCs w:val="18"/>
              </w:rPr>
            </w:pPr>
          </w:p>
          <w:p w14:paraId="23BD71F8" w14:textId="45FBCFA2" w:rsidR="00D313FB" w:rsidRPr="00015520" w:rsidRDefault="00D313FB"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Suspension for injection 600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3</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p>
          <w:p w14:paraId="35C9F968" w14:textId="77777777" w:rsidR="00D313FB" w:rsidRPr="00015520" w:rsidRDefault="00D313FB" w:rsidP="008542C1">
            <w:pPr>
              <w:keepLines/>
              <w:jc w:val="center"/>
              <w:rPr>
                <w:rFonts w:asciiTheme="minorHAnsi" w:hAnsiTheme="minorHAnsi" w:cstheme="minorHAnsi"/>
                <w:color w:val="000000"/>
                <w:sz w:val="18"/>
                <w:szCs w:val="18"/>
              </w:rPr>
            </w:pPr>
          </w:p>
          <w:p w14:paraId="2071DB1B" w14:textId="77777777" w:rsidR="00D313FB" w:rsidRPr="00015520" w:rsidRDefault="00D313FB" w:rsidP="008542C1">
            <w:pPr>
              <w:keepLines/>
              <w:jc w:val="center"/>
              <w:rPr>
                <w:rFonts w:asciiTheme="minorHAnsi" w:hAnsiTheme="minorHAnsi" w:cstheme="minorHAnsi"/>
                <w:color w:val="000000"/>
                <w:sz w:val="18"/>
                <w:szCs w:val="18"/>
              </w:rPr>
            </w:pPr>
            <w:proofErr w:type="spellStart"/>
            <w:r w:rsidRPr="00015520">
              <w:rPr>
                <w:rFonts w:asciiTheme="minorHAnsi" w:hAnsiTheme="minorHAnsi" w:cstheme="minorHAnsi"/>
                <w:color w:val="000000"/>
                <w:sz w:val="18"/>
                <w:szCs w:val="18"/>
              </w:rPr>
              <w:t>Apretude</w:t>
            </w:r>
            <w:proofErr w:type="spellEnd"/>
            <w:r w:rsidRPr="00015520">
              <w:rPr>
                <w:rFonts w:asciiTheme="minorHAnsi" w:hAnsiTheme="minorHAnsi" w:cstheme="minorHAnsi"/>
                <w:color w:val="000000"/>
                <w:sz w:val="18"/>
                <w:szCs w:val="18"/>
              </w:rPr>
              <w:t>®</w:t>
            </w:r>
          </w:p>
          <w:p w14:paraId="4AEF69DC" w14:textId="77777777" w:rsidR="00D313FB" w:rsidRPr="00015520" w:rsidRDefault="00D313FB" w:rsidP="008542C1">
            <w:pPr>
              <w:keepLines/>
              <w:jc w:val="center"/>
              <w:rPr>
                <w:rFonts w:asciiTheme="minorHAnsi" w:hAnsiTheme="minorHAnsi" w:cstheme="minorHAnsi"/>
                <w:color w:val="000000"/>
                <w:sz w:val="18"/>
                <w:szCs w:val="18"/>
              </w:rPr>
            </w:pPr>
          </w:p>
          <w:p w14:paraId="5DBCE899" w14:textId="28D30E23" w:rsidR="00D313FB" w:rsidRPr="00015520" w:rsidRDefault="001A6A97" w:rsidP="008542C1">
            <w:pPr>
              <w:keepLines/>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V</w:t>
            </w:r>
            <w:r w:rsidRPr="00015520">
              <w:rPr>
                <w:rFonts w:asciiTheme="minorHAnsi" w:hAnsiTheme="minorHAnsi" w:cstheme="minorHAnsi"/>
                <w:color w:val="000000"/>
                <w:sz w:val="18"/>
                <w:szCs w:val="18"/>
              </w:rPr>
              <w:t>ii</w:t>
            </w:r>
            <w:r w:rsidR="00422E7D">
              <w:rPr>
                <w:rFonts w:asciiTheme="minorHAnsi" w:hAnsiTheme="minorHAnsi" w:cstheme="minorHAnsi"/>
                <w:color w:val="000000"/>
                <w:sz w:val="18"/>
                <w:szCs w:val="18"/>
              </w:rPr>
              <w:t>V</w:t>
            </w:r>
            <w:proofErr w:type="spellEnd"/>
            <w:r w:rsidRPr="00015520">
              <w:rPr>
                <w:rFonts w:asciiTheme="minorHAnsi" w:hAnsiTheme="minorHAnsi" w:cstheme="minorHAnsi"/>
                <w:color w:val="000000"/>
                <w:sz w:val="18"/>
                <w:szCs w:val="18"/>
              </w:rPr>
              <w:t xml:space="preserve"> </w:t>
            </w:r>
            <w:r>
              <w:rPr>
                <w:rFonts w:asciiTheme="minorHAnsi" w:hAnsiTheme="minorHAnsi" w:cstheme="minorHAnsi"/>
                <w:color w:val="000000"/>
                <w:sz w:val="18"/>
                <w:szCs w:val="18"/>
              </w:rPr>
              <w:t>H</w:t>
            </w:r>
            <w:r w:rsidRPr="00015520">
              <w:rPr>
                <w:rFonts w:asciiTheme="minorHAnsi" w:hAnsiTheme="minorHAnsi" w:cstheme="minorHAnsi"/>
                <w:color w:val="000000"/>
                <w:sz w:val="18"/>
                <w:szCs w:val="18"/>
              </w:rPr>
              <w:t xml:space="preserve">ealthcare </w:t>
            </w:r>
            <w:r>
              <w:rPr>
                <w:rFonts w:asciiTheme="minorHAnsi" w:hAnsiTheme="minorHAnsi" w:cstheme="minorHAnsi"/>
                <w:color w:val="000000"/>
                <w:sz w:val="18"/>
                <w:szCs w:val="18"/>
              </w:rPr>
              <w:t>P</w:t>
            </w:r>
            <w:r w:rsidRPr="00015520">
              <w:rPr>
                <w:rFonts w:asciiTheme="minorHAnsi" w:hAnsiTheme="minorHAnsi" w:cstheme="minorHAnsi"/>
                <w:color w:val="000000"/>
                <w:sz w:val="18"/>
                <w:szCs w:val="18"/>
              </w:rPr>
              <w:t xml:space="preserve">ty </w:t>
            </w:r>
            <w:r>
              <w:rPr>
                <w:rFonts w:asciiTheme="minorHAnsi" w:hAnsiTheme="minorHAnsi" w:cstheme="minorHAnsi"/>
                <w:color w:val="000000"/>
                <w:sz w:val="18"/>
                <w:szCs w:val="18"/>
              </w:rPr>
              <w:t>L</w:t>
            </w:r>
            <w:r w:rsidRPr="00015520">
              <w:rPr>
                <w:rFonts w:asciiTheme="minorHAnsi" w:hAnsiTheme="minorHAnsi" w:cstheme="minorHAnsi"/>
                <w:color w:val="000000"/>
                <w:sz w:val="18"/>
                <w:szCs w:val="18"/>
              </w:rPr>
              <w:t>td</w:t>
            </w:r>
          </w:p>
          <w:p w14:paraId="333420F5" w14:textId="43928443" w:rsidR="00D313FB" w:rsidRDefault="00D313FB" w:rsidP="008542C1">
            <w:pPr>
              <w:keepLines/>
              <w:jc w:val="center"/>
              <w:rPr>
                <w:rFonts w:asciiTheme="minorHAnsi" w:hAnsiTheme="minorHAnsi" w:cstheme="minorHAnsi"/>
                <w:color w:val="000000"/>
                <w:sz w:val="18"/>
                <w:szCs w:val="18"/>
              </w:rPr>
            </w:pPr>
          </w:p>
          <w:p w14:paraId="66E8E2E4" w14:textId="239AC2BD" w:rsidR="00A95B4F" w:rsidRPr="00015520" w:rsidRDefault="00A95B4F"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C76D5D">
              <w:rPr>
                <w:rFonts w:asciiTheme="minorHAnsi" w:hAnsiTheme="minorHAnsi" w:cstheme="minorHAnsi"/>
                <w:color w:val="000000"/>
                <w:sz w:val="18"/>
                <w:szCs w:val="18"/>
              </w:rPr>
              <w:t xml:space="preserve"> submission</w:t>
            </w:r>
          </w:p>
          <w:p w14:paraId="15F4BEA7" w14:textId="71E115A4" w:rsidR="00897FAC" w:rsidRPr="00015520" w:rsidRDefault="00D313FB"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(New listing)</w:t>
            </w:r>
          </w:p>
        </w:tc>
        <w:tc>
          <w:tcPr>
            <w:tcW w:w="2764" w:type="dxa"/>
            <w:shd w:val="clear" w:color="auto" w:fill="auto"/>
            <w:vAlign w:val="center"/>
          </w:tcPr>
          <w:p w14:paraId="6942B8E0" w14:textId="5930C806"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Pre-exposure prophylaxis </w:t>
            </w:r>
            <w:r w:rsidR="00143EB0" w:rsidRPr="00143EB0">
              <w:rPr>
                <w:rFonts w:asciiTheme="minorHAnsi" w:hAnsiTheme="minorHAnsi" w:cstheme="minorHAnsi"/>
                <w:color w:val="000000"/>
                <w:sz w:val="18"/>
                <w:szCs w:val="18"/>
              </w:rPr>
              <w:t>for human immunodeficiency virus (HIV)</w:t>
            </w:r>
            <w:r w:rsidRPr="00015520">
              <w:rPr>
                <w:rFonts w:asciiTheme="minorHAnsi" w:hAnsiTheme="minorHAnsi" w:cstheme="minorHAnsi"/>
                <w:color w:val="000000"/>
                <w:sz w:val="18"/>
                <w:szCs w:val="18"/>
              </w:rPr>
              <w:t xml:space="preserve"> infection</w:t>
            </w:r>
          </w:p>
        </w:tc>
        <w:tc>
          <w:tcPr>
            <w:tcW w:w="3098" w:type="dxa"/>
            <w:shd w:val="clear" w:color="auto" w:fill="auto"/>
            <w:tcMar>
              <w:top w:w="28" w:type="dxa"/>
              <w:bottom w:w="28" w:type="dxa"/>
            </w:tcMar>
            <w:vAlign w:val="center"/>
          </w:tcPr>
          <w:p w14:paraId="3FBB49A8" w14:textId="038BC1AC"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a General Schedule Authority Required (STREAMLINED) listing for use as pre-exposure prophylaxis </w:t>
            </w:r>
            <w:r w:rsidR="00143EB0" w:rsidRPr="00143EB0">
              <w:rPr>
                <w:rFonts w:asciiTheme="minorHAnsi" w:hAnsiTheme="minorHAnsi" w:cstheme="minorHAnsi"/>
                <w:color w:val="000000"/>
                <w:sz w:val="18"/>
                <w:szCs w:val="18"/>
              </w:rPr>
              <w:t>(</w:t>
            </w:r>
            <w:proofErr w:type="spellStart"/>
            <w:r w:rsidR="00143EB0" w:rsidRPr="00143EB0">
              <w:rPr>
                <w:rFonts w:asciiTheme="minorHAnsi" w:hAnsiTheme="minorHAnsi" w:cstheme="minorHAnsi"/>
                <w:color w:val="000000"/>
                <w:sz w:val="18"/>
                <w:szCs w:val="18"/>
              </w:rPr>
              <w:t>PrEP</w:t>
            </w:r>
            <w:proofErr w:type="spellEnd"/>
            <w:r w:rsidR="00143EB0" w:rsidRPr="00143EB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for HIV infection in persons in whom tenofovir/emtricitabine</w:t>
            </w:r>
            <w:r w:rsidR="00143EB0">
              <w:rPr>
                <w:rFonts w:asciiTheme="minorHAnsi" w:hAnsiTheme="minorHAnsi" w:cstheme="minorHAnsi"/>
                <w:color w:val="000000"/>
                <w:sz w:val="18"/>
                <w:szCs w:val="18"/>
              </w:rPr>
              <w:t xml:space="preserve"> </w:t>
            </w:r>
            <w:r w:rsidR="00143EB0" w:rsidRPr="00143EB0">
              <w:rPr>
                <w:rFonts w:asciiTheme="minorHAnsi" w:hAnsiTheme="minorHAnsi" w:cstheme="minorHAnsi"/>
                <w:color w:val="000000"/>
                <w:sz w:val="18"/>
                <w:szCs w:val="18"/>
              </w:rPr>
              <w:t xml:space="preserve">(TD/FTC) </w:t>
            </w:r>
            <w:r w:rsidRPr="00015520">
              <w:rPr>
                <w:rFonts w:asciiTheme="minorHAnsi" w:hAnsiTheme="minorHAnsi" w:cstheme="minorHAnsi"/>
                <w:color w:val="000000"/>
                <w:sz w:val="18"/>
                <w:szCs w:val="18"/>
              </w:rPr>
              <w:t>is contraindicated.</w:t>
            </w:r>
          </w:p>
        </w:tc>
        <w:tc>
          <w:tcPr>
            <w:tcW w:w="1920" w:type="dxa"/>
            <w:shd w:val="clear" w:color="auto" w:fill="auto"/>
            <w:vAlign w:val="center"/>
          </w:tcPr>
          <w:p w14:paraId="0F059B89" w14:textId="4F299EB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Deferred</w:t>
            </w:r>
          </w:p>
        </w:tc>
        <w:tc>
          <w:tcPr>
            <w:tcW w:w="4593" w:type="dxa"/>
            <w:shd w:val="clear" w:color="auto" w:fill="auto"/>
            <w:vAlign w:val="center"/>
          </w:tcPr>
          <w:p w14:paraId="48C5B010" w14:textId="0B04DAAD" w:rsidR="00143EB0" w:rsidRPr="00143EB0" w:rsidRDefault="00143EB0" w:rsidP="00143EB0">
            <w:pPr>
              <w:rPr>
                <w:rFonts w:asciiTheme="minorHAnsi" w:hAnsiTheme="minorHAnsi" w:cstheme="minorHAnsi"/>
                <w:color w:val="000000"/>
                <w:sz w:val="18"/>
                <w:szCs w:val="18"/>
              </w:rPr>
            </w:pPr>
            <w:r w:rsidRPr="00143EB0">
              <w:rPr>
                <w:rFonts w:asciiTheme="minorHAnsi" w:hAnsiTheme="minorHAnsi" w:cstheme="minorHAnsi"/>
                <w:color w:val="000000"/>
                <w:sz w:val="18"/>
                <w:szCs w:val="18"/>
              </w:rPr>
              <w:t xml:space="preserve">The PBAC deferred making a recommendation for the General Schedule listing of cabotegravir long-acting injection (CAB-LA) for HIV </w:t>
            </w:r>
            <w:proofErr w:type="spellStart"/>
            <w:r w:rsidRPr="00143EB0">
              <w:rPr>
                <w:rFonts w:asciiTheme="minorHAnsi" w:hAnsiTheme="minorHAnsi" w:cstheme="minorHAnsi"/>
                <w:color w:val="000000"/>
                <w:sz w:val="18"/>
                <w:szCs w:val="18"/>
              </w:rPr>
              <w:t>PrEP</w:t>
            </w:r>
            <w:proofErr w:type="spellEnd"/>
            <w:r w:rsidRPr="00143EB0">
              <w:rPr>
                <w:rFonts w:asciiTheme="minorHAnsi" w:hAnsiTheme="minorHAnsi" w:cstheme="minorHAnsi"/>
                <w:color w:val="000000"/>
                <w:sz w:val="18"/>
                <w:szCs w:val="18"/>
              </w:rPr>
              <w:t xml:space="preserve"> to allow further deliberation on the population who should be eligible for CAB-LA as </w:t>
            </w:r>
            <w:proofErr w:type="spellStart"/>
            <w:r w:rsidRPr="00143EB0">
              <w:rPr>
                <w:rFonts w:asciiTheme="minorHAnsi" w:hAnsiTheme="minorHAnsi" w:cstheme="minorHAnsi"/>
                <w:color w:val="000000"/>
                <w:sz w:val="18"/>
                <w:szCs w:val="18"/>
              </w:rPr>
              <w:t>PrEP</w:t>
            </w:r>
            <w:proofErr w:type="spellEnd"/>
            <w:r w:rsidRPr="00143EB0">
              <w:rPr>
                <w:rFonts w:asciiTheme="minorHAnsi" w:hAnsiTheme="minorHAnsi" w:cstheme="minorHAnsi"/>
                <w:color w:val="000000"/>
                <w:sz w:val="18"/>
                <w:szCs w:val="18"/>
              </w:rPr>
              <w:t xml:space="preserve"> and the associated PBS restrictions. </w:t>
            </w:r>
          </w:p>
          <w:p w14:paraId="63003319" w14:textId="77777777" w:rsidR="00143EB0" w:rsidRPr="00143EB0" w:rsidRDefault="00143EB0" w:rsidP="00143EB0">
            <w:pPr>
              <w:rPr>
                <w:rFonts w:asciiTheme="minorHAnsi" w:hAnsiTheme="minorHAnsi" w:cstheme="minorHAnsi"/>
                <w:color w:val="000000"/>
                <w:sz w:val="18"/>
                <w:szCs w:val="18"/>
              </w:rPr>
            </w:pPr>
          </w:p>
          <w:p w14:paraId="60581388" w14:textId="27FB9F87" w:rsidR="00143EB0" w:rsidRDefault="00143EB0" w:rsidP="00143EB0">
            <w:pPr>
              <w:rPr>
                <w:rFonts w:asciiTheme="minorHAnsi" w:hAnsiTheme="minorHAnsi" w:cstheme="minorHAnsi"/>
                <w:color w:val="000000"/>
                <w:sz w:val="18"/>
                <w:szCs w:val="18"/>
              </w:rPr>
            </w:pPr>
            <w:r w:rsidRPr="00143EB0">
              <w:rPr>
                <w:rFonts w:asciiTheme="minorHAnsi" w:hAnsiTheme="minorHAnsi" w:cstheme="minorHAnsi"/>
                <w:color w:val="000000"/>
                <w:sz w:val="18"/>
                <w:szCs w:val="18"/>
              </w:rPr>
              <w:t xml:space="preserve">The PBAC noted the submission requested a listing for CAB-LA as </w:t>
            </w:r>
            <w:proofErr w:type="spellStart"/>
            <w:r w:rsidRPr="00143EB0">
              <w:rPr>
                <w:rFonts w:asciiTheme="minorHAnsi" w:hAnsiTheme="minorHAnsi" w:cstheme="minorHAnsi"/>
                <w:color w:val="000000"/>
                <w:sz w:val="18"/>
                <w:szCs w:val="18"/>
              </w:rPr>
              <w:t>PrEP</w:t>
            </w:r>
            <w:proofErr w:type="spellEnd"/>
            <w:r w:rsidRPr="00143EB0">
              <w:rPr>
                <w:rFonts w:asciiTheme="minorHAnsi" w:hAnsiTheme="minorHAnsi" w:cstheme="minorHAnsi"/>
                <w:color w:val="000000"/>
                <w:sz w:val="18"/>
                <w:szCs w:val="18"/>
              </w:rPr>
              <w:t xml:space="preserve"> only for people who are contraindicated or intolerant to, or were repeatedly non-adherent to oral TD/FTC to the extent efficacy and safety were compromised. The PBAC did, however, consider the clinical need for CAB-LA as a long-acting option arises from a diverse range of motivations and needs and was of the view </w:t>
            </w:r>
            <w:r w:rsidR="00134057">
              <w:rPr>
                <w:rFonts w:asciiTheme="minorHAnsi" w:hAnsiTheme="minorHAnsi" w:cstheme="minorHAnsi"/>
                <w:color w:val="000000"/>
                <w:sz w:val="18"/>
                <w:szCs w:val="18"/>
              </w:rPr>
              <w:t xml:space="preserve">that </w:t>
            </w:r>
            <w:r w:rsidRPr="00143EB0">
              <w:rPr>
                <w:rFonts w:asciiTheme="minorHAnsi" w:hAnsiTheme="minorHAnsi" w:cstheme="minorHAnsi"/>
                <w:color w:val="000000"/>
                <w:sz w:val="18"/>
                <w:szCs w:val="18"/>
              </w:rPr>
              <w:t>the PBS restrictions required further consideration and discussion with the Sponsor (</w:t>
            </w:r>
            <w:proofErr w:type="spellStart"/>
            <w:r w:rsidRPr="00143EB0">
              <w:rPr>
                <w:rFonts w:asciiTheme="minorHAnsi" w:hAnsiTheme="minorHAnsi" w:cstheme="minorHAnsi"/>
                <w:color w:val="000000"/>
                <w:sz w:val="18"/>
                <w:szCs w:val="18"/>
              </w:rPr>
              <w:t>Vii</w:t>
            </w:r>
            <w:r w:rsidR="00422E7D">
              <w:rPr>
                <w:rFonts w:asciiTheme="minorHAnsi" w:hAnsiTheme="minorHAnsi" w:cstheme="minorHAnsi"/>
                <w:color w:val="000000"/>
                <w:sz w:val="18"/>
                <w:szCs w:val="18"/>
              </w:rPr>
              <w:t>V</w:t>
            </w:r>
            <w:proofErr w:type="spellEnd"/>
            <w:r w:rsidRPr="00143EB0">
              <w:rPr>
                <w:rFonts w:asciiTheme="minorHAnsi" w:hAnsiTheme="minorHAnsi" w:cstheme="minorHAnsi"/>
                <w:color w:val="000000"/>
                <w:sz w:val="18"/>
                <w:szCs w:val="18"/>
              </w:rPr>
              <w:t xml:space="preserve"> Healthcare Pty Ltd) to achieve an equitable and cost</w:t>
            </w:r>
            <w:r w:rsidR="00134057">
              <w:rPr>
                <w:rFonts w:asciiTheme="minorHAnsi" w:hAnsiTheme="minorHAnsi" w:cstheme="minorHAnsi"/>
                <w:color w:val="000000"/>
                <w:sz w:val="18"/>
                <w:szCs w:val="18"/>
              </w:rPr>
              <w:t> - </w:t>
            </w:r>
            <w:r w:rsidRPr="00143EB0">
              <w:rPr>
                <w:rFonts w:asciiTheme="minorHAnsi" w:hAnsiTheme="minorHAnsi" w:cstheme="minorHAnsi"/>
                <w:color w:val="000000"/>
                <w:sz w:val="18"/>
                <w:szCs w:val="18"/>
              </w:rPr>
              <w:t>effective listing for CAB-LA.</w:t>
            </w:r>
          </w:p>
          <w:p w14:paraId="15A62464" w14:textId="77777777" w:rsidR="00143EB0" w:rsidRPr="00134057" w:rsidRDefault="00143EB0" w:rsidP="00143EB0">
            <w:pPr>
              <w:rPr>
                <w:rFonts w:asciiTheme="minorHAnsi" w:hAnsiTheme="minorHAnsi" w:cstheme="minorHAnsi"/>
                <w:color w:val="000000"/>
                <w:sz w:val="18"/>
                <w:szCs w:val="18"/>
              </w:rPr>
            </w:pPr>
          </w:p>
          <w:p w14:paraId="24452FE6" w14:textId="19B52565" w:rsidR="00506192" w:rsidRPr="00015520" w:rsidRDefault="00506192"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u w:val="single"/>
              </w:rPr>
              <w:t>Sponsor’s Comment:</w:t>
            </w:r>
          </w:p>
          <w:p w14:paraId="652C80A7" w14:textId="0B8207A9" w:rsidR="00897FAC" w:rsidRPr="00015520" w:rsidRDefault="2C1EC6F0" w:rsidP="62154131">
            <w:pPr>
              <w:rPr>
                <w:rFonts w:asciiTheme="minorHAnsi" w:hAnsiTheme="minorHAnsi" w:cstheme="minorBidi"/>
                <w:color w:val="000000"/>
                <w:sz w:val="18"/>
                <w:szCs w:val="18"/>
              </w:rPr>
            </w:pPr>
            <w:proofErr w:type="spellStart"/>
            <w:r w:rsidRPr="62154131">
              <w:rPr>
                <w:rFonts w:asciiTheme="minorHAnsi" w:hAnsiTheme="minorHAnsi" w:cstheme="minorBidi"/>
                <w:color w:val="000000" w:themeColor="text1"/>
                <w:sz w:val="18"/>
                <w:szCs w:val="18"/>
              </w:rPr>
              <w:t>ViiV</w:t>
            </w:r>
            <w:proofErr w:type="spellEnd"/>
            <w:r w:rsidRPr="62154131">
              <w:rPr>
                <w:rFonts w:asciiTheme="minorHAnsi" w:hAnsiTheme="minorHAnsi" w:cstheme="minorBidi"/>
                <w:color w:val="000000" w:themeColor="text1"/>
                <w:sz w:val="18"/>
                <w:szCs w:val="18"/>
              </w:rPr>
              <w:t xml:space="preserve"> Healthcare welcomes the PBAC’s recognition that CAB</w:t>
            </w:r>
            <w:r w:rsidR="003564E7">
              <w:rPr>
                <w:rFonts w:asciiTheme="minorHAnsi" w:hAnsiTheme="minorHAnsi" w:cstheme="minorBidi"/>
                <w:color w:val="000000" w:themeColor="text1"/>
                <w:sz w:val="18"/>
                <w:szCs w:val="18"/>
              </w:rPr>
              <w:t> </w:t>
            </w:r>
            <w:r w:rsidRPr="62154131">
              <w:rPr>
                <w:rFonts w:asciiTheme="minorHAnsi" w:hAnsiTheme="minorHAnsi" w:cstheme="minorBidi"/>
                <w:color w:val="000000" w:themeColor="text1"/>
                <w:sz w:val="18"/>
                <w:szCs w:val="18"/>
              </w:rPr>
              <w:t>-</w:t>
            </w:r>
            <w:r w:rsidR="003564E7">
              <w:rPr>
                <w:rFonts w:asciiTheme="minorHAnsi" w:hAnsiTheme="minorHAnsi" w:cstheme="minorBidi"/>
                <w:color w:val="000000" w:themeColor="text1"/>
                <w:sz w:val="18"/>
                <w:szCs w:val="18"/>
              </w:rPr>
              <w:t> </w:t>
            </w:r>
            <w:r w:rsidRPr="62154131">
              <w:rPr>
                <w:rFonts w:asciiTheme="minorHAnsi" w:hAnsiTheme="minorHAnsi" w:cstheme="minorBidi"/>
                <w:color w:val="000000" w:themeColor="text1"/>
                <w:sz w:val="18"/>
                <w:szCs w:val="18"/>
              </w:rPr>
              <w:t xml:space="preserve">LA </w:t>
            </w:r>
            <w:proofErr w:type="spellStart"/>
            <w:r w:rsidRPr="62154131">
              <w:rPr>
                <w:rFonts w:asciiTheme="minorHAnsi" w:hAnsiTheme="minorHAnsi" w:cstheme="minorBidi"/>
                <w:color w:val="000000" w:themeColor="text1"/>
                <w:sz w:val="18"/>
                <w:szCs w:val="18"/>
              </w:rPr>
              <w:t>PrEP</w:t>
            </w:r>
            <w:proofErr w:type="spellEnd"/>
            <w:r w:rsidRPr="62154131">
              <w:rPr>
                <w:rFonts w:asciiTheme="minorHAnsi" w:hAnsiTheme="minorHAnsi" w:cstheme="minorBidi"/>
                <w:color w:val="000000" w:themeColor="text1"/>
                <w:sz w:val="18"/>
                <w:szCs w:val="18"/>
              </w:rPr>
              <w:t xml:space="preserve"> is an important option for people who cannot use oral </w:t>
            </w:r>
            <w:proofErr w:type="spellStart"/>
            <w:r w:rsidRPr="62154131">
              <w:rPr>
                <w:rFonts w:asciiTheme="minorHAnsi" w:hAnsiTheme="minorHAnsi" w:cstheme="minorBidi"/>
                <w:color w:val="000000" w:themeColor="text1"/>
                <w:sz w:val="18"/>
                <w:szCs w:val="18"/>
              </w:rPr>
              <w:t>PrEP</w:t>
            </w:r>
            <w:proofErr w:type="spellEnd"/>
            <w:r w:rsidRPr="62154131">
              <w:rPr>
                <w:rFonts w:asciiTheme="minorHAnsi" w:hAnsiTheme="minorHAnsi" w:cstheme="minorBidi"/>
                <w:color w:val="000000" w:themeColor="text1"/>
                <w:sz w:val="18"/>
                <w:szCs w:val="18"/>
              </w:rPr>
              <w:t xml:space="preserve"> in an effective manner and that an additional </w:t>
            </w:r>
            <w:proofErr w:type="spellStart"/>
            <w:r w:rsidRPr="62154131">
              <w:rPr>
                <w:rFonts w:asciiTheme="minorHAnsi" w:hAnsiTheme="minorHAnsi" w:cstheme="minorBidi"/>
                <w:color w:val="000000" w:themeColor="text1"/>
                <w:sz w:val="18"/>
                <w:szCs w:val="18"/>
              </w:rPr>
              <w:t>PrEP</w:t>
            </w:r>
            <w:proofErr w:type="spellEnd"/>
            <w:r w:rsidRPr="62154131">
              <w:rPr>
                <w:rFonts w:asciiTheme="minorHAnsi" w:hAnsiTheme="minorHAnsi" w:cstheme="minorBidi"/>
                <w:color w:val="000000" w:themeColor="text1"/>
                <w:sz w:val="18"/>
                <w:szCs w:val="18"/>
              </w:rPr>
              <w:t xml:space="preserve"> regimen could increase uptake of </w:t>
            </w:r>
            <w:proofErr w:type="spellStart"/>
            <w:r w:rsidRPr="62154131">
              <w:rPr>
                <w:rFonts w:asciiTheme="minorHAnsi" w:hAnsiTheme="minorHAnsi" w:cstheme="minorBidi"/>
                <w:color w:val="000000" w:themeColor="text1"/>
                <w:sz w:val="18"/>
                <w:szCs w:val="18"/>
              </w:rPr>
              <w:t>PrEP</w:t>
            </w:r>
            <w:proofErr w:type="spellEnd"/>
            <w:r w:rsidRPr="62154131">
              <w:rPr>
                <w:rFonts w:asciiTheme="minorHAnsi" w:hAnsiTheme="minorHAnsi" w:cstheme="minorBidi"/>
                <w:color w:val="000000" w:themeColor="text1"/>
                <w:sz w:val="18"/>
                <w:szCs w:val="18"/>
              </w:rPr>
              <w:t xml:space="preserve"> in general and help meet Australian health policy goals. </w:t>
            </w:r>
            <w:proofErr w:type="spellStart"/>
            <w:r w:rsidRPr="62154131">
              <w:rPr>
                <w:rFonts w:asciiTheme="minorHAnsi" w:hAnsiTheme="minorHAnsi" w:cstheme="minorBidi"/>
                <w:color w:val="000000" w:themeColor="text1"/>
                <w:sz w:val="18"/>
                <w:szCs w:val="18"/>
              </w:rPr>
              <w:t>ViiV</w:t>
            </w:r>
            <w:proofErr w:type="spellEnd"/>
            <w:r w:rsidRPr="62154131">
              <w:rPr>
                <w:rFonts w:asciiTheme="minorHAnsi" w:hAnsiTheme="minorHAnsi" w:cstheme="minorBidi"/>
                <w:color w:val="000000" w:themeColor="text1"/>
                <w:sz w:val="18"/>
                <w:szCs w:val="18"/>
              </w:rPr>
              <w:t xml:space="preserve"> Healthcare strongly believes the evidence presented demonstrates superior efficacy in the proposed population and will work with the PBAC to progress to a recommendation at the earliest opportunity.</w:t>
            </w:r>
          </w:p>
        </w:tc>
      </w:tr>
      <w:tr w:rsidR="00897FAC" w:rsidRPr="00015520" w14:paraId="7A902290" w14:textId="77777777" w:rsidTr="00344CBB">
        <w:trPr>
          <w:cantSplit/>
          <w:trHeight w:val="2948"/>
          <w:jc w:val="center"/>
        </w:trPr>
        <w:tc>
          <w:tcPr>
            <w:tcW w:w="3013" w:type="dxa"/>
            <w:shd w:val="clear" w:color="auto" w:fill="auto"/>
            <w:tcMar>
              <w:top w:w="28" w:type="dxa"/>
              <w:bottom w:w="28" w:type="dxa"/>
            </w:tcMar>
            <w:vAlign w:val="center"/>
          </w:tcPr>
          <w:p w14:paraId="63AB35C5" w14:textId="53E353CB" w:rsidR="00A95B4F" w:rsidRDefault="00897FAC" w:rsidP="008542C1">
            <w:pPr>
              <w:keepLines/>
              <w:jc w:val="center"/>
              <w:rPr>
                <w:rFonts w:asciiTheme="minorHAnsi" w:hAnsiTheme="minorHAnsi" w:cstheme="minorHAnsi"/>
                <w:color w:val="000000"/>
                <w:sz w:val="18"/>
                <w:szCs w:val="18"/>
              </w:rPr>
            </w:pPr>
            <w:bookmarkStart w:id="1" w:name="_Hlk143070613"/>
            <w:r w:rsidRPr="00015520">
              <w:rPr>
                <w:rFonts w:asciiTheme="minorHAnsi" w:hAnsiTheme="minorHAnsi" w:cstheme="minorHAnsi"/>
                <w:color w:val="000000"/>
                <w:sz w:val="18"/>
                <w:szCs w:val="18"/>
              </w:rPr>
              <w:lastRenderedPageBreak/>
              <w:t>CALCIPOTRIOL WITH BETAMETHASONE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Foam containing calcipotriol 50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micrograms with betamethasone 500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micrograms (as dipropionate) per</w:t>
            </w:r>
            <w:r w:rsidR="004220E5">
              <w:rPr>
                <w:rFonts w:asciiTheme="minorHAnsi" w:hAnsiTheme="minorHAnsi" w:cstheme="minorHAnsi"/>
                <w:color w:val="000000"/>
                <w:sz w:val="18"/>
                <w:szCs w:val="18"/>
              </w:rPr>
              <w:t> </w:t>
            </w:r>
            <w:r w:rsidRPr="00015520">
              <w:rPr>
                <w:rFonts w:asciiTheme="minorHAnsi" w:hAnsiTheme="minorHAnsi" w:cstheme="minorHAnsi"/>
                <w:color w:val="000000"/>
                <w:sz w:val="18"/>
                <w:szCs w:val="18"/>
              </w:rPr>
              <w:t>g, 60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Enstilar®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LEO Pharma Pty Ltd</w:t>
            </w:r>
            <w:r w:rsidRPr="00015520">
              <w:rPr>
                <w:rFonts w:asciiTheme="minorHAnsi" w:hAnsiTheme="minorHAnsi" w:cstheme="minorHAnsi"/>
                <w:color w:val="000000"/>
                <w:sz w:val="18"/>
                <w:szCs w:val="18"/>
              </w:rPr>
              <w:br/>
            </w:r>
          </w:p>
          <w:p w14:paraId="1A8B56F0" w14:textId="070C08B0" w:rsidR="00897FAC" w:rsidRPr="00015520" w:rsidRDefault="00A95B4F"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6E92FA92" w14:textId="2E78B349"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Chronic stable plaque type psoriasis vulgaris</w:t>
            </w:r>
          </w:p>
        </w:tc>
        <w:tc>
          <w:tcPr>
            <w:tcW w:w="3098" w:type="dxa"/>
            <w:shd w:val="clear" w:color="auto" w:fill="auto"/>
            <w:tcMar>
              <w:top w:w="28" w:type="dxa"/>
              <w:bottom w:w="28" w:type="dxa"/>
            </w:tcMar>
            <w:vAlign w:val="center"/>
          </w:tcPr>
          <w:p w14:paraId="17A39486" w14:textId="6782B4E2"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with an increased maximum quantity of two and maximum repeat of one.</w:t>
            </w:r>
          </w:p>
        </w:tc>
        <w:tc>
          <w:tcPr>
            <w:tcW w:w="1920" w:type="dxa"/>
            <w:shd w:val="clear" w:color="auto" w:fill="auto"/>
            <w:vAlign w:val="center"/>
          </w:tcPr>
          <w:p w14:paraId="7985984A" w14:textId="1C62393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72601015" w14:textId="07F763D9" w:rsidR="00143EB0" w:rsidRDefault="004220E5" w:rsidP="00F00A70">
            <w:pPr>
              <w:rPr>
                <w:rFonts w:asciiTheme="minorHAnsi" w:hAnsiTheme="minorHAnsi" w:cstheme="minorHAnsi"/>
                <w:color w:val="000000"/>
                <w:sz w:val="18"/>
                <w:szCs w:val="18"/>
              </w:rPr>
            </w:pPr>
            <w:r w:rsidRPr="004220E5">
              <w:rPr>
                <w:rFonts w:asciiTheme="minorHAnsi" w:hAnsiTheme="minorHAnsi" w:cstheme="minorHAnsi"/>
                <w:color w:val="000000"/>
                <w:sz w:val="18"/>
                <w:szCs w:val="18"/>
              </w:rPr>
              <w:t xml:space="preserve">The PBAC did not recommend increasing the maximum quantity of calcipotriol 0.005% with betamethasone (as dipropionate) 0.05% foam. The PBAC considered that the current Authority provisions in place for prescribers to request larger quantities are sufficient. </w:t>
            </w:r>
            <w:r w:rsidR="003D4AED" w:rsidRPr="004336D1">
              <w:rPr>
                <w:rFonts w:asciiTheme="minorHAnsi" w:hAnsiTheme="minorHAnsi" w:cstheme="minorHAnsi"/>
                <w:color w:val="000000"/>
                <w:sz w:val="18"/>
                <w:szCs w:val="18"/>
              </w:rPr>
              <w:t xml:space="preserve">The PBAC recalled its previous consideration </w:t>
            </w:r>
            <w:r w:rsidR="00B95E9C" w:rsidRPr="004336D1">
              <w:rPr>
                <w:rFonts w:asciiTheme="minorHAnsi" w:hAnsiTheme="minorHAnsi" w:cstheme="minorHAnsi"/>
                <w:color w:val="000000"/>
                <w:sz w:val="18"/>
                <w:szCs w:val="18"/>
              </w:rPr>
              <w:t>for calcipotriol 0.005% with betamethasone (as dipropionate) 0.05% gel (</w:t>
            </w:r>
            <w:proofErr w:type="spellStart"/>
            <w:r w:rsidR="00B95E9C" w:rsidRPr="004336D1">
              <w:rPr>
                <w:rFonts w:asciiTheme="minorHAnsi" w:hAnsiTheme="minorHAnsi" w:cstheme="minorHAnsi"/>
                <w:color w:val="000000"/>
                <w:sz w:val="18"/>
                <w:szCs w:val="18"/>
              </w:rPr>
              <w:t>Daivobet</w:t>
            </w:r>
            <w:proofErr w:type="spellEnd"/>
            <w:r w:rsidR="00B95E9C" w:rsidRPr="004336D1">
              <w:rPr>
                <w:rFonts w:asciiTheme="minorHAnsi" w:hAnsiTheme="minorHAnsi" w:cstheme="minorHAnsi"/>
                <w:color w:val="000000"/>
                <w:sz w:val="18"/>
                <w:szCs w:val="18"/>
              </w:rPr>
              <w:t xml:space="preserve">®) </w:t>
            </w:r>
            <w:r w:rsidR="003D4AED" w:rsidRPr="004336D1">
              <w:rPr>
                <w:rFonts w:asciiTheme="minorHAnsi" w:hAnsiTheme="minorHAnsi" w:cstheme="minorHAnsi"/>
                <w:color w:val="000000"/>
                <w:sz w:val="18"/>
                <w:szCs w:val="18"/>
              </w:rPr>
              <w:t>at its March 2018 meeting and noted that no further evidence was provided regarding the risk of toxicity associated with increased access to larger quantities of calcipotriol</w:t>
            </w:r>
            <w:r w:rsidR="003D4AED" w:rsidRPr="004336D1">
              <w:rPr>
                <w:rFonts w:asciiTheme="minorHAnsi" w:hAnsiTheme="minorHAnsi" w:cstheme="minorHAnsi"/>
              </w:rPr>
              <w:t>.</w:t>
            </w:r>
            <w:r w:rsidR="003D4AED">
              <w:rPr>
                <w:rStyle w:val="normaltextrun"/>
                <w:color w:val="000000"/>
                <w:sz w:val="18"/>
                <w:szCs w:val="18"/>
                <w:lang w:eastAsia="en-US"/>
              </w:rPr>
              <w:t xml:space="preserve"> </w:t>
            </w:r>
            <w:r w:rsidRPr="004220E5">
              <w:rPr>
                <w:rFonts w:asciiTheme="minorHAnsi" w:hAnsiTheme="minorHAnsi" w:cstheme="minorHAnsi"/>
                <w:color w:val="000000"/>
                <w:sz w:val="18"/>
                <w:szCs w:val="18"/>
              </w:rPr>
              <w:t xml:space="preserve">The PBAC recommended adding an administrative note to the existing listing to clarify the existing provision for prescribers to request an increased quantity. </w:t>
            </w:r>
            <w:r w:rsidR="00A718A6">
              <w:rPr>
                <w:rFonts w:asciiTheme="minorHAnsi" w:hAnsiTheme="minorHAnsi" w:cstheme="minorHAnsi"/>
                <w:color w:val="000000"/>
                <w:sz w:val="18"/>
                <w:szCs w:val="18"/>
              </w:rPr>
              <w:t>T</w:t>
            </w:r>
            <w:r w:rsidRPr="004220E5">
              <w:rPr>
                <w:rFonts w:asciiTheme="minorHAnsi" w:hAnsiTheme="minorHAnsi" w:cstheme="minorHAnsi"/>
                <w:color w:val="000000"/>
                <w:sz w:val="18"/>
                <w:szCs w:val="18"/>
              </w:rPr>
              <w:t>he PBAC noted restriction flow-on changes to calcipotriol 0.005% + betamethasone (as dipropionate) 0.05% ointment.</w:t>
            </w:r>
          </w:p>
          <w:p w14:paraId="5B0C2260" w14:textId="77777777" w:rsidR="004220E5" w:rsidRPr="00851AFC" w:rsidRDefault="004220E5" w:rsidP="00F00A70">
            <w:pPr>
              <w:rPr>
                <w:rFonts w:asciiTheme="minorHAnsi" w:hAnsiTheme="minorHAnsi" w:cstheme="minorHAnsi"/>
                <w:color w:val="000000"/>
                <w:sz w:val="18"/>
                <w:szCs w:val="18"/>
              </w:rPr>
            </w:pPr>
          </w:p>
          <w:p w14:paraId="3C49D53C" w14:textId="0CDF6CDD"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5305741" w14:textId="7B09DF79" w:rsidR="00897FAC" w:rsidRPr="00015520" w:rsidRDefault="00800338"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 xml:space="preserve">LEO Pharma is disappointed that the PBAC has not recommended </w:t>
            </w:r>
            <w:r w:rsidR="003D4AED">
              <w:rPr>
                <w:rFonts w:asciiTheme="minorHAnsi" w:hAnsiTheme="minorHAnsi" w:cstheme="minorBidi"/>
                <w:color w:val="000000" w:themeColor="text1"/>
                <w:sz w:val="18"/>
                <w:szCs w:val="18"/>
              </w:rPr>
              <w:t xml:space="preserve">additional PBS listings with a </w:t>
            </w:r>
            <w:r w:rsidRPr="62154131">
              <w:rPr>
                <w:rFonts w:asciiTheme="minorHAnsi" w:hAnsiTheme="minorHAnsi" w:cstheme="minorBidi"/>
                <w:color w:val="000000" w:themeColor="text1"/>
                <w:sz w:val="18"/>
                <w:szCs w:val="18"/>
              </w:rPr>
              <w:t>higher maximum quantit</w:t>
            </w:r>
            <w:r w:rsidR="00A34B14">
              <w:rPr>
                <w:rFonts w:asciiTheme="minorHAnsi" w:hAnsiTheme="minorHAnsi" w:cstheme="minorBidi"/>
                <w:color w:val="000000" w:themeColor="text1"/>
                <w:sz w:val="18"/>
                <w:szCs w:val="18"/>
              </w:rPr>
              <w:t>y</w:t>
            </w:r>
            <w:r w:rsidRPr="62154131">
              <w:rPr>
                <w:rFonts w:asciiTheme="minorHAnsi" w:hAnsiTheme="minorHAnsi" w:cstheme="minorBidi"/>
                <w:color w:val="000000" w:themeColor="text1"/>
                <w:sz w:val="18"/>
                <w:szCs w:val="18"/>
              </w:rPr>
              <w:t xml:space="preserve"> for </w:t>
            </w:r>
            <w:r w:rsidR="003D4AED">
              <w:rPr>
                <w:rFonts w:asciiTheme="minorHAnsi" w:hAnsiTheme="minorHAnsi" w:cstheme="minorBidi"/>
                <w:color w:val="000000" w:themeColor="text1"/>
                <w:sz w:val="18"/>
                <w:szCs w:val="18"/>
              </w:rPr>
              <w:t xml:space="preserve">treatment of </w:t>
            </w:r>
            <w:r w:rsidRPr="62154131">
              <w:rPr>
                <w:rFonts w:asciiTheme="minorHAnsi" w:hAnsiTheme="minorHAnsi" w:cstheme="minorBidi"/>
                <w:color w:val="000000" w:themeColor="text1"/>
                <w:sz w:val="18"/>
                <w:szCs w:val="18"/>
              </w:rPr>
              <w:t xml:space="preserve">patients </w:t>
            </w:r>
            <w:r w:rsidR="003D4AED">
              <w:rPr>
                <w:rFonts w:asciiTheme="minorHAnsi" w:hAnsiTheme="minorHAnsi" w:cstheme="minorBidi"/>
                <w:color w:val="000000" w:themeColor="text1"/>
                <w:sz w:val="18"/>
                <w:szCs w:val="18"/>
              </w:rPr>
              <w:t>with</w:t>
            </w:r>
            <w:r w:rsidR="003D4AED" w:rsidRPr="62154131">
              <w:rPr>
                <w:rFonts w:asciiTheme="minorHAnsi" w:hAnsiTheme="minorHAnsi" w:cstheme="minorBidi"/>
                <w:color w:val="000000" w:themeColor="text1"/>
                <w:sz w:val="18"/>
                <w:szCs w:val="18"/>
              </w:rPr>
              <w:t xml:space="preserve"> </w:t>
            </w:r>
            <w:r w:rsidRPr="62154131">
              <w:rPr>
                <w:rFonts w:asciiTheme="minorHAnsi" w:hAnsiTheme="minorHAnsi" w:cstheme="minorBidi"/>
                <w:color w:val="000000" w:themeColor="text1"/>
                <w:sz w:val="18"/>
                <w:szCs w:val="18"/>
              </w:rPr>
              <w:t xml:space="preserve">chronic stable plaque type psoriasis vulgaris </w:t>
            </w:r>
            <w:r w:rsidR="003D4AED">
              <w:rPr>
                <w:rFonts w:asciiTheme="minorHAnsi" w:hAnsiTheme="minorHAnsi" w:cstheme="minorBidi"/>
                <w:color w:val="000000" w:themeColor="text1"/>
                <w:sz w:val="18"/>
                <w:szCs w:val="18"/>
              </w:rPr>
              <w:t>affecting a</w:t>
            </w:r>
            <w:r w:rsidR="003D4AED" w:rsidRPr="62154131">
              <w:rPr>
                <w:rFonts w:asciiTheme="minorHAnsi" w:hAnsiTheme="minorHAnsi" w:cstheme="minorBidi"/>
                <w:color w:val="000000" w:themeColor="text1"/>
                <w:sz w:val="18"/>
                <w:szCs w:val="18"/>
              </w:rPr>
              <w:t xml:space="preserve"> </w:t>
            </w:r>
            <w:r w:rsidRPr="62154131">
              <w:rPr>
                <w:rFonts w:asciiTheme="minorHAnsi" w:hAnsiTheme="minorHAnsi" w:cstheme="minorBidi"/>
                <w:color w:val="000000" w:themeColor="text1"/>
                <w:sz w:val="18"/>
                <w:szCs w:val="18"/>
              </w:rPr>
              <w:t xml:space="preserve">larger </w:t>
            </w:r>
            <w:r w:rsidR="00F065FA" w:rsidRPr="62154131">
              <w:rPr>
                <w:rFonts w:asciiTheme="minorHAnsi" w:hAnsiTheme="minorHAnsi" w:cstheme="minorBidi"/>
                <w:color w:val="000000" w:themeColor="text1"/>
                <w:sz w:val="18"/>
                <w:szCs w:val="18"/>
              </w:rPr>
              <w:t>body surface area</w:t>
            </w:r>
            <w:r w:rsidRPr="62154131">
              <w:rPr>
                <w:rFonts w:asciiTheme="minorHAnsi" w:hAnsiTheme="minorHAnsi" w:cstheme="minorBidi"/>
                <w:color w:val="000000" w:themeColor="text1"/>
                <w:sz w:val="18"/>
                <w:szCs w:val="18"/>
              </w:rPr>
              <w:t xml:space="preserve">. </w:t>
            </w:r>
          </w:p>
        </w:tc>
      </w:tr>
      <w:bookmarkEnd w:id="1"/>
      <w:tr w:rsidR="00897FAC" w:rsidRPr="00015520" w14:paraId="13CCBBCF" w14:textId="77777777" w:rsidTr="00344CBB">
        <w:trPr>
          <w:cantSplit/>
          <w:trHeight w:val="2948"/>
          <w:jc w:val="center"/>
        </w:trPr>
        <w:tc>
          <w:tcPr>
            <w:tcW w:w="3013" w:type="dxa"/>
            <w:shd w:val="clear" w:color="auto" w:fill="auto"/>
            <w:tcMar>
              <w:top w:w="28" w:type="dxa"/>
              <w:bottom w:w="28" w:type="dxa"/>
            </w:tcMar>
            <w:vAlign w:val="center"/>
          </w:tcPr>
          <w:p w14:paraId="567F3325" w14:textId="6A307111" w:rsidR="00A95B4F"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DAPAGLIFLOZIN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10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Forxiga</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1A6A97" w:rsidRPr="00015520">
              <w:rPr>
                <w:rFonts w:asciiTheme="minorHAnsi" w:hAnsiTheme="minorHAnsi" w:cstheme="minorHAnsi"/>
                <w:color w:val="000000"/>
                <w:sz w:val="18"/>
                <w:szCs w:val="18"/>
              </w:rPr>
              <w:t>AstraZeneca Pty Ltd</w:t>
            </w:r>
            <w:r w:rsidRPr="00015520">
              <w:rPr>
                <w:rFonts w:asciiTheme="minorHAnsi" w:hAnsiTheme="minorHAnsi" w:cstheme="minorHAnsi"/>
                <w:color w:val="000000"/>
                <w:sz w:val="18"/>
                <w:szCs w:val="18"/>
              </w:rPr>
              <w:br/>
            </w:r>
            <w:r w:rsidR="00C76D5D">
              <w:rPr>
                <w:rFonts w:asciiTheme="minorHAnsi" w:hAnsiTheme="minorHAnsi" w:cstheme="minorHAnsi"/>
                <w:color w:val="000000"/>
                <w:sz w:val="18"/>
                <w:szCs w:val="18"/>
              </w:rPr>
              <w:t xml:space="preserve"> </w:t>
            </w:r>
          </w:p>
          <w:p w14:paraId="133CC392" w14:textId="4B6BD23D" w:rsidR="00897FAC"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C76D5D">
              <w:t xml:space="preserve"> </w:t>
            </w:r>
            <w:r w:rsidR="00C76D5D">
              <w:rPr>
                <w:rFonts w:asciiTheme="minorHAnsi" w:hAnsiTheme="minorHAnsi" w:cstheme="minorHAnsi"/>
                <w:color w:val="000000"/>
                <w:sz w:val="18"/>
                <w:szCs w:val="18"/>
              </w:rPr>
              <w:t>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1D276F0A" w14:textId="49A96085"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Chronic heart failure</w:t>
            </w:r>
            <w:r w:rsidR="0023444B">
              <w:rPr>
                <w:rFonts w:asciiTheme="minorHAnsi" w:hAnsiTheme="minorHAnsi" w:cstheme="minorHAnsi"/>
                <w:color w:val="000000"/>
                <w:sz w:val="18"/>
                <w:szCs w:val="18"/>
              </w:rPr>
              <w:t xml:space="preserve"> (HF)</w:t>
            </w:r>
          </w:p>
        </w:tc>
        <w:tc>
          <w:tcPr>
            <w:tcW w:w="3098" w:type="dxa"/>
            <w:shd w:val="clear" w:color="auto" w:fill="auto"/>
            <w:tcMar>
              <w:top w:w="28" w:type="dxa"/>
              <w:bottom w:w="28" w:type="dxa"/>
            </w:tcMar>
            <w:vAlign w:val="center"/>
          </w:tcPr>
          <w:p w14:paraId="0CDB928D" w14:textId="671D8E96"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for patients with chronic heart failure with preserved ejection fraction (</w:t>
            </w:r>
            <w:proofErr w:type="spellStart"/>
            <w:r w:rsidRPr="00015520">
              <w:rPr>
                <w:rFonts w:asciiTheme="minorHAnsi" w:hAnsiTheme="minorHAnsi" w:cstheme="minorHAnsi"/>
                <w:color w:val="000000"/>
                <w:sz w:val="18"/>
                <w:szCs w:val="18"/>
              </w:rPr>
              <w:t>HFpEF</w:t>
            </w:r>
            <w:proofErr w:type="spellEnd"/>
            <w:r w:rsidRPr="00015520">
              <w:rPr>
                <w:rFonts w:asciiTheme="minorHAnsi" w:hAnsiTheme="minorHAnsi" w:cstheme="minorHAnsi"/>
                <w:color w:val="000000"/>
                <w:sz w:val="18"/>
                <w:szCs w:val="18"/>
              </w:rPr>
              <w:t>).</w:t>
            </w:r>
          </w:p>
        </w:tc>
        <w:tc>
          <w:tcPr>
            <w:tcW w:w="1920" w:type="dxa"/>
            <w:shd w:val="clear" w:color="auto" w:fill="auto"/>
            <w:vAlign w:val="center"/>
          </w:tcPr>
          <w:p w14:paraId="5E91DC60" w14:textId="73F406B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1CC02EB6" w14:textId="2A559E43"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extending the listing of dapagliflozin to include the treatment of patients with chronic HF with a left ventricular ejection fraction (LVEF) greater than 40%. The PBAC considered that dapagliflozin was non-inferior to the main comparator, empagliflozin in terms of comparative effectiveness and safety. The PBAC’s recommendation for listing was based on its assessment that the cost-effectiveness of dapagliflozin would be acceptable if it was cost</w:t>
            </w:r>
            <w:r w:rsidR="007310CE">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7310CE">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minimised against empagliflozin, which was recommended for listing for this indication in </w:t>
            </w:r>
            <w:r w:rsidR="00952F06" w:rsidRPr="00015520">
              <w:rPr>
                <w:rFonts w:asciiTheme="minorHAnsi" w:hAnsiTheme="minorHAnsi" w:cstheme="minorHAnsi"/>
                <w:color w:val="000000"/>
                <w:sz w:val="18"/>
                <w:szCs w:val="18"/>
              </w:rPr>
              <w:t>December</w:t>
            </w:r>
            <w:r w:rsidR="00952F06">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2022.</w:t>
            </w:r>
            <w:r w:rsidR="00A57EB9">
              <w:rPr>
                <w:rFonts w:asciiTheme="minorHAnsi" w:hAnsiTheme="minorHAnsi" w:cstheme="minorHAnsi"/>
                <w:color w:val="000000"/>
                <w:sz w:val="18"/>
                <w:szCs w:val="18"/>
              </w:rPr>
              <w:t xml:space="preserve"> </w:t>
            </w:r>
            <w:r w:rsidR="00A57EB9" w:rsidRPr="009F2516">
              <w:rPr>
                <w:rFonts w:asciiTheme="minorHAnsi" w:hAnsiTheme="minorHAnsi" w:cstheme="minorHAnsi"/>
                <w:color w:val="000000"/>
                <w:sz w:val="18"/>
                <w:szCs w:val="18"/>
              </w:rPr>
              <w:t xml:space="preserve">The PBAC </w:t>
            </w:r>
            <w:r w:rsidR="00A718A6">
              <w:rPr>
                <w:rFonts w:asciiTheme="minorHAnsi" w:hAnsiTheme="minorHAnsi" w:cstheme="minorHAnsi"/>
                <w:color w:val="000000"/>
                <w:sz w:val="18"/>
                <w:szCs w:val="18"/>
              </w:rPr>
              <w:t xml:space="preserve">noted flow-on changes to the listing of empagliflozin </w:t>
            </w:r>
            <w:r w:rsidR="00190E20">
              <w:rPr>
                <w:rFonts w:asciiTheme="minorHAnsi" w:hAnsiTheme="minorHAnsi" w:cstheme="minorHAnsi"/>
                <w:color w:val="000000"/>
                <w:sz w:val="18"/>
                <w:szCs w:val="18"/>
              </w:rPr>
              <w:t xml:space="preserve">to </w:t>
            </w:r>
            <w:r w:rsidR="00A57EB9" w:rsidRPr="009F2516">
              <w:rPr>
                <w:rFonts w:asciiTheme="minorHAnsi" w:hAnsiTheme="minorHAnsi" w:cstheme="minorHAnsi"/>
                <w:color w:val="000000"/>
                <w:sz w:val="18"/>
                <w:szCs w:val="18"/>
              </w:rPr>
              <w:t>update</w:t>
            </w:r>
            <w:r w:rsidR="00A57EB9" w:rsidRPr="00851AFC">
              <w:rPr>
                <w:rFonts w:asciiTheme="minorHAnsi" w:hAnsiTheme="minorHAnsi" w:cstheme="minorHAnsi"/>
                <w:color w:val="000000"/>
                <w:sz w:val="18"/>
                <w:szCs w:val="18"/>
              </w:rPr>
              <w:t xml:space="preserve"> </w:t>
            </w:r>
            <w:r w:rsidR="00A57EB9" w:rsidRPr="009F2516">
              <w:rPr>
                <w:rFonts w:asciiTheme="minorHAnsi" w:hAnsiTheme="minorHAnsi" w:cstheme="minorHAnsi"/>
                <w:color w:val="000000"/>
                <w:sz w:val="18"/>
                <w:szCs w:val="18"/>
              </w:rPr>
              <w:t>criterion</w:t>
            </w:r>
            <w:r w:rsidR="00A57EB9" w:rsidRPr="00851AFC">
              <w:rPr>
                <w:rFonts w:asciiTheme="minorHAnsi" w:hAnsiTheme="minorHAnsi" w:cstheme="minorHAnsi"/>
                <w:color w:val="000000"/>
                <w:sz w:val="18"/>
                <w:szCs w:val="18"/>
              </w:rPr>
              <w:t xml:space="preserve"> “</w:t>
            </w:r>
            <w:r w:rsidR="00A57EB9" w:rsidRPr="009F2516">
              <w:rPr>
                <w:rFonts w:asciiTheme="minorHAnsi" w:hAnsiTheme="minorHAnsi" w:cstheme="minorHAnsi"/>
                <w:color w:val="000000"/>
                <w:sz w:val="18"/>
                <w:szCs w:val="18"/>
              </w:rPr>
              <w:t>Patient must be symptomatic with NYHA classes II, III or IV prior to initiating treatment with this drug”</w:t>
            </w:r>
            <w:r w:rsidR="00A57EB9" w:rsidRPr="00851AFC">
              <w:rPr>
                <w:rFonts w:asciiTheme="minorHAnsi" w:hAnsiTheme="minorHAnsi" w:cstheme="minorHAnsi"/>
                <w:color w:val="000000"/>
                <w:sz w:val="18"/>
                <w:szCs w:val="18"/>
              </w:rPr>
              <w:t xml:space="preserve"> </w:t>
            </w:r>
            <w:r w:rsidR="00A57EB9" w:rsidRPr="009F2516">
              <w:rPr>
                <w:rFonts w:asciiTheme="minorHAnsi" w:hAnsiTheme="minorHAnsi" w:cstheme="minorHAnsi"/>
                <w:color w:val="000000"/>
                <w:sz w:val="18"/>
                <w:szCs w:val="18"/>
              </w:rPr>
              <w:t>for this indication.</w:t>
            </w:r>
          </w:p>
        </w:tc>
      </w:tr>
      <w:tr w:rsidR="00897FAC" w:rsidRPr="00015520" w14:paraId="0AE2830A" w14:textId="77777777" w:rsidTr="00344CBB">
        <w:trPr>
          <w:cantSplit/>
          <w:trHeight w:val="2948"/>
          <w:jc w:val="center"/>
        </w:trPr>
        <w:tc>
          <w:tcPr>
            <w:tcW w:w="3013" w:type="dxa"/>
            <w:shd w:val="clear" w:color="auto" w:fill="BFBFBF" w:themeFill="background1" w:themeFillShade="BF"/>
            <w:tcMar>
              <w:top w:w="28" w:type="dxa"/>
              <w:bottom w:w="28" w:type="dxa"/>
            </w:tcMar>
            <w:vAlign w:val="center"/>
          </w:tcPr>
          <w:p w14:paraId="2A6ECF1A" w14:textId="1F19C2BD"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DAPRODUSTAT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2</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6</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8</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Jesduvroq</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1A6A97" w:rsidRPr="00015520">
              <w:rPr>
                <w:rFonts w:asciiTheme="minorHAnsi" w:hAnsiTheme="minorHAnsi" w:cstheme="minorHAnsi"/>
                <w:color w:val="000000"/>
                <w:sz w:val="18"/>
                <w:szCs w:val="18"/>
              </w:rPr>
              <w:t>GlaxoSmithKline Australia Pty Ltd</w:t>
            </w:r>
            <w:r w:rsidRPr="00015520">
              <w:rPr>
                <w:rFonts w:asciiTheme="minorHAnsi" w:hAnsiTheme="minorHAnsi" w:cstheme="minorHAnsi"/>
                <w:color w:val="000000"/>
                <w:sz w:val="18"/>
                <w:szCs w:val="18"/>
              </w:rPr>
              <w:br/>
            </w:r>
          </w:p>
          <w:p w14:paraId="2112029B" w14:textId="36CEA9E5" w:rsidR="00897FAC"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p w14:paraId="16107584" w14:textId="77777777" w:rsidR="006D0F86" w:rsidRDefault="006D0F86" w:rsidP="008542C1">
            <w:pPr>
              <w:keepLines/>
              <w:jc w:val="center"/>
              <w:rPr>
                <w:rFonts w:asciiTheme="minorHAnsi" w:hAnsiTheme="minorHAnsi" w:cstheme="minorHAnsi"/>
                <w:color w:val="000000"/>
                <w:sz w:val="18"/>
                <w:szCs w:val="18"/>
              </w:rPr>
            </w:pPr>
          </w:p>
          <w:p w14:paraId="21AA0745" w14:textId="6337A03E" w:rsidR="006D0F86"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WITHDRAWN</w:t>
            </w:r>
          </w:p>
        </w:tc>
        <w:tc>
          <w:tcPr>
            <w:tcW w:w="2764" w:type="dxa"/>
            <w:shd w:val="clear" w:color="auto" w:fill="BFBFBF" w:themeFill="background1" w:themeFillShade="BF"/>
            <w:vAlign w:val="center"/>
          </w:tcPr>
          <w:p w14:paraId="12E59758" w14:textId="2B0FD40E"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Anaemia associated with chronic kidney disease</w:t>
            </w:r>
          </w:p>
        </w:tc>
        <w:tc>
          <w:tcPr>
            <w:tcW w:w="3098" w:type="dxa"/>
            <w:shd w:val="clear" w:color="auto" w:fill="BFBFBF" w:themeFill="background1" w:themeFillShade="BF"/>
            <w:tcMar>
              <w:top w:w="28" w:type="dxa"/>
              <w:bottom w:w="28" w:type="dxa"/>
            </w:tcMar>
            <w:vAlign w:val="center"/>
          </w:tcPr>
          <w:p w14:paraId="0CEBC411" w14:textId="1946F3B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(Highly Specialised Drugs Program) Authority Required (STREAMLINED) listing for the treatment of anaemia associated with chronic kidney disease.</w:t>
            </w:r>
          </w:p>
        </w:tc>
        <w:tc>
          <w:tcPr>
            <w:tcW w:w="1920" w:type="dxa"/>
            <w:shd w:val="clear" w:color="auto" w:fill="BFBFBF" w:themeFill="background1" w:themeFillShade="BF"/>
            <w:vAlign w:val="center"/>
          </w:tcPr>
          <w:p w14:paraId="4BCD8363" w14:textId="4C2C9C02" w:rsidR="00897FAC" w:rsidRPr="006D0F86" w:rsidRDefault="00F00A70" w:rsidP="008542C1">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593" w:type="dxa"/>
            <w:shd w:val="clear" w:color="auto" w:fill="BFBFBF" w:themeFill="background1" w:themeFillShade="BF"/>
            <w:vAlign w:val="center"/>
          </w:tcPr>
          <w:p w14:paraId="2636442F" w14:textId="62368947" w:rsidR="00897FAC" w:rsidRPr="006D0F86" w:rsidRDefault="00506192" w:rsidP="008542C1">
            <w:pPr>
              <w:rPr>
                <w:rFonts w:asciiTheme="minorHAnsi" w:hAnsiTheme="minorHAnsi" w:cstheme="minorHAnsi"/>
                <w:color w:val="000000"/>
                <w:sz w:val="18"/>
                <w:szCs w:val="18"/>
              </w:rPr>
            </w:pPr>
            <w:r w:rsidRPr="006D0F86">
              <w:rPr>
                <w:rFonts w:asciiTheme="minorHAnsi" w:hAnsiTheme="minorHAnsi" w:cstheme="minorHAnsi"/>
                <w:color w:val="000000"/>
                <w:sz w:val="18"/>
                <w:szCs w:val="18"/>
              </w:rPr>
              <w:t>This item was withdrawn.</w:t>
            </w:r>
          </w:p>
        </w:tc>
      </w:tr>
      <w:tr w:rsidR="00897FAC" w:rsidRPr="00015520" w14:paraId="4A465492" w14:textId="77777777" w:rsidTr="00344CBB">
        <w:trPr>
          <w:cantSplit/>
          <w:trHeight w:val="2948"/>
          <w:jc w:val="center"/>
        </w:trPr>
        <w:tc>
          <w:tcPr>
            <w:tcW w:w="3013" w:type="dxa"/>
            <w:shd w:val="clear" w:color="auto" w:fill="auto"/>
            <w:tcMar>
              <w:top w:w="28" w:type="dxa"/>
              <w:bottom w:w="28" w:type="dxa"/>
            </w:tcMar>
            <w:vAlign w:val="center"/>
          </w:tcPr>
          <w:p w14:paraId="0F169B81" w14:textId="315AB472"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DAUNORUBICIN WITH CYTARABINE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Powder for I.V infusion containing daunorubicin 44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and cytarabine 100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Vyxeos</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Jazz Pharmaceuticals ANZ Pty Ltd</w:t>
            </w:r>
            <w:r w:rsidRPr="00015520">
              <w:rPr>
                <w:rFonts w:asciiTheme="minorHAnsi" w:hAnsiTheme="minorHAnsi" w:cstheme="minorHAnsi"/>
                <w:color w:val="000000"/>
                <w:sz w:val="18"/>
                <w:szCs w:val="18"/>
              </w:rPr>
              <w:br/>
            </w:r>
          </w:p>
          <w:p w14:paraId="5E18E9FF" w14:textId="2CEDF358" w:rsidR="00897FAC"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7CD5B10D" w14:textId="58FEBD82"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Acute myeloid leukaemia</w:t>
            </w:r>
          </w:p>
        </w:tc>
        <w:tc>
          <w:tcPr>
            <w:tcW w:w="3098" w:type="dxa"/>
            <w:shd w:val="clear" w:color="auto" w:fill="auto"/>
            <w:tcMar>
              <w:top w:w="28" w:type="dxa"/>
              <w:bottom w:w="28" w:type="dxa"/>
            </w:tcMar>
            <w:vAlign w:val="center"/>
          </w:tcPr>
          <w:p w14:paraId="2CF642A0" w14:textId="12B30BFC"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(Efficient Funding of Chemotherapy Program) Authority Required (Telephone/Online) listing for the treatment of therapy-related acute myeloid leukaemia (t-AML) and acute myeloid leukaemia with myelodysplasia-related changes (AML</w:t>
            </w:r>
            <w:r w:rsidR="00190E20">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190E20">
              <w:rPr>
                <w:rFonts w:asciiTheme="minorHAnsi" w:hAnsiTheme="minorHAnsi" w:cstheme="minorHAnsi"/>
                <w:color w:val="000000"/>
                <w:sz w:val="18"/>
                <w:szCs w:val="18"/>
              </w:rPr>
              <w:t> </w:t>
            </w:r>
            <w:r w:rsidRPr="00015520">
              <w:rPr>
                <w:rFonts w:asciiTheme="minorHAnsi" w:hAnsiTheme="minorHAnsi" w:cstheme="minorHAnsi"/>
                <w:color w:val="000000"/>
                <w:sz w:val="18"/>
                <w:szCs w:val="18"/>
              </w:rPr>
              <w:t>MRC).</w:t>
            </w:r>
          </w:p>
        </w:tc>
        <w:tc>
          <w:tcPr>
            <w:tcW w:w="1920" w:type="dxa"/>
            <w:shd w:val="clear" w:color="auto" w:fill="auto"/>
            <w:vAlign w:val="center"/>
          </w:tcPr>
          <w:p w14:paraId="7E66B42F" w14:textId="3A4D5D70"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75229EA6" w14:textId="6D3A6ECD" w:rsidR="00190E20" w:rsidRDefault="004220E5" w:rsidP="008542C1">
            <w:pPr>
              <w:rPr>
                <w:rFonts w:asciiTheme="minorHAnsi" w:hAnsiTheme="minorHAnsi" w:cstheme="minorHAnsi"/>
                <w:color w:val="000000"/>
                <w:sz w:val="18"/>
                <w:szCs w:val="18"/>
              </w:rPr>
            </w:pPr>
            <w:r w:rsidRPr="004220E5">
              <w:rPr>
                <w:rFonts w:asciiTheme="minorHAnsi" w:hAnsiTheme="minorHAnsi" w:cstheme="minorHAnsi"/>
                <w:color w:val="000000"/>
                <w:sz w:val="18"/>
                <w:szCs w:val="18"/>
              </w:rPr>
              <w:t>The PBAC did not recommend liposomal daunorubicin and cytarabine for the treatment of t-AML or</w:t>
            </w:r>
            <w:r>
              <w:rPr>
                <w:rFonts w:asciiTheme="minorHAnsi" w:hAnsiTheme="minorHAnsi" w:cstheme="minorHAnsi"/>
                <w:color w:val="000000"/>
                <w:sz w:val="18"/>
                <w:szCs w:val="18"/>
              </w:rPr>
              <w:t xml:space="preserve"> </w:t>
            </w:r>
            <w:r w:rsidRPr="004220E5">
              <w:rPr>
                <w:rFonts w:asciiTheme="minorHAnsi" w:hAnsiTheme="minorHAnsi" w:cstheme="minorHAnsi"/>
                <w:color w:val="000000"/>
                <w:sz w:val="18"/>
                <w:szCs w:val="18"/>
              </w:rPr>
              <w:t>AML-MRC. The PBAC considered that liposomal daunorubicin and cytarabine had improved efficacy over the nominated comparator, idarubicin and cytarabine, in terms of overall survival; however, considered that the incremental cost</w:t>
            </w:r>
            <w:r w:rsidR="00011394">
              <w:rPr>
                <w:rFonts w:asciiTheme="minorHAnsi" w:hAnsiTheme="minorHAnsi" w:cstheme="minorHAnsi"/>
                <w:color w:val="000000"/>
                <w:sz w:val="18"/>
                <w:szCs w:val="18"/>
              </w:rPr>
              <w:t>-</w:t>
            </w:r>
            <w:r w:rsidRPr="004220E5">
              <w:rPr>
                <w:rFonts w:asciiTheme="minorHAnsi" w:hAnsiTheme="minorHAnsi" w:cstheme="minorHAnsi"/>
                <w:color w:val="000000"/>
                <w:sz w:val="18"/>
                <w:szCs w:val="18"/>
              </w:rPr>
              <w:t xml:space="preserve">effectiveness ratio was high and uncertain. The PBAC also considered that the estimated utilisation and financial impact estimates were uncertain. </w:t>
            </w:r>
          </w:p>
          <w:p w14:paraId="2F1A66D2" w14:textId="77777777" w:rsidR="00190E20" w:rsidRDefault="00190E20" w:rsidP="008542C1">
            <w:pPr>
              <w:rPr>
                <w:rFonts w:asciiTheme="minorHAnsi" w:hAnsiTheme="minorHAnsi" w:cstheme="minorHAnsi"/>
                <w:color w:val="000000"/>
                <w:sz w:val="18"/>
                <w:szCs w:val="18"/>
              </w:rPr>
            </w:pPr>
          </w:p>
          <w:p w14:paraId="50CB2F3D" w14:textId="484F8E7F" w:rsidR="004220E5" w:rsidRDefault="004220E5" w:rsidP="008542C1">
            <w:pPr>
              <w:rPr>
                <w:rFonts w:asciiTheme="minorHAnsi" w:hAnsiTheme="minorHAnsi" w:cstheme="minorHAnsi"/>
                <w:color w:val="000000"/>
                <w:sz w:val="18"/>
                <w:szCs w:val="18"/>
              </w:rPr>
            </w:pPr>
            <w:r w:rsidRPr="004220E5">
              <w:rPr>
                <w:rFonts w:asciiTheme="minorHAnsi" w:hAnsiTheme="minorHAnsi" w:cstheme="minorHAnsi"/>
                <w:color w:val="000000"/>
                <w:sz w:val="18"/>
                <w:szCs w:val="18"/>
              </w:rPr>
              <w:t>The PBAC nominated the early re-entry pathway for this item.</w:t>
            </w:r>
          </w:p>
          <w:p w14:paraId="503F55D9" w14:textId="77777777" w:rsidR="004220E5" w:rsidRPr="00190E20" w:rsidRDefault="004220E5" w:rsidP="008542C1">
            <w:pPr>
              <w:rPr>
                <w:rFonts w:asciiTheme="minorHAnsi" w:hAnsiTheme="minorHAnsi" w:cstheme="minorHAnsi"/>
                <w:color w:val="000000"/>
                <w:sz w:val="18"/>
                <w:szCs w:val="18"/>
              </w:rPr>
            </w:pPr>
          </w:p>
          <w:p w14:paraId="5ECA27AA" w14:textId="5E2BC902" w:rsidR="00506192" w:rsidRPr="00122A1C" w:rsidRDefault="00506192" w:rsidP="008542C1">
            <w:pPr>
              <w:rPr>
                <w:rFonts w:asciiTheme="minorHAnsi" w:hAnsiTheme="minorHAnsi" w:cstheme="minorHAnsi"/>
                <w:color w:val="000000"/>
                <w:sz w:val="18"/>
                <w:szCs w:val="18"/>
              </w:rPr>
            </w:pPr>
            <w:r w:rsidRPr="00122A1C">
              <w:rPr>
                <w:rFonts w:asciiTheme="minorHAnsi" w:hAnsiTheme="minorHAnsi" w:cstheme="minorHAnsi"/>
                <w:color w:val="000000"/>
                <w:sz w:val="18"/>
                <w:szCs w:val="18"/>
                <w:u w:val="single"/>
              </w:rPr>
              <w:t>Sponsor’s Comment:</w:t>
            </w:r>
          </w:p>
          <w:p w14:paraId="451B7AE4" w14:textId="7AC7C004" w:rsidR="00897FAC" w:rsidRPr="00015520" w:rsidRDefault="00B16C77" w:rsidP="008542C1">
            <w:pPr>
              <w:rPr>
                <w:rFonts w:asciiTheme="minorHAnsi" w:hAnsiTheme="minorHAnsi" w:cstheme="minorHAnsi"/>
                <w:color w:val="000000"/>
                <w:sz w:val="18"/>
                <w:szCs w:val="18"/>
              </w:rPr>
            </w:pPr>
            <w:r w:rsidRPr="00B16C77">
              <w:rPr>
                <w:rFonts w:asciiTheme="minorHAnsi" w:hAnsiTheme="minorHAnsi" w:cstheme="minorHAnsi"/>
                <w:color w:val="000000"/>
                <w:sz w:val="18"/>
                <w:szCs w:val="18"/>
              </w:rPr>
              <w:t>Jazz appreciates the opportunity to pursue an early re</w:t>
            </w:r>
            <w:r w:rsidR="003D66AA">
              <w:rPr>
                <w:rFonts w:asciiTheme="minorHAnsi" w:hAnsiTheme="minorHAnsi" w:cstheme="minorHAnsi"/>
                <w:color w:val="000000"/>
                <w:sz w:val="18"/>
                <w:szCs w:val="18"/>
              </w:rPr>
              <w:t> </w:t>
            </w:r>
            <w:r w:rsidRPr="00B16C77">
              <w:rPr>
                <w:rFonts w:asciiTheme="minorHAnsi" w:hAnsiTheme="minorHAnsi" w:cstheme="minorHAnsi"/>
                <w:color w:val="000000"/>
                <w:sz w:val="18"/>
                <w:szCs w:val="18"/>
              </w:rPr>
              <w:t>-</w:t>
            </w:r>
            <w:r w:rsidR="003D66AA">
              <w:rPr>
                <w:rFonts w:asciiTheme="minorHAnsi" w:hAnsiTheme="minorHAnsi" w:cstheme="minorHAnsi"/>
                <w:color w:val="000000"/>
                <w:sz w:val="18"/>
                <w:szCs w:val="18"/>
              </w:rPr>
              <w:t> </w:t>
            </w:r>
            <w:r w:rsidRPr="00B16C77">
              <w:rPr>
                <w:rFonts w:asciiTheme="minorHAnsi" w:hAnsiTheme="minorHAnsi" w:cstheme="minorHAnsi"/>
                <w:color w:val="000000"/>
                <w:sz w:val="18"/>
                <w:szCs w:val="18"/>
              </w:rPr>
              <w:t xml:space="preserve">entry submission to expedite patient access to </w:t>
            </w:r>
            <w:proofErr w:type="spellStart"/>
            <w:r w:rsidRPr="00B16C77">
              <w:rPr>
                <w:rFonts w:asciiTheme="minorHAnsi" w:hAnsiTheme="minorHAnsi" w:cstheme="minorHAnsi"/>
                <w:color w:val="000000"/>
                <w:sz w:val="18"/>
                <w:szCs w:val="18"/>
              </w:rPr>
              <w:t>Vyxeos</w:t>
            </w:r>
            <w:proofErr w:type="spellEnd"/>
            <w:r>
              <w:rPr>
                <w:rFonts w:asciiTheme="minorHAnsi" w:hAnsiTheme="minorHAnsi" w:cstheme="minorHAnsi"/>
                <w:color w:val="000000"/>
                <w:sz w:val="18"/>
                <w:szCs w:val="18"/>
              </w:rPr>
              <w:t>®</w:t>
            </w:r>
            <w:r w:rsidRPr="00B16C77">
              <w:rPr>
                <w:rFonts w:asciiTheme="minorHAnsi" w:hAnsiTheme="minorHAnsi" w:cstheme="minorHAnsi"/>
                <w:color w:val="000000"/>
                <w:sz w:val="18"/>
                <w:szCs w:val="18"/>
              </w:rPr>
              <w:t>.</w:t>
            </w:r>
          </w:p>
        </w:tc>
      </w:tr>
      <w:tr w:rsidR="00897FAC" w:rsidRPr="00015520" w14:paraId="4B53762F" w14:textId="77777777" w:rsidTr="00344CBB">
        <w:trPr>
          <w:cantSplit/>
          <w:trHeight w:val="2948"/>
          <w:jc w:val="center"/>
        </w:trPr>
        <w:tc>
          <w:tcPr>
            <w:tcW w:w="3013" w:type="dxa"/>
            <w:shd w:val="clear" w:color="auto" w:fill="auto"/>
            <w:tcMar>
              <w:top w:w="28" w:type="dxa"/>
              <w:bottom w:w="28" w:type="dxa"/>
            </w:tcMar>
            <w:vAlign w:val="center"/>
          </w:tcPr>
          <w:p w14:paraId="37F29725" w14:textId="3A7DB8D8"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DUPILUMAB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200 mg in 1.14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single dose pre</w:t>
            </w:r>
            <w:r w:rsidR="0023444B">
              <w:rPr>
                <w:rFonts w:asciiTheme="minorHAnsi" w:hAnsiTheme="minorHAnsi" w:cstheme="minorHAnsi"/>
                <w:color w:val="000000"/>
                <w:sz w:val="18"/>
                <w:szCs w:val="18"/>
              </w:rPr>
              <w:t>-</w:t>
            </w:r>
            <w:r w:rsidRPr="00015520">
              <w:rPr>
                <w:rFonts w:asciiTheme="minorHAnsi" w:hAnsiTheme="minorHAnsi" w:cstheme="minorHAnsi"/>
                <w:color w:val="000000"/>
                <w:sz w:val="18"/>
                <w:szCs w:val="18"/>
              </w:rPr>
              <w:t>filled syringe</w:t>
            </w:r>
            <w:r w:rsidRPr="00015520">
              <w:rPr>
                <w:rFonts w:asciiTheme="minorHAnsi" w:hAnsiTheme="minorHAnsi" w:cstheme="minorHAnsi"/>
                <w:color w:val="000000"/>
                <w:sz w:val="18"/>
                <w:szCs w:val="18"/>
              </w:rPr>
              <w:br/>
              <w:t>Injection 300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2</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single dose pre</w:t>
            </w:r>
            <w:r w:rsidR="0023444B">
              <w:rPr>
                <w:rFonts w:asciiTheme="minorHAnsi" w:hAnsiTheme="minorHAnsi" w:cstheme="minorHAnsi"/>
                <w:color w:val="000000"/>
                <w:sz w:val="18"/>
                <w:szCs w:val="18"/>
              </w:rPr>
              <w:t>-</w:t>
            </w:r>
            <w:r w:rsidRPr="00015520">
              <w:rPr>
                <w:rFonts w:asciiTheme="minorHAnsi" w:hAnsiTheme="minorHAnsi" w:cstheme="minorHAnsi"/>
                <w:color w:val="000000"/>
                <w:sz w:val="18"/>
                <w:szCs w:val="18"/>
              </w:rPr>
              <w:t>filled syringe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Dupixent®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Sanofi-Aventis Australia Pty Ltd</w:t>
            </w:r>
            <w:r w:rsidRPr="00015520">
              <w:rPr>
                <w:rFonts w:asciiTheme="minorHAnsi" w:hAnsiTheme="minorHAnsi" w:cstheme="minorHAnsi"/>
                <w:color w:val="000000"/>
                <w:sz w:val="18"/>
                <w:szCs w:val="18"/>
              </w:rPr>
              <w:br/>
            </w:r>
          </w:p>
          <w:p w14:paraId="67AE6A9E" w14:textId="0C947C07" w:rsidR="00897FAC"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C76D5D">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(Other matters)</w:t>
            </w:r>
          </w:p>
        </w:tc>
        <w:tc>
          <w:tcPr>
            <w:tcW w:w="2764" w:type="dxa"/>
            <w:shd w:val="clear" w:color="auto" w:fill="auto"/>
            <w:vAlign w:val="center"/>
          </w:tcPr>
          <w:p w14:paraId="293D2497" w14:textId="00FC6647"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Chronic severe atopic dermatitis</w:t>
            </w:r>
            <w:r w:rsidR="004220E5">
              <w:rPr>
                <w:rFonts w:asciiTheme="minorHAnsi" w:hAnsiTheme="minorHAnsi" w:cstheme="minorHAnsi"/>
                <w:color w:val="000000"/>
                <w:sz w:val="18"/>
                <w:szCs w:val="18"/>
              </w:rPr>
              <w:t xml:space="preserve"> (AD)</w:t>
            </w:r>
          </w:p>
        </w:tc>
        <w:tc>
          <w:tcPr>
            <w:tcW w:w="3098" w:type="dxa"/>
            <w:shd w:val="clear" w:color="auto" w:fill="auto"/>
            <w:tcMar>
              <w:top w:w="28" w:type="dxa"/>
              <w:bottom w:w="28" w:type="dxa"/>
            </w:tcMar>
            <w:vAlign w:val="center"/>
          </w:tcPr>
          <w:p w14:paraId="29B16BA1" w14:textId="714C3869"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the PBAC consider the previously estimated utilisation for chronic severe </w:t>
            </w:r>
            <w:r w:rsidR="00082ED9">
              <w:rPr>
                <w:rFonts w:asciiTheme="minorHAnsi" w:hAnsiTheme="minorHAnsi" w:cstheme="minorHAnsi"/>
                <w:color w:val="000000"/>
                <w:sz w:val="18"/>
                <w:szCs w:val="18"/>
              </w:rPr>
              <w:t>AD</w:t>
            </w:r>
            <w:r w:rsidRPr="00015520">
              <w:rPr>
                <w:rFonts w:asciiTheme="minorHAnsi" w:hAnsiTheme="minorHAnsi" w:cstheme="minorHAnsi"/>
                <w:color w:val="000000"/>
                <w:sz w:val="18"/>
                <w:szCs w:val="18"/>
              </w:rPr>
              <w:t>.</w:t>
            </w:r>
          </w:p>
        </w:tc>
        <w:tc>
          <w:tcPr>
            <w:tcW w:w="1920" w:type="dxa"/>
            <w:shd w:val="clear" w:color="auto" w:fill="auto"/>
            <w:vAlign w:val="center"/>
          </w:tcPr>
          <w:p w14:paraId="167AD0DD" w14:textId="356545F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Advice Provided</w:t>
            </w:r>
          </w:p>
        </w:tc>
        <w:tc>
          <w:tcPr>
            <w:tcW w:w="4593" w:type="dxa"/>
            <w:shd w:val="clear" w:color="auto" w:fill="auto"/>
            <w:vAlign w:val="center"/>
          </w:tcPr>
          <w:p w14:paraId="00AB6BCE" w14:textId="0B8517D8" w:rsidR="00897FAC" w:rsidRPr="00015520" w:rsidRDefault="004220E5"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 xml:space="preserve">The PBAC advised that it would be reasonable for the current risk sharing arrangement (RSA) financial caps for dupilumab (and </w:t>
            </w:r>
            <w:proofErr w:type="spellStart"/>
            <w:r w:rsidRPr="62154131">
              <w:rPr>
                <w:rFonts w:asciiTheme="minorHAnsi" w:hAnsiTheme="minorHAnsi" w:cstheme="minorBidi"/>
                <w:color w:val="000000" w:themeColor="text1"/>
                <w:sz w:val="18"/>
                <w:szCs w:val="18"/>
              </w:rPr>
              <w:t>upadacitinib</w:t>
            </w:r>
            <w:proofErr w:type="spellEnd"/>
            <w:r w:rsidRPr="62154131">
              <w:rPr>
                <w:rFonts w:asciiTheme="minorHAnsi" w:hAnsiTheme="minorHAnsi" w:cstheme="minorBidi"/>
                <w:color w:val="000000" w:themeColor="text1"/>
                <w:sz w:val="18"/>
                <w:szCs w:val="18"/>
              </w:rPr>
              <w:t xml:space="preserve">), for the treatment of severe AD in patients aged 12 years and older, to be increased for the remaining years of the arrangement, to account for patients with severe AD of the hands and/or face. In providing this advice, the PBAC noted that such use was not accounted for in the original RSA caps, however, given the apparent quality </w:t>
            </w:r>
            <w:r w:rsidR="002E17C5" w:rsidRPr="62154131">
              <w:rPr>
                <w:rFonts w:asciiTheme="minorHAnsi" w:hAnsiTheme="minorHAnsi" w:cstheme="minorBidi"/>
                <w:color w:val="000000" w:themeColor="text1"/>
                <w:sz w:val="18"/>
                <w:szCs w:val="18"/>
              </w:rPr>
              <w:t xml:space="preserve">of </w:t>
            </w:r>
            <w:r w:rsidRPr="62154131">
              <w:rPr>
                <w:rFonts w:asciiTheme="minorHAnsi" w:hAnsiTheme="minorHAnsi" w:cstheme="minorBidi"/>
                <w:color w:val="000000" w:themeColor="text1"/>
                <w:sz w:val="18"/>
                <w:szCs w:val="18"/>
              </w:rPr>
              <w:t>life impacts of disease affecting the hands and</w:t>
            </w:r>
            <w:r w:rsidR="00082ED9" w:rsidRPr="62154131">
              <w:rPr>
                <w:rFonts w:asciiTheme="minorHAnsi" w:hAnsiTheme="minorHAnsi" w:cstheme="minorBidi"/>
                <w:color w:val="000000" w:themeColor="text1"/>
                <w:sz w:val="18"/>
                <w:szCs w:val="18"/>
              </w:rPr>
              <w:t>/or</w:t>
            </w:r>
            <w:r w:rsidRPr="62154131">
              <w:rPr>
                <w:rFonts w:asciiTheme="minorHAnsi" w:hAnsiTheme="minorHAnsi" w:cstheme="minorBidi"/>
                <w:color w:val="000000" w:themeColor="text1"/>
                <w:sz w:val="18"/>
                <w:szCs w:val="18"/>
              </w:rPr>
              <w:t xml:space="preserve"> face appear similar to that for the whole body, considered that use in these patients is likely to be cost-effective. The PBAC considered the submission’s other proposed changes to the financial estimates (increasing the proportion of patients inadequately controlled on topical corticosteroids and increasing the uptake rates) to be overestimated and highly uncertain. The PBAC considered that the submission did not provide sufficient justification in relation to changing these assumptions and therefore did not support these amendments.</w:t>
            </w:r>
          </w:p>
        </w:tc>
      </w:tr>
      <w:tr w:rsidR="00897FAC" w:rsidRPr="00015520" w14:paraId="07A41AC1" w14:textId="77777777" w:rsidTr="00344CBB">
        <w:trPr>
          <w:cantSplit/>
          <w:trHeight w:val="2948"/>
          <w:jc w:val="center"/>
        </w:trPr>
        <w:tc>
          <w:tcPr>
            <w:tcW w:w="3013" w:type="dxa"/>
            <w:shd w:val="clear" w:color="auto" w:fill="auto"/>
            <w:tcMar>
              <w:top w:w="28" w:type="dxa"/>
              <w:bottom w:w="28" w:type="dxa"/>
            </w:tcMar>
            <w:vAlign w:val="center"/>
          </w:tcPr>
          <w:p w14:paraId="47F0B4EC" w14:textId="03BE4B12"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DURVALUMAB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120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2.4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t>Solution concentrate for I.V. infusion 500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Imfinzi®</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AstraZeneca Pty Ltd</w:t>
            </w:r>
            <w:r w:rsidR="0066292F" w:rsidRPr="00015520">
              <w:rPr>
                <w:rFonts w:asciiTheme="minorHAnsi" w:hAnsiTheme="minorHAnsi" w:cstheme="minorHAnsi"/>
                <w:color w:val="000000"/>
                <w:sz w:val="18"/>
                <w:szCs w:val="18"/>
              </w:rPr>
              <w:br/>
            </w:r>
          </w:p>
          <w:p w14:paraId="28027A6D" w14:textId="3F2D6A5B" w:rsidR="00897FAC"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021F778D" w14:textId="06BAC5B2"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Biliary tract cancer</w:t>
            </w:r>
          </w:p>
        </w:tc>
        <w:tc>
          <w:tcPr>
            <w:tcW w:w="3098" w:type="dxa"/>
            <w:shd w:val="clear" w:color="auto" w:fill="auto"/>
            <w:tcMar>
              <w:top w:w="28" w:type="dxa"/>
              <w:bottom w:w="28" w:type="dxa"/>
            </w:tcMar>
            <w:vAlign w:val="center"/>
          </w:tcPr>
          <w:p w14:paraId="0C3A086F" w14:textId="79784C30"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Section 100 (Efficient Funding of Chemotherapy Program) Authority Required (STREAMLINED) listing for the treatment of advanced biliary tract cancer.</w:t>
            </w:r>
          </w:p>
        </w:tc>
        <w:tc>
          <w:tcPr>
            <w:tcW w:w="1920" w:type="dxa"/>
            <w:shd w:val="clear" w:color="auto" w:fill="auto"/>
            <w:vAlign w:val="center"/>
          </w:tcPr>
          <w:p w14:paraId="2962443F" w14:textId="7CC7B42C"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39E0FF04" w14:textId="422EA5CE"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the listing of durvalumab for the treatment of advanced biliary tract cancer. The PBAC considered that durvalumab in combination with chemotherapy provides a moderate improvement in overall survival and a small improvement in progression free survival compared to chemotherapy alone. The PBAC considered that the amendments made in the resubmission, including changes to the economic model and a reduced price had sufficiently addressed the Committee’s previous concerns. The PBAC considered the utilisation remained overestimated and advised assumptions regarding uptake rate, proportion of patients with performance status 0 or 1 and proportion of patients with liver </w:t>
            </w:r>
            <w:r w:rsidRPr="00701816">
              <w:rPr>
                <w:rFonts w:asciiTheme="minorHAnsi" w:hAnsiTheme="minorHAnsi" w:cstheme="minorHAnsi"/>
                <w:color w:val="000000"/>
                <w:sz w:val="18"/>
                <w:szCs w:val="18"/>
              </w:rPr>
              <w:t xml:space="preserve">cancer who have </w:t>
            </w:r>
            <w:r w:rsidR="00701816" w:rsidRPr="00701816">
              <w:rPr>
                <w:rFonts w:asciiTheme="minorHAnsi" w:hAnsiTheme="minorHAnsi" w:cstheme="minorHAnsi"/>
                <w:color w:val="000000"/>
                <w:sz w:val="18"/>
                <w:szCs w:val="18"/>
              </w:rPr>
              <w:t xml:space="preserve">intrahepatic cholangiocarcinoma </w:t>
            </w:r>
            <w:r w:rsidRPr="00701816">
              <w:rPr>
                <w:rFonts w:asciiTheme="minorHAnsi" w:hAnsiTheme="minorHAnsi" w:cstheme="minorHAnsi"/>
                <w:color w:val="000000"/>
                <w:sz w:val="18"/>
                <w:szCs w:val="18"/>
              </w:rPr>
              <w:t>should be revised.</w:t>
            </w:r>
          </w:p>
        </w:tc>
      </w:tr>
      <w:tr w:rsidR="00897FAC" w:rsidRPr="00015520" w14:paraId="5854B770" w14:textId="77777777" w:rsidTr="00344CBB">
        <w:trPr>
          <w:cantSplit/>
          <w:trHeight w:val="2948"/>
          <w:jc w:val="center"/>
        </w:trPr>
        <w:tc>
          <w:tcPr>
            <w:tcW w:w="3013" w:type="dxa"/>
            <w:shd w:val="clear" w:color="auto" w:fill="auto"/>
            <w:tcMar>
              <w:top w:w="28" w:type="dxa"/>
              <w:bottom w:w="28" w:type="dxa"/>
            </w:tcMar>
            <w:vAlign w:val="center"/>
          </w:tcPr>
          <w:p w14:paraId="62140EEF" w14:textId="69E2A194"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ENOXAPARIN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containing enoxaparin sodium 20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(2,000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0.2</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Injection containing enoxaparin sodium 40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(4,000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0.4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Injection containing enoxaparin sodium 60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(6,000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0.6</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Injection containing enoxaparin sodium 80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(8,000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0.8</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Injection containing enoxaparin sodium 100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(10,000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Injection containing enoxaparin sodium 120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(12,000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0.8</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Injection containing enoxaparin sodium 150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(15,000 I.U. anti-</w:t>
            </w:r>
            <w:proofErr w:type="spellStart"/>
            <w:r w:rsidRPr="00015520">
              <w:rPr>
                <w:rFonts w:asciiTheme="minorHAnsi" w:hAnsiTheme="minorHAnsi" w:cstheme="minorHAnsi"/>
                <w:color w:val="000000"/>
                <w:sz w:val="18"/>
                <w:szCs w:val="18"/>
              </w:rPr>
              <w:t>Xa</w:t>
            </w:r>
            <w:proofErr w:type="spellEnd"/>
            <w:r w:rsidRPr="00015520">
              <w:rPr>
                <w:rFonts w:asciiTheme="minorHAnsi" w:hAnsiTheme="minorHAnsi" w:cstheme="minorHAnsi"/>
                <w:color w:val="000000"/>
                <w:sz w:val="18"/>
                <w:szCs w:val="18"/>
              </w:rPr>
              <w:t>) in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Exarane</w:t>
            </w:r>
            <w:r w:rsidRPr="00701816">
              <w:rPr>
                <w:rFonts w:asciiTheme="minorHAnsi" w:hAnsiTheme="minorHAnsi" w:cstheme="minorHAnsi"/>
                <w:color w:val="000000"/>
                <w:sz w:val="18"/>
                <w:szCs w:val="18"/>
                <w:vertAlign w:val="superscript"/>
              </w:rPr>
              <w:t>TM</w:t>
            </w:r>
            <w:proofErr w:type="spellEnd"/>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Exarane</w:t>
            </w:r>
            <w:proofErr w:type="spellEnd"/>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Forte</w:t>
            </w:r>
            <w:r w:rsidRPr="00701816">
              <w:rPr>
                <w:rFonts w:asciiTheme="minorHAnsi" w:hAnsiTheme="minorHAnsi" w:cstheme="minorHAnsi"/>
                <w:color w:val="000000"/>
                <w:sz w:val="18"/>
                <w:szCs w:val="18"/>
                <w:vertAlign w:val="superscript"/>
              </w:rPr>
              <w:t>TM</w:t>
            </w:r>
            <w:proofErr w:type="spellEnd"/>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Juno Pharmaceuticals Pty Ltd</w:t>
            </w:r>
            <w:r w:rsidRPr="00015520">
              <w:rPr>
                <w:rFonts w:asciiTheme="minorHAnsi" w:hAnsiTheme="minorHAnsi" w:cstheme="minorHAnsi"/>
                <w:color w:val="000000"/>
                <w:sz w:val="18"/>
                <w:szCs w:val="18"/>
              </w:rPr>
              <w:br/>
            </w:r>
          </w:p>
          <w:p w14:paraId="5572F036" w14:textId="1B5FA0E0" w:rsidR="00897FAC"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357637A3" w14:textId="1B36A69E"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Thrombo-embolic disorders</w:t>
            </w:r>
          </w:p>
        </w:tc>
        <w:tc>
          <w:tcPr>
            <w:tcW w:w="3098" w:type="dxa"/>
            <w:shd w:val="clear" w:color="auto" w:fill="auto"/>
            <w:tcMar>
              <w:top w:w="28" w:type="dxa"/>
              <w:bottom w:w="28" w:type="dxa"/>
            </w:tcMar>
            <w:vAlign w:val="center"/>
          </w:tcPr>
          <w:p w14:paraId="134130E6" w14:textId="06CC415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listing of an enoxaparin biosimilar under the same conditions as its reference biologic, and to request a General Schedule Restricted Benefit listing for haemodialysis and a General Schedule unrestricted listing of two new </w:t>
            </w:r>
            <w:r w:rsidR="000C4805">
              <w:rPr>
                <w:rFonts w:asciiTheme="minorHAnsi" w:hAnsiTheme="minorHAnsi" w:cstheme="minorHAnsi"/>
                <w:color w:val="000000"/>
                <w:sz w:val="18"/>
                <w:szCs w:val="18"/>
              </w:rPr>
              <w:t>strength</w:t>
            </w:r>
            <w:r w:rsidR="000C4805" w:rsidRPr="00015520">
              <w:rPr>
                <w:rFonts w:asciiTheme="minorHAnsi" w:hAnsiTheme="minorHAnsi" w:cstheme="minorHAnsi"/>
                <w:color w:val="000000"/>
                <w:sz w:val="18"/>
                <w:szCs w:val="18"/>
              </w:rPr>
              <w:t xml:space="preserve">s </w:t>
            </w:r>
            <w:r w:rsidRPr="00015520">
              <w:rPr>
                <w:rFonts w:asciiTheme="minorHAnsi" w:hAnsiTheme="minorHAnsi" w:cstheme="minorHAnsi"/>
                <w:color w:val="000000"/>
                <w:sz w:val="18"/>
                <w:szCs w:val="18"/>
              </w:rPr>
              <w:t>under the same conditions as the currently listed forms.</w:t>
            </w:r>
          </w:p>
        </w:tc>
        <w:tc>
          <w:tcPr>
            <w:tcW w:w="1920" w:type="dxa"/>
            <w:shd w:val="clear" w:color="auto" w:fill="auto"/>
            <w:vAlign w:val="center"/>
          </w:tcPr>
          <w:p w14:paraId="46FDA260" w14:textId="6EF04F79"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0B4B06E8" w14:textId="3962A27F"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the listing of biosimilar brand of enoxaparin (</w:t>
            </w:r>
            <w:proofErr w:type="spellStart"/>
            <w:r w:rsidRPr="00015520">
              <w:rPr>
                <w:rFonts w:asciiTheme="minorHAnsi" w:hAnsiTheme="minorHAnsi" w:cstheme="minorHAnsi"/>
                <w:color w:val="000000"/>
                <w:sz w:val="18"/>
                <w:szCs w:val="18"/>
              </w:rPr>
              <w:t>Exarane</w:t>
            </w:r>
            <w:proofErr w:type="spellEnd"/>
            <w:r w:rsidRPr="00015520">
              <w:rPr>
                <w:rFonts w:asciiTheme="minorHAnsi" w:hAnsiTheme="minorHAnsi" w:cstheme="minorHAnsi"/>
                <w:color w:val="000000"/>
                <w:sz w:val="18"/>
                <w:szCs w:val="18"/>
              </w:rPr>
              <w:t xml:space="preserve">™ and </w:t>
            </w:r>
            <w:proofErr w:type="spellStart"/>
            <w:r w:rsidRPr="00015520">
              <w:rPr>
                <w:rFonts w:asciiTheme="minorHAnsi" w:hAnsiTheme="minorHAnsi" w:cstheme="minorHAnsi"/>
                <w:color w:val="000000"/>
                <w:sz w:val="18"/>
                <w:szCs w:val="18"/>
              </w:rPr>
              <w:t>Exarane</w:t>
            </w:r>
            <w:proofErr w:type="spellEnd"/>
            <w:r w:rsidRPr="00015520">
              <w:rPr>
                <w:rFonts w:asciiTheme="minorHAnsi" w:hAnsiTheme="minorHAnsi" w:cstheme="minorHAnsi"/>
                <w:color w:val="000000"/>
                <w:sz w:val="18"/>
                <w:szCs w:val="18"/>
              </w:rPr>
              <w:t xml:space="preserve"> Fort</w:t>
            </w:r>
            <w:r w:rsidR="0023444B">
              <w:rPr>
                <w:rFonts w:asciiTheme="minorHAnsi" w:hAnsiTheme="minorHAnsi" w:cstheme="minorHAnsi"/>
                <w:color w:val="000000"/>
                <w:sz w:val="18"/>
                <w:szCs w:val="18"/>
              </w:rPr>
              <w:t>e</w:t>
            </w:r>
            <w:r w:rsidRPr="00015520">
              <w:rPr>
                <w:rFonts w:asciiTheme="minorHAnsi" w:hAnsiTheme="minorHAnsi" w:cstheme="minorHAnsi"/>
                <w:color w:val="000000"/>
                <w:sz w:val="18"/>
                <w:szCs w:val="18"/>
              </w:rPr>
              <w:t xml:space="preserve">™) on the General Schedule on a cost-minimisation basis under the same circumstances as the PBS-listed reference biologic Clexane Safety-Lock®. The PBAC advised that the listing of </w:t>
            </w:r>
            <w:proofErr w:type="spellStart"/>
            <w:r w:rsidRPr="00015520">
              <w:rPr>
                <w:rFonts w:asciiTheme="minorHAnsi" w:hAnsiTheme="minorHAnsi" w:cstheme="minorHAnsi"/>
                <w:color w:val="000000"/>
                <w:sz w:val="18"/>
                <w:szCs w:val="18"/>
              </w:rPr>
              <w:t>Exarane</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be based on </w:t>
            </w:r>
            <w:proofErr w:type="spellStart"/>
            <w:r w:rsidRPr="00015520">
              <w:rPr>
                <w:rFonts w:asciiTheme="minorHAnsi" w:hAnsiTheme="minorHAnsi" w:cstheme="minorHAnsi"/>
                <w:color w:val="000000"/>
                <w:sz w:val="18"/>
                <w:szCs w:val="18"/>
              </w:rPr>
              <w:t>equi</w:t>
            </w:r>
            <w:proofErr w:type="spellEnd"/>
            <w:r w:rsidRPr="00015520">
              <w:rPr>
                <w:rFonts w:asciiTheme="minorHAnsi" w:hAnsiTheme="minorHAnsi" w:cstheme="minorHAnsi"/>
                <w:color w:val="000000"/>
                <w:sz w:val="18"/>
                <w:szCs w:val="18"/>
              </w:rPr>
              <w:t>-effective doses of each corresponding PBS listed formulation of Clexane Safety-Lock</w:t>
            </w:r>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where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proofErr w:type="spellStart"/>
            <w:r w:rsidRPr="00015520">
              <w:rPr>
                <w:rFonts w:asciiTheme="minorHAnsi" w:hAnsiTheme="minorHAnsi" w:cstheme="minorHAnsi"/>
                <w:color w:val="000000"/>
                <w:sz w:val="18"/>
                <w:szCs w:val="18"/>
              </w:rPr>
              <w:t>Exarane</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w:t>
            </w:r>
            <w:proofErr w:type="spellStart"/>
            <w:r w:rsidRPr="00015520">
              <w:rPr>
                <w:rFonts w:asciiTheme="minorHAnsi" w:hAnsiTheme="minorHAnsi" w:cstheme="minorHAnsi"/>
                <w:color w:val="000000"/>
                <w:sz w:val="18"/>
                <w:szCs w:val="18"/>
              </w:rPr>
              <w:t>Exarane</w:t>
            </w:r>
            <w:proofErr w:type="spellEnd"/>
            <w:r w:rsidRPr="00015520">
              <w:rPr>
                <w:rFonts w:asciiTheme="minorHAnsi" w:hAnsiTheme="minorHAnsi" w:cstheme="minorHAnsi"/>
                <w:color w:val="000000"/>
                <w:sz w:val="18"/>
                <w:szCs w:val="18"/>
              </w:rPr>
              <w:t xml:space="preserve"> Forte</w:t>
            </w:r>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Clexane Safety-Lock</w:t>
            </w:r>
            <w:r w:rsidR="000C4805">
              <w:rPr>
                <w:rFonts w:asciiTheme="minorHAnsi" w:hAnsiTheme="minorHAnsi" w:cstheme="minorHAnsi"/>
                <w:color w:val="000000"/>
                <w:sz w:val="18"/>
                <w:szCs w:val="18"/>
              </w:rPr>
              <w:t>®</w:t>
            </w:r>
            <w:r w:rsidRPr="00015520">
              <w:rPr>
                <w:rFonts w:asciiTheme="minorHAnsi" w:hAnsiTheme="minorHAnsi" w:cstheme="minorHAnsi"/>
                <w:color w:val="000000"/>
                <w:sz w:val="18"/>
                <w:szCs w:val="18"/>
              </w:rPr>
              <w:t>. The PBAC also recommended the listing of two new strengths of enoxaparin, 120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0.8</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and 150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w:t>
            </w:r>
            <w:proofErr w:type="spellStart"/>
            <w:r w:rsidRPr="00015520">
              <w:rPr>
                <w:rFonts w:asciiTheme="minorHAnsi" w:hAnsiTheme="minorHAnsi" w:cstheme="minorHAnsi"/>
                <w:color w:val="000000"/>
                <w:sz w:val="18"/>
                <w:szCs w:val="18"/>
              </w:rPr>
              <w:t>Exarane</w:t>
            </w:r>
            <w:proofErr w:type="spellEnd"/>
            <w:r w:rsidRPr="00015520">
              <w:rPr>
                <w:rFonts w:asciiTheme="minorHAnsi" w:hAnsiTheme="minorHAnsi" w:cstheme="minorHAnsi"/>
                <w:color w:val="000000"/>
                <w:sz w:val="18"/>
                <w:szCs w:val="18"/>
              </w:rPr>
              <w:t xml:space="preserve"> Forte™) and on a cost</w:t>
            </w:r>
            <w:r w:rsidR="00A913D1">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minimisation basis with the least costly alternative presentation on a per milligram basis. The PBAC advised that the addition of an administrative note to encourage the uptake of biosimilar prescribing for treatment naïve patients would be appropriate, in accordance with the Government’s policy to encourage the use of biosimilar medicines. The PBAC noted that it is not possible to implement the other biosimilar uptake driver of a less restrictive Authority type listing in this instance. The PBAC advised that </w:t>
            </w:r>
            <w:proofErr w:type="spellStart"/>
            <w:r w:rsidRPr="00015520">
              <w:rPr>
                <w:rFonts w:asciiTheme="minorHAnsi" w:hAnsiTheme="minorHAnsi" w:cstheme="minorHAnsi"/>
                <w:color w:val="000000"/>
                <w:sz w:val="18"/>
                <w:szCs w:val="18"/>
              </w:rPr>
              <w:t>Exarane</w:t>
            </w:r>
            <w:proofErr w:type="spellEnd"/>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Exarane</w:t>
            </w:r>
            <w:proofErr w:type="spellEnd"/>
            <w:r w:rsidRPr="00015520">
              <w:rPr>
                <w:rFonts w:asciiTheme="minorHAnsi" w:hAnsiTheme="minorHAnsi" w:cstheme="minorHAnsi"/>
                <w:color w:val="000000"/>
                <w:sz w:val="18"/>
                <w:szCs w:val="18"/>
              </w:rPr>
              <w:t xml:space="preserve"> Forte</w:t>
            </w:r>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and Clexane Safety-Lock</w:t>
            </w:r>
            <w:r w:rsidR="00681EF3"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should be considered equivalent for the purposes of substitution (i.e. ‘a’ flagged).</w:t>
            </w:r>
          </w:p>
        </w:tc>
      </w:tr>
      <w:tr w:rsidR="00897FAC" w:rsidRPr="00015520" w14:paraId="73275407" w14:textId="77777777" w:rsidTr="00344CBB">
        <w:trPr>
          <w:trHeight w:val="646"/>
          <w:jc w:val="center"/>
        </w:trPr>
        <w:tc>
          <w:tcPr>
            <w:tcW w:w="3013" w:type="dxa"/>
            <w:shd w:val="clear" w:color="auto" w:fill="auto"/>
            <w:tcMar>
              <w:top w:w="28" w:type="dxa"/>
              <w:bottom w:w="28" w:type="dxa"/>
            </w:tcMar>
            <w:vAlign w:val="center"/>
          </w:tcPr>
          <w:p w14:paraId="2AA71E34" w14:textId="1235BA1D"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 xml:space="preserve">ESKETAMINE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Nasal spray solution 28</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0.2</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Spravato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Janssen-</w:t>
            </w:r>
            <w:proofErr w:type="spellStart"/>
            <w:r w:rsidR="0066292F" w:rsidRPr="00015520">
              <w:rPr>
                <w:rFonts w:asciiTheme="minorHAnsi" w:hAnsiTheme="minorHAnsi" w:cstheme="minorHAnsi"/>
                <w:color w:val="000000"/>
                <w:sz w:val="18"/>
                <w:szCs w:val="18"/>
              </w:rPr>
              <w:t>Cilag</w:t>
            </w:r>
            <w:proofErr w:type="spellEnd"/>
            <w:r w:rsidR="0066292F" w:rsidRPr="00015520">
              <w:rPr>
                <w:rFonts w:asciiTheme="minorHAnsi" w:hAnsiTheme="minorHAnsi" w:cstheme="minorHAnsi"/>
                <w:color w:val="000000"/>
                <w:sz w:val="18"/>
                <w:szCs w:val="18"/>
              </w:rPr>
              <w:t xml:space="preserve"> Pty Ltd</w:t>
            </w:r>
            <w:r w:rsidRPr="00015520">
              <w:rPr>
                <w:rFonts w:asciiTheme="minorHAnsi" w:hAnsiTheme="minorHAnsi" w:cstheme="minorHAnsi"/>
                <w:color w:val="000000"/>
                <w:sz w:val="18"/>
                <w:szCs w:val="18"/>
              </w:rPr>
              <w:br/>
            </w:r>
          </w:p>
          <w:p w14:paraId="3FB2DC84" w14:textId="50A7AC99" w:rsidR="00897FAC" w:rsidRPr="00015520" w:rsidRDefault="006D0F86"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4BC27836" w14:textId="401CAB6E"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Treatment resistant depression</w:t>
            </w:r>
            <w:r w:rsidR="00082ED9">
              <w:rPr>
                <w:rFonts w:asciiTheme="minorHAnsi" w:hAnsiTheme="minorHAnsi" w:cstheme="minorHAnsi"/>
                <w:color w:val="000000"/>
                <w:sz w:val="18"/>
                <w:szCs w:val="18"/>
              </w:rPr>
              <w:t xml:space="preserve"> (TRD)</w:t>
            </w:r>
          </w:p>
        </w:tc>
        <w:tc>
          <w:tcPr>
            <w:tcW w:w="3098" w:type="dxa"/>
            <w:shd w:val="clear" w:color="auto" w:fill="auto"/>
            <w:tcMar>
              <w:top w:w="28" w:type="dxa"/>
              <w:bottom w:w="28" w:type="dxa"/>
            </w:tcMar>
            <w:vAlign w:val="center"/>
          </w:tcPr>
          <w:p w14:paraId="7E8A9BA9" w14:textId="0B311FE3"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Resubmission to request a Section 100 (Highly Specialised Drug Program) Authority Required (Telephone/Online) listing for the treatment of patients with </w:t>
            </w:r>
            <w:r w:rsidR="00F25953" w:rsidRPr="00F25953">
              <w:rPr>
                <w:rFonts w:asciiTheme="minorHAnsi" w:hAnsiTheme="minorHAnsi" w:cstheme="minorHAnsi"/>
                <w:color w:val="000000"/>
                <w:sz w:val="18"/>
                <w:szCs w:val="18"/>
              </w:rPr>
              <w:t>TRD.</w:t>
            </w:r>
          </w:p>
        </w:tc>
        <w:tc>
          <w:tcPr>
            <w:tcW w:w="1920" w:type="dxa"/>
            <w:shd w:val="clear" w:color="auto" w:fill="auto"/>
            <w:vAlign w:val="center"/>
          </w:tcPr>
          <w:p w14:paraId="26829FC0" w14:textId="6577F7C0"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7C7E2CAE" w14:textId="6C4811E7" w:rsidR="00F25953" w:rsidRDefault="00F25953" w:rsidP="00F25953">
            <w:pPr>
              <w:rPr>
                <w:rFonts w:asciiTheme="minorHAnsi" w:hAnsiTheme="minorHAnsi" w:cstheme="minorHAnsi"/>
                <w:color w:val="000000"/>
                <w:sz w:val="18"/>
                <w:szCs w:val="18"/>
                <w:lang w:val="en-GB"/>
              </w:rPr>
            </w:pPr>
            <w:r w:rsidRPr="00F25953">
              <w:rPr>
                <w:rFonts w:asciiTheme="minorHAnsi" w:hAnsiTheme="minorHAnsi" w:cstheme="minorHAnsi"/>
                <w:color w:val="000000"/>
                <w:sz w:val="18"/>
                <w:szCs w:val="18"/>
              </w:rPr>
              <w:t xml:space="preserve">The PBAC did not recommend the PBS listing of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for the treatment of TRD. The PBAC noted, based on the </w:t>
            </w:r>
            <w:proofErr w:type="spellStart"/>
            <w:r w:rsidR="00A913D1">
              <w:rPr>
                <w:rFonts w:asciiTheme="minorHAnsi" w:hAnsiTheme="minorHAnsi" w:cstheme="minorHAnsi"/>
                <w:color w:val="000000"/>
                <w:sz w:val="18"/>
                <w:szCs w:val="18"/>
              </w:rPr>
              <w:t>esketamine</w:t>
            </w:r>
            <w:proofErr w:type="spellEnd"/>
            <w:r w:rsidR="00A913D1">
              <w:rPr>
                <w:rFonts w:asciiTheme="minorHAnsi" w:hAnsiTheme="minorHAnsi" w:cstheme="minorHAnsi"/>
                <w:color w:val="000000"/>
                <w:sz w:val="18"/>
                <w:szCs w:val="18"/>
              </w:rPr>
              <w:t xml:space="preserve"> </w:t>
            </w:r>
            <w:r w:rsidRPr="00F25953">
              <w:rPr>
                <w:rFonts w:asciiTheme="minorHAnsi" w:hAnsiTheme="minorHAnsi" w:cstheme="minorHAnsi"/>
                <w:color w:val="000000"/>
                <w:sz w:val="18"/>
                <w:szCs w:val="18"/>
              </w:rPr>
              <w:t xml:space="preserve">stakeholder meeting </w:t>
            </w:r>
            <w:r w:rsidR="00A913D1">
              <w:rPr>
                <w:rFonts w:asciiTheme="minorHAnsi" w:hAnsiTheme="minorHAnsi" w:cstheme="minorHAnsi"/>
                <w:color w:val="000000"/>
                <w:sz w:val="18"/>
                <w:szCs w:val="18"/>
              </w:rPr>
              <w:t xml:space="preserve">held in February 2023 </w:t>
            </w:r>
            <w:r w:rsidRPr="00F25953">
              <w:rPr>
                <w:rFonts w:asciiTheme="minorHAnsi" w:hAnsiTheme="minorHAnsi" w:cstheme="minorHAnsi"/>
                <w:color w:val="000000"/>
                <w:sz w:val="18"/>
                <w:szCs w:val="18"/>
              </w:rPr>
              <w:t>(</w:t>
            </w:r>
            <w:r w:rsidR="00A913D1">
              <w:rPr>
                <w:rFonts w:asciiTheme="minorHAnsi" w:hAnsiTheme="minorHAnsi" w:cstheme="minorHAnsi"/>
                <w:color w:val="000000"/>
                <w:sz w:val="18"/>
                <w:szCs w:val="18"/>
              </w:rPr>
              <w:t xml:space="preserve">outcome statement </w:t>
            </w:r>
            <w:r w:rsidRPr="00F25953">
              <w:rPr>
                <w:rFonts w:asciiTheme="minorHAnsi" w:hAnsiTheme="minorHAnsi" w:cstheme="minorHAnsi"/>
                <w:color w:val="000000"/>
                <w:sz w:val="18"/>
                <w:szCs w:val="18"/>
              </w:rPr>
              <w:t xml:space="preserve">available </w:t>
            </w:r>
            <w:hyperlink r:id="rId8" w:history="1">
              <w:r w:rsidRPr="00F25953">
                <w:rPr>
                  <w:rStyle w:val="Hyperlink"/>
                  <w:rFonts w:asciiTheme="minorHAnsi" w:hAnsiTheme="minorHAnsi" w:cstheme="minorHAnsi"/>
                  <w:sz w:val="18"/>
                  <w:szCs w:val="18"/>
                </w:rPr>
                <w:t>here</w:t>
              </w:r>
            </w:hyperlink>
            <w:r w:rsidRPr="00F25953">
              <w:rPr>
                <w:rFonts w:asciiTheme="minorHAnsi" w:hAnsiTheme="minorHAnsi" w:cstheme="minorHAnsi"/>
                <w:color w:val="000000"/>
                <w:sz w:val="18"/>
                <w:szCs w:val="18"/>
              </w:rPr>
              <w:t xml:space="preserve">), it was proposed that a treatment course with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be limited to a maximum of 12 months duration. The PBAC noted this was the key change in the resubmission which flowed into the economic and financial models. The PBAC acknowledged the input from patients, clinicians and organisations, many of whom highlighted the severe impacts of TRD on everyday life and described how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(and ketamine) treatment had been transformative and restored hope in their lives. </w:t>
            </w:r>
            <w:r w:rsidRPr="00F25953">
              <w:rPr>
                <w:rFonts w:asciiTheme="minorHAnsi" w:hAnsiTheme="minorHAnsi" w:cstheme="minorHAnsi"/>
                <w:color w:val="000000"/>
                <w:sz w:val="18"/>
                <w:szCs w:val="18"/>
                <w:lang w:val="en-GB"/>
              </w:rPr>
              <w:t xml:space="preserve">The previous submissions were considered in July 2021 and July 2022. </w:t>
            </w:r>
          </w:p>
          <w:p w14:paraId="278CFF08" w14:textId="77777777" w:rsidR="00F25953" w:rsidRPr="00F25953" w:rsidRDefault="00F25953" w:rsidP="00F25953">
            <w:pPr>
              <w:rPr>
                <w:rFonts w:asciiTheme="minorHAnsi" w:hAnsiTheme="minorHAnsi" w:cstheme="minorHAnsi"/>
                <w:color w:val="000000"/>
                <w:sz w:val="18"/>
                <w:szCs w:val="18"/>
                <w:lang w:val="en-GB"/>
              </w:rPr>
            </w:pPr>
          </w:p>
          <w:p w14:paraId="0F851171" w14:textId="6A0E1E0D" w:rsidR="00F25953" w:rsidRPr="00F25953" w:rsidRDefault="00F25953" w:rsidP="00F25953">
            <w:pPr>
              <w:rPr>
                <w:rFonts w:asciiTheme="minorHAnsi" w:hAnsiTheme="minorHAnsi" w:cstheme="minorHAnsi"/>
                <w:color w:val="000000"/>
                <w:sz w:val="18"/>
                <w:szCs w:val="18"/>
              </w:rPr>
            </w:pPr>
            <w:r w:rsidRPr="00F25953">
              <w:rPr>
                <w:rFonts w:asciiTheme="minorHAnsi" w:hAnsiTheme="minorHAnsi" w:cstheme="minorHAnsi"/>
                <w:color w:val="000000"/>
                <w:sz w:val="18"/>
                <w:szCs w:val="18"/>
                <w:u w:val="single"/>
                <w:lang w:val="en-GB"/>
              </w:rPr>
              <w:t>Proposed restriction:</w:t>
            </w:r>
            <w:r w:rsidRPr="00082ED9">
              <w:rPr>
                <w:rFonts w:asciiTheme="minorHAnsi" w:hAnsiTheme="minorHAnsi" w:cstheme="minorHAnsi"/>
                <w:color w:val="000000"/>
                <w:sz w:val="18"/>
                <w:szCs w:val="18"/>
                <w:lang w:val="en-GB"/>
              </w:rPr>
              <w:t xml:space="preserve"> </w:t>
            </w:r>
            <w:r w:rsidRPr="00F25953">
              <w:rPr>
                <w:rFonts w:asciiTheme="minorHAnsi" w:hAnsiTheme="minorHAnsi" w:cstheme="minorHAnsi"/>
                <w:color w:val="000000"/>
                <w:sz w:val="18"/>
                <w:szCs w:val="18"/>
              </w:rPr>
              <w:t xml:space="preserve">The proposed restriction criteria limited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to a maximum duration of 12</w:t>
            </w:r>
            <w:r>
              <w:rPr>
                <w:rFonts w:asciiTheme="minorHAnsi" w:hAnsiTheme="minorHAnsi" w:cstheme="minorHAnsi"/>
                <w:color w:val="000000"/>
                <w:sz w:val="18"/>
                <w:szCs w:val="18"/>
              </w:rPr>
              <w:t> </w:t>
            </w:r>
            <w:r w:rsidRPr="00F25953">
              <w:rPr>
                <w:rFonts w:asciiTheme="minorHAnsi" w:hAnsiTheme="minorHAnsi" w:cstheme="minorHAnsi"/>
                <w:color w:val="000000"/>
                <w:sz w:val="18"/>
                <w:szCs w:val="18"/>
              </w:rPr>
              <w:t xml:space="preserve">months per episode as supported by the stakeholder meeting. The PBAC considered there was a number of uncertainties associated with this, including how episodic treatment would be managed, the impact of ceasing treatment in responders and how to implement use beyond 12 months for some patients. </w:t>
            </w:r>
          </w:p>
          <w:p w14:paraId="5B1250E0" w14:textId="0CC7DE70" w:rsidR="00F25953" w:rsidRDefault="00F25953" w:rsidP="00F25953">
            <w:pPr>
              <w:rPr>
                <w:rFonts w:asciiTheme="minorHAnsi" w:hAnsiTheme="minorHAnsi" w:cstheme="minorHAnsi"/>
                <w:color w:val="000000"/>
                <w:sz w:val="18"/>
                <w:szCs w:val="18"/>
              </w:rPr>
            </w:pPr>
            <w:r w:rsidRPr="00F25953">
              <w:rPr>
                <w:rFonts w:asciiTheme="minorHAnsi" w:hAnsiTheme="minorHAnsi" w:cstheme="minorHAnsi"/>
                <w:color w:val="000000"/>
                <w:sz w:val="18"/>
                <w:szCs w:val="18"/>
              </w:rPr>
              <w:t xml:space="preserve">The PBAC agreed with the input from the stakeholder meeting that it was appropriate that some patients who responded to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in a depressive episode would use it again if they relapsed or experienced a new depressive episode. The PBAC considered that implementing an appropriate pathway for retreatment would require further consideration. </w:t>
            </w:r>
          </w:p>
          <w:p w14:paraId="6AAD2C20" w14:textId="77777777" w:rsidR="002A29B6" w:rsidRPr="00F25953" w:rsidRDefault="002A29B6" w:rsidP="00F25953">
            <w:pPr>
              <w:rPr>
                <w:rFonts w:asciiTheme="minorHAnsi" w:hAnsiTheme="minorHAnsi" w:cstheme="minorHAnsi"/>
                <w:color w:val="000000"/>
                <w:sz w:val="18"/>
                <w:szCs w:val="18"/>
              </w:rPr>
            </w:pPr>
          </w:p>
          <w:p w14:paraId="7537D3E3" w14:textId="7F4DA846" w:rsidR="00F25953" w:rsidRDefault="00F25953" w:rsidP="00F25953">
            <w:pPr>
              <w:rPr>
                <w:rFonts w:asciiTheme="minorHAnsi" w:hAnsiTheme="minorHAnsi" w:cstheme="minorHAnsi"/>
                <w:color w:val="000000"/>
                <w:sz w:val="18"/>
                <w:szCs w:val="18"/>
                <w:lang w:val="en-GB"/>
              </w:rPr>
            </w:pPr>
            <w:r w:rsidRPr="00F25953">
              <w:rPr>
                <w:rFonts w:asciiTheme="minorHAnsi" w:hAnsiTheme="minorHAnsi" w:cstheme="minorHAnsi"/>
                <w:color w:val="000000"/>
                <w:sz w:val="18"/>
                <w:szCs w:val="18"/>
                <w:u w:val="single"/>
                <w:lang w:val="en-GB"/>
              </w:rPr>
              <w:t xml:space="preserve">Comparator: Placebo (+ a new </w:t>
            </w:r>
            <w:r w:rsidR="00C22B32">
              <w:rPr>
                <w:rFonts w:asciiTheme="minorHAnsi" w:hAnsiTheme="minorHAnsi" w:cstheme="minorHAnsi"/>
                <w:color w:val="000000"/>
                <w:sz w:val="18"/>
                <w:szCs w:val="18"/>
                <w:u w:val="single"/>
                <w:lang w:val="en-GB"/>
              </w:rPr>
              <w:t>oral antidepressant (</w:t>
            </w:r>
            <w:r w:rsidRPr="00F25953">
              <w:rPr>
                <w:rFonts w:asciiTheme="minorHAnsi" w:hAnsiTheme="minorHAnsi" w:cstheme="minorHAnsi"/>
                <w:color w:val="000000"/>
                <w:sz w:val="18"/>
                <w:szCs w:val="18"/>
                <w:u w:val="single"/>
                <w:lang w:val="en-GB"/>
              </w:rPr>
              <w:t>OAD):</w:t>
            </w:r>
            <w:r w:rsidRPr="00082ED9">
              <w:rPr>
                <w:rFonts w:asciiTheme="minorHAnsi" w:hAnsiTheme="minorHAnsi" w:cstheme="minorHAnsi"/>
                <w:color w:val="000000"/>
                <w:sz w:val="18"/>
                <w:szCs w:val="18"/>
                <w:lang w:val="en-GB"/>
              </w:rPr>
              <w:t xml:space="preserve"> </w:t>
            </w:r>
            <w:r w:rsidRPr="00F25953">
              <w:rPr>
                <w:rFonts w:asciiTheme="minorHAnsi" w:hAnsiTheme="minorHAnsi" w:cstheme="minorHAnsi"/>
                <w:color w:val="000000"/>
                <w:sz w:val="18"/>
                <w:szCs w:val="18"/>
                <w:lang w:val="en-GB"/>
              </w:rPr>
              <w:t xml:space="preserve">The PBAC recalled its previous view that the nominated comparator of a newly initiated OAD alone was reasonable. The PBAC noted no new clinical evidence was provided in the resubmission. The PBAC recalled its previous view that the claim of superior comparative effectiveness may be reasonable, although the magnitude and clinical </w:t>
            </w:r>
            <w:r w:rsidRPr="00F25953">
              <w:rPr>
                <w:rFonts w:asciiTheme="minorHAnsi" w:hAnsiTheme="minorHAnsi" w:cstheme="minorHAnsi"/>
                <w:color w:val="000000"/>
                <w:sz w:val="18"/>
                <w:szCs w:val="18"/>
                <w:lang w:val="en-GB"/>
              </w:rPr>
              <w:lastRenderedPageBreak/>
              <w:t xml:space="preserve">importance of the observed benefits was uncertain. The PBAC noted the inclusion of a 12 month treatment cap per episode increased the uncertainty regarding the magnitude of clinical benefit that would be observed in clinical practice.  </w:t>
            </w:r>
          </w:p>
          <w:p w14:paraId="5994FCA1" w14:textId="77777777" w:rsidR="00F25953" w:rsidRPr="00F25953" w:rsidRDefault="00F25953" w:rsidP="00F25953">
            <w:pPr>
              <w:rPr>
                <w:rFonts w:asciiTheme="minorHAnsi" w:hAnsiTheme="minorHAnsi" w:cstheme="minorHAnsi"/>
                <w:color w:val="000000"/>
                <w:sz w:val="18"/>
                <w:szCs w:val="18"/>
                <w:u w:val="single"/>
                <w:lang w:val="en-GB"/>
              </w:rPr>
            </w:pPr>
          </w:p>
          <w:p w14:paraId="79C8A213" w14:textId="605D9847" w:rsidR="00F25953" w:rsidRDefault="00F25953" w:rsidP="00F25953">
            <w:pPr>
              <w:rPr>
                <w:rFonts w:asciiTheme="minorHAnsi" w:hAnsiTheme="minorHAnsi" w:cstheme="minorHAnsi"/>
                <w:color w:val="000000"/>
                <w:sz w:val="18"/>
                <w:szCs w:val="18"/>
              </w:rPr>
            </w:pPr>
            <w:r w:rsidRPr="00F25953">
              <w:rPr>
                <w:rFonts w:asciiTheme="minorHAnsi" w:hAnsiTheme="minorHAnsi" w:cstheme="minorHAnsi"/>
                <w:color w:val="000000"/>
                <w:sz w:val="18"/>
                <w:szCs w:val="18"/>
                <w:u w:val="single"/>
                <w:lang w:val="en-GB"/>
              </w:rPr>
              <w:t xml:space="preserve">Economic claim: </w:t>
            </w:r>
            <w:r w:rsidR="00C22B32">
              <w:rPr>
                <w:rFonts w:asciiTheme="minorHAnsi" w:hAnsiTheme="minorHAnsi" w:cstheme="minorHAnsi"/>
                <w:color w:val="000000"/>
                <w:sz w:val="18"/>
                <w:szCs w:val="18"/>
                <w:u w:val="single"/>
                <w:lang w:val="en-GB"/>
              </w:rPr>
              <w:t>C</w:t>
            </w:r>
            <w:r w:rsidRPr="00F25953">
              <w:rPr>
                <w:rFonts w:asciiTheme="minorHAnsi" w:hAnsiTheme="minorHAnsi" w:cstheme="minorHAnsi"/>
                <w:color w:val="000000"/>
                <w:sz w:val="18"/>
                <w:szCs w:val="18"/>
                <w:u w:val="single"/>
                <w:lang w:val="en-GB"/>
              </w:rPr>
              <w:t>ost-utility versus placebo</w:t>
            </w:r>
            <w:r w:rsidR="00C22B32">
              <w:rPr>
                <w:rFonts w:asciiTheme="minorHAnsi" w:hAnsiTheme="minorHAnsi" w:cstheme="minorHAnsi"/>
                <w:color w:val="000000"/>
                <w:sz w:val="18"/>
                <w:szCs w:val="18"/>
                <w:u w:val="single"/>
                <w:lang w:val="en-GB"/>
              </w:rPr>
              <w:t>:</w:t>
            </w:r>
            <w:r w:rsidRPr="00082ED9">
              <w:rPr>
                <w:rFonts w:asciiTheme="minorHAnsi" w:hAnsiTheme="minorHAnsi" w:cstheme="minorHAnsi"/>
                <w:color w:val="000000"/>
                <w:sz w:val="18"/>
                <w:szCs w:val="18"/>
                <w:lang w:val="en-GB"/>
              </w:rPr>
              <w:t xml:space="preserve"> </w:t>
            </w:r>
            <w:r w:rsidRPr="00F25953">
              <w:rPr>
                <w:rFonts w:asciiTheme="minorHAnsi" w:hAnsiTheme="minorHAnsi" w:cstheme="minorHAnsi"/>
                <w:color w:val="000000"/>
                <w:sz w:val="18"/>
                <w:szCs w:val="18"/>
              </w:rPr>
              <w:t xml:space="preserve">The PBAC noted the economic model included a single course of treatment however, the model time horizon of 5 years was retained. The PBAC considered that while it was uncertain how many patients would receive more than one course of treatment over a 5 year period, it was likely to be a high proportion of patients. The PBAC considered it was unlikely that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would be cost-effective if additional courses of treatment were required within the 5 year period. </w:t>
            </w:r>
          </w:p>
          <w:p w14:paraId="4BCABA65" w14:textId="77777777" w:rsidR="00F25953" w:rsidRPr="00F25953" w:rsidRDefault="00F25953" w:rsidP="00F25953">
            <w:pPr>
              <w:rPr>
                <w:rFonts w:asciiTheme="minorHAnsi" w:hAnsiTheme="minorHAnsi" w:cstheme="minorHAnsi"/>
                <w:color w:val="000000"/>
                <w:sz w:val="18"/>
                <w:szCs w:val="18"/>
              </w:rPr>
            </w:pPr>
          </w:p>
          <w:p w14:paraId="20FEA16C" w14:textId="77777777" w:rsidR="00F25953" w:rsidRPr="00F25953" w:rsidRDefault="00F25953" w:rsidP="00F25953">
            <w:pPr>
              <w:rPr>
                <w:rFonts w:asciiTheme="minorHAnsi" w:hAnsiTheme="minorHAnsi" w:cstheme="minorHAnsi"/>
                <w:color w:val="000000"/>
                <w:sz w:val="18"/>
                <w:szCs w:val="18"/>
              </w:rPr>
            </w:pPr>
            <w:r w:rsidRPr="00F25953">
              <w:rPr>
                <w:rFonts w:asciiTheme="minorHAnsi" w:hAnsiTheme="minorHAnsi" w:cstheme="minorHAnsi"/>
                <w:color w:val="000000"/>
                <w:sz w:val="18"/>
                <w:szCs w:val="18"/>
                <w:u w:val="single"/>
                <w:lang w:val="en-GB"/>
              </w:rPr>
              <w:t xml:space="preserve">Utilisation of </w:t>
            </w:r>
            <w:proofErr w:type="spellStart"/>
            <w:r w:rsidRPr="00F25953">
              <w:rPr>
                <w:rFonts w:asciiTheme="minorHAnsi" w:hAnsiTheme="minorHAnsi" w:cstheme="minorHAnsi"/>
                <w:color w:val="000000"/>
                <w:sz w:val="18"/>
                <w:szCs w:val="18"/>
                <w:u w:val="single"/>
                <w:lang w:val="en-GB"/>
              </w:rPr>
              <w:t>esketamine</w:t>
            </w:r>
            <w:proofErr w:type="spellEnd"/>
            <w:r w:rsidRPr="00082ED9">
              <w:rPr>
                <w:rFonts w:asciiTheme="minorHAnsi" w:hAnsiTheme="minorHAnsi" w:cstheme="minorHAnsi"/>
                <w:color w:val="000000"/>
                <w:sz w:val="18"/>
                <w:szCs w:val="18"/>
                <w:lang w:val="en-GB"/>
              </w:rPr>
              <w:t xml:space="preserve">: </w:t>
            </w:r>
            <w:r w:rsidRPr="00F25953">
              <w:rPr>
                <w:rFonts w:asciiTheme="minorHAnsi" w:hAnsiTheme="minorHAnsi" w:cstheme="minorHAnsi"/>
                <w:color w:val="000000"/>
                <w:sz w:val="18"/>
                <w:szCs w:val="18"/>
                <w:lang w:val="en-GB"/>
              </w:rPr>
              <w:t xml:space="preserve">The PBAC considered the uptake of </w:t>
            </w:r>
            <w:proofErr w:type="spellStart"/>
            <w:r w:rsidRPr="00F25953">
              <w:rPr>
                <w:rFonts w:asciiTheme="minorHAnsi" w:hAnsiTheme="minorHAnsi" w:cstheme="minorHAnsi"/>
                <w:color w:val="000000"/>
                <w:sz w:val="18"/>
                <w:szCs w:val="18"/>
                <w:lang w:val="en-GB"/>
              </w:rPr>
              <w:t>esketamine</w:t>
            </w:r>
            <w:proofErr w:type="spellEnd"/>
            <w:r w:rsidRPr="00F25953">
              <w:rPr>
                <w:rFonts w:asciiTheme="minorHAnsi" w:hAnsiTheme="minorHAnsi" w:cstheme="minorHAnsi"/>
                <w:color w:val="000000"/>
                <w:sz w:val="18"/>
                <w:szCs w:val="18"/>
                <w:lang w:val="en-GB"/>
              </w:rPr>
              <w:t xml:space="preserve"> in new patients was likely overestimated and while the uptake in subsequent episodes was uncertain, considered it was likely underestimated. </w:t>
            </w:r>
            <w:r w:rsidRPr="00F25953">
              <w:rPr>
                <w:rFonts w:asciiTheme="minorHAnsi" w:hAnsiTheme="minorHAnsi" w:cstheme="minorHAnsi"/>
                <w:color w:val="000000"/>
                <w:sz w:val="18"/>
                <w:szCs w:val="18"/>
              </w:rPr>
              <w:t xml:space="preserve">The PBAC considered the financial estimates were overestimated due to optimistic assumptions regarding the uptake of </w:t>
            </w:r>
            <w:proofErr w:type="spellStart"/>
            <w:r w:rsidRPr="00F25953">
              <w:rPr>
                <w:rFonts w:asciiTheme="minorHAnsi" w:hAnsiTheme="minorHAnsi" w:cstheme="minorHAnsi"/>
                <w:color w:val="000000"/>
                <w:sz w:val="18"/>
                <w:szCs w:val="18"/>
              </w:rPr>
              <w:t>esketamine</w:t>
            </w:r>
            <w:proofErr w:type="spellEnd"/>
            <w:r w:rsidRPr="00F25953">
              <w:rPr>
                <w:rFonts w:asciiTheme="minorHAnsi" w:hAnsiTheme="minorHAnsi" w:cstheme="minorHAnsi"/>
                <w:color w:val="000000"/>
                <w:sz w:val="18"/>
                <w:szCs w:val="18"/>
              </w:rPr>
              <w:t xml:space="preserve"> in the context of likely barriers to access.</w:t>
            </w:r>
          </w:p>
          <w:p w14:paraId="0E59EFF5" w14:textId="77777777" w:rsidR="004220E5" w:rsidRPr="00082ED9" w:rsidRDefault="004220E5" w:rsidP="008542C1">
            <w:pPr>
              <w:rPr>
                <w:rFonts w:asciiTheme="minorHAnsi" w:hAnsiTheme="minorHAnsi" w:cstheme="minorHAnsi"/>
                <w:color w:val="000000"/>
                <w:sz w:val="18"/>
                <w:szCs w:val="18"/>
              </w:rPr>
            </w:pPr>
          </w:p>
          <w:p w14:paraId="1EEC1B1A" w14:textId="1548C023" w:rsidR="00506192" w:rsidRPr="00015520" w:rsidRDefault="00506192"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u w:val="single"/>
              </w:rPr>
              <w:t>Sponsor’s Comment:</w:t>
            </w:r>
          </w:p>
          <w:p w14:paraId="7C375E3D" w14:textId="44A2E442" w:rsidR="00897FAC" w:rsidRPr="00015520" w:rsidRDefault="00A100A1"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 xml:space="preserve">Janssen is disappointed that the PBAC did not recommend </w:t>
            </w:r>
            <w:proofErr w:type="spellStart"/>
            <w:r w:rsidRPr="62154131">
              <w:rPr>
                <w:rFonts w:asciiTheme="minorHAnsi" w:hAnsiTheme="minorHAnsi" w:cstheme="minorBidi"/>
                <w:color w:val="000000" w:themeColor="text1"/>
                <w:sz w:val="18"/>
                <w:szCs w:val="18"/>
              </w:rPr>
              <w:t>esketamine</w:t>
            </w:r>
            <w:proofErr w:type="spellEnd"/>
            <w:r w:rsidRPr="62154131">
              <w:rPr>
                <w:rFonts w:asciiTheme="minorHAnsi" w:hAnsiTheme="minorHAnsi" w:cstheme="minorBidi"/>
                <w:color w:val="000000" w:themeColor="text1"/>
                <w:sz w:val="18"/>
                <w:szCs w:val="18"/>
              </w:rPr>
              <w:t xml:space="preserve"> but welcomes the PBAC’s recognition of the need for treatment options for </w:t>
            </w:r>
            <w:r w:rsidR="00F870B7">
              <w:rPr>
                <w:rFonts w:asciiTheme="minorHAnsi" w:hAnsiTheme="minorHAnsi" w:cstheme="minorBidi"/>
                <w:color w:val="000000" w:themeColor="text1"/>
                <w:sz w:val="18"/>
                <w:szCs w:val="18"/>
              </w:rPr>
              <w:t>TRD,</w:t>
            </w:r>
            <w:r w:rsidRPr="62154131">
              <w:rPr>
                <w:rFonts w:asciiTheme="minorHAnsi" w:hAnsiTheme="minorHAnsi" w:cstheme="minorBidi"/>
                <w:color w:val="000000" w:themeColor="text1"/>
                <w:sz w:val="18"/>
                <w:szCs w:val="18"/>
              </w:rPr>
              <w:t xml:space="preserve"> their understanding of the severe impact of </w:t>
            </w:r>
            <w:r w:rsidR="00F870B7">
              <w:rPr>
                <w:rFonts w:asciiTheme="minorHAnsi" w:hAnsiTheme="minorHAnsi" w:cstheme="minorBidi"/>
                <w:color w:val="000000" w:themeColor="text1"/>
                <w:sz w:val="18"/>
                <w:szCs w:val="18"/>
              </w:rPr>
              <w:t>TRD</w:t>
            </w:r>
            <w:r w:rsidRPr="62154131">
              <w:rPr>
                <w:rFonts w:asciiTheme="minorHAnsi" w:hAnsiTheme="minorHAnsi" w:cstheme="minorBidi"/>
                <w:color w:val="000000" w:themeColor="text1"/>
                <w:sz w:val="18"/>
                <w:szCs w:val="18"/>
              </w:rPr>
              <w:t xml:space="preserve"> on daily life, and their acceptance of the clinically meaningful benefits of </w:t>
            </w:r>
            <w:proofErr w:type="spellStart"/>
            <w:r w:rsidRPr="62154131">
              <w:rPr>
                <w:rFonts w:asciiTheme="minorHAnsi" w:hAnsiTheme="minorHAnsi" w:cstheme="minorBidi"/>
                <w:color w:val="000000" w:themeColor="text1"/>
                <w:sz w:val="18"/>
                <w:szCs w:val="18"/>
              </w:rPr>
              <w:t>esketamine</w:t>
            </w:r>
            <w:proofErr w:type="spellEnd"/>
            <w:r w:rsidRPr="62154131">
              <w:rPr>
                <w:rFonts w:asciiTheme="minorHAnsi" w:hAnsiTheme="minorHAnsi" w:cstheme="minorBidi"/>
                <w:color w:val="000000" w:themeColor="text1"/>
                <w:sz w:val="18"/>
                <w:szCs w:val="18"/>
              </w:rPr>
              <w:t xml:space="preserve">. Janssen believes in the benefit that </w:t>
            </w:r>
            <w:proofErr w:type="spellStart"/>
            <w:r w:rsidRPr="62154131">
              <w:rPr>
                <w:rFonts w:asciiTheme="minorHAnsi" w:hAnsiTheme="minorHAnsi" w:cstheme="minorBidi"/>
                <w:color w:val="000000" w:themeColor="text1"/>
                <w:sz w:val="18"/>
                <w:szCs w:val="18"/>
              </w:rPr>
              <w:t>esketamine</w:t>
            </w:r>
            <w:proofErr w:type="spellEnd"/>
            <w:r w:rsidRPr="62154131">
              <w:rPr>
                <w:rFonts w:asciiTheme="minorHAnsi" w:hAnsiTheme="minorHAnsi" w:cstheme="minorBidi"/>
                <w:color w:val="000000" w:themeColor="text1"/>
                <w:sz w:val="18"/>
                <w:szCs w:val="18"/>
              </w:rPr>
              <w:t xml:space="preserve"> provides patients and hopes to have this treatment available through the PBS. Janssen will consider how we can resolve the remaining uncertainties so that Australian patients can access </w:t>
            </w:r>
            <w:proofErr w:type="spellStart"/>
            <w:r w:rsidRPr="62154131">
              <w:rPr>
                <w:rFonts w:asciiTheme="minorHAnsi" w:hAnsiTheme="minorHAnsi" w:cstheme="minorBidi"/>
                <w:color w:val="000000" w:themeColor="text1"/>
                <w:sz w:val="18"/>
                <w:szCs w:val="18"/>
              </w:rPr>
              <w:t>esketamine</w:t>
            </w:r>
            <w:proofErr w:type="spellEnd"/>
            <w:r w:rsidRPr="62154131">
              <w:rPr>
                <w:rFonts w:asciiTheme="minorHAnsi" w:hAnsiTheme="minorHAnsi" w:cstheme="minorBidi"/>
                <w:color w:val="000000" w:themeColor="text1"/>
                <w:sz w:val="18"/>
                <w:szCs w:val="18"/>
              </w:rPr>
              <w:t xml:space="preserve"> in a timely way.</w:t>
            </w:r>
          </w:p>
        </w:tc>
      </w:tr>
      <w:tr w:rsidR="00897FAC" w:rsidRPr="00015520" w14:paraId="52D48790" w14:textId="77777777" w:rsidTr="00344CBB">
        <w:trPr>
          <w:cantSplit/>
          <w:trHeight w:val="2948"/>
          <w:jc w:val="center"/>
        </w:trPr>
        <w:tc>
          <w:tcPr>
            <w:tcW w:w="3013" w:type="dxa"/>
            <w:shd w:val="clear" w:color="auto" w:fill="BFBFBF" w:themeFill="background1" w:themeFillShade="BF"/>
            <w:tcMar>
              <w:top w:w="28" w:type="dxa"/>
              <w:bottom w:w="28" w:type="dxa"/>
            </w:tcMar>
            <w:vAlign w:val="center"/>
          </w:tcPr>
          <w:p w14:paraId="5BE6D04D" w14:textId="3841FFD4" w:rsidR="006D0F86"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FOSLEVODOPA WITH FOSCARBIDOPA</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Solution for subcutaneous infusion </w:t>
            </w:r>
            <w:proofErr w:type="spellStart"/>
            <w:r w:rsidRPr="00015520">
              <w:rPr>
                <w:rFonts w:asciiTheme="minorHAnsi" w:hAnsiTheme="minorHAnsi" w:cstheme="minorHAnsi"/>
                <w:color w:val="000000"/>
                <w:sz w:val="18"/>
                <w:szCs w:val="18"/>
              </w:rPr>
              <w:t>foslevodopa</w:t>
            </w:r>
            <w:proofErr w:type="spellEnd"/>
            <w:r w:rsidRPr="00015520">
              <w:rPr>
                <w:rFonts w:asciiTheme="minorHAnsi" w:hAnsiTheme="minorHAnsi" w:cstheme="minorHAnsi"/>
                <w:color w:val="000000"/>
                <w:sz w:val="18"/>
                <w:szCs w:val="18"/>
              </w:rPr>
              <w:t xml:space="preserve"> 2400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with </w:t>
            </w:r>
            <w:proofErr w:type="spellStart"/>
            <w:r w:rsidRPr="00015520">
              <w:rPr>
                <w:rFonts w:asciiTheme="minorHAnsi" w:hAnsiTheme="minorHAnsi" w:cstheme="minorHAnsi"/>
                <w:color w:val="000000"/>
                <w:sz w:val="18"/>
                <w:szCs w:val="18"/>
              </w:rPr>
              <w:t>foscarbidopa</w:t>
            </w:r>
            <w:proofErr w:type="spellEnd"/>
            <w:r w:rsidRPr="00015520">
              <w:rPr>
                <w:rFonts w:asciiTheme="minorHAnsi" w:hAnsiTheme="minorHAnsi" w:cstheme="minorHAnsi"/>
                <w:color w:val="000000"/>
                <w:sz w:val="18"/>
                <w:szCs w:val="18"/>
              </w:rPr>
              <w:t xml:space="preserve"> 120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Vyalev</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0066292F" w:rsidRPr="00015520">
              <w:rPr>
                <w:rFonts w:asciiTheme="minorHAnsi" w:hAnsiTheme="minorHAnsi" w:cstheme="minorHAnsi"/>
                <w:color w:val="000000"/>
                <w:sz w:val="18"/>
                <w:szCs w:val="18"/>
              </w:rPr>
              <w:t>Abbvie</w:t>
            </w:r>
            <w:proofErr w:type="spellEnd"/>
            <w:r w:rsidR="0066292F" w:rsidRPr="00015520">
              <w:rPr>
                <w:rFonts w:asciiTheme="minorHAnsi" w:hAnsiTheme="minorHAnsi" w:cstheme="minorHAnsi"/>
                <w:color w:val="000000"/>
                <w:sz w:val="18"/>
                <w:szCs w:val="18"/>
              </w:rPr>
              <w:t xml:space="preserve"> Pty Ltd</w:t>
            </w:r>
            <w:r w:rsidRPr="00015520">
              <w:rPr>
                <w:rFonts w:asciiTheme="minorHAnsi" w:hAnsiTheme="minorHAnsi" w:cstheme="minorHAnsi"/>
                <w:color w:val="000000"/>
                <w:sz w:val="18"/>
                <w:szCs w:val="18"/>
              </w:rPr>
              <w:br/>
            </w:r>
          </w:p>
          <w:p w14:paraId="217B86A0" w14:textId="744F7820" w:rsidR="006D0F86" w:rsidRPr="00015520" w:rsidRDefault="006D0F86" w:rsidP="0062267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BFBFBF" w:themeFill="background1" w:themeFillShade="BF"/>
            <w:vAlign w:val="center"/>
          </w:tcPr>
          <w:p w14:paraId="1AE86019" w14:textId="31086F3F"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Advanced Parkinson's Disease</w:t>
            </w:r>
          </w:p>
        </w:tc>
        <w:tc>
          <w:tcPr>
            <w:tcW w:w="3098" w:type="dxa"/>
            <w:shd w:val="clear" w:color="auto" w:fill="BFBFBF" w:themeFill="background1" w:themeFillShade="BF"/>
            <w:tcMar>
              <w:top w:w="28" w:type="dxa"/>
              <w:bottom w:w="28" w:type="dxa"/>
            </w:tcMar>
            <w:vAlign w:val="center"/>
          </w:tcPr>
          <w:p w14:paraId="5FBB6CDB" w14:textId="2BA09363"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and Section 100 (Highly Specialised Drugs Program) Authority Required (STEAMLINED) listing for the treatment of advanced Parkinson’s disease with severe disabling motor fluctuations not adequately controlled by oral therapy.</w:t>
            </w:r>
          </w:p>
        </w:tc>
        <w:tc>
          <w:tcPr>
            <w:tcW w:w="1920" w:type="dxa"/>
            <w:shd w:val="clear" w:color="auto" w:fill="BFBFBF" w:themeFill="background1" w:themeFillShade="BF"/>
            <w:vAlign w:val="center"/>
          </w:tcPr>
          <w:p w14:paraId="344BFC3B" w14:textId="29DD20BB" w:rsidR="00897FAC" w:rsidRPr="00015520" w:rsidRDefault="00F00A70" w:rsidP="008542C1">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593" w:type="dxa"/>
            <w:shd w:val="clear" w:color="auto" w:fill="BFBFBF" w:themeFill="background1" w:themeFillShade="BF"/>
            <w:vAlign w:val="center"/>
          </w:tcPr>
          <w:p w14:paraId="621821C6" w14:textId="73F88966" w:rsidR="00897FAC" w:rsidRPr="00015520" w:rsidRDefault="006D0F86" w:rsidP="008542C1">
            <w:pPr>
              <w:rPr>
                <w:rFonts w:asciiTheme="minorHAnsi" w:hAnsiTheme="minorHAnsi" w:cstheme="minorHAnsi"/>
                <w:sz w:val="18"/>
                <w:szCs w:val="18"/>
                <w:u w:val="single"/>
              </w:rPr>
            </w:pPr>
            <w:r w:rsidRPr="006D0F86">
              <w:rPr>
                <w:rFonts w:asciiTheme="minorHAnsi" w:hAnsiTheme="minorHAnsi" w:cstheme="minorHAnsi"/>
                <w:color w:val="000000"/>
                <w:sz w:val="18"/>
                <w:szCs w:val="18"/>
              </w:rPr>
              <w:t xml:space="preserve">This item </w:t>
            </w:r>
            <w:r w:rsidR="003632EB">
              <w:rPr>
                <w:rFonts w:asciiTheme="minorHAnsi" w:hAnsiTheme="minorHAnsi" w:cstheme="minorHAnsi"/>
                <w:color w:val="000000"/>
                <w:sz w:val="18"/>
                <w:szCs w:val="18"/>
              </w:rPr>
              <w:t xml:space="preserve">is to be considered at a future PBAC meeting. </w:t>
            </w:r>
          </w:p>
        </w:tc>
      </w:tr>
      <w:tr w:rsidR="00897FAC" w:rsidRPr="00015520" w14:paraId="211AD65F" w14:textId="77777777" w:rsidTr="00344CBB">
        <w:trPr>
          <w:cantSplit/>
          <w:trHeight w:val="2948"/>
          <w:jc w:val="center"/>
        </w:trPr>
        <w:tc>
          <w:tcPr>
            <w:tcW w:w="3013" w:type="dxa"/>
            <w:shd w:val="clear" w:color="auto" w:fill="auto"/>
            <w:tcMar>
              <w:top w:w="28" w:type="dxa"/>
              <w:bottom w:w="28" w:type="dxa"/>
            </w:tcMar>
            <w:vAlign w:val="center"/>
          </w:tcPr>
          <w:p w14:paraId="1F8656A4" w14:textId="52FE36B8" w:rsidR="00184DA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IXEKIZUMAB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80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single dose pre-filled pen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Taltz®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Eli Lilly Australia Pty Ltd</w:t>
            </w:r>
            <w:r w:rsidR="0066292F" w:rsidRPr="00015520">
              <w:rPr>
                <w:rFonts w:asciiTheme="minorHAnsi" w:hAnsiTheme="minorHAnsi" w:cstheme="minorHAnsi"/>
                <w:color w:val="000000"/>
                <w:sz w:val="18"/>
                <w:szCs w:val="18"/>
              </w:rPr>
              <w:br/>
            </w:r>
          </w:p>
          <w:p w14:paraId="53674C18" w14:textId="7B730ABC" w:rsidR="00897FAC" w:rsidRPr="00015520" w:rsidRDefault="00184DA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(Other matters)</w:t>
            </w:r>
          </w:p>
        </w:tc>
        <w:tc>
          <w:tcPr>
            <w:tcW w:w="2764" w:type="dxa"/>
            <w:shd w:val="clear" w:color="auto" w:fill="auto"/>
            <w:vAlign w:val="center"/>
          </w:tcPr>
          <w:p w14:paraId="3CDF0498" w14:textId="2F564C47"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Non-radiographic axial </w:t>
            </w:r>
            <w:proofErr w:type="spellStart"/>
            <w:r w:rsidRPr="00015520">
              <w:rPr>
                <w:rFonts w:asciiTheme="minorHAnsi" w:hAnsiTheme="minorHAnsi" w:cstheme="minorHAnsi"/>
                <w:color w:val="000000"/>
                <w:sz w:val="18"/>
                <w:szCs w:val="18"/>
              </w:rPr>
              <w:t>spondyloarthritis</w:t>
            </w:r>
            <w:proofErr w:type="spellEnd"/>
            <w:r w:rsidRPr="00015520">
              <w:rPr>
                <w:rFonts w:asciiTheme="minorHAnsi" w:hAnsiTheme="minorHAnsi" w:cstheme="minorHAnsi"/>
                <w:color w:val="000000"/>
                <w:sz w:val="18"/>
                <w:szCs w:val="18"/>
              </w:rPr>
              <w:t xml:space="preserve"> (nr-</w:t>
            </w:r>
            <w:proofErr w:type="spellStart"/>
            <w:r w:rsidRPr="00015520">
              <w:rPr>
                <w:rFonts w:asciiTheme="minorHAnsi" w:hAnsiTheme="minorHAnsi" w:cstheme="minorHAnsi"/>
                <w:color w:val="000000"/>
                <w:sz w:val="18"/>
                <w:szCs w:val="18"/>
              </w:rPr>
              <w:t>AxSpA</w:t>
            </w:r>
            <w:proofErr w:type="spellEnd"/>
            <w:r w:rsidRPr="00015520">
              <w:rPr>
                <w:rFonts w:asciiTheme="minorHAnsi" w:hAnsiTheme="minorHAnsi" w:cstheme="minorHAnsi"/>
                <w:color w:val="000000"/>
                <w:sz w:val="18"/>
                <w:szCs w:val="18"/>
              </w:rPr>
              <w:t>)</w:t>
            </w:r>
          </w:p>
        </w:tc>
        <w:tc>
          <w:tcPr>
            <w:tcW w:w="3098" w:type="dxa"/>
            <w:shd w:val="clear" w:color="auto" w:fill="auto"/>
            <w:tcMar>
              <w:top w:w="28" w:type="dxa"/>
              <w:bottom w:w="28" w:type="dxa"/>
            </w:tcMar>
            <w:vAlign w:val="center"/>
          </w:tcPr>
          <w:p w14:paraId="52C006D2" w14:textId="1CB9064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the PBAC consider listing </w:t>
            </w:r>
            <w:proofErr w:type="spellStart"/>
            <w:r w:rsidRPr="00015520">
              <w:rPr>
                <w:rFonts w:asciiTheme="minorHAnsi" w:hAnsiTheme="minorHAnsi" w:cstheme="minorHAnsi"/>
                <w:color w:val="000000"/>
                <w:sz w:val="18"/>
                <w:szCs w:val="18"/>
              </w:rPr>
              <w:t>ixekizumab</w:t>
            </w:r>
            <w:proofErr w:type="spellEnd"/>
            <w:r w:rsidRPr="00015520">
              <w:rPr>
                <w:rFonts w:asciiTheme="minorHAnsi" w:hAnsiTheme="minorHAnsi" w:cstheme="minorHAnsi"/>
                <w:color w:val="000000"/>
                <w:sz w:val="18"/>
                <w:szCs w:val="18"/>
              </w:rPr>
              <w:t xml:space="preserve"> for the treatment of nr-</w:t>
            </w:r>
            <w:proofErr w:type="spellStart"/>
            <w:r w:rsidRPr="00015520">
              <w:rPr>
                <w:rFonts w:asciiTheme="minorHAnsi" w:hAnsiTheme="minorHAnsi" w:cstheme="minorHAnsi"/>
                <w:color w:val="000000"/>
                <w:sz w:val="18"/>
                <w:szCs w:val="18"/>
              </w:rPr>
              <w:t>AxSpA</w:t>
            </w:r>
            <w:proofErr w:type="spellEnd"/>
            <w:r w:rsidRPr="00015520">
              <w:rPr>
                <w:rFonts w:asciiTheme="minorHAnsi" w:hAnsiTheme="minorHAnsi" w:cstheme="minorHAnsi"/>
                <w:color w:val="000000"/>
                <w:sz w:val="18"/>
                <w:szCs w:val="18"/>
              </w:rPr>
              <w:t xml:space="preserve"> in a pack size of two injections.</w:t>
            </w:r>
          </w:p>
        </w:tc>
        <w:tc>
          <w:tcPr>
            <w:tcW w:w="1920" w:type="dxa"/>
            <w:shd w:val="clear" w:color="auto" w:fill="auto"/>
            <w:vAlign w:val="center"/>
          </w:tcPr>
          <w:p w14:paraId="2BD28AB2" w14:textId="01338EE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4C3EC94E" w14:textId="18CF8C76" w:rsidR="00C85CAC" w:rsidRDefault="00C85CAC" w:rsidP="00F00A70">
            <w:pPr>
              <w:rPr>
                <w:rFonts w:asciiTheme="minorHAnsi" w:hAnsiTheme="minorHAnsi" w:cstheme="minorHAnsi"/>
                <w:color w:val="000000"/>
                <w:sz w:val="18"/>
                <w:szCs w:val="18"/>
              </w:rPr>
            </w:pPr>
            <w:r w:rsidRPr="00851AFC">
              <w:rPr>
                <w:rFonts w:asciiTheme="minorHAnsi" w:hAnsiTheme="minorHAnsi" w:cstheme="minorHAnsi"/>
                <w:color w:val="000000"/>
                <w:sz w:val="18"/>
                <w:szCs w:val="18"/>
              </w:rPr>
              <w:t xml:space="preserve">The PBAC did not recommend revising its recommendation to list </w:t>
            </w:r>
            <w:proofErr w:type="spellStart"/>
            <w:r w:rsidRPr="00851AFC">
              <w:rPr>
                <w:rFonts w:asciiTheme="minorHAnsi" w:hAnsiTheme="minorHAnsi" w:cstheme="minorHAnsi"/>
                <w:color w:val="000000"/>
                <w:sz w:val="18"/>
                <w:szCs w:val="18"/>
              </w:rPr>
              <w:t>ixekizumab</w:t>
            </w:r>
            <w:proofErr w:type="spellEnd"/>
            <w:r>
              <w:rPr>
                <w:rFonts w:asciiTheme="minorHAnsi" w:hAnsiTheme="minorHAnsi" w:cstheme="minorHAnsi"/>
                <w:color w:val="000000"/>
                <w:sz w:val="18"/>
                <w:szCs w:val="18"/>
              </w:rPr>
              <w:t xml:space="preserve"> </w:t>
            </w:r>
            <w:r w:rsidRPr="00851AFC">
              <w:rPr>
                <w:rFonts w:asciiTheme="minorHAnsi" w:hAnsiTheme="minorHAnsi" w:cstheme="minorHAnsi"/>
                <w:color w:val="000000"/>
                <w:sz w:val="18"/>
                <w:szCs w:val="18"/>
              </w:rPr>
              <w:t>for the treatment of patients with nr-</w:t>
            </w:r>
            <w:proofErr w:type="spellStart"/>
            <w:r w:rsidRPr="00851AFC">
              <w:rPr>
                <w:rFonts w:asciiTheme="minorHAnsi" w:hAnsiTheme="minorHAnsi" w:cstheme="minorHAnsi"/>
                <w:color w:val="000000"/>
                <w:sz w:val="18"/>
                <w:szCs w:val="18"/>
              </w:rPr>
              <w:t>AxSpA</w:t>
            </w:r>
            <w:proofErr w:type="spellEnd"/>
            <w:r w:rsidRPr="00851AFC">
              <w:rPr>
                <w:rFonts w:asciiTheme="minorHAnsi" w:hAnsiTheme="minorHAnsi" w:cstheme="minorHAnsi"/>
                <w:color w:val="000000"/>
                <w:sz w:val="18"/>
                <w:szCs w:val="18"/>
              </w:rPr>
              <w:t xml:space="preserve"> to increase the maximum quantity (units) from one to two. The PBAC’s decision to not recommend was based on, among other matters, the consistent and fair application of the PBAC Guidelines that drugs listed on the General Schedule are to have a maximum quantity per prescription that provides supply for one months’ treatment.</w:t>
            </w:r>
          </w:p>
          <w:p w14:paraId="142D85BA" w14:textId="77777777" w:rsidR="00C85CAC" w:rsidRPr="00851AFC" w:rsidRDefault="00C85CAC" w:rsidP="00F00A70">
            <w:pPr>
              <w:rPr>
                <w:rFonts w:asciiTheme="minorHAnsi" w:hAnsiTheme="minorHAnsi" w:cstheme="minorHAnsi"/>
                <w:color w:val="000000"/>
                <w:sz w:val="18"/>
                <w:szCs w:val="18"/>
              </w:rPr>
            </w:pPr>
          </w:p>
          <w:p w14:paraId="446169DD" w14:textId="296614F5" w:rsidR="00F00A70" w:rsidRDefault="00F00A70" w:rsidP="00F00A70">
            <w:pPr>
              <w:rPr>
                <w:rFonts w:asciiTheme="minorHAnsi" w:hAnsiTheme="minorHAnsi" w:cstheme="minorHAnsi"/>
                <w:color w:val="000000"/>
                <w:sz w:val="18"/>
                <w:szCs w:val="18"/>
              </w:rPr>
            </w:pPr>
            <w:r w:rsidRPr="62154131">
              <w:rPr>
                <w:rFonts w:asciiTheme="minorHAnsi" w:hAnsiTheme="minorHAnsi" w:cstheme="minorBidi"/>
                <w:color w:val="000000" w:themeColor="text1"/>
                <w:sz w:val="18"/>
                <w:szCs w:val="18"/>
                <w:u w:val="single"/>
              </w:rPr>
              <w:t>Sponsor’s Comment</w:t>
            </w:r>
            <w:r w:rsidRPr="62154131">
              <w:rPr>
                <w:rFonts w:asciiTheme="minorHAnsi" w:hAnsiTheme="minorHAnsi" w:cstheme="minorBidi"/>
                <w:color w:val="000000" w:themeColor="text1"/>
                <w:sz w:val="18"/>
                <w:szCs w:val="18"/>
              </w:rPr>
              <w:t>:</w:t>
            </w:r>
          </w:p>
          <w:p w14:paraId="471F916D" w14:textId="1F316E1F" w:rsidR="00897FAC" w:rsidRPr="00015520" w:rsidRDefault="145ED399"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The sponsor had no comment.</w:t>
            </w:r>
          </w:p>
        </w:tc>
      </w:tr>
      <w:tr w:rsidR="00897FAC" w:rsidRPr="00015520" w14:paraId="67CC7194" w14:textId="77777777" w:rsidTr="00344CBB">
        <w:trPr>
          <w:cantSplit/>
          <w:trHeight w:val="2948"/>
          <w:jc w:val="center"/>
        </w:trPr>
        <w:tc>
          <w:tcPr>
            <w:tcW w:w="3013" w:type="dxa"/>
            <w:shd w:val="clear" w:color="auto" w:fill="auto"/>
            <w:tcMar>
              <w:top w:w="28" w:type="dxa"/>
              <w:bottom w:w="28" w:type="dxa"/>
            </w:tcMar>
            <w:vAlign w:val="center"/>
          </w:tcPr>
          <w:p w14:paraId="6740D9DD" w14:textId="1E9871FB" w:rsidR="00184DA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LUMACAFTOR WITH IVACAFTOR</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Sachet containing granules, lumacaftor 150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with ivacaftor 188</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Sachet containing granules, lumacaftor 75</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with ivacaftor 94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Sachet containing granules, lumacaftor 100</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with ivacaftor 125</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Orkambi</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Vertex Pharmaceuticals (Australia) Pty. Ltd.</w:t>
            </w:r>
            <w:r w:rsidRPr="00015520">
              <w:rPr>
                <w:rFonts w:asciiTheme="minorHAnsi" w:hAnsiTheme="minorHAnsi" w:cstheme="minorHAnsi"/>
                <w:color w:val="000000"/>
                <w:sz w:val="18"/>
                <w:szCs w:val="18"/>
              </w:rPr>
              <w:br/>
            </w:r>
          </w:p>
          <w:p w14:paraId="7D732C8F" w14:textId="662403E6" w:rsidR="00897FAC" w:rsidRPr="00015520" w:rsidRDefault="00184DA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46816C06" w14:textId="0B0A3C3D"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Cystic fibrosis</w:t>
            </w:r>
            <w:r w:rsidR="00701816">
              <w:rPr>
                <w:rFonts w:asciiTheme="minorHAnsi" w:hAnsiTheme="minorHAnsi" w:cstheme="minorHAnsi"/>
                <w:color w:val="000000"/>
                <w:sz w:val="18"/>
                <w:szCs w:val="18"/>
              </w:rPr>
              <w:t xml:space="preserve"> (CF)</w:t>
            </w:r>
          </w:p>
        </w:tc>
        <w:tc>
          <w:tcPr>
            <w:tcW w:w="3098" w:type="dxa"/>
            <w:shd w:val="clear" w:color="auto" w:fill="auto"/>
            <w:tcMar>
              <w:top w:w="28" w:type="dxa"/>
              <w:bottom w:w="28" w:type="dxa"/>
            </w:tcMar>
            <w:vAlign w:val="center"/>
          </w:tcPr>
          <w:p w14:paraId="6E1A089B" w14:textId="73D072C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(Highly Specialised Drugs Program) Authority Required (Written) listing for the treatment of cystic fibrosis patients homozygous for the F508del mutation in the cystic fibrosis transmembrane conductance regulator (CFTR) gene from age</w:t>
            </w:r>
            <w:r w:rsidR="00190272">
              <w:rPr>
                <w:rFonts w:asciiTheme="minorHAnsi" w:hAnsiTheme="minorHAnsi" w:cstheme="minorHAnsi"/>
                <w:color w:val="000000"/>
                <w:sz w:val="18"/>
                <w:szCs w:val="18"/>
              </w:rPr>
              <w:t>d</w:t>
            </w:r>
            <w:r w:rsidRPr="00015520">
              <w:rPr>
                <w:rFonts w:asciiTheme="minorHAnsi" w:hAnsiTheme="minorHAnsi" w:cstheme="minorHAnsi"/>
                <w:color w:val="000000"/>
                <w:sz w:val="18"/>
                <w:szCs w:val="18"/>
              </w:rPr>
              <w:t xml:space="preserve"> 1 to less than 2 years.</w:t>
            </w:r>
          </w:p>
        </w:tc>
        <w:tc>
          <w:tcPr>
            <w:tcW w:w="1920" w:type="dxa"/>
            <w:shd w:val="clear" w:color="auto" w:fill="auto"/>
            <w:vAlign w:val="center"/>
          </w:tcPr>
          <w:p w14:paraId="77C907C2" w14:textId="7C51764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763B9B94" w14:textId="0AD9F1B5"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that the restriction for lumacaftor with ivacaftor granules be extended to include patients with CF, homozygous for the F580del mutation in the CFTR gene, to include patients aged 1 to less than 2 years. The PBAC also recommended that an additional strength of granules (lumacaftor 75</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mg/ivacaftor 94</w:t>
            </w:r>
            <w:r w:rsidR="001B1C15">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should be available under Section 100 (Highly Specialised Drugs Program) for use in this population. The PBAC considered that the supporting evidence was limited but acknowledged the difficulties in obtaining efficacy data from paediatric patients. Overall, the PBAC considered that the claim of superior efficacy over best supportive care in patients aged from 1 to less than 2 years was biologically plausible and likely to be beneficial. The PBAC considered lumacaftor with ivacaftor was likely to be cost-effective at a unit price no higher than that of the current PBS listing (for patients ≥ 2 years of age). The PBAC advised that the current risk sharing arrangement financial caps for lumacaftor</w:t>
            </w:r>
            <w:r w:rsidR="00190272">
              <w:rPr>
                <w:rFonts w:asciiTheme="minorHAnsi" w:hAnsiTheme="minorHAnsi" w:cstheme="minorHAnsi"/>
                <w:color w:val="000000"/>
                <w:sz w:val="18"/>
                <w:szCs w:val="18"/>
              </w:rPr>
              <w:t xml:space="preserve"> with </w:t>
            </w:r>
            <w:r w:rsidRPr="00015520">
              <w:rPr>
                <w:rFonts w:asciiTheme="minorHAnsi" w:hAnsiTheme="minorHAnsi" w:cstheme="minorHAnsi"/>
                <w:color w:val="000000"/>
                <w:sz w:val="18"/>
                <w:szCs w:val="18"/>
              </w:rPr>
              <w:t>ivacaftor should be increased to accommodate patients commencing treatment earlier.</w:t>
            </w:r>
          </w:p>
        </w:tc>
      </w:tr>
      <w:tr w:rsidR="00897FAC" w:rsidRPr="00015520" w14:paraId="1D94DBFA" w14:textId="77777777" w:rsidTr="00344CBB">
        <w:trPr>
          <w:trHeight w:val="1890"/>
          <w:jc w:val="center"/>
        </w:trPr>
        <w:tc>
          <w:tcPr>
            <w:tcW w:w="30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E48E373" w14:textId="54EF281E" w:rsidR="00184DA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MAVACAMTEN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2.5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Capsule 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Capsule 10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Capsule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Camzyos</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Bristol-Myers Squibb Australia Pty Ltd</w:t>
            </w:r>
            <w:r w:rsidRPr="00015520">
              <w:rPr>
                <w:rFonts w:asciiTheme="minorHAnsi" w:hAnsiTheme="minorHAnsi" w:cstheme="minorHAnsi"/>
                <w:color w:val="000000"/>
                <w:sz w:val="18"/>
                <w:szCs w:val="18"/>
              </w:rPr>
              <w:br/>
            </w:r>
          </w:p>
          <w:p w14:paraId="3540E7E5" w14:textId="0A703298" w:rsidR="00897FAC" w:rsidRPr="00015520" w:rsidRDefault="00184DA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60D0998" w14:textId="4FCB72C6"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Hypertrophic cardiomyopathy</w:t>
            </w:r>
            <w:r w:rsidR="00876E87">
              <w:rPr>
                <w:rFonts w:asciiTheme="minorHAnsi" w:hAnsiTheme="minorHAnsi" w:cstheme="minorHAnsi"/>
                <w:color w:val="000000"/>
                <w:sz w:val="18"/>
                <w:szCs w:val="18"/>
              </w:rPr>
              <w:t xml:space="preserve"> (HCM)</w:t>
            </w:r>
          </w:p>
        </w:tc>
        <w:tc>
          <w:tcPr>
            <w:tcW w:w="309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D35D80D" w14:textId="1AB48A2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Resubmission to request a General Schedule Authority Required (STREAMLINED) listing for the treatment of adults with symptomatic obstructive </w:t>
            </w:r>
            <w:r w:rsidR="00876E87">
              <w:rPr>
                <w:rFonts w:asciiTheme="minorHAnsi" w:hAnsiTheme="minorHAnsi" w:cstheme="minorHAnsi"/>
                <w:color w:val="000000"/>
                <w:sz w:val="18"/>
                <w:szCs w:val="18"/>
              </w:rPr>
              <w:t>HCM</w:t>
            </w:r>
            <w:r w:rsidRPr="00015520">
              <w:rPr>
                <w:rFonts w:asciiTheme="minorHAnsi" w:hAnsiTheme="minorHAnsi" w:cstheme="minorHAnsi"/>
                <w:color w:val="000000"/>
                <w:sz w:val="18"/>
                <w:szCs w:val="18"/>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65AE174E" w14:textId="50C48A10"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14:paraId="25ABC737" w14:textId="75B9AA54" w:rsidR="006B4A1E" w:rsidRDefault="00876E87" w:rsidP="00876E87">
            <w:pPr>
              <w:rPr>
                <w:rFonts w:asciiTheme="minorHAnsi" w:hAnsiTheme="minorHAnsi" w:cstheme="minorHAnsi"/>
                <w:color w:val="000000"/>
                <w:sz w:val="18"/>
                <w:szCs w:val="18"/>
              </w:rPr>
            </w:pPr>
            <w:r w:rsidRPr="00876E87">
              <w:rPr>
                <w:rFonts w:asciiTheme="minorHAnsi" w:hAnsiTheme="minorHAnsi" w:cstheme="minorHAnsi"/>
                <w:color w:val="000000"/>
                <w:sz w:val="18"/>
                <w:szCs w:val="18"/>
              </w:rPr>
              <w:t xml:space="preserve">The PBAC did not recommend the listing of </w:t>
            </w:r>
            <w:proofErr w:type="spellStart"/>
            <w:r w:rsidRPr="00876E87">
              <w:rPr>
                <w:rFonts w:asciiTheme="minorHAnsi" w:hAnsiTheme="minorHAnsi" w:cstheme="minorHAnsi"/>
                <w:color w:val="000000"/>
                <w:sz w:val="18"/>
                <w:szCs w:val="18"/>
              </w:rPr>
              <w:t>mavacamten</w:t>
            </w:r>
            <w:proofErr w:type="spellEnd"/>
            <w:r w:rsidRPr="00876E87">
              <w:rPr>
                <w:rFonts w:asciiTheme="minorHAnsi" w:hAnsiTheme="minorHAnsi" w:cstheme="minorHAnsi"/>
                <w:color w:val="000000"/>
                <w:sz w:val="18"/>
                <w:szCs w:val="18"/>
              </w:rPr>
              <w:t xml:space="preserve"> for the treatment of adults with symptomatic obstructive HCM. The PBAC considered that </w:t>
            </w:r>
            <w:proofErr w:type="spellStart"/>
            <w:r w:rsidRPr="00876E87">
              <w:rPr>
                <w:rFonts w:asciiTheme="minorHAnsi" w:hAnsiTheme="minorHAnsi" w:cstheme="minorHAnsi"/>
                <w:color w:val="000000"/>
                <w:sz w:val="18"/>
                <w:szCs w:val="18"/>
              </w:rPr>
              <w:t>mavacamten</w:t>
            </w:r>
            <w:proofErr w:type="spellEnd"/>
            <w:r w:rsidRPr="00876E87">
              <w:rPr>
                <w:rFonts w:asciiTheme="minorHAnsi" w:hAnsiTheme="minorHAnsi" w:cstheme="minorHAnsi"/>
                <w:color w:val="000000"/>
                <w:sz w:val="18"/>
                <w:szCs w:val="18"/>
              </w:rPr>
              <w:t xml:space="preserve"> ± beta blocker/calcium channel blocker (BB/CCB) provided a moderate and important clinical benefit over standard of care</w:t>
            </w:r>
            <w:r>
              <w:rPr>
                <w:rFonts w:asciiTheme="minorHAnsi" w:hAnsiTheme="minorHAnsi" w:cstheme="minorHAnsi"/>
                <w:color w:val="000000"/>
                <w:sz w:val="18"/>
                <w:szCs w:val="18"/>
              </w:rPr>
              <w:t xml:space="preserve"> (SOC)</w:t>
            </w:r>
            <w:r w:rsidRPr="00876E87">
              <w:rPr>
                <w:rFonts w:asciiTheme="minorHAnsi" w:hAnsiTheme="minorHAnsi" w:cstheme="minorHAnsi"/>
                <w:color w:val="000000"/>
                <w:sz w:val="18"/>
                <w:szCs w:val="18"/>
              </w:rPr>
              <w:t xml:space="preserve"> BB/CCB</w:t>
            </w:r>
            <w:r>
              <w:rPr>
                <w:rFonts w:asciiTheme="minorHAnsi" w:hAnsiTheme="minorHAnsi" w:cstheme="minorHAnsi"/>
                <w:color w:val="000000"/>
                <w:sz w:val="18"/>
                <w:szCs w:val="18"/>
              </w:rPr>
              <w:t xml:space="preserve"> alone</w:t>
            </w:r>
            <w:r w:rsidRPr="00876E87">
              <w:rPr>
                <w:rFonts w:asciiTheme="minorHAnsi" w:hAnsiTheme="minorHAnsi" w:cstheme="minorHAnsi"/>
                <w:color w:val="000000"/>
                <w:sz w:val="18"/>
                <w:szCs w:val="18"/>
              </w:rPr>
              <w:t xml:space="preserve"> in terms of symptomatic improvement, however considered a number of issues remained unresolved in the resubmission. These issues included the proposed place in therapy, the uncertain impact of </w:t>
            </w:r>
            <w:proofErr w:type="spellStart"/>
            <w:r w:rsidRPr="00876E87">
              <w:rPr>
                <w:rFonts w:asciiTheme="minorHAnsi" w:hAnsiTheme="minorHAnsi" w:cstheme="minorHAnsi"/>
                <w:color w:val="000000"/>
                <w:sz w:val="18"/>
                <w:szCs w:val="18"/>
              </w:rPr>
              <w:t>mavacamten</w:t>
            </w:r>
            <w:proofErr w:type="spellEnd"/>
            <w:r w:rsidRPr="00876E87">
              <w:rPr>
                <w:rFonts w:asciiTheme="minorHAnsi" w:hAnsiTheme="minorHAnsi" w:cstheme="minorHAnsi"/>
                <w:color w:val="000000"/>
                <w:sz w:val="18"/>
                <w:szCs w:val="18"/>
              </w:rPr>
              <w:t xml:space="preserve"> on long-term clinical endpoints, such as hospitalisations and mortality, and optimistic assumptions related to clinical benefit in the economic model that were not supported by clinical trial evidence, leading to an uncertain and underestimated incremental </w:t>
            </w:r>
            <w:r w:rsidR="00011394">
              <w:rPr>
                <w:rFonts w:asciiTheme="minorHAnsi" w:hAnsiTheme="minorHAnsi" w:cstheme="minorHAnsi"/>
                <w:color w:val="000000"/>
                <w:sz w:val="18"/>
                <w:szCs w:val="18"/>
              </w:rPr>
              <w:br/>
            </w:r>
            <w:r w:rsidRPr="00876E87">
              <w:rPr>
                <w:rFonts w:asciiTheme="minorHAnsi" w:hAnsiTheme="minorHAnsi" w:cstheme="minorHAnsi"/>
                <w:color w:val="000000"/>
                <w:sz w:val="18"/>
                <w:szCs w:val="18"/>
              </w:rPr>
              <w:t>cost-effectiveness ratio</w:t>
            </w:r>
            <w:r>
              <w:rPr>
                <w:rFonts w:asciiTheme="minorHAnsi" w:hAnsiTheme="minorHAnsi" w:cstheme="minorHAnsi"/>
                <w:color w:val="000000"/>
                <w:sz w:val="18"/>
                <w:szCs w:val="18"/>
              </w:rPr>
              <w:t xml:space="preserve">. </w:t>
            </w:r>
            <w:r w:rsidRPr="00876E87">
              <w:rPr>
                <w:rFonts w:asciiTheme="minorHAnsi" w:hAnsiTheme="minorHAnsi" w:cstheme="minorHAnsi"/>
                <w:color w:val="000000"/>
                <w:sz w:val="18"/>
                <w:szCs w:val="18"/>
              </w:rPr>
              <w:t>The previous submission was considered in November 2022.</w:t>
            </w:r>
            <w:r>
              <w:rPr>
                <w:rFonts w:asciiTheme="minorHAnsi" w:hAnsiTheme="minorHAnsi" w:cstheme="minorHAnsi"/>
                <w:color w:val="000000"/>
                <w:sz w:val="18"/>
                <w:szCs w:val="18"/>
              </w:rPr>
              <w:t xml:space="preserve"> </w:t>
            </w:r>
          </w:p>
          <w:p w14:paraId="123C27DB" w14:textId="77777777" w:rsidR="00C22B32" w:rsidRDefault="00C22B32" w:rsidP="00876E87">
            <w:pPr>
              <w:rPr>
                <w:rFonts w:asciiTheme="minorHAnsi" w:hAnsiTheme="minorHAnsi" w:cstheme="minorHAnsi"/>
                <w:color w:val="000000"/>
                <w:sz w:val="18"/>
                <w:szCs w:val="18"/>
              </w:rPr>
            </w:pPr>
          </w:p>
          <w:p w14:paraId="2140D5F5" w14:textId="49F290D0" w:rsidR="00C22B32" w:rsidRPr="00876E87" w:rsidRDefault="00876E87" w:rsidP="00876E87">
            <w:pPr>
              <w:rPr>
                <w:rFonts w:asciiTheme="minorHAnsi" w:hAnsiTheme="minorHAnsi" w:cstheme="minorHAnsi"/>
                <w:color w:val="000000"/>
                <w:sz w:val="18"/>
                <w:szCs w:val="18"/>
              </w:rPr>
            </w:pPr>
            <w:r w:rsidRPr="00876E87">
              <w:rPr>
                <w:rFonts w:asciiTheme="minorHAnsi" w:hAnsiTheme="minorHAnsi" w:cstheme="minorHAnsi"/>
                <w:color w:val="000000"/>
                <w:sz w:val="18"/>
                <w:szCs w:val="18"/>
              </w:rPr>
              <w:lastRenderedPageBreak/>
              <w:t>The PBAC nominated the early re-entry pathway for this item.</w:t>
            </w:r>
          </w:p>
          <w:p w14:paraId="07612C91" w14:textId="75BB90CD" w:rsidR="00876E87" w:rsidRDefault="00876E87" w:rsidP="00876E87">
            <w:pPr>
              <w:rPr>
                <w:rFonts w:asciiTheme="minorHAnsi" w:hAnsiTheme="minorHAnsi" w:cstheme="minorHAnsi"/>
                <w:color w:val="000000"/>
                <w:sz w:val="18"/>
                <w:szCs w:val="18"/>
              </w:rPr>
            </w:pPr>
            <w:r w:rsidRPr="00851AFC">
              <w:rPr>
                <w:rFonts w:asciiTheme="minorHAnsi" w:hAnsiTheme="minorHAnsi" w:cstheme="minorHAnsi"/>
                <w:color w:val="000000"/>
                <w:sz w:val="18"/>
                <w:szCs w:val="18"/>
                <w:u w:val="single"/>
              </w:rPr>
              <w:t xml:space="preserve">Comparator: </w:t>
            </w:r>
            <w:r w:rsidR="00C22B32">
              <w:rPr>
                <w:rFonts w:asciiTheme="minorHAnsi" w:hAnsiTheme="minorHAnsi" w:cstheme="minorHAnsi"/>
                <w:color w:val="000000"/>
                <w:sz w:val="18"/>
                <w:szCs w:val="18"/>
                <w:u w:val="single"/>
              </w:rPr>
              <w:t>S</w:t>
            </w:r>
            <w:r w:rsidRPr="00851AFC">
              <w:rPr>
                <w:rFonts w:asciiTheme="minorHAnsi" w:hAnsiTheme="minorHAnsi" w:cstheme="minorHAnsi"/>
                <w:color w:val="000000"/>
                <w:sz w:val="18"/>
                <w:szCs w:val="18"/>
                <w:u w:val="single"/>
              </w:rPr>
              <w:t xml:space="preserve">tandard of care (BB/CCB): </w:t>
            </w:r>
            <w:r w:rsidRPr="00876E87">
              <w:rPr>
                <w:rFonts w:asciiTheme="minorHAnsi" w:hAnsiTheme="minorHAnsi" w:cstheme="minorHAnsi"/>
                <w:color w:val="000000"/>
                <w:sz w:val="18"/>
                <w:szCs w:val="18"/>
              </w:rPr>
              <w:t>The PBAC reaffirmed its previously expressed view that the nominated comparator was appropriate.</w:t>
            </w:r>
          </w:p>
          <w:p w14:paraId="5BAFB555" w14:textId="77777777" w:rsidR="00C22B32" w:rsidRPr="00876E87" w:rsidRDefault="00C22B32" w:rsidP="00876E87">
            <w:pPr>
              <w:rPr>
                <w:rFonts w:asciiTheme="minorHAnsi" w:hAnsiTheme="minorHAnsi" w:cstheme="minorHAnsi"/>
                <w:color w:val="000000"/>
                <w:sz w:val="18"/>
                <w:szCs w:val="18"/>
              </w:rPr>
            </w:pPr>
          </w:p>
          <w:p w14:paraId="35F77CCF" w14:textId="37AF07ED" w:rsidR="00876E87" w:rsidRPr="00851AFC" w:rsidRDefault="00876E87" w:rsidP="00876E87">
            <w:pPr>
              <w:rPr>
                <w:rFonts w:asciiTheme="minorHAnsi" w:hAnsiTheme="minorHAnsi" w:cstheme="minorHAnsi"/>
                <w:color w:val="000000"/>
                <w:sz w:val="18"/>
                <w:szCs w:val="18"/>
                <w:u w:val="single"/>
              </w:rPr>
            </w:pPr>
            <w:r w:rsidRPr="00851AFC">
              <w:rPr>
                <w:rFonts w:asciiTheme="minorHAnsi" w:hAnsiTheme="minorHAnsi" w:cstheme="minorHAnsi"/>
                <w:color w:val="000000"/>
                <w:sz w:val="18"/>
                <w:szCs w:val="18"/>
                <w:u w:val="single"/>
              </w:rPr>
              <w:t xml:space="preserve">Clinical claim: </w:t>
            </w:r>
            <w:r w:rsidR="00C22B32">
              <w:rPr>
                <w:rFonts w:asciiTheme="minorHAnsi" w:hAnsiTheme="minorHAnsi" w:cstheme="minorHAnsi"/>
                <w:color w:val="000000"/>
                <w:sz w:val="18"/>
                <w:szCs w:val="18"/>
                <w:u w:val="single"/>
              </w:rPr>
              <w:t>S</w:t>
            </w:r>
            <w:r w:rsidRPr="00851AFC">
              <w:rPr>
                <w:rFonts w:asciiTheme="minorHAnsi" w:hAnsiTheme="minorHAnsi" w:cstheme="minorHAnsi"/>
                <w:color w:val="000000"/>
                <w:sz w:val="18"/>
                <w:szCs w:val="18"/>
                <w:u w:val="single"/>
              </w:rPr>
              <w:t xml:space="preserve">uperior effectiveness and inferior safety compared with </w:t>
            </w:r>
            <w:r>
              <w:rPr>
                <w:rFonts w:asciiTheme="minorHAnsi" w:hAnsiTheme="minorHAnsi" w:cstheme="minorHAnsi"/>
                <w:color w:val="000000"/>
                <w:sz w:val="18"/>
                <w:szCs w:val="18"/>
                <w:u w:val="single"/>
              </w:rPr>
              <w:t>SOC</w:t>
            </w:r>
            <w:r w:rsidRPr="00851AFC">
              <w:rPr>
                <w:rFonts w:asciiTheme="minorHAnsi" w:hAnsiTheme="minorHAnsi" w:cstheme="minorHAnsi"/>
                <w:color w:val="000000"/>
                <w:sz w:val="18"/>
                <w:szCs w:val="18"/>
                <w:u w:val="single"/>
              </w:rPr>
              <w:t xml:space="preserve"> (BB/CCB):</w:t>
            </w:r>
          </w:p>
          <w:p w14:paraId="1A869D4E" w14:textId="52FFD2AB" w:rsidR="00C22B32" w:rsidRDefault="00876E87" w:rsidP="00876E87">
            <w:pPr>
              <w:rPr>
                <w:rFonts w:asciiTheme="minorHAnsi" w:hAnsiTheme="minorHAnsi" w:cstheme="minorHAnsi"/>
                <w:color w:val="000000"/>
                <w:sz w:val="18"/>
                <w:szCs w:val="18"/>
                <w:u w:val="single"/>
              </w:rPr>
            </w:pPr>
            <w:r w:rsidRPr="00876E87">
              <w:rPr>
                <w:rFonts w:asciiTheme="minorHAnsi" w:hAnsiTheme="minorHAnsi" w:cstheme="minorHAnsi"/>
                <w:color w:val="000000"/>
                <w:sz w:val="18"/>
                <w:szCs w:val="18"/>
              </w:rPr>
              <w:t xml:space="preserve">The PBAC considered </w:t>
            </w:r>
            <w:r w:rsidR="001A0295">
              <w:rPr>
                <w:rFonts w:asciiTheme="minorHAnsi" w:hAnsiTheme="minorHAnsi" w:cstheme="minorHAnsi"/>
                <w:color w:val="000000"/>
                <w:sz w:val="18"/>
                <w:szCs w:val="18"/>
              </w:rPr>
              <w:t xml:space="preserve">that </w:t>
            </w:r>
            <w:proofErr w:type="spellStart"/>
            <w:r w:rsidRPr="00876E87">
              <w:rPr>
                <w:rFonts w:asciiTheme="minorHAnsi" w:hAnsiTheme="minorHAnsi" w:cstheme="minorHAnsi"/>
                <w:color w:val="000000"/>
                <w:sz w:val="18"/>
                <w:szCs w:val="18"/>
              </w:rPr>
              <w:t>mavacamten</w:t>
            </w:r>
            <w:proofErr w:type="spellEnd"/>
            <w:r w:rsidR="001A0295">
              <w:rPr>
                <w:rFonts w:asciiTheme="minorHAnsi" w:hAnsiTheme="minorHAnsi" w:cstheme="minorHAnsi"/>
                <w:color w:val="000000"/>
                <w:sz w:val="18"/>
                <w:szCs w:val="18"/>
              </w:rPr>
              <w:t xml:space="preserve"> is</w:t>
            </w:r>
            <w:r w:rsidRPr="00876E87">
              <w:rPr>
                <w:rFonts w:asciiTheme="minorHAnsi" w:hAnsiTheme="minorHAnsi" w:cstheme="minorHAnsi"/>
                <w:color w:val="000000"/>
                <w:sz w:val="18"/>
                <w:szCs w:val="18"/>
              </w:rPr>
              <w:t xml:space="preserve"> likely </w:t>
            </w:r>
            <w:r w:rsidR="001A0295">
              <w:rPr>
                <w:rFonts w:asciiTheme="minorHAnsi" w:hAnsiTheme="minorHAnsi" w:cstheme="minorHAnsi"/>
                <w:color w:val="000000"/>
                <w:sz w:val="18"/>
                <w:szCs w:val="18"/>
              </w:rPr>
              <w:t xml:space="preserve">to </w:t>
            </w:r>
            <w:r w:rsidRPr="00876E87">
              <w:rPr>
                <w:rFonts w:asciiTheme="minorHAnsi" w:hAnsiTheme="minorHAnsi" w:cstheme="minorHAnsi"/>
                <w:color w:val="000000"/>
                <w:sz w:val="18"/>
                <w:szCs w:val="18"/>
              </w:rPr>
              <w:t>provide at least a moderate but important benefit for some patients. The PBAC reiterated that the primary adverse event of concern was reduced left ventricular ejection fraction (LVEF) and that the long</w:t>
            </w:r>
            <w:r w:rsidR="001A0295">
              <w:rPr>
                <w:rFonts w:asciiTheme="minorHAnsi" w:hAnsiTheme="minorHAnsi" w:cstheme="minorHAnsi"/>
                <w:color w:val="000000"/>
                <w:sz w:val="18"/>
                <w:szCs w:val="18"/>
              </w:rPr>
              <w:t>-</w:t>
            </w:r>
            <w:r w:rsidRPr="00876E87">
              <w:rPr>
                <w:rFonts w:asciiTheme="minorHAnsi" w:hAnsiTheme="minorHAnsi" w:cstheme="minorHAnsi"/>
                <w:color w:val="000000"/>
                <w:sz w:val="18"/>
                <w:szCs w:val="18"/>
              </w:rPr>
              <w:t>term consequences of treatment compared with SOC were unknown.</w:t>
            </w:r>
            <w:r w:rsidRPr="00876E87">
              <w:rPr>
                <w:rFonts w:asciiTheme="minorHAnsi" w:hAnsiTheme="minorHAnsi" w:cstheme="minorHAnsi"/>
                <w:color w:val="000000"/>
                <w:sz w:val="18"/>
                <w:szCs w:val="18"/>
                <w:u w:val="single"/>
              </w:rPr>
              <w:t xml:space="preserve"> </w:t>
            </w:r>
          </w:p>
          <w:p w14:paraId="0F2C18E7" w14:textId="77777777" w:rsidR="00C22B32" w:rsidRDefault="00C22B32" w:rsidP="00876E87">
            <w:pPr>
              <w:rPr>
                <w:rFonts w:asciiTheme="minorHAnsi" w:hAnsiTheme="minorHAnsi" w:cstheme="minorHAnsi"/>
                <w:color w:val="000000"/>
                <w:sz w:val="18"/>
                <w:szCs w:val="18"/>
                <w:u w:val="single"/>
              </w:rPr>
            </w:pPr>
          </w:p>
          <w:p w14:paraId="727BEBA3" w14:textId="3B809748" w:rsidR="00876E87" w:rsidRPr="00876E87" w:rsidRDefault="00876E87" w:rsidP="00876E87">
            <w:pPr>
              <w:rPr>
                <w:rFonts w:asciiTheme="minorHAnsi" w:hAnsiTheme="minorHAnsi" w:cstheme="minorHAnsi"/>
                <w:color w:val="000000"/>
                <w:sz w:val="18"/>
                <w:szCs w:val="18"/>
              </w:rPr>
            </w:pPr>
            <w:r w:rsidRPr="00876E87">
              <w:rPr>
                <w:rFonts w:asciiTheme="minorHAnsi" w:hAnsiTheme="minorHAnsi" w:cstheme="minorHAnsi"/>
                <w:color w:val="000000"/>
                <w:sz w:val="18"/>
                <w:szCs w:val="18"/>
                <w:u w:val="single"/>
              </w:rPr>
              <w:t>Economic claim:</w:t>
            </w:r>
            <w:r w:rsidRPr="00876E87">
              <w:rPr>
                <w:rFonts w:asciiTheme="minorHAnsi" w:hAnsiTheme="minorHAnsi" w:cstheme="minorHAnsi"/>
                <w:color w:val="000000"/>
                <w:sz w:val="18"/>
                <w:szCs w:val="18"/>
              </w:rPr>
              <w:t xml:space="preserve"> </w:t>
            </w:r>
            <w:r w:rsidR="00C22B32">
              <w:rPr>
                <w:rFonts w:asciiTheme="minorHAnsi" w:hAnsiTheme="minorHAnsi" w:cstheme="minorHAnsi"/>
                <w:color w:val="000000"/>
                <w:sz w:val="18"/>
                <w:szCs w:val="18"/>
                <w:u w:val="single"/>
              </w:rPr>
              <w:t>C</w:t>
            </w:r>
            <w:r w:rsidRPr="00876E87">
              <w:rPr>
                <w:rFonts w:asciiTheme="minorHAnsi" w:hAnsiTheme="minorHAnsi" w:cstheme="minorHAnsi"/>
                <w:color w:val="000000"/>
                <w:sz w:val="18"/>
                <w:szCs w:val="18"/>
                <w:u w:val="single"/>
              </w:rPr>
              <w:t xml:space="preserve">ost-utility versus </w:t>
            </w:r>
            <w:r>
              <w:rPr>
                <w:rFonts w:asciiTheme="minorHAnsi" w:hAnsiTheme="minorHAnsi" w:cstheme="minorHAnsi"/>
                <w:color w:val="000000"/>
                <w:sz w:val="18"/>
                <w:szCs w:val="18"/>
                <w:u w:val="single"/>
              </w:rPr>
              <w:t>SOC</w:t>
            </w:r>
            <w:r w:rsidRPr="00876E87">
              <w:rPr>
                <w:rFonts w:asciiTheme="minorHAnsi" w:hAnsiTheme="minorHAnsi" w:cstheme="minorHAnsi"/>
                <w:color w:val="000000"/>
                <w:sz w:val="18"/>
                <w:szCs w:val="18"/>
                <w:u w:val="single"/>
              </w:rPr>
              <w:t xml:space="preserve"> (BB/CCB):</w:t>
            </w:r>
            <w:r w:rsidRPr="00876E87">
              <w:rPr>
                <w:rFonts w:asciiTheme="minorHAnsi" w:hAnsiTheme="minorHAnsi" w:cstheme="minorHAnsi"/>
                <w:color w:val="000000"/>
                <w:sz w:val="18"/>
                <w:szCs w:val="18"/>
              </w:rPr>
              <w:t xml:space="preserve"> </w:t>
            </w:r>
          </w:p>
          <w:p w14:paraId="170BAF46" w14:textId="3626ABA0" w:rsidR="00876E87" w:rsidRPr="00876E87" w:rsidRDefault="00876E87" w:rsidP="00876E87">
            <w:pPr>
              <w:rPr>
                <w:rFonts w:asciiTheme="minorHAnsi" w:hAnsiTheme="minorHAnsi" w:cstheme="minorHAnsi"/>
                <w:color w:val="000000"/>
                <w:sz w:val="18"/>
                <w:szCs w:val="18"/>
              </w:rPr>
            </w:pPr>
            <w:r w:rsidRPr="00876E87">
              <w:rPr>
                <w:rFonts w:asciiTheme="minorHAnsi" w:hAnsiTheme="minorHAnsi" w:cstheme="minorHAnsi"/>
                <w:color w:val="000000"/>
                <w:sz w:val="18"/>
                <w:szCs w:val="18"/>
              </w:rPr>
              <w:t>The PBAC noted a number of changes were made to the economic model based on the previous consideration</w:t>
            </w:r>
            <w:r w:rsidR="00DC317B">
              <w:rPr>
                <w:rFonts w:asciiTheme="minorHAnsi" w:hAnsiTheme="minorHAnsi" w:cstheme="minorHAnsi"/>
                <w:color w:val="000000"/>
                <w:sz w:val="18"/>
                <w:szCs w:val="18"/>
              </w:rPr>
              <w:t>,</w:t>
            </w:r>
            <w:r w:rsidRPr="00876E87">
              <w:rPr>
                <w:rFonts w:asciiTheme="minorHAnsi" w:hAnsiTheme="minorHAnsi" w:cstheme="minorHAnsi"/>
                <w:color w:val="000000"/>
                <w:sz w:val="18"/>
                <w:szCs w:val="18"/>
              </w:rPr>
              <w:t xml:space="preserve"> but a number of important issues remained outstanding.</w:t>
            </w:r>
          </w:p>
          <w:p w14:paraId="3EBAA40F" w14:textId="77777777" w:rsidR="004220E5" w:rsidRPr="00851AFC" w:rsidRDefault="004220E5" w:rsidP="00F00A70">
            <w:pPr>
              <w:rPr>
                <w:rFonts w:asciiTheme="minorHAnsi" w:hAnsiTheme="minorHAnsi" w:cstheme="minorHAnsi"/>
                <w:color w:val="000000"/>
                <w:sz w:val="18"/>
                <w:szCs w:val="18"/>
              </w:rPr>
            </w:pPr>
          </w:p>
          <w:p w14:paraId="245A0CA1" w14:textId="3346D087"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62C0E818" w14:textId="7A65F9E3" w:rsidR="00897FAC" w:rsidRPr="00015520" w:rsidRDefault="00AD3491" w:rsidP="008542C1">
            <w:pPr>
              <w:rPr>
                <w:rFonts w:asciiTheme="minorHAnsi" w:hAnsiTheme="minorHAnsi" w:cstheme="minorHAnsi"/>
                <w:color w:val="000000"/>
                <w:sz w:val="18"/>
                <w:szCs w:val="18"/>
              </w:rPr>
            </w:pPr>
            <w:r w:rsidRPr="00AD3491">
              <w:rPr>
                <w:rFonts w:asciiTheme="minorHAnsi" w:hAnsiTheme="minorHAnsi" w:cstheme="minorHAnsi"/>
                <w:color w:val="000000"/>
                <w:sz w:val="18"/>
                <w:szCs w:val="18"/>
              </w:rPr>
              <w:t xml:space="preserve">The </w:t>
            </w:r>
            <w:r w:rsidR="00DC317B">
              <w:rPr>
                <w:rFonts w:asciiTheme="minorHAnsi" w:hAnsiTheme="minorHAnsi" w:cstheme="minorHAnsi"/>
                <w:color w:val="000000"/>
                <w:sz w:val="18"/>
                <w:szCs w:val="18"/>
              </w:rPr>
              <w:t>s</w:t>
            </w:r>
            <w:r w:rsidRPr="00AD3491">
              <w:rPr>
                <w:rFonts w:asciiTheme="minorHAnsi" w:hAnsiTheme="minorHAnsi" w:cstheme="minorHAnsi"/>
                <w:color w:val="000000"/>
                <w:sz w:val="18"/>
                <w:szCs w:val="18"/>
              </w:rPr>
              <w:t xml:space="preserve">ponsor welcomes the opportunity to resubmit via the early re-entry pathway and is committed to working with the PBAC to bring </w:t>
            </w:r>
            <w:proofErr w:type="spellStart"/>
            <w:r w:rsidRPr="00AD3491">
              <w:rPr>
                <w:rFonts w:asciiTheme="minorHAnsi" w:hAnsiTheme="minorHAnsi" w:cstheme="minorHAnsi"/>
                <w:color w:val="000000"/>
                <w:sz w:val="18"/>
                <w:szCs w:val="18"/>
              </w:rPr>
              <w:t>mavacamten</w:t>
            </w:r>
            <w:proofErr w:type="spellEnd"/>
            <w:r w:rsidRPr="00AD3491">
              <w:rPr>
                <w:rFonts w:asciiTheme="minorHAnsi" w:hAnsiTheme="minorHAnsi" w:cstheme="minorHAnsi"/>
                <w:color w:val="000000"/>
                <w:sz w:val="18"/>
                <w:szCs w:val="18"/>
              </w:rPr>
              <w:t xml:space="preserve"> for the treatment of patients with symptomatic obstructive </w:t>
            </w:r>
            <w:r w:rsidR="00DC317B">
              <w:rPr>
                <w:rFonts w:asciiTheme="minorHAnsi" w:hAnsiTheme="minorHAnsi" w:cstheme="minorHAnsi"/>
                <w:color w:val="000000"/>
                <w:sz w:val="18"/>
                <w:szCs w:val="18"/>
              </w:rPr>
              <w:t>HCM</w:t>
            </w:r>
            <w:r w:rsidRPr="00AD3491">
              <w:rPr>
                <w:rFonts w:asciiTheme="minorHAnsi" w:hAnsiTheme="minorHAnsi" w:cstheme="minorHAnsi"/>
                <w:color w:val="000000"/>
                <w:sz w:val="18"/>
                <w:szCs w:val="18"/>
              </w:rPr>
              <w:t xml:space="preserve"> to Australian patients in a timely manner.</w:t>
            </w:r>
          </w:p>
        </w:tc>
      </w:tr>
      <w:tr w:rsidR="00897FAC" w:rsidRPr="00015520" w14:paraId="630CF50E" w14:textId="77777777" w:rsidTr="00344CBB">
        <w:trPr>
          <w:cantSplit/>
          <w:trHeight w:val="2948"/>
          <w:jc w:val="center"/>
        </w:trPr>
        <w:tc>
          <w:tcPr>
            <w:tcW w:w="3013" w:type="dxa"/>
            <w:shd w:val="clear" w:color="auto" w:fill="auto"/>
            <w:tcMar>
              <w:top w:w="28" w:type="dxa"/>
              <w:bottom w:w="28" w:type="dxa"/>
            </w:tcMar>
            <w:vAlign w:val="center"/>
          </w:tcPr>
          <w:p w14:paraId="7CEBBD31" w14:textId="70D082CF" w:rsidR="00184DA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MIRIKIZUMAB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300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Solution for injection 100 mg in 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w:t>
            </w:r>
            <w:r w:rsidR="00190272">
              <w:rPr>
                <w:rFonts w:asciiTheme="minorHAnsi" w:hAnsiTheme="minorHAnsi" w:cstheme="minorHAnsi"/>
                <w:color w:val="000000"/>
                <w:sz w:val="18"/>
                <w:szCs w:val="18"/>
              </w:rPr>
              <w:t>-</w:t>
            </w:r>
            <w:r w:rsidRPr="00015520">
              <w:rPr>
                <w:rFonts w:asciiTheme="minorHAnsi" w:hAnsiTheme="minorHAnsi" w:cstheme="minorHAnsi"/>
                <w:color w:val="000000"/>
                <w:sz w:val="18"/>
                <w:szCs w:val="18"/>
              </w:rPr>
              <w:t>filled pen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Omvoh</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Eli Lilly Australia Pty Ltd</w:t>
            </w:r>
            <w:r w:rsidRPr="00015520">
              <w:rPr>
                <w:rFonts w:asciiTheme="minorHAnsi" w:hAnsiTheme="minorHAnsi" w:cstheme="minorHAnsi"/>
                <w:color w:val="000000"/>
                <w:sz w:val="18"/>
                <w:szCs w:val="18"/>
              </w:rPr>
              <w:br/>
            </w:r>
          </w:p>
          <w:p w14:paraId="26F1EF32" w14:textId="11D45F12" w:rsidR="00897FAC" w:rsidRPr="00015520" w:rsidRDefault="00184DA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2A72076A" w14:textId="463EE719"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Moderate to severe ulcerative colitis (MSUC)</w:t>
            </w:r>
          </w:p>
        </w:tc>
        <w:tc>
          <w:tcPr>
            <w:tcW w:w="3098" w:type="dxa"/>
            <w:shd w:val="clear" w:color="auto" w:fill="auto"/>
            <w:tcMar>
              <w:top w:w="28" w:type="dxa"/>
              <w:bottom w:w="28" w:type="dxa"/>
            </w:tcMar>
            <w:vAlign w:val="center"/>
          </w:tcPr>
          <w:p w14:paraId="73933476" w14:textId="03BBDAD7"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General Schedule and Section 100 (Highly Specialised Drugs Program) Authority Required (Written) listings for the treatment MSUC in patients who have had an inadequate response, lost response, or are intolerant/contraindicated to conventional treatments or biologic/targeted synthetic </w:t>
            </w:r>
            <w:r w:rsidR="00A142CF" w:rsidRPr="00A142CF">
              <w:rPr>
                <w:rFonts w:asciiTheme="minorHAnsi" w:hAnsiTheme="minorHAnsi" w:cstheme="minorHAnsi"/>
                <w:color w:val="000000"/>
                <w:sz w:val="18"/>
                <w:szCs w:val="18"/>
              </w:rPr>
              <w:t>disease-modifying anti-rheumatic drug</w:t>
            </w:r>
            <w:r w:rsidR="00A142CF">
              <w:rPr>
                <w:rFonts w:asciiTheme="minorHAnsi" w:hAnsiTheme="minorHAnsi" w:cstheme="minorHAnsi"/>
                <w:color w:val="000000"/>
                <w:sz w:val="18"/>
                <w:szCs w:val="18"/>
              </w:rPr>
              <w:t>s (</w:t>
            </w:r>
            <w:proofErr w:type="spellStart"/>
            <w:r w:rsidR="00A142CF" w:rsidRPr="00F012A0">
              <w:rPr>
                <w:rFonts w:asciiTheme="minorHAnsi" w:hAnsiTheme="minorHAnsi" w:cstheme="minorHAnsi"/>
                <w:sz w:val="18"/>
                <w:szCs w:val="18"/>
              </w:rPr>
              <w:t>bDMARD</w:t>
            </w:r>
            <w:proofErr w:type="spellEnd"/>
            <w:r w:rsidR="00A142CF" w:rsidRPr="00F012A0">
              <w:rPr>
                <w:rFonts w:asciiTheme="minorHAnsi" w:hAnsiTheme="minorHAnsi" w:cstheme="minorHAnsi"/>
                <w:sz w:val="18"/>
                <w:szCs w:val="18"/>
              </w:rPr>
              <w:t>/</w:t>
            </w:r>
            <w:proofErr w:type="spellStart"/>
            <w:r w:rsidR="00A142CF" w:rsidRPr="00F012A0">
              <w:rPr>
                <w:rFonts w:asciiTheme="minorHAnsi" w:hAnsiTheme="minorHAnsi" w:cstheme="minorHAnsi"/>
                <w:sz w:val="18"/>
                <w:szCs w:val="18"/>
              </w:rPr>
              <w:t>tsDMARD</w:t>
            </w:r>
            <w:proofErr w:type="spellEnd"/>
            <w:r w:rsidR="00A142CF">
              <w:rPr>
                <w:rFonts w:asciiTheme="minorHAnsi" w:hAnsiTheme="minorHAnsi" w:cstheme="minorHAnsi"/>
                <w:sz w:val="18"/>
                <w:szCs w:val="18"/>
              </w:rPr>
              <w:t>)</w:t>
            </w:r>
            <w:r w:rsidRPr="00015520">
              <w:rPr>
                <w:rFonts w:asciiTheme="minorHAnsi" w:hAnsiTheme="minorHAnsi" w:cstheme="minorHAnsi"/>
                <w:color w:val="000000"/>
                <w:sz w:val="18"/>
                <w:szCs w:val="18"/>
              </w:rPr>
              <w:t>.</w:t>
            </w:r>
          </w:p>
        </w:tc>
        <w:tc>
          <w:tcPr>
            <w:tcW w:w="1920" w:type="dxa"/>
            <w:shd w:val="clear" w:color="auto" w:fill="auto"/>
            <w:vAlign w:val="center"/>
          </w:tcPr>
          <w:p w14:paraId="71509397" w14:textId="3B711A3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3DF06592" w14:textId="0495F66C" w:rsidR="00701816" w:rsidRDefault="00897FAC" w:rsidP="008542C1">
            <w:pPr>
              <w:rPr>
                <w:rFonts w:asciiTheme="minorHAnsi" w:hAnsiTheme="minorHAnsi" w:cstheme="minorHAnsi"/>
                <w:sz w:val="18"/>
                <w:szCs w:val="18"/>
              </w:rPr>
            </w:pPr>
            <w:r w:rsidRPr="00015520">
              <w:rPr>
                <w:rFonts w:asciiTheme="minorHAnsi" w:hAnsiTheme="minorHAnsi" w:cstheme="minorHAnsi"/>
                <w:sz w:val="18"/>
                <w:szCs w:val="18"/>
              </w:rPr>
              <w:t xml:space="preserve">The PBAC recommended the Section 100 (Highly Specialised Drugs Program) and General Schedule listings of </w:t>
            </w:r>
            <w:proofErr w:type="spellStart"/>
            <w:r w:rsidRPr="00015520">
              <w:rPr>
                <w:rFonts w:asciiTheme="minorHAnsi" w:hAnsiTheme="minorHAnsi" w:cstheme="minorHAnsi"/>
                <w:sz w:val="18"/>
                <w:szCs w:val="18"/>
              </w:rPr>
              <w:t>mirikizumab</w:t>
            </w:r>
            <w:proofErr w:type="spellEnd"/>
            <w:r w:rsidRPr="00015520">
              <w:rPr>
                <w:rFonts w:asciiTheme="minorHAnsi" w:hAnsiTheme="minorHAnsi" w:cstheme="minorHAnsi"/>
                <w:sz w:val="18"/>
                <w:szCs w:val="18"/>
              </w:rPr>
              <w:t xml:space="preserve"> (MIRI) for the treatment of MSUC. The Section 100 recommendation was for listing the vial for intravenous infusion for initial treatment, and the General Schedule listing was for the pre-filled pen for subcutaneous injection for maintenance therapy.</w:t>
            </w:r>
          </w:p>
          <w:p w14:paraId="3B3B0A75" w14:textId="4510B595"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sz w:val="18"/>
                <w:szCs w:val="18"/>
              </w:rPr>
              <w:br/>
              <w:t xml:space="preserve">The PBAC’s recommendation for listing was based on, among other matters, its assessment that the cost-effectiveness of MIRI would be acceptable if it were cost-minimised to the least costly alternative therapy of adalimumab, golimumab, infliximab, ozanimod, tofacitinib, </w:t>
            </w:r>
            <w:proofErr w:type="spellStart"/>
            <w:r w:rsidRPr="00015520">
              <w:rPr>
                <w:rFonts w:asciiTheme="minorHAnsi" w:hAnsiTheme="minorHAnsi" w:cstheme="minorHAnsi"/>
                <w:sz w:val="18"/>
                <w:szCs w:val="18"/>
              </w:rPr>
              <w:t>upadacitinib</w:t>
            </w:r>
            <w:proofErr w:type="spellEnd"/>
            <w:r w:rsidRPr="00015520">
              <w:rPr>
                <w:rFonts w:asciiTheme="minorHAnsi" w:hAnsiTheme="minorHAnsi" w:cstheme="minorHAnsi"/>
                <w:sz w:val="18"/>
                <w:szCs w:val="18"/>
              </w:rPr>
              <w:t>, ustekinumab and vedolizumab. The PBAC noted the submission made a claim that MIRI was of superior comparative effectiveness to adalimumab, however considered based on the evidence presented that a claim of non-inferior comparative effectiveness to all the alternative therapies, including adalimumab, was reasonable.</w:t>
            </w:r>
            <w:r w:rsidR="00B302B8">
              <w:rPr>
                <w:rFonts w:asciiTheme="minorHAnsi" w:hAnsiTheme="minorHAnsi" w:cstheme="minorHAnsi"/>
                <w:sz w:val="18"/>
                <w:szCs w:val="18"/>
              </w:rPr>
              <w:t xml:space="preserve"> </w:t>
            </w:r>
            <w:r w:rsidR="00B302B8" w:rsidRPr="00F012A0">
              <w:rPr>
                <w:rFonts w:asciiTheme="minorHAnsi" w:hAnsiTheme="minorHAnsi" w:cstheme="minorHAnsi"/>
                <w:sz w:val="18"/>
                <w:szCs w:val="18"/>
              </w:rPr>
              <w:t>The PBAC noted flow</w:t>
            </w:r>
            <w:r w:rsidR="001A0295">
              <w:rPr>
                <w:rFonts w:asciiTheme="minorHAnsi" w:hAnsiTheme="minorHAnsi" w:cstheme="minorHAnsi"/>
                <w:sz w:val="18"/>
                <w:szCs w:val="18"/>
              </w:rPr>
              <w:t>-</w:t>
            </w:r>
            <w:r w:rsidR="00B302B8" w:rsidRPr="00F012A0">
              <w:rPr>
                <w:rFonts w:asciiTheme="minorHAnsi" w:hAnsiTheme="minorHAnsi" w:cstheme="minorHAnsi"/>
                <w:sz w:val="18"/>
                <w:szCs w:val="18"/>
              </w:rPr>
              <w:t>on</w:t>
            </w:r>
            <w:r w:rsidR="00851AFC">
              <w:rPr>
                <w:rFonts w:asciiTheme="minorHAnsi" w:hAnsiTheme="minorHAnsi" w:cstheme="minorHAnsi"/>
                <w:sz w:val="18"/>
                <w:szCs w:val="18"/>
              </w:rPr>
              <w:t xml:space="preserve"> restriction</w:t>
            </w:r>
            <w:r w:rsidR="00B302B8" w:rsidRPr="00F012A0">
              <w:rPr>
                <w:rFonts w:asciiTheme="minorHAnsi" w:hAnsiTheme="minorHAnsi" w:cstheme="minorHAnsi"/>
                <w:sz w:val="18"/>
                <w:szCs w:val="18"/>
              </w:rPr>
              <w:t xml:space="preserve"> changes to the other MSUC </w:t>
            </w:r>
            <w:proofErr w:type="spellStart"/>
            <w:r w:rsidR="00B302B8" w:rsidRPr="00F012A0">
              <w:rPr>
                <w:rFonts w:asciiTheme="minorHAnsi" w:hAnsiTheme="minorHAnsi" w:cstheme="minorHAnsi"/>
                <w:sz w:val="18"/>
                <w:szCs w:val="18"/>
              </w:rPr>
              <w:t>bDMARD</w:t>
            </w:r>
            <w:proofErr w:type="spellEnd"/>
            <w:r w:rsidR="00B302B8" w:rsidRPr="00F012A0">
              <w:rPr>
                <w:rFonts w:asciiTheme="minorHAnsi" w:hAnsiTheme="minorHAnsi" w:cstheme="minorHAnsi"/>
                <w:sz w:val="18"/>
                <w:szCs w:val="18"/>
              </w:rPr>
              <w:t>/</w:t>
            </w:r>
            <w:proofErr w:type="spellStart"/>
            <w:r w:rsidR="00B302B8" w:rsidRPr="00F012A0">
              <w:rPr>
                <w:rFonts w:asciiTheme="minorHAnsi" w:hAnsiTheme="minorHAnsi" w:cstheme="minorHAnsi"/>
                <w:sz w:val="18"/>
                <w:szCs w:val="18"/>
              </w:rPr>
              <w:t>tsDMARD</w:t>
            </w:r>
            <w:proofErr w:type="spellEnd"/>
            <w:r w:rsidR="00B302B8" w:rsidRPr="00F012A0">
              <w:rPr>
                <w:rFonts w:asciiTheme="minorHAnsi" w:hAnsiTheme="minorHAnsi" w:cstheme="minorHAnsi"/>
                <w:sz w:val="18"/>
                <w:szCs w:val="18"/>
              </w:rPr>
              <w:t xml:space="preserve"> listings</w:t>
            </w:r>
            <w:r w:rsidR="001A0295">
              <w:rPr>
                <w:rFonts w:asciiTheme="minorHAnsi" w:hAnsiTheme="minorHAnsi" w:cstheme="minorHAnsi"/>
                <w:sz w:val="18"/>
                <w:szCs w:val="18"/>
              </w:rPr>
              <w:t>.</w:t>
            </w:r>
          </w:p>
        </w:tc>
      </w:tr>
      <w:tr w:rsidR="00897FAC" w:rsidRPr="00015520" w14:paraId="13225EF2" w14:textId="77777777" w:rsidTr="00344CBB">
        <w:trPr>
          <w:cantSplit/>
          <w:trHeight w:val="2948"/>
          <w:jc w:val="center"/>
        </w:trPr>
        <w:tc>
          <w:tcPr>
            <w:tcW w:w="3013" w:type="dxa"/>
            <w:shd w:val="clear" w:color="auto" w:fill="auto"/>
            <w:tcMar>
              <w:top w:w="28" w:type="dxa"/>
              <w:bottom w:w="28" w:type="dxa"/>
            </w:tcMar>
            <w:vAlign w:val="center"/>
          </w:tcPr>
          <w:p w14:paraId="6163437F" w14:textId="2B15B624" w:rsidR="00184DA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MOBOCERTINIB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40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Exkivity</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Takeda Pharmaceuticals Australia Pty. Ltd.</w:t>
            </w:r>
            <w:r w:rsidRPr="00015520">
              <w:rPr>
                <w:rFonts w:asciiTheme="minorHAnsi" w:hAnsiTheme="minorHAnsi" w:cstheme="minorHAnsi"/>
                <w:color w:val="000000"/>
                <w:sz w:val="18"/>
                <w:szCs w:val="18"/>
              </w:rPr>
              <w:br/>
            </w:r>
          </w:p>
          <w:p w14:paraId="773FD1C3" w14:textId="63913149" w:rsidR="00897FAC" w:rsidRPr="00015520" w:rsidRDefault="00184DA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665F128F" w14:textId="4B4CB8B1"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Locally advanced or metastatic non-small cell lung cancer (NSCLC)</w:t>
            </w:r>
          </w:p>
        </w:tc>
        <w:tc>
          <w:tcPr>
            <w:tcW w:w="3098" w:type="dxa"/>
            <w:shd w:val="clear" w:color="auto" w:fill="auto"/>
            <w:tcMar>
              <w:top w:w="28" w:type="dxa"/>
              <w:bottom w:w="28" w:type="dxa"/>
            </w:tcMar>
            <w:vAlign w:val="center"/>
          </w:tcPr>
          <w:p w14:paraId="6857E75E" w14:textId="61676BF7"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General Schedule Authority Required (Telephone/Online) listing for the treatment of adults with epidermal growth factor receptor exon 20 insertion</w:t>
            </w:r>
            <w:r w:rsidR="007866B1">
              <w:rPr>
                <w:rFonts w:asciiTheme="minorHAnsi" w:hAnsiTheme="minorHAnsi" w:cstheme="minorHAnsi"/>
                <w:color w:val="000000"/>
                <w:sz w:val="18"/>
                <w:szCs w:val="18"/>
              </w:rPr>
              <w:t xml:space="preserve"> </w:t>
            </w:r>
            <w:r w:rsidR="007866B1" w:rsidRPr="00015520">
              <w:rPr>
                <w:rFonts w:asciiTheme="minorHAnsi" w:hAnsiTheme="minorHAnsi" w:cstheme="minorHAnsi"/>
                <w:color w:val="000000"/>
                <w:sz w:val="18"/>
                <w:szCs w:val="18"/>
              </w:rPr>
              <w:t>(EGFR ex20ins)</w:t>
            </w:r>
            <w:r w:rsidRPr="00015520">
              <w:rPr>
                <w:rFonts w:asciiTheme="minorHAnsi" w:hAnsiTheme="minorHAnsi" w:cstheme="minorHAnsi"/>
                <w:color w:val="000000"/>
                <w:sz w:val="18"/>
                <w:szCs w:val="18"/>
              </w:rPr>
              <w:t xml:space="preserve"> positive locally advanced or metastatic (Stage IIIB, IIIC or IV) NSCLC who have received platinum-based chemotherapy.</w:t>
            </w:r>
          </w:p>
        </w:tc>
        <w:tc>
          <w:tcPr>
            <w:tcW w:w="1920" w:type="dxa"/>
            <w:shd w:val="clear" w:color="auto" w:fill="auto"/>
            <w:vAlign w:val="center"/>
          </w:tcPr>
          <w:p w14:paraId="0F53DED0" w14:textId="5A30803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53662871" w14:textId="14A3C356" w:rsidR="001E2CF5"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the General Schedule Authority Required listing of </w:t>
            </w:r>
            <w:proofErr w:type="spellStart"/>
            <w:r w:rsidRPr="00015520">
              <w:rPr>
                <w:rFonts w:asciiTheme="minorHAnsi" w:hAnsiTheme="minorHAnsi" w:cstheme="minorHAnsi"/>
                <w:color w:val="000000"/>
                <w:sz w:val="18"/>
                <w:szCs w:val="18"/>
              </w:rPr>
              <w:t>mobocertinib</w:t>
            </w:r>
            <w:proofErr w:type="spellEnd"/>
            <w:r w:rsidRPr="00015520">
              <w:rPr>
                <w:rFonts w:asciiTheme="minorHAnsi" w:hAnsiTheme="minorHAnsi" w:cstheme="minorHAnsi"/>
                <w:color w:val="000000"/>
                <w:sz w:val="18"/>
                <w:szCs w:val="18"/>
              </w:rPr>
              <w:t xml:space="preserve"> for the treatment of adults with locally advanced (Stage IIIB/IIIC) or metastatic (Stage IV) NSCLC harbouring EGFR ex20ins mutations whose disease has progressed on or after platinum-based chemotherapy</w:t>
            </w:r>
            <w:r w:rsidR="001E2CF5">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The PBAC was satisfied that </w:t>
            </w:r>
            <w:proofErr w:type="spellStart"/>
            <w:r w:rsidRPr="00015520">
              <w:rPr>
                <w:rFonts w:asciiTheme="minorHAnsi" w:hAnsiTheme="minorHAnsi" w:cstheme="minorHAnsi"/>
                <w:color w:val="000000"/>
                <w:sz w:val="18"/>
                <w:szCs w:val="18"/>
              </w:rPr>
              <w:t>mobocertinib</w:t>
            </w:r>
            <w:proofErr w:type="spellEnd"/>
            <w:r w:rsidRPr="00015520">
              <w:rPr>
                <w:rFonts w:asciiTheme="minorHAnsi" w:hAnsiTheme="minorHAnsi" w:cstheme="minorHAnsi"/>
                <w:color w:val="000000"/>
                <w:sz w:val="18"/>
                <w:szCs w:val="18"/>
              </w:rPr>
              <w:t xml:space="preserve"> provides, for some patients, a significant improvement in efficacy over standard of care. The PBAC considered the amendments made in the resubmission, including changes to the economic model, a reduced price and revised financial estimates had sufficiently addressed the Committee’s previous concerns.</w:t>
            </w:r>
          </w:p>
          <w:p w14:paraId="1F9786FD" w14:textId="227466CD"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br/>
              <w:t xml:space="preserve">The PBAC’s recommendation for listing was based on, among other matters, its assessment, that the cost-effectiveness of </w:t>
            </w:r>
            <w:proofErr w:type="spellStart"/>
            <w:r w:rsidRPr="00015520">
              <w:rPr>
                <w:rFonts w:asciiTheme="minorHAnsi" w:hAnsiTheme="minorHAnsi" w:cstheme="minorHAnsi"/>
                <w:color w:val="000000"/>
                <w:sz w:val="18"/>
                <w:szCs w:val="18"/>
              </w:rPr>
              <w:t>mobocertinib</w:t>
            </w:r>
            <w:proofErr w:type="spellEnd"/>
            <w:r w:rsidRPr="00015520">
              <w:rPr>
                <w:rFonts w:asciiTheme="minorHAnsi" w:hAnsiTheme="minorHAnsi" w:cstheme="minorHAnsi"/>
                <w:color w:val="000000"/>
                <w:sz w:val="18"/>
                <w:szCs w:val="18"/>
              </w:rPr>
              <w:t xml:space="preserve"> would be acceptable at the price proposed in the submission.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The PBAC recommended that flow-on changes to the currently listed gefitinib, erlotinib and </w:t>
            </w:r>
            <w:proofErr w:type="spellStart"/>
            <w:r w:rsidRPr="00015520">
              <w:rPr>
                <w:rFonts w:asciiTheme="minorHAnsi" w:hAnsiTheme="minorHAnsi" w:cstheme="minorHAnsi"/>
                <w:color w:val="000000"/>
                <w:sz w:val="18"/>
                <w:szCs w:val="18"/>
              </w:rPr>
              <w:t>afatinib</w:t>
            </w:r>
            <w:proofErr w:type="spellEnd"/>
            <w:r w:rsidRPr="00015520">
              <w:rPr>
                <w:rFonts w:asciiTheme="minorHAnsi" w:hAnsiTheme="minorHAnsi" w:cstheme="minorHAnsi"/>
                <w:color w:val="000000"/>
                <w:sz w:val="18"/>
                <w:szCs w:val="18"/>
              </w:rPr>
              <w:t xml:space="preserve"> for </w:t>
            </w:r>
            <w:r w:rsidR="007866B1" w:rsidRPr="00015520">
              <w:rPr>
                <w:rFonts w:asciiTheme="minorHAnsi" w:hAnsiTheme="minorHAnsi" w:cstheme="minorHAnsi"/>
                <w:color w:val="000000"/>
                <w:sz w:val="18"/>
                <w:szCs w:val="18"/>
              </w:rPr>
              <w:t xml:space="preserve">locally advanced </w:t>
            </w:r>
            <w:r w:rsidRPr="00015520">
              <w:rPr>
                <w:rFonts w:asciiTheme="minorHAnsi" w:hAnsiTheme="minorHAnsi" w:cstheme="minorHAnsi"/>
                <w:color w:val="000000"/>
                <w:sz w:val="18"/>
                <w:szCs w:val="18"/>
              </w:rPr>
              <w:t>(</w:t>
            </w:r>
            <w:r w:rsidR="007866B1" w:rsidRPr="00015520">
              <w:rPr>
                <w:rFonts w:asciiTheme="minorHAnsi" w:hAnsiTheme="minorHAnsi" w:cstheme="minorHAnsi"/>
                <w:color w:val="000000"/>
                <w:sz w:val="18"/>
                <w:szCs w:val="18"/>
              </w:rPr>
              <w:t>Stage IIIB</w:t>
            </w:r>
            <w:r w:rsidRPr="00015520">
              <w:rPr>
                <w:rFonts w:asciiTheme="minorHAnsi" w:hAnsiTheme="minorHAnsi" w:cstheme="minorHAnsi"/>
                <w:color w:val="000000"/>
                <w:sz w:val="18"/>
                <w:szCs w:val="18"/>
              </w:rPr>
              <w:t xml:space="preserve">) or </w:t>
            </w:r>
            <w:r w:rsidR="007866B1" w:rsidRPr="00015520">
              <w:rPr>
                <w:rFonts w:asciiTheme="minorHAnsi" w:hAnsiTheme="minorHAnsi" w:cstheme="minorHAnsi"/>
                <w:color w:val="000000"/>
                <w:sz w:val="18"/>
                <w:szCs w:val="18"/>
              </w:rPr>
              <w:t xml:space="preserve">metastatic </w:t>
            </w:r>
            <w:r w:rsidRPr="00015520">
              <w:rPr>
                <w:rFonts w:asciiTheme="minorHAnsi" w:hAnsiTheme="minorHAnsi" w:cstheme="minorHAnsi"/>
                <w:color w:val="000000"/>
                <w:sz w:val="18"/>
                <w:szCs w:val="18"/>
              </w:rPr>
              <w:t>(</w:t>
            </w:r>
            <w:r w:rsidR="007866B1" w:rsidRPr="00015520">
              <w:rPr>
                <w:rFonts w:asciiTheme="minorHAnsi" w:hAnsiTheme="minorHAnsi" w:cstheme="minorHAnsi"/>
                <w:color w:val="000000"/>
                <w:sz w:val="18"/>
                <w:szCs w:val="18"/>
              </w:rPr>
              <w:t>Stage IV</w:t>
            </w:r>
            <w:r w:rsidRPr="00015520">
              <w:rPr>
                <w:rFonts w:asciiTheme="minorHAnsi" w:hAnsiTheme="minorHAnsi" w:cstheme="minorHAnsi"/>
                <w:color w:val="000000"/>
                <w:sz w:val="18"/>
                <w:szCs w:val="18"/>
              </w:rPr>
              <w:t>) NSCLC to exclude patients with EGFR ex20ins mutations.</w:t>
            </w:r>
          </w:p>
        </w:tc>
      </w:tr>
      <w:tr w:rsidR="00897FAC" w:rsidRPr="00015520" w14:paraId="45A0C826" w14:textId="77777777" w:rsidTr="00344CBB">
        <w:trPr>
          <w:cantSplit/>
          <w:trHeight w:val="2948"/>
          <w:jc w:val="center"/>
        </w:trPr>
        <w:tc>
          <w:tcPr>
            <w:tcW w:w="3013" w:type="dxa"/>
            <w:shd w:val="clear" w:color="auto" w:fill="auto"/>
            <w:tcMar>
              <w:top w:w="28" w:type="dxa"/>
              <w:bottom w:w="28" w:type="dxa"/>
            </w:tcMar>
            <w:vAlign w:val="center"/>
          </w:tcPr>
          <w:p w14:paraId="46152C10" w14:textId="30F58DF6" w:rsidR="00184DA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MOLNUPIRAVIR</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200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Lagevrio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br/>
              <w:t>Merck Sharp &amp; Dohme (Australia) Pty Ltd</w:t>
            </w:r>
            <w:r w:rsidRPr="00015520">
              <w:rPr>
                <w:rFonts w:asciiTheme="minorHAnsi" w:hAnsiTheme="minorHAnsi" w:cstheme="minorHAnsi"/>
                <w:color w:val="000000"/>
                <w:sz w:val="18"/>
                <w:szCs w:val="18"/>
              </w:rPr>
              <w:br/>
            </w:r>
            <w:r w:rsidR="00122A1C">
              <w:rPr>
                <w:rFonts w:asciiTheme="minorHAnsi" w:hAnsiTheme="minorHAnsi" w:cstheme="minorHAnsi"/>
                <w:color w:val="000000"/>
                <w:sz w:val="18"/>
                <w:szCs w:val="18"/>
              </w:rPr>
              <w:t xml:space="preserve"> </w:t>
            </w:r>
          </w:p>
          <w:p w14:paraId="7203BD39" w14:textId="14A24247" w:rsidR="00897FAC" w:rsidRPr="00015520" w:rsidRDefault="001E2CF5"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outstanding</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147F369C" w14:textId="7501EC68"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Mild to moderate </w:t>
            </w:r>
            <w:r w:rsidR="00876E87" w:rsidRPr="00876E87">
              <w:rPr>
                <w:rFonts w:asciiTheme="minorHAnsi" w:hAnsiTheme="minorHAnsi" w:cstheme="minorHAnsi"/>
                <w:color w:val="000000"/>
                <w:sz w:val="18"/>
                <w:szCs w:val="18"/>
              </w:rPr>
              <w:t xml:space="preserve">Coronavirus disease </w:t>
            </w:r>
            <w:r w:rsidR="00876E87">
              <w:rPr>
                <w:rFonts w:asciiTheme="minorHAnsi" w:hAnsiTheme="minorHAnsi" w:cstheme="minorHAnsi"/>
                <w:color w:val="000000"/>
                <w:sz w:val="18"/>
                <w:szCs w:val="18"/>
              </w:rPr>
              <w:t>(</w:t>
            </w:r>
            <w:r w:rsidRPr="00015520">
              <w:rPr>
                <w:rFonts w:asciiTheme="minorHAnsi" w:hAnsiTheme="minorHAnsi" w:cstheme="minorHAnsi"/>
                <w:color w:val="000000"/>
                <w:sz w:val="18"/>
                <w:szCs w:val="18"/>
              </w:rPr>
              <w:t>COVID-19</w:t>
            </w:r>
            <w:r w:rsidR="00876E87">
              <w:rPr>
                <w:rFonts w:asciiTheme="minorHAnsi" w:hAnsiTheme="minorHAnsi" w:cstheme="minorHAnsi"/>
                <w:color w:val="000000"/>
                <w:sz w:val="18"/>
                <w:szCs w:val="18"/>
              </w:rPr>
              <w:t>)</w:t>
            </w:r>
          </w:p>
        </w:tc>
        <w:tc>
          <w:tcPr>
            <w:tcW w:w="3098" w:type="dxa"/>
            <w:shd w:val="clear" w:color="auto" w:fill="auto"/>
            <w:tcMar>
              <w:top w:w="28" w:type="dxa"/>
              <w:bottom w:w="28" w:type="dxa"/>
            </w:tcMar>
            <w:vAlign w:val="center"/>
          </w:tcPr>
          <w:p w14:paraId="6F5EBEBC" w14:textId="01F315F8"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for the treatment of high risk patients with mild to moderate COVID-19.</w:t>
            </w:r>
          </w:p>
        </w:tc>
        <w:tc>
          <w:tcPr>
            <w:tcW w:w="1920" w:type="dxa"/>
            <w:shd w:val="clear" w:color="auto" w:fill="auto"/>
            <w:vAlign w:val="center"/>
          </w:tcPr>
          <w:p w14:paraId="20C817C1" w14:textId="659E6EE8"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Advice Provided</w:t>
            </w:r>
          </w:p>
        </w:tc>
        <w:tc>
          <w:tcPr>
            <w:tcW w:w="4593" w:type="dxa"/>
            <w:shd w:val="clear" w:color="auto" w:fill="auto"/>
            <w:vAlign w:val="center"/>
          </w:tcPr>
          <w:p w14:paraId="3743F87E" w14:textId="764CCC30" w:rsidR="00897FAC" w:rsidRPr="00015520" w:rsidRDefault="00876E87" w:rsidP="008542C1">
            <w:pPr>
              <w:rPr>
                <w:rFonts w:asciiTheme="minorHAnsi" w:hAnsiTheme="minorHAnsi" w:cstheme="minorHAnsi"/>
                <w:color w:val="000000"/>
                <w:sz w:val="18"/>
                <w:szCs w:val="18"/>
              </w:rPr>
            </w:pPr>
            <w:r w:rsidRPr="00876E87">
              <w:rPr>
                <w:rFonts w:asciiTheme="minorHAnsi" w:hAnsiTheme="minorHAnsi" w:cstheme="minorHAnsi"/>
                <w:color w:val="000000"/>
                <w:sz w:val="18"/>
                <w:szCs w:val="18"/>
              </w:rPr>
              <w:t xml:space="preserve">The PBAC provided advice regarding </w:t>
            </w:r>
            <w:proofErr w:type="spellStart"/>
            <w:r w:rsidRPr="00876E87">
              <w:rPr>
                <w:rFonts w:asciiTheme="minorHAnsi" w:hAnsiTheme="minorHAnsi" w:cstheme="minorHAnsi"/>
                <w:color w:val="000000"/>
                <w:sz w:val="18"/>
                <w:szCs w:val="18"/>
              </w:rPr>
              <w:t>molnupiravir</w:t>
            </w:r>
            <w:proofErr w:type="spellEnd"/>
            <w:r w:rsidRPr="00876E87">
              <w:rPr>
                <w:rFonts w:asciiTheme="minorHAnsi" w:hAnsiTheme="minorHAnsi" w:cstheme="minorHAnsi"/>
                <w:color w:val="000000"/>
                <w:sz w:val="18"/>
                <w:szCs w:val="18"/>
              </w:rPr>
              <w:t xml:space="preserve"> for the treatment of patients with mild to moderate COVID-</w:t>
            </w:r>
            <w:r w:rsidR="00336CE8">
              <w:rPr>
                <w:rFonts w:asciiTheme="minorHAnsi" w:hAnsiTheme="minorHAnsi" w:cstheme="minorHAnsi"/>
                <w:color w:val="000000"/>
                <w:sz w:val="18"/>
                <w:szCs w:val="18"/>
              </w:rPr>
              <w:t> </w:t>
            </w:r>
            <w:r w:rsidRPr="00876E87">
              <w:rPr>
                <w:rFonts w:asciiTheme="minorHAnsi" w:hAnsiTheme="minorHAnsi" w:cstheme="minorHAnsi"/>
                <w:color w:val="000000"/>
                <w:sz w:val="18"/>
                <w:szCs w:val="18"/>
              </w:rPr>
              <w:t xml:space="preserve">19 who are at high risk of developing severe disease requiring hospitalisation. The PBAC advised that the sponsor’s submission did not adequately support </w:t>
            </w:r>
            <w:r w:rsidR="001A0295">
              <w:rPr>
                <w:rFonts w:asciiTheme="minorHAnsi" w:hAnsiTheme="minorHAnsi" w:cstheme="minorHAnsi"/>
                <w:color w:val="000000"/>
                <w:sz w:val="18"/>
                <w:szCs w:val="18"/>
              </w:rPr>
              <w:t xml:space="preserve">the </w:t>
            </w:r>
            <w:r w:rsidRPr="00876E87">
              <w:rPr>
                <w:rFonts w:asciiTheme="minorHAnsi" w:hAnsiTheme="minorHAnsi" w:cstheme="minorHAnsi"/>
                <w:color w:val="000000"/>
                <w:sz w:val="18"/>
                <w:szCs w:val="18"/>
              </w:rPr>
              <w:t xml:space="preserve">continuation of the current PBS listing </w:t>
            </w:r>
            <w:r w:rsidR="001C41DA">
              <w:rPr>
                <w:rFonts w:asciiTheme="minorHAnsi" w:hAnsiTheme="minorHAnsi" w:cstheme="minorHAnsi"/>
                <w:color w:val="000000"/>
                <w:sz w:val="18"/>
                <w:szCs w:val="18"/>
              </w:rPr>
              <w:t xml:space="preserve">and proposed price </w:t>
            </w:r>
            <w:r w:rsidRPr="00876E87">
              <w:rPr>
                <w:rFonts w:asciiTheme="minorHAnsi" w:hAnsiTheme="minorHAnsi" w:cstheme="minorHAnsi"/>
                <w:color w:val="000000"/>
                <w:sz w:val="18"/>
                <w:szCs w:val="18"/>
              </w:rPr>
              <w:t xml:space="preserve">of </w:t>
            </w:r>
            <w:proofErr w:type="spellStart"/>
            <w:r w:rsidRPr="00876E87">
              <w:rPr>
                <w:rFonts w:asciiTheme="minorHAnsi" w:hAnsiTheme="minorHAnsi" w:cstheme="minorHAnsi"/>
                <w:color w:val="000000"/>
                <w:sz w:val="18"/>
                <w:szCs w:val="18"/>
              </w:rPr>
              <w:t>molnupiravir</w:t>
            </w:r>
            <w:proofErr w:type="spellEnd"/>
            <w:r w:rsidRPr="00876E87">
              <w:rPr>
                <w:rFonts w:asciiTheme="minorHAnsi" w:hAnsiTheme="minorHAnsi" w:cstheme="minorHAnsi"/>
                <w:color w:val="000000"/>
                <w:sz w:val="18"/>
                <w:szCs w:val="18"/>
              </w:rPr>
              <w:t xml:space="preserve">, and that additional information is required to inform further consideration of this matter. The PBAC noted the continued toll of the pandemic and the disproportionate effects on older Australians despite vaccination, and the preference expressed by consumers, clinicians and public health experts to maintain </w:t>
            </w:r>
            <w:proofErr w:type="spellStart"/>
            <w:r w:rsidRPr="00876E87">
              <w:rPr>
                <w:rFonts w:asciiTheme="minorHAnsi" w:hAnsiTheme="minorHAnsi" w:cstheme="minorHAnsi"/>
                <w:color w:val="000000"/>
                <w:sz w:val="18"/>
                <w:szCs w:val="18"/>
              </w:rPr>
              <w:t>molnupiravir</w:t>
            </w:r>
            <w:proofErr w:type="spellEnd"/>
            <w:r w:rsidRPr="00876E87">
              <w:rPr>
                <w:rFonts w:asciiTheme="minorHAnsi" w:hAnsiTheme="minorHAnsi" w:cstheme="minorHAnsi"/>
                <w:color w:val="000000"/>
                <w:sz w:val="18"/>
                <w:szCs w:val="18"/>
              </w:rPr>
              <w:t xml:space="preserve"> on the PBS as an option for patients who could not use nirmatrelvir and ritonavir (Paxlovid</w:t>
            </w:r>
            <w:r>
              <w:rPr>
                <w:rFonts w:asciiTheme="minorHAnsi" w:hAnsiTheme="minorHAnsi" w:cstheme="minorHAnsi"/>
                <w:color w:val="000000"/>
                <w:sz w:val="18"/>
                <w:szCs w:val="18"/>
              </w:rPr>
              <w:t>®</w:t>
            </w:r>
            <w:r w:rsidRPr="00876E87">
              <w:rPr>
                <w:rFonts w:asciiTheme="minorHAnsi" w:hAnsiTheme="minorHAnsi" w:cstheme="minorHAnsi"/>
                <w:color w:val="000000"/>
                <w:sz w:val="18"/>
                <w:szCs w:val="18"/>
              </w:rPr>
              <w:t xml:space="preserve">). The PBAC considered all available evidence on the effectiveness and safety of </w:t>
            </w:r>
            <w:proofErr w:type="spellStart"/>
            <w:r w:rsidRPr="00876E87">
              <w:rPr>
                <w:rFonts w:asciiTheme="minorHAnsi" w:hAnsiTheme="minorHAnsi" w:cstheme="minorHAnsi"/>
                <w:color w:val="000000"/>
                <w:sz w:val="18"/>
                <w:szCs w:val="18"/>
              </w:rPr>
              <w:t>molnupiravir</w:t>
            </w:r>
            <w:proofErr w:type="spellEnd"/>
            <w:r w:rsidRPr="00876E87">
              <w:rPr>
                <w:rFonts w:asciiTheme="minorHAnsi" w:hAnsiTheme="minorHAnsi" w:cstheme="minorHAnsi"/>
                <w:color w:val="000000"/>
                <w:sz w:val="18"/>
                <w:szCs w:val="18"/>
              </w:rPr>
              <w:t xml:space="preserve"> including the randomised trials </w:t>
            </w:r>
            <w:proofErr w:type="spellStart"/>
            <w:r w:rsidRPr="00876E87">
              <w:rPr>
                <w:rFonts w:asciiTheme="minorHAnsi" w:hAnsiTheme="minorHAnsi" w:cstheme="minorHAnsi"/>
                <w:color w:val="000000"/>
                <w:sz w:val="18"/>
                <w:szCs w:val="18"/>
              </w:rPr>
              <w:t>MOVe</w:t>
            </w:r>
            <w:proofErr w:type="spellEnd"/>
            <w:r w:rsidRPr="00876E87">
              <w:rPr>
                <w:rFonts w:asciiTheme="minorHAnsi" w:hAnsiTheme="minorHAnsi" w:cstheme="minorHAnsi"/>
                <w:color w:val="000000"/>
                <w:sz w:val="18"/>
                <w:szCs w:val="18"/>
              </w:rPr>
              <w:t xml:space="preserve"> OUT and PANORAMIC and noted that the effectiveness in trials as measured by reductions in hospital admissions and mortality ranged between no effect and a modest benefit</w:t>
            </w:r>
            <w:r w:rsidR="001C41DA">
              <w:rPr>
                <w:rFonts w:asciiTheme="minorHAnsi" w:hAnsiTheme="minorHAnsi" w:cstheme="minorHAnsi"/>
                <w:color w:val="000000"/>
                <w:sz w:val="18"/>
                <w:szCs w:val="18"/>
              </w:rPr>
              <w:t>, PANORAMIC was not considered fully generalisable to the PBS population</w:t>
            </w:r>
            <w:r w:rsidRPr="00876E87">
              <w:rPr>
                <w:rFonts w:asciiTheme="minorHAnsi" w:hAnsiTheme="minorHAnsi" w:cstheme="minorHAnsi"/>
                <w:color w:val="000000"/>
                <w:sz w:val="18"/>
                <w:szCs w:val="18"/>
              </w:rPr>
              <w:t xml:space="preserve">. The PBAC noted that observational trials showed results consistent with modest benefits, noting that the observational trials were subject to a range of biases. The PBAC considered that the cost-effectiveness of </w:t>
            </w:r>
            <w:proofErr w:type="spellStart"/>
            <w:r w:rsidRPr="00876E87">
              <w:rPr>
                <w:rFonts w:asciiTheme="minorHAnsi" w:hAnsiTheme="minorHAnsi" w:cstheme="minorHAnsi"/>
                <w:color w:val="000000"/>
                <w:sz w:val="18"/>
                <w:szCs w:val="18"/>
              </w:rPr>
              <w:t>molnupiravir</w:t>
            </w:r>
            <w:proofErr w:type="spellEnd"/>
            <w:r w:rsidRPr="00876E87">
              <w:rPr>
                <w:rFonts w:asciiTheme="minorHAnsi" w:hAnsiTheme="minorHAnsi" w:cstheme="minorHAnsi"/>
                <w:color w:val="000000"/>
                <w:sz w:val="18"/>
                <w:szCs w:val="18"/>
              </w:rPr>
              <w:t xml:space="preserve"> was highly uncertain due to the uncertainty of effectiveness. The PBAC noted that the estimated utilisation and financial impact appeared to be very high relative to the current use (and given PBAC preference that this drug only be used where the more effective treatment (nirmatrelvir and ritonavir) is not suitable). Further clarification was also needed in the restriction regarding the limited patient groups where </w:t>
            </w:r>
            <w:proofErr w:type="spellStart"/>
            <w:r w:rsidRPr="00876E87">
              <w:rPr>
                <w:rFonts w:asciiTheme="minorHAnsi" w:hAnsiTheme="minorHAnsi" w:cstheme="minorHAnsi"/>
                <w:color w:val="000000"/>
                <w:sz w:val="18"/>
                <w:szCs w:val="18"/>
              </w:rPr>
              <w:t>molnupiravir</w:t>
            </w:r>
            <w:proofErr w:type="spellEnd"/>
            <w:r w:rsidRPr="00876E87">
              <w:rPr>
                <w:rFonts w:asciiTheme="minorHAnsi" w:hAnsiTheme="minorHAnsi" w:cstheme="minorHAnsi"/>
                <w:color w:val="000000"/>
                <w:sz w:val="18"/>
                <w:szCs w:val="18"/>
              </w:rPr>
              <w:t xml:space="preserve"> should be used. The PBAC noted that the current PBS listing would be maintained pending further consideration.</w:t>
            </w:r>
          </w:p>
        </w:tc>
      </w:tr>
      <w:tr w:rsidR="00897FAC" w:rsidRPr="00015520" w14:paraId="22F54673" w14:textId="77777777" w:rsidTr="00344CBB">
        <w:trPr>
          <w:cantSplit/>
          <w:trHeight w:val="2948"/>
          <w:jc w:val="center"/>
        </w:trPr>
        <w:tc>
          <w:tcPr>
            <w:tcW w:w="3013" w:type="dxa"/>
            <w:shd w:val="clear" w:color="auto" w:fill="auto"/>
            <w:tcMar>
              <w:top w:w="28" w:type="dxa"/>
              <w:bottom w:w="28" w:type="dxa"/>
            </w:tcMar>
            <w:vAlign w:val="center"/>
          </w:tcPr>
          <w:p w14:paraId="21A16AF3" w14:textId="2104F0FC"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NIRAPARIB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Zejula</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GlaxoSmithKline Australia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Matters outstanding</w:t>
            </w:r>
            <w:r w:rsidRPr="00015520">
              <w:rPr>
                <w:rFonts w:asciiTheme="minorHAnsi" w:hAnsiTheme="minorHAnsi" w:cstheme="minorHAnsi"/>
                <w:color w:val="000000"/>
                <w:sz w:val="18"/>
                <w:szCs w:val="18"/>
              </w:rPr>
              <w:br/>
              <w:t>(Change to PBS listing)</w:t>
            </w:r>
          </w:p>
        </w:tc>
        <w:tc>
          <w:tcPr>
            <w:tcW w:w="2764" w:type="dxa"/>
            <w:shd w:val="clear" w:color="auto" w:fill="auto"/>
            <w:vAlign w:val="center"/>
          </w:tcPr>
          <w:p w14:paraId="4890A30D" w14:textId="64295B5C"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Epithelial ovarian, fallopian tube, or primary peritoneal cancer</w:t>
            </w:r>
          </w:p>
        </w:tc>
        <w:tc>
          <w:tcPr>
            <w:tcW w:w="3098" w:type="dxa"/>
            <w:shd w:val="clear" w:color="auto" w:fill="auto"/>
            <w:tcMar>
              <w:top w:w="28" w:type="dxa"/>
              <w:bottom w:w="28" w:type="dxa"/>
            </w:tcMar>
            <w:vAlign w:val="center"/>
          </w:tcPr>
          <w:p w14:paraId="6FCBFB18" w14:textId="7EC3E6D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an expanded General Schedule Authority Required (</w:t>
            </w:r>
            <w:r w:rsidR="00BA7A25">
              <w:rPr>
                <w:rFonts w:asciiTheme="minorHAnsi" w:hAnsiTheme="minorHAnsi" w:cstheme="minorHAnsi"/>
                <w:color w:val="000000"/>
                <w:sz w:val="18"/>
                <w:szCs w:val="18"/>
              </w:rPr>
              <w:t>T</w:t>
            </w:r>
            <w:r w:rsidRPr="00015520">
              <w:rPr>
                <w:rFonts w:asciiTheme="minorHAnsi" w:hAnsiTheme="minorHAnsi" w:cstheme="minorHAnsi"/>
                <w:color w:val="000000"/>
                <w:sz w:val="18"/>
                <w:szCs w:val="18"/>
              </w:rPr>
              <w:t>elephone/</w:t>
            </w:r>
            <w:r w:rsidR="00BA7A25">
              <w:rPr>
                <w:rFonts w:asciiTheme="minorHAnsi" w:hAnsiTheme="minorHAnsi" w:cstheme="minorHAnsi"/>
                <w:color w:val="000000"/>
                <w:sz w:val="18"/>
                <w:szCs w:val="18"/>
              </w:rPr>
              <w:t>O</w:t>
            </w:r>
            <w:r w:rsidRPr="00015520">
              <w:rPr>
                <w:rFonts w:asciiTheme="minorHAnsi" w:hAnsiTheme="minorHAnsi" w:cstheme="minorHAnsi"/>
                <w:color w:val="000000"/>
                <w:sz w:val="18"/>
                <w:szCs w:val="18"/>
              </w:rPr>
              <w:t xml:space="preserve">nline) listing for the treatment of newly diagnosed, homologous recombination deficiency (HRD) positive, </w:t>
            </w:r>
            <w:r w:rsidR="00701816" w:rsidRPr="00701816">
              <w:rPr>
                <w:rFonts w:asciiTheme="minorHAnsi" w:hAnsiTheme="minorHAnsi" w:cstheme="minorHAnsi"/>
                <w:color w:val="000000"/>
                <w:sz w:val="18"/>
                <w:szCs w:val="18"/>
              </w:rPr>
              <w:t xml:space="preserve">breast cancer gene </w:t>
            </w:r>
            <w:r w:rsidRPr="00015520">
              <w:rPr>
                <w:rFonts w:asciiTheme="minorHAnsi" w:hAnsiTheme="minorHAnsi" w:cstheme="minorHAnsi"/>
                <w:color w:val="000000"/>
                <w:sz w:val="18"/>
                <w:szCs w:val="18"/>
              </w:rPr>
              <w:t>wild type (</w:t>
            </w:r>
            <w:proofErr w:type="spellStart"/>
            <w:r w:rsidRPr="00015520">
              <w:rPr>
                <w:rFonts w:asciiTheme="minorHAnsi" w:hAnsiTheme="minorHAnsi" w:cstheme="minorHAnsi"/>
                <w:color w:val="000000"/>
                <w:sz w:val="18"/>
                <w:szCs w:val="18"/>
              </w:rPr>
              <w:t>BRCAwt</w:t>
            </w:r>
            <w:proofErr w:type="spellEnd"/>
            <w:r w:rsidRPr="00015520">
              <w:rPr>
                <w:rFonts w:asciiTheme="minorHAnsi" w:hAnsiTheme="minorHAnsi" w:cstheme="minorHAnsi"/>
                <w:color w:val="000000"/>
                <w:sz w:val="18"/>
                <w:szCs w:val="18"/>
              </w:rPr>
              <w:t>) advanced (FIGO Stage III-IV) high-grade epithelial ovarian, fallopian tube or primary peritoneal cancer, as deferred at the March 2023 PBAC meeting.</w:t>
            </w:r>
          </w:p>
        </w:tc>
        <w:tc>
          <w:tcPr>
            <w:tcW w:w="1920" w:type="dxa"/>
            <w:shd w:val="clear" w:color="auto" w:fill="auto"/>
            <w:vAlign w:val="center"/>
          </w:tcPr>
          <w:p w14:paraId="7F6CAB98" w14:textId="7C078A34"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06FFEB5F" w14:textId="12C6E0B6"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niraparib for maintenance therapy in patients with newly diagnosed HRD positive </w:t>
            </w:r>
            <w:proofErr w:type="spellStart"/>
            <w:r w:rsidRPr="00015520">
              <w:rPr>
                <w:rFonts w:asciiTheme="minorHAnsi" w:hAnsiTheme="minorHAnsi" w:cstheme="minorHAnsi"/>
                <w:color w:val="000000"/>
                <w:sz w:val="18"/>
                <w:szCs w:val="18"/>
              </w:rPr>
              <w:t>BRCA</w:t>
            </w:r>
            <w:r w:rsidR="007866B1">
              <w:rPr>
                <w:rFonts w:asciiTheme="minorHAnsi" w:hAnsiTheme="minorHAnsi" w:cstheme="minorHAnsi"/>
                <w:color w:val="000000"/>
                <w:sz w:val="18"/>
                <w:szCs w:val="18"/>
              </w:rPr>
              <w:t>wt</w:t>
            </w:r>
            <w:proofErr w:type="spellEnd"/>
            <w:r w:rsidR="009F2516">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advanced epithelial ovarian, fallopian tube or primary peritoneal cancer. The PBAC noted that it had deferred its decision on whether to recommend the proposed listing at the March 2023 PBAC meeting, pending MSAC consideration of HRD testing.</w:t>
            </w:r>
            <w:r w:rsidR="001E2CF5">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Consistent with its March 2023 advice, the PBAC considered that niraparib is likely to be non-inferior to </w:t>
            </w:r>
            <w:proofErr w:type="spellStart"/>
            <w:r w:rsidRPr="00015520">
              <w:rPr>
                <w:rFonts w:asciiTheme="minorHAnsi" w:hAnsiTheme="minorHAnsi" w:cstheme="minorHAnsi"/>
                <w:color w:val="000000"/>
                <w:sz w:val="18"/>
                <w:szCs w:val="18"/>
              </w:rPr>
              <w:t>olaparib</w:t>
            </w:r>
            <w:proofErr w:type="spellEnd"/>
            <w:r w:rsidRPr="00015520">
              <w:rPr>
                <w:rFonts w:asciiTheme="minorHAnsi" w:hAnsiTheme="minorHAnsi" w:cstheme="minorHAnsi"/>
                <w:color w:val="000000"/>
                <w:sz w:val="18"/>
                <w:szCs w:val="18"/>
              </w:rPr>
              <w:t xml:space="preserve"> in the HRD positive </w:t>
            </w:r>
            <w:proofErr w:type="spellStart"/>
            <w:r w:rsidRPr="00015520">
              <w:rPr>
                <w:rFonts w:asciiTheme="minorHAnsi" w:hAnsiTheme="minorHAnsi" w:cstheme="minorHAnsi"/>
                <w:color w:val="000000"/>
                <w:sz w:val="18"/>
                <w:szCs w:val="18"/>
              </w:rPr>
              <w:t>BRCA</w:t>
            </w:r>
            <w:r w:rsidR="007866B1">
              <w:rPr>
                <w:rFonts w:asciiTheme="minorHAnsi" w:hAnsiTheme="minorHAnsi" w:cstheme="minorHAnsi"/>
                <w:color w:val="000000"/>
                <w:sz w:val="18"/>
                <w:szCs w:val="18"/>
              </w:rPr>
              <w:t>wt</w:t>
            </w:r>
            <w:proofErr w:type="spellEnd"/>
            <w:r w:rsidRPr="00015520">
              <w:rPr>
                <w:rFonts w:asciiTheme="minorHAnsi" w:hAnsiTheme="minorHAnsi" w:cstheme="minorHAnsi"/>
                <w:color w:val="000000"/>
                <w:sz w:val="18"/>
                <w:szCs w:val="18"/>
              </w:rPr>
              <w:t xml:space="preserve"> setting, as previously accepted in the BRCA</w:t>
            </w:r>
            <w:r w:rsidR="00D30DAC">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m</w:t>
            </w:r>
            <w:r w:rsidR="00D30DAC">
              <w:rPr>
                <w:rFonts w:asciiTheme="minorHAnsi" w:hAnsiTheme="minorHAnsi" w:cstheme="minorHAnsi"/>
                <w:color w:val="000000"/>
                <w:sz w:val="18"/>
                <w:szCs w:val="18"/>
              </w:rPr>
              <w:t>utation</w:t>
            </w:r>
            <w:r w:rsidRPr="00015520">
              <w:rPr>
                <w:rFonts w:asciiTheme="minorHAnsi" w:hAnsiTheme="minorHAnsi" w:cstheme="minorHAnsi"/>
                <w:color w:val="000000"/>
                <w:sz w:val="18"/>
                <w:szCs w:val="18"/>
              </w:rPr>
              <w:t xml:space="preserve"> setting and therefore could be recommended on the basis of cost-minimisation versus </w:t>
            </w:r>
            <w:proofErr w:type="spellStart"/>
            <w:r w:rsidRPr="00015520">
              <w:rPr>
                <w:rFonts w:asciiTheme="minorHAnsi" w:hAnsiTheme="minorHAnsi" w:cstheme="minorHAnsi"/>
                <w:color w:val="000000"/>
                <w:sz w:val="18"/>
                <w:szCs w:val="18"/>
              </w:rPr>
              <w:t>olaparib</w:t>
            </w:r>
            <w:proofErr w:type="spellEnd"/>
            <w:r w:rsidRPr="00015520">
              <w:rPr>
                <w:rFonts w:asciiTheme="minorHAnsi" w:hAnsiTheme="minorHAnsi" w:cstheme="minorHAnsi"/>
                <w:color w:val="000000"/>
                <w:sz w:val="18"/>
                <w:szCs w:val="18"/>
              </w:rPr>
              <w:t xml:space="preserve"> in the event that </w:t>
            </w:r>
            <w:proofErr w:type="spellStart"/>
            <w:r w:rsidRPr="00015520">
              <w:rPr>
                <w:rFonts w:asciiTheme="minorHAnsi" w:hAnsiTheme="minorHAnsi" w:cstheme="minorHAnsi"/>
                <w:color w:val="000000"/>
                <w:sz w:val="18"/>
                <w:szCs w:val="18"/>
              </w:rPr>
              <w:t>olaparib</w:t>
            </w:r>
            <w:proofErr w:type="spellEnd"/>
            <w:r w:rsidRPr="00015520">
              <w:rPr>
                <w:rFonts w:asciiTheme="minorHAnsi" w:hAnsiTheme="minorHAnsi" w:cstheme="minorHAnsi"/>
                <w:color w:val="000000"/>
                <w:sz w:val="18"/>
                <w:szCs w:val="18"/>
              </w:rPr>
              <w:t xml:space="preserve"> is listed on the PBS for patients with HRD-positive </w:t>
            </w:r>
            <w:proofErr w:type="spellStart"/>
            <w:r w:rsidRPr="00015520">
              <w:rPr>
                <w:rFonts w:asciiTheme="minorHAnsi" w:hAnsiTheme="minorHAnsi" w:cstheme="minorHAnsi"/>
                <w:color w:val="000000"/>
                <w:sz w:val="18"/>
                <w:szCs w:val="18"/>
              </w:rPr>
              <w:t>BRCAwt</w:t>
            </w:r>
            <w:proofErr w:type="spellEnd"/>
            <w:r w:rsidRPr="00015520">
              <w:rPr>
                <w:rFonts w:asciiTheme="minorHAnsi" w:hAnsiTheme="minorHAnsi" w:cstheme="minorHAnsi"/>
                <w:color w:val="000000"/>
                <w:sz w:val="18"/>
                <w:szCs w:val="18"/>
              </w:rPr>
              <w:t xml:space="preserve"> ovarian cancer.</w:t>
            </w:r>
            <w:r w:rsidR="001E2CF5">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The PBAC considered that the outstanding issues were satisfactorily resolved by the revised restriction, revised </w:t>
            </w:r>
            <w:r w:rsidR="001E2CF5">
              <w:rPr>
                <w:rFonts w:asciiTheme="minorHAnsi" w:hAnsiTheme="minorHAnsi" w:cstheme="minorHAnsi"/>
                <w:color w:val="000000"/>
                <w:sz w:val="18"/>
                <w:szCs w:val="18"/>
              </w:rPr>
              <w:t xml:space="preserve">cost-minimisation analysis </w:t>
            </w:r>
            <w:r w:rsidRPr="00015520">
              <w:rPr>
                <w:rFonts w:asciiTheme="minorHAnsi" w:hAnsiTheme="minorHAnsi" w:cstheme="minorHAnsi"/>
                <w:color w:val="000000"/>
                <w:sz w:val="18"/>
                <w:szCs w:val="18"/>
              </w:rPr>
              <w:t>and recalculated financial estimates provided by the sponsor.</w:t>
            </w:r>
            <w:r w:rsidR="001E2CF5">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The PBAC noted that the MSAC had recommended HRD testing for determination of eligibility for </w:t>
            </w:r>
            <w:r w:rsidR="00615053" w:rsidRPr="00615053">
              <w:rPr>
                <w:rFonts w:asciiTheme="minorHAnsi" w:hAnsiTheme="minorHAnsi" w:cstheme="minorHAnsi"/>
                <w:color w:val="000000"/>
                <w:sz w:val="18"/>
                <w:szCs w:val="18"/>
              </w:rPr>
              <w:t xml:space="preserve">poly-ADP ribose polymerase </w:t>
            </w:r>
            <w:r w:rsidR="00615053">
              <w:rPr>
                <w:rFonts w:asciiTheme="minorHAnsi" w:hAnsiTheme="minorHAnsi" w:cstheme="minorHAnsi"/>
                <w:color w:val="000000"/>
                <w:sz w:val="18"/>
                <w:szCs w:val="18"/>
              </w:rPr>
              <w:t xml:space="preserve">inhibitors </w:t>
            </w:r>
            <w:r w:rsidRPr="00015520">
              <w:rPr>
                <w:rFonts w:asciiTheme="minorHAnsi" w:hAnsiTheme="minorHAnsi" w:cstheme="minorHAnsi"/>
                <w:color w:val="000000"/>
                <w:sz w:val="18"/>
                <w:szCs w:val="18"/>
              </w:rPr>
              <w:t>for this indication at the March</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MSAC meeting.</w:t>
            </w:r>
          </w:p>
        </w:tc>
      </w:tr>
      <w:tr w:rsidR="00897FAC" w:rsidRPr="00015520" w14:paraId="4F8DF70B" w14:textId="77777777" w:rsidTr="00344CBB">
        <w:trPr>
          <w:cantSplit/>
          <w:trHeight w:val="2948"/>
          <w:jc w:val="center"/>
        </w:trPr>
        <w:tc>
          <w:tcPr>
            <w:tcW w:w="3013" w:type="dxa"/>
            <w:shd w:val="clear" w:color="auto" w:fill="auto"/>
            <w:tcMar>
              <w:top w:w="28" w:type="dxa"/>
              <w:bottom w:w="28" w:type="dxa"/>
            </w:tcMar>
            <w:vAlign w:val="center"/>
          </w:tcPr>
          <w:p w14:paraId="3A3602C1" w14:textId="46675EA3" w:rsidR="0031005D"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NIVOLUMAB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concentrate for I.V. infusion 40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4</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t>Injection concentrate for I.V. infusion 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Opdivo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Bristol-Myers Squibb Australia Pty Ltd</w:t>
            </w:r>
            <w:r w:rsidRPr="00015520">
              <w:rPr>
                <w:rFonts w:asciiTheme="minorHAnsi" w:hAnsiTheme="minorHAnsi" w:cstheme="minorHAnsi"/>
                <w:color w:val="000000"/>
                <w:sz w:val="18"/>
                <w:szCs w:val="18"/>
              </w:rPr>
              <w:br/>
            </w:r>
          </w:p>
          <w:p w14:paraId="3C28BD58" w14:textId="2F5307FD" w:rsidR="00897FAC" w:rsidRPr="00015520" w:rsidRDefault="0031005D"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01F4B9EE" w14:textId="0A6915DE"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Non-small cell lung cancer</w:t>
            </w:r>
            <w:r w:rsidR="00615053">
              <w:rPr>
                <w:rFonts w:asciiTheme="minorHAnsi" w:hAnsiTheme="minorHAnsi" w:cstheme="minorHAnsi"/>
                <w:color w:val="000000"/>
                <w:sz w:val="18"/>
                <w:szCs w:val="18"/>
              </w:rPr>
              <w:t xml:space="preserve"> </w:t>
            </w:r>
            <w:r w:rsidR="00615053" w:rsidRPr="00015520">
              <w:rPr>
                <w:rFonts w:asciiTheme="minorHAnsi" w:hAnsiTheme="minorHAnsi" w:cstheme="minorHAnsi"/>
                <w:color w:val="000000"/>
                <w:sz w:val="18"/>
                <w:szCs w:val="18"/>
              </w:rPr>
              <w:t>(NSCLC)</w:t>
            </w:r>
          </w:p>
        </w:tc>
        <w:tc>
          <w:tcPr>
            <w:tcW w:w="3098" w:type="dxa"/>
            <w:shd w:val="clear" w:color="auto" w:fill="auto"/>
            <w:tcMar>
              <w:top w:w="28" w:type="dxa"/>
              <w:bottom w:w="28" w:type="dxa"/>
            </w:tcMar>
            <w:vAlign w:val="center"/>
          </w:tcPr>
          <w:p w14:paraId="248D9496" w14:textId="3CC78D92"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Resubmission to request a Section 100 (Efficient Funding of Chemotherapy) Authority Required (STREAMLINED) listing for the neoadjuvant treatment of </w:t>
            </w:r>
            <w:proofErr w:type="spellStart"/>
            <w:r w:rsidRPr="00015520">
              <w:rPr>
                <w:rFonts w:asciiTheme="minorHAnsi" w:hAnsiTheme="minorHAnsi" w:cstheme="minorHAnsi"/>
                <w:color w:val="000000"/>
                <w:sz w:val="18"/>
                <w:szCs w:val="18"/>
              </w:rPr>
              <w:t>resectable</w:t>
            </w:r>
            <w:proofErr w:type="spellEnd"/>
            <w:r w:rsidRPr="00015520">
              <w:rPr>
                <w:rFonts w:asciiTheme="minorHAnsi" w:hAnsiTheme="minorHAnsi" w:cstheme="minorHAnsi"/>
                <w:color w:val="000000"/>
                <w:sz w:val="18"/>
                <w:szCs w:val="18"/>
              </w:rPr>
              <w:t xml:space="preserve"> NSCLC.</w:t>
            </w:r>
          </w:p>
        </w:tc>
        <w:tc>
          <w:tcPr>
            <w:tcW w:w="1920" w:type="dxa"/>
            <w:shd w:val="clear" w:color="auto" w:fill="auto"/>
            <w:vAlign w:val="center"/>
          </w:tcPr>
          <w:p w14:paraId="668A1004" w14:textId="04CF01B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59954BE8" w14:textId="7A4809E7"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the listing of nivolumab in combination with chemotherapy for the neoadjuvant treatment of patients with </w:t>
            </w:r>
            <w:proofErr w:type="spellStart"/>
            <w:r w:rsidRPr="00015520">
              <w:rPr>
                <w:rFonts w:asciiTheme="minorHAnsi" w:hAnsiTheme="minorHAnsi" w:cstheme="minorHAnsi"/>
                <w:color w:val="000000"/>
                <w:sz w:val="18"/>
                <w:szCs w:val="18"/>
              </w:rPr>
              <w:t>resectable</w:t>
            </w:r>
            <w:proofErr w:type="spellEnd"/>
            <w:r w:rsidRPr="00015520">
              <w:rPr>
                <w:rFonts w:asciiTheme="minorHAnsi" w:hAnsiTheme="minorHAnsi" w:cstheme="minorHAnsi"/>
                <w:color w:val="000000"/>
                <w:sz w:val="18"/>
                <w:szCs w:val="18"/>
              </w:rPr>
              <w:t xml:space="preserve"> NSCLC. The PBAC considered that the amendments made in the resubmission, including the exclusion of patients with known sensitising epidermal growth factor receptor mutations or anaplastic lymphoma kinase alterations, changes to the economic evaluation and a reduced price had sufficiently addressed the Committee’s previous concerns. However, the PBAC considered the utilisation of nivolumab was overestimated and the cost-offsets associated with the current use of immunotherapy in the financial estimates remained underestimated in part due to not accounting for repeat use of immunotherapy in the metastatic setting being precluded. The PBAC considered it would be appropriate to include nivolumab for the proposed population in the current risk sharing arrangement in place for immunotherapies for NSCLC with an increase in the financial caps consistent with the revised financial estimates accepted by the Committee.</w:t>
            </w:r>
          </w:p>
        </w:tc>
      </w:tr>
      <w:tr w:rsidR="00897FAC" w:rsidRPr="00015520" w14:paraId="45978DAE" w14:textId="77777777" w:rsidTr="00344CBB">
        <w:trPr>
          <w:cantSplit/>
          <w:trHeight w:val="2948"/>
          <w:jc w:val="center"/>
        </w:trPr>
        <w:tc>
          <w:tcPr>
            <w:tcW w:w="3013" w:type="dxa"/>
            <w:shd w:val="clear" w:color="auto" w:fill="auto"/>
            <w:tcMar>
              <w:top w:w="28" w:type="dxa"/>
              <w:bottom w:w="28" w:type="dxa"/>
            </w:tcMar>
            <w:vAlign w:val="center"/>
          </w:tcPr>
          <w:p w14:paraId="728B2D41" w14:textId="7FE72800" w:rsidR="003B0DFF" w:rsidRPr="003B0DFF" w:rsidRDefault="00897FAC" w:rsidP="003B0DFF">
            <w:pPr>
              <w:keepLines/>
              <w:jc w:val="center"/>
              <w:rPr>
                <w:rFonts w:asciiTheme="minorHAnsi" w:hAnsiTheme="minorHAnsi" w:cstheme="minorHAnsi"/>
                <w:color w:val="000000"/>
                <w:sz w:val="18"/>
                <w:szCs w:val="18"/>
              </w:rPr>
            </w:pPr>
            <w:bookmarkStart w:id="2" w:name="_Hlk141955464"/>
            <w:r w:rsidRPr="00015520">
              <w:rPr>
                <w:rFonts w:asciiTheme="minorHAnsi" w:hAnsiTheme="minorHAnsi" w:cstheme="minorHAnsi"/>
                <w:color w:val="000000"/>
                <w:sz w:val="18"/>
                <w:szCs w:val="18"/>
              </w:rPr>
              <w:t xml:space="preserve">NIVOLUMAB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concentrate for I.V. infusion 40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4</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Injection concentrate for I.V. infusion 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Opdivo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Bristol-Myers Squibb Australia Pty Ltd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3B0DFF" w:rsidRPr="003B0DFF">
              <w:rPr>
                <w:rFonts w:asciiTheme="minorHAnsi" w:hAnsiTheme="minorHAnsi" w:cstheme="minorHAnsi"/>
                <w:color w:val="000000"/>
                <w:sz w:val="18"/>
                <w:szCs w:val="18"/>
              </w:rPr>
              <w:t>Department of Health</w:t>
            </w:r>
            <w:r w:rsidR="00EB2737">
              <w:rPr>
                <w:rFonts w:asciiTheme="minorHAnsi" w:hAnsiTheme="minorHAnsi" w:cstheme="minorHAnsi"/>
                <w:color w:val="000000"/>
                <w:sz w:val="18"/>
                <w:szCs w:val="18"/>
              </w:rPr>
              <w:t xml:space="preserve"> and Aged Care</w:t>
            </w:r>
          </w:p>
          <w:p w14:paraId="237D85B8" w14:textId="62865BEE" w:rsidR="00897FAC" w:rsidRPr="00015520" w:rsidRDefault="003B0DFF" w:rsidP="003B0DFF">
            <w:pPr>
              <w:keepLines/>
              <w:jc w:val="center"/>
              <w:rPr>
                <w:rFonts w:asciiTheme="minorHAnsi" w:hAnsiTheme="minorHAnsi" w:cstheme="minorHAnsi"/>
                <w:color w:val="000000"/>
                <w:sz w:val="18"/>
                <w:szCs w:val="18"/>
              </w:rPr>
            </w:pPr>
            <w:r w:rsidRPr="003B0DFF">
              <w:rPr>
                <w:rFonts w:asciiTheme="minorHAnsi" w:hAnsiTheme="minorHAnsi" w:cstheme="minorHAnsi"/>
                <w:color w:val="000000"/>
                <w:sz w:val="18"/>
                <w:szCs w:val="18"/>
              </w:rPr>
              <w:t>(Commonwealth)</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217F9958" w14:textId="01EF6421"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Gastro-oesophageal cancers</w:t>
            </w:r>
          </w:p>
        </w:tc>
        <w:tc>
          <w:tcPr>
            <w:tcW w:w="3098" w:type="dxa"/>
            <w:shd w:val="clear" w:color="auto" w:fill="auto"/>
            <w:tcMar>
              <w:top w:w="28" w:type="dxa"/>
              <w:bottom w:w="28" w:type="dxa"/>
            </w:tcMar>
            <w:vAlign w:val="center"/>
          </w:tcPr>
          <w:p w14:paraId="372A92F8" w14:textId="0A52331B" w:rsidR="00897FAC" w:rsidRPr="00015520" w:rsidRDefault="006D4E9E" w:rsidP="00851AFC">
            <w:pPr>
              <w:pStyle w:val="ListParagraph"/>
              <w:ind w:left="0"/>
              <w:jc w:val="center"/>
              <w:rPr>
                <w:rFonts w:asciiTheme="minorHAnsi" w:hAnsiTheme="minorHAnsi" w:cstheme="minorHAnsi"/>
                <w:color w:val="000000"/>
                <w:sz w:val="18"/>
                <w:szCs w:val="18"/>
              </w:rPr>
            </w:pPr>
            <w:r>
              <w:rPr>
                <w:rFonts w:ascii="Calibri" w:hAnsi="Calibri"/>
                <w:color w:val="000000"/>
                <w:sz w:val="18"/>
                <w:szCs w:val="18"/>
              </w:rPr>
              <w:t>To consider an amendment to the current PBS restriction for nivolumab to ensure first-line subsidised access for all patients with advanced</w:t>
            </w:r>
            <w:r w:rsidR="00CA105A">
              <w:rPr>
                <w:rFonts w:ascii="Calibri" w:hAnsi="Calibri"/>
                <w:color w:val="000000"/>
                <w:sz w:val="18"/>
                <w:szCs w:val="18"/>
              </w:rPr>
              <w:t xml:space="preserve"> or</w:t>
            </w:r>
            <w:r w:rsidR="00115C32">
              <w:rPr>
                <w:rFonts w:ascii="Calibri" w:hAnsi="Calibri"/>
                <w:color w:val="000000"/>
                <w:sz w:val="18"/>
                <w:szCs w:val="18"/>
              </w:rPr>
              <w:t xml:space="preserve"> </w:t>
            </w:r>
            <w:r>
              <w:rPr>
                <w:rFonts w:ascii="Calibri" w:hAnsi="Calibri"/>
                <w:color w:val="000000"/>
                <w:sz w:val="18"/>
                <w:szCs w:val="18"/>
              </w:rPr>
              <w:t xml:space="preserve">metastatic oesophageal cancers, in addition to </w:t>
            </w:r>
            <w:r w:rsidR="001E2CF5" w:rsidRPr="00015520">
              <w:rPr>
                <w:rFonts w:asciiTheme="minorHAnsi" w:hAnsiTheme="minorHAnsi" w:cstheme="minorHAnsi"/>
                <w:color w:val="000000"/>
                <w:sz w:val="18"/>
                <w:szCs w:val="18"/>
              </w:rPr>
              <w:t xml:space="preserve">human epidermal growth factor receptor-2 negative </w:t>
            </w:r>
            <w:r>
              <w:rPr>
                <w:rFonts w:ascii="Calibri" w:hAnsi="Calibri"/>
                <w:color w:val="000000"/>
                <w:sz w:val="18"/>
                <w:szCs w:val="18"/>
              </w:rPr>
              <w:t>gastro-oesophageal junction</w:t>
            </w:r>
            <w:r w:rsidR="00CA105A">
              <w:rPr>
                <w:rFonts w:ascii="Calibri" w:hAnsi="Calibri"/>
                <w:color w:val="000000"/>
                <w:sz w:val="18"/>
                <w:szCs w:val="18"/>
              </w:rPr>
              <w:t xml:space="preserve"> </w:t>
            </w:r>
            <w:r w:rsidR="00115C32">
              <w:rPr>
                <w:rFonts w:ascii="Calibri" w:hAnsi="Calibri"/>
                <w:color w:val="000000"/>
                <w:sz w:val="18"/>
                <w:szCs w:val="18"/>
              </w:rPr>
              <w:t>or gastric</w:t>
            </w:r>
            <w:r>
              <w:rPr>
                <w:rFonts w:ascii="Calibri" w:hAnsi="Calibri"/>
                <w:color w:val="000000"/>
                <w:sz w:val="18"/>
                <w:szCs w:val="18"/>
              </w:rPr>
              <w:t xml:space="preserve"> adenocarcinomas.</w:t>
            </w:r>
          </w:p>
        </w:tc>
        <w:tc>
          <w:tcPr>
            <w:tcW w:w="1920" w:type="dxa"/>
            <w:shd w:val="clear" w:color="auto" w:fill="auto"/>
            <w:vAlign w:val="center"/>
          </w:tcPr>
          <w:p w14:paraId="7755114D" w14:textId="6A2E7A2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1F1C40C8" w14:textId="67A1D146" w:rsidR="001E6EC5" w:rsidRDefault="001E6EC5" w:rsidP="008542C1">
            <w:pPr>
              <w:rPr>
                <w:rFonts w:asciiTheme="minorHAnsi" w:hAnsiTheme="minorHAnsi" w:cstheme="minorHAnsi"/>
                <w:color w:val="000000"/>
                <w:sz w:val="18"/>
                <w:szCs w:val="18"/>
              </w:rPr>
            </w:pPr>
            <w:r w:rsidRPr="006D4E9E">
              <w:rPr>
                <w:rFonts w:asciiTheme="minorHAnsi" w:hAnsiTheme="minorHAnsi" w:cstheme="minorHAnsi"/>
                <w:color w:val="000000"/>
                <w:sz w:val="18"/>
                <w:szCs w:val="18"/>
              </w:rPr>
              <w:t>The PBAC recommended that the current PBS listing for nivolumab be amended to include all patients with squamous cell carcinoma of the oesophagus.</w:t>
            </w:r>
          </w:p>
          <w:p w14:paraId="4AAEF0FF" w14:textId="77777777" w:rsidR="001E6EC5" w:rsidRDefault="001E6EC5" w:rsidP="008542C1">
            <w:pPr>
              <w:rPr>
                <w:rFonts w:asciiTheme="minorHAnsi" w:hAnsiTheme="minorHAnsi" w:cstheme="minorHAnsi"/>
                <w:color w:val="000000"/>
                <w:sz w:val="18"/>
                <w:szCs w:val="18"/>
              </w:rPr>
            </w:pPr>
          </w:p>
          <w:p w14:paraId="1585B5AE" w14:textId="3C0D9D8B" w:rsidR="006D4E9E"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recalled it had previously noted differences in design and patient populations across the pembrolizumab and nivolumab trials in gastro</w:t>
            </w:r>
            <w:r w:rsidR="00CA105A">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CA105A">
              <w:rPr>
                <w:rFonts w:asciiTheme="minorHAnsi" w:hAnsiTheme="minorHAnsi" w:cstheme="minorHAnsi"/>
                <w:color w:val="000000"/>
                <w:sz w:val="18"/>
                <w:szCs w:val="18"/>
              </w:rPr>
              <w:t> </w:t>
            </w:r>
            <w:r w:rsidRPr="00015520">
              <w:rPr>
                <w:rFonts w:asciiTheme="minorHAnsi" w:hAnsiTheme="minorHAnsi" w:cstheme="minorHAnsi"/>
                <w:color w:val="000000"/>
                <w:sz w:val="18"/>
                <w:szCs w:val="18"/>
              </w:rPr>
              <w:t>oesophageal cancers, but considered that, overall, there was unlikely to be any difference between pembrolizumab and nivolumab in clinical practice for the first line treatment of gastro-oesophageal cancers in terms of clinical benefit, tolerability and treatment duration.</w:t>
            </w:r>
          </w:p>
        </w:tc>
      </w:tr>
      <w:bookmarkEnd w:id="2"/>
      <w:tr w:rsidR="00897FAC" w:rsidRPr="00015520" w14:paraId="5295E92B" w14:textId="77777777" w:rsidTr="00344CBB">
        <w:trPr>
          <w:cantSplit/>
          <w:trHeight w:val="2948"/>
          <w:jc w:val="center"/>
        </w:trPr>
        <w:tc>
          <w:tcPr>
            <w:tcW w:w="3013" w:type="dxa"/>
            <w:shd w:val="clear" w:color="auto" w:fill="auto"/>
            <w:tcMar>
              <w:top w:w="28" w:type="dxa"/>
              <w:bottom w:w="28" w:type="dxa"/>
            </w:tcMar>
            <w:vAlign w:val="center"/>
          </w:tcPr>
          <w:p w14:paraId="325BD71A" w14:textId="3B67701A" w:rsidR="00A31498" w:rsidRPr="00D17BF1" w:rsidRDefault="00897FAC" w:rsidP="008542C1">
            <w:pPr>
              <w:keepLines/>
              <w:jc w:val="center"/>
              <w:rPr>
                <w:rFonts w:asciiTheme="minorHAnsi" w:hAnsiTheme="minorHAnsi" w:cstheme="minorHAnsi"/>
                <w:color w:val="000000"/>
                <w:sz w:val="18"/>
                <w:szCs w:val="18"/>
              </w:rPr>
            </w:pPr>
            <w:r w:rsidRPr="00D17BF1">
              <w:rPr>
                <w:rFonts w:asciiTheme="minorHAnsi" w:hAnsiTheme="minorHAnsi" w:cstheme="minorHAnsi"/>
                <w:color w:val="000000"/>
                <w:sz w:val="18"/>
                <w:szCs w:val="18"/>
              </w:rPr>
              <w:lastRenderedPageBreak/>
              <w:t>NUSINERSEN</w:t>
            </w:r>
            <w:r w:rsidRPr="00D17BF1">
              <w:rPr>
                <w:rFonts w:asciiTheme="minorHAnsi" w:hAnsiTheme="minorHAnsi" w:cstheme="minorHAnsi"/>
                <w:color w:val="000000"/>
                <w:sz w:val="18"/>
                <w:szCs w:val="18"/>
              </w:rPr>
              <w:br/>
            </w:r>
            <w:r w:rsidRPr="00D17BF1">
              <w:rPr>
                <w:rFonts w:asciiTheme="minorHAnsi" w:hAnsiTheme="minorHAnsi" w:cstheme="minorHAnsi"/>
                <w:color w:val="000000"/>
                <w:sz w:val="18"/>
                <w:szCs w:val="18"/>
              </w:rPr>
              <w:br/>
              <w:t>Solution for injection 12</w:t>
            </w:r>
            <w:r w:rsidR="006E1BA4">
              <w:rPr>
                <w:rFonts w:asciiTheme="minorHAnsi" w:hAnsiTheme="minorHAnsi" w:cstheme="minorHAnsi"/>
                <w:color w:val="000000"/>
                <w:sz w:val="18"/>
                <w:szCs w:val="18"/>
              </w:rPr>
              <w:t> </w:t>
            </w:r>
            <w:r w:rsidRPr="00D17BF1">
              <w:rPr>
                <w:rFonts w:asciiTheme="minorHAnsi" w:hAnsiTheme="minorHAnsi" w:cstheme="minorHAnsi"/>
                <w:color w:val="000000"/>
                <w:sz w:val="18"/>
                <w:szCs w:val="18"/>
              </w:rPr>
              <w:t>mg in 5</w:t>
            </w:r>
            <w:r w:rsidR="006E1BA4">
              <w:rPr>
                <w:rFonts w:asciiTheme="minorHAnsi" w:hAnsiTheme="minorHAnsi" w:cstheme="minorHAnsi"/>
                <w:color w:val="000000"/>
                <w:sz w:val="18"/>
                <w:szCs w:val="18"/>
              </w:rPr>
              <w:t> </w:t>
            </w:r>
            <w:r w:rsidRPr="00D17BF1">
              <w:rPr>
                <w:rFonts w:asciiTheme="minorHAnsi" w:hAnsiTheme="minorHAnsi" w:cstheme="minorHAnsi"/>
                <w:color w:val="000000"/>
                <w:sz w:val="18"/>
                <w:szCs w:val="18"/>
              </w:rPr>
              <w:t>mL</w:t>
            </w:r>
            <w:r w:rsidRPr="00D17BF1">
              <w:rPr>
                <w:rFonts w:asciiTheme="minorHAnsi" w:hAnsiTheme="minorHAnsi" w:cstheme="minorHAnsi"/>
                <w:color w:val="000000"/>
                <w:sz w:val="18"/>
                <w:szCs w:val="18"/>
              </w:rPr>
              <w:br/>
            </w:r>
            <w:r w:rsidRPr="00D17BF1">
              <w:rPr>
                <w:rFonts w:asciiTheme="minorHAnsi" w:hAnsiTheme="minorHAnsi" w:cstheme="minorHAnsi"/>
                <w:color w:val="000000"/>
                <w:sz w:val="18"/>
                <w:szCs w:val="18"/>
              </w:rPr>
              <w:br/>
            </w:r>
            <w:proofErr w:type="spellStart"/>
            <w:r w:rsidRPr="00D17BF1">
              <w:rPr>
                <w:rFonts w:asciiTheme="minorHAnsi" w:hAnsiTheme="minorHAnsi" w:cstheme="minorHAnsi"/>
                <w:color w:val="000000"/>
                <w:sz w:val="18"/>
                <w:szCs w:val="18"/>
              </w:rPr>
              <w:t>Spinraza</w:t>
            </w:r>
            <w:proofErr w:type="spellEnd"/>
            <w:r w:rsidRPr="00D17BF1">
              <w:rPr>
                <w:rFonts w:asciiTheme="minorHAnsi" w:hAnsiTheme="minorHAnsi" w:cstheme="minorHAnsi"/>
                <w:color w:val="000000"/>
                <w:sz w:val="18"/>
                <w:szCs w:val="18"/>
              </w:rPr>
              <w:t>®</w:t>
            </w:r>
            <w:r w:rsidRPr="00D17BF1">
              <w:rPr>
                <w:rFonts w:asciiTheme="minorHAnsi" w:hAnsiTheme="minorHAnsi" w:cstheme="minorHAnsi"/>
                <w:color w:val="000000"/>
                <w:sz w:val="18"/>
                <w:szCs w:val="18"/>
              </w:rPr>
              <w:br/>
            </w:r>
            <w:r w:rsidRPr="00D17BF1">
              <w:rPr>
                <w:rFonts w:asciiTheme="minorHAnsi" w:hAnsiTheme="minorHAnsi" w:cstheme="minorHAnsi"/>
                <w:color w:val="000000"/>
                <w:sz w:val="18"/>
                <w:szCs w:val="18"/>
              </w:rPr>
              <w:br/>
            </w:r>
            <w:r w:rsidR="0066292F" w:rsidRPr="00D17BF1">
              <w:rPr>
                <w:rFonts w:asciiTheme="minorHAnsi" w:hAnsiTheme="minorHAnsi" w:cstheme="minorHAnsi"/>
                <w:color w:val="000000"/>
                <w:sz w:val="18"/>
                <w:szCs w:val="18"/>
              </w:rPr>
              <w:t>Biogen Australia Pty Ltd</w:t>
            </w:r>
            <w:r w:rsidRPr="00D17BF1">
              <w:rPr>
                <w:rFonts w:asciiTheme="minorHAnsi" w:hAnsiTheme="minorHAnsi" w:cstheme="minorHAnsi"/>
                <w:color w:val="000000"/>
                <w:sz w:val="18"/>
                <w:szCs w:val="18"/>
              </w:rPr>
              <w:br/>
            </w:r>
          </w:p>
          <w:p w14:paraId="4ACA54CA" w14:textId="31A03C2B" w:rsidR="00897FAC" w:rsidRPr="00D17BF1" w:rsidRDefault="00A31498" w:rsidP="008542C1">
            <w:pPr>
              <w:keepLines/>
              <w:jc w:val="center"/>
              <w:rPr>
                <w:rFonts w:asciiTheme="minorHAnsi" w:hAnsiTheme="minorHAnsi" w:cstheme="minorHAnsi"/>
                <w:color w:val="000000"/>
                <w:sz w:val="18"/>
                <w:szCs w:val="18"/>
              </w:rPr>
            </w:pPr>
            <w:r w:rsidRPr="00D17BF1">
              <w:rPr>
                <w:rFonts w:asciiTheme="minorHAnsi" w:hAnsiTheme="minorHAnsi" w:cstheme="minorHAnsi"/>
                <w:color w:val="000000"/>
                <w:sz w:val="18"/>
                <w:szCs w:val="18"/>
              </w:rPr>
              <w:t>Standard re-entry</w:t>
            </w:r>
            <w:r w:rsidR="00122A1C">
              <w:rPr>
                <w:rFonts w:asciiTheme="minorHAnsi" w:hAnsiTheme="minorHAnsi" w:cstheme="minorHAnsi"/>
                <w:color w:val="000000"/>
                <w:sz w:val="18"/>
                <w:szCs w:val="18"/>
              </w:rPr>
              <w:t xml:space="preserve"> submission</w:t>
            </w:r>
            <w:r w:rsidR="00897FAC" w:rsidRPr="00D17BF1">
              <w:rPr>
                <w:rFonts w:asciiTheme="minorHAnsi" w:hAnsiTheme="minorHAnsi" w:cstheme="minorHAnsi"/>
                <w:color w:val="000000"/>
                <w:sz w:val="18"/>
                <w:szCs w:val="18"/>
              </w:rPr>
              <w:br/>
              <w:t>(Change to existing listing)</w:t>
            </w:r>
          </w:p>
        </w:tc>
        <w:tc>
          <w:tcPr>
            <w:tcW w:w="2764" w:type="dxa"/>
            <w:shd w:val="clear" w:color="auto" w:fill="auto"/>
            <w:vAlign w:val="center"/>
          </w:tcPr>
          <w:p w14:paraId="4F23A8B1" w14:textId="6B0ECD83" w:rsidR="00897FAC" w:rsidRPr="00D17BF1" w:rsidRDefault="00897FAC" w:rsidP="008542C1">
            <w:pPr>
              <w:keepLines/>
              <w:widowControl w:val="0"/>
              <w:jc w:val="center"/>
              <w:rPr>
                <w:rFonts w:asciiTheme="minorHAnsi" w:hAnsiTheme="minorHAnsi" w:cstheme="minorHAnsi"/>
                <w:color w:val="000000"/>
                <w:sz w:val="18"/>
                <w:szCs w:val="18"/>
              </w:rPr>
            </w:pPr>
            <w:r w:rsidRPr="00D17BF1">
              <w:rPr>
                <w:rFonts w:asciiTheme="minorHAnsi" w:hAnsiTheme="minorHAnsi" w:cstheme="minorHAnsi"/>
                <w:color w:val="000000"/>
                <w:sz w:val="18"/>
                <w:szCs w:val="18"/>
              </w:rPr>
              <w:t>Pre-symptomatic spinal muscular atrophy (SMA)</w:t>
            </w:r>
          </w:p>
        </w:tc>
        <w:tc>
          <w:tcPr>
            <w:tcW w:w="3098" w:type="dxa"/>
            <w:shd w:val="clear" w:color="auto" w:fill="auto"/>
            <w:tcMar>
              <w:top w:w="28" w:type="dxa"/>
              <w:bottom w:w="28" w:type="dxa"/>
            </w:tcMar>
            <w:vAlign w:val="center"/>
          </w:tcPr>
          <w:p w14:paraId="260B69F1" w14:textId="7CC35250" w:rsidR="00897FAC" w:rsidRPr="00D17BF1" w:rsidRDefault="00897FAC" w:rsidP="008542C1">
            <w:pPr>
              <w:pStyle w:val="ListParagraph"/>
              <w:keepLines/>
              <w:ind w:left="0"/>
              <w:jc w:val="center"/>
              <w:rPr>
                <w:rFonts w:asciiTheme="minorHAnsi" w:hAnsiTheme="minorHAnsi" w:cstheme="minorHAnsi"/>
                <w:color w:val="000000"/>
                <w:sz w:val="18"/>
                <w:szCs w:val="18"/>
              </w:rPr>
            </w:pPr>
            <w:r w:rsidRPr="00D17BF1">
              <w:rPr>
                <w:rFonts w:asciiTheme="minorHAnsi" w:hAnsiTheme="minorHAnsi" w:cstheme="minorHAnsi"/>
                <w:color w:val="000000"/>
                <w:sz w:val="18"/>
                <w:szCs w:val="18"/>
              </w:rPr>
              <w:t>Resubmission to request a Section 100 (Highly Specialised Drug Program) Authority Required (Written) listing for treatment of individuals with pre-symptomatic SMA with 3 copies of the survival motor neuron 2 (</w:t>
            </w:r>
            <w:r w:rsidRPr="00851AFC">
              <w:rPr>
                <w:rFonts w:asciiTheme="minorHAnsi" w:hAnsiTheme="minorHAnsi" w:cstheme="minorHAnsi"/>
                <w:i/>
                <w:iCs/>
                <w:color w:val="000000"/>
                <w:sz w:val="18"/>
                <w:szCs w:val="18"/>
              </w:rPr>
              <w:t>SMN2</w:t>
            </w:r>
            <w:r w:rsidRPr="00D17BF1">
              <w:rPr>
                <w:rFonts w:asciiTheme="minorHAnsi" w:hAnsiTheme="minorHAnsi" w:cstheme="minorHAnsi"/>
                <w:color w:val="000000"/>
                <w:sz w:val="18"/>
                <w:szCs w:val="18"/>
              </w:rPr>
              <w:t>) gene, aged less than 18 years.</w:t>
            </w:r>
          </w:p>
        </w:tc>
        <w:tc>
          <w:tcPr>
            <w:tcW w:w="1920" w:type="dxa"/>
            <w:shd w:val="clear" w:color="auto" w:fill="auto"/>
            <w:vAlign w:val="center"/>
          </w:tcPr>
          <w:p w14:paraId="1EEBFBA6" w14:textId="6C39C281" w:rsidR="00897FAC" w:rsidRPr="00D17BF1" w:rsidRDefault="00897FAC" w:rsidP="008542C1">
            <w:pPr>
              <w:pStyle w:val="ListParagraph"/>
              <w:keepLines/>
              <w:ind w:left="0"/>
              <w:jc w:val="center"/>
              <w:rPr>
                <w:rFonts w:asciiTheme="minorHAnsi" w:hAnsiTheme="minorHAnsi" w:cstheme="minorHAnsi"/>
                <w:color w:val="000000"/>
                <w:sz w:val="18"/>
                <w:szCs w:val="18"/>
              </w:rPr>
            </w:pPr>
            <w:r w:rsidRPr="00D17BF1">
              <w:rPr>
                <w:rFonts w:asciiTheme="minorHAnsi" w:hAnsiTheme="minorHAnsi" w:cstheme="minorHAnsi"/>
                <w:color w:val="000000"/>
                <w:sz w:val="18"/>
                <w:szCs w:val="18"/>
              </w:rPr>
              <w:t>Recommended</w:t>
            </w:r>
          </w:p>
        </w:tc>
        <w:tc>
          <w:tcPr>
            <w:tcW w:w="4593" w:type="dxa"/>
            <w:shd w:val="clear" w:color="auto" w:fill="auto"/>
            <w:vAlign w:val="center"/>
          </w:tcPr>
          <w:p w14:paraId="5E21D284" w14:textId="3341D284" w:rsidR="00897FAC" w:rsidRPr="00D17BF1" w:rsidRDefault="00897FAC" w:rsidP="008542C1">
            <w:pPr>
              <w:rPr>
                <w:rFonts w:asciiTheme="minorHAnsi" w:hAnsiTheme="minorHAnsi" w:cstheme="minorHAnsi"/>
                <w:color w:val="000000"/>
                <w:sz w:val="18"/>
                <w:szCs w:val="18"/>
              </w:rPr>
            </w:pPr>
            <w:r w:rsidRPr="00D17BF1">
              <w:rPr>
                <w:rFonts w:asciiTheme="minorHAnsi" w:hAnsiTheme="minorHAnsi" w:cstheme="minorHAnsi"/>
                <w:color w:val="000000"/>
                <w:sz w:val="18"/>
                <w:szCs w:val="18"/>
              </w:rPr>
              <w:t xml:space="preserve">The PBAC recommended the amendment to the current listing of </w:t>
            </w:r>
            <w:proofErr w:type="spellStart"/>
            <w:r w:rsidRPr="00D17BF1">
              <w:rPr>
                <w:rFonts w:asciiTheme="minorHAnsi" w:hAnsiTheme="minorHAnsi" w:cstheme="minorHAnsi"/>
                <w:color w:val="000000"/>
                <w:sz w:val="18"/>
                <w:szCs w:val="18"/>
              </w:rPr>
              <w:t>nusinersen</w:t>
            </w:r>
            <w:proofErr w:type="spellEnd"/>
            <w:r w:rsidRPr="00D17BF1">
              <w:rPr>
                <w:rFonts w:asciiTheme="minorHAnsi" w:hAnsiTheme="minorHAnsi" w:cstheme="minorHAnsi"/>
                <w:color w:val="000000"/>
                <w:sz w:val="18"/>
                <w:szCs w:val="18"/>
              </w:rPr>
              <w:t xml:space="preserve"> to include the pre-symptomatic initiation of </w:t>
            </w:r>
            <w:proofErr w:type="spellStart"/>
            <w:r w:rsidRPr="00D17BF1">
              <w:rPr>
                <w:rFonts w:asciiTheme="minorHAnsi" w:hAnsiTheme="minorHAnsi" w:cstheme="minorHAnsi"/>
                <w:color w:val="000000"/>
                <w:sz w:val="18"/>
                <w:szCs w:val="18"/>
              </w:rPr>
              <w:t>nusinersen</w:t>
            </w:r>
            <w:proofErr w:type="spellEnd"/>
            <w:r w:rsidRPr="00D17BF1">
              <w:rPr>
                <w:rFonts w:asciiTheme="minorHAnsi" w:hAnsiTheme="minorHAnsi" w:cstheme="minorHAnsi"/>
                <w:color w:val="000000"/>
                <w:sz w:val="18"/>
                <w:szCs w:val="18"/>
              </w:rPr>
              <w:t xml:space="preserve"> in patients aged up to less than 36 months, genetically diagnosed with SMA, who have a</w:t>
            </w:r>
            <w:r w:rsidR="000E7005">
              <w:rPr>
                <w:rFonts w:asciiTheme="minorHAnsi" w:hAnsiTheme="minorHAnsi" w:cstheme="minorHAnsi"/>
                <w:color w:val="000000"/>
                <w:sz w:val="18"/>
                <w:szCs w:val="18"/>
              </w:rPr>
              <w:t xml:space="preserve"> </w:t>
            </w:r>
            <w:r w:rsidRPr="00851AFC">
              <w:rPr>
                <w:rFonts w:asciiTheme="minorHAnsi" w:hAnsiTheme="minorHAnsi" w:cstheme="minorHAnsi"/>
                <w:i/>
                <w:iCs/>
                <w:color w:val="000000"/>
                <w:sz w:val="18"/>
                <w:szCs w:val="18"/>
              </w:rPr>
              <w:t>SMN2</w:t>
            </w:r>
            <w:r w:rsidRPr="00D17BF1">
              <w:rPr>
                <w:rFonts w:asciiTheme="minorHAnsi" w:hAnsiTheme="minorHAnsi" w:cstheme="minorHAnsi"/>
                <w:color w:val="000000"/>
                <w:sz w:val="18"/>
                <w:szCs w:val="18"/>
              </w:rPr>
              <w:t xml:space="preserve"> gene copy number of 3. The PBAC considered that pre-symptomatic initiation of treatment with </w:t>
            </w:r>
            <w:proofErr w:type="spellStart"/>
            <w:r w:rsidRPr="00D17BF1">
              <w:rPr>
                <w:rFonts w:asciiTheme="minorHAnsi" w:hAnsiTheme="minorHAnsi" w:cstheme="minorHAnsi"/>
                <w:color w:val="000000"/>
                <w:sz w:val="18"/>
                <w:szCs w:val="18"/>
              </w:rPr>
              <w:t>nusinersen</w:t>
            </w:r>
            <w:proofErr w:type="spellEnd"/>
            <w:r w:rsidRPr="00D17BF1">
              <w:rPr>
                <w:rFonts w:asciiTheme="minorHAnsi" w:hAnsiTheme="minorHAnsi" w:cstheme="minorHAnsi"/>
                <w:color w:val="000000"/>
                <w:sz w:val="18"/>
                <w:szCs w:val="18"/>
              </w:rPr>
              <w:t xml:space="preserve"> in patients with 3 copies of </w:t>
            </w:r>
            <w:r w:rsidRPr="00851AFC">
              <w:rPr>
                <w:rFonts w:asciiTheme="minorHAnsi" w:hAnsiTheme="minorHAnsi" w:cstheme="minorHAnsi"/>
                <w:i/>
                <w:iCs/>
                <w:color w:val="000000"/>
                <w:sz w:val="18"/>
                <w:szCs w:val="18"/>
              </w:rPr>
              <w:t>SMN2</w:t>
            </w:r>
            <w:r w:rsidRPr="00D17BF1">
              <w:rPr>
                <w:rFonts w:asciiTheme="minorHAnsi" w:hAnsiTheme="minorHAnsi" w:cstheme="minorHAnsi"/>
                <w:color w:val="000000"/>
                <w:sz w:val="18"/>
                <w:szCs w:val="18"/>
              </w:rPr>
              <w:t xml:space="preserve"> would provide an additional benefit for some patients compared with initiation upon development of symptoms. The PBAC noted there was remaining uncertainty regarding the cost-effectiveness of pre</w:t>
            </w:r>
            <w:r w:rsidR="00CA105A">
              <w:rPr>
                <w:rFonts w:asciiTheme="minorHAnsi" w:hAnsiTheme="minorHAnsi" w:cstheme="minorHAnsi"/>
                <w:color w:val="000000"/>
                <w:sz w:val="18"/>
                <w:szCs w:val="18"/>
              </w:rPr>
              <w:t> </w:t>
            </w:r>
            <w:r w:rsidRPr="00D17BF1">
              <w:rPr>
                <w:rFonts w:asciiTheme="minorHAnsi" w:hAnsiTheme="minorHAnsi" w:cstheme="minorHAnsi"/>
                <w:color w:val="000000"/>
                <w:sz w:val="18"/>
                <w:szCs w:val="18"/>
              </w:rPr>
              <w:t>-</w:t>
            </w:r>
            <w:r w:rsidR="00CA105A">
              <w:rPr>
                <w:rFonts w:asciiTheme="minorHAnsi" w:hAnsiTheme="minorHAnsi" w:cstheme="minorHAnsi"/>
                <w:color w:val="000000"/>
                <w:sz w:val="18"/>
                <w:szCs w:val="18"/>
              </w:rPr>
              <w:t> </w:t>
            </w:r>
            <w:r w:rsidRPr="00D17BF1">
              <w:rPr>
                <w:rFonts w:asciiTheme="minorHAnsi" w:hAnsiTheme="minorHAnsi" w:cstheme="minorHAnsi"/>
                <w:color w:val="000000"/>
                <w:sz w:val="18"/>
                <w:szCs w:val="18"/>
              </w:rPr>
              <w:t xml:space="preserve">symptomatic initiation of </w:t>
            </w:r>
            <w:proofErr w:type="spellStart"/>
            <w:r w:rsidRPr="00D17BF1">
              <w:rPr>
                <w:rFonts w:asciiTheme="minorHAnsi" w:hAnsiTheme="minorHAnsi" w:cstheme="minorHAnsi"/>
                <w:color w:val="000000"/>
                <w:sz w:val="18"/>
                <w:szCs w:val="18"/>
              </w:rPr>
              <w:t>nusinersen</w:t>
            </w:r>
            <w:proofErr w:type="spellEnd"/>
            <w:r w:rsidRPr="00D17BF1">
              <w:rPr>
                <w:rFonts w:asciiTheme="minorHAnsi" w:hAnsiTheme="minorHAnsi" w:cstheme="minorHAnsi"/>
                <w:color w:val="000000"/>
                <w:sz w:val="18"/>
                <w:szCs w:val="18"/>
              </w:rPr>
              <w:t xml:space="preserve"> in patients with 3 copies of </w:t>
            </w:r>
            <w:r w:rsidRPr="00851AFC">
              <w:rPr>
                <w:rFonts w:asciiTheme="minorHAnsi" w:hAnsiTheme="minorHAnsi" w:cstheme="minorHAnsi"/>
                <w:i/>
                <w:iCs/>
                <w:color w:val="000000"/>
                <w:sz w:val="18"/>
                <w:szCs w:val="18"/>
              </w:rPr>
              <w:t>SMN2</w:t>
            </w:r>
            <w:r w:rsidRPr="00D17BF1">
              <w:rPr>
                <w:rFonts w:asciiTheme="minorHAnsi" w:hAnsiTheme="minorHAnsi" w:cstheme="minorHAnsi"/>
                <w:color w:val="000000"/>
                <w:sz w:val="18"/>
                <w:szCs w:val="18"/>
              </w:rPr>
              <w:t xml:space="preserve"> due to the uncertain magnitude of incremental benefit compared to symptomatic treatment. However, the PBAC was satisfied that extension of the current listing would be adequately cost-effective with a price reduction for use in the proposed population.</w:t>
            </w:r>
          </w:p>
        </w:tc>
      </w:tr>
      <w:tr w:rsidR="00897FAC" w:rsidRPr="00015520" w14:paraId="5710BACA" w14:textId="77777777" w:rsidTr="00344CBB">
        <w:trPr>
          <w:cantSplit/>
          <w:trHeight w:val="2948"/>
          <w:jc w:val="center"/>
        </w:trPr>
        <w:tc>
          <w:tcPr>
            <w:tcW w:w="3013" w:type="dxa"/>
            <w:shd w:val="clear" w:color="auto" w:fill="auto"/>
            <w:tcMar>
              <w:top w:w="28" w:type="dxa"/>
              <w:bottom w:w="28" w:type="dxa"/>
            </w:tcMar>
            <w:vAlign w:val="center"/>
          </w:tcPr>
          <w:p w14:paraId="7CACB9A9" w14:textId="2D190CF4"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OLAPARIB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150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Lynparza®</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AstraZeneca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Matters outstanding</w:t>
            </w:r>
            <w:r w:rsidRPr="00015520">
              <w:rPr>
                <w:rFonts w:asciiTheme="minorHAnsi" w:hAnsiTheme="minorHAnsi" w:cstheme="minorHAnsi"/>
                <w:color w:val="000000"/>
                <w:sz w:val="18"/>
                <w:szCs w:val="18"/>
              </w:rPr>
              <w:br/>
              <w:t>(Change to PBS listing)</w:t>
            </w:r>
          </w:p>
        </w:tc>
        <w:tc>
          <w:tcPr>
            <w:tcW w:w="2764" w:type="dxa"/>
            <w:shd w:val="clear" w:color="auto" w:fill="auto"/>
            <w:vAlign w:val="center"/>
          </w:tcPr>
          <w:p w14:paraId="095B85C1" w14:textId="29BF6FF2"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Ovarian cancer</w:t>
            </w:r>
          </w:p>
        </w:tc>
        <w:tc>
          <w:tcPr>
            <w:tcW w:w="3098" w:type="dxa"/>
            <w:shd w:val="clear" w:color="auto" w:fill="auto"/>
            <w:tcMar>
              <w:top w:w="28" w:type="dxa"/>
              <w:bottom w:w="28" w:type="dxa"/>
            </w:tcMar>
            <w:vAlign w:val="center"/>
          </w:tcPr>
          <w:p w14:paraId="1726EC3F" w14:textId="1766F5D6"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General Schedule Authority Required listing for use in combination with bevacizumab for maintenance therapy in patients with newly diagnosed homologous recombination deficiency (HRD) positive</w:t>
            </w:r>
            <w:r w:rsidR="007D7642">
              <w:rPr>
                <w:rFonts w:asciiTheme="minorHAnsi" w:hAnsiTheme="minorHAnsi" w:cstheme="minorHAnsi"/>
                <w:color w:val="000000"/>
                <w:sz w:val="18"/>
                <w:szCs w:val="18"/>
              </w:rPr>
              <w:t xml:space="preserve"> breast cancer gene</w:t>
            </w:r>
            <w:r w:rsidRPr="00015520">
              <w:rPr>
                <w:rFonts w:asciiTheme="minorHAnsi" w:hAnsiTheme="minorHAnsi" w:cstheme="minorHAnsi"/>
                <w:color w:val="000000"/>
                <w:sz w:val="18"/>
                <w:szCs w:val="18"/>
              </w:rPr>
              <w:t xml:space="preserve"> </w:t>
            </w:r>
            <w:r w:rsidR="007D7642">
              <w:rPr>
                <w:rFonts w:asciiTheme="minorHAnsi" w:hAnsiTheme="minorHAnsi" w:cstheme="minorHAnsi"/>
                <w:color w:val="000000"/>
                <w:sz w:val="18"/>
                <w:szCs w:val="18"/>
              </w:rPr>
              <w:t>(</w:t>
            </w:r>
            <w:r w:rsidRPr="00015520">
              <w:rPr>
                <w:rFonts w:asciiTheme="minorHAnsi" w:hAnsiTheme="minorHAnsi" w:cstheme="minorHAnsi"/>
                <w:color w:val="000000"/>
                <w:sz w:val="18"/>
                <w:szCs w:val="18"/>
              </w:rPr>
              <w:t>BRCA</w:t>
            </w:r>
            <w:r w:rsidR="007D7642">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wild type advanced epithelial ovarian, fallopian tube or primary peritoneal cancer, as deferred from the November 2022 PBAC Meeting.</w:t>
            </w:r>
          </w:p>
        </w:tc>
        <w:tc>
          <w:tcPr>
            <w:tcW w:w="1920" w:type="dxa"/>
            <w:shd w:val="clear" w:color="auto" w:fill="auto"/>
            <w:vAlign w:val="center"/>
          </w:tcPr>
          <w:p w14:paraId="4B41EA07" w14:textId="30ECEC2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3ABBF0C6" w14:textId="6665E47E"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sz w:val="18"/>
                <w:szCs w:val="18"/>
              </w:rPr>
              <w:t xml:space="preserve">The PBAC recommended </w:t>
            </w:r>
            <w:proofErr w:type="spellStart"/>
            <w:r w:rsidRPr="00015520">
              <w:rPr>
                <w:rFonts w:asciiTheme="minorHAnsi" w:hAnsiTheme="minorHAnsi" w:cstheme="minorHAnsi"/>
                <w:sz w:val="18"/>
                <w:szCs w:val="18"/>
              </w:rPr>
              <w:t>olaparib</w:t>
            </w:r>
            <w:proofErr w:type="spellEnd"/>
            <w:r w:rsidRPr="00015520">
              <w:rPr>
                <w:rFonts w:asciiTheme="minorHAnsi" w:hAnsiTheme="minorHAnsi" w:cstheme="minorHAnsi"/>
                <w:sz w:val="18"/>
                <w:szCs w:val="18"/>
              </w:rPr>
              <w:t xml:space="preserve"> for use in combination with bevacizumab for maintenance </w:t>
            </w:r>
            <w:r w:rsidRPr="007D7642">
              <w:rPr>
                <w:rFonts w:asciiTheme="minorHAnsi" w:hAnsiTheme="minorHAnsi" w:cstheme="minorHAnsi"/>
                <w:sz w:val="18"/>
                <w:szCs w:val="18"/>
              </w:rPr>
              <w:t>therapy in patients with newly diagnosed HRD positive BRCA wild type advanced epithelial ovarian, fallopian tube or primary</w:t>
            </w:r>
            <w:r w:rsidRPr="00015520">
              <w:rPr>
                <w:rFonts w:asciiTheme="minorHAnsi" w:hAnsiTheme="minorHAnsi" w:cstheme="minorHAnsi"/>
                <w:sz w:val="18"/>
                <w:szCs w:val="18"/>
              </w:rPr>
              <w:t xml:space="preserve"> peritoneal cancer. The PBAC noted that it had deferred its decision on whether to recommend the proposed listing at the November</w:t>
            </w:r>
            <w:r w:rsidR="006E1BA4">
              <w:rPr>
                <w:rFonts w:asciiTheme="minorHAnsi" w:hAnsiTheme="minorHAnsi" w:cstheme="minorHAnsi"/>
                <w:sz w:val="18"/>
                <w:szCs w:val="18"/>
              </w:rPr>
              <w:t> </w:t>
            </w:r>
            <w:r w:rsidRPr="00015520">
              <w:rPr>
                <w:rFonts w:asciiTheme="minorHAnsi" w:hAnsiTheme="minorHAnsi" w:cstheme="minorHAnsi"/>
                <w:sz w:val="18"/>
                <w:szCs w:val="18"/>
              </w:rPr>
              <w:t xml:space="preserve">2022 PBAC meeting, pending MSAC consideration of HRD testing. The PBAC noted that the MSAC had recommended HRD testing for determination of eligibility for </w:t>
            </w:r>
            <w:r w:rsidR="007D7642" w:rsidRPr="00615053">
              <w:rPr>
                <w:rFonts w:asciiTheme="minorHAnsi" w:hAnsiTheme="minorHAnsi" w:cstheme="minorHAnsi"/>
                <w:color w:val="000000"/>
                <w:sz w:val="18"/>
                <w:szCs w:val="18"/>
              </w:rPr>
              <w:t xml:space="preserve">poly-ADP ribose polymerase </w:t>
            </w:r>
            <w:r w:rsidR="007D7642">
              <w:rPr>
                <w:rFonts w:asciiTheme="minorHAnsi" w:hAnsiTheme="minorHAnsi" w:cstheme="minorHAnsi"/>
                <w:color w:val="000000"/>
                <w:sz w:val="18"/>
                <w:szCs w:val="18"/>
              </w:rPr>
              <w:t xml:space="preserve">inhibitors </w:t>
            </w:r>
            <w:r w:rsidRPr="00015520">
              <w:rPr>
                <w:rFonts w:asciiTheme="minorHAnsi" w:hAnsiTheme="minorHAnsi" w:cstheme="minorHAnsi"/>
                <w:sz w:val="18"/>
                <w:szCs w:val="18"/>
              </w:rPr>
              <w:t>for this indication at its March</w:t>
            </w:r>
            <w:r w:rsidR="006E1BA4">
              <w:rPr>
                <w:rFonts w:asciiTheme="minorHAnsi" w:hAnsiTheme="minorHAnsi" w:cstheme="minorHAnsi"/>
                <w:sz w:val="18"/>
                <w:szCs w:val="18"/>
              </w:rPr>
              <w:t> </w:t>
            </w:r>
            <w:r w:rsidRPr="00015520">
              <w:rPr>
                <w:rFonts w:asciiTheme="minorHAnsi" w:hAnsiTheme="minorHAnsi" w:cstheme="minorHAnsi"/>
                <w:sz w:val="18"/>
                <w:szCs w:val="18"/>
              </w:rPr>
              <w:t xml:space="preserve">2023 meeting. The PBAC considered that the outstanding issues were satisfactorily resolved by the revised economic evaluation which included a price reduction to account for remaining uncertainty in the modelled benefit of </w:t>
            </w:r>
            <w:proofErr w:type="spellStart"/>
            <w:r w:rsidRPr="00015520">
              <w:rPr>
                <w:rFonts w:asciiTheme="minorHAnsi" w:hAnsiTheme="minorHAnsi" w:cstheme="minorHAnsi"/>
                <w:sz w:val="18"/>
                <w:szCs w:val="18"/>
              </w:rPr>
              <w:t>olaparib</w:t>
            </w:r>
            <w:proofErr w:type="spellEnd"/>
            <w:r w:rsidRPr="00015520">
              <w:rPr>
                <w:rFonts w:asciiTheme="minorHAnsi" w:hAnsiTheme="minorHAnsi" w:cstheme="minorHAnsi"/>
                <w:sz w:val="18"/>
                <w:szCs w:val="18"/>
              </w:rPr>
              <w:t>, as requested by the PBAC in November</w:t>
            </w:r>
            <w:r w:rsidR="006E1BA4">
              <w:rPr>
                <w:rFonts w:asciiTheme="minorHAnsi" w:hAnsiTheme="minorHAnsi" w:cstheme="minorHAnsi"/>
                <w:sz w:val="18"/>
                <w:szCs w:val="18"/>
              </w:rPr>
              <w:t> </w:t>
            </w:r>
            <w:r w:rsidRPr="00015520">
              <w:rPr>
                <w:rFonts w:asciiTheme="minorHAnsi" w:hAnsiTheme="minorHAnsi" w:cstheme="minorHAnsi"/>
                <w:sz w:val="18"/>
                <w:szCs w:val="18"/>
              </w:rPr>
              <w:t>2022.</w:t>
            </w:r>
            <w:r w:rsidR="001E2CF5">
              <w:rPr>
                <w:rFonts w:asciiTheme="minorHAnsi" w:hAnsiTheme="minorHAnsi" w:cstheme="minorHAnsi"/>
                <w:sz w:val="18"/>
                <w:szCs w:val="18"/>
              </w:rPr>
              <w:t xml:space="preserve"> </w:t>
            </w:r>
            <w:r w:rsidRPr="00015520">
              <w:rPr>
                <w:rFonts w:asciiTheme="minorHAnsi" w:hAnsiTheme="minorHAnsi" w:cstheme="minorHAnsi"/>
                <w:sz w:val="18"/>
                <w:szCs w:val="18"/>
              </w:rPr>
              <w:t xml:space="preserve">The PBAC noted the revised financial estimates appropriately incorporated the reduced </w:t>
            </w:r>
            <w:proofErr w:type="spellStart"/>
            <w:r w:rsidRPr="00015520">
              <w:rPr>
                <w:rFonts w:asciiTheme="minorHAnsi" w:hAnsiTheme="minorHAnsi" w:cstheme="minorHAnsi"/>
                <w:sz w:val="18"/>
                <w:szCs w:val="18"/>
              </w:rPr>
              <w:t>olaparib</w:t>
            </w:r>
            <w:proofErr w:type="spellEnd"/>
            <w:r w:rsidRPr="00015520">
              <w:rPr>
                <w:rFonts w:asciiTheme="minorHAnsi" w:hAnsiTheme="minorHAnsi" w:cstheme="minorHAnsi"/>
                <w:sz w:val="18"/>
                <w:szCs w:val="18"/>
              </w:rPr>
              <w:t xml:space="preserve"> price.</w:t>
            </w:r>
          </w:p>
        </w:tc>
      </w:tr>
      <w:tr w:rsidR="00897FAC" w:rsidRPr="00015520" w14:paraId="489FAC6F" w14:textId="77777777" w:rsidTr="00344CBB">
        <w:trPr>
          <w:cantSplit/>
          <w:trHeight w:val="2948"/>
          <w:jc w:val="center"/>
        </w:trPr>
        <w:tc>
          <w:tcPr>
            <w:tcW w:w="3013" w:type="dxa"/>
            <w:shd w:val="clear" w:color="auto" w:fill="auto"/>
            <w:tcMar>
              <w:top w:w="28" w:type="dxa"/>
              <w:bottom w:w="28" w:type="dxa"/>
            </w:tcMar>
            <w:vAlign w:val="center"/>
          </w:tcPr>
          <w:p w14:paraId="57A420AB" w14:textId="7C79EBB1"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OLIPUDASE ALFA</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Powder for I.V. infusion 20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Xenpozyme</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Sanofi-Aventis Australia Pty Ltd</w:t>
            </w:r>
            <w:r w:rsidRPr="00015520">
              <w:rPr>
                <w:rFonts w:asciiTheme="minorHAnsi" w:hAnsiTheme="minorHAnsi" w:cstheme="minorHAnsi"/>
                <w:color w:val="000000"/>
                <w:sz w:val="18"/>
                <w:szCs w:val="18"/>
              </w:rPr>
              <w:br/>
            </w:r>
          </w:p>
          <w:p w14:paraId="61EC39D5" w14:textId="50F70E3C" w:rsidR="00897FAC" w:rsidRPr="00015520" w:rsidRDefault="00D17BF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3E739BB6" w14:textId="5F1E4F8C"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Acid sphingomyelinase deficiency (ASMD)</w:t>
            </w:r>
          </w:p>
        </w:tc>
        <w:tc>
          <w:tcPr>
            <w:tcW w:w="3098" w:type="dxa"/>
            <w:shd w:val="clear" w:color="auto" w:fill="auto"/>
            <w:tcMar>
              <w:top w:w="28" w:type="dxa"/>
              <w:bottom w:w="28" w:type="dxa"/>
            </w:tcMar>
            <w:vAlign w:val="center"/>
          </w:tcPr>
          <w:p w14:paraId="74296E34" w14:textId="28DEA8A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(Highly Specialised Drugs Program) Authority Required (Written) listing for the treatment of ASMD.</w:t>
            </w:r>
          </w:p>
        </w:tc>
        <w:tc>
          <w:tcPr>
            <w:tcW w:w="1920" w:type="dxa"/>
            <w:shd w:val="clear" w:color="auto" w:fill="auto"/>
            <w:vAlign w:val="center"/>
          </w:tcPr>
          <w:p w14:paraId="7475BFF7" w14:textId="00F976C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43C89FF1" w14:textId="5104AE18" w:rsidR="00F4322A" w:rsidRDefault="006E404F" w:rsidP="00851AFC">
            <w:pPr>
              <w:rPr>
                <w:rFonts w:asciiTheme="minorHAnsi" w:hAnsiTheme="minorHAnsi" w:cstheme="minorHAnsi"/>
                <w:color w:val="000000"/>
                <w:sz w:val="18"/>
                <w:szCs w:val="18"/>
              </w:rPr>
            </w:pPr>
            <w:r w:rsidRPr="006E404F">
              <w:rPr>
                <w:rFonts w:asciiTheme="minorHAnsi" w:hAnsiTheme="minorHAnsi" w:cstheme="minorHAnsi"/>
                <w:color w:val="000000"/>
                <w:sz w:val="18"/>
                <w:szCs w:val="18"/>
              </w:rPr>
              <w:t xml:space="preserve">The PBAC did not recommend the Section 100 (Highly Specialised Drugs Program) listing of </w:t>
            </w:r>
            <w:proofErr w:type="spellStart"/>
            <w:r w:rsidRPr="006E404F">
              <w:rPr>
                <w:rFonts w:asciiTheme="minorHAnsi" w:hAnsiTheme="minorHAnsi" w:cstheme="minorHAnsi"/>
                <w:color w:val="000000"/>
                <w:sz w:val="18"/>
                <w:szCs w:val="18"/>
              </w:rPr>
              <w:t>olipudase</w:t>
            </w:r>
            <w:proofErr w:type="spellEnd"/>
            <w:r w:rsidRPr="006E404F">
              <w:rPr>
                <w:rFonts w:asciiTheme="minorHAnsi" w:hAnsiTheme="minorHAnsi" w:cstheme="minorHAnsi"/>
                <w:color w:val="000000"/>
                <w:sz w:val="18"/>
                <w:szCs w:val="18"/>
              </w:rPr>
              <w:t xml:space="preserve"> alfa for the treatment of ASMD type A/B or type B. The PBAC considered </w:t>
            </w:r>
            <w:proofErr w:type="spellStart"/>
            <w:r w:rsidRPr="006E404F">
              <w:rPr>
                <w:rFonts w:asciiTheme="minorHAnsi" w:hAnsiTheme="minorHAnsi" w:cstheme="minorHAnsi"/>
                <w:color w:val="000000"/>
                <w:sz w:val="18"/>
                <w:szCs w:val="18"/>
              </w:rPr>
              <w:t>olipudase</w:t>
            </w:r>
            <w:proofErr w:type="spellEnd"/>
            <w:r w:rsidRPr="006E404F">
              <w:rPr>
                <w:rFonts w:asciiTheme="minorHAnsi" w:hAnsiTheme="minorHAnsi" w:cstheme="minorHAnsi"/>
                <w:color w:val="000000"/>
                <w:sz w:val="18"/>
                <w:szCs w:val="18"/>
              </w:rPr>
              <w:t xml:space="preserve"> alfa was an effective treatment for ASMD type A/B or type B; however, the incremental cost</w:t>
            </w:r>
            <w:r w:rsidR="003C6367">
              <w:rPr>
                <w:rFonts w:asciiTheme="minorHAnsi" w:hAnsiTheme="minorHAnsi" w:cstheme="minorHAnsi"/>
                <w:color w:val="000000"/>
                <w:sz w:val="18"/>
                <w:szCs w:val="18"/>
              </w:rPr>
              <w:t>-</w:t>
            </w:r>
            <w:r w:rsidRPr="006E404F">
              <w:rPr>
                <w:rFonts w:asciiTheme="minorHAnsi" w:hAnsiTheme="minorHAnsi" w:cstheme="minorHAnsi"/>
                <w:color w:val="000000"/>
                <w:sz w:val="18"/>
                <w:szCs w:val="18"/>
              </w:rPr>
              <w:t xml:space="preserve">effectiveness ratio for </w:t>
            </w:r>
            <w:proofErr w:type="spellStart"/>
            <w:r w:rsidRPr="006E404F">
              <w:rPr>
                <w:rFonts w:asciiTheme="minorHAnsi" w:hAnsiTheme="minorHAnsi" w:cstheme="minorHAnsi"/>
                <w:color w:val="000000"/>
                <w:sz w:val="18"/>
                <w:szCs w:val="18"/>
              </w:rPr>
              <w:t>olipudase</w:t>
            </w:r>
            <w:proofErr w:type="spellEnd"/>
            <w:r w:rsidRPr="006E404F">
              <w:rPr>
                <w:rFonts w:asciiTheme="minorHAnsi" w:hAnsiTheme="minorHAnsi" w:cstheme="minorHAnsi"/>
                <w:color w:val="000000"/>
                <w:sz w:val="18"/>
                <w:szCs w:val="18"/>
              </w:rPr>
              <w:t xml:space="preserve"> alfa compared to best supportive care was extremely high and uncertain.</w:t>
            </w:r>
          </w:p>
          <w:p w14:paraId="21777D59" w14:textId="77777777" w:rsidR="00F4322A" w:rsidRPr="00851AFC" w:rsidRDefault="00F4322A" w:rsidP="00851AFC">
            <w:pPr>
              <w:rPr>
                <w:rFonts w:asciiTheme="minorHAnsi" w:hAnsiTheme="minorHAnsi" w:cstheme="minorHAnsi"/>
                <w:color w:val="000000"/>
                <w:sz w:val="18"/>
                <w:szCs w:val="18"/>
              </w:rPr>
            </w:pPr>
          </w:p>
          <w:p w14:paraId="6CEF6893" w14:textId="35D19186" w:rsidR="00F00A70" w:rsidRDefault="00F00A70" w:rsidP="00851AFC">
            <w:pPr>
              <w:rPr>
                <w:rFonts w:asciiTheme="minorHAnsi" w:hAnsiTheme="minorHAnsi" w:cstheme="minorHAnsi"/>
                <w:color w:val="000000"/>
                <w:sz w:val="18"/>
                <w:szCs w:val="18"/>
              </w:rPr>
            </w:pPr>
            <w:r w:rsidRPr="62154131">
              <w:rPr>
                <w:rFonts w:asciiTheme="minorHAnsi" w:hAnsiTheme="minorHAnsi" w:cstheme="minorBidi"/>
                <w:color w:val="000000" w:themeColor="text1"/>
                <w:sz w:val="18"/>
                <w:szCs w:val="18"/>
                <w:u w:val="single"/>
              </w:rPr>
              <w:t>Sponsor’s Comment:</w:t>
            </w:r>
          </w:p>
          <w:p w14:paraId="64526954" w14:textId="63E3B8C3" w:rsidR="00897FAC" w:rsidRPr="00015520" w:rsidRDefault="54CE23F9"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The sponsor had no comment.</w:t>
            </w:r>
          </w:p>
        </w:tc>
      </w:tr>
      <w:tr w:rsidR="00897FAC" w:rsidRPr="00015520" w14:paraId="43F0D609" w14:textId="77777777" w:rsidTr="00344CBB">
        <w:trPr>
          <w:cantSplit/>
          <w:trHeight w:val="2948"/>
          <w:jc w:val="center"/>
        </w:trPr>
        <w:tc>
          <w:tcPr>
            <w:tcW w:w="3013" w:type="dxa"/>
            <w:shd w:val="clear" w:color="auto" w:fill="auto"/>
            <w:tcMar>
              <w:top w:w="28" w:type="dxa"/>
              <w:bottom w:w="28" w:type="dxa"/>
            </w:tcMar>
            <w:vAlign w:val="center"/>
          </w:tcPr>
          <w:p w14:paraId="2E815403" w14:textId="67C0ECD1"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ONASEMNOGENE ABEPARVOVEC</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for injection, customised based on patient weight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Zolgensma</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Novartis Pharmaceuticals Australia Pty Limited</w:t>
            </w:r>
            <w:r w:rsidRPr="00015520">
              <w:rPr>
                <w:rFonts w:asciiTheme="minorHAnsi" w:hAnsiTheme="minorHAnsi" w:cstheme="minorHAnsi"/>
                <w:color w:val="000000"/>
                <w:sz w:val="18"/>
                <w:szCs w:val="18"/>
              </w:rPr>
              <w:br/>
            </w:r>
          </w:p>
          <w:p w14:paraId="1E00BDDB" w14:textId="19E3D12A" w:rsidR="00897FAC" w:rsidRPr="00015520" w:rsidRDefault="00D17BF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1D804EEE" w14:textId="643C9350"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Pre-symptomatic spinal muscular atrophy (SMA)</w:t>
            </w:r>
          </w:p>
        </w:tc>
        <w:tc>
          <w:tcPr>
            <w:tcW w:w="3098" w:type="dxa"/>
            <w:shd w:val="clear" w:color="auto" w:fill="auto"/>
            <w:tcMar>
              <w:top w:w="28" w:type="dxa"/>
              <w:bottom w:w="28" w:type="dxa"/>
            </w:tcMar>
            <w:vAlign w:val="center"/>
          </w:tcPr>
          <w:p w14:paraId="5E60C82A" w14:textId="274D8EB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Resubmission to request a Section 100 (Highly Specialised Drug Program) Authority Required (Written) listing for the pre-symptomatic treatment of babies with SMA and 3 copies of the </w:t>
            </w:r>
            <w:r w:rsidR="0042315B" w:rsidRPr="00D17BF1">
              <w:rPr>
                <w:rFonts w:asciiTheme="minorHAnsi" w:hAnsiTheme="minorHAnsi" w:cstheme="minorHAnsi"/>
                <w:color w:val="000000"/>
                <w:sz w:val="18"/>
                <w:szCs w:val="18"/>
              </w:rPr>
              <w:t>survival motor neuron 2 (</w:t>
            </w:r>
            <w:r w:rsidR="0042315B" w:rsidRPr="00851AFC">
              <w:rPr>
                <w:rFonts w:asciiTheme="minorHAnsi" w:hAnsiTheme="minorHAnsi" w:cstheme="minorHAnsi"/>
                <w:i/>
                <w:iCs/>
                <w:color w:val="000000"/>
                <w:sz w:val="18"/>
                <w:szCs w:val="18"/>
              </w:rPr>
              <w:t>SMN2</w:t>
            </w:r>
            <w:r w:rsidR="0042315B" w:rsidRPr="00D17BF1">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 gene.</w:t>
            </w:r>
          </w:p>
        </w:tc>
        <w:tc>
          <w:tcPr>
            <w:tcW w:w="1920" w:type="dxa"/>
            <w:shd w:val="clear" w:color="auto" w:fill="auto"/>
            <w:vAlign w:val="center"/>
          </w:tcPr>
          <w:p w14:paraId="41EBECF1" w14:textId="3F2EB4A3"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12EDB2CB" w14:textId="137C29B5"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sz w:val="18"/>
                <w:szCs w:val="18"/>
              </w:rPr>
              <w:t xml:space="preserve">The PBAC recommended the amendment to the current listing of </w:t>
            </w:r>
            <w:proofErr w:type="spellStart"/>
            <w:r w:rsidR="0042315B" w:rsidRPr="0042315B">
              <w:rPr>
                <w:rFonts w:asciiTheme="minorHAnsi" w:hAnsiTheme="minorHAnsi" w:cstheme="minorHAnsi"/>
                <w:sz w:val="18"/>
                <w:szCs w:val="18"/>
              </w:rPr>
              <w:t>onasemnogene</w:t>
            </w:r>
            <w:proofErr w:type="spellEnd"/>
            <w:r w:rsidR="0042315B" w:rsidRPr="0042315B">
              <w:rPr>
                <w:rFonts w:asciiTheme="minorHAnsi" w:hAnsiTheme="minorHAnsi" w:cstheme="minorHAnsi"/>
                <w:sz w:val="18"/>
                <w:szCs w:val="18"/>
              </w:rPr>
              <w:t xml:space="preserve"> </w:t>
            </w:r>
            <w:proofErr w:type="spellStart"/>
            <w:r w:rsidR="0042315B" w:rsidRPr="0042315B">
              <w:rPr>
                <w:rFonts w:asciiTheme="minorHAnsi" w:hAnsiTheme="minorHAnsi" w:cstheme="minorHAnsi"/>
                <w:sz w:val="18"/>
                <w:szCs w:val="18"/>
              </w:rPr>
              <w:t>abeparvovec</w:t>
            </w:r>
            <w:proofErr w:type="spellEnd"/>
            <w:r w:rsidR="0042315B" w:rsidRPr="0042315B">
              <w:rPr>
                <w:rFonts w:asciiTheme="minorHAnsi" w:hAnsiTheme="minorHAnsi" w:cstheme="minorHAnsi"/>
                <w:sz w:val="18"/>
                <w:szCs w:val="18"/>
              </w:rPr>
              <w:t xml:space="preserve"> </w:t>
            </w:r>
            <w:r w:rsidR="0042315B">
              <w:rPr>
                <w:rFonts w:asciiTheme="minorHAnsi" w:hAnsiTheme="minorHAnsi" w:cstheme="minorHAnsi"/>
                <w:sz w:val="18"/>
                <w:szCs w:val="18"/>
              </w:rPr>
              <w:t>(</w:t>
            </w:r>
            <w:r w:rsidRPr="00015520">
              <w:rPr>
                <w:rFonts w:asciiTheme="minorHAnsi" w:hAnsiTheme="minorHAnsi" w:cstheme="minorHAnsi"/>
                <w:sz w:val="18"/>
                <w:szCs w:val="18"/>
              </w:rPr>
              <w:t>ONA</w:t>
            </w:r>
            <w:r w:rsidR="0042315B">
              <w:rPr>
                <w:rFonts w:asciiTheme="minorHAnsi" w:hAnsiTheme="minorHAnsi" w:cstheme="minorHAnsi"/>
                <w:sz w:val="18"/>
                <w:szCs w:val="18"/>
              </w:rPr>
              <w:t>)</w:t>
            </w:r>
            <w:r w:rsidRPr="00015520">
              <w:rPr>
                <w:rFonts w:asciiTheme="minorHAnsi" w:hAnsiTheme="minorHAnsi" w:cstheme="minorHAnsi"/>
                <w:sz w:val="18"/>
                <w:szCs w:val="18"/>
              </w:rPr>
              <w:t xml:space="preserve"> to include the pre-symptomatic treatment in patients aged up to </w:t>
            </w:r>
            <w:r w:rsidR="0042315B" w:rsidRPr="00015520">
              <w:rPr>
                <w:rFonts w:asciiTheme="minorHAnsi" w:hAnsiTheme="minorHAnsi" w:cstheme="minorHAnsi"/>
                <w:sz w:val="18"/>
                <w:szCs w:val="18"/>
              </w:rPr>
              <w:t>9</w:t>
            </w:r>
            <w:r w:rsidR="0042315B">
              <w:rPr>
                <w:rFonts w:asciiTheme="minorHAnsi" w:hAnsiTheme="minorHAnsi" w:cstheme="minorHAnsi"/>
                <w:sz w:val="18"/>
                <w:szCs w:val="18"/>
              </w:rPr>
              <w:t> </w:t>
            </w:r>
            <w:r w:rsidRPr="00015520">
              <w:rPr>
                <w:rFonts w:asciiTheme="minorHAnsi" w:hAnsiTheme="minorHAnsi" w:cstheme="minorHAnsi"/>
                <w:sz w:val="18"/>
                <w:szCs w:val="18"/>
              </w:rPr>
              <w:t>months, genetically diagnosed SMA, wh</w:t>
            </w:r>
            <w:r w:rsidRPr="007D7642">
              <w:rPr>
                <w:rFonts w:asciiTheme="minorHAnsi" w:hAnsiTheme="minorHAnsi" w:cstheme="minorHAnsi"/>
                <w:sz w:val="18"/>
                <w:szCs w:val="18"/>
              </w:rPr>
              <w:t xml:space="preserve">o have </w:t>
            </w:r>
            <w:r w:rsidRPr="00851AFC">
              <w:rPr>
                <w:rFonts w:asciiTheme="minorHAnsi" w:hAnsiTheme="minorHAnsi" w:cstheme="minorHAnsi"/>
                <w:i/>
                <w:iCs/>
                <w:sz w:val="18"/>
                <w:szCs w:val="18"/>
              </w:rPr>
              <w:t>SMN2</w:t>
            </w:r>
            <w:r w:rsidRPr="007D7642">
              <w:rPr>
                <w:rFonts w:asciiTheme="minorHAnsi" w:hAnsiTheme="minorHAnsi" w:cstheme="minorHAnsi"/>
                <w:sz w:val="18"/>
                <w:szCs w:val="18"/>
              </w:rPr>
              <w:t xml:space="preserve"> gene copy number of 3.</w:t>
            </w:r>
            <w:r w:rsidR="0042315B">
              <w:rPr>
                <w:rFonts w:asciiTheme="minorHAnsi" w:hAnsiTheme="minorHAnsi" w:cstheme="minorHAnsi"/>
                <w:sz w:val="18"/>
                <w:szCs w:val="18"/>
              </w:rPr>
              <w:t xml:space="preserve"> </w:t>
            </w:r>
            <w:r w:rsidRPr="007D7642">
              <w:rPr>
                <w:rFonts w:asciiTheme="minorHAnsi" w:hAnsiTheme="minorHAnsi" w:cstheme="minorHAnsi"/>
                <w:sz w:val="18"/>
                <w:szCs w:val="18"/>
              </w:rPr>
              <w:t>The PBAC considered that pre</w:t>
            </w:r>
            <w:r w:rsidR="00CA105A">
              <w:rPr>
                <w:rFonts w:asciiTheme="minorHAnsi" w:hAnsiTheme="minorHAnsi" w:cstheme="minorHAnsi"/>
                <w:sz w:val="18"/>
                <w:szCs w:val="18"/>
              </w:rPr>
              <w:t> </w:t>
            </w:r>
            <w:r w:rsidRPr="007D7642">
              <w:rPr>
                <w:rFonts w:asciiTheme="minorHAnsi" w:hAnsiTheme="minorHAnsi" w:cstheme="minorHAnsi"/>
                <w:sz w:val="18"/>
                <w:szCs w:val="18"/>
              </w:rPr>
              <w:t>-</w:t>
            </w:r>
            <w:r w:rsidR="00CA105A">
              <w:rPr>
                <w:rFonts w:asciiTheme="minorHAnsi" w:hAnsiTheme="minorHAnsi" w:cstheme="minorHAnsi"/>
                <w:sz w:val="18"/>
                <w:szCs w:val="18"/>
              </w:rPr>
              <w:t> </w:t>
            </w:r>
            <w:r w:rsidRPr="007D7642">
              <w:rPr>
                <w:rFonts w:asciiTheme="minorHAnsi" w:hAnsiTheme="minorHAnsi" w:cstheme="minorHAnsi"/>
                <w:sz w:val="18"/>
                <w:szCs w:val="18"/>
              </w:rPr>
              <w:t xml:space="preserve">symptomatic treatment with ONA in patients with 3 copies of </w:t>
            </w:r>
            <w:r w:rsidRPr="00851AFC">
              <w:rPr>
                <w:rFonts w:asciiTheme="minorHAnsi" w:hAnsiTheme="minorHAnsi" w:cstheme="minorHAnsi"/>
                <w:i/>
                <w:iCs/>
                <w:sz w:val="18"/>
                <w:szCs w:val="18"/>
              </w:rPr>
              <w:t>SMN2</w:t>
            </w:r>
            <w:r w:rsidRPr="007D7642">
              <w:rPr>
                <w:rFonts w:asciiTheme="minorHAnsi" w:hAnsiTheme="minorHAnsi" w:cstheme="minorHAnsi"/>
                <w:sz w:val="18"/>
                <w:szCs w:val="18"/>
              </w:rPr>
              <w:t xml:space="preserve"> would provide an additional benefit for some patients compared with initiation of treatment upon development of symptoms. The PBAC noted there was remaining uncertainty regarding the cost-effectiveness of pre-symptomatic treatment with ONA in patients with 3 copies of </w:t>
            </w:r>
            <w:r w:rsidRPr="00851AFC">
              <w:rPr>
                <w:rFonts w:asciiTheme="minorHAnsi" w:hAnsiTheme="minorHAnsi" w:cstheme="minorHAnsi"/>
                <w:i/>
                <w:iCs/>
                <w:sz w:val="18"/>
                <w:szCs w:val="18"/>
              </w:rPr>
              <w:t>SMN2</w:t>
            </w:r>
            <w:r w:rsidRPr="007D7642">
              <w:rPr>
                <w:rFonts w:asciiTheme="minorHAnsi" w:hAnsiTheme="minorHAnsi" w:cstheme="minorHAnsi"/>
                <w:sz w:val="18"/>
                <w:szCs w:val="18"/>
              </w:rPr>
              <w:t xml:space="preserve"> due to the uncertain magnitude of incremental benefit compared to symptomatic treatment. However, the PBAC was satisfied that extension of the current listing would be adequately cost-effective with a price reduction for use in the proposed population.</w:t>
            </w:r>
          </w:p>
        </w:tc>
      </w:tr>
      <w:tr w:rsidR="00897FAC" w:rsidRPr="00015520" w14:paraId="41B47CB4" w14:textId="77777777" w:rsidTr="00344CBB">
        <w:trPr>
          <w:cantSplit/>
          <w:trHeight w:val="2948"/>
          <w:jc w:val="center"/>
        </w:trPr>
        <w:tc>
          <w:tcPr>
            <w:tcW w:w="3013" w:type="dxa"/>
            <w:shd w:val="clear" w:color="auto" w:fill="auto"/>
            <w:tcMar>
              <w:top w:w="28" w:type="dxa"/>
              <w:bottom w:w="28" w:type="dxa"/>
            </w:tcMar>
            <w:vAlign w:val="center"/>
          </w:tcPr>
          <w:p w14:paraId="2082CFBA" w14:textId="05D667A2"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PATISIRAN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10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Onpattro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br/>
              <w:t>Alnylam Australia Pty Ltd</w:t>
            </w:r>
            <w:r w:rsidRPr="00015520">
              <w:rPr>
                <w:rFonts w:asciiTheme="minorHAnsi" w:hAnsiTheme="minorHAnsi" w:cstheme="minorHAnsi"/>
                <w:color w:val="000000"/>
                <w:sz w:val="18"/>
                <w:szCs w:val="18"/>
              </w:rPr>
              <w:br/>
            </w:r>
          </w:p>
          <w:p w14:paraId="1F4E64BA" w14:textId="393F8254" w:rsidR="00897FAC" w:rsidRPr="00015520" w:rsidRDefault="00D17BF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1D7AED15" w14:textId="31EF07C3"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Hereditary transthyretin-mediated amyloidosis (</w:t>
            </w:r>
            <w:proofErr w:type="spellStart"/>
            <w:r w:rsidRPr="00015520">
              <w:rPr>
                <w:rFonts w:asciiTheme="minorHAnsi" w:hAnsiTheme="minorHAnsi" w:cstheme="minorHAnsi"/>
                <w:color w:val="000000"/>
                <w:sz w:val="18"/>
                <w:szCs w:val="18"/>
              </w:rPr>
              <w:t>hATTR</w:t>
            </w:r>
            <w:proofErr w:type="spellEnd"/>
            <w:r w:rsidRPr="00015520">
              <w:rPr>
                <w:rFonts w:asciiTheme="minorHAnsi" w:hAnsiTheme="minorHAnsi" w:cstheme="minorHAnsi"/>
                <w:color w:val="000000"/>
                <w:sz w:val="18"/>
                <w:szCs w:val="18"/>
              </w:rPr>
              <w:t xml:space="preserve"> amyloidosis)</w:t>
            </w:r>
          </w:p>
        </w:tc>
        <w:tc>
          <w:tcPr>
            <w:tcW w:w="3098" w:type="dxa"/>
            <w:shd w:val="clear" w:color="auto" w:fill="auto"/>
            <w:tcMar>
              <w:top w:w="28" w:type="dxa"/>
              <w:bottom w:w="28" w:type="dxa"/>
            </w:tcMar>
            <w:vAlign w:val="center"/>
          </w:tcPr>
          <w:p w14:paraId="0FE5EEA0" w14:textId="27096C28"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a Section 100 (Highly Specialised Drugs Program) Authority Required (Written) listing for the treatment of </w:t>
            </w:r>
            <w:proofErr w:type="spellStart"/>
            <w:r w:rsidRPr="00015520">
              <w:rPr>
                <w:rFonts w:asciiTheme="minorHAnsi" w:hAnsiTheme="minorHAnsi" w:cstheme="minorHAnsi"/>
                <w:color w:val="000000"/>
                <w:sz w:val="18"/>
                <w:szCs w:val="18"/>
              </w:rPr>
              <w:t>hATTR</w:t>
            </w:r>
            <w:proofErr w:type="spellEnd"/>
            <w:r w:rsidRPr="00015520">
              <w:rPr>
                <w:rFonts w:asciiTheme="minorHAnsi" w:hAnsiTheme="minorHAnsi" w:cstheme="minorHAnsi"/>
                <w:color w:val="000000"/>
                <w:sz w:val="18"/>
                <w:szCs w:val="18"/>
              </w:rPr>
              <w:t xml:space="preserve"> amyloidosis in adult patients with stage 1 or stage 2 polyneuropathy.</w:t>
            </w:r>
          </w:p>
        </w:tc>
        <w:tc>
          <w:tcPr>
            <w:tcW w:w="1920" w:type="dxa"/>
            <w:shd w:val="clear" w:color="auto" w:fill="auto"/>
            <w:vAlign w:val="center"/>
          </w:tcPr>
          <w:p w14:paraId="03001D80" w14:textId="2F8706E2"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08A4D861" w14:textId="2AE69D13" w:rsidR="001A0295" w:rsidRDefault="00F4322A" w:rsidP="00F00A70">
            <w:pPr>
              <w:rPr>
                <w:rFonts w:asciiTheme="minorHAnsi" w:hAnsiTheme="minorHAnsi" w:cstheme="minorHAnsi"/>
                <w:color w:val="000000"/>
                <w:sz w:val="18"/>
                <w:szCs w:val="18"/>
              </w:rPr>
            </w:pPr>
            <w:r w:rsidRPr="00F4322A">
              <w:rPr>
                <w:rFonts w:asciiTheme="minorHAnsi" w:hAnsiTheme="minorHAnsi" w:cstheme="minorHAnsi"/>
                <w:color w:val="000000"/>
                <w:sz w:val="18"/>
                <w:szCs w:val="18"/>
              </w:rPr>
              <w:t xml:space="preserve">The PBAC did not recommend </w:t>
            </w:r>
            <w:proofErr w:type="spellStart"/>
            <w:r w:rsidRPr="00F4322A">
              <w:rPr>
                <w:rFonts w:asciiTheme="minorHAnsi" w:hAnsiTheme="minorHAnsi" w:cstheme="minorHAnsi"/>
                <w:color w:val="000000"/>
                <w:sz w:val="18"/>
                <w:szCs w:val="18"/>
              </w:rPr>
              <w:t>patisiran</w:t>
            </w:r>
            <w:proofErr w:type="spellEnd"/>
            <w:r w:rsidRPr="00F4322A">
              <w:rPr>
                <w:rFonts w:asciiTheme="minorHAnsi" w:hAnsiTheme="minorHAnsi" w:cstheme="minorHAnsi"/>
                <w:color w:val="000000"/>
                <w:sz w:val="18"/>
                <w:szCs w:val="18"/>
              </w:rPr>
              <w:t xml:space="preserve"> for treatment of patients with </w:t>
            </w:r>
            <w:proofErr w:type="spellStart"/>
            <w:r w:rsidRPr="00F4322A">
              <w:rPr>
                <w:rFonts w:asciiTheme="minorHAnsi" w:hAnsiTheme="minorHAnsi" w:cstheme="minorHAnsi"/>
                <w:color w:val="000000"/>
                <w:sz w:val="18"/>
                <w:szCs w:val="18"/>
              </w:rPr>
              <w:t>hATTR</w:t>
            </w:r>
            <w:proofErr w:type="spellEnd"/>
            <w:r w:rsidRPr="00F4322A">
              <w:rPr>
                <w:rFonts w:asciiTheme="minorHAnsi" w:hAnsiTheme="minorHAnsi" w:cstheme="minorHAnsi"/>
                <w:color w:val="000000"/>
                <w:sz w:val="18"/>
                <w:szCs w:val="18"/>
              </w:rPr>
              <w:t xml:space="preserve"> amyloidosis with polyneuropathy. The PBAC considered there was a high unmet need in the requested patient population, and that efficacy and safety of </w:t>
            </w:r>
            <w:proofErr w:type="spellStart"/>
            <w:r w:rsidRPr="00F4322A">
              <w:rPr>
                <w:rFonts w:asciiTheme="minorHAnsi" w:hAnsiTheme="minorHAnsi" w:cstheme="minorHAnsi"/>
                <w:color w:val="000000"/>
                <w:sz w:val="18"/>
                <w:szCs w:val="18"/>
              </w:rPr>
              <w:t>patisiran</w:t>
            </w:r>
            <w:proofErr w:type="spellEnd"/>
            <w:r w:rsidRPr="00F4322A">
              <w:rPr>
                <w:rFonts w:asciiTheme="minorHAnsi" w:hAnsiTheme="minorHAnsi" w:cstheme="minorHAnsi"/>
                <w:color w:val="000000"/>
                <w:sz w:val="18"/>
                <w:szCs w:val="18"/>
              </w:rPr>
              <w:t xml:space="preserve"> compared with </w:t>
            </w:r>
            <w:r w:rsidR="007D25E6" w:rsidRPr="007D25E6">
              <w:rPr>
                <w:rFonts w:asciiTheme="minorHAnsi" w:hAnsiTheme="minorHAnsi" w:cstheme="minorHAnsi"/>
                <w:color w:val="000000"/>
                <w:sz w:val="18"/>
                <w:szCs w:val="18"/>
              </w:rPr>
              <w:t xml:space="preserve">best supportive care </w:t>
            </w:r>
            <w:r w:rsidRPr="00F4322A">
              <w:rPr>
                <w:rFonts w:asciiTheme="minorHAnsi" w:hAnsiTheme="minorHAnsi" w:cstheme="minorHAnsi"/>
                <w:color w:val="000000"/>
                <w:sz w:val="18"/>
                <w:szCs w:val="18"/>
              </w:rPr>
              <w:t xml:space="preserve">had been demonstrated by the clinical evidence, although there was a limited duration of randomised evidence. The PBAC considered that the submission had not demonstrated </w:t>
            </w:r>
            <w:proofErr w:type="spellStart"/>
            <w:r w:rsidRPr="00F4322A">
              <w:rPr>
                <w:rFonts w:asciiTheme="minorHAnsi" w:hAnsiTheme="minorHAnsi" w:cstheme="minorHAnsi"/>
                <w:color w:val="000000"/>
                <w:sz w:val="18"/>
                <w:szCs w:val="18"/>
              </w:rPr>
              <w:t>patisiran</w:t>
            </w:r>
            <w:proofErr w:type="spellEnd"/>
            <w:r w:rsidRPr="00F4322A">
              <w:rPr>
                <w:rFonts w:asciiTheme="minorHAnsi" w:hAnsiTheme="minorHAnsi" w:cstheme="minorHAnsi"/>
                <w:color w:val="000000"/>
                <w:sz w:val="18"/>
                <w:szCs w:val="18"/>
              </w:rPr>
              <w:t xml:space="preserve"> is cost</w:t>
            </w:r>
            <w:r w:rsidR="001A0295">
              <w:rPr>
                <w:rFonts w:asciiTheme="minorHAnsi" w:hAnsiTheme="minorHAnsi" w:cstheme="minorHAnsi"/>
                <w:color w:val="000000"/>
                <w:sz w:val="18"/>
                <w:szCs w:val="18"/>
              </w:rPr>
              <w:t> </w:t>
            </w:r>
            <w:r w:rsidRPr="00F4322A">
              <w:rPr>
                <w:rFonts w:asciiTheme="minorHAnsi" w:hAnsiTheme="minorHAnsi" w:cstheme="minorHAnsi"/>
                <w:color w:val="000000"/>
                <w:sz w:val="18"/>
                <w:szCs w:val="18"/>
              </w:rPr>
              <w:t>-</w:t>
            </w:r>
            <w:r w:rsidR="001A0295">
              <w:rPr>
                <w:rFonts w:asciiTheme="minorHAnsi" w:hAnsiTheme="minorHAnsi" w:cstheme="minorHAnsi"/>
                <w:color w:val="000000"/>
                <w:sz w:val="18"/>
                <w:szCs w:val="18"/>
              </w:rPr>
              <w:t> </w:t>
            </w:r>
            <w:r w:rsidRPr="00F4322A">
              <w:rPr>
                <w:rFonts w:asciiTheme="minorHAnsi" w:hAnsiTheme="minorHAnsi" w:cstheme="minorHAnsi"/>
                <w:color w:val="000000"/>
                <w:sz w:val="18"/>
                <w:szCs w:val="18"/>
              </w:rPr>
              <w:t xml:space="preserve">effective. </w:t>
            </w:r>
          </w:p>
          <w:p w14:paraId="627FB3C3" w14:textId="77777777" w:rsidR="001A0295" w:rsidRDefault="001A0295" w:rsidP="00F00A70">
            <w:pPr>
              <w:rPr>
                <w:rFonts w:asciiTheme="minorHAnsi" w:hAnsiTheme="minorHAnsi" w:cstheme="minorHAnsi"/>
                <w:color w:val="000000"/>
                <w:sz w:val="18"/>
                <w:szCs w:val="18"/>
              </w:rPr>
            </w:pPr>
          </w:p>
          <w:p w14:paraId="481927FF" w14:textId="65F06828" w:rsidR="00F4322A" w:rsidRDefault="00F4322A" w:rsidP="00F00A70">
            <w:pPr>
              <w:rPr>
                <w:rFonts w:asciiTheme="minorHAnsi" w:hAnsiTheme="minorHAnsi" w:cstheme="minorHAnsi"/>
                <w:color w:val="000000"/>
                <w:sz w:val="18"/>
                <w:szCs w:val="18"/>
              </w:rPr>
            </w:pPr>
            <w:r w:rsidRPr="00F4322A">
              <w:rPr>
                <w:rFonts w:asciiTheme="minorHAnsi" w:hAnsiTheme="minorHAnsi" w:cstheme="minorHAnsi"/>
                <w:color w:val="000000"/>
                <w:sz w:val="18"/>
                <w:szCs w:val="18"/>
              </w:rPr>
              <w:t xml:space="preserve">The PBAC nominated the </w:t>
            </w:r>
            <w:r w:rsidR="004E1AA0">
              <w:rPr>
                <w:rFonts w:asciiTheme="minorHAnsi" w:hAnsiTheme="minorHAnsi" w:cstheme="minorHAnsi"/>
                <w:color w:val="000000"/>
                <w:sz w:val="18"/>
                <w:szCs w:val="18"/>
              </w:rPr>
              <w:t>e</w:t>
            </w:r>
            <w:r w:rsidRPr="00F4322A">
              <w:rPr>
                <w:rFonts w:asciiTheme="minorHAnsi" w:hAnsiTheme="minorHAnsi" w:cstheme="minorHAnsi"/>
                <w:color w:val="000000"/>
                <w:sz w:val="18"/>
                <w:szCs w:val="18"/>
              </w:rPr>
              <w:t xml:space="preserve">arly </w:t>
            </w:r>
            <w:r w:rsidR="004E1AA0">
              <w:rPr>
                <w:rFonts w:asciiTheme="minorHAnsi" w:hAnsiTheme="minorHAnsi" w:cstheme="minorHAnsi"/>
                <w:color w:val="000000"/>
                <w:sz w:val="18"/>
                <w:szCs w:val="18"/>
              </w:rPr>
              <w:t>r</w:t>
            </w:r>
            <w:r w:rsidRPr="00F4322A">
              <w:rPr>
                <w:rFonts w:asciiTheme="minorHAnsi" w:hAnsiTheme="minorHAnsi" w:cstheme="minorHAnsi"/>
                <w:color w:val="000000"/>
                <w:sz w:val="18"/>
                <w:szCs w:val="18"/>
              </w:rPr>
              <w:t>esolution re-submission pathway for this item.</w:t>
            </w:r>
          </w:p>
          <w:p w14:paraId="3B108833" w14:textId="77777777" w:rsidR="00F4322A" w:rsidRPr="00851AFC" w:rsidRDefault="00F4322A" w:rsidP="00F00A70">
            <w:pPr>
              <w:rPr>
                <w:rFonts w:asciiTheme="minorHAnsi" w:hAnsiTheme="minorHAnsi" w:cstheme="minorHAnsi"/>
                <w:color w:val="000000"/>
                <w:sz w:val="18"/>
                <w:szCs w:val="18"/>
              </w:rPr>
            </w:pPr>
          </w:p>
          <w:p w14:paraId="498993AF" w14:textId="3AEA4300" w:rsidR="00F00A70" w:rsidRDefault="00F00A70" w:rsidP="00F00A70">
            <w:pPr>
              <w:rPr>
                <w:rFonts w:asciiTheme="minorHAnsi" w:hAnsiTheme="minorHAnsi" w:cstheme="minorHAnsi"/>
                <w:color w:val="000000"/>
                <w:sz w:val="18"/>
                <w:szCs w:val="18"/>
              </w:rPr>
            </w:pPr>
            <w:r w:rsidRPr="62154131">
              <w:rPr>
                <w:rFonts w:asciiTheme="minorHAnsi" w:hAnsiTheme="minorHAnsi" w:cstheme="minorBidi"/>
                <w:color w:val="000000" w:themeColor="text1"/>
                <w:sz w:val="18"/>
                <w:szCs w:val="18"/>
                <w:u w:val="single"/>
              </w:rPr>
              <w:t>Sponsor’s Comment:</w:t>
            </w:r>
          </w:p>
          <w:p w14:paraId="36785728" w14:textId="19D0944B" w:rsidR="00897FAC" w:rsidRPr="00015520" w:rsidRDefault="13DB5ACD"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The sponsor had no comment.</w:t>
            </w:r>
          </w:p>
        </w:tc>
      </w:tr>
      <w:tr w:rsidR="00897FAC" w:rsidRPr="00015520" w14:paraId="76945031" w14:textId="77777777" w:rsidTr="00344CBB">
        <w:trPr>
          <w:cantSplit/>
          <w:trHeight w:val="2948"/>
          <w:jc w:val="center"/>
        </w:trPr>
        <w:tc>
          <w:tcPr>
            <w:tcW w:w="3013" w:type="dxa"/>
            <w:shd w:val="clear" w:color="auto" w:fill="auto"/>
            <w:tcMar>
              <w:top w:w="28" w:type="dxa"/>
              <w:bottom w:w="28" w:type="dxa"/>
            </w:tcMar>
            <w:vAlign w:val="center"/>
          </w:tcPr>
          <w:p w14:paraId="33CC9AAA" w14:textId="3E2DAC11"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PEMBROLIZUMAB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4</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Keytruda®</w:t>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br/>
              <w:t>Merck Sharp &amp; Dohme (Australia) Pty Ltd</w:t>
            </w:r>
            <w:r w:rsidRPr="00015520">
              <w:rPr>
                <w:rFonts w:asciiTheme="minorHAnsi" w:hAnsiTheme="minorHAnsi" w:cstheme="minorHAnsi"/>
                <w:color w:val="000000"/>
                <w:sz w:val="18"/>
                <w:szCs w:val="18"/>
              </w:rPr>
              <w:br/>
            </w:r>
          </w:p>
          <w:p w14:paraId="26D7A96B" w14:textId="0D00400C" w:rsidR="00897FAC" w:rsidRPr="00015520" w:rsidRDefault="00D17BF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3A8B325B" w14:textId="4F5519B8"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Breast cancer</w:t>
            </w:r>
          </w:p>
        </w:tc>
        <w:tc>
          <w:tcPr>
            <w:tcW w:w="3098" w:type="dxa"/>
            <w:shd w:val="clear" w:color="auto" w:fill="auto"/>
            <w:tcMar>
              <w:top w:w="28" w:type="dxa"/>
              <w:bottom w:w="28" w:type="dxa"/>
            </w:tcMar>
            <w:vAlign w:val="center"/>
          </w:tcPr>
          <w:p w14:paraId="0917A7A7" w14:textId="0EC8940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Section 100 (Efficient Funding of Chemotherapy) Authority Required (STREAMLINED) listing for the treatment of early stage triple negative breast cancer (</w:t>
            </w:r>
            <w:proofErr w:type="spellStart"/>
            <w:r w:rsidRPr="00015520">
              <w:rPr>
                <w:rFonts w:asciiTheme="minorHAnsi" w:hAnsiTheme="minorHAnsi" w:cstheme="minorHAnsi"/>
                <w:color w:val="000000"/>
                <w:sz w:val="18"/>
                <w:szCs w:val="18"/>
              </w:rPr>
              <w:t>eTNBC</w:t>
            </w:r>
            <w:proofErr w:type="spellEnd"/>
            <w:r w:rsidRPr="00015520">
              <w:rPr>
                <w:rFonts w:asciiTheme="minorHAnsi" w:hAnsiTheme="minorHAnsi" w:cstheme="minorHAnsi"/>
                <w:color w:val="000000"/>
                <w:sz w:val="18"/>
                <w:szCs w:val="18"/>
              </w:rPr>
              <w:t>) in patients who have not received prior systemic therapy.</w:t>
            </w:r>
          </w:p>
        </w:tc>
        <w:tc>
          <w:tcPr>
            <w:tcW w:w="1920" w:type="dxa"/>
            <w:shd w:val="clear" w:color="auto" w:fill="auto"/>
            <w:vAlign w:val="center"/>
          </w:tcPr>
          <w:p w14:paraId="6B8755EE" w14:textId="3FE42890"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41F8885E" w14:textId="6541D3C7" w:rsidR="00897FAC" w:rsidRPr="00015520" w:rsidRDefault="00897FAC" w:rsidP="62154131">
            <w:pPr>
              <w:rPr>
                <w:rFonts w:asciiTheme="minorHAnsi" w:hAnsiTheme="minorHAnsi" w:cstheme="minorBidi"/>
                <w:color w:val="000000"/>
                <w:sz w:val="18"/>
                <w:szCs w:val="18"/>
              </w:rPr>
            </w:pPr>
            <w:r w:rsidRPr="62154131">
              <w:rPr>
                <w:rFonts w:asciiTheme="minorHAnsi" w:hAnsiTheme="minorHAnsi" w:cstheme="minorBidi"/>
                <w:sz w:val="18"/>
                <w:szCs w:val="18"/>
              </w:rPr>
              <w:t xml:space="preserve">The PBAC recommended the listing of pembrolizumab for the treatment of </w:t>
            </w:r>
            <w:proofErr w:type="spellStart"/>
            <w:r w:rsidR="0042315B" w:rsidRPr="62154131">
              <w:rPr>
                <w:rFonts w:asciiTheme="minorHAnsi" w:hAnsiTheme="minorHAnsi" w:cstheme="minorBidi"/>
                <w:color w:val="000000" w:themeColor="text1"/>
                <w:sz w:val="18"/>
                <w:szCs w:val="18"/>
              </w:rPr>
              <w:t>eTNBC</w:t>
            </w:r>
            <w:proofErr w:type="spellEnd"/>
            <w:r w:rsidRPr="62154131">
              <w:rPr>
                <w:rFonts w:asciiTheme="minorHAnsi" w:hAnsiTheme="minorHAnsi" w:cstheme="minorBidi"/>
                <w:sz w:val="18"/>
                <w:szCs w:val="18"/>
              </w:rPr>
              <w:t>. The PBAC noted there is a high clinical need for effective treatment in this patient population, who are typically young and have a poor prognosis. The PBAC considered that the amendments made in the resubmission, including changes to the economic evaluation and a reduced price had sufficiently addressed the Committee’s previous concerns. The PBAC considered the financial estimates should be revised to be based on the same number of pembrolizumab treatment cycles as for the economic model, and to account for offsets due to reduced use of pembrolizumab in the metastatic setting. The PBAC considered a risk sharing arrangement including use in both the early stage and metastatic settings to be appropriate.</w:t>
            </w:r>
          </w:p>
        </w:tc>
      </w:tr>
      <w:tr w:rsidR="00897FAC" w:rsidRPr="00015520" w14:paraId="07695403" w14:textId="77777777" w:rsidTr="00344CBB">
        <w:trPr>
          <w:cantSplit/>
          <w:trHeight w:val="2948"/>
          <w:jc w:val="center"/>
        </w:trPr>
        <w:tc>
          <w:tcPr>
            <w:tcW w:w="3013" w:type="dxa"/>
            <w:shd w:val="clear" w:color="auto" w:fill="auto"/>
            <w:tcMar>
              <w:top w:w="28" w:type="dxa"/>
              <w:bottom w:w="28" w:type="dxa"/>
            </w:tcMar>
            <w:vAlign w:val="center"/>
          </w:tcPr>
          <w:p w14:paraId="0199FB55" w14:textId="150F173C"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POMALIDOMIDE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Capsule 2</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Pomolide</w:t>
            </w:r>
            <w:r w:rsidRPr="00574693">
              <w:rPr>
                <w:rFonts w:asciiTheme="minorHAnsi" w:hAnsiTheme="minorHAnsi" w:cstheme="minorHAnsi"/>
                <w:color w:val="000000"/>
                <w:sz w:val="18"/>
                <w:szCs w:val="18"/>
                <w:vertAlign w:val="superscript"/>
              </w:rPr>
              <w:t>TM</w:t>
            </w:r>
            <w:proofErr w:type="spellEnd"/>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Juno Pharmaceuticals Pty Ltd</w:t>
            </w:r>
            <w:r w:rsidRPr="00015520">
              <w:rPr>
                <w:rFonts w:asciiTheme="minorHAnsi" w:hAnsiTheme="minorHAnsi" w:cstheme="minorHAnsi"/>
                <w:color w:val="000000"/>
                <w:sz w:val="18"/>
                <w:szCs w:val="18"/>
              </w:rPr>
              <w:br/>
            </w:r>
          </w:p>
          <w:p w14:paraId="4687854B" w14:textId="392518C7" w:rsidR="00897FAC" w:rsidRPr="00015520" w:rsidRDefault="00D17BF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58117353" w14:textId="44F1F063"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Relapsed/refractory multiple myeloma</w:t>
            </w:r>
            <w:r w:rsidR="00BE5C0F">
              <w:rPr>
                <w:rFonts w:asciiTheme="minorHAnsi" w:hAnsiTheme="minorHAnsi" w:cstheme="minorHAnsi"/>
                <w:color w:val="000000"/>
                <w:sz w:val="18"/>
                <w:szCs w:val="18"/>
              </w:rPr>
              <w:t xml:space="preserve"> (RRMM)</w:t>
            </w:r>
          </w:p>
        </w:tc>
        <w:tc>
          <w:tcPr>
            <w:tcW w:w="3098" w:type="dxa"/>
            <w:shd w:val="clear" w:color="auto" w:fill="auto"/>
            <w:tcMar>
              <w:top w:w="28" w:type="dxa"/>
              <w:bottom w:w="28" w:type="dxa"/>
            </w:tcMar>
            <w:vAlign w:val="center"/>
          </w:tcPr>
          <w:p w14:paraId="30821244" w14:textId="4E2FC1B1"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a Section 100 (Highly Specialised Drugs Program) Authority Required listing for the treatment of </w:t>
            </w:r>
            <w:r w:rsidR="00BE5C0F">
              <w:rPr>
                <w:rFonts w:asciiTheme="minorHAnsi" w:hAnsiTheme="minorHAnsi" w:cstheme="minorHAnsi"/>
                <w:color w:val="000000"/>
                <w:sz w:val="18"/>
                <w:szCs w:val="18"/>
              </w:rPr>
              <w:t>RRMM</w:t>
            </w:r>
            <w:r w:rsidRPr="00015520">
              <w:rPr>
                <w:rFonts w:asciiTheme="minorHAnsi" w:hAnsiTheme="minorHAnsi" w:cstheme="minorHAnsi"/>
                <w:color w:val="000000"/>
                <w:sz w:val="18"/>
                <w:szCs w:val="18"/>
              </w:rPr>
              <w:t xml:space="preserve"> of two new forms under the same conditions as the currently listed forms of pomalidomide.</w:t>
            </w:r>
          </w:p>
        </w:tc>
        <w:tc>
          <w:tcPr>
            <w:tcW w:w="1920" w:type="dxa"/>
            <w:shd w:val="clear" w:color="auto" w:fill="auto"/>
            <w:vAlign w:val="center"/>
          </w:tcPr>
          <w:p w14:paraId="09038FC0" w14:textId="258CC82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68AE7271" w14:textId="6AF28280"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a Section 100 (Highly Specialised Drugs Program) Authority Required listing of two new forms of pomalidomide (capsule 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capsule 2</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proofErr w:type="spellStart"/>
            <w:r w:rsidRPr="00015520">
              <w:rPr>
                <w:rFonts w:asciiTheme="minorHAnsi" w:hAnsiTheme="minorHAnsi" w:cstheme="minorHAnsi"/>
                <w:color w:val="000000"/>
                <w:sz w:val="18"/>
                <w:szCs w:val="18"/>
              </w:rPr>
              <w:t>Pomolide</w:t>
            </w:r>
            <w:r w:rsidR="00F4322A" w:rsidRPr="00574693">
              <w:rPr>
                <w:rFonts w:asciiTheme="minorHAnsi" w:hAnsiTheme="minorHAnsi" w:cstheme="minorHAnsi"/>
                <w:color w:val="000000"/>
                <w:sz w:val="18"/>
                <w:szCs w:val="18"/>
                <w:vertAlign w:val="superscript"/>
              </w:rPr>
              <w:t>TM</w:t>
            </w:r>
            <w:proofErr w:type="spellEnd"/>
            <w:r w:rsidRPr="00015520">
              <w:rPr>
                <w:rFonts w:asciiTheme="minorHAnsi" w:hAnsiTheme="minorHAnsi" w:cstheme="minorHAnsi"/>
                <w:color w:val="000000"/>
                <w:sz w:val="18"/>
                <w:szCs w:val="18"/>
              </w:rPr>
              <w:t xml:space="preserve">) for the treatment of </w:t>
            </w:r>
            <w:r w:rsidR="00BE5C0F">
              <w:rPr>
                <w:rFonts w:asciiTheme="minorHAnsi" w:hAnsiTheme="minorHAnsi" w:cstheme="minorHAnsi"/>
                <w:color w:val="000000"/>
                <w:sz w:val="18"/>
                <w:szCs w:val="18"/>
              </w:rPr>
              <w:t>RRMM</w:t>
            </w:r>
            <w:r w:rsidRPr="00015520">
              <w:rPr>
                <w:rFonts w:asciiTheme="minorHAnsi" w:hAnsiTheme="minorHAnsi" w:cstheme="minorHAnsi"/>
                <w:color w:val="000000"/>
                <w:sz w:val="18"/>
                <w:szCs w:val="18"/>
              </w:rPr>
              <w:t xml:space="preserve"> under the same conditions as the currently listed forms of pomalidomide (capsule 3</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capsule 4</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proofErr w:type="spellStart"/>
            <w:r w:rsidRPr="00015520">
              <w:rPr>
                <w:rFonts w:asciiTheme="minorHAnsi" w:hAnsiTheme="minorHAnsi" w:cstheme="minorHAnsi"/>
                <w:color w:val="000000"/>
                <w:sz w:val="18"/>
                <w:szCs w:val="18"/>
              </w:rPr>
              <w:t>Pomolide</w:t>
            </w:r>
            <w:r w:rsidR="00F4322A" w:rsidRPr="00574693">
              <w:rPr>
                <w:rFonts w:asciiTheme="minorHAnsi" w:hAnsiTheme="minorHAnsi" w:cstheme="minorHAnsi"/>
                <w:color w:val="000000"/>
                <w:sz w:val="18"/>
                <w:szCs w:val="18"/>
                <w:vertAlign w:val="superscript"/>
              </w:rPr>
              <w:t>TM</w:t>
            </w:r>
            <w:proofErr w:type="spellEnd"/>
            <w:r w:rsidRPr="00015520">
              <w:rPr>
                <w:rFonts w:asciiTheme="minorHAnsi" w:hAnsiTheme="minorHAnsi" w:cstheme="minorHAnsi"/>
                <w:color w:val="000000"/>
                <w:sz w:val="18"/>
                <w:szCs w:val="18"/>
              </w:rPr>
              <w:t>).</w:t>
            </w:r>
          </w:p>
        </w:tc>
      </w:tr>
      <w:tr w:rsidR="00897FAC" w:rsidRPr="00015520" w14:paraId="6CE326A4" w14:textId="77777777" w:rsidTr="00344CBB">
        <w:trPr>
          <w:cantSplit/>
          <w:trHeight w:val="2948"/>
          <w:jc w:val="center"/>
        </w:trPr>
        <w:tc>
          <w:tcPr>
            <w:tcW w:w="3013" w:type="dxa"/>
            <w:shd w:val="clear" w:color="auto" w:fill="auto"/>
            <w:tcMar>
              <w:top w:w="28" w:type="dxa"/>
              <w:bottom w:w="28" w:type="dxa"/>
            </w:tcMar>
            <w:vAlign w:val="center"/>
          </w:tcPr>
          <w:p w14:paraId="040C14BB" w14:textId="7DD57D3B"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RAVULIZUMAB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300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3</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t>Solution concentrate for I.V. infusion 1.1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g in 11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Ultomiris</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Alexion Pharmaceuticals Australasia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Matters outstanding</w:t>
            </w:r>
            <w:r w:rsidRPr="00015520">
              <w:rPr>
                <w:rFonts w:asciiTheme="minorHAnsi" w:hAnsiTheme="minorHAnsi" w:cstheme="minorHAnsi"/>
                <w:color w:val="000000"/>
                <w:sz w:val="18"/>
                <w:szCs w:val="18"/>
              </w:rPr>
              <w:br/>
              <w:t>(Change to PBS listing)</w:t>
            </w:r>
          </w:p>
        </w:tc>
        <w:tc>
          <w:tcPr>
            <w:tcW w:w="2764" w:type="dxa"/>
            <w:shd w:val="clear" w:color="auto" w:fill="auto"/>
            <w:vAlign w:val="center"/>
          </w:tcPr>
          <w:p w14:paraId="5E83F145" w14:textId="11253F9B"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Atypical haemolytic uraemic syndrome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w:t>
            </w:r>
          </w:p>
        </w:tc>
        <w:tc>
          <w:tcPr>
            <w:tcW w:w="3098" w:type="dxa"/>
            <w:shd w:val="clear" w:color="auto" w:fill="auto"/>
            <w:tcMar>
              <w:top w:w="28" w:type="dxa"/>
              <w:bottom w:w="28" w:type="dxa"/>
            </w:tcMar>
            <w:vAlign w:val="center"/>
          </w:tcPr>
          <w:p w14:paraId="06CBCBC5" w14:textId="5D05C731"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a Section 100 (Highly Specialised Drugs Program) Authority Required (Written) listing for the treatment of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 as deferred from the March 2023 PBAC Meeting.</w:t>
            </w:r>
          </w:p>
        </w:tc>
        <w:tc>
          <w:tcPr>
            <w:tcW w:w="1920" w:type="dxa"/>
            <w:shd w:val="clear" w:color="auto" w:fill="auto"/>
            <w:vAlign w:val="center"/>
          </w:tcPr>
          <w:p w14:paraId="53550707" w14:textId="41B7913F"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669F8D4E" w14:textId="3B2E3C73" w:rsidR="00BE5C0F"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the Authority required listing of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for the treatment of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 on the basis that it should be available only under special arrangements under the Section 100 Highly Specialised Drugs Program, following its deferral at the March</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2023 PBAC meeting. </w:t>
            </w:r>
          </w:p>
          <w:p w14:paraId="7FFB75CD" w14:textId="6DF103B7"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br/>
              <w:t xml:space="preserve">The PBAC had previously noted that funding of PBS medicines for public hospital inpatients was inconsistent with PBS policy and considered that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should not be subsidised for admitted patients in public hospitals. Following the March</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2023 meeting, the PBAC sought advice from the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 xml:space="preserve"> Expert Reference Group to resolve issues for the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 xml:space="preserve"> PBS restrictions for C5 inhibitor therapies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and eculizumab) to allow appropriate PBS use of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This advice informed the recommended PBS listing for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in July</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2023. The PBAC also considered its additional prior concerns related to the cost-minimisation approach and the financial estimates were adequately resolved. The PBAC considered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would be cost-effective on the basis of cost-minimisation to eculizumab. The PBAC also considered that the overall PBS cost for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 xml:space="preserve"> treatment with a C5 inhibitor therapy should not increase with the listing of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The PBAC recommended that a risk sharing arrangement to cover the overall PBS cost of </w:t>
            </w:r>
            <w:proofErr w:type="spellStart"/>
            <w:r w:rsidRPr="00015520">
              <w:rPr>
                <w:rFonts w:asciiTheme="minorHAnsi" w:hAnsiTheme="minorHAnsi" w:cstheme="minorHAnsi"/>
                <w:color w:val="000000"/>
                <w:sz w:val="18"/>
                <w:szCs w:val="18"/>
              </w:rPr>
              <w:t>aHUS</w:t>
            </w:r>
            <w:proofErr w:type="spellEnd"/>
            <w:r w:rsidRPr="00015520">
              <w:rPr>
                <w:rFonts w:asciiTheme="minorHAnsi" w:hAnsiTheme="minorHAnsi" w:cstheme="minorHAnsi"/>
                <w:color w:val="000000"/>
                <w:sz w:val="18"/>
                <w:szCs w:val="18"/>
              </w:rPr>
              <w:t xml:space="preserve"> treatment with a C5 inhibitor therapy would be required.</w:t>
            </w:r>
          </w:p>
        </w:tc>
      </w:tr>
      <w:tr w:rsidR="00897FAC" w:rsidRPr="00015520" w14:paraId="15822741" w14:textId="77777777" w:rsidTr="00344CBB">
        <w:trPr>
          <w:cantSplit/>
          <w:trHeight w:val="2948"/>
          <w:jc w:val="center"/>
        </w:trPr>
        <w:tc>
          <w:tcPr>
            <w:tcW w:w="3013" w:type="dxa"/>
            <w:shd w:val="clear" w:color="auto" w:fill="auto"/>
            <w:tcMar>
              <w:top w:w="28" w:type="dxa"/>
              <w:bottom w:w="28" w:type="dxa"/>
            </w:tcMar>
            <w:vAlign w:val="center"/>
          </w:tcPr>
          <w:p w14:paraId="64E3A635" w14:textId="54594739"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RAVULIZUMAB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w:t>
            </w:r>
            <w:r w:rsidRPr="00015520">
              <w:rPr>
                <w:rFonts w:asciiTheme="minorHAnsi" w:hAnsiTheme="minorHAnsi" w:cstheme="minorHAnsi"/>
                <w:color w:val="000000"/>
                <w:sz w:val="18"/>
                <w:szCs w:val="18"/>
              </w:rPr>
              <w:br/>
              <w:t>300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3</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Solution concentrate for I.V. infusion 1,100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Ultomiris</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Alexion Pharmaceuticals Australasia Pty Ltd</w:t>
            </w:r>
            <w:r w:rsidRPr="00015520">
              <w:rPr>
                <w:rFonts w:asciiTheme="minorHAnsi" w:hAnsiTheme="minorHAnsi" w:cstheme="minorHAnsi"/>
                <w:color w:val="000000"/>
                <w:sz w:val="18"/>
                <w:szCs w:val="18"/>
              </w:rPr>
              <w:br/>
            </w:r>
          </w:p>
          <w:p w14:paraId="7031AD2E" w14:textId="7956ADFC" w:rsidR="00897FAC" w:rsidRPr="00015520" w:rsidRDefault="00D17BF1"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3CCDBC31" w14:textId="6E48F290"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Paroxysmal nocturnal haemoglobinuria (PNH)</w:t>
            </w:r>
          </w:p>
        </w:tc>
        <w:tc>
          <w:tcPr>
            <w:tcW w:w="3098" w:type="dxa"/>
            <w:shd w:val="clear" w:color="auto" w:fill="auto"/>
            <w:tcMar>
              <w:top w:w="28" w:type="dxa"/>
              <w:bottom w:w="28" w:type="dxa"/>
            </w:tcMar>
            <w:vAlign w:val="center"/>
          </w:tcPr>
          <w:p w14:paraId="3BB96EA8" w14:textId="7F8E670F"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(Highly Specialised Drugs Program) Authority Required (Written) listing for paediatric patients with PNH.</w:t>
            </w:r>
          </w:p>
        </w:tc>
        <w:tc>
          <w:tcPr>
            <w:tcW w:w="1920" w:type="dxa"/>
            <w:shd w:val="clear" w:color="auto" w:fill="auto"/>
            <w:vAlign w:val="center"/>
          </w:tcPr>
          <w:p w14:paraId="53D6E81D" w14:textId="1514A842"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76938C81" w14:textId="6481B33C"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The PBAC recommended amending the Section 100 Highly Specialised Drugs Program (Public and Private Hospital)</w:t>
            </w:r>
            <w:r w:rsidR="001E2CF5">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 xml:space="preserve">listings of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to permit use in paediatric patients with PNH. In making this recommendation, the PBAC was satisfied that the available evidence, while limited due to the rarity of PNH in children, was overall reasonable to conclude that </w:t>
            </w:r>
            <w:proofErr w:type="spellStart"/>
            <w:r w:rsidRPr="00015520">
              <w:rPr>
                <w:rFonts w:asciiTheme="minorHAnsi" w:hAnsiTheme="minorHAnsi" w:cstheme="minorHAnsi"/>
                <w:color w:val="000000"/>
                <w:sz w:val="18"/>
                <w:szCs w:val="18"/>
              </w:rPr>
              <w:t>ravulizumab</w:t>
            </w:r>
            <w:proofErr w:type="spellEnd"/>
            <w:r w:rsidRPr="00015520">
              <w:rPr>
                <w:rFonts w:asciiTheme="minorHAnsi" w:hAnsiTheme="minorHAnsi" w:cstheme="minorHAnsi"/>
                <w:color w:val="000000"/>
                <w:sz w:val="18"/>
                <w:szCs w:val="18"/>
              </w:rPr>
              <w:t xml:space="preserve"> is likely to be of non-inferior comparative effectiveness and safety to eculizumab in this patient population.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The PBAC noted the extension to the PBS listing to include paediatric patients would resolve current equity issues for these patients by providing an effective treatment option with reduced hospital attendances and infusion frequency, which can be highly impactful on children.</w:t>
            </w:r>
          </w:p>
        </w:tc>
      </w:tr>
      <w:tr w:rsidR="00897FAC" w:rsidRPr="00015520" w14:paraId="02F6AB58" w14:textId="77777777" w:rsidTr="00344CBB">
        <w:trPr>
          <w:cantSplit/>
          <w:trHeight w:val="2948"/>
          <w:jc w:val="center"/>
        </w:trPr>
        <w:tc>
          <w:tcPr>
            <w:tcW w:w="3013" w:type="dxa"/>
            <w:shd w:val="clear" w:color="auto" w:fill="auto"/>
            <w:tcMar>
              <w:top w:w="28" w:type="dxa"/>
              <w:bottom w:w="28" w:type="dxa"/>
            </w:tcMar>
            <w:vAlign w:val="center"/>
          </w:tcPr>
          <w:p w14:paraId="1B9E4EC0" w14:textId="3EB16669"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RELATLIMAB AND NIVOLUMAB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containing 80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proofErr w:type="spellStart"/>
            <w:r w:rsidRPr="00015520">
              <w:rPr>
                <w:rFonts w:asciiTheme="minorHAnsi" w:hAnsiTheme="minorHAnsi" w:cstheme="minorHAnsi"/>
                <w:color w:val="000000"/>
                <w:sz w:val="18"/>
                <w:szCs w:val="18"/>
              </w:rPr>
              <w:t>relatlimab</w:t>
            </w:r>
            <w:proofErr w:type="spellEnd"/>
            <w:r w:rsidRPr="00015520">
              <w:rPr>
                <w:rFonts w:asciiTheme="minorHAnsi" w:hAnsiTheme="minorHAnsi" w:cstheme="minorHAnsi"/>
                <w:color w:val="000000"/>
                <w:sz w:val="18"/>
                <w:szCs w:val="18"/>
              </w:rPr>
              <w:t xml:space="preserve"> and 240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nivolumab in 20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Opdualag</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Bristol-Myers Squibb Australia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Matters arising</w:t>
            </w:r>
            <w:r w:rsidRPr="00015520">
              <w:rPr>
                <w:rFonts w:asciiTheme="minorHAnsi" w:hAnsiTheme="minorHAnsi" w:cstheme="minorHAnsi"/>
                <w:color w:val="000000"/>
                <w:sz w:val="18"/>
                <w:szCs w:val="18"/>
              </w:rPr>
              <w:br/>
              <w:t>(New PBS listing)</w:t>
            </w:r>
          </w:p>
        </w:tc>
        <w:tc>
          <w:tcPr>
            <w:tcW w:w="2764" w:type="dxa"/>
            <w:shd w:val="clear" w:color="auto" w:fill="auto"/>
            <w:vAlign w:val="center"/>
          </w:tcPr>
          <w:p w14:paraId="233FD5BF" w14:textId="65486C43"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Melanoma</w:t>
            </w:r>
          </w:p>
        </w:tc>
        <w:tc>
          <w:tcPr>
            <w:tcW w:w="3098" w:type="dxa"/>
            <w:shd w:val="clear" w:color="auto" w:fill="auto"/>
            <w:tcMar>
              <w:top w:w="28" w:type="dxa"/>
              <w:bottom w:w="28" w:type="dxa"/>
            </w:tcMar>
            <w:vAlign w:val="center"/>
          </w:tcPr>
          <w:p w14:paraId="62F7D5FE" w14:textId="266E3682"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Section 100 (Efficient Funding of Chemotherapy) Authority Required (STREAMLINED) listing for the treatment of unresectable Stage III or Stage IV malignant melanoma.</w:t>
            </w:r>
          </w:p>
        </w:tc>
        <w:tc>
          <w:tcPr>
            <w:tcW w:w="1920" w:type="dxa"/>
            <w:shd w:val="clear" w:color="auto" w:fill="auto"/>
            <w:vAlign w:val="center"/>
          </w:tcPr>
          <w:p w14:paraId="58D94C0C" w14:textId="1D82D8FC" w:rsidR="00897FAC" w:rsidRPr="00015520" w:rsidRDefault="00D14317"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21382823" w14:textId="677C7E1C" w:rsidR="00D14317" w:rsidRPr="00D14317" w:rsidRDefault="00D14317" w:rsidP="00D14317">
            <w:pPr>
              <w:rPr>
                <w:rFonts w:asciiTheme="minorHAnsi" w:hAnsiTheme="minorHAnsi" w:cstheme="minorHAnsi"/>
                <w:color w:val="000000"/>
                <w:sz w:val="18"/>
                <w:szCs w:val="18"/>
              </w:rPr>
            </w:pPr>
            <w:r w:rsidRPr="00D14317">
              <w:rPr>
                <w:rFonts w:asciiTheme="minorHAnsi" w:hAnsiTheme="minorHAnsi" w:cstheme="minorHAnsi"/>
                <w:color w:val="000000"/>
                <w:sz w:val="18"/>
                <w:szCs w:val="18"/>
              </w:rPr>
              <w:t xml:space="preserve">The PBAC recommended the listing of </w:t>
            </w:r>
            <w:proofErr w:type="spellStart"/>
            <w:r w:rsidRPr="00015520">
              <w:rPr>
                <w:rFonts w:asciiTheme="minorHAnsi" w:hAnsiTheme="minorHAnsi" w:cstheme="minorHAnsi"/>
                <w:color w:val="000000"/>
                <w:sz w:val="18"/>
                <w:szCs w:val="18"/>
              </w:rPr>
              <w:t>relatlimab</w:t>
            </w:r>
            <w:proofErr w:type="spellEnd"/>
            <w:r w:rsidRPr="00015520">
              <w:rPr>
                <w:rFonts w:asciiTheme="minorHAnsi" w:hAnsiTheme="minorHAnsi" w:cstheme="minorHAnsi"/>
                <w:color w:val="000000"/>
                <w:sz w:val="18"/>
                <w:szCs w:val="18"/>
              </w:rPr>
              <w:t xml:space="preserve"> and nivolumab</w:t>
            </w:r>
            <w:r w:rsidRPr="00D14317">
              <w:rPr>
                <w:rFonts w:asciiTheme="minorHAnsi" w:hAnsiTheme="minorHAnsi" w:cstheme="minorHAnsi"/>
                <w:color w:val="000000"/>
                <w:sz w:val="18"/>
                <w:szCs w:val="18"/>
              </w:rPr>
              <w:t xml:space="preserve"> under the Section 100 Highly Specialised Drugs (HSD) Program, while implementation issues relating to a Section 100 Efficient Funding of Chemotherapy (EFC) listing were being worked through.</w:t>
            </w:r>
          </w:p>
          <w:p w14:paraId="02689684" w14:textId="77777777" w:rsidR="00D14317" w:rsidRPr="00D14317" w:rsidRDefault="00D14317" w:rsidP="00D14317">
            <w:pPr>
              <w:rPr>
                <w:rFonts w:asciiTheme="minorHAnsi" w:hAnsiTheme="minorHAnsi" w:cstheme="minorHAnsi"/>
                <w:color w:val="000000"/>
                <w:sz w:val="18"/>
                <w:szCs w:val="18"/>
              </w:rPr>
            </w:pPr>
          </w:p>
          <w:p w14:paraId="2347578E" w14:textId="01630A97" w:rsidR="00897FAC" w:rsidRPr="00015520" w:rsidRDefault="00D14317" w:rsidP="00D14317">
            <w:pPr>
              <w:rPr>
                <w:rFonts w:asciiTheme="minorHAnsi" w:hAnsiTheme="minorHAnsi" w:cstheme="minorHAnsi"/>
                <w:color w:val="000000"/>
                <w:sz w:val="18"/>
                <w:szCs w:val="18"/>
              </w:rPr>
            </w:pPr>
            <w:r w:rsidRPr="00D14317">
              <w:rPr>
                <w:rFonts w:asciiTheme="minorHAnsi" w:hAnsiTheme="minorHAnsi" w:cstheme="minorHAnsi"/>
                <w:color w:val="000000"/>
                <w:sz w:val="18"/>
                <w:szCs w:val="18"/>
              </w:rPr>
              <w:t>The PBAC noted that under S100 EFC, patients are not required to pay a co-payment for repeat prescriptions, but would be required to do so under S100 HSD. The PBAC considered that this should not be a barrier to a S100 HSD listing, noting that absence of PBS access was a greater equity issue than a S100 HSD vs S100 EFC listing.</w:t>
            </w:r>
          </w:p>
        </w:tc>
      </w:tr>
      <w:tr w:rsidR="00897FAC" w:rsidRPr="00015520" w14:paraId="46ED49FD" w14:textId="77777777" w:rsidTr="00344CBB">
        <w:trPr>
          <w:cantSplit/>
          <w:trHeight w:val="2948"/>
          <w:jc w:val="center"/>
        </w:trPr>
        <w:tc>
          <w:tcPr>
            <w:tcW w:w="3013" w:type="dxa"/>
            <w:shd w:val="clear" w:color="auto" w:fill="auto"/>
            <w:tcMar>
              <w:top w:w="28" w:type="dxa"/>
              <w:bottom w:w="28" w:type="dxa"/>
            </w:tcMar>
            <w:vAlign w:val="center"/>
          </w:tcPr>
          <w:p w14:paraId="1F84B7A4" w14:textId="0040A909" w:rsidR="00D17BF1"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RIMEGEPANT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75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Nurtec</w:t>
            </w:r>
            <w:proofErr w:type="spellEnd"/>
            <w:r w:rsidRPr="00015520">
              <w:rPr>
                <w:rFonts w:asciiTheme="minorHAnsi" w:hAnsiTheme="minorHAnsi" w:cstheme="minorHAnsi"/>
                <w:color w:val="000000"/>
                <w:sz w:val="18"/>
                <w:szCs w:val="18"/>
              </w:rPr>
              <w:t xml:space="preserve"> ODT®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Pfizer Australia Pty Ltd</w:t>
            </w:r>
            <w:r w:rsidR="0066292F" w:rsidRPr="00015520">
              <w:rPr>
                <w:rFonts w:asciiTheme="minorHAnsi" w:hAnsiTheme="minorHAnsi" w:cstheme="minorHAnsi"/>
                <w:color w:val="000000"/>
                <w:sz w:val="18"/>
                <w:szCs w:val="18"/>
              </w:rPr>
              <w:br/>
            </w:r>
          </w:p>
          <w:p w14:paraId="05AE09ED" w14:textId="596A997B" w:rsidR="00897FAC" w:rsidRPr="00015520" w:rsidRDefault="0030100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00BF892A" w14:textId="24372900"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Acute migraine attacks</w:t>
            </w:r>
          </w:p>
        </w:tc>
        <w:tc>
          <w:tcPr>
            <w:tcW w:w="3098" w:type="dxa"/>
            <w:shd w:val="clear" w:color="auto" w:fill="auto"/>
            <w:tcMar>
              <w:top w:w="28" w:type="dxa"/>
              <w:bottom w:w="28" w:type="dxa"/>
            </w:tcMar>
            <w:vAlign w:val="center"/>
          </w:tcPr>
          <w:p w14:paraId="4EFDCF59" w14:textId="732CAA15"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for adults with migraine who have not responded adequately to treatment of at least two triptans.</w:t>
            </w:r>
          </w:p>
        </w:tc>
        <w:tc>
          <w:tcPr>
            <w:tcW w:w="1920" w:type="dxa"/>
            <w:shd w:val="clear" w:color="auto" w:fill="auto"/>
            <w:vAlign w:val="center"/>
          </w:tcPr>
          <w:p w14:paraId="7A0860EC" w14:textId="1385D39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19CFA993" w14:textId="172C0833" w:rsidR="001A0295" w:rsidRDefault="007D25E6" w:rsidP="00F00A70">
            <w:pPr>
              <w:rPr>
                <w:rFonts w:asciiTheme="minorHAnsi" w:hAnsiTheme="minorHAnsi" w:cstheme="minorHAnsi"/>
                <w:color w:val="000000"/>
                <w:sz w:val="18"/>
                <w:szCs w:val="18"/>
              </w:rPr>
            </w:pPr>
            <w:r w:rsidRPr="007D25E6">
              <w:rPr>
                <w:rFonts w:asciiTheme="minorHAnsi" w:hAnsiTheme="minorHAnsi" w:cstheme="minorHAnsi"/>
                <w:color w:val="000000"/>
                <w:sz w:val="18"/>
                <w:szCs w:val="18"/>
              </w:rPr>
              <w:t xml:space="preserve">The PBAC did not recommend </w:t>
            </w:r>
            <w:proofErr w:type="spellStart"/>
            <w:r w:rsidRPr="007D25E6">
              <w:rPr>
                <w:rFonts w:asciiTheme="minorHAnsi" w:hAnsiTheme="minorHAnsi" w:cstheme="minorHAnsi"/>
                <w:color w:val="000000"/>
                <w:sz w:val="18"/>
                <w:szCs w:val="18"/>
              </w:rPr>
              <w:t>rimegepant</w:t>
            </w:r>
            <w:proofErr w:type="spellEnd"/>
            <w:r w:rsidRPr="007D25E6">
              <w:rPr>
                <w:rFonts w:asciiTheme="minorHAnsi" w:hAnsiTheme="minorHAnsi" w:cstheme="minorHAnsi"/>
                <w:color w:val="000000"/>
                <w:sz w:val="18"/>
                <w:szCs w:val="18"/>
              </w:rPr>
              <w:t xml:space="preserve"> for the acute treatment of adults with migraine who have not responded adequately, are intolerant or contraindicated to analgesics and at least two selective 5-hydroxytryptamine receptor agonists (triptans). The PBAC acknowledged that there was a clinical need for new, oral treatments for the acute treatment of migraine and considered that </w:t>
            </w:r>
            <w:proofErr w:type="spellStart"/>
            <w:r w:rsidRPr="007D25E6">
              <w:rPr>
                <w:rFonts w:asciiTheme="minorHAnsi" w:hAnsiTheme="minorHAnsi" w:cstheme="minorHAnsi"/>
                <w:color w:val="000000"/>
                <w:sz w:val="18"/>
                <w:szCs w:val="18"/>
              </w:rPr>
              <w:t>rimegepant</w:t>
            </w:r>
            <w:proofErr w:type="spellEnd"/>
            <w:r w:rsidRPr="007D25E6">
              <w:rPr>
                <w:rFonts w:asciiTheme="minorHAnsi" w:hAnsiTheme="minorHAnsi" w:cstheme="minorHAnsi"/>
                <w:color w:val="000000"/>
                <w:sz w:val="18"/>
                <w:szCs w:val="18"/>
              </w:rPr>
              <w:t xml:space="preserve"> provided a benefit over best supportive care in terms of efficacy. However, the PBAC considered that </w:t>
            </w:r>
            <w:proofErr w:type="spellStart"/>
            <w:r w:rsidRPr="007D25E6">
              <w:rPr>
                <w:rFonts w:asciiTheme="minorHAnsi" w:hAnsiTheme="minorHAnsi" w:cstheme="minorHAnsi"/>
                <w:color w:val="000000"/>
                <w:sz w:val="18"/>
                <w:szCs w:val="18"/>
              </w:rPr>
              <w:t>rimegepant</w:t>
            </w:r>
            <w:proofErr w:type="spellEnd"/>
            <w:r w:rsidRPr="007D25E6">
              <w:rPr>
                <w:rFonts w:asciiTheme="minorHAnsi" w:hAnsiTheme="minorHAnsi" w:cstheme="minorHAnsi"/>
                <w:color w:val="000000"/>
                <w:sz w:val="18"/>
                <w:szCs w:val="18"/>
              </w:rPr>
              <w:t xml:space="preserve"> was not cost-effective at the price proposed in the submission noting that the economic model included optimistic assumptions and that a number of the modelled inputs required revision. The PBAC considered that a </w:t>
            </w:r>
            <w:r w:rsidR="001A0295">
              <w:rPr>
                <w:rFonts w:asciiTheme="minorHAnsi" w:hAnsiTheme="minorHAnsi" w:cstheme="minorHAnsi"/>
                <w:color w:val="000000"/>
                <w:sz w:val="18"/>
                <w:szCs w:val="18"/>
              </w:rPr>
              <w:t>r</w:t>
            </w:r>
            <w:r w:rsidRPr="007D25E6">
              <w:rPr>
                <w:rFonts w:asciiTheme="minorHAnsi" w:hAnsiTheme="minorHAnsi" w:cstheme="minorHAnsi"/>
                <w:color w:val="000000"/>
                <w:sz w:val="18"/>
                <w:szCs w:val="18"/>
              </w:rPr>
              <w:t xml:space="preserve">isk </w:t>
            </w:r>
            <w:r w:rsidR="001A0295">
              <w:rPr>
                <w:rFonts w:asciiTheme="minorHAnsi" w:hAnsiTheme="minorHAnsi" w:cstheme="minorHAnsi"/>
                <w:color w:val="000000"/>
                <w:sz w:val="18"/>
                <w:szCs w:val="18"/>
              </w:rPr>
              <w:t>s</w:t>
            </w:r>
            <w:r w:rsidRPr="007D25E6">
              <w:rPr>
                <w:rFonts w:asciiTheme="minorHAnsi" w:hAnsiTheme="minorHAnsi" w:cstheme="minorHAnsi"/>
                <w:color w:val="000000"/>
                <w:sz w:val="18"/>
                <w:szCs w:val="18"/>
              </w:rPr>
              <w:t xml:space="preserve">haring </w:t>
            </w:r>
            <w:r w:rsidR="001A0295">
              <w:rPr>
                <w:rFonts w:asciiTheme="minorHAnsi" w:hAnsiTheme="minorHAnsi" w:cstheme="minorHAnsi"/>
                <w:color w:val="000000"/>
                <w:sz w:val="18"/>
                <w:szCs w:val="18"/>
              </w:rPr>
              <w:t>a</w:t>
            </w:r>
            <w:r w:rsidRPr="007D25E6">
              <w:rPr>
                <w:rFonts w:asciiTheme="minorHAnsi" w:hAnsiTheme="minorHAnsi" w:cstheme="minorHAnsi"/>
                <w:color w:val="000000"/>
                <w:sz w:val="18"/>
                <w:szCs w:val="18"/>
              </w:rPr>
              <w:t xml:space="preserve">rrangement would be required to manage the uncertainty with the financial estimates. </w:t>
            </w:r>
          </w:p>
          <w:p w14:paraId="395F4168" w14:textId="77777777" w:rsidR="001A0295" w:rsidRDefault="001A0295" w:rsidP="00F00A70">
            <w:pPr>
              <w:rPr>
                <w:rFonts w:asciiTheme="minorHAnsi" w:hAnsiTheme="minorHAnsi" w:cstheme="minorHAnsi"/>
                <w:color w:val="000000"/>
                <w:sz w:val="18"/>
                <w:szCs w:val="18"/>
              </w:rPr>
            </w:pPr>
          </w:p>
          <w:p w14:paraId="50846AA5" w14:textId="3E46B374" w:rsidR="00D14317" w:rsidRPr="001A0295" w:rsidRDefault="007D25E6" w:rsidP="00F00A70">
            <w:pPr>
              <w:rPr>
                <w:rFonts w:asciiTheme="minorHAnsi" w:hAnsiTheme="minorHAnsi" w:cstheme="minorHAnsi"/>
                <w:color w:val="000000"/>
                <w:sz w:val="18"/>
                <w:szCs w:val="18"/>
              </w:rPr>
            </w:pPr>
            <w:r w:rsidRPr="007D25E6">
              <w:rPr>
                <w:rFonts w:asciiTheme="minorHAnsi" w:hAnsiTheme="minorHAnsi" w:cstheme="minorHAnsi"/>
                <w:color w:val="000000"/>
                <w:sz w:val="18"/>
                <w:szCs w:val="18"/>
              </w:rPr>
              <w:t>The PBAC nominated the early re-entry submission pathway for this item.</w:t>
            </w:r>
          </w:p>
          <w:p w14:paraId="29610197" w14:textId="77777777" w:rsidR="00D14317" w:rsidRPr="001A0295" w:rsidRDefault="00D14317" w:rsidP="00F00A70">
            <w:pPr>
              <w:rPr>
                <w:rFonts w:asciiTheme="minorHAnsi" w:hAnsiTheme="minorHAnsi" w:cstheme="minorHAnsi"/>
                <w:color w:val="000000"/>
                <w:sz w:val="18"/>
                <w:szCs w:val="18"/>
              </w:rPr>
            </w:pPr>
          </w:p>
          <w:p w14:paraId="17A27B03" w14:textId="2A12AC19"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2E7B3000" w14:textId="5178D653" w:rsidR="00897FAC" w:rsidRPr="00015520" w:rsidRDefault="680C6DEA"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While</w:t>
            </w:r>
            <w:r w:rsidR="310175D0" w:rsidRPr="62154131">
              <w:rPr>
                <w:rFonts w:asciiTheme="minorHAnsi" w:hAnsiTheme="minorHAnsi" w:cstheme="minorBidi"/>
                <w:color w:val="000000" w:themeColor="text1"/>
                <w:sz w:val="18"/>
                <w:szCs w:val="18"/>
              </w:rPr>
              <w:t xml:space="preserve"> disappointed with</w:t>
            </w:r>
            <w:r w:rsidRPr="62154131">
              <w:rPr>
                <w:rFonts w:asciiTheme="minorHAnsi" w:hAnsiTheme="minorHAnsi" w:cstheme="minorBidi"/>
                <w:color w:val="000000" w:themeColor="text1"/>
                <w:sz w:val="18"/>
                <w:szCs w:val="18"/>
              </w:rPr>
              <w:t xml:space="preserve"> the PBAC's decision not to recommend </w:t>
            </w:r>
            <w:proofErr w:type="spellStart"/>
            <w:r w:rsidRPr="62154131">
              <w:rPr>
                <w:rFonts w:asciiTheme="minorHAnsi" w:hAnsiTheme="minorHAnsi" w:cstheme="minorBidi"/>
                <w:color w:val="000000" w:themeColor="text1"/>
                <w:sz w:val="18"/>
                <w:szCs w:val="18"/>
              </w:rPr>
              <w:t>rimegepant</w:t>
            </w:r>
            <w:proofErr w:type="spellEnd"/>
            <w:r w:rsidRPr="62154131">
              <w:rPr>
                <w:rFonts w:asciiTheme="minorHAnsi" w:hAnsiTheme="minorHAnsi" w:cstheme="minorBidi"/>
                <w:color w:val="000000" w:themeColor="text1"/>
                <w:sz w:val="18"/>
                <w:szCs w:val="18"/>
              </w:rPr>
              <w:t xml:space="preserve"> for the treatment of acute migraine attacks, Pfizer welcomes the PBAC's acknowledgment of the burden of acute migraine and clinical unmet need for novel effective treatments such as </w:t>
            </w:r>
            <w:proofErr w:type="spellStart"/>
            <w:r w:rsidRPr="62154131">
              <w:rPr>
                <w:rFonts w:asciiTheme="minorHAnsi" w:hAnsiTheme="minorHAnsi" w:cstheme="minorBidi"/>
                <w:color w:val="000000" w:themeColor="text1"/>
                <w:sz w:val="18"/>
                <w:szCs w:val="18"/>
              </w:rPr>
              <w:t>rimegepant</w:t>
            </w:r>
            <w:proofErr w:type="spellEnd"/>
            <w:r w:rsidRPr="62154131">
              <w:rPr>
                <w:rFonts w:asciiTheme="minorHAnsi" w:hAnsiTheme="minorHAnsi" w:cstheme="minorBidi"/>
                <w:color w:val="000000" w:themeColor="text1"/>
                <w:sz w:val="18"/>
                <w:szCs w:val="18"/>
              </w:rPr>
              <w:t>. Pfizer looks forward to continuing to work with the PBAC and the Department of Health</w:t>
            </w:r>
            <w:r w:rsidR="43BF5569" w:rsidRPr="62154131">
              <w:rPr>
                <w:rFonts w:asciiTheme="minorHAnsi" w:hAnsiTheme="minorHAnsi" w:cstheme="minorBidi"/>
                <w:color w:val="000000" w:themeColor="text1"/>
                <w:sz w:val="18"/>
                <w:szCs w:val="18"/>
              </w:rPr>
              <w:t xml:space="preserve"> and Aged Care</w:t>
            </w:r>
            <w:r w:rsidRPr="62154131">
              <w:rPr>
                <w:rFonts w:asciiTheme="minorHAnsi" w:hAnsiTheme="minorHAnsi" w:cstheme="minorBidi"/>
                <w:color w:val="000000" w:themeColor="text1"/>
                <w:sz w:val="18"/>
                <w:szCs w:val="18"/>
              </w:rPr>
              <w:t xml:space="preserve"> to provide access to </w:t>
            </w:r>
            <w:proofErr w:type="spellStart"/>
            <w:r w:rsidRPr="62154131">
              <w:rPr>
                <w:rFonts w:asciiTheme="minorHAnsi" w:hAnsiTheme="minorHAnsi" w:cstheme="minorBidi"/>
                <w:color w:val="000000" w:themeColor="text1"/>
                <w:sz w:val="18"/>
                <w:szCs w:val="18"/>
              </w:rPr>
              <w:t>rimegepant</w:t>
            </w:r>
            <w:proofErr w:type="spellEnd"/>
            <w:r w:rsidRPr="62154131">
              <w:rPr>
                <w:rFonts w:asciiTheme="minorHAnsi" w:hAnsiTheme="minorHAnsi" w:cstheme="minorBidi"/>
                <w:color w:val="000000" w:themeColor="text1"/>
                <w:sz w:val="18"/>
                <w:szCs w:val="18"/>
              </w:rPr>
              <w:t xml:space="preserve"> for patients suffering from acute migraine attacks.</w:t>
            </w:r>
          </w:p>
        </w:tc>
      </w:tr>
      <w:tr w:rsidR="00897FAC" w:rsidRPr="00015520" w14:paraId="42DD270F" w14:textId="77777777" w:rsidTr="00344CBB">
        <w:trPr>
          <w:cantSplit/>
          <w:trHeight w:val="2948"/>
          <w:jc w:val="center"/>
        </w:trPr>
        <w:tc>
          <w:tcPr>
            <w:tcW w:w="3013" w:type="dxa"/>
            <w:shd w:val="clear" w:color="auto" w:fill="auto"/>
            <w:tcMar>
              <w:top w:w="28" w:type="dxa"/>
              <w:bottom w:w="28" w:type="dxa"/>
            </w:tcMar>
            <w:vAlign w:val="center"/>
          </w:tcPr>
          <w:p w14:paraId="3EF23D54" w14:textId="75826FE2" w:rsidR="0030100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SACITUZUMAB GOVITECAN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Powder for injection 180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Trodelvy</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Gilead Sciences Pty Limited</w:t>
            </w:r>
            <w:r w:rsidRPr="00015520">
              <w:rPr>
                <w:rFonts w:asciiTheme="minorHAnsi" w:hAnsiTheme="minorHAnsi" w:cstheme="minorHAnsi"/>
                <w:color w:val="000000"/>
                <w:sz w:val="18"/>
                <w:szCs w:val="18"/>
              </w:rPr>
              <w:br/>
            </w:r>
          </w:p>
          <w:p w14:paraId="0BDA6E8E" w14:textId="2B5072C6" w:rsidR="00897FAC" w:rsidRPr="00015520" w:rsidRDefault="0030100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55CFEEE3" w14:textId="1BF344E8"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Hormone receptor-positive (HR+) human epidermal growth factor receptor-2 negative (HER2-) advanced or metastatic breast cancer</w:t>
            </w:r>
          </w:p>
        </w:tc>
        <w:tc>
          <w:tcPr>
            <w:tcW w:w="3098" w:type="dxa"/>
            <w:shd w:val="clear" w:color="auto" w:fill="auto"/>
            <w:tcMar>
              <w:top w:w="28" w:type="dxa"/>
              <w:bottom w:w="28" w:type="dxa"/>
            </w:tcMar>
            <w:vAlign w:val="center"/>
          </w:tcPr>
          <w:p w14:paraId="250C683D" w14:textId="5941FDE7"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(Efficient Funding of Chemotherapy Program) Authority Required (STREAMLINED) listing for the treatment of adult patients with unresectable locally advanced or metastatic HR+, HER2- breast cancer, who have previously received at least two systemic therapies, one of which may have been in the neoadjuvant/adjuvant setting.</w:t>
            </w:r>
          </w:p>
        </w:tc>
        <w:tc>
          <w:tcPr>
            <w:tcW w:w="1920" w:type="dxa"/>
            <w:shd w:val="clear" w:color="auto" w:fill="auto"/>
            <w:vAlign w:val="center"/>
          </w:tcPr>
          <w:p w14:paraId="6807A39B" w14:textId="53B6712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136AECDA" w14:textId="3B347736" w:rsidR="00D14317" w:rsidRPr="00D14317" w:rsidRDefault="00D14317" w:rsidP="00D14317">
            <w:pPr>
              <w:rPr>
                <w:rFonts w:asciiTheme="minorHAnsi" w:hAnsiTheme="minorHAnsi" w:cstheme="minorHAnsi"/>
                <w:color w:val="000000"/>
                <w:sz w:val="18"/>
                <w:szCs w:val="18"/>
              </w:rPr>
            </w:pPr>
            <w:r w:rsidRPr="00D14317">
              <w:rPr>
                <w:rFonts w:asciiTheme="minorHAnsi" w:hAnsiTheme="minorHAnsi" w:cstheme="minorHAnsi"/>
                <w:color w:val="000000"/>
                <w:sz w:val="18"/>
                <w:szCs w:val="18"/>
              </w:rPr>
              <w:t>The PBAC did not recommend the listing of sacituzumab govitecan, for the treatment of patients with unresectable locally advanced or metastatic HR+, HER2</w:t>
            </w:r>
            <w:r w:rsidR="00360D4F">
              <w:rPr>
                <w:rFonts w:asciiTheme="minorHAnsi" w:hAnsiTheme="minorHAnsi" w:cstheme="minorHAnsi"/>
                <w:color w:val="000000"/>
                <w:sz w:val="18"/>
                <w:szCs w:val="18"/>
              </w:rPr>
              <w:t xml:space="preserve">- </w:t>
            </w:r>
            <w:r w:rsidRPr="00D14317">
              <w:rPr>
                <w:rFonts w:asciiTheme="minorHAnsi" w:hAnsiTheme="minorHAnsi" w:cstheme="minorHAnsi"/>
                <w:color w:val="000000"/>
                <w:sz w:val="18"/>
                <w:szCs w:val="18"/>
              </w:rPr>
              <w:t>breast cancer, who have previously received at least two systemic therapies. The PBAC considered that sacituzumab govitecan provided a modest clinical benefit, with the magnitude likely depending on the population treated. The PBAC considered that the proposed restriction was not consistent with the pivotal TROPiCS-02 trial, the proposed TGA listing, or international treatment guidelines. The PBAC advised that the proposed PBS population should reflect the patients included in TROPiCS-02 which was a heavily pre-treated patient population. The PBAC considered sacituzumab govitecan was not cost-effective at the price proposed in the submission given optimistic assumptions included in the economic model.</w:t>
            </w:r>
          </w:p>
          <w:p w14:paraId="080D132F" w14:textId="77777777" w:rsidR="00D14317" w:rsidRPr="00D14317" w:rsidRDefault="00D14317" w:rsidP="00D14317">
            <w:pPr>
              <w:rPr>
                <w:rFonts w:asciiTheme="minorHAnsi" w:hAnsiTheme="minorHAnsi" w:cstheme="minorHAnsi"/>
                <w:color w:val="000000"/>
                <w:sz w:val="18"/>
                <w:szCs w:val="18"/>
              </w:rPr>
            </w:pPr>
          </w:p>
          <w:p w14:paraId="7126C1B5" w14:textId="78A59716" w:rsidR="00D14317" w:rsidRDefault="00D14317" w:rsidP="00D14317">
            <w:pPr>
              <w:rPr>
                <w:rFonts w:asciiTheme="minorHAnsi" w:hAnsiTheme="minorHAnsi" w:cstheme="minorHAnsi"/>
                <w:color w:val="000000"/>
                <w:sz w:val="18"/>
                <w:szCs w:val="18"/>
              </w:rPr>
            </w:pPr>
            <w:r w:rsidRPr="00D14317">
              <w:rPr>
                <w:rFonts w:asciiTheme="minorHAnsi" w:hAnsiTheme="minorHAnsi" w:cstheme="minorHAnsi"/>
                <w:color w:val="000000"/>
                <w:sz w:val="18"/>
                <w:szCs w:val="18"/>
              </w:rPr>
              <w:t>The PBAC nominated the early re-entry pathway for this item.</w:t>
            </w:r>
          </w:p>
          <w:p w14:paraId="7F193D1A" w14:textId="77777777" w:rsidR="00D14317" w:rsidRPr="00851AFC" w:rsidRDefault="00D14317" w:rsidP="00F00A70">
            <w:pPr>
              <w:rPr>
                <w:rFonts w:asciiTheme="minorHAnsi" w:hAnsiTheme="minorHAnsi" w:cstheme="minorHAnsi"/>
                <w:color w:val="000000"/>
                <w:sz w:val="18"/>
                <w:szCs w:val="18"/>
              </w:rPr>
            </w:pPr>
          </w:p>
          <w:p w14:paraId="2275296D" w14:textId="2F086C12" w:rsidR="00F00A70" w:rsidRDefault="00F00A70" w:rsidP="00F00A70">
            <w:pPr>
              <w:rPr>
                <w:rFonts w:asciiTheme="minorHAnsi" w:hAnsiTheme="minorHAnsi" w:cstheme="minorHAnsi"/>
                <w:color w:val="000000"/>
                <w:sz w:val="18"/>
                <w:szCs w:val="18"/>
              </w:rPr>
            </w:pPr>
            <w:r w:rsidRPr="62154131">
              <w:rPr>
                <w:rFonts w:asciiTheme="minorHAnsi" w:hAnsiTheme="minorHAnsi" w:cstheme="minorBidi"/>
                <w:color w:val="000000" w:themeColor="text1"/>
                <w:sz w:val="18"/>
                <w:szCs w:val="18"/>
                <w:u w:val="single"/>
              </w:rPr>
              <w:t>Sponsor’s Comment:</w:t>
            </w:r>
          </w:p>
          <w:p w14:paraId="5A3D446E" w14:textId="2AD81ABD" w:rsidR="00897FAC" w:rsidRPr="00015520" w:rsidRDefault="343A7F00" w:rsidP="62154131">
            <w:pPr>
              <w:rPr>
                <w:rFonts w:asciiTheme="minorHAnsi" w:hAnsiTheme="minorHAnsi" w:cstheme="minorBidi"/>
                <w:color w:val="000000" w:themeColor="text1"/>
                <w:sz w:val="18"/>
                <w:szCs w:val="18"/>
              </w:rPr>
            </w:pPr>
            <w:r w:rsidRPr="62154131">
              <w:rPr>
                <w:rFonts w:asciiTheme="minorHAnsi" w:hAnsiTheme="minorHAnsi" w:cstheme="minorBidi"/>
                <w:color w:val="000000" w:themeColor="text1"/>
                <w:sz w:val="18"/>
                <w:szCs w:val="18"/>
              </w:rPr>
              <w:t>The sponsor had no comment.</w:t>
            </w:r>
          </w:p>
          <w:p w14:paraId="081C5B09" w14:textId="2823EB80" w:rsidR="00897FAC" w:rsidRPr="00015520" w:rsidRDefault="00897FAC" w:rsidP="62154131">
            <w:pPr>
              <w:rPr>
                <w:rFonts w:asciiTheme="minorHAnsi" w:hAnsiTheme="minorHAnsi" w:cstheme="minorBidi"/>
                <w:color w:val="000000"/>
                <w:sz w:val="18"/>
                <w:szCs w:val="18"/>
              </w:rPr>
            </w:pPr>
          </w:p>
        </w:tc>
      </w:tr>
      <w:tr w:rsidR="00897FAC" w:rsidRPr="00015520" w14:paraId="6C41C9DC" w14:textId="77777777" w:rsidTr="00344CBB">
        <w:trPr>
          <w:cantSplit/>
          <w:trHeight w:val="2948"/>
          <w:jc w:val="center"/>
        </w:trPr>
        <w:tc>
          <w:tcPr>
            <w:tcW w:w="3013" w:type="dxa"/>
            <w:shd w:val="clear" w:color="auto" w:fill="auto"/>
            <w:tcMar>
              <w:top w:w="28" w:type="dxa"/>
              <w:bottom w:w="28" w:type="dxa"/>
            </w:tcMar>
            <w:vAlign w:val="center"/>
          </w:tcPr>
          <w:p w14:paraId="054A4F00" w14:textId="515544BC" w:rsidR="0030100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SECUKINUMAB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for injection 300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2</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Solution for injection 150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syringe</w:t>
            </w:r>
            <w:r w:rsidRPr="00015520">
              <w:rPr>
                <w:rFonts w:asciiTheme="minorHAnsi" w:hAnsiTheme="minorHAnsi" w:cstheme="minorHAnsi"/>
                <w:color w:val="000000"/>
                <w:sz w:val="18"/>
                <w:szCs w:val="18"/>
              </w:rPr>
              <w:br/>
              <w:t>Solution for injection 150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pen</w:t>
            </w:r>
            <w:r w:rsidRPr="00015520">
              <w:rPr>
                <w:rFonts w:asciiTheme="minorHAnsi" w:hAnsiTheme="minorHAnsi" w:cstheme="minorHAnsi"/>
                <w:color w:val="000000"/>
                <w:sz w:val="18"/>
                <w:szCs w:val="18"/>
              </w:rPr>
              <w:br/>
              <w:t>Solution for injection 300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2</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 filled pen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Cosentyx®</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Novartis Pharmaceuticals Australia Pty Limited</w:t>
            </w:r>
            <w:r w:rsidRPr="00015520">
              <w:rPr>
                <w:rFonts w:asciiTheme="minorHAnsi" w:hAnsiTheme="minorHAnsi" w:cstheme="minorHAnsi"/>
                <w:color w:val="000000"/>
                <w:sz w:val="18"/>
                <w:szCs w:val="18"/>
              </w:rPr>
              <w:br/>
            </w:r>
          </w:p>
          <w:p w14:paraId="116E4539" w14:textId="395B7C08" w:rsidR="00897FAC" w:rsidRPr="00015520" w:rsidRDefault="0030100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4E626476" w14:textId="06705541"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Hidradenitis Suppurativa (HS)</w:t>
            </w:r>
          </w:p>
        </w:tc>
        <w:tc>
          <w:tcPr>
            <w:tcW w:w="3098" w:type="dxa"/>
            <w:shd w:val="clear" w:color="auto" w:fill="auto"/>
            <w:tcMar>
              <w:top w:w="28" w:type="dxa"/>
              <w:bottom w:w="28" w:type="dxa"/>
            </w:tcMar>
            <w:vAlign w:val="center"/>
          </w:tcPr>
          <w:p w14:paraId="2FB4EB05" w14:textId="1E834BCC"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(Written) listing for the treatment of HS.</w:t>
            </w:r>
          </w:p>
        </w:tc>
        <w:tc>
          <w:tcPr>
            <w:tcW w:w="1920" w:type="dxa"/>
            <w:shd w:val="clear" w:color="auto" w:fill="auto"/>
            <w:vAlign w:val="center"/>
          </w:tcPr>
          <w:p w14:paraId="4AA8E4B9" w14:textId="2DFF98E4"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29978AA7" w14:textId="5154B460" w:rsidR="00FB440D" w:rsidRDefault="00FB440D" w:rsidP="00FB440D">
            <w:pPr>
              <w:rPr>
                <w:rFonts w:asciiTheme="minorHAnsi" w:hAnsiTheme="minorHAnsi" w:cstheme="minorHAnsi"/>
                <w:color w:val="000000"/>
                <w:sz w:val="18"/>
                <w:szCs w:val="18"/>
              </w:rPr>
            </w:pPr>
            <w:r w:rsidRPr="00FB440D">
              <w:rPr>
                <w:rFonts w:asciiTheme="minorHAnsi" w:hAnsiTheme="minorHAnsi" w:cstheme="minorHAnsi"/>
                <w:color w:val="000000"/>
                <w:sz w:val="18"/>
                <w:szCs w:val="18"/>
              </w:rPr>
              <w:t xml:space="preserve">The PBAC did not recommend the General Schedule, Authority Required listing of </w:t>
            </w:r>
            <w:proofErr w:type="spellStart"/>
            <w:r w:rsidRPr="00FB440D">
              <w:rPr>
                <w:rFonts w:asciiTheme="minorHAnsi" w:hAnsiTheme="minorHAnsi" w:cstheme="minorHAnsi"/>
                <w:color w:val="000000"/>
                <w:sz w:val="18"/>
                <w:szCs w:val="18"/>
              </w:rPr>
              <w:t>secukinumab</w:t>
            </w:r>
            <w:proofErr w:type="spellEnd"/>
            <w:r w:rsidRPr="00FB440D">
              <w:rPr>
                <w:rFonts w:asciiTheme="minorHAnsi" w:hAnsiTheme="minorHAnsi" w:cstheme="minorHAnsi"/>
                <w:color w:val="000000"/>
                <w:sz w:val="18"/>
                <w:szCs w:val="18"/>
              </w:rPr>
              <w:t xml:space="preserve"> for the treatment of moderate to severe HS. The Committee considered there was a high clinical need for additional therapies for the treatment of HS. However, the PBAC considered the available evidence suggests that while </w:t>
            </w:r>
            <w:proofErr w:type="spellStart"/>
            <w:r w:rsidR="00773C06" w:rsidRPr="00FB440D">
              <w:rPr>
                <w:rFonts w:asciiTheme="minorHAnsi" w:hAnsiTheme="minorHAnsi" w:cstheme="minorHAnsi"/>
                <w:color w:val="000000"/>
                <w:sz w:val="18"/>
                <w:szCs w:val="18"/>
              </w:rPr>
              <w:t>secukinumab</w:t>
            </w:r>
            <w:proofErr w:type="spellEnd"/>
            <w:r w:rsidRPr="00FB440D">
              <w:rPr>
                <w:rFonts w:asciiTheme="minorHAnsi" w:hAnsiTheme="minorHAnsi" w:cstheme="minorHAnsi"/>
                <w:color w:val="000000"/>
                <w:sz w:val="18"/>
                <w:szCs w:val="18"/>
              </w:rPr>
              <w:t xml:space="preserve"> provides a modest benefit compared to placebo, the clinical claim in the submission that </w:t>
            </w:r>
            <w:proofErr w:type="spellStart"/>
            <w:r w:rsidR="00773C06" w:rsidRPr="00FB440D">
              <w:rPr>
                <w:rFonts w:asciiTheme="minorHAnsi" w:hAnsiTheme="minorHAnsi" w:cstheme="minorHAnsi"/>
                <w:color w:val="000000"/>
                <w:sz w:val="18"/>
                <w:szCs w:val="18"/>
              </w:rPr>
              <w:t>secukinumab</w:t>
            </w:r>
            <w:proofErr w:type="spellEnd"/>
            <w:r w:rsidRPr="00FB440D">
              <w:rPr>
                <w:rFonts w:asciiTheme="minorHAnsi" w:hAnsiTheme="minorHAnsi" w:cstheme="minorHAnsi"/>
                <w:color w:val="000000"/>
                <w:sz w:val="18"/>
                <w:szCs w:val="18"/>
              </w:rPr>
              <w:t xml:space="preserve"> was non</w:t>
            </w:r>
            <w:r w:rsidR="001A0295">
              <w:rPr>
                <w:rFonts w:asciiTheme="minorHAnsi" w:hAnsiTheme="minorHAnsi" w:cstheme="minorHAnsi"/>
                <w:color w:val="000000"/>
                <w:sz w:val="18"/>
                <w:szCs w:val="18"/>
              </w:rPr>
              <w:t> </w:t>
            </w:r>
            <w:r w:rsidRPr="00FB440D">
              <w:rPr>
                <w:rFonts w:asciiTheme="minorHAnsi" w:hAnsiTheme="minorHAnsi" w:cstheme="minorHAnsi"/>
                <w:color w:val="000000"/>
                <w:sz w:val="18"/>
                <w:szCs w:val="18"/>
              </w:rPr>
              <w:t>-</w:t>
            </w:r>
            <w:r w:rsidR="001A0295">
              <w:rPr>
                <w:rFonts w:asciiTheme="minorHAnsi" w:hAnsiTheme="minorHAnsi" w:cstheme="minorHAnsi"/>
                <w:color w:val="000000"/>
                <w:sz w:val="18"/>
                <w:szCs w:val="18"/>
              </w:rPr>
              <w:t> </w:t>
            </w:r>
            <w:r w:rsidRPr="00FB440D">
              <w:rPr>
                <w:rFonts w:asciiTheme="minorHAnsi" w:hAnsiTheme="minorHAnsi" w:cstheme="minorHAnsi"/>
                <w:color w:val="000000"/>
                <w:sz w:val="18"/>
                <w:szCs w:val="18"/>
              </w:rPr>
              <w:t>inferior to adalimumab in terms of effectiveness was uncertain.</w:t>
            </w:r>
            <w:r w:rsidR="001A0295">
              <w:rPr>
                <w:rFonts w:asciiTheme="minorHAnsi" w:hAnsiTheme="minorHAnsi" w:cstheme="minorHAnsi"/>
                <w:color w:val="000000"/>
                <w:sz w:val="18"/>
                <w:szCs w:val="18"/>
              </w:rPr>
              <w:t xml:space="preserve"> </w:t>
            </w:r>
            <w:r w:rsidRPr="00FB440D">
              <w:rPr>
                <w:rFonts w:asciiTheme="minorHAnsi" w:hAnsiTheme="minorHAnsi" w:cstheme="minorHAnsi"/>
                <w:color w:val="000000"/>
                <w:sz w:val="18"/>
                <w:szCs w:val="18"/>
              </w:rPr>
              <w:t xml:space="preserve">The PBAC considered the extent of uncertainty regarding the effectiveness claim may be acceptable in the context of the high clinical need if there was additional certainty regarding the cost minimised price for </w:t>
            </w:r>
            <w:proofErr w:type="spellStart"/>
            <w:r w:rsidR="00773C06" w:rsidRPr="00FB440D">
              <w:rPr>
                <w:rFonts w:asciiTheme="minorHAnsi" w:hAnsiTheme="minorHAnsi" w:cstheme="minorHAnsi"/>
                <w:color w:val="000000"/>
                <w:sz w:val="18"/>
                <w:szCs w:val="18"/>
              </w:rPr>
              <w:t>secukinumab</w:t>
            </w:r>
            <w:proofErr w:type="spellEnd"/>
            <w:r w:rsidRPr="00FB440D">
              <w:rPr>
                <w:rFonts w:asciiTheme="minorHAnsi" w:hAnsiTheme="minorHAnsi" w:cstheme="minorHAnsi"/>
                <w:color w:val="000000"/>
                <w:sz w:val="18"/>
                <w:szCs w:val="18"/>
              </w:rPr>
              <w:t xml:space="preserve"> and the net PBS/RPBS cost. </w:t>
            </w:r>
          </w:p>
          <w:p w14:paraId="4F290993" w14:textId="77777777" w:rsidR="00FB440D" w:rsidRPr="00FB440D" w:rsidRDefault="00FB440D" w:rsidP="00FB440D">
            <w:pPr>
              <w:rPr>
                <w:rFonts w:asciiTheme="minorHAnsi" w:hAnsiTheme="minorHAnsi" w:cstheme="minorHAnsi"/>
                <w:color w:val="000000"/>
                <w:sz w:val="18"/>
                <w:szCs w:val="18"/>
              </w:rPr>
            </w:pPr>
          </w:p>
          <w:p w14:paraId="0C114141" w14:textId="24F42E6C" w:rsidR="00FB440D" w:rsidRDefault="00FB440D" w:rsidP="00FB440D">
            <w:pPr>
              <w:rPr>
                <w:rFonts w:asciiTheme="minorHAnsi" w:hAnsiTheme="minorHAnsi" w:cstheme="minorHAnsi"/>
                <w:color w:val="000000"/>
                <w:sz w:val="18"/>
                <w:szCs w:val="18"/>
              </w:rPr>
            </w:pPr>
            <w:r w:rsidRPr="00FB440D">
              <w:rPr>
                <w:rFonts w:asciiTheme="minorHAnsi" w:hAnsiTheme="minorHAnsi" w:cstheme="minorHAnsi"/>
                <w:color w:val="000000"/>
                <w:sz w:val="18"/>
                <w:szCs w:val="18"/>
              </w:rPr>
              <w:t xml:space="preserve">The PBAC nominated the early re-entry pathway for </w:t>
            </w:r>
            <w:proofErr w:type="spellStart"/>
            <w:r w:rsidR="00773C06" w:rsidRPr="00FB440D">
              <w:rPr>
                <w:rFonts w:asciiTheme="minorHAnsi" w:hAnsiTheme="minorHAnsi" w:cstheme="minorHAnsi"/>
                <w:color w:val="000000"/>
                <w:sz w:val="18"/>
                <w:szCs w:val="18"/>
              </w:rPr>
              <w:t>secukinumab</w:t>
            </w:r>
            <w:proofErr w:type="spellEnd"/>
            <w:r w:rsidRPr="00FB440D">
              <w:rPr>
                <w:rFonts w:asciiTheme="minorHAnsi" w:hAnsiTheme="minorHAnsi" w:cstheme="minorHAnsi"/>
                <w:color w:val="000000"/>
                <w:sz w:val="18"/>
                <w:szCs w:val="18"/>
              </w:rPr>
              <w:t>.</w:t>
            </w:r>
          </w:p>
          <w:p w14:paraId="0B4E7725" w14:textId="77777777" w:rsidR="00FB440D" w:rsidRPr="00851AFC" w:rsidRDefault="00FB440D" w:rsidP="00F00A70">
            <w:pPr>
              <w:rPr>
                <w:rFonts w:asciiTheme="minorHAnsi" w:hAnsiTheme="minorHAnsi" w:cstheme="minorHAnsi"/>
                <w:color w:val="000000"/>
                <w:sz w:val="18"/>
                <w:szCs w:val="18"/>
              </w:rPr>
            </w:pPr>
          </w:p>
          <w:p w14:paraId="2D16BC02" w14:textId="6E59F4CD"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4C5B791A" w14:textId="3E5C6C2D" w:rsidR="00897FAC" w:rsidRPr="00015520" w:rsidRDefault="00AD74BD" w:rsidP="008542C1">
            <w:pPr>
              <w:rPr>
                <w:rFonts w:asciiTheme="minorHAnsi" w:hAnsiTheme="minorHAnsi" w:cstheme="minorHAnsi"/>
                <w:color w:val="000000"/>
                <w:sz w:val="18"/>
                <w:szCs w:val="18"/>
              </w:rPr>
            </w:pPr>
            <w:r w:rsidRPr="00AD74BD">
              <w:rPr>
                <w:rFonts w:asciiTheme="minorHAnsi" w:hAnsiTheme="minorHAnsi" w:cstheme="minorHAnsi"/>
                <w:color w:val="000000"/>
                <w:sz w:val="18"/>
                <w:szCs w:val="18"/>
              </w:rPr>
              <w:t xml:space="preserve">Novartis is pleased to see the PBAC recognised there was a high clinical need for additional therapies for the treatment of HS and will continue to work with the PBAC to enable earliest possible access to </w:t>
            </w:r>
            <w:proofErr w:type="spellStart"/>
            <w:r w:rsidRPr="00AD74BD">
              <w:rPr>
                <w:rFonts w:asciiTheme="minorHAnsi" w:hAnsiTheme="minorHAnsi" w:cstheme="minorHAnsi"/>
                <w:color w:val="000000"/>
                <w:sz w:val="18"/>
                <w:szCs w:val="18"/>
              </w:rPr>
              <w:t>secukinumab</w:t>
            </w:r>
            <w:proofErr w:type="spellEnd"/>
            <w:r w:rsidRPr="00AD74BD">
              <w:rPr>
                <w:rFonts w:asciiTheme="minorHAnsi" w:hAnsiTheme="minorHAnsi" w:cstheme="minorHAnsi"/>
                <w:color w:val="000000"/>
                <w:sz w:val="18"/>
                <w:szCs w:val="18"/>
              </w:rPr>
              <w:t xml:space="preserve"> for HS patients.</w:t>
            </w:r>
          </w:p>
        </w:tc>
      </w:tr>
      <w:tr w:rsidR="00897FAC" w:rsidRPr="00015520" w14:paraId="71C25DB4" w14:textId="77777777" w:rsidTr="00344CBB">
        <w:trPr>
          <w:cantSplit/>
          <w:trHeight w:val="2948"/>
          <w:jc w:val="center"/>
        </w:trPr>
        <w:tc>
          <w:tcPr>
            <w:tcW w:w="3013" w:type="dxa"/>
            <w:shd w:val="clear" w:color="auto" w:fill="auto"/>
            <w:tcMar>
              <w:top w:w="28" w:type="dxa"/>
              <w:bottom w:w="28" w:type="dxa"/>
            </w:tcMar>
            <w:vAlign w:val="center"/>
          </w:tcPr>
          <w:p w14:paraId="6936FB7F" w14:textId="7D5F073F" w:rsidR="00301004" w:rsidRDefault="00897FAC" w:rsidP="008542C1">
            <w:pPr>
              <w:keepLines/>
              <w:jc w:val="center"/>
              <w:rPr>
                <w:rFonts w:asciiTheme="minorHAnsi" w:hAnsiTheme="minorHAnsi" w:cstheme="minorHAnsi"/>
                <w:color w:val="000000"/>
                <w:sz w:val="18"/>
                <w:szCs w:val="18"/>
              </w:rPr>
            </w:pPr>
            <w:bookmarkStart w:id="3" w:name="_Hlk142556240"/>
            <w:r w:rsidRPr="00015520">
              <w:rPr>
                <w:rFonts w:asciiTheme="minorHAnsi" w:hAnsiTheme="minorHAnsi" w:cstheme="minorHAnsi"/>
                <w:color w:val="000000"/>
                <w:sz w:val="18"/>
                <w:szCs w:val="18"/>
              </w:rPr>
              <w:lastRenderedPageBreak/>
              <w:t>SELPERCATINIB</w:t>
            </w:r>
            <w:bookmarkEnd w:id="3"/>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40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r w:rsidRPr="00015520">
              <w:rPr>
                <w:rFonts w:asciiTheme="minorHAnsi" w:hAnsiTheme="minorHAnsi" w:cstheme="minorHAnsi"/>
                <w:color w:val="000000"/>
                <w:sz w:val="18"/>
                <w:szCs w:val="18"/>
              </w:rPr>
              <w:br/>
              <w:t>Capsule 80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Retevmo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Eli Lilly Australia Pty Ltd</w:t>
            </w:r>
            <w:r w:rsidRPr="00015520">
              <w:rPr>
                <w:rFonts w:asciiTheme="minorHAnsi" w:hAnsiTheme="minorHAnsi" w:cstheme="minorHAnsi"/>
                <w:color w:val="000000"/>
                <w:sz w:val="18"/>
                <w:szCs w:val="18"/>
              </w:rPr>
              <w:br/>
            </w:r>
          </w:p>
          <w:p w14:paraId="7B3FE599" w14:textId="18A93463" w:rsidR="00897FAC" w:rsidRPr="00015520" w:rsidRDefault="0030100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5D58065B" w14:textId="2ECA7D05"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Non-small cell lung cancer (NSCLC)</w:t>
            </w:r>
          </w:p>
        </w:tc>
        <w:tc>
          <w:tcPr>
            <w:tcW w:w="3098" w:type="dxa"/>
            <w:shd w:val="clear" w:color="auto" w:fill="auto"/>
            <w:tcMar>
              <w:top w:w="28" w:type="dxa"/>
              <w:bottom w:w="28" w:type="dxa"/>
            </w:tcMar>
            <w:vAlign w:val="center"/>
          </w:tcPr>
          <w:p w14:paraId="14F8C0EE" w14:textId="292AE97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(STREAMLINED) listing for the treatment of rearranged during transfection (</w:t>
            </w:r>
            <w:r w:rsidRPr="00851AFC">
              <w:rPr>
                <w:rFonts w:asciiTheme="minorHAnsi" w:hAnsiTheme="minorHAnsi" w:cstheme="minorHAnsi"/>
                <w:i/>
                <w:iCs/>
                <w:color w:val="000000"/>
                <w:sz w:val="18"/>
                <w:szCs w:val="18"/>
              </w:rPr>
              <w:t>RET</w:t>
            </w:r>
            <w:r w:rsidRPr="00015520">
              <w:rPr>
                <w:rFonts w:asciiTheme="minorHAnsi" w:hAnsiTheme="minorHAnsi" w:cstheme="minorHAnsi"/>
                <w:color w:val="000000"/>
                <w:sz w:val="18"/>
                <w:szCs w:val="18"/>
              </w:rPr>
              <w:t>) fusion-positive, advanced or metastatic NSCLC, irrespective of line of therapy.</w:t>
            </w:r>
          </w:p>
        </w:tc>
        <w:tc>
          <w:tcPr>
            <w:tcW w:w="1920" w:type="dxa"/>
            <w:shd w:val="clear" w:color="auto" w:fill="auto"/>
            <w:vAlign w:val="center"/>
          </w:tcPr>
          <w:p w14:paraId="260E2535" w14:textId="6E4BE427"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038DC8C6" w14:textId="47057D99" w:rsidR="0006305A" w:rsidRPr="00851AFC" w:rsidRDefault="0006305A" w:rsidP="00F00A70">
            <w:pPr>
              <w:rPr>
                <w:rFonts w:asciiTheme="minorHAnsi" w:hAnsiTheme="minorHAnsi" w:cstheme="minorHAnsi"/>
                <w:color w:val="000000"/>
                <w:sz w:val="18"/>
                <w:szCs w:val="18"/>
              </w:rPr>
            </w:pPr>
            <w:r w:rsidRPr="00851AFC">
              <w:rPr>
                <w:rFonts w:asciiTheme="minorHAnsi" w:hAnsiTheme="minorHAnsi" w:cstheme="minorHAnsi"/>
                <w:color w:val="000000"/>
                <w:sz w:val="18"/>
                <w:szCs w:val="18"/>
              </w:rPr>
              <w:t xml:space="preserve">The PBAC did not recommend the listing of </w:t>
            </w:r>
            <w:proofErr w:type="spellStart"/>
            <w:r w:rsidRPr="00851AFC">
              <w:rPr>
                <w:rFonts w:asciiTheme="minorHAnsi" w:hAnsiTheme="minorHAnsi" w:cstheme="minorHAnsi"/>
                <w:color w:val="000000"/>
                <w:sz w:val="18"/>
                <w:szCs w:val="18"/>
              </w:rPr>
              <w:t>selpercatinib</w:t>
            </w:r>
            <w:proofErr w:type="spellEnd"/>
            <w:r w:rsidRPr="00851AFC">
              <w:rPr>
                <w:rFonts w:asciiTheme="minorHAnsi" w:hAnsiTheme="minorHAnsi" w:cstheme="minorHAnsi"/>
                <w:color w:val="000000"/>
                <w:sz w:val="18"/>
                <w:szCs w:val="18"/>
              </w:rPr>
              <w:t xml:space="preserve"> for the treatment of </w:t>
            </w:r>
            <w:r w:rsidRPr="00851AFC">
              <w:rPr>
                <w:rFonts w:asciiTheme="minorHAnsi" w:hAnsiTheme="minorHAnsi" w:cstheme="minorHAnsi"/>
                <w:i/>
                <w:iCs/>
                <w:color w:val="000000"/>
                <w:sz w:val="18"/>
                <w:szCs w:val="18"/>
              </w:rPr>
              <w:t>RET</w:t>
            </w:r>
            <w:r w:rsidRPr="00851AFC">
              <w:rPr>
                <w:rFonts w:asciiTheme="minorHAnsi" w:hAnsiTheme="minorHAnsi" w:cstheme="minorHAnsi"/>
                <w:color w:val="000000"/>
                <w:sz w:val="18"/>
                <w:szCs w:val="18"/>
              </w:rPr>
              <w:t xml:space="preserve"> fusion-positive, locally advanced or metastatic NSCLC, irrespective of line of therapy</w:t>
            </w:r>
            <w:r w:rsidRPr="001A0295">
              <w:rPr>
                <w:rFonts w:asciiTheme="minorHAnsi" w:hAnsiTheme="minorHAnsi" w:cstheme="minorHAnsi"/>
                <w:color w:val="000000"/>
                <w:sz w:val="18"/>
                <w:szCs w:val="18"/>
              </w:rPr>
              <w:t>.</w:t>
            </w:r>
            <w:r w:rsidR="007C3F35">
              <w:rPr>
                <w:color w:val="000000"/>
                <w:sz w:val="18"/>
                <w:szCs w:val="18"/>
              </w:rPr>
              <w:t xml:space="preserve"> </w:t>
            </w:r>
            <w:r w:rsidRPr="00851AFC">
              <w:rPr>
                <w:rFonts w:asciiTheme="minorHAnsi" w:hAnsiTheme="minorHAnsi" w:cstheme="minorHAnsi"/>
                <w:color w:val="000000"/>
                <w:sz w:val="18"/>
                <w:szCs w:val="18"/>
              </w:rPr>
              <w:t xml:space="preserve">The PBAC acknowledged the clinical need for effective treatments for patients with this condition. The Committee considered the results of the single arm LIBRETTO-001 trial demonstrated clinical activity for </w:t>
            </w:r>
            <w:proofErr w:type="spellStart"/>
            <w:r w:rsidRPr="00851AFC">
              <w:rPr>
                <w:rFonts w:asciiTheme="minorHAnsi" w:hAnsiTheme="minorHAnsi" w:cstheme="minorHAnsi"/>
                <w:color w:val="000000"/>
                <w:sz w:val="18"/>
                <w:szCs w:val="18"/>
              </w:rPr>
              <w:t>selpercatinib</w:t>
            </w:r>
            <w:proofErr w:type="spellEnd"/>
            <w:r w:rsidRPr="00851AFC">
              <w:rPr>
                <w:rFonts w:asciiTheme="minorHAnsi" w:hAnsiTheme="minorHAnsi" w:cstheme="minorHAnsi"/>
                <w:color w:val="000000"/>
                <w:sz w:val="18"/>
                <w:szCs w:val="18"/>
              </w:rPr>
              <w:t xml:space="preserve">. However, the PBAC advised that indirect comparisons with pembrolizumab in combination with pemetrexed + platinum-based chemotherapy were associated with a high degree of uncertainty and were unable to support a claim of superior comparative effectiveness. Given the limitations of the comparative clinical data, the PBAC considered the estimated incremental </w:t>
            </w:r>
            <w:r w:rsidR="00011394">
              <w:rPr>
                <w:rFonts w:asciiTheme="minorHAnsi" w:hAnsiTheme="minorHAnsi" w:cstheme="minorHAnsi"/>
                <w:color w:val="000000"/>
                <w:sz w:val="18"/>
                <w:szCs w:val="18"/>
              </w:rPr>
              <w:br/>
            </w:r>
            <w:r w:rsidRPr="00851AFC">
              <w:rPr>
                <w:rFonts w:asciiTheme="minorHAnsi" w:hAnsiTheme="minorHAnsi" w:cstheme="minorHAnsi"/>
                <w:color w:val="000000"/>
                <w:sz w:val="18"/>
                <w:szCs w:val="18"/>
              </w:rPr>
              <w:t>cost</w:t>
            </w:r>
            <w:r w:rsidR="00011394">
              <w:rPr>
                <w:rFonts w:asciiTheme="minorHAnsi" w:hAnsiTheme="minorHAnsi" w:cstheme="minorHAnsi"/>
                <w:color w:val="000000"/>
                <w:sz w:val="18"/>
                <w:szCs w:val="18"/>
              </w:rPr>
              <w:t>-</w:t>
            </w:r>
            <w:r w:rsidRPr="00851AFC">
              <w:rPr>
                <w:rFonts w:asciiTheme="minorHAnsi" w:hAnsiTheme="minorHAnsi" w:cstheme="minorHAnsi"/>
                <w:color w:val="000000"/>
                <w:sz w:val="18"/>
                <w:szCs w:val="18"/>
              </w:rPr>
              <w:t>effectiveness ratio was highly uncertain.</w:t>
            </w:r>
          </w:p>
          <w:p w14:paraId="77E407E3" w14:textId="77777777" w:rsidR="0006305A" w:rsidRDefault="0006305A" w:rsidP="00F00A70">
            <w:pPr>
              <w:rPr>
                <w:rFonts w:asciiTheme="minorHAnsi" w:hAnsiTheme="minorHAnsi" w:cstheme="minorHAnsi"/>
                <w:color w:val="000000"/>
                <w:sz w:val="18"/>
                <w:szCs w:val="18"/>
                <w:u w:val="single"/>
              </w:rPr>
            </w:pPr>
          </w:p>
          <w:p w14:paraId="435BF2F1" w14:textId="35C5E277"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07B62552" w14:textId="053F58AC" w:rsidR="00897FAC" w:rsidRPr="00015520" w:rsidRDefault="00924224" w:rsidP="62154131">
            <w:pPr>
              <w:spacing w:after="120"/>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 xml:space="preserve">Eli Lilly wishes to thank all of the healthcare professionals, professional societies, patient organisations and consumers for their support of the </w:t>
            </w:r>
            <w:proofErr w:type="spellStart"/>
            <w:r w:rsidRPr="62154131">
              <w:rPr>
                <w:rFonts w:asciiTheme="minorHAnsi" w:hAnsiTheme="minorHAnsi" w:cstheme="minorBidi"/>
                <w:color w:val="000000" w:themeColor="text1"/>
                <w:sz w:val="18"/>
                <w:szCs w:val="18"/>
              </w:rPr>
              <w:t>selpercatinib</w:t>
            </w:r>
            <w:proofErr w:type="spellEnd"/>
            <w:r w:rsidRPr="62154131">
              <w:rPr>
                <w:rFonts w:asciiTheme="minorHAnsi" w:hAnsiTheme="minorHAnsi" w:cstheme="minorBidi"/>
                <w:color w:val="000000" w:themeColor="text1"/>
                <w:sz w:val="18"/>
                <w:szCs w:val="18"/>
              </w:rPr>
              <w:t xml:space="preserve"> (</w:t>
            </w:r>
            <w:proofErr w:type="spellStart"/>
            <w:r w:rsidRPr="62154131">
              <w:rPr>
                <w:rFonts w:asciiTheme="minorHAnsi" w:hAnsiTheme="minorHAnsi" w:cstheme="minorBidi"/>
                <w:color w:val="000000" w:themeColor="text1"/>
                <w:sz w:val="18"/>
                <w:szCs w:val="18"/>
              </w:rPr>
              <w:t>Retevmo</w:t>
            </w:r>
            <w:proofErr w:type="spellEnd"/>
            <w:r w:rsidR="2BCBBC29" w:rsidRPr="62154131">
              <w:rPr>
                <w:rFonts w:asciiTheme="minorHAnsi" w:hAnsiTheme="minorHAnsi" w:cstheme="minorBidi"/>
                <w:color w:val="000000" w:themeColor="text1"/>
                <w:sz w:val="18"/>
                <w:szCs w:val="18"/>
              </w:rPr>
              <w:t>®</w:t>
            </w:r>
            <w:r w:rsidRPr="62154131">
              <w:rPr>
                <w:rFonts w:asciiTheme="minorHAnsi" w:hAnsiTheme="minorHAnsi" w:cstheme="minorBidi"/>
                <w:color w:val="000000" w:themeColor="text1"/>
                <w:sz w:val="18"/>
                <w:szCs w:val="18"/>
              </w:rPr>
              <w:t xml:space="preserve">) submission. </w:t>
            </w:r>
            <w:proofErr w:type="spellStart"/>
            <w:r w:rsidRPr="62154131">
              <w:rPr>
                <w:rFonts w:asciiTheme="minorHAnsi" w:hAnsiTheme="minorHAnsi" w:cstheme="minorBidi"/>
                <w:color w:val="000000" w:themeColor="text1"/>
                <w:sz w:val="18"/>
                <w:szCs w:val="18"/>
              </w:rPr>
              <w:t>Selpercatinib</w:t>
            </w:r>
            <w:proofErr w:type="spellEnd"/>
            <w:r w:rsidRPr="62154131">
              <w:rPr>
                <w:rFonts w:asciiTheme="minorHAnsi" w:hAnsiTheme="minorHAnsi" w:cstheme="minorBidi"/>
                <w:color w:val="000000" w:themeColor="text1"/>
                <w:sz w:val="18"/>
                <w:szCs w:val="18"/>
              </w:rPr>
              <w:t xml:space="preserve"> has received provisional approval from the TGA for the treatment of patients with </w:t>
            </w:r>
            <w:r w:rsidRPr="004336D1">
              <w:rPr>
                <w:rFonts w:asciiTheme="minorHAnsi" w:hAnsiTheme="minorHAnsi" w:cstheme="minorBidi"/>
                <w:i/>
                <w:iCs/>
                <w:color w:val="000000" w:themeColor="text1"/>
                <w:sz w:val="18"/>
                <w:szCs w:val="18"/>
              </w:rPr>
              <w:t>RET</w:t>
            </w:r>
            <w:r w:rsidRPr="62154131">
              <w:rPr>
                <w:rFonts w:asciiTheme="minorHAnsi" w:hAnsiTheme="minorHAnsi" w:cstheme="minorBidi"/>
                <w:color w:val="000000" w:themeColor="text1"/>
                <w:sz w:val="18"/>
                <w:szCs w:val="18"/>
              </w:rPr>
              <w:t xml:space="preserve"> fusion-positive NSCLC. While Eli Lilly welcomes the PBAC’s acknowledgement of the clinical unmet need for these patients and clinical activity of </w:t>
            </w:r>
            <w:proofErr w:type="spellStart"/>
            <w:r w:rsidRPr="62154131">
              <w:rPr>
                <w:rFonts w:asciiTheme="minorHAnsi" w:hAnsiTheme="minorHAnsi" w:cstheme="minorBidi"/>
                <w:color w:val="000000" w:themeColor="text1"/>
                <w:sz w:val="18"/>
                <w:szCs w:val="18"/>
              </w:rPr>
              <w:t>selpercatinib</w:t>
            </w:r>
            <w:proofErr w:type="spellEnd"/>
            <w:r w:rsidRPr="62154131">
              <w:rPr>
                <w:rFonts w:asciiTheme="minorHAnsi" w:hAnsiTheme="minorHAnsi" w:cstheme="minorBidi"/>
                <w:color w:val="000000" w:themeColor="text1"/>
                <w:sz w:val="18"/>
                <w:szCs w:val="18"/>
              </w:rPr>
              <w:t xml:space="preserve">, we are disappointed by the PBAC’s decision not to recommend the PBS listing of </w:t>
            </w:r>
            <w:proofErr w:type="spellStart"/>
            <w:r w:rsidRPr="62154131">
              <w:rPr>
                <w:rFonts w:asciiTheme="minorHAnsi" w:hAnsiTheme="minorHAnsi" w:cstheme="minorBidi"/>
                <w:color w:val="000000" w:themeColor="text1"/>
                <w:sz w:val="18"/>
                <w:szCs w:val="18"/>
              </w:rPr>
              <w:t>selpercatinib</w:t>
            </w:r>
            <w:proofErr w:type="spellEnd"/>
            <w:r w:rsidRPr="62154131">
              <w:rPr>
                <w:rFonts w:asciiTheme="minorHAnsi" w:hAnsiTheme="minorHAnsi" w:cstheme="minorBidi"/>
                <w:color w:val="000000" w:themeColor="text1"/>
                <w:sz w:val="18"/>
                <w:szCs w:val="18"/>
              </w:rPr>
              <w:t xml:space="preserve"> for the treatment of patients with</w:t>
            </w:r>
            <w:r w:rsidRPr="002B0474">
              <w:rPr>
                <w:rFonts w:asciiTheme="minorHAnsi" w:hAnsiTheme="minorHAnsi" w:cstheme="minorBidi"/>
                <w:i/>
                <w:iCs/>
                <w:color w:val="000000" w:themeColor="text1"/>
                <w:sz w:val="18"/>
                <w:szCs w:val="18"/>
              </w:rPr>
              <w:t xml:space="preserve"> RET</w:t>
            </w:r>
            <w:r w:rsidRPr="62154131">
              <w:rPr>
                <w:rFonts w:asciiTheme="minorHAnsi" w:hAnsiTheme="minorHAnsi" w:cstheme="minorBidi"/>
                <w:color w:val="000000" w:themeColor="text1"/>
                <w:sz w:val="18"/>
                <w:szCs w:val="18"/>
              </w:rPr>
              <w:t xml:space="preserve"> fusion-positive NSCLC. Eli Lilly remains committed to making </w:t>
            </w:r>
            <w:proofErr w:type="spellStart"/>
            <w:r w:rsidRPr="62154131">
              <w:rPr>
                <w:rFonts w:asciiTheme="minorHAnsi" w:hAnsiTheme="minorHAnsi" w:cstheme="minorBidi"/>
                <w:color w:val="000000" w:themeColor="text1"/>
                <w:sz w:val="18"/>
                <w:szCs w:val="18"/>
              </w:rPr>
              <w:t>selpercatinib</w:t>
            </w:r>
            <w:proofErr w:type="spellEnd"/>
            <w:r w:rsidRPr="62154131">
              <w:rPr>
                <w:rFonts w:asciiTheme="minorHAnsi" w:hAnsiTheme="minorHAnsi" w:cstheme="minorBidi"/>
                <w:color w:val="000000" w:themeColor="text1"/>
                <w:sz w:val="18"/>
                <w:szCs w:val="18"/>
              </w:rPr>
              <w:t xml:space="preserve"> accessible for patients with</w:t>
            </w:r>
            <w:r w:rsidRPr="002B0474">
              <w:rPr>
                <w:rFonts w:asciiTheme="minorHAnsi" w:hAnsiTheme="minorHAnsi" w:cstheme="minorBidi"/>
                <w:i/>
                <w:iCs/>
                <w:color w:val="000000" w:themeColor="text1"/>
                <w:sz w:val="18"/>
                <w:szCs w:val="18"/>
              </w:rPr>
              <w:t xml:space="preserve"> RET</w:t>
            </w:r>
            <w:r w:rsidRPr="62154131">
              <w:rPr>
                <w:rFonts w:asciiTheme="minorHAnsi" w:hAnsiTheme="minorHAnsi" w:cstheme="minorBidi"/>
                <w:color w:val="000000" w:themeColor="text1"/>
                <w:sz w:val="18"/>
                <w:szCs w:val="18"/>
              </w:rPr>
              <w:t xml:space="preserve"> fusion-positive NSCLC.</w:t>
            </w:r>
          </w:p>
        </w:tc>
      </w:tr>
      <w:tr w:rsidR="00897FAC" w:rsidRPr="00015520" w14:paraId="12F566C2" w14:textId="77777777" w:rsidTr="00344CBB">
        <w:trPr>
          <w:cantSplit/>
          <w:trHeight w:val="2948"/>
          <w:jc w:val="center"/>
        </w:trPr>
        <w:tc>
          <w:tcPr>
            <w:tcW w:w="3013" w:type="dxa"/>
            <w:shd w:val="clear" w:color="auto" w:fill="auto"/>
            <w:tcMar>
              <w:top w:w="28" w:type="dxa"/>
              <w:bottom w:w="28" w:type="dxa"/>
            </w:tcMar>
            <w:vAlign w:val="center"/>
          </w:tcPr>
          <w:p w14:paraId="7BC1D685" w14:textId="22DF5582" w:rsidR="0030100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SOMAPACITAN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pen</w:t>
            </w:r>
            <w:r w:rsidRPr="00015520">
              <w:rPr>
                <w:rFonts w:asciiTheme="minorHAnsi" w:hAnsiTheme="minorHAnsi" w:cstheme="minorHAnsi"/>
                <w:color w:val="000000"/>
                <w:sz w:val="18"/>
                <w:szCs w:val="18"/>
              </w:rPr>
              <w:br/>
              <w:t>Injection 10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pen</w:t>
            </w:r>
            <w:r w:rsidRPr="00015520">
              <w:rPr>
                <w:rFonts w:asciiTheme="minorHAnsi" w:hAnsiTheme="minorHAnsi" w:cstheme="minorHAnsi"/>
                <w:color w:val="000000"/>
                <w:sz w:val="18"/>
                <w:szCs w:val="18"/>
              </w:rPr>
              <w:br/>
              <w:t>Injection 15 mg in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pen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Sogroya</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br/>
              <w:t>Novo Nordisk Pharmaceuticals Pty. Limited</w:t>
            </w:r>
            <w:r w:rsidRPr="00015520">
              <w:rPr>
                <w:rFonts w:asciiTheme="minorHAnsi" w:hAnsiTheme="minorHAnsi" w:cstheme="minorHAnsi"/>
                <w:color w:val="000000"/>
                <w:sz w:val="18"/>
                <w:szCs w:val="18"/>
              </w:rPr>
              <w:br/>
            </w:r>
          </w:p>
          <w:p w14:paraId="00720220" w14:textId="1E8CFB68" w:rsidR="00897FAC" w:rsidRPr="00015520" w:rsidRDefault="0030100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30C82FE3" w14:textId="7A6644D3"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Paediatric growth hormone deficiency (GHD)</w:t>
            </w:r>
          </w:p>
        </w:tc>
        <w:tc>
          <w:tcPr>
            <w:tcW w:w="3098" w:type="dxa"/>
            <w:shd w:val="clear" w:color="auto" w:fill="auto"/>
            <w:tcMar>
              <w:top w:w="28" w:type="dxa"/>
              <w:bottom w:w="28" w:type="dxa"/>
            </w:tcMar>
            <w:vAlign w:val="center"/>
          </w:tcPr>
          <w:p w14:paraId="0AE1DC07" w14:textId="406B45D1"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(Growth Hormone Program) Authority Required (Written) listing for the treatment of paediatric patients with GHD.</w:t>
            </w:r>
          </w:p>
        </w:tc>
        <w:tc>
          <w:tcPr>
            <w:tcW w:w="1920" w:type="dxa"/>
            <w:shd w:val="clear" w:color="auto" w:fill="auto"/>
            <w:vAlign w:val="center"/>
          </w:tcPr>
          <w:p w14:paraId="15C2BF3E" w14:textId="6E6243C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4C9087A8" w14:textId="1396E524" w:rsidR="00116222" w:rsidRDefault="00897FAC" w:rsidP="00116222">
            <w:pPr>
              <w:rPr>
                <w:rFonts w:asciiTheme="minorHAnsi" w:hAnsiTheme="minorHAnsi" w:cstheme="minorHAnsi"/>
                <w:color w:val="000000"/>
                <w:sz w:val="18"/>
                <w:szCs w:val="18"/>
              </w:rPr>
            </w:pPr>
            <w:r w:rsidRPr="00851AFC">
              <w:rPr>
                <w:rFonts w:asciiTheme="minorHAnsi" w:hAnsiTheme="minorHAnsi" w:cstheme="minorHAnsi"/>
                <w:color w:val="000000"/>
                <w:sz w:val="18"/>
                <w:szCs w:val="18"/>
              </w:rPr>
              <w:t xml:space="preserve">The PBAC recommended the Section 100 Growth Hormone Program listing of </w:t>
            </w:r>
            <w:proofErr w:type="spellStart"/>
            <w:r w:rsidRPr="00851AFC">
              <w:rPr>
                <w:rFonts w:asciiTheme="minorHAnsi" w:hAnsiTheme="minorHAnsi" w:cstheme="minorHAnsi"/>
                <w:color w:val="000000"/>
                <w:sz w:val="18"/>
                <w:szCs w:val="18"/>
              </w:rPr>
              <w:t>somapacitan</w:t>
            </w:r>
            <w:proofErr w:type="spellEnd"/>
            <w:r w:rsidRPr="00851AFC">
              <w:rPr>
                <w:rFonts w:asciiTheme="minorHAnsi" w:hAnsiTheme="minorHAnsi" w:cstheme="minorHAnsi"/>
                <w:color w:val="000000"/>
                <w:sz w:val="18"/>
                <w:szCs w:val="18"/>
              </w:rPr>
              <w:t xml:space="preserve"> on a cost</w:t>
            </w:r>
            <w:r w:rsidR="00261714">
              <w:rPr>
                <w:rFonts w:asciiTheme="minorHAnsi" w:hAnsiTheme="minorHAnsi" w:cstheme="minorHAnsi"/>
                <w:color w:val="000000"/>
                <w:sz w:val="18"/>
                <w:szCs w:val="18"/>
              </w:rPr>
              <w:t> </w:t>
            </w:r>
            <w:r w:rsidRPr="00851AFC">
              <w:rPr>
                <w:rFonts w:asciiTheme="minorHAnsi" w:hAnsiTheme="minorHAnsi" w:cstheme="minorHAnsi"/>
                <w:color w:val="000000"/>
                <w:sz w:val="18"/>
                <w:szCs w:val="18"/>
              </w:rPr>
              <w:t>-</w:t>
            </w:r>
            <w:r w:rsidR="00261714">
              <w:rPr>
                <w:rFonts w:asciiTheme="minorHAnsi" w:hAnsiTheme="minorHAnsi" w:cstheme="minorHAnsi"/>
                <w:color w:val="000000"/>
                <w:sz w:val="18"/>
                <w:szCs w:val="18"/>
              </w:rPr>
              <w:t> </w:t>
            </w:r>
            <w:r w:rsidRPr="00851AFC">
              <w:rPr>
                <w:rFonts w:asciiTheme="minorHAnsi" w:hAnsiTheme="minorHAnsi" w:cstheme="minorHAnsi"/>
                <w:color w:val="000000"/>
                <w:sz w:val="18"/>
                <w:szCs w:val="18"/>
              </w:rPr>
              <w:t xml:space="preserve">minimisation basis to </w:t>
            </w:r>
            <w:proofErr w:type="spellStart"/>
            <w:r w:rsidRPr="00851AFC">
              <w:rPr>
                <w:rFonts w:asciiTheme="minorHAnsi" w:hAnsiTheme="minorHAnsi" w:cstheme="minorHAnsi"/>
                <w:color w:val="000000"/>
                <w:sz w:val="18"/>
                <w:szCs w:val="18"/>
              </w:rPr>
              <w:t>somatrogon</w:t>
            </w:r>
            <w:proofErr w:type="spellEnd"/>
            <w:r w:rsidRPr="00851AFC">
              <w:rPr>
                <w:rFonts w:asciiTheme="minorHAnsi" w:hAnsiTheme="minorHAnsi" w:cstheme="minorHAnsi"/>
                <w:color w:val="000000"/>
                <w:sz w:val="18"/>
                <w:szCs w:val="18"/>
              </w:rPr>
              <w:t xml:space="preserve"> and somatropin for paediatric patients with </w:t>
            </w:r>
            <w:r w:rsidR="00816A62" w:rsidRPr="00851AFC">
              <w:rPr>
                <w:rFonts w:asciiTheme="minorHAnsi" w:hAnsiTheme="minorHAnsi" w:cstheme="minorHAnsi"/>
                <w:color w:val="000000"/>
                <w:sz w:val="18"/>
                <w:szCs w:val="18"/>
              </w:rPr>
              <w:t>GHD</w:t>
            </w:r>
            <w:r w:rsidRPr="00851AFC">
              <w:rPr>
                <w:rFonts w:asciiTheme="minorHAnsi" w:hAnsiTheme="minorHAnsi" w:cstheme="minorHAnsi"/>
                <w:color w:val="000000"/>
                <w:sz w:val="18"/>
                <w:szCs w:val="18"/>
              </w:rPr>
              <w:t xml:space="preserve">, with the </w:t>
            </w:r>
            <w:proofErr w:type="spellStart"/>
            <w:r w:rsidRPr="00851AFC">
              <w:rPr>
                <w:rFonts w:asciiTheme="minorHAnsi" w:hAnsiTheme="minorHAnsi" w:cstheme="minorHAnsi"/>
                <w:color w:val="000000"/>
                <w:sz w:val="18"/>
                <w:szCs w:val="18"/>
              </w:rPr>
              <w:t>equi</w:t>
            </w:r>
            <w:proofErr w:type="spellEnd"/>
            <w:r w:rsidRPr="00851AFC">
              <w:rPr>
                <w:rFonts w:asciiTheme="minorHAnsi" w:hAnsiTheme="minorHAnsi" w:cstheme="minorHAnsi"/>
                <w:color w:val="000000"/>
                <w:sz w:val="18"/>
                <w:szCs w:val="18"/>
              </w:rPr>
              <w:t>-effective doses being:</w:t>
            </w:r>
          </w:p>
          <w:p w14:paraId="757D3606" w14:textId="4DB90600" w:rsidR="00116222" w:rsidRPr="00851AFC" w:rsidRDefault="00897FAC" w:rsidP="00851AFC">
            <w:pPr>
              <w:pStyle w:val="ListParagraph"/>
              <w:numPr>
                <w:ilvl w:val="0"/>
                <w:numId w:val="42"/>
              </w:numPr>
              <w:ind w:left="456"/>
              <w:rPr>
                <w:rFonts w:asciiTheme="minorHAnsi" w:hAnsiTheme="minorHAnsi" w:cstheme="minorHAnsi"/>
                <w:color w:val="000000"/>
                <w:sz w:val="18"/>
                <w:szCs w:val="18"/>
              </w:rPr>
            </w:pPr>
            <w:r w:rsidRPr="00851AFC">
              <w:rPr>
                <w:rFonts w:asciiTheme="minorHAnsi" w:hAnsiTheme="minorHAnsi" w:cstheme="minorHAnsi"/>
                <w:color w:val="000000"/>
                <w:sz w:val="18"/>
                <w:szCs w:val="18"/>
              </w:rPr>
              <w:t xml:space="preserve">1 mg of </w:t>
            </w:r>
            <w:proofErr w:type="spellStart"/>
            <w:r w:rsidRPr="00851AFC">
              <w:rPr>
                <w:rFonts w:asciiTheme="minorHAnsi" w:hAnsiTheme="minorHAnsi" w:cstheme="minorHAnsi"/>
                <w:color w:val="000000"/>
                <w:sz w:val="18"/>
                <w:szCs w:val="18"/>
              </w:rPr>
              <w:t>somatrogon</w:t>
            </w:r>
            <w:proofErr w:type="spellEnd"/>
            <w:r w:rsidRPr="00851AFC">
              <w:rPr>
                <w:rFonts w:asciiTheme="minorHAnsi" w:hAnsiTheme="minorHAnsi" w:cstheme="minorHAnsi"/>
                <w:color w:val="000000"/>
                <w:sz w:val="18"/>
                <w:szCs w:val="18"/>
              </w:rPr>
              <w:t xml:space="preserve"> is equivalent to 0.240</w:t>
            </w:r>
            <w:r w:rsidR="006E1BA4" w:rsidRPr="00851AFC">
              <w:rPr>
                <w:rFonts w:asciiTheme="minorHAnsi" w:hAnsiTheme="minorHAnsi" w:cstheme="minorHAnsi"/>
                <w:color w:val="000000"/>
                <w:sz w:val="18"/>
                <w:szCs w:val="18"/>
              </w:rPr>
              <w:t> </w:t>
            </w:r>
            <w:r w:rsidRPr="00851AFC">
              <w:rPr>
                <w:rFonts w:asciiTheme="minorHAnsi" w:hAnsiTheme="minorHAnsi" w:cstheme="minorHAnsi"/>
                <w:color w:val="000000"/>
                <w:sz w:val="18"/>
                <w:szCs w:val="18"/>
              </w:rPr>
              <w:t xml:space="preserve">mg of </w:t>
            </w:r>
            <w:proofErr w:type="spellStart"/>
            <w:r w:rsidRPr="00851AFC">
              <w:rPr>
                <w:rFonts w:asciiTheme="minorHAnsi" w:hAnsiTheme="minorHAnsi" w:cstheme="minorHAnsi"/>
                <w:color w:val="000000"/>
                <w:sz w:val="18"/>
                <w:szCs w:val="18"/>
              </w:rPr>
              <w:t>somapacitan</w:t>
            </w:r>
            <w:proofErr w:type="spellEnd"/>
          </w:p>
          <w:p w14:paraId="6B2F5C50" w14:textId="65924241" w:rsidR="00897FAC" w:rsidRPr="00851AFC" w:rsidRDefault="00897FAC" w:rsidP="00851AFC">
            <w:pPr>
              <w:pStyle w:val="ListParagraph"/>
              <w:numPr>
                <w:ilvl w:val="0"/>
                <w:numId w:val="42"/>
              </w:numPr>
              <w:ind w:left="456"/>
              <w:rPr>
                <w:rFonts w:asciiTheme="minorHAnsi" w:hAnsiTheme="minorHAnsi" w:cstheme="minorHAnsi"/>
                <w:color w:val="000000"/>
                <w:sz w:val="18"/>
                <w:szCs w:val="18"/>
              </w:rPr>
            </w:pPr>
            <w:r w:rsidRPr="00851AFC">
              <w:rPr>
                <w:rFonts w:asciiTheme="minorHAnsi" w:hAnsiTheme="minorHAnsi" w:cstheme="minorHAnsi"/>
                <w:color w:val="000000"/>
                <w:sz w:val="18"/>
                <w:szCs w:val="18"/>
              </w:rPr>
              <w:t>1 mg of somatropin is equivalent to 0.665</w:t>
            </w:r>
            <w:r w:rsidR="006E1BA4" w:rsidRPr="00851AFC">
              <w:rPr>
                <w:rFonts w:asciiTheme="minorHAnsi" w:hAnsiTheme="minorHAnsi" w:cstheme="minorHAnsi"/>
                <w:color w:val="000000"/>
                <w:sz w:val="18"/>
                <w:szCs w:val="18"/>
              </w:rPr>
              <w:t> </w:t>
            </w:r>
            <w:r w:rsidRPr="00851AFC">
              <w:rPr>
                <w:rFonts w:asciiTheme="minorHAnsi" w:hAnsiTheme="minorHAnsi" w:cstheme="minorHAnsi"/>
                <w:color w:val="000000"/>
                <w:sz w:val="18"/>
                <w:szCs w:val="18"/>
              </w:rPr>
              <w:t xml:space="preserve">mg of </w:t>
            </w:r>
            <w:proofErr w:type="spellStart"/>
            <w:r w:rsidRPr="00851AFC">
              <w:rPr>
                <w:rFonts w:asciiTheme="minorHAnsi" w:hAnsiTheme="minorHAnsi" w:cstheme="minorHAnsi"/>
                <w:color w:val="000000"/>
                <w:sz w:val="18"/>
                <w:szCs w:val="18"/>
              </w:rPr>
              <w:t>somapacitan</w:t>
            </w:r>
            <w:proofErr w:type="spellEnd"/>
            <w:r w:rsidRPr="00851AFC">
              <w:rPr>
                <w:rFonts w:asciiTheme="minorHAnsi" w:hAnsiTheme="minorHAnsi" w:cstheme="minorHAnsi"/>
                <w:color w:val="000000"/>
                <w:sz w:val="18"/>
                <w:szCs w:val="18"/>
              </w:rPr>
              <w:t>.</w:t>
            </w:r>
          </w:p>
        </w:tc>
      </w:tr>
      <w:tr w:rsidR="00897FAC" w:rsidRPr="00015520" w14:paraId="39F54A75" w14:textId="77777777" w:rsidTr="00344CBB">
        <w:trPr>
          <w:cantSplit/>
          <w:trHeight w:val="2948"/>
          <w:jc w:val="center"/>
        </w:trPr>
        <w:tc>
          <w:tcPr>
            <w:tcW w:w="3013" w:type="dxa"/>
            <w:shd w:val="clear" w:color="auto" w:fill="auto"/>
            <w:tcMar>
              <w:top w:w="28" w:type="dxa"/>
              <w:bottom w:w="28" w:type="dxa"/>
            </w:tcMar>
            <w:vAlign w:val="center"/>
          </w:tcPr>
          <w:p w14:paraId="5C872226" w14:textId="386D0AF8" w:rsidR="0030100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SONIDEGIB</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200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Odomzo</w:t>
            </w:r>
            <w:proofErr w:type="spellEnd"/>
            <w:r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 xml:space="preserve">Sun Pharma </w:t>
            </w:r>
            <w:r w:rsidR="00116222" w:rsidRPr="00015520">
              <w:rPr>
                <w:rFonts w:asciiTheme="minorHAnsi" w:hAnsiTheme="minorHAnsi" w:cstheme="minorHAnsi"/>
                <w:color w:val="000000"/>
                <w:sz w:val="18"/>
                <w:szCs w:val="18"/>
              </w:rPr>
              <w:t>A</w:t>
            </w:r>
            <w:r w:rsidR="00116222">
              <w:rPr>
                <w:rFonts w:asciiTheme="minorHAnsi" w:hAnsiTheme="minorHAnsi" w:cstheme="minorHAnsi"/>
                <w:color w:val="000000"/>
                <w:sz w:val="18"/>
                <w:szCs w:val="18"/>
              </w:rPr>
              <w:t>NZ</w:t>
            </w:r>
            <w:r w:rsidR="00116222" w:rsidRPr="00015520">
              <w:rPr>
                <w:rFonts w:asciiTheme="minorHAnsi" w:hAnsiTheme="minorHAnsi" w:cstheme="minorHAnsi"/>
                <w:color w:val="000000"/>
                <w:sz w:val="18"/>
                <w:szCs w:val="18"/>
              </w:rPr>
              <w:t xml:space="preserve"> </w:t>
            </w:r>
            <w:r w:rsidR="0066292F" w:rsidRPr="00015520">
              <w:rPr>
                <w:rFonts w:asciiTheme="minorHAnsi" w:hAnsiTheme="minorHAnsi" w:cstheme="minorHAnsi"/>
                <w:color w:val="000000"/>
                <w:sz w:val="18"/>
                <w:szCs w:val="18"/>
              </w:rPr>
              <w:t>Pty Ltd</w:t>
            </w:r>
            <w:r w:rsidRPr="00015520">
              <w:rPr>
                <w:rFonts w:asciiTheme="minorHAnsi" w:hAnsiTheme="minorHAnsi" w:cstheme="minorHAnsi"/>
                <w:color w:val="000000"/>
                <w:sz w:val="18"/>
                <w:szCs w:val="18"/>
              </w:rPr>
              <w:br/>
            </w:r>
          </w:p>
          <w:p w14:paraId="5B3FEC50" w14:textId="0069942D" w:rsidR="00897FAC" w:rsidRPr="00015520" w:rsidRDefault="0030100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(Other matters)</w:t>
            </w:r>
          </w:p>
        </w:tc>
        <w:tc>
          <w:tcPr>
            <w:tcW w:w="2764" w:type="dxa"/>
            <w:shd w:val="clear" w:color="auto" w:fill="auto"/>
            <w:vAlign w:val="center"/>
          </w:tcPr>
          <w:p w14:paraId="3E598DA8" w14:textId="3922FE7D"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Metastatic or locally advanced basal cell carcinoma (BCC)</w:t>
            </w:r>
          </w:p>
        </w:tc>
        <w:tc>
          <w:tcPr>
            <w:tcW w:w="3098" w:type="dxa"/>
            <w:shd w:val="clear" w:color="auto" w:fill="auto"/>
            <w:tcMar>
              <w:top w:w="28" w:type="dxa"/>
              <w:bottom w:w="28" w:type="dxa"/>
            </w:tcMar>
            <w:vAlign w:val="center"/>
          </w:tcPr>
          <w:p w14:paraId="0C9C42A5" w14:textId="0E89DB67"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the PBAC consider the previously estimated utilisation for </w:t>
            </w:r>
            <w:proofErr w:type="spellStart"/>
            <w:r w:rsidRPr="00015520">
              <w:rPr>
                <w:rFonts w:asciiTheme="minorHAnsi" w:hAnsiTheme="minorHAnsi" w:cstheme="minorHAnsi"/>
                <w:color w:val="000000"/>
                <w:sz w:val="18"/>
                <w:szCs w:val="18"/>
              </w:rPr>
              <w:t>sonidegib</w:t>
            </w:r>
            <w:proofErr w:type="spellEnd"/>
            <w:r w:rsidRPr="00015520">
              <w:rPr>
                <w:rFonts w:asciiTheme="minorHAnsi" w:hAnsiTheme="minorHAnsi" w:cstheme="minorHAnsi"/>
                <w:color w:val="000000"/>
                <w:sz w:val="18"/>
                <w:szCs w:val="18"/>
              </w:rPr>
              <w:t xml:space="preserve"> and </w:t>
            </w:r>
            <w:proofErr w:type="spellStart"/>
            <w:r w:rsidRPr="00015520">
              <w:rPr>
                <w:rFonts w:asciiTheme="minorHAnsi" w:hAnsiTheme="minorHAnsi" w:cstheme="minorHAnsi"/>
                <w:color w:val="000000"/>
                <w:sz w:val="18"/>
                <w:szCs w:val="18"/>
              </w:rPr>
              <w:t>vismodegib</w:t>
            </w:r>
            <w:proofErr w:type="spellEnd"/>
            <w:r w:rsidRPr="00015520">
              <w:rPr>
                <w:rFonts w:asciiTheme="minorHAnsi" w:hAnsiTheme="minorHAnsi" w:cstheme="minorHAnsi"/>
                <w:color w:val="000000"/>
                <w:sz w:val="18"/>
                <w:szCs w:val="18"/>
              </w:rPr>
              <w:t xml:space="preserve"> for the treatment of metastatic or locally advanced BCC.</w:t>
            </w:r>
          </w:p>
        </w:tc>
        <w:tc>
          <w:tcPr>
            <w:tcW w:w="1920" w:type="dxa"/>
            <w:shd w:val="clear" w:color="auto" w:fill="auto"/>
            <w:vAlign w:val="center"/>
          </w:tcPr>
          <w:p w14:paraId="61B57AE6" w14:textId="134D4C1B" w:rsidR="00897FAC" w:rsidRPr="00015520" w:rsidRDefault="00301004" w:rsidP="008542C1">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Advice </w:t>
            </w:r>
            <w:r w:rsidR="00F00A70">
              <w:rPr>
                <w:rFonts w:asciiTheme="minorHAnsi" w:hAnsiTheme="minorHAnsi" w:cstheme="minorHAnsi"/>
                <w:color w:val="000000"/>
                <w:sz w:val="18"/>
                <w:szCs w:val="18"/>
              </w:rPr>
              <w:t>P</w:t>
            </w:r>
            <w:r>
              <w:rPr>
                <w:rFonts w:asciiTheme="minorHAnsi" w:hAnsiTheme="minorHAnsi" w:cstheme="minorHAnsi"/>
                <w:color w:val="000000"/>
                <w:sz w:val="18"/>
                <w:szCs w:val="18"/>
              </w:rPr>
              <w:t>rovided</w:t>
            </w:r>
          </w:p>
        </w:tc>
        <w:tc>
          <w:tcPr>
            <w:tcW w:w="4593" w:type="dxa"/>
            <w:shd w:val="clear" w:color="auto" w:fill="auto"/>
            <w:vAlign w:val="center"/>
          </w:tcPr>
          <w:p w14:paraId="0A38A3EC" w14:textId="24634E21" w:rsidR="00897FAC" w:rsidRPr="00015520" w:rsidRDefault="009F7274" w:rsidP="008542C1">
            <w:pPr>
              <w:rPr>
                <w:rFonts w:asciiTheme="minorHAnsi" w:hAnsiTheme="minorHAnsi" w:cstheme="minorHAnsi"/>
                <w:color w:val="000000"/>
                <w:sz w:val="18"/>
                <w:szCs w:val="18"/>
              </w:rPr>
            </w:pPr>
            <w:r w:rsidRPr="009F7274">
              <w:rPr>
                <w:rFonts w:asciiTheme="minorHAnsi" w:hAnsiTheme="minorHAnsi" w:cstheme="minorHAnsi"/>
                <w:color w:val="000000"/>
                <w:sz w:val="18"/>
                <w:szCs w:val="18"/>
              </w:rPr>
              <w:t xml:space="preserve">The PBAC provided advice on the risk sharing arrangement for </w:t>
            </w:r>
            <w:proofErr w:type="spellStart"/>
            <w:r w:rsidRPr="009F7274">
              <w:rPr>
                <w:rFonts w:asciiTheme="minorHAnsi" w:hAnsiTheme="minorHAnsi" w:cstheme="minorHAnsi"/>
                <w:color w:val="000000"/>
                <w:sz w:val="18"/>
                <w:szCs w:val="18"/>
              </w:rPr>
              <w:t>sonidegib</w:t>
            </w:r>
            <w:proofErr w:type="spellEnd"/>
            <w:r w:rsidRPr="009F7274">
              <w:rPr>
                <w:rFonts w:asciiTheme="minorHAnsi" w:hAnsiTheme="minorHAnsi" w:cstheme="minorHAnsi"/>
                <w:color w:val="000000"/>
                <w:sz w:val="18"/>
                <w:szCs w:val="18"/>
              </w:rPr>
              <w:t xml:space="preserve"> (</w:t>
            </w:r>
            <w:proofErr w:type="spellStart"/>
            <w:r w:rsidRPr="009F7274">
              <w:rPr>
                <w:rFonts w:asciiTheme="minorHAnsi" w:hAnsiTheme="minorHAnsi" w:cstheme="minorHAnsi"/>
                <w:color w:val="000000"/>
                <w:sz w:val="18"/>
                <w:szCs w:val="18"/>
              </w:rPr>
              <w:t>Odomzo</w:t>
            </w:r>
            <w:proofErr w:type="spellEnd"/>
            <w:r w:rsidRPr="009F7274">
              <w:rPr>
                <w:rFonts w:asciiTheme="minorHAnsi" w:hAnsiTheme="minorHAnsi" w:cstheme="minorHAnsi"/>
                <w:color w:val="000000"/>
                <w:sz w:val="18"/>
                <w:szCs w:val="18"/>
              </w:rPr>
              <w:t xml:space="preserve">®) and </w:t>
            </w:r>
            <w:proofErr w:type="spellStart"/>
            <w:r w:rsidRPr="009F7274">
              <w:rPr>
                <w:rFonts w:asciiTheme="minorHAnsi" w:hAnsiTheme="minorHAnsi" w:cstheme="minorHAnsi"/>
                <w:color w:val="000000"/>
                <w:sz w:val="18"/>
                <w:szCs w:val="18"/>
              </w:rPr>
              <w:t>vismodegib</w:t>
            </w:r>
            <w:proofErr w:type="spellEnd"/>
            <w:r w:rsidRPr="009F7274">
              <w:rPr>
                <w:rFonts w:asciiTheme="minorHAnsi" w:hAnsiTheme="minorHAnsi" w:cstheme="minorHAnsi"/>
                <w:color w:val="000000"/>
                <w:sz w:val="18"/>
                <w:szCs w:val="18"/>
              </w:rPr>
              <w:t xml:space="preserve"> (</w:t>
            </w:r>
            <w:proofErr w:type="spellStart"/>
            <w:r w:rsidRPr="009F7274">
              <w:rPr>
                <w:rFonts w:asciiTheme="minorHAnsi" w:hAnsiTheme="minorHAnsi" w:cstheme="minorHAnsi"/>
                <w:color w:val="000000"/>
                <w:sz w:val="18"/>
                <w:szCs w:val="18"/>
              </w:rPr>
              <w:t>Erivedge</w:t>
            </w:r>
            <w:proofErr w:type="spellEnd"/>
            <w:r w:rsidRPr="009F7274">
              <w:rPr>
                <w:rFonts w:asciiTheme="minorHAnsi" w:hAnsiTheme="minorHAnsi" w:cstheme="minorHAnsi"/>
                <w:color w:val="000000"/>
                <w:sz w:val="18"/>
                <w:szCs w:val="18"/>
              </w:rPr>
              <w:t>®) for the treatment of metastatic or locally advanced BCC.</w:t>
            </w:r>
          </w:p>
        </w:tc>
      </w:tr>
      <w:tr w:rsidR="00897FAC" w:rsidRPr="00015520" w14:paraId="61EAC40A" w14:textId="77777777" w:rsidTr="00344CBB">
        <w:trPr>
          <w:cantSplit/>
          <w:trHeight w:val="2948"/>
          <w:jc w:val="center"/>
        </w:trPr>
        <w:tc>
          <w:tcPr>
            <w:tcW w:w="3013" w:type="dxa"/>
            <w:shd w:val="clear" w:color="auto" w:fill="auto"/>
            <w:tcMar>
              <w:top w:w="28" w:type="dxa"/>
              <w:bottom w:w="28" w:type="dxa"/>
            </w:tcMar>
            <w:vAlign w:val="center"/>
          </w:tcPr>
          <w:p w14:paraId="57E78FB6" w14:textId="24C28398" w:rsidR="00B314D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TAFAMIDIS</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Capsule 61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Vyndamax</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Pfizer Australia Pty Ltd</w:t>
            </w:r>
            <w:r w:rsidRPr="00015520">
              <w:rPr>
                <w:rFonts w:asciiTheme="minorHAnsi" w:hAnsiTheme="minorHAnsi" w:cstheme="minorHAnsi"/>
                <w:color w:val="000000"/>
                <w:sz w:val="18"/>
                <w:szCs w:val="18"/>
              </w:rPr>
              <w:br/>
            </w:r>
          </w:p>
          <w:p w14:paraId="17EF7A28" w14:textId="042BDCD7" w:rsidR="00897FAC" w:rsidRPr="00015520" w:rsidRDefault="00B314D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re-entry</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592E079A" w14:textId="383CC5E8"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Transthyretin amyloid cardiomyopathy</w:t>
            </w:r>
          </w:p>
        </w:tc>
        <w:tc>
          <w:tcPr>
            <w:tcW w:w="3098" w:type="dxa"/>
            <w:shd w:val="clear" w:color="auto" w:fill="auto"/>
            <w:tcMar>
              <w:top w:w="28" w:type="dxa"/>
              <w:bottom w:w="28" w:type="dxa"/>
            </w:tcMar>
            <w:vAlign w:val="center"/>
          </w:tcPr>
          <w:p w14:paraId="55E68C31" w14:textId="0E812442" w:rsidR="00897FAC" w:rsidRPr="00015520" w:rsidRDefault="00897FAC" w:rsidP="00851AFC">
            <w:pPr>
              <w:pStyle w:val="ListParagraph"/>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General Schedule Authority Required (Written) listing for the treatment of transthyretin amyloid cardiomyopathy.</w:t>
            </w:r>
          </w:p>
        </w:tc>
        <w:tc>
          <w:tcPr>
            <w:tcW w:w="1920" w:type="dxa"/>
            <w:shd w:val="clear" w:color="auto" w:fill="auto"/>
            <w:vAlign w:val="center"/>
          </w:tcPr>
          <w:p w14:paraId="089D0733" w14:textId="0B58BCB0"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0B29E960" w14:textId="1E9E8208"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sz w:val="18"/>
                <w:szCs w:val="18"/>
              </w:rPr>
              <w:t xml:space="preserve">The PBAC recommended the listing of </w:t>
            </w:r>
            <w:proofErr w:type="spellStart"/>
            <w:r w:rsidRPr="00015520">
              <w:rPr>
                <w:rFonts w:asciiTheme="minorHAnsi" w:hAnsiTheme="minorHAnsi" w:cstheme="minorHAnsi"/>
                <w:sz w:val="18"/>
                <w:szCs w:val="18"/>
              </w:rPr>
              <w:t>tafamidis</w:t>
            </w:r>
            <w:proofErr w:type="spellEnd"/>
            <w:r w:rsidRPr="00015520">
              <w:rPr>
                <w:rFonts w:asciiTheme="minorHAnsi" w:hAnsiTheme="minorHAnsi" w:cstheme="minorHAnsi"/>
                <w:sz w:val="18"/>
                <w:szCs w:val="18"/>
              </w:rPr>
              <w:t xml:space="preserve"> for patients with transthyretin amyloid cardiomyopathy, with </w:t>
            </w:r>
            <w:r w:rsidR="00FD620A" w:rsidRPr="00FD620A">
              <w:rPr>
                <w:rFonts w:asciiTheme="minorHAnsi" w:hAnsiTheme="minorHAnsi" w:cstheme="minorHAnsi"/>
                <w:sz w:val="18"/>
                <w:szCs w:val="18"/>
              </w:rPr>
              <w:t>New York Heart Association (NYHA)</w:t>
            </w:r>
            <w:r w:rsidRPr="00015520">
              <w:rPr>
                <w:rFonts w:asciiTheme="minorHAnsi" w:hAnsiTheme="minorHAnsi" w:cstheme="minorHAnsi"/>
                <w:sz w:val="18"/>
                <w:szCs w:val="18"/>
              </w:rPr>
              <w:t xml:space="preserve"> class I-II. The PBAC considered that there was a clear clinical benefit for </w:t>
            </w:r>
            <w:proofErr w:type="spellStart"/>
            <w:r w:rsidRPr="00015520">
              <w:rPr>
                <w:rFonts w:asciiTheme="minorHAnsi" w:hAnsiTheme="minorHAnsi" w:cstheme="minorHAnsi"/>
                <w:sz w:val="18"/>
                <w:szCs w:val="18"/>
              </w:rPr>
              <w:t>tafamidis</w:t>
            </w:r>
            <w:proofErr w:type="spellEnd"/>
            <w:r w:rsidRPr="00015520">
              <w:rPr>
                <w:rFonts w:asciiTheme="minorHAnsi" w:hAnsiTheme="minorHAnsi" w:cstheme="minorHAnsi"/>
                <w:sz w:val="18"/>
                <w:szCs w:val="18"/>
              </w:rPr>
              <w:t xml:space="preserve">, including a reduction in mortality. The PBAC considered that the </w:t>
            </w:r>
            <w:r w:rsidR="00692F2B">
              <w:rPr>
                <w:rFonts w:asciiTheme="minorHAnsi" w:hAnsiTheme="minorHAnsi" w:cstheme="minorHAnsi"/>
                <w:sz w:val="18"/>
                <w:szCs w:val="18"/>
              </w:rPr>
              <w:t>i</w:t>
            </w:r>
            <w:r w:rsidR="00692F2B" w:rsidRPr="00692F2B">
              <w:rPr>
                <w:rFonts w:asciiTheme="minorHAnsi" w:hAnsiTheme="minorHAnsi" w:cstheme="minorHAnsi"/>
                <w:sz w:val="18"/>
                <w:szCs w:val="18"/>
              </w:rPr>
              <w:t xml:space="preserve">ncremental </w:t>
            </w:r>
            <w:r w:rsidR="00011394">
              <w:rPr>
                <w:rFonts w:asciiTheme="minorHAnsi" w:hAnsiTheme="minorHAnsi" w:cstheme="minorHAnsi"/>
                <w:sz w:val="18"/>
                <w:szCs w:val="18"/>
              </w:rPr>
              <w:br/>
            </w:r>
            <w:r w:rsidR="00692F2B" w:rsidRPr="00692F2B">
              <w:rPr>
                <w:rFonts w:asciiTheme="minorHAnsi" w:hAnsiTheme="minorHAnsi" w:cstheme="minorHAnsi"/>
                <w:sz w:val="18"/>
                <w:szCs w:val="18"/>
              </w:rPr>
              <w:t>cost</w:t>
            </w:r>
            <w:r w:rsidR="00011394">
              <w:rPr>
                <w:rFonts w:asciiTheme="minorHAnsi" w:hAnsiTheme="minorHAnsi" w:cstheme="minorHAnsi"/>
                <w:color w:val="000000"/>
                <w:sz w:val="18"/>
                <w:szCs w:val="18"/>
              </w:rPr>
              <w:t>-</w:t>
            </w:r>
            <w:r w:rsidR="00692F2B" w:rsidRPr="00692F2B">
              <w:rPr>
                <w:rFonts w:asciiTheme="minorHAnsi" w:hAnsiTheme="minorHAnsi" w:cstheme="minorHAnsi"/>
                <w:sz w:val="18"/>
                <w:szCs w:val="18"/>
              </w:rPr>
              <w:t>effectiveness ratio</w:t>
            </w:r>
            <w:r w:rsidRPr="00015520">
              <w:rPr>
                <w:rFonts w:asciiTheme="minorHAnsi" w:hAnsiTheme="minorHAnsi" w:cstheme="minorHAnsi"/>
                <w:sz w:val="18"/>
                <w:szCs w:val="18"/>
              </w:rPr>
              <w:t xml:space="preserve"> was high, but would be acceptable at the lower price proposed in the pre-PBAC response, in the context of the high unmet need for this patient population. The PBAC considered that a risk sharing arrangement would be required due to a high risk of utilisation outside the proposed restriction and to address uncertainty around the overall financial impact.</w:t>
            </w:r>
          </w:p>
        </w:tc>
      </w:tr>
      <w:tr w:rsidR="00897FAC" w:rsidRPr="00015520" w14:paraId="73CCA187" w14:textId="77777777" w:rsidTr="00344CBB">
        <w:trPr>
          <w:cantSplit/>
          <w:trHeight w:val="2948"/>
          <w:jc w:val="center"/>
        </w:trPr>
        <w:tc>
          <w:tcPr>
            <w:tcW w:w="3013" w:type="dxa"/>
            <w:shd w:val="clear" w:color="auto" w:fill="auto"/>
            <w:tcMar>
              <w:top w:w="28" w:type="dxa"/>
              <w:bottom w:w="28" w:type="dxa"/>
            </w:tcMar>
            <w:vAlign w:val="center"/>
          </w:tcPr>
          <w:p w14:paraId="3525F62D" w14:textId="7359A002" w:rsidR="00B314D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TAGRAXOFUSP</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1</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w:t>
            </w:r>
            <w:r w:rsidR="00692F2B">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Elzonris</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0066292F" w:rsidRPr="00015520">
              <w:rPr>
                <w:rFonts w:asciiTheme="minorHAnsi" w:hAnsiTheme="minorHAnsi" w:cstheme="minorHAnsi"/>
                <w:color w:val="000000"/>
                <w:sz w:val="18"/>
                <w:szCs w:val="18"/>
              </w:rPr>
              <w:t>A.Menarini</w:t>
            </w:r>
            <w:proofErr w:type="spellEnd"/>
            <w:r w:rsidR="0066292F" w:rsidRPr="00015520">
              <w:rPr>
                <w:rFonts w:asciiTheme="minorHAnsi" w:hAnsiTheme="minorHAnsi" w:cstheme="minorHAnsi"/>
                <w:color w:val="000000"/>
                <w:sz w:val="18"/>
                <w:szCs w:val="18"/>
              </w:rPr>
              <w:t xml:space="preserve"> Australia Pty Limited</w:t>
            </w:r>
            <w:r w:rsidRPr="00015520">
              <w:rPr>
                <w:rFonts w:asciiTheme="minorHAnsi" w:hAnsiTheme="minorHAnsi" w:cstheme="minorHAnsi"/>
                <w:color w:val="000000"/>
                <w:sz w:val="18"/>
                <w:szCs w:val="18"/>
              </w:rPr>
              <w:br/>
            </w:r>
          </w:p>
          <w:p w14:paraId="36CECB75" w14:textId="70C505B6" w:rsidR="00897FAC" w:rsidRPr="00015520" w:rsidRDefault="00B314D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366011E9" w14:textId="0C074381" w:rsidR="00897FAC" w:rsidRPr="00015520" w:rsidRDefault="00897FAC" w:rsidP="008542C1">
            <w:pPr>
              <w:keepLines/>
              <w:widowControl w:val="0"/>
              <w:jc w:val="center"/>
              <w:rPr>
                <w:rFonts w:asciiTheme="minorHAnsi" w:hAnsiTheme="minorHAnsi" w:cstheme="minorHAnsi"/>
                <w:color w:val="000000"/>
                <w:sz w:val="18"/>
                <w:szCs w:val="18"/>
              </w:rPr>
            </w:pPr>
            <w:proofErr w:type="spellStart"/>
            <w:r w:rsidRPr="00015520">
              <w:rPr>
                <w:rFonts w:asciiTheme="minorHAnsi" w:hAnsiTheme="minorHAnsi" w:cstheme="minorHAnsi"/>
                <w:color w:val="000000"/>
                <w:sz w:val="18"/>
                <w:szCs w:val="18"/>
              </w:rPr>
              <w:t>Blastic</w:t>
            </w:r>
            <w:proofErr w:type="spellEnd"/>
            <w:r w:rsidRPr="00015520">
              <w:rPr>
                <w:rFonts w:asciiTheme="minorHAnsi" w:hAnsiTheme="minorHAnsi" w:cstheme="minorHAnsi"/>
                <w:color w:val="000000"/>
                <w:sz w:val="18"/>
                <w:szCs w:val="18"/>
              </w:rPr>
              <w:t xml:space="preserve"> Plasmacytoid Dendritic Cell Neoplasm (BPDCN)</w:t>
            </w:r>
          </w:p>
        </w:tc>
        <w:tc>
          <w:tcPr>
            <w:tcW w:w="3098" w:type="dxa"/>
            <w:shd w:val="clear" w:color="auto" w:fill="auto"/>
            <w:tcMar>
              <w:top w:w="28" w:type="dxa"/>
              <w:bottom w:w="28" w:type="dxa"/>
            </w:tcMar>
            <w:vAlign w:val="center"/>
          </w:tcPr>
          <w:p w14:paraId="1E9BD949" w14:textId="0DB5736C"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Section 100 (Efficient Funding of Chemotherapy Program) Authority Required (Telephone/Online) listing for the treatment of BPDCN.</w:t>
            </w:r>
          </w:p>
        </w:tc>
        <w:tc>
          <w:tcPr>
            <w:tcW w:w="1920" w:type="dxa"/>
            <w:shd w:val="clear" w:color="auto" w:fill="auto"/>
            <w:vAlign w:val="center"/>
          </w:tcPr>
          <w:p w14:paraId="5BEB7D7D" w14:textId="0519BB9F"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7F382CF1" w14:textId="267EE7E2" w:rsidR="009F7274" w:rsidRDefault="009F7274" w:rsidP="00F00A70">
            <w:pPr>
              <w:rPr>
                <w:rFonts w:asciiTheme="minorHAnsi" w:hAnsiTheme="minorHAnsi" w:cstheme="minorHAnsi"/>
                <w:color w:val="000000"/>
                <w:sz w:val="18"/>
                <w:szCs w:val="18"/>
              </w:rPr>
            </w:pPr>
            <w:r w:rsidRPr="009F7274">
              <w:rPr>
                <w:rFonts w:asciiTheme="minorHAnsi" w:hAnsiTheme="minorHAnsi" w:cstheme="minorHAnsi"/>
                <w:color w:val="000000"/>
                <w:sz w:val="18"/>
                <w:szCs w:val="18"/>
              </w:rPr>
              <w:t xml:space="preserve">The PBAC did not recommend </w:t>
            </w:r>
            <w:proofErr w:type="spellStart"/>
            <w:r w:rsidRPr="009F7274">
              <w:rPr>
                <w:rFonts w:asciiTheme="minorHAnsi" w:hAnsiTheme="minorHAnsi" w:cstheme="minorHAnsi"/>
                <w:color w:val="000000"/>
                <w:sz w:val="18"/>
                <w:szCs w:val="18"/>
              </w:rPr>
              <w:t>tagraxofusp</w:t>
            </w:r>
            <w:proofErr w:type="spellEnd"/>
            <w:r w:rsidRPr="009F7274">
              <w:rPr>
                <w:rFonts w:asciiTheme="minorHAnsi" w:hAnsiTheme="minorHAnsi" w:cstheme="minorHAnsi"/>
                <w:color w:val="000000"/>
                <w:sz w:val="18"/>
                <w:szCs w:val="18"/>
              </w:rPr>
              <w:t xml:space="preserve"> for the first</w:t>
            </w:r>
            <w:r w:rsidR="00851AFC">
              <w:rPr>
                <w:rFonts w:asciiTheme="minorHAnsi" w:hAnsiTheme="minorHAnsi" w:cstheme="minorHAnsi"/>
                <w:color w:val="000000"/>
                <w:sz w:val="18"/>
                <w:szCs w:val="18"/>
              </w:rPr>
              <w:t> </w:t>
            </w:r>
            <w:r w:rsidR="001A0295">
              <w:rPr>
                <w:rFonts w:asciiTheme="minorHAnsi" w:hAnsiTheme="minorHAnsi" w:cstheme="minorHAnsi"/>
                <w:color w:val="000000"/>
                <w:sz w:val="18"/>
                <w:szCs w:val="18"/>
              </w:rPr>
              <w:t>-</w:t>
            </w:r>
            <w:r w:rsidR="00851AFC">
              <w:rPr>
                <w:rFonts w:asciiTheme="minorHAnsi" w:hAnsiTheme="minorHAnsi" w:cstheme="minorHAnsi"/>
                <w:color w:val="000000"/>
                <w:sz w:val="18"/>
                <w:szCs w:val="18"/>
              </w:rPr>
              <w:t> </w:t>
            </w:r>
            <w:r w:rsidRPr="009F7274">
              <w:rPr>
                <w:rFonts w:asciiTheme="minorHAnsi" w:hAnsiTheme="minorHAnsi" w:cstheme="minorHAnsi"/>
                <w:color w:val="000000"/>
                <w:sz w:val="18"/>
                <w:szCs w:val="18"/>
              </w:rPr>
              <w:t xml:space="preserve">line treatment of BPDCN. The PBAC noted that BPDCN was a very rare disease with a poor prognosis, but considered that, based on the data presented, </w:t>
            </w:r>
            <w:proofErr w:type="spellStart"/>
            <w:r w:rsidRPr="009F7274">
              <w:rPr>
                <w:rFonts w:asciiTheme="minorHAnsi" w:hAnsiTheme="minorHAnsi" w:cstheme="minorHAnsi"/>
                <w:color w:val="000000"/>
                <w:sz w:val="18"/>
                <w:szCs w:val="18"/>
              </w:rPr>
              <w:t>tagraxofusp</w:t>
            </w:r>
            <w:proofErr w:type="spellEnd"/>
            <w:r w:rsidRPr="009F7274">
              <w:rPr>
                <w:rFonts w:asciiTheme="minorHAnsi" w:hAnsiTheme="minorHAnsi" w:cstheme="minorHAnsi"/>
                <w:color w:val="000000"/>
                <w:sz w:val="18"/>
                <w:szCs w:val="18"/>
              </w:rPr>
              <w:t xml:space="preserve"> did not demonstrate superiority over standard chemotherapy. The PBAC considered that the revised incremental cost</w:t>
            </w:r>
            <w:r w:rsidR="00886BEE" w:rsidRPr="00851AFC">
              <w:rPr>
                <w:rFonts w:asciiTheme="minorHAnsi" w:hAnsiTheme="minorHAnsi" w:cstheme="minorHAnsi"/>
                <w:color w:val="000000"/>
                <w:sz w:val="18"/>
                <w:szCs w:val="18"/>
              </w:rPr>
              <w:t>-</w:t>
            </w:r>
            <w:r w:rsidRPr="009F7274">
              <w:rPr>
                <w:rFonts w:asciiTheme="minorHAnsi" w:hAnsiTheme="minorHAnsi" w:cstheme="minorHAnsi"/>
                <w:color w:val="000000"/>
                <w:sz w:val="18"/>
                <w:szCs w:val="18"/>
              </w:rPr>
              <w:t>effectiveness ratio presented in the pre-PBAC response was very high and highly uncertain. The PBAC considered that the estimated utilisation and financial impact estimates were uncertain.</w:t>
            </w:r>
          </w:p>
          <w:p w14:paraId="72BE4EC4" w14:textId="77777777" w:rsidR="009F7274" w:rsidRPr="00851AFC" w:rsidRDefault="009F7274" w:rsidP="00F00A70">
            <w:pPr>
              <w:rPr>
                <w:rFonts w:asciiTheme="minorHAnsi" w:hAnsiTheme="minorHAnsi" w:cstheme="minorHAnsi"/>
                <w:color w:val="000000"/>
                <w:sz w:val="18"/>
                <w:szCs w:val="18"/>
              </w:rPr>
            </w:pPr>
          </w:p>
          <w:p w14:paraId="2583FC55" w14:textId="7AF76059"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743A188C" w14:textId="0656DA64" w:rsidR="00897FAC" w:rsidRPr="00015520" w:rsidRDefault="00AD3491" w:rsidP="62154131">
            <w:pPr>
              <w:rPr>
                <w:rFonts w:asciiTheme="minorHAnsi" w:hAnsiTheme="minorHAnsi" w:cstheme="minorBidi"/>
                <w:color w:val="000000"/>
                <w:sz w:val="18"/>
                <w:szCs w:val="18"/>
              </w:rPr>
            </w:pPr>
            <w:proofErr w:type="spellStart"/>
            <w:r w:rsidRPr="62154131">
              <w:rPr>
                <w:rFonts w:asciiTheme="minorHAnsi" w:hAnsiTheme="minorHAnsi" w:cstheme="minorBidi"/>
                <w:color w:val="000000" w:themeColor="text1"/>
                <w:sz w:val="18"/>
                <w:szCs w:val="18"/>
              </w:rPr>
              <w:t>Menarini</w:t>
            </w:r>
            <w:proofErr w:type="spellEnd"/>
            <w:r w:rsidRPr="62154131">
              <w:rPr>
                <w:rFonts w:asciiTheme="minorHAnsi" w:hAnsiTheme="minorHAnsi" w:cstheme="minorBidi"/>
                <w:color w:val="000000" w:themeColor="text1"/>
                <w:sz w:val="18"/>
                <w:szCs w:val="18"/>
              </w:rPr>
              <w:t xml:space="preserve"> is disappointed with the PBAC outcome and commits to working with the PBAC and the Department of Health and Aged Care to make </w:t>
            </w:r>
            <w:proofErr w:type="spellStart"/>
            <w:r w:rsidRPr="62154131">
              <w:rPr>
                <w:rFonts w:asciiTheme="minorHAnsi" w:hAnsiTheme="minorHAnsi" w:cstheme="minorBidi"/>
                <w:color w:val="000000" w:themeColor="text1"/>
                <w:sz w:val="18"/>
                <w:szCs w:val="18"/>
              </w:rPr>
              <w:t>Elzonris</w:t>
            </w:r>
            <w:proofErr w:type="spellEnd"/>
            <w:r w:rsidR="31AE206B" w:rsidRPr="62154131">
              <w:rPr>
                <w:rFonts w:asciiTheme="minorHAnsi" w:hAnsiTheme="minorHAnsi" w:cstheme="minorBidi"/>
                <w:color w:val="000000" w:themeColor="text1"/>
                <w:sz w:val="18"/>
                <w:szCs w:val="18"/>
              </w:rPr>
              <w:t>®</w:t>
            </w:r>
            <w:r w:rsidRPr="62154131">
              <w:rPr>
                <w:rFonts w:asciiTheme="minorHAnsi" w:hAnsiTheme="minorHAnsi" w:cstheme="minorBidi"/>
                <w:color w:val="000000" w:themeColor="text1"/>
                <w:sz w:val="18"/>
                <w:szCs w:val="18"/>
              </w:rPr>
              <w:t xml:space="preserve"> available for patients with BPDCN which is a </w:t>
            </w:r>
            <w:r w:rsidR="00E62C01">
              <w:rPr>
                <w:rFonts w:asciiTheme="minorHAnsi" w:hAnsiTheme="minorHAnsi" w:cstheme="minorBidi"/>
                <w:color w:val="000000" w:themeColor="text1"/>
                <w:sz w:val="18"/>
                <w:szCs w:val="18"/>
              </w:rPr>
              <w:t xml:space="preserve">very </w:t>
            </w:r>
            <w:r w:rsidR="2238F720" w:rsidRPr="62154131">
              <w:rPr>
                <w:rFonts w:asciiTheme="minorHAnsi" w:hAnsiTheme="minorHAnsi" w:cstheme="minorBidi"/>
                <w:color w:val="000000" w:themeColor="text1"/>
                <w:sz w:val="18"/>
                <w:szCs w:val="18"/>
              </w:rPr>
              <w:t>r</w:t>
            </w:r>
            <w:r w:rsidRPr="62154131">
              <w:rPr>
                <w:rFonts w:asciiTheme="minorHAnsi" w:hAnsiTheme="minorHAnsi" w:cstheme="minorBidi"/>
                <w:color w:val="000000" w:themeColor="text1"/>
                <w:sz w:val="18"/>
                <w:szCs w:val="18"/>
              </w:rPr>
              <w:t xml:space="preserve">are, hard to treat and aggressive </w:t>
            </w:r>
            <w:r w:rsidR="2EF0BA70" w:rsidRPr="62154131">
              <w:rPr>
                <w:rFonts w:asciiTheme="minorHAnsi" w:hAnsiTheme="minorHAnsi" w:cstheme="minorBidi"/>
                <w:color w:val="000000" w:themeColor="text1"/>
                <w:sz w:val="18"/>
                <w:szCs w:val="18"/>
              </w:rPr>
              <w:t>malignancy</w:t>
            </w:r>
            <w:r w:rsidR="00E62C01">
              <w:rPr>
                <w:rFonts w:asciiTheme="minorHAnsi" w:hAnsiTheme="minorHAnsi" w:cstheme="minorBidi"/>
                <w:color w:val="000000" w:themeColor="text1"/>
                <w:sz w:val="18"/>
                <w:szCs w:val="18"/>
              </w:rPr>
              <w:t xml:space="preserve"> with poor prognosis</w:t>
            </w:r>
            <w:r w:rsidRPr="62154131">
              <w:rPr>
                <w:rFonts w:asciiTheme="minorHAnsi" w:hAnsiTheme="minorHAnsi" w:cstheme="minorBidi"/>
                <w:color w:val="000000" w:themeColor="text1"/>
                <w:sz w:val="18"/>
                <w:szCs w:val="18"/>
              </w:rPr>
              <w:t>.</w:t>
            </w:r>
          </w:p>
        </w:tc>
      </w:tr>
      <w:tr w:rsidR="00897FAC" w:rsidRPr="00015520" w14:paraId="6BD235FA" w14:textId="77777777" w:rsidTr="00344CBB">
        <w:trPr>
          <w:cantSplit/>
          <w:trHeight w:val="2948"/>
          <w:jc w:val="center"/>
        </w:trPr>
        <w:tc>
          <w:tcPr>
            <w:tcW w:w="3013" w:type="dxa"/>
            <w:shd w:val="clear" w:color="auto" w:fill="auto"/>
            <w:tcMar>
              <w:top w:w="28" w:type="dxa"/>
              <w:bottom w:w="28" w:type="dxa"/>
            </w:tcMar>
            <w:vAlign w:val="center"/>
          </w:tcPr>
          <w:p w14:paraId="48941855" w14:textId="04CE9802" w:rsidR="00B314D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TIRZEPATIDE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2.5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Injection 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mL </w:t>
            </w:r>
            <w:r w:rsidRPr="00015520">
              <w:rPr>
                <w:rFonts w:asciiTheme="minorHAnsi" w:hAnsiTheme="minorHAnsi" w:cstheme="minorHAnsi"/>
                <w:color w:val="000000"/>
                <w:sz w:val="18"/>
                <w:szCs w:val="18"/>
              </w:rPr>
              <w:br/>
              <w:t>Injection 7.5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Injection 10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Injection 12.5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0.5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mL </w:t>
            </w:r>
            <w:r w:rsidRPr="00015520">
              <w:rPr>
                <w:rFonts w:asciiTheme="minorHAnsi" w:hAnsiTheme="minorHAnsi" w:cstheme="minorHAnsi"/>
                <w:color w:val="000000"/>
                <w:sz w:val="18"/>
                <w:szCs w:val="18"/>
              </w:rPr>
              <w:br/>
              <w:t>Injection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per 0.5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Mounjaro</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Eli Lilly Australia Pty Ltd</w:t>
            </w:r>
            <w:r w:rsidRPr="00015520">
              <w:rPr>
                <w:rFonts w:asciiTheme="minorHAnsi" w:hAnsiTheme="minorHAnsi" w:cstheme="minorHAnsi"/>
                <w:color w:val="000000"/>
                <w:sz w:val="18"/>
                <w:szCs w:val="18"/>
              </w:rPr>
              <w:br/>
            </w:r>
          </w:p>
          <w:p w14:paraId="61ACFAF0" w14:textId="2DE7F1E2" w:rsidR="00897FAC" w:rsidRPr="00015520" w:rsidRDefault="00B314D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4423C0C6" w14:textId="69CD06A3"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Type 2 Diabetes Mellitus (T2D)</w:t>
            </w:r>
          </w:p>
        </w:tc>
        <w:tc>
          <w:tcPr>
            <w:tcW w:w="3098" w:type="dxa"/>
            <w:shd w:val="clear" w:color="auto" w:fill="auto"/>
            <w:tcMar>
              <w:top w:w="28" w:type="dxa"/>
              <w:bottom w:w="28" w:type="dxa"/>
            </w:tcMar>
            <w:vAlign w:val="center"/>
          </w:tcPr>
          <w:p w14:paraId="2AA741E0" w14:textId="79849C9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(Telephone/Online) listing for the treatment of adult patients with inadequately controlled T2D as dual therapy in combination with metformin.</w:t>
            </w:r>
          </w:p>
        </w:tc>
        <w:tc>
          <w:tcPr>
            <w:tcW w:w="1920" w:type="dxa"/>
            <w:shd w:val="clear" w:color="auto" w:fill="auto"/>
            <w:vAlign w:val="center"/>
          </w:tcPr>
          <w:p w14:paraId="6D96EEF6" w14:textId="6F792779"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Not Recommended</w:t>
            </w:r>
          </w:p>
        </w:tc>
        <w:tc>
          <w:tcPr>
            <w:tcW w:w="4593" w:type="dxa"/>
            <w:shd w:val="clear" w:color="auto" w:fill="auto"/>
            <w:vAlign w:val="center"/>
          </w:tcPr>
          <w:p w14:paraId="3AF3001B" w14:textId="31C57E94" w:rsidR="006B4A1E" w:rsidRDefault="006B4A1E" w:rsidP="00F00A70">
            <w:pPr>
              <w:rPr>
                <w:rFonts w:asciiTheme="minorHAnsi" w:hAnsiTheme="minorHAnsi" w:cstheme="minorHAnsi"/>
                <w:color w:val="000000"/>
                <w:sz w:val="18"/>
                <w:szCs w:val="18"/>
              </w:rPr>
            </w:pPr>
            <w:r w:rsidRPr="006B4A1E">
              <w:rPr>
                <w:rFonts w:asciiTheme="minorHAnsi" w:hAnsiTheme="minorHAnsi" w:cstheme="minorHAnsi"/>
                <w:color w:val="000000"/>
                <w:sz w:val="18"/>
                <w:szCs w:val="18"/>
              </w:rPr>
              <w:t xml:space="preserve">The PBAC did not recommend </w:t>
            </w:r>
            <w:proofErr w:type="spellStart"/>
            <w:r w:rsidRPr="006B4A1E">
              <w:rPr>
                <w:rFonts w:asciiTheme="minorHAnsi" w:hAnsiTheme="minorHAnsi" w:cstheme="minorHAnsi"/>
                <w:color w:val="000000"/>
                <w:sz w:val="18"/>
                <w:szCs w:val="18"/>
              </w:rPr>
              <w:t>tirzepatide</w:t>
            </w:r>
            <w:proofErr w:type="spellEnd"/>
            <w:r w:rsidRPr="006B4A1E">
              <w:rPr>
                <w:rFonts w:asciiTheme="minorHAnsi" w:hAnsiTheme="minorHAnsi" w:cstheme="minorHAnsi"/>
                <w:color w:val="000000"/>
                <w:sz w:val="18"/>
                <w:szCs w:val="18"/>
              </w:rPr>
              <w:t xml:space="preserve"> for the treatment of adult patients with inadequately controlled T2D as dual therapy in combination with metformin. The PBAC considered that </w:t>
            </w:r>
            <w:proofErr w:type="spellStart"/>
            <w:r w:rsidRPr="006B4A1E">
              <w:rPr>
                <w:rFonts w:asciiTheme="minorHAnsi" w:hAnsiTheme="minorHAnsi" w:cstheme="minorHAnsi"/>
                <w:color w:val="000000"/>
                <w:sz w:val="18"/>
                <w:szCs w:val="18"/>
              </w:rPr>
              <w:t>tirzepatide</w:t>
            </w:r>
            <w:proofErr w:type="spellEnd"/>
            <w:r w:rsidRPr="006B4A1E">
              <w:rPr>
                <w:rFonts w:asciiTheme="minorHAnsi" w:hAnsiTheme="minorHAnsi" w:cstheme="minorHAnsi"/>
                <w:color w:val="000000"/>
                <w:sz w:val="18"/>
                <w:szCs w:val="18"/>
              </w:rPr>
              <w:t xml:space="preserve"> 10</w:t>
            </w:r>
            <w:r>
              <w:rPr>
                <w:rFonts w:asciiTheme="minorHAnsi" w:hAnsiTheme="minorHAnsi" w:cstheme="minorHAnsi"/>
                <w:color w:val="000000"/>
                <w:sz w:val="18"/>
                <w:szCs w:val="18"/>
              </w:rPr>
              <w:t> </w:t>
            </w:r>
            <w:r w:rsidRPr="006B4A1E">
              <w:rPr>
                <w:rFonts w:asciiTheme="minorHAnsi" w:hAnsiTheme="minorHAnsi" w:cstheme="minorHAnsi"/>
                <w:color w:val="000000"/>
                <w:sz w:val="18"/>
                <w:szCs w:val="18"/>
              </w:rPr>
              <w:t xml:space="preserve">mg once weekly and </w:t>
            </w:r>
            <w:proofErr w:type="spellStart"/>
            <w:r w:rsidRPr="006B4A1E">
              <w:rPr>
                <w:rFonts w:asciiTheme="minorHAnsi" w:hAnsiTheme="minorHAnsi" w:cstheme="minorHAnsi"/>
                <w:color w:val="000000"/>
                <w:sz w:val="18"/>
                <w:szCs w:val="18"/>
              </w:rPr>
              <w:t>tirzepatide</w:t>
            </w:r>
            <w:proofErr w:type="spellEnd"/>
            <w:r w:rsidRPr="006B4A1E">
              <w:rPr>
                <w:rFonts w:asciiTheme="minorHAnsi" w:hAnsiTheme="minorHAnsi" w:cstheme="minorHAnsi"/>
                <w:color w:val="000000"/>
                <w:sz w:val="18"/>
                <w:szCs w:val="18"/>
              </w:rPr>
              <w:t xml:space="preserve"> 15</w:t>
            </w:r>
            <w:r>
              <w:rPr>
                <w:rFonts w:asciiTheme="minorHAnsi" w:hAnsiTheme="minorHAnsi" w:cstheme="minorHAnsi"/>
                <w:color w:val="000000"/>
                <w:sz w:val="18"/>
                <w:szCs w:val="18"/>
              </w:rPr>
              <w:t> </w:t>
            </w:r>
            <w:r w:rsidRPr="006B4A1E">
              <w:rPr>
                <w:rFonts w:asciiTheme="minorHAnsi" w:hAnsiTheme="minorHAnsi" w:cstheme="minorHAnsi"/>
                <w:color w:val="000000"/>
                <w:sz w:val="18"/>
                <w:szCs w:val="18"/>
              </w:rPr>
              <w:t xml:space="preserve">mg once weekly was superior in terms of effectiveness for glycaemic benefits and short-term weight loss compared to </w:t>
            </w:r>
            <w:proofErr w:type="spellStart"/>
            <w:r w:rsidRPr="006B4A1E">
              <w:rPr>
                <w:rFonts w:asciiTheme="minorHAnsi" w:hAnsiTheme="minorHAnsi" w:cstheme="minorHAnsi"/>
                <w:color w:val="000000"/>
                <w:sz w:val="18"/>
                <w:szCs w:val="18"/>
              </w:rPr>
              <w:t>semaglutide</w:t>
            </w:r>
            <w:proofErr w:type="spellEnd"/>
            <w:r w:rsidRPr="006B4A1E">
              <w:rPr>
                <w:rFonts w:asciiTheme="minorHAnsi" w:hAnsiTheme="minorHAnsi" w:cstheme="minorHAnsi"/>
                <w:color w:val="000000"/>
                <w:sz w:val="18"/>
                <w:szCs w:val="18"/>
              </w:rPr>
              <w:t xml:space="preserve"> 1</w:t>
            </w:r>
            <w:r>
              <w:rPr>
                <w:rFonts w:asciiTheme="minorHAnsi" w:hAnsiTheme="minorHAnsi" w:cstheme="minorHAnsi"/>
                <w:color w:val="000000"/>
                <w:sz w:val="18"/>
                <w:szCs w:val="18"/>
              </w:rPr>
              <w:t> </w:t>
            </w:r>
            <w:r w:rsidRPr="006B4A1E">
              <w:rPr>
                <w:rFonts w:asciiTheme="minorHAnsi" w:hAnsiTheme="minorHAnsi" w:cstheme="minorHAnsi"/>
                <w:color w:val="000000"/>
                <w:sz w:val="18"/>
                <w:szCs w:val="18"/>
              </w:rPr>
              <w:t xml:space="preserve">mg once weekly, but this claim was not supported for </w:t>
            </w:r>
            <w:proofErr w:type="spellStart"/>
            <w:r w:rsidRPr="006B4A1E">
              <w:rPr>
                <w:rFonts w:asciiTheme="minorHAnsi" w:hAnsiTheme="minorHAnsi" w:cstheme="minorHAnsi"/>
                <w:color w:val="000000"/>
                <w:sz w:val="18"/>
                <w:szCs w:val="18"/>
              </w:rPr>
              <w:t>tirzepatide</w:t>
            </w:r>
            <w:proofErr w:type="spellEnd"/>
            <w:r w:rsidRPr="006B4A1E">
              <w:rPr>
                <w:rFonts w:asciiTheme="minorHAnsi" w:hAnsiTheme="minorHAnsi" w:cstheme="minorHAnsi"/>
                <w:color w:val="000000"/>
                <w:sz w:val="18"/>
                <w:szCs w:val="18"/>
              </w:rPr>
              <w:t xml:space="preserve"> 5 mg once weekly compared to </w:t>
            </w:r>
            <w:proofErr w:type="spellStart"/>
            <w:r w:rsidRPr="006B4A1E">
              <w:rPr>
                <w:rFonts w:asciiTheme="minorHAnsi" w:hAnsiTheme="minorHAnsi" w:cstheme="minorHAnsi"/>
                <w:color w:val="000000"/>
                <w:sz w:val="18"/>
                <w:szCs w:val="18"/>
              </w:rPr>
              <w:t>semaglutide</w:t>
            </w:r>
            <w:proofErr w:type="spellEnd"/>
            <w:r w:rsidRPr="006B4A1E">
              <w:rPr>
                <w:rFonts w:asciiTheme="minorHAnsi" w:hAnsiTheme="minorHAnsi" w:cstheme="minorHAnsi"/>
                <w:color w:val="000000"/>
                <w:sz w:val="18"/>
                <w:szCs w:val="18"/>
              </w:rPr>
              <w:t xml:space="preserve"> 1</w:t>
            </w:r>
            <w:r>
              <w:rPr>
                <w:rFonts w:asciiTheme="minorHAnsi" w:hAnsiTheme="minorHAnsi" w:cstheme="minorHAnsi"/>
                <w:color w:val="000000"/>
                <w:sz w:val="18"/>
                <w:szCs w:val="18"/>
              </w:rPr>
              <w:t> </w:t>
            </w:r>
            <w:r w:rsidRPr="006B4A1E">
              <w:rPr>
                <w:rFonts w:asciiTheme="minorHAnsi" w:hAnsiTheme="minorHAnsi" w:cstheme="minorHAnsi"/>
                <w:color w:val="000000"/>
                <w:sz w:val="18"/>
                <w:szCs w:val="18"/>
              </w:rPr>
              <w:t>mg once weekly. The PBAC considered the non</w:t>
            </w:r>
            <w:r w:rsidR="001A0295">
              <w:rPr>
                <w:rFonts w:asciiTheme="minorHAnsi" w:hAnsiTheme="minorHAnsi" w:cstheme="minorHAnsi"/>
                <w:color w:val="000000"/>
                <w:sz w:val="18"/>
                <w:szCs w:val="18"/>
              </w:rPr>
              <w:t> </w:t>
            </w:r>
            <w:r w:rsidRPr="006B4A1E">
              <w:rPr>
                <w:rFonts w:asciiTheme="minorHAnsi" w:hAnsiTheme="minorHAnsi" w:cstheme="minorHAnsi"/>
                <w:color w:val="000000"/>
                <w:sz w:val="18"/>
                <w:szCs w:val="18"/>
              </w:rPr>
              <w:t>-</w:t>
            </w:r>
            <w:r w:rsidR="001A0295">
              <w:rPr>
                <w:rFonts w:asciiTheme="minorHAnsi" w:hAnsiTheme="minorHAnsi" w:cstheme="minorHAnsi"/>
                <w:color w:val="000000"/>
                <w:sz w:val="18"/>
                <w:szCs w:val="18"/>
              </w:rPr>
              <w:t> </w:t>
            </w:r>
            <w:r w:rsidRPr="006B4A1E">
              <w:rPr>
                <w:rFonts w:asciiTheme="minorHAnsi" w:hAnsiTheme="minorHAnsi" w:cstheme="minorHAnsi"/>
                <w:color w:val="000000"/>
                <w:sz w:val="18"/>
                <w:szCs w:val="18"/>
              </w:rPr>
              <w:t>inferior safety claim was not adequately supported for any of the comparisons. The PBAC considered that the incremental cost-effectiveness ratio was high, inadequately justified, and uncertain. The PBAC advised that a revised economic model including a substantial price reduction would be required for the proposed listing to be considered cost-effective. The PBAC also considered that the financial impact was extremely high at the requested price and uncertain.</w:t>
            </w:r>
          </w:p>
          <w:p w14:paraId="447F5064" w14:textId="77777777" w:rsidR="009F7274" w:rsidRDefault="009F7274" w:rsidP="00F00A70">
            <w:pPr>
              <w:rPr>
                <w:rFonts w:asciiTheme="minorHAnsi" w:hAnsiTheme="minorHAnsi" w:cstheme="minorHAnsi"/>
                <w:color w:val="000000"/>
                <w:sz w:val="18"/>
                <w:szCs w:val="18"/>
              </w:rPr>
            </w:pPr>
          </w:p>
          <w:p w14:paraId="17BA20A0" w14:textId="7D0919AD" w:rsidR="00F00A70" w:rsidRDefault="00F00A70" w:rsidP="00F00A70">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525A433C" w14:textId="4CB1AF27" w:rsidR="00897FAC" w:rsidRPr="00015520" w:rsidRDefault="1B5A43D5" w:rsidP="62154131">
            <w:pPr>
              <w:rPr>
                <w:rFonts w:asciiTheme="minorHAnsi" w:hAnsiTheme="minorHAnsi" w:cstheme="minorBidi"/>
                <w:color w:val="000000"/>
                <w:sz w:val="18"/>
                <w:szCs w:val="18"/>
              </w:rPr>
            </w:pPr>
            <w:r w:rsidRPr="62154131">
              <w:rPr>
                <w:rFonts w:asciiTheme="minorHAnsi" w:hAnsiTheme="minorHAnsi" w:cstheme="minorBidi"/>
                <w:color w:val="000000" w:themeColor="text1"/>
                <w:sz w:val="18"/>
                <w:szCs w:val="18"/>
              </w:rPr>
              <w:t xml:space="preserve">Eli Lilly wishes to thank all of the healthcare professionals, professional societies, leadership bodies, patient organisations and consumers for their support of the </w:t>
            </w:r>
            <w:proofErr w:type="spellStart"/>
            <w:r w:rsidRPr="62154131">
              <w:rPr>
                <w:rFonts w:asciiTheme="minorHAnsi" w:hAnsiTheme="minorHAnsi" w:cstheme="minorBidi"/>
                <w:color w:val="000000" w:themeColor="text1"/>
                <w:sz w:val="18"/>
                <w:szCs w:val="18"/>
              </w:rPr>
              <w:t>tirzepatide</w:t>
            </w:r>
            <w:proofErr w:type="spellEnd"/>
            <w:r w:rsidRPr="62154131">
              <w:rPr>
                <w:rFonts w:asciiTheme="minorHAnsi" w:hAnsiTheme="minorHAnsi" w:cstheme="minorBidi"/>
                <w:color w:val="000000" w:themeColor="text1"/>
                <w:sz w:val="18"/>
                <w:szCs w:val="18"/>
              </w:rPr>
              <w:t xml:space="preserve"> </w:t>
            </w:r>
            <w:r w:rsidR="00E62C01" w:rsidRPr="62154131">
              <w:rPr>
                <w:rFonts w:asciiTheme="minorHAnsi" w:hAnsiTheme="minorHAnsi" w:cstheme="minorBidi"/>
                <w:color w:val="000000" w:themeColor="text1"/>
                <w:sz w:val="18"/>
                <w:szCs w:val="18"/>
              </w:rPr>
              <w:t>(</w:t>
            </w:r>
            <w:proofErr w:type="spellStart"/>
            <w:r w:rsidR="00E62C01" w:rsidRPr="62154131">
              <w:rPr>
                <w:rFonts w:asciiTheme="minorHAnsi" w:hAnsiTheme="minorHAnsi" w:cstheme="minorBidi"/>
                <w:color w:val="000000" w:themeColor="text1"/>
                <w:sz w:val="18"/>
                <w:szCs w:val="18"/>
              </w:rPr>
              <w:t>Mounjaro</w:t>
            </w:r>
            <w:proofErr w:type="spellEnd"/>
            <w:r w:rsidR="00E62C01" w:rsidRPr="62154131">
              <w:rPr>
                <w:rFonts w:asciiTheme="minorHAnsi" w:hAnsiTheme="minorHAnsi" w:cstheme="minorBidi"/>
                <w:color w:val="000000" w:themeColor="text1"/>
                <w:sz w:val="18"/>
                <w:szCs w:val="18"/>
              </w:rPr>
              <w:t xml:space="preserve">®) </w:t>
            </w:r>
            <w:r w:rsidRPr="62154131">
              <w:rPr>
                <w:rFonts w:asciiTheme="minorHAnsi" w:hAnsiTheme="minorHAnsi" w:cstheme="minorBidi"/>
                <w:color w:val="000000" w:themeColor="text1"/>
                <w:sz w:val="18"/>
                <w:szCs w:val="18"/>
              </w:rPr>
              <w:t xml:space="preserve">submission. We are disappointed by the PBAC’s decision not to recommend the PBS listing of </w:t>
            </w:r>
            <w:proofErr w:type="spellStart"/>
            <w:r w:rsidRPr="62154131">
              <w:rPr>
                <w:rFonts w:asciiTheme="minorHAnsi" w:hAnsiTheme="minorHAnsi" w:cstheme="minorBidi"/>
                <w:color w:val="000000" w:themeColor="text1"/>
                <w:sz w:val="18"/>
                <w:szCs w:val="18"/>
              </w:rPr>
              <w:t>tirzepatide</w:t>
            </w:r>
            <w:proofErr w:type="spellEnd"/>
            <w:r w:rsidRPr="62154131">
              <w:rPr>
                <w:rFonts w:asciiTheme="minorHAnsi" w:hAnsiTheme="minorHAnsi" w:cstheme="minorBidi"/>
                <w:color w:val="000000" w:themeColor="text1"/>
                <w:sz w:val="18"/>
                <w:szCs w:val="18"/>
              </w:rPr>
              <w:t xml:space="preserve"> for the treatment of adult patients with inadequately controlled T2D as dual therapy in combination with metformin. Eli Lilly remains committed to making this</w:t>
            </w:r>
            <w:r w:rsidR="1DED22E3" w:rsidRPr="62154131">
              <w:rPr>
                <w:rFonts w:asciiTheme="minorHAnsi" w:hAnsiTheme="minorHAnsi" w:cstheme="minorBidi"/>
                <w:color w:val="000000" w:themeColor="text1"/>
                <w:sz w:val="18"/>
                <w:szCs w:val="18"/>
              </w:rPr>
              <w:t xml:space="preserve"> </w:t>
            </w:r>
            <w:r w:rsidRPr="62154131">
              <w:rPr>
                <w:rFonts w:asciiTheme="minorHAnsi" w:hAnsiTheme="minorHAnsi" w:cstheme="minorBidi"/>
                <w:color w:val="000000" w:themeColor="text1"/>
                <w:sz w:val="18"/>
                <w:szCs w:val="18"/>
              </w:rPr>
              <w:t>medicine</w:t>
            </w:r>
            <w:r w:rsidR="003A5D24">
              <w:rPr>
                <w:rFonts w:asciiTheme="minorHAnsi" w:hAnsiTheme="minorHAnsi" w:cstheme="minorBidi"/>
                <w:color w:val="000000" w:themeColor="text1"/>
                <w:sz w:val="18"/>
                <w:szCs w:val="18"/>
              </w:rPr>
              <w:t xml:space="preserve"> </w:t>
            </w:r>
            <w:r w:rsidRPr="62154131">
              <w:rPr>
                <w:rFonts w:asciiTheme="minorHAnsi" w:hAnsiTheme="minorHAnsi" w:cstheme="minorBidi"/>
                <w:color w:val="000000" w:themeColor="text1"/>
                <w:sz w:val="18"/>
                <w:szCs w:val="18"/>
              </w:rPr>
              <w:t xml:space="preserve"> accessible for adult patients living with T2D.</w:t>
            </w:r>
          </w:p>
        </w:tc>
      </w:tr>
      <w:tr w:rsidR="00897FAC" w:rsidRPr="00015520" w14:paraId="0615811D" w14:textId="77777777" w:rsidTr="00344CBB">
        <w:trPr>
          <w:cantSplit/>
          <w:trHeight w:val="2948"/>
          <w:jc w:val="center"/>
        </w:trPr>
        <w:tc>
          <w:tcPr>
            <w:tcW w:w="3013" w:type="dxa"/>
            <w:shd w:val="clear" w:color="auto" w:fill="auto"/>
            <w:tcMar>
              <w:top w:w="28" w:type="dxa"/>
              <w:bottom w:w="28" w:type="dxa"/>
            </w:tcMar>
            <w:vAlign w:val="center"/>
          </w:tcPr>
          <w:p w14:paraId="3930A53F" w14:textId="39A7BA61"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TRASTUZUMAB DERUXTECAN</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Powder for I.V. infusion 100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Enhertu</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AstraZeneca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Matters outstanding</w:t>
            </w:r>
            <w:r w:rsidRPr="00015520">
              <w:rPr>
                <w:rFonts w:asciiTheme="minorHAnsi" w:hAnsiTheme="minorHAnsi" w:cstheme="minorHAnsi"/>
                <w:color w:val="000000"/>
                <w:sz w:val="18"/>
                <w:szCs w:val="18"/>
              </w:rPr>
              <w:br/>
              <w:t>(New PBS listing)</w:t>
            </w:r>
          </w:p>
        </w:tc>
        <w:tc>
          <w:tcPr>
            <w:tcW w:w="2764" w:type="dxa"/>
            <w:shd w:val="clear" w:color="auto" w:fill="auto"/>
            <w:vAlign w:val="center"/>
          </w:tcPr>
          <w:p w14:paraId="1A402B65" w14:textId="212B9FC1"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Breast Cancer</w:t>
            </w:r>
          </w:p>
        </w:tc>
        <w:tc>
          <w:tcPr>
            <w:tcW w:w="3098" w:type="dxa"/>
            <w:shd w:val="clear" w:color="auto" w:fill="auto"/>
            <w:tcMar>
              <w:top w:w="28" w:type="dxa"/>
              <w:bottom w:w="28" w:type="dxa"/>
            </w:tcMar>
            <w:vAlign w:val="center"/>
          </w:tcPr>
          <w:p w14:paraId="2ACD7C70" w14:textId="77CF308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consider the population deferred from the March</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PBAC consideration for the resubmission to request a Section 100 (Efficient Funding of Chemotherapy Program) Authority Required (Written) listing for the treatment of human epidermal growth factor receptor 2 positive (HER2) metastatic breast cancer in patients whose disease has progressed following treatment with at least one prior</w:t>
            </w:r>
            <w:r w:rsidR="00FD620A">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HER2-directed regimen in the metastatic setting or whose disease has progressed during or within 6 months following HER2-directed adjuvant treatment.</w:t>
            </w:r>
          </w:p>
        </w:tc>
        <w:tc>
          <w:tcPr>
            <w:tcW w:w="1920" w:type="dxa"/>
            <w:shd w:val="clear" w:color="auto" w:fill="auto"/>
            <w:vAlign w:val="center"/>
          </w:tcPr>
          <w:p w14:paraId="282B97C0" w14:textId="083FA3DE"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2B696A08" w14:textId="01D3383F"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sz w:val="18"/>
                <w:szCs w:val="18"/>
              </w:rPr>
              <w:t xml:space="preserve">The PBAC recommended the listing of trastuzumab </w:t>
            </w:r>
            <w:proofErr w:type="spellStart"/>
            <w:r w:rsidRPr="00015520">
              <w:rPr>
                <w:rFonts w:asciiTheme="minorHAnsi" w:hAnsiTheme="minorHAnsi" w:cstheme="minorHAnsi"/>
                <w:sz w:val="18"/>
                <w:szCs w:val="18"/>
              </w:rPr>
              <w:t>deruxtecan</w:t>
            </w:r>
            <w:proofErr w:type="spellEnd"/>
            <w:r w:rsidRPr="00015520">
              <w:rPr>
                <w:rFonts w:asciiTheme="minorHAnsi" w:hAnsiTheme="minorHAnsi" w:cstheme="minorHAnsi"/>
                <w:sz w:val="18"/>
                <w:szCs w:val="18"/>
              </w:rPr>
              <w:t xml:space="preserve"> (T-</w:t>
            </w:r>
            <w:proofErr w:type="spellStart"/>
            <w:r w:rsidRPr="00015520">
              <w:rPr>
                <w:rFonts w:asciiTheme="minorHAnsi" w:hAnsiTheme="minorHAnsi" w:cstheme="minorHAnsi"/>
                <w:sz w:val="18"/>
                <w:szCs w:val="18"/>
              </w:rPr>
              <w:t>DXd</w:t>
            </w:r>
            <w:proofErr w:type="spellEnd"/>
            <w:r w:rsidRPr="00015520">
              <w:rPr>
                <w:rFonts w:asciiTheme="minorHAnsi" w:hAnsiTheme="minorHAnsi" w:cstheme="minorHAnsi"/>
                <w:sz w:val="18"/>
                <w:szCs w:val="18"/>
              </w:rPr>
              <w:t>) for the treatment of HER2 positive breast cancer for patients who have progressed following treatment with at least one prior HER2 directed regimen for metastatic disease, or relapsed during or within 6 months of receiving HER2 directed adjuvant therapy. The recommendation pertained to the deferred population from the March</w:t>
            </w:r>
            <w:r w:rsidR="006E1BA4">
              <w:rPr>
                <w:rFonts w:asciiTheme="minorHAnsi" w:hAnsiTheme="minorHAnsi" w:cstheme="minorHAnsi"/>
                <w:sz w:val="18"/>
                <w:szCs w:val="18"/>
              </w:rPr>
              <w:t> </w:t>
            </w:r>
            <w:r w:rsidRPr="00015520">
              <w:rPr>
                <w:rFonts w:asciiTheme="minorHAnsi" w:hAnsiTheme="minorHAnsi" w:cstheme="minorHAnsi"/>
                <w:sz w:val="18"/>
                <w:szCs w:val="18"/>
              </w:rPr>
              <w:t>2023 consideration (those who would receive T-</w:t>
            </w:r>
            <w:proofErr w:type="spellStart"/>
            <w:r w:rsidRPr="00015520">
              <w:rPr>
                <w:rFonts w:asciiTheme="minorHAnsi" w:hAnsiTheme="minorHAnsi" w:cstheme="minorHAnsi"/>
                <w:sz w:val="18"/>
                <w:szCs w:val="18"/>
              </w:rPr>
              <w:t>DXd</w:t>
            </w:r>
            <w:proofErr w:type="spellEnd"/>
            <w:r w:rsidRPr="00015520">
              <w:rPr>
                <w:rFonts w:asciiTheme="minorHAnsi" w:hAnsiTheme="minorHAnsi" w:cstheme="minorHAnsi"/>
                <w:sz w:val="18"/>
                <w:szCs w:val="18"/>
              </w:rPr>
              <w:t xml:space="preserve"> in a third and later line setting), which is additional to the recommended population at the March meeting, to allow for a single restriction that includes all patients for whom the PBAC identified as clinically appropriate for treatment with T-</w:t>
            </w:r>
            <w:proofErr w:type="spellStart"/>
            <w:r w:rsidRPr="00015520">
              <w:rPr>
                <w:rFonts w:asciiTheme="minorHAnsi" w:hAnsiTheme="minorHAnsi" w:cstheme="minorHAnsi"/>
                <w:sz w:val="18"/>
                <w:szCs w:val="18"/>
              </w:rPr>
              <w:t>DXd</w:t>
            </w:r>
            <w:proofErr w:type="spellEnd"/>
            <w:r w:rsidRPr="00015520">
              <w:rPr>
                <w:rFonts w:asciiTheme="minorHAnsi" w:hAnsiTheme="minorHAnsi" w:cstheme="minorHAnsi"/>
                <w:sz w:val="18"/>
                <w:szCs w:val="18"/>
              </w:rPr>
              <w:t>. The PBAC was satisfied that revisions to the financial estimates reflected that later line patients would be less likely to undergo treatment with T</w:t>
            </w:r>
            <w:r w:rsidRPr="00015520">
              <w:rPr>
                <w:rFonts w:asciiTheme="minorHAnsi" w:hAnsiTheme="minorHAnsi" w:cstheme="minorHAnsi"/>
                <w:sz w:val="18"/>
                <w:szCs w:val="18"/>
              </w:rPr>
              <w:noBreakHyphen/>
            </w:r>
            <w:proofErr w:type="spellStart"/>
            <w:r w:rsidRPr="00015520">
              <w:rPr>
                <w:rFonts w:asciiTheme="minorHAnsi" w:hAnsiTheme="minorHAnsi" w:cstheme="minorHAnsi"/>
                <w:sz w:val="18"/>
                <w:szCs w:val="18"/>
              </w:rPr>
              <w:t>DXd</w:t>
            </w:r>
            <w:proofErr w:type="spellEnd"/>
            <w:r w:rsidRPr="00015520">
              <w:rPr>
                <w:rFonts w:asciiTheme="minorHAnsi" w:hAnsiTheme="minorHAnsi" w:cstheme="minorHAnsi"/>
                <w:sz w:val="18"/>
                <w:szCs w:val="18"/>
              </w:rPr>
              <w:t xml:space="preserve"> at the same rate as earlier line patients due to fitness-for-treatment and toxicity concerns. The PBAC noted that the potential for use in a broader patient population where the use may not be cost</w:t>
            </w:r>
            <w:r w:rsidR="00261714">
              <w:rPr>
                <w:rFonts w:asciiTheme="minorHAnsi" w:hAnsiTheme="minorHAnsi" w:cstheme="minorHAnsi"/>
                <w:sz w:val="18"/>
                <w:szCs w:val="18"/>
              </w:rPr>
              <w:t> </w:t>
            </w:r>
            <w:r w:rsidRPr="00015520">
              <w:rPr>
                <w:rFonts w:asciiTheme="minorHAnsi" w:hAnsiTheme="minorHAnsi" w:cstheme="minorHAnsi"/>
                <w:sz w:val="18"/>
                <w:szCs w:val="18"/>
              </w:rPr>
              <w:t>-</w:t>
            </w:r>
            <w:r w:rsidR="00261714">
              <w:rPr>
                <w:rFonts w:asciiTheme="minorHAnsi" w:hAnsiTheme="minorHAnsi" w:cstheme="minorHAnsi"/>
                <w:sz w:val="18"/>
                <w:szCs w:val="18"/>
              </w:rPr>
              <w:t> </w:t>
            </w:r>
            <w:r w:rsidRPr="00015520">
              <w:rPr>
                <w:rFonts w:asciiTheme="minorHAnsi" w:hAnsiTheme="minorHAnsi" w:cstheme="minorHAnsi"/>
                <w:sz w:val="18"/>
                <w:szCs w:val="18"/>
              </w:rPr>
              <w:t>effective should be managed through a</w:t>
            </w:r>
            <w:r w:rsidR="00FD620A" w:rsidRPr="00015520">
              <w:rPr>
                <w:rFonts w:asciiTheme="minorHAnsi" w:hAnsiTheme="minorHAnsi" w:cstheme="minorHAnsi"/>
                <w:sz w:val="18"/>
                <w:szCs w:val="18"/>
              </w:rPr>
              <w:t xml:space="preserve"> risk sharing arrangement.</w:t>
            </w:r>
          </w:p>
        </w:tc>
      </w:tr>
      <w:tr w:rsidR="00897FAC" w:rsidRPr="00015520" w14:paraId="7A59C19B" w14:textId="77777777" w:rsidTr="00344CBB">
        <w:trPr>
          <w:cantSplit/>
          <w:trHeight w:val="2948"/>
          <w:jc w:val="center"/>
        </w:trPr>
        <w:tc>
          <w:tcPr>
            <w:tcW w:w="3013" w:type="dxa"/>
            <w:shd w:val="clear" w:color="auto" w:fill="auto"/>
            <w:tcMar>
              <w:top w:w="28" w:type="dxa"/>
              <w:bottom w:w="28" w:type="dxa"/>
            </w:tcMar>
            <w:vAlign w:val="center"/>
          </w:tcPr>
          <w:p w14:paraId="23617E6B" w14:textId="54345F53" w:rsidR="00B314D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TRIENTINE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Capsule containing </w:t>
            </w:r>
            <w:proofErr w:type="spellStart"/>
            <w:r w:rsidRPr="00015520">
              <w:rPr>
                <w:rFonts w:asciiTheme="minorHAnsi" w:hAnsiTheme="minorHAnsi" w:cstheme="minorHAnsi"/>
                <w:color w:val="000000"/>
                <w:sz w:val="18"/>
                <w:szCs w:val="18"/>
              </w:rPr>
              <w:t>trientine</w:t>
            </w:r>
            <w:proofErr w:type="spellEnd"/>
            <w:r w:rsidRPr="00015520">
              <w:rPr>
                <w:rFonts w:asciiTheme="minorHAnsi" w:hAnsiTheme="minorHAnsi" w:cstheme="minorHAnsi"/>
                <w:color w:val="000000"/>
                <w:sz w:val="18"/>
                <w:szCs w:val="18"/>
              </w:rPr>
              <w:t xml:space="preserve"> dihydrochloride 250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(equivalent to 166.7</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 xml:space="preserve">mg </w:t>
            </w:r>
            <w:proofErr w:type="spellStart"/>
            <w:r w:rsidRPr="00015520">
              <w:rPr>
                <w:rFonts w:asciiTheme="minorHAnsi" w:hAnsiTheme="minorHAnsi" w:cstheme="minorHAnsi"/>
                <w:color w:val="000000"/>
                <w:sz w:val="18"/>
                <w:szCs w:val="18"/>
              </w:rPr>
              <w:t>trientine</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Trientine</w:t>
            </w:r>
            <w:proofErr w:type="spellEnd"/>
            <w:r w:rsidRPr="00015520">
              <w:rPr>
                <w:rFonts w:asciiTheme="minorHAnsi" w:hAnsiTheme="minorHAnsi" w:cstheme="minorHAnsi"/>
                <w:color w:val="000000"/>
                <w:sz w:val="18"/>
                <w:szCs w:val="18"/>
              </w:rPr>
              <w:t xml:space="preserve"> </w:t>
            </w:r>
            <w:proofErr w:type="spellStart"/>
            <w:r w:rsidRPr="00015520">
              <w:rPr>
                <w:rFonts w:asciiTheme="minorHAnsi" w:hAnsiTheme="minorHAnsi" w:cstheme="minorHAnsi"/>
                <w:color w:val="000000"/>
                <w:sz w:val="18"/>
                <w:szCs w:val="18"/>
              </w:rPr>
              <w:t>Dr.Reddy's</w:t>
            </w:r>
            <w:proofErr w:type="spellEnd"/>
            <w:r w:rsidR="00261714">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Dr Reddy's Laboratories (Australia) Pty Ltd</w:t>
            </w:r>
            <w:r w:rsidRPr="00015520">
              <w:rPr>
                <w:rFonts w:asciiTheme="minorHAnsi" w:hAnsiTheme="minorHAnsi" w:cstheme="minorHAnsi"/>
                <w:color w:val="000000"/>
                <w:sz w:val="18"/>
                <w:szCs w:val="18"/>
              </w:rPr>
              <w:br/>
            </w:r>
          </w:p>
          <w:p w14:paraId="62D48938" w14:textId="7D5A7163" w:rsidR="00897FAC" w:rsidRPr="00015520" w:rsidRDefault="00B314D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122A1C">
              <w:rPr>
                <w:rFonts w:asciiTheme="minorHAnsi" w:hAnsiTheme="minorHAnsi" w:cstheme="minorHAnsi"/>
                <w:color w:val="000000"/>
                <w:sz w:val="18"/>
                <w:szCs w:val="18"/>
              </w:rPr>
              <w:t xml:space="preserve">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0EA11252" w14:textId="7F23EAB2"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Wilson disease</w:t>
            </w:r>
          </w:p>
        </w:tc>
        <w:tc>
          <w:tcPr>
            <w:tcW w:w="3098" w:type="dxa"/>
            <w:shd w:val="clear" w:color="auto" w:fill="auto"/>
            <w:tcMar>
              <w:top w:w="28" w:type="dxa"/>
              <w:bottom w:w="28" w:type="dxa"/>
            </w:tcMar>
            <w:vAlign w:val="center"/>
          </w:tcPr>
          <w:p w14:paraId="5448999F" w14:textId="5EA72FF4"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a General Schedule Authority Required (Telephone/Online) listing for the treatment of Wilson disease under the same conditions as the currently listed brand.</w:t>
            </w:r>
          </w:p>
        </w:tc>
        <w:tc>
          <w:tcPr>
            <w:tcW w:w="1920" w:type="dxa"/>
            <w:shd w:val="clear" w:color="auto" w:fill="auto"/>
            <w:vAlign w:val="center"/>
          </w:tcPr>
          <w:p w14:paraId="003A4DB2" w14:textId="4714A36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57C34C7A" w14:textId="1E9EE6E8"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sz w:val="18"/>
                <w:szCs w:val="18"/>
              </w:rPr>
              <w:t xml:space="preserve">The PBAC recommended the listing of </w:t>
            </w:r>
            <w:proofErr w:type="spellStart"/>
            <w:r w:rsidRPr="00015520">
              <w:rPr>
                <w:rFonts w:asciiTheme="minorHAnsi" w:hAnsiTheme="minorHAnsi" w:cstheme="minorHAnsi"/>
                <w:sz w:val="18"/>
                <w:szCs w:val="18"/>
              </w:rPr>
              <w:t>Trientine</w:t>
            </w:r>
            <w:proofErr w:type="spellEnd"/>
            <w:r w:rsidRPr="00015520">
              <w:rPr>
                <w:rFonts w:asciiTheme="minorHAnsi" w:hAnsiTheme="minorHAnsi" w:cstheme="minorHAnsi"/>
                <w:sz w:val="18"/>
                <w:szCs w:val="18"/>
              </w:rPr>
              <w:t xml:space="preserve"> </w:t>
            </w:r>
            <w:proofErr w:type="spellStart"/>
            <w:r w:rsidRPr="00015520">
              <w:rPr>
                <w:rFonts w:asciiTheme="minorHAnsi" w:hAnsiTheme="minorHAnsi" w:cstheme="minorHAnsi"/>
                <w:sz w:val="18"/>
                <w:szCs w:val="18"/>
              </w:rPr>
              <w:t>Dr.Reddy’s</w:t>
            </w:r>
            <w:proofErr w:type="spellEnd"/>
            <w:r w:rsidRPr="00015520">
              <w:rPr>
                <w:rFonts w:asciiTheme="minorHAnsi" w:hAnsiTheme="minorHAnsi" w:cstheme="minorHAnsi"/>
                <w:sz w:val="18"/>
                <w:szCs w:val="18"/>
              </w:rPr>
              <w:t xml:space="preserve">® brand of </w:t>
            </w:r>
            <w:proofErr w:type="spellStart"/>
            <w:r w:rsidRPr="00015520">
              <w:rPr>
                <w:rFonts w:asciiTheme="minorHAnsi" w:hAnsiTheme="minorHAnsi" w:cstheme="minorHAnsi"/>
                <w:sz w:val="18"/>
                <w:szCs w:val="18"/>
              </w:rPr>
              <w:t>trientine</w:t>
            </w:r>
            <w:proofErr w:type="spellEnd"/>
            <w:r w:rsidRPr="00015520">
              <w:rPr>
                <w:rFonts w:asciiTheme="minorHAnsi" w:hAnsiTheme="minorHAnsi" w:cstheme="minorHAnsi"/>
                <w:sz w:val="18"/>
                <w:szCs w:val="18"/>
              </w:rPr>
              <w:t xml:space="preserve"> dihydrochloride 250 mg capsules under the same circumstances as the PBS</w:t>
            </w:r>
            <w:r w:rsidR="00261714">
              <w:rPr>
                <w:rFonts w:asciiTheme="minorHAnsi" w:hAnsiTheme="minorHAnsi" w:cstheme="minorHAnsi"/>
                <w:sz w:val="18"/>
                <w:szCs w:val="18"/>
              </w:rPr>
              <w:t> </w:t>
            </w:r>
            <w:r w:rsidRPr="00015520">
              <w:rPr>
                <w:rFonts w:asciiTheme="minorHAnsi" w:hAnsiTheme="minorHAnsi" w:cstheme="minorHAnsi"/>
                <w:sz w:val="18"/>
                <w:szCs w:val="18"/>
              </w:rPr>
              <w:t>-</w:t>
            </w:r>
            <w:r w:rsidR="00261714">
              <w:rPr>
                <w:rFonts w:asciiTheme="minorHAnsi" w:hAnsiTheme="minorHAnsi" w:cstheme="minorHAnsi"/>
                <w:sz w:val="18"/>
                <w:szCs w:val="18"/>
              </w:rPr>
              <w:t> </w:t>
            </w:r>
            <w:r w:rsidRPr="00015520">
              <w:rPr>
                <w:rFonts w:asciiTheme="minorHAnsi" w:hAnsiTheme="minorHAnsi" w:cstheme="minorHAnsi"/>
                <w:sz w:val="18"/>
                <w:szCs w:val="18"/>
              </w:rPr>
              <w:t xml:space="preserve">listed brand of </w:t>
            </w:r>
            <w:proofErr w:type="spellStart"/>
            <w:r w:rsidRPr="00015520">
              <w:rPr>
                <w:rFonts w:asciiTheme="minorHAnsi" w:hAnsiTheme="minorHAnsi" w:cstheme="minorHAnsi"/>
                <w:sz w:val="18"/>
                <w:szCs w:val="18"/>
              </w:rPr>
              <w:t>trientine</w:t>
            </w:r>
            <w:proofErr w:type="spellEnd"/>
            <w:r w:rsidRPr="00015520">
              <w:rPr>
                <w:rFonts w:asciiTheme="minorHAnsi" w:hAnsiTheme="minorHAnsi" w:cstheme="minorHAnsi"/>
                <w:sz w:val="18"/>
                <w:szCs w:val="18"/>
              </w:rPr>
              <w:t xml:space="preserve"> dihydrochloride 250 mg capsules, </w:t>
            </w:r>
            <w:proofErr w:type="spellStart"/>
            <w:r w:rsidRPr="00015520">
              <w:rPr>
                <w:rFonts w:asciiTheme="minorHAnsi" w:hAnsiTheme="minorHAnsi" w:cstheme="minorHAnsi"/>
                <w:sz w:val="18"/>
                <w:szCs w:val="18"/>
              </w:rPr>
              <w:t>Trientine</w:t>
            </w:r>
            <w:proofErr w:type="spellEnd"/>
            <w:r w:rsidRPr="00015520">
              <w:rPr>
                <w:rFonts w:asciiTheme="minorHAnsi" w:hAnsiTheme="minorHAnsi" w:cstheme="minorHAnsi"/>
                <w:sz w:val="18"/>
                <w:szCs w:val="18"/>
              </w:rPr>
              <w:t xml:space="preserve"> </w:t>
            </w:r>
            <w:proofErr w:type="spellStart"/>
            <w:r w:rsidRPr="00015520">
              <w:rPr>
                <w:rFonts w:asciiTheme="minorHAnsi" w:hAnsiTheme="minorHAnsi" w:cstheme="minorHAnsi"/>
                <w:sz w:val="18"/>
                <w:szCs w:val="18"/>
              </w:rPr>
              <w:t>Waymade</w:t>
            </w:r>
            <w:proofErr w:type="spellEnd"/>
            <w:r w:rsidRPr="00015520">
              <w:rPr>
                <w:rFonts w:asciiTheme="minorHAnsi" w:hAnsiTheme="minorHAnsi" w:cstheme="minorHAnsi"/>
                <w:sz w:val="18"/>
                <w:szCs w:val="18"/>
              </w:rPr>
              <w:t>®. The PBAC considered that these products should be marked as equivalent in the Schedule of Pharmaceutical Benefits for the purposes of substitution.</w:t>
            </w:r>
          </w:p>
        </w:tc>
      </w:tr>
      <w:tr w:rsidR="00897FAC" w:rsidRPr="00015520" w14:paraId="671B4874" w14:textId="77777777" w:rsidTr="00344CBB">
        <w:trPr>
          <w:cantSplit/>
          <w:trHeight w:val="2948"/>
          <w:jc w:val="center"/>
        </w:trPr>
        <w:tc>
          <w:tcPr>
            <w:tcW w:w="3013" w:type="dxa"/>
            <w:shd w:val="clear" w:color="auto" w:fill="auto"/>
            <w:tcMar>
              <w:top w:w="28" w:type="dxa"/>
              <w:bottom w:w="28" w:type="dxa"/>
            </w:tcMar>
            <w:vAlign w:val="center"/>
          </w:tcPr>
          <w:p w14:paraId="6AD19F64" w14:textId="4F310143" w:rsidR="00897FAC" w:rsidRPr="00015520"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 xml:space="preserve">UPADACITINIB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Tablet 15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30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t>Tablet 45</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Rinvoq</w:t>
            </w:r>
            <w:proofErr w:type="spellEnd"/>
            <w:r w:rsidRPr="00015520">
              <w:rPr>
                <w:rFonts w:asciiTheme="minorHAnsi" w:hAnsiTheme="minorHAnsi" w:cstheme="minorHAnsi"/>
                <w:color w:val="000000"/>
                <w:sz w:val="18"/>
                <w:szCs w:val="18"/>
              </w:rPr>
              <w:t>®</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Abbvie</w:t>
            </w:r>
            <w:proofErr w:type="spellEnd"/>
            <w:r w:rsidRPr="00015520">
              <w:rPr>
                <w:rFonts w:asciiTheme="minorHAnsi" w:hAnsiTheme="minorHAnsi" w:cstheme="minorHAnsi"/>
                <w:color w:val="000000"/>
                <w:sz w:val="18"/>
                <w:szCs w:val="18"/>
              </w:rPr>
              <w:t xml:space="preserve"> Pty Ltd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Category 2 submission</w:t>
            </w:r>
            <w:r w:rsidRPr="00015520">
              <w:rPr>
                <w:rFonts w:asciiTheme="minorHAnsi" w:hAnsiTheme="minorHAnsi" w:cstheme="minorHAnsi"/>
                <w:color w:val="000000"/>
                <w:sz w:val="18"/>
                <w:szCs w:val="18"/>
              </w:rPr>
              <w:br/>
              <w:t>(Change to PBS listing)</w:t>
            </w:r>
          </w:p>
        </w:tc>
        <w:tc>
          <w:tcPr>
            <w:tcW w:w="2764" w:type="dxa"/>
            <w:shd w:val="clear" w:color="auto" w:fill="auto"/>
            <w:vAlign w:val="center"/>
          </w:tcPr>
          <w:p w14:paraId="06DC9DE4" w14:textId="5573F7F2"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Crohn disease</w:t>
            </w:r>
            <w:r w:rsidR="00816A62">
              <w:rPr>
                <w:rFonts w:asciiTheme="minorHAnsi" w:hAnsiTheme="minorHAnsi" w:cstheme="minorHAnsi"/>
                <w:color w:val="000000"/>
                <w:sz w:val="18"/>
                <w:szCs w:val="18"/>
              </w:rPr>
              <w:t xml:space="preserve"> (CD)</w:t>
            </w:r>
          </w:p>
        </w:tc>
        <w:tc>
          <w:tcPr>
            <w:tcW w:w="3098" w:type="dxa"/>
            <w:shd w:val="clear" w:color="auto" w:fill="auto"/>
            <w:tcMar>
              <w:top w:w="28" w:type="dxa"/>
              <w:bottom w:w="28" w:type="dxa"/>
            </w:tcMar>
            <w:vAlign w:val="center"/>
          </w:tcPr>
          <w:p w14:paraId="58A1F04B" w14:textId="4ECC80B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a General Schedule Authority Required (Written) listing for the treatment of severe </w:t>
            </w:r>
            <w:r w:rsidR="00FD620A">
              <w:rPr>
                <w:rFonts w:asciiTheme="minorHAnsi" w:hAnsiTheme="minorHAnsi" w:cstheme="minorHAnsi"/>
                <w:color w:val="000000"/>
                <w:sz w:val="18"/>
                <w:szCs w:val="18"/>
              </w:rPr>
              <w:t>CD</w:t>
            </w:r>
            <w:r w:rsidRPr="00015520">
              <w:rPr>
                <w:rFonts w:asciiTheme="minorHAnsi" w:hAnsiTheme="minorHAnsi" w:cstheme="minorHAnsi"/>
                <w:color w:val="000000"/>
                <w:sz w:val="18"/>
                <w:szCs w:val="18"/>
              </w:rPr>
              <w:t>.</w:t>
            </w:r>
          </w:p>
        </w:tc>
        <w:tc>
          <w:tcPr>
            <w:tcW w:w="1920" w:type="dxa"/>
            <w:shd w:val="clear" w:color="auto" w:fill="auto"/>
            <w:vAlign w:val="center"/>
          </w:tcPr>
          <w:p w14:paraId="578C5D7D" w14:textId="6BE48D3A"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3EEB61FF" w14:textId="07B253B9"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the General Schedule listing of </w:t>
            </w:r>
            <w:proofErr w:type="spellStart"/>
            <w:r w:rsidRPr="00015520">
              <w:rPr>
                <w:rFonts w:asciiTheme="minorHAnsi" w:hAnsiTheme="minorHAnsi" w:cstheme="minorHAnsi"/>
                <w:color w:val="000000"/>
                <w:sz w:val="18"/>
                <w:szCs w:val="18"/>
              </w:rPr>
              <w:t>upadacitinib</w:t>
            </w:r>
            <w:proofErr w:type="spellEnd"/>
            <w:r w:rsidRPr="00015520">
              <w:rPr>
                <w:rFonts w:asciiTheme="minorHAnsi" w:hAnsiTheme="minorHAnsi" w:cstheme="minorHAnsi"/>
                <w:color w:val="000000"/>
                <w:sz w:val="18"/>
                <w:szCs w:val="18"/>
              </w:rPr>
              <w:t xml:space="preserve"> for the treatment of </w:t>
            </w:r>
            <w:r w:rsidR="00FD620A">
              <w:rPr>
                <w:rFonts w:asciiTheme="minorHAnsi" w:hAnsiTheme="minorHAnsi" w:cstheme="minorHAnsi"/>
                <w:color w:val="000000"/>
                <w:sz w:val="18"/>
                <w:szCs w:val="18"/>
              </w:rPr>
              <w:t>CD</w:t>
            </w:r>
            <w:r w:rsidRPr="00015520">
              <w:rPr>
                <w:rFonts w:asciiTheme="minorHAnsi" w:hAnsiTheme="minorHAnsi" w:cstheme="minorHAnsi"/>
                <w:color w:val="000000"/>
                <w:sz w:val="18"/>
                <w:szCs w:val="18"/>
              </w:rPr>
              <w:t xml:space="preserve">. The PBAC’s recommendation was based on, among other matters, its assessment the cost-effectiveness of </w:t>
            </w:r>
            <w:proofErr w:type="spellStart"/>
            <w:r w:rsidRPr="00015520">
              <w:rPr>
                <w:rFonts w:asciiTheme="minorHAnsi" w:hAnsiTheme="minorHAnsi" w:cstheme="minorHAnsi"/>
                <w:color w:val="000000"/>
                <w:sz w:val="18"/>
                <w:szCs w:val="18"/>
              </w:rPr>
              <w:t>upadacitinib</w:t>
            </w:r>
            <w:proofErr w:type="spellEnd"/>
            <w:r w:rsidRPr="00015520">
              <w:rPr>
                <w:rFonts w:asciiTheme="minorHAnsi" w:hAnsiTheme="minorHAnsi" w:cstheme="minorHAnsi"/>
                <w:color w:val="000000"/>
                <w:sz w:val="18"/>
                <w:szCs w:val="18"/>
              </w:rPr>
              <w:t xml:space="preserve"> would be acceptable if it were cost</w:t>
            </w:r>
            <w:r w:rsidR="00261714">
              <w:rPr>
                <w:rFonts w:asciiTheme="minorHAnsi" w:hAnsiTheme="minorHAnsi" w:cstheme="minorHAnsi"/>
                <w:color w:val="000000"/>
                <w:sz w:val="18"/>
                <w:szCs w:val="18"/>
              </w:rPr>
              <w:t> - </w:t>
            </w:r>
            <w:r w:rsidRPr="00015520">
              <w:rPr>
                <w:rFonts w:asciiTheme="minorHAnsi" w:hAnsiTheme="minorHAnsi" w:cstheme="minorHAnsi"/>
                <w:color w:val="000000"/>
                <w:sz w:val="18"/>
                <w:szCs w:val="18"/>
              </w:rPr>
              <w:t xml:space="preserve"> minimised to the least costly alternative therapy of adalimumab, infliximab, vedolizumab and ustekinumab.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 xml:space="preserve">The PBAC </w:t>
            </w:r>
            <w:r w:rsidR="00FD620A">
              <w:rPr>
                <w:rFonts w:asciiTheme="minorHAnsi" w:hAnsiTheme="minorHAnsi" w:cstheme="minorHAnsi"/>
                <w:color w:val="000000"/>
                <w:sz w:val="18"/>
                <w:szCs w:val="18"/>
              </w:rPr>
              <w:t xml:space="preserve">noted </w:t>
            </w:r>
            <w:r w:rsidRPr="00015520">
              <w:rPr>
                <w:rFonts w:asciiTheme="minorHAnsi" w:hAnsiTheme="minorHAnsi" w:cstheme="minorHAnsi"/>
                <w:color w:val="000000"/>
                <w:sz w:val="18"/>
                <w:szCs w:val="18"/>
              </w:rPr>
              <w:t xml:space="preserve">flow-on changes to other CD listings to include </w:t>
            </w:r>
            <w:proofErr w:type="spellStart"/>
            <w:r w:rsidRPr="00015520">
              <w:rPr>
                <w:rFonts w:asciiTheme="minorHAnsi" w:hAnsiTheme="minorHAnsi" w:cstheme="minorHAnsi"/>
                <w:color w:val="000000"/>
                <w:sz w:val="18"/>
                <w:szCs w:val="18"/>
              </w:rPr>
              <w:t>upadacitinib</w:t>
            </w:r>
            <w:proofErr w:type="spellEnd"/>
            <w:r w:rsidRPr="00015520">
              <w:rPr>
                <w:rFonts w:asciiTheme="minorHAnsi" w:hAnsiTheme="minorHAnsi" w:cstheme="minorHAnsi"/>
                <w:color w:val="000000"/>
                <w:sz w:val="18"/>
                <w:szCs w:val="18"/>
              </w:rPr>
              <w:t xml:space="preserve"> in the list of eligible therapies.</w:t>
            </w:r>
          </w:p>
        </w:tc>
      </w:tr>
      <w:tr w:rsidR="00897FAC" w:rsidRPr="00015520" w14:paraId="652C6BE0" w14:textId="77777777" w:rsidTr="00344CBB">
        <w:trPr>
          <w:cantSplit/>
          <w:trHeight w:val="2948"/>
          <w:jc w:val="center"/>
        </w:trPr>
        <w:tc>
          <w:tcPr>
            <w:tcW w:w="3013" w:type="dxa"/>
            <w:shd w:val="clear" w:color="auto" w:fill="auto"/>
            <w:tcMar>
              <w:top w:w="28" w:type="dxa"/>
              <w:bottom w:w="28" w:type="dxa"/>
            </w:tcMar>
            <w:vAlign w:val="center"/>
          </w:tcPr>
          <w:p w14:paraId="0C96DC2C" w14:textId="108B9C74" w:rsidR="00B314D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 xml:space="preserve">USTEKINUMAB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Solution concentrate for I.V. infusion 130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26</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t>Solution for injection 90</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in 1</w:t>
            </w:r>
            <w:r w:rsidR="006E1B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pre-filled syringe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Stelara®</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Janssen-</w:t>
            </w:r>
            <w:proofErr w:type="spellStart"/>
            <w:r w:rsidR="0066292F" w:rsidRPr="00015520">
              <w:rPr>
                <w:rFonts w:asciiTheme="minorHAnsi" w:hAnsiTheme="minorHAnsi" w:cstheme="minorHAnsi"/>
                <w:color w:val="000000"/>
                <w:sz w:val="18"/>
                <w:szCs w:val="18"/>
              </w:rPr>
              <w:t>Cilag</w:t>
            </w:r>
            <w:proofErr w:type="spellEnd"/>
            <w:r w:rsidR="0066292F" w:rsidRPr="00015520">
              <w:rPr>
                <w:rFonts w:asciiTheme="minorHAnsi" w:hAnsiTheme="minorHAnsi" w:cstheme="minorHAnsi"/>
                <w:color w:val="000000"/>
                <w:sz w:val="18"/>
                <w:szCs w:val="18"/>
              </w:rPr>
              <w:t xml:space="preserve"> Pty Ltd</w:t>
            </w:r>
            <w:r w:rsidRPr="00015520">
              <w:rPr>
                <w:rFonts w:asciiTheme="minorHAnsi" w:hAnsiTheme="minorHAnsi" w:cstheme="minorHAnsi"/>
                <w:color w:val="000000"/>
                <w:sz w:val="18"/>
                <w:szCs w:val="18"/>
              </w:rPr>
              <w:br/>
            </w:r>
          </w:p>
          <w:p w14:paraId="2E646ED0" w14:textId="73098534" w:rsidR="00897FAC" w:rsidRPr="00015520" w:rsidRDefault="00B314D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 submission</w:t>
            </w:r>
            <w:r w:rsidR="00897FAC" w:rsidRPr="00015520">
              <w:rPr>
                <w:rFonts w:asciiTheme="minorHAnsi" w:hAnsiTheme="minorHAnsi" w:cstheme="minorHAnsi"/>
                <w:color w:val="000000"/>
                <w:sz w:val="18"/>
                <w:szCs w:val="18"/>
              </w:rPr>
              <w:br/>
              <w:t>(Change to existing listing)</w:t>
            </w:r>
          </w:p>
        </w:tc>
        <w:tc>
          <w:tcPr>
            <w:tcW w:w="2764" w:type="dxa"/>
            <w:shd w:val="clear" w:color="auto" w:fill="auto"/>
            <w:vAlign w:val="center"/>
          </w:tcPr>
          <w:p w14:paraId="5DFBEC90" w14:textId="779ABBA4"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Fistulising Crohn disease</w:t>
            </w:r>
            <w:r w:rsidR="00816A62">
              <w:rPr>
                <w:rFonts w:asciiTheme="minorHAnsi" w:hAnsiTheme="minorHAnsi" w:cstheme="minorHAnsi"/>
                <w:color w:val="000000"/>
                <w:sz w:val="18"/>
                <w:szCs w:val="18"/>
              </w:rPr>
              <w:t xml:space="preserve"> (CD)</w:t>
            </w:r>
          </w:p>
        </w:tc>
        <w:tc>
          <w:tcPr>
            <w:tcW w:w="3098" w:type="dxa"/>
            <w:shd w:val="clear" w:color="auto" w:fill="auto"/>
            <w:tcMar>
              <w:top w:w="28" w:type="dxa"/>
              <w:bottom w:w="28" w:type="dxa"/>
            </w:tcMar>
            <w:vAlign w:val="center"/>
          </w:tcPr>
          <w:p w14:paraId="24AF49B3" w14:textId="4ED0F4B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To request a Section 100 (Highly Specialised Drugs Program) Authority Required (Written) IV infusion listing, and a General Schedule Authority Required (Written) subcutaneous injection listing, for the treatment of patients with complex refractory fistulising </w:t>
            </w:r>
            <w:r w:rsidR="00816A62">
              <w:rPr>
                <w:rFonts w:asciiTheme="minorHAnsi" w:hAnsiTheme="minorHAnsi" w:cstheme="minorHAnsi"/>
                <w:color w:val="000000"/>
                <w:sz w:val="18"/>
                <w:szCs w:val="18"/>
              </w:rPr>
              <w:t>CD</w:t>
            </w:r>
            <w:r w:rsidRPr="00015520">
              <w:rPr>
                <w:rFonts w:asciiTheme="minorHAnsi" w:hAnsiTheme="minorHAnsi" w:cstheme="minorHAnsi"/>
                <w:color w:val="000000"/>
                <w:sz w:val="18"/>
                <w:szCs w:val="18"/>
              </w:rPr>
              <w:t>.</w:t>
            </w:r>
          </w:p>
        </w:tc>
        <w:tc>
          <w:tcPr>
            <w:tcW w:w="1920" w:type="dxa"/>
            <w:shd w:val="clear" w:color="auto" w:fill="auto"/>
            <w:vAlign w:val="center"/>
          </w:tcPr>
          <w:p w14:paraId="73AB1564" w14:textId="56BBAEE4"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351BCACA" w14:textId="108503D5" w:rsidR="006864D8"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the Section 100 (Highly Specialised Drugs Program) and General Schedule listings of ustekinumab (UST) for the treatment of fistulising CD. The </w:t>
            </w:r>
            <w:r w:rsidR="00FD620A">
              <w:rPr>
                <w:rFonts w:asciiTheme="minorHAnsi" w:hAnsiTheme="minorHAnsi" w:cstheme="minorHAnsi"/>
                <w:color w:val="000000"/>
                <w:sz w:val="18"/>
                <w:szCs w:val="18"/>
              </w:rPr>
              <w:t>PBAC</w:t>
            </w:r>
            <w:r w:rsidR="00FD620A" w:rsidRPr="00015520">
              <w:rPr>
                <w:rFonts w:asciiTheme="minorHAnsi" w:hAnsiTheme="minorHAnsi" w:cstheme="minorHAnsi"/>
                <w:color w:val="000000"/>
                <w:sz w:val="18"/>
                <w:szCs w:val="18"/>
              </w:rPr>
              <w:t xml:space="preserve">'s </w:t>
            </w:r>
            <w:r w:rsidRPr="00015520">
              <w:rPr>
                <w:rFonts w:asciiTheme="minorHAnsi" w:hAnsiTheme="minorHAnsi" w:cstheme="minorHAnsi"/>
                <w:color w:val="000000"/>
                <w:sz w:val="18"/>
                <w:szCs w:val="18"/>
              </w:rPr>
              <w:t>recommendation for listing was based on, among other matters, its assessment that the cost-effectiveness of UST would be acceptable if it were cost</w:t>
            </w:r>
            <w:r w:rsidR="00261714">
              <w:rPr>
                <w:rFonts w:asciiTheme="minorHAnsi" w:hAnsiTheme="minorHAnsi" w:cstheme="minorHAnsi"/>
                <w:color w:val="000000"/>
                <w:sz w:val="18"/>
                <w:szCs w:val="18"/>
              </w:rPr>
              <w:t>-</w:t>
            </w:r>
            <w:r w:rsidRPr="00015520">
              <w:rPr>
                <w:rFonts w:asciiTheme="minorHAnsi" w:hAnsiTheme="minorHAnsi" w:cstheme="minorHAnsi"/>
                <w:color w:val="000000"/>
                <w:sz w:val="18"/>
                <w:szCs w:val="18"/>
              </w:rPr>
              <w:t xml:space="preserve">minimised to the least costly alternative therapy of infliximab (IFX) and adalimumab (ADA). </w:t>
            </w:r>
          </w:p>
          <w:p w14:paraId="4A9E384A" w14:textId="37CC0205" w:rsidR="006864D8"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br/>
              <w:t>The PBAC considered there was a high clinical need for additional effective therapies for the treatment of fistulising CD for patients who do not otherwise meet the criteria for PBS-subsidised treatment for severe CD, where more biologic or targeted synthetic disease modifying anti-rheumatic drugs (</w:t>
            </w:r>
            <w:proofErr w:type="spellStart"/>
            <w:r w:rsidRPr="00015520">
              <w:rPr>
                <w:rFonts w:asciiTheme="minorHAnsi" w:hAnsiTheme="minorHAnsi" w:cstheme="minorHAnsi"/>
                <w:color w:val="000000"/>
                <w:sz w:val="18"/>
                <w:szCs w:val="18"/>
              </w:rPr>
              <w:t>bDMARDs</w:t>
            </w:r>
            <w:proofErr w:type="spellEnd"/>
            <w:r w:rsidRPr="00015520">
              <w:rPr>
                <w:rFonts w:asciiTheme="minorHAnsi" w:hAnsiTheme="minorHAnsi" w:cstheme="minorHAnsi"/>
                <w:color w:val="000000"/>
                <w:sz w:val="18"/>
                <w:szCs w:val="18"/>
              </w:rPr>
              <w:t>/</w:t>
            </w:r>
            <w:proofErr w:type="spellStart"/>
            <w:r w:rsidRPr="00015520">
              <w:rPr>
                <w:rFonts w:asciiTheme="minorHAnsi" w:hAnsiTheme="minorHAnsi" w:cstheme="minorHAnsi"/>
                <w:color w:val="000000"/>
                <w:sz w:val="18"/>
                <w:szCs w:val="18"/>
              </w:rPr>
              <w:t>tsDMARDs</w:t>
            </w:r>
            <w:proofErr w:type="spellEnd"/>
            <w:r w:rsidRPr="00015520">
              <w:rPr>
                <w:rFonts w:asciiTheme="minorHAnsi" w:hAnsiTheme="minorHAnsi" w:cstheme="minorHAnsi"/>
                <w:color w:val="000000"/>
                <w:sz w:val="18"/>
                <w:szCs w:val="18"/>
              </w:rPr>
              <w:t xml:space="preserve">) are available. The </w:t>
            </w:r>
            <w:r w:rsidR="00FD620A">
              <w:rPr>
                <w:rFonts w:asciiTheme="minorHAnsi" w:hAnsiTheme="minorHAnsi" w:cstheme="minorHAnsi"/>
                <w:color w:val="000000"/>
                <w:sz w:val="18"/>
                <w:szCs w:val="18"/>
              </w:rPr>
              <w:t>PBAC</w:t>
            </w:r>
            <w:r w:rsidR="00FD620A" w:rsidRPr="00015520">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also noted the comments received from health professionals and organisations outlined the severe impacts of fistulising CD on quality of life and the risks of repeat surgeries, which can often end in proctectomy and the need for a permanent stoma, further highlighted this need for additional therapeutic options.</w:t>
            </w:r>
          </w:p>
          <w:p w14:paraId="05609478" w14:textId="0609F9EA"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br/>
              <w:t>The PBAC considered that while the evidence supporting the clinical claims of non-inferior efficacy and safety versus the nominated comparators was limited, on balance when considering the clinical need for additional therapies for fistulising CD, the claims versus IFX and ADA were likely to be reasonable.</w:t>
            </w:r>
            <w:r w:rsidR="004B1768">
              <w:rPr>
                <w:rFonts w:asciiTheme="minorHAnsi" w:hAnsiTheme="minorHAnsi" w:cstheme="minorHAnsi"/>
                <w:color w:val="000000"/>
                <w:sz w:val="18"/>
                <w:szCs w:val="18"/>
              </w:rPr>
              <w:t xml:space="preserve"> </w:t>
            </w:r>
            <w:r w:rsidR="004B1768" w:rsidRPr="006E404F">
              <w:rPr>
                <w:rFonts w:asciiTheme="minorHAnsi" w:hAnsiTheme="minorHAnsi" w:cstheme="minorHAnsi"/>
                <w:color w:val="000000"/>
                <w:sz w:val="18"/>
                <w:szCs w:val="18"/>
              </w:rPr>
              <w:t xml:space="preserve">The </w:t>
            </w:r>
            <w:r w:rsidR="001A0295">
              <w:rPr>
                <w:rFonts w:asciiTheme="minorHAnsi" w:hAnsiTheme="minorHAnsi" w:cstheme="minorHAnsi"/>
                <w:color w:val="000000"/>
                <w:sz w:val="18"/>
                <w:szCs w:val="18"/>
              </w:rPr>
              <w:t>PBAC</w:t>
            </w:r>
            <w:r w:rsidR="004B1768" w:rsidRPr="006E404F">
              <w:rPr>
                <w:rFonts w:asciiTheme="minorHAnsi" w:hAnsiTheme="minorHAnsi" w:cstheme="minorHAnsi"/>
                <w:color w:val="000000"/>
                <w:sz w:val="18"/>
                <w:szCs w:val="18"/>
              </w:rPr>
              <w:t xml:space="preserve"> noted flow-on changes to other fistulising CD listings to include UST in the list of eligible therapies.</w:t>
            </w:r>
          </w:p>
        </w:tc>
      </w:tr>
      <w:tr w:rsidR="00897FAC" w:rsidRPr="00015520" w14:paraId="5E325F3D" w14:textId="77777777" w:rsidTr="00344CBB">
        <w:trPr>
          <w:cantSplit/>
          <w:trHeight w:val="2948"/>
          <w:jc w:val="center"/>
        </w:trPr>
        <w:tc>
          <w:tcPr>
            <w:tcW w:w="3013" w:type="dxa"/>
            <w:shd w:val="clear" w:color="auto" w:fill="auto"/>
            <w:tcMar>
              <w:top w:w="28" w:type="dxa"/>
              <w:bottom w:w="28" w:type="dxa"/>
            </w:tcMar>
            <w:vAlign w:val="center"/>
          </w:tcPr>
          <w:p w14:paraId="1CCC5212" w14:textId="57323BDA" w:rsidR="00B314D4" w:rsidRDefault="00897FAC" w:rsidP="008542C1">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lastRenderedPageBreak/>
              <w:t>VARICELLA ZOSTER VIRUS RECOMBINANT VACCINE</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[1 vial] &amp; adjuvant substance diluent [0.5</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 vial]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Shingrix®</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66292F" w:rsidRPr="00015520">
              <w:rPr>
                <w:rFonts w:asciiTheme="minorHAnsi" w:hAnsiTheme="minorHAnsi" w:cstheme="minorHAnsi"/>
                <w:color w:val="000000"/>
                <w:sz w:val="18"/>
                <w:szCs w:val="18"/>
              </w:rPr>
              <w:t>GlaxoSmithKline Australia Pty Ltd</w:t>
            </w:r>
            <w:r w:rsidRPr="00015520">
              <w:rPr>
                <w:rFonts w:asciiTheme="minorHAnsi" w:hAnsiTheme="minorHAnsi" w:cstheme="minorHAnsi"/>
                <w:color w:val="000000"/>
                <w:sz w:val="18"/>
                <w:szCs w:val="18"/>
              </w:rPr>
              <w:br/>
            </w:r>
          </w:p>
          <w:p w14:paraId="14D07024" w14:textId="04D7E012" w:rsidR="00897FAC" w:rsidRPr="00015520" w:rsidRDefault="00B314D4" w:rsidP="008542C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resolution submission</w:t>
            </w:r>
            <w:r w:rsidR="00897FAC" w:rsidRPr="00015520">
              <w:rPr>
                <w:rFonts w:asciiTheme="minorHAnsi" w:hAnsiTheme="minorHAnsi" w:cstheme="minorHAnsi"/>
                <w:color w:val="000000"/>
                <w:sz w:val="18"/>
                <w:szCs w:val="18"/>
              </w:rPr>
              <w:br/>
              <w:t>(New listing)</w:t>
            </w:r>
          </w:p>
        </w:tc>
        <w:tc>
          <w:tcPr>
            <w:tcW w:w="2764" w:type="dxa"/>
            <w:shd w:val="clear" w:color="auto" w:fill="auto"/>
            <w:vAlign w:val="center"/>
          </w:tcPr>
          <w:p w14:paraId="1B6AE4BB" w14:textId="70C2D201"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Prevention of herpes zoster </w:t>
            </w:r>
            <w:r w:rsidR="00816A62">
              <w:rPr>
                <w:rFonts w:asciiTheme="minorHAnsi" w:hAnsiTheme="minorHAnsi" w:cstheme="minorHAnsi"/>
                <w:color w:val="000000"/>
                <w:sz w:val="18"/>
                <w:szCs w:val="18"/>
              </w:rPr>
              <w:t xml:space="preserve">(HZ) </w:t>
            </w:r>
            <w:r w:rsidRPr="00015520">
              <w:rPr>
                <w:rFonts w:asciiTheme="minorHAnsi" w:hAnsiTheme="minorHAnsi" w:cstheme="minorHAnsi"/>
                <w:color w:val="000000"/>
                <w:sz w:val="18"/>
                <w:szCs w:val="18"/>
              </w:rPr>
              <w:t>and post-herpetic neuralgia</w:t>
            </w:r>
            <w:r w:rsidR="00816A62">
              <w:rPr>
                <w:rFonts w:asciiTheme="minorHAnsi" w:hAnsiTheme="minorHAnsi" w:cstheme="minorHAnsi"/>
                <w:color w:val="000000"/>
                <w:sz w:val="18"/>
                <w:szCs w:val="18"/>
              </w:rPr>
              <w:t xml:space="preserve"> (PHN)</w:t>
            </w:r>
          </w:p>
        </w:tc>
        <w:tc>
          <w:tcPr>
            <w:tcW w:w="3098" w:type="dxa"/>
            <w:shd w:val="clear" w:color="auto" w:fill="auto"/>
            <w:tcMar>
              <w:top w:w="28" w:type="dxa"/>
              <w:bottom w:w="28" w:type="dxa"/>
            </w:tcMar>
            <w:vAlign w:val="center"/>
          </w:tcPr>
          <w:p w14:paraId="6ED590A1" w14:textId="1E39B30B"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Resubmission to request a National Immunisation Program</w:t>
            </w:r>
            <w:r w:rsidR="00261714">
              <w:rPr>
                <w:rFonts w:asciiTheme="minorHAnsi" w:hAnsiTheme="minorHAnsi" w:cstheme="minorHAnsi"/>
                <w:color w:val="000000"/>
                <w:sz w:val="18"/>
                <w:szCs w:val="18"/>
              </w:rPr>
              <w:t xml:space="preserve"> (NIP)</w:t>
            </w:r>
            <w:r w:rsidRPr="00015520">
              <w:rPr>
                <w:rFonts w:asciiTheme="minorHAnsi" w:hAnsiTheme="minorHAnsi" w:cstheme="minorHAnsi"/>
                <w:color w:val="000000"/>
                <w:sz w:val="18"/>
                <w:szCs w:val="18"/>
              </w:rPr>
              <w:t xml:space="preserve"> listing for the prevention of herpes zoster and post</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herpetic neuralgia, for non</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Indigenous individuals aged 65 to 69 years and individuals aged 71 years and older.</w:t>
            </w:r>
          </w:p>
        </w:tc>
        <w:tc>
          <w:tcPr>
            <w:tcW w:w="1920" w:type="dxa"/>
            <w:shd w:val="clear" w:color="auto" w:fill="auto"/>
            <w:vAlign w:val="center"/>
          </w:tcPr>
          <w:p w14:paraId="121A6142" w14:textId="68313BCD"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3B15CB24" w14:textId="39A5D864" w:rsidR="00816A62"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that varicella zoster virus recombinant vaccine (RZV, Shingrix®) be a designated vaccine for the purposes of the </w:t>
            </w:r>
            <w:r w:rsidRPr="00851AFC">
              <w:rPr>
                <w:rFonts w:asciiTheme="minorHAnsi" w:hAnsiTheme="minorHAnsi" w:cstheme="minorHAnsi"/>
                <w:i/>
                <w:iCs/>
                <w:color w:val="000000"/>
                <w:sz w:val="18"/>
                <w:szCs w:val="18"/>
              </w:rPr>
              <w:t>National Health Act 1953</w:t>
            </w:r>
            <w:r w:rsidRPr="00015520">
              <w:rPr>
                <w:rFonts w:asciiTheme="minorHAnsi" w:hAnsiTheme="minorHAnsi" w:cstheme="minorHAnsi"/>
                <w:color w:val="000000"/>
                <w:sz w:val="18"/>
                <w:szCs w:val="18"/>
              </w:rPr>
              <w:t>, for the prevention of</w:t>
            </w:r>
            <w:r w:rsidR="00816A62">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HZ and for individuals aged 65 years (primary program) and older (catch-up program). The PBAC considered, based on the reduced price proposed, that RZV is cost-effective with the age for the primary program lowered to 65 years (compared with the March</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recommendation for vaccination at age 70 years) and with there being no upper age limit for the catch-up program. The PBAC noted the cost</w:t>
            </w:r>
            <w:r w:rsidR="00261714">
              <w:rPr>
                <w:rFonts w:asciiTheme="minorHAnsi" w:hAnsiTheme="minorHAnsi" w:cstheme="minorHAnsi"/>
                <w:color w:val="000000"/>
                <w:sz w:val="18"/>
                <w:szCs w:val="18"/>
              </w:rPr>
              <w:t> - </w:t>
            </w:r>
            <w:r w:rsidRPr="00015520">
              <w:rPr>
                <w:rFonts w:asciiTheme="minorHAnsi" w:hAnsiTheme="minorHAnsi" w:cstheme="minorHAnsi"/>
                <w:color w:val="000000"/>
                <w:sz w:val="18"/>
                <w:szCs w:val="18"/>
              </w:rPr>
              <w:t xml:space="preserve"> effectiveness relies on accepting the long term modelled vaccine efficacy, and in this context considered that the cost-effectiveness of RZV should be reassessed if a booster dose is required or if long-term efficacy is less than predicted. The PBAC noted the total cost of the program was high.</w:t>
            </w:r>
          </w:p>
          <w:p w14:paraId="1911E2B1" w14:textId="5098969B"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br/>
              <w:t xml:space="preserve">RZV will be listed on the </w:t>
            </w:r>
            <w:r w:rsidR="00261714">
              <w:rPr>
                <w:rFonts w:asciiTheme="minorHAnsi" w:hAnsiTheme="minorHAnsi" w:cstheme="minorHAnsi"/>
                <w:color w:val="000000"/>
                <w:sz w:val="18"/>
                <w:szCs w:val="18"/>
              </w:rPr>
              <w:t xml:space="preserve">NIP </w:t>
            </w:r>
            <w:r w:rsidRPr="00015520">
              <w:rPr>
                <w:rFonts w:asciiTheme="minorHAnsi" w:hAnsiTheme="minorHAnsi" w:cstheme="minorHAnsi"/>
                <w:color w:val="000000"/>
                <w:sz w:val="18"/>
                <w:szCs w:val="18"/>
              </w:rPr>
              <w:t>as of the 1</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November</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for</w:t>
            </w:r>
            <w:r w:rsidR="00FD620A">
              <w:rPr>
                <w:rFonts w:asciiTheme="minorHAnsi" w:hAnsiTheme="minorHAnsi" w:cstheme="minorHAnsi"/>
                <w:color w:val="000000"/>
                <w:sz w:val="18"/>
                <w:szCs w:val="18"/>
              </w:rPr>
              <w:t xml:space="preserve"> </w:t>
            </w:r>
            <w:r w:rsidRPr="00015520">
              <w:rPr>
                <w:rFonts w:asciiTheme="minorHAnsi" w:hAnsiTheme="minorHAnsi" w:cstheme="minorHAnsi"/>
                <w:color w:val="000000"/>
                <w:sz w:val="18"/>
                <w:szCs w:val="18"/>
              </w:rPr>
              <w:t>non</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Indigenous individuals aged 70 years, Aboriginal and Torres Strait Islander individuals aged ≥ 50 years and immunocompromised individuals aged ≥ 18 years with conditions at high risk of HZ infection (based on the PBAC’s March</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2023 recommendation).</w:t>
            </w:r>
          </w:p>
        </w:tc>
      </w:tr>
      <w:tr w:rsidR="00897FAC" w:rsidRPr="00015520" w14:paraId="41D26DDC" w14:textId="77777777" w:rsidTr="00344CBB">
        <w:trPr>
          <w:cantSplit/>
          <w:trHeight w:val="2948"/>
          <w:jc w:val="center"/>
        </w:trPr>
        <w:tc>
          <w:tcPr>
            <w:tcW w:w="3013" w:type="dxa"/>
            <w:shd w:val="clear" w:color="auto" w:fill="auto"/>
            <w:tcMar>
              <w:top w:w="28" w:type="dxa"/>
              <w:bottom w:w="28" w:type="dxa"/>
            </w:tcMar>
            <w:vAlign w:val="center"/>
          </w:tcPr>
          <w:p w14:paraId="342E5BCE" w14:textId="77777777" w:rsidR="00EB2737" w:rsidRPr="003B0DFF" w:rsidRDefault="00897FAC" w:rsidP="00EB2737">
            <w:pPr>
              <w:keepLines/>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ZOLEDRONIC ACID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Injection concentrate for I.V. infusion 4</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mg (as monohydrate) in 5</w:t>
            </w:r>
            <w:r w:rsidR="004954A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mL</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t>APO-Zoledronic Acid®</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proofErr w:type="spellStart"/>
            <w:r w:rsidRPr="00015520">
              <w:rPr>
                <w:rFonts w:asciiTheme="minorHAnsi" w:hAnsiTheme="minorHAnsi" w:cstheme="minorHAnsi"/>
                <w:color w:val="000000"/>
                <w:sz w:val="18"/>
                <w:szCs w:val="18"/>
              </w:rPr>
              <w:t>Apotex</w:t>
            </w:r>
            <w:proofErr w:type="spellEnd"/>
            <w:r w:rsidRPr="00015520">
              <w:rPr>
                <w:rFonts w:asciiTheme="minorHAnsi" w:hAnsiTheme="minorHAnsi" w:cstheme="minorHAnsi"/>
                <w:color w:val="000000"/>
                <w:sz w:val="18"/>
                <w:szCs w:val="18"/>
              </w:rPr>
              <w:t xml:space="preserve"> Pty Ltd </w:t>
            </w:r>
            <w:r w:rsidRPr="00015520">
              <w:rPr>
                <w:rFonts w:asciiTheme="minorHAnsi" w:hAnsiTheme="minorHAnsi" w:cstheme="minorHAnsi"/>
                <w:color w:val="000000"/>
                <w:sz w:val="18"/>
                <w:szCs w:val="18"/>
              </w:rPr>
              <w:br/>
            </w:r>
            <w:r w:rsidRPr="00015520">
              <w:rPr>
                <w:rFonts w:asciiTheme="minorHAnsi" w:hAnsiTheme="minorHAnsi" w:cstheme="minorHAnsi"/>
                <w:color w:val="000000"/>
                <w:sz w:val="18"/>
                <w:szCs w:val="18"/>
              </w:rPr>
              <w:br/>
            </w:r>
            <w:r w:rsidR="00EB2737" w:rsidRPr="003B0DFF">
              <w:rPr>
                <w:rFonts w:asciiTheme="minorHAnsi" w:hAnsiTheme="minorHAnsi" w:cstheme="minorHAnsi"/>
                <w:color w:val="000000"/>
                <w:sz w:val="18"/>
                <w:szCs w:val="18"/>
              </w:rPr>
              <w:t>Department of Health</w:t>
            </w:r>
            <w:r w:rsidR="00EB2737">
              <w:rPr>
                <w:rFonts w:asciiTheme="minorHAnsi" w:hAnsiTheme="minorHAnsi" w:cstheme="minorHAnsi"/>
                <w:color w:val="000000"/>
                <w:sz w:val="18"/>
                <w:szCs w:val="18"/>
              </w:rPr>
              <w:t xml:space="preserve"> and Aged Care</w:t>
            </w:r>
          </w:p>
          <w:p w14:paraId="6C98BE4F" w14:textId="6C91CA0F" w:rsidR="00897FAC" w:rsidRPr="00015520" w:rsidRDefault="00EB2737" w:rsidP="00EB2737">
            <w:pPr>
              <w:keepLines/>
              <w:jc w:val="center"/>
              <w:rPr>
                <w:rFonts w:asciiTheme="minorHAnsi" w:hAnsiTheme="minorHAnsi" w:cstheme="minorHAnsi"/>
                <w:color w:val="000000"/>
                <w:sz w:val="18"/>
                <w:szCs w:val="18"/>
              </w:rPr>
            </w:pPr>
            <w:r w:rsidRPr="003B0DFF">
              <w:rPr>
                <w:rFonts w:asciiTheme="minorHAnsi" w:hAnsiTheme="minorHAnsi" w:cstheme="minorHAnsi"/>
                <w:color w:val="000000"/>
                <w:sz w:val="18"/>
                <w:szCs w:val="18"/>
              </w:rPr>
              <w:t>(Commonwealth)</w:t>
            </w:r>
            <w:r w:rsidR="00897FAC" w:rsidRPr="00015520">
              <w:rPr>
                <w:rFonts w:asciiTheme="minorHAnsi" w:hAnsiTheme="minorHAnsi" w:cstheme="minorHAnsi"/>
                <w:color w:val="000000"/>
                <w:sz w:val="18"/>
                <w:szCs w:val="18"/>
              </w:rPr>
              <w:br/>
              <w:t>(Change to listing)</w:t>
            </w:r>
          </w:p>
        </w:tc>
        <w:tc>
          <w:tcPr>
            <w:tcW w:w="2764" w:type="dxa"/>
            <w:shd w:val="clear" w:color="auto" w:fill="auto"/>
            <w:vAlign w:val="center"/>
          </w:tcPr>
          <w:p w14:paraId="3AC9CEF7" w14:textId="1B364927" w:rsidR="00897FAC" w:rsidRPr="00015520" w:rsidRDefault="00897FAC" w:rsidP="008542C1">
            <w:pPr>
              <w:keepLines/>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Adjuvant treatment of breast cancer</w:t>
            </w:r>
          </w:p>
        </w:tc>
        <w:tc>
          <w:tcPr>
            <w:tcW w:w="3098" w:type="dxa"/>
            <w:shd w:val="clear" w:color="auto" w:fill="auto"/>
            <w:tcMar>
              <w:top w:w="28" w:type="dxa"/>
              <w:bottom w:w="28" w:type="dxa"/>
            </w:tcMar>
            <w:vAlign w:val="center"/>
          </w:tcPr>
          <w:p w14:paraId="6B15B3B8" w14:textId="5B289041"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To request that the PBAC advise whether the circumstances under which zoledronic acid is listed on the PBS be expanded to include the adjuvant treatment of breast cancer in post</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w:t>
            </w:r>
            <w:r w:rsidR="00261714">
              <w:rPr>
                <w:rFonts w:asciiTheme="minorHAnsi" w:hAnsiTheme="minorHAnsi" w:cstheme="minorHAnsi"/>
                <w:color w:val="000000"/>
                <w:sz w:val="18"/>
                <w:szCs w:val="18"/>
              </w:rPr>
              <w:t> </w:t>
            </w:r>
            <w:r w:rsidRPr="00015520">
              <w:rPr>
                <w:rFonts w:asciiTheme="minorHAnsi" w:hAnsiTheme="minorHAnsi" w:cstheme="minorHAnsi"/>
                <w:color w:val="000000"/>
                <w:sz w:val="18"/>
                <w:szCs w:val="18"/>
              </w:rPr>
              <w:t>menopausal women</w:t>
            </w:r>
          </w:p>
        </w:tc>
        <w:tc>
          <w:tcPr>
            <w:tcW w:w="1920" w:type="dxa"/>
            <w:shd w:val="clear" w:color="auto" w:fill="auto"/>
            <w:vAlign w:val="center"/>
          </w:tcPr>
          <w:p w14:paraId="3A9C7974" w14:textId="192825B4" w:rsidR="00897FAC" w:rsidRPr="00015520" w:rsidRDefault="00897FAC" w:rsidP="008542C1">
            <w:pPr>
              <w:pStyle w:val="ListParagraph"/>
              <w:keepLines/>
              <w:ind w:left="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Recommended</w:t>
            </w:r>
          </w:p>
        </w:tc>
        <w:tc>
          <w:tcPr>
            <w:tcW w:w="4593" w:type="dxa"/>
            <w:shd w:val="clear" w:color="auto" w:fill="auto"/>
            <w:vAlign w:val="center"/>
          </w:tcPr>
          <w:p w14:paraId="1FEC284A" w14:textId="2AED344B" w:rsidR="00897FAC" w:rsidRPr="00015520" w:rsidRDefault="00897FAC" w:rsidP="008542C1">
            <w:pP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The PBAC recommended amending the circumstances under which zoledronic acid is available on the PBS to include its use for the adjuvant management of breast cancer in </w:t>
            </w:r>
            <w:r w:rsidR="00B57CDA" w:rsidRPr="00015520">
              <w:rPr>
                <w:rFonts w:asciiTheme="minorHAnsi" w:hAnsiTheme="minorHAnsi" w:cstheme="minorHAnsi"/>
                <w:color w:val="000000"/>
                <w:sz w:val="18"/>
                <w:szCs w:val="18"/>
              </w:rPr>
              <w:t>post</w:t>
            </w:r>
            <w:r w:rsidR="00261714">
              <w:rPr>
                <w:rFonts w:asciiTheme="minorHAnsi" w:hAnsiTheme="minorHAnsi" w:cstheme="minorHAnsi"/>
                <w:color w:val="000000"/>
                <w:sz w:val="18"/>
                <w:szCs w:val="18"/>
              </w:rPr>
              <w:t> </w:t>
            </w:r>
            <w:r w:rsidR="00B57CDA" w:rsidRPr="00015520">
              <w:rPr>
                <w:rFonts w:asciiTheme="minorHAnsi" w:hAnsiTheme="minorHAnsi" w:cstheme="minorHAnsi"/>
                <w:color w:val="000000"/>
                <w:sz w:val="18"/>
                <w:szCs w:val="18"/>
              </w:rPr>
              <w:t>-</w:t>
            </w:r>
            <w:r w:rsidR="00261714">
              <w:rPr>
                <w:rFonts w:asciiTheme="minorHAnsi" w:hAnsiTheme="minorHAnsi" w:cstheme="minorHAnsi"/>
                <w:color w:val="000000"/>
                <w:sz w:val="18"/>
                <w:szCs w:val="18"/>
              </w:rPr>
              <w:t> </w:t>
            </w:r>
            <w:r w:rsidR="00B57CDA" w:rsidRPr="00015520">
              <w:rPr>
                <w:rFonts w:asciiTheme="minorHAnsi" w:hAnsiTheme="minorHAnsi" w:cstheme="minorHAnsi"/>
                <w:color w:val="000000"/>
                <w:sz w:val="18"/>
                <w:szCs w:val="18"/>
              </w:rPr>
              <w:t>menopausal</w:t>
            </w:r>
            <w:r w:rsidRPr="00015520">
              <w:rPr>
                <w:rFonts w:asciiTheme="minorHAnsi" w:hAnsiTheme="minorHAnsi" w:cstheme="minorHAnsi"/>
                <w:color w:val="000000"/>
                <w:sz w:val="18"/>
                <w:szCs w:val="18"/>
              </w:rPr>
              <w:t xml:space="preserve"> women. The PBAC recommended this listing on the basis of its assessment that the cost-effectiveness of zoledronic acid would be acceptable in this population at an equivalent price to the existing listing.</w:t>
            </w:r>
          </w:p>
        </w:tc>
      </w:tr>
    </w:tbl>
    <w:p w14:paraId="2CF311E1" w14:textId="37D272B2" w:rsidR="007F1C7A" w:rsidRPr="00015520" w:rsidRDefault="007F1C7A">
      <w:pPr>
        <w:rPr>
          <w:rFonts w:asciiTheme="minorHAnsi" w:hAnsiTheme="minorHAnsi" w:cstheme="minorHAnsi"/>
          <w:b/>
          <w:sz w:val="18"/>
          <w:szCs w:val="18"/>
          <w:lang w:val="en-US"/>
        </w:rPr>
      </w:pPr>
    </w:p>
    <w:tbl>
      <w:tblPr>
        <w:tblW w:w="5002" w:type="pct"/>
        <w:tblLayout w:type="fixed"/>
        <w:tblLook w:val="04A0" w:firstRow="1" w:lastRow="0" w:firstColumn="1" w:lastColumn="0" w:noHBand="0" w:noVBand="1"/>
      </w:tblPr>
      <w:tblGrid>
        <w:gridCol w:w="3824"/>
        <w:gridCol w:w="3827"/>
        <w:gridCol w:w="3685"/>
        <w:gridCol w:w="4058"/>
      </w:tblGrid>
      <w:tr w:rsidR="00155809" w:rsidRPr="00015520"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015520" w:rsidRDefault="00FB3935" w:rsidP="00C5261F">
            <w:pPr>
              <w:widowControl w:val="0"/>
              <w:spacing w:after="120"/>
              <w:jc w:val="center"/>
              <w:rPr>
                <w:rFonts w:asciiTheme="minorHAnsi" w:hAnsiTheme="minorHAnsi" w:cstheme="minorHAnsi"/>
                <w:b/>
                <w:bCs/>
                <w:snapToGrid w:val="0"/>
                <w:color w:val="000000"/>
                <w:sz w:val="18"/>
                <w:szCs w:val="18"/>
              </w:rPr>
            </w:pPr>
            <w:r w:rsidRPr="00015520">
              <w:rPr>
                <w:rFonts w:asciiTheme="minorHAnsi" w:hAnsiTheme="minorHAnsi" w:cstheme="minorHAnsi"/>
                <w:b/>
                <w:bCs/>
                <w:snapToGrid w:val="0"/>
                <w:color w:val="000000"/>
                <w:sz w:val="18"/>
                <w:szCs w:val="18"/>
              </w:rPr>
              <w:lastRenderedPageBreak/>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015520" w:rsidRDefault="00FB3935" w:rsidP="00C5261F">
            <w:pPr>
              <w:widowControl w:val="0"/>
              <w:spacing w:after="120"/>
              <w:jc w:val="center"/>
              <w:rPr>
                <w:rFonts w:asciiTheme="minorHAnsi" w:hAnsiTheme="minorHAnsi" w:cstheme="minorHAnsi"/>
                <w:b/>
                <w:bCs/>
                <w:snapToGrid w:val="0"/>
                <w:color w:val="000000"/>
                <w:sz w:val="18"/>
                <w:szCs w:val="18"/>
              </w:rPr>
            </w:pPr>
            <w:r w:rsidRPr="00015520">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015520" w:rsidRDefault="00FB3935" w:rsidP="00C5261F">
            <w:pPr>
              <w:widowControl w:val="0"/>
              <w:spacing w:after="120"/>
              <w:jc w:val="center"/>
              <w:rPr>
                <w:rFonts w:asciiTheme="minorHAnsi" w:hAnsiTheme="minorHAnsi" w:cstheme="minorHAnsi"/>
                <w:b/>
                <w:bCs/>
                <w:snapToGrid w:val="0"/>
                <w:color w:val="000000"/>
                <w:sz w:val="18"/>
                <w:szCs w:val="18"/>
              </w:rPr>
            </w:pPr>
            <w:r w:rsidRPr="00015520">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015520" w:rsidRDefault="00FB3935" w:rsidP="00C5261F">
            <w:pPr>
              <w:widowControl w:val="0"/>
              <w:spacing w:after="120"/>
              <w:jc w:val="center"/>
              <w:rPr>
                <w:rFonts w:asciiTheme="minorHAnsi" w:hAnsiTheme="minorHAnsi" w:cstheme="minorHAnsi"/>
                <w:b/>
                <w:bCs/>
                <w:snapToGrid w:val="0"/>
                <w:color w:val="000000"/>
                <w:sz w:val="18"/>
                <w:szCs w:val="18"/>
              </w:rPr>
            </w:pPr>
            <w:r w:rsidRPr="00015520">
              <w:rPr>
                <w:rFonts w:asciiTheme="minorHAnsi" w:hAnsiTheme="minorHAnsi" w:cstheme="minorHAnsi"/>
                <w:b/>
                <w:bCs/>
                <w:snapToGrid w:val="0"/>
                <w:color w:val="000000"/>
                <w:sz w:val="18"/>
                <w:szCs w:val="18"/>
              </w:rPr>
              <w:t>PBAC OUTCOME</w:t>
            </w:r>
          </w:p>
        </w:tc>
      </w:tr>
      <w:tr w:rsidR="00506192" w:rsidRPr="00015520" w14:paraId="36138A4B"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BE4FEB5" w14:textId="1836F884" w:rsidR="00506192" w:rsidRDefault="00506192" w:rsidP="00A61C56">
            <w:pPr>
              <w:jc w:val="center"/>
              <w:rPr>
                <w:rFonts w:asciiTheme="minorHAnsi" w:hAnsiTheme="minorHAnsi" w:cstheme="minorHAnsi"/>
                <w:sz w:val="18"/>
                <w:szCs w:val="18"/>
              </w:rPr>
            </w:pPr>
            <w:r w:rsidRPr="00015520">
              <w:rPr>
                <w:rFonts w:asciiTheme="minorHAnsi" w:hAnsiTheme="minorHAnsi" w:cstheme="minorHAnsi"/>
                <w:sz w:val="18"/>
                <w:szCs w:val="18"/>
              </w:rPr>
              <w:t>ADALIMUMAB</w:t>
            </w:r>
          </w:p>
          <w:p w14:paraId="0FE8A6C3" w14:textId="77777777" w:rsidR="00B57CDA" w:rsidRPr="00015520" w:rsidRDefault="00B57CDA" w:rsidP="00851AFC">
            <w:pPr>
              <w:jc w:val="center"/>
              <w:rPr>
                <w:rFonts w:asciiTheme="minorHAnsi" w:hAnsiTheme="minorHAnsi" w:cstheme="minorHAnsi"/>
                <w:sz w:val="18"/>
                <w:szCs w:val="18"/>
              </w:rPr>
            </w:pPr>
          </w:p>
          <w:p w14:paraId="5B0C3F11" w14:textId="45AD65BD" w:rsidR="00506192" w:rsidRDefault="00506192" w:rsidP="00A61C56">
            <w:pPr>
              <w:jc w:val="center"/>
              <w:rPr>
                <w:rFonts w:asciiTheme="minorHAnsi" w:hAnsiTheme="minorHAnsi" w:cstheme="minorHAnsi"/>
                <w:sz w:val="18"/>
                <w:szCs w:val="18"/>
              </w:rPr>
            </w:pPr>
            <w:r w:rsidRPr="00015520">
              <w:rPr>
                <w:rFonts w:asciiTheme="minorHAnsi" w:hAnsiTheme="minorHAnsi" w:cstheme="minorHAnsi"/>
                <w:sz w:val="18"/>
                <w:szCs w:val="18"/>
              </w:rPr>
              <w:t>Injection 20</w:t>
            </w:r>
            <w:r w:rsidR="004954A4">
              <w:rPr>
                <w:rFonts w:asciiTheme="minorHAnsi" w:hAnsiTheme="minorHAnsi" w:cstheme="minorHAnsi"/>
                <w:sz w:val="18"/>
                <w:szCs w:val="18"/>
              </w:rPr>
              <w:t> </w:t>
            </w:r>
            <w:r w:rsidRPr="00015520">
              <w:rPr>
                <w:rFonts w:asciiTheme="minorHAnsi" w:hAnsiTheme="minorHAnsi" w:cstheme="minorHAnsi"/>
                <w:sz w:val="18"/>
                <w:szCs w:val="18"/>
              </w:rPr>
              <w:t>mg in 0.4</w:t>
            </w:r>
            <w:r w:rsidR="004954A4">
              <w:rPr>
                <w:rFonts w:asciiTheme="minorHAnsi" w:hAnsiTheme="minorHAnsi" w:cstheme="minorHAnsi"/>
                <w:sz w:val="18"/>
                <w:szCs w:val="18"/>
              </w:rPr>
              <w:t> </w:t>
            </w:r>
            <w:r w:rsidRPr="00015520">
              <w:rPr>
                <w:rFonts w:asciiTheme="minorHAnsi" w:hAnsiTheme="minorHAnsi" w:cstheme="minorHAnsi"/>
                <w:sz w:val="18"/>
                <w:szCs w:val="18"/>
              </w:rPr>
              <w:t>mL pre-filled syringe</w:t>
            </w:r>
            <w:r w:rsidRPr="00015520">
              <w:rPr>
                <w:rFonts w:asciiTheme="minorHAnsi" w:hAnsiTheme="minorHAnsi" w:cstheme="minorHAnsi"/>
                <w:sz w:val="18"/>
                <w:szCs w:val="18"/>
              </w:rPr>
              <w:br/>
              <w:t>Injection 40</w:t>
            </w:r>
            <w:r w:rsidR="004954A4">
              <w:rPr>
                <w:rFonts w:asciiTheme="minorHAnsi" w:hAnsiTheme="minorHAnsi" w:cstheme="minorHAnsi"/>
                <w:sz w:val="18"/>
                <w:szCs w:val="18"/>
              </w:rPr>
              <w:t> </w:t>
            </w:r>
            <w:r w:rsidRPr="00015520">
              <w:rPr>
                <w:rFonts w:asciiTheme="minorHAnsi" w:hAnsiTheme="minorHAnsi" w:cstheme="minorHAnsi"/>
                <w:sz w:val="18"/>
                <w:szCs w:val="18"/>
              </w:rPr>
              <w:t>mg in 0.8</w:t>
            </w:r>
            <w:r w:rsidR="004954A4">
              <w:rPr>
                <w:rFonts w:asciiTheme="minorHAnsi" w:hAnsiTheme="minorHAnsi" w:cstheme="minorHAnsi"/>
                <w:sz w:val="18"/>
                <w:szCs w:val="18"/>
              </w:rPr>
              <w:t> </w:t>
            </w:r>
            <w:r w:rsidRPr="00015520">
              <w:rPr>
                <w:rFonts w:asciiTheme="minorHAnsi" w:hAnsiTheme="minorHAnsi" w:cstheme="minorHAnsi"/>
                <w:sz w:val="18"/>
                <w:szCs w:val="18"/>
              </w:rPr>
              <w:t>mL pre-filled syringe</w:t>
            </w:r>
            <w:r w:rsidRPr="00015520">
              <w:rPr>
                <w:rFonts w:asciiTheme="minorHAnsi" w:hAnsiTheme="minorHAnsi" w:cstheme="minorHAnsi"/>
                <w:sz w:val="18"/>
                <w:szCs w:val="18"/>
              </w:rPr>
              <w:br/>
              <w:t>Injection 40</w:t>
            </w:r>
            <w:r w:rsidR="004954A4">
              <w:rPr>
                <w:rFonts w:asciiTheme="minorHAnsi" w:hAnsiTheme="minorHAnsi" w:cstheme="minorHAnsi"/>
                <w:sz w:val="18"/>
                <w:szCs w:val="18"/>
              </w:rPr>
              <w:t> </w:t>
            </w:r>
            <w:r w:rsidRPr="00015520">
              <w:rPr>
                <w:rFonts w:asciiTheme="minorHAnsi" w:hAnsiTheme="minorHAnsi" w:cstheme="minorHAnsi"/>
                <w:sz w:val="18"/>
                <w:szCs w:val="18"/>
              </w:rPr>
              <w:t>mg in 0</w:t>
            </w:r>
            <w:r w:rsidR="004954A4">
              <w:rPr>
                <w:rFonts w:asciiTheme="minorHAnsi" w:hAnsiTheme="minorHAnsi" w:cstheme="minorHAnsi"/>
                <w:sz w:val="18"/>
                <w:szCs w:val="18"/>
              </w:rPr>
              <w:t>.</w:t>
            </w:r>
            <w:r w:rsidRPr="00015520">
              <w:rPr>
                <w:rFonts w:asciiTheme="minorHAnsi" w:hAnsiTheme="minorHAnsi" w:cstheme="minorHAnsi"/>
                <w:sz w:val="18"/>
                <w:szCs w:val="18"/>
              </w:rPr>
              <w:t>8</w:t>
            </w:r>
            <w:r w:rsidR="004954A4">
              <w:rPr>
                <w:rFonts w:asciiTheme="minorHAnsi" w:hAnsiTheme="minorHAnsi" w:cstheme="minorHAnsi"/>
                <w:sz w:val="18"/>
                <w:szCs w:val="18"/>
              </w:rPr>
              <w:t> </w:t>
            </w:r>
            <w:r w:rsidRPr="00015520">
              <w:rPr>
                <w:rFonts w:asciiTheme="minorHAnsi" w:hAnsiTheme="minorHAnsi" w:cstheme="minorHAnsi"/>
                <w:sz w:val="18"/>
                <w:szCs w:val="18"/>
              </w:rPr>
              <w:t>mL pre-filled pen</w:t>
            </w:r>
          </w:p>
          <w:p w14:paraId="2824D795" w14:textId="77777777" w:rsidR="00B57CDA" w:rsidRPr="00015520" w:rsidRDefault="00B57CDA" w:rsidP="00851AFC">
            <w:pPr>
              <w:jc w:val="center"/>
              <w:rPr>
                <w:rFonts w:asciiTheme="minorHAnsi" w:hAnsiTheme="minorHAnsi" w:cstheme="minorHAnsi"/>
                <w:sz w:val="18"/>
                <w:szCs w:val="18"/>
              </w:rPr>
            </w:pPr>
          </w:p>
          <w:p w14:paraId="7FDC5CCB" w14:textId="74F71354" w:rsidR="00506192" w:rsidRDefault="00506192" w:rsidP="00A61C56">
            <w:pPr>
              <w:jc w:val="center"/>
              <w:rPr>
                <w:rFonts w:asciiTheme="minorHAnsi" w:hAnsiTheme="minorHAnsi" w:cstheme="minorHAnsi"/>
                <w:sz w:val="18"/>
                <w:szCs w:val="18"/>
              </w:rPr>
            </w:pPr>
            <w:proofErr w:type="spellStart"/>
            <w:r w:rsidRPr="00015520">
              <w:rPr>
                <w:rFonts w:asciiTheme="minorHAnsi" w:hAnsiTheme="minorHAnsi" w:cstheme="minorHAnsi"/>
                <w:sz w:val="18"/>
                <w:szCs w:val="18"/>
              </w:rPr>
              <w:t>Abrilada</w:t>
            </w:r>
            <w:proofErr w:type="spellEnd"/>
            <w:r w:rsidRPr="00015520">
              <w:rPr>
                <w:rFonts w:asciiTheme="minorHAnsi" w:hAnsiTheme="minorHAnsi" w:cstheme="minorHAnsi"/>
                <w:sz w:val="18"/>
                <w:szCs w:val="18"/>
              </w:rPr>
              <w:t>®</w:t>
            </w:r>
          </w:p>
          <w:p w14:paraId="45AD818A" w14:textId="77777777" w:rsidR="00B57CDA" w:rsidRPr="00015520" w:rsidRDefault="00B57CDA" w:rsidP="00851AFC">
            <w:pPr>
              <w:jc w:val="center"/>
              <w:rPr>
                <w:rFonts w:asciiTheme="minorHAnsi" w:hAnsiTheme="minorHAnsi" w:cstheme="minorHAnsi"/>
                <w:sz w:val="18"/>
                <w:szCs w:val="18"/>
              </w:rPr>
            </w:pPr>
          </w:p>
          <w:p w14:paraId="0702E352" w14:textId="411F9FFC" w:rsidR="00506192" w:rsidRPr="00015520" w:rsidRDefault="0066292F" w:rsidP="00851AFC">
            <w:pPr>
              <w:jc w:val="center"/>
              <w:rPr>
                <w:rFonts w:asciiTheme="minorHAnsi" w:hAnsiTheme="minorHAnsi" w:cstheme="minorHAnsi"/>
                <w:sz w:val="18"/>
                <w:szCs w:val="18"/>
                <w:lang w:eastAsia="en-US"/>
              </w:rPr>
            </w:pPr>
            <w:r w:rsidRPr="00015520">
              <w:rPr>
                <w:rFonts w:asciiTheme="minorHAnsi" w:hAnsiTheme="minorHAnsi" w:cstheme="minorHAnsi"/>
                <w:sz w:val="18"/>
                <w:szCs w:val="18"/>
              </w:rPr>
              <w:t>Pfizer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63F3C79" w14:textId="77777777" w:rsidR="00EB2737" w:rsidRDefault="00506192" w:rsidP="00851AFC">
            <w:pPr>
              <w:widowControl w:val="0"/>
              <w:jc w:val="center"/>
              <w:rPr>
                <w:rFonts w:asciiTheme="minorHAnsi" w:hAnsiTheme="minorHAnsi" w:cstheme="minorHAnsi"/>
                <w:color w:val="000000"/>
                <w:sz w:val="18"/>
                <w:szCs w:val="18"/>
              </w:rPr>
            </w:pPr>
            <w:r w:rsidRPr="00015520">
              <w:rPr>
                <w:rFonts w:asciiTheme="minorHAnsi" w:hAnsiTheme="minorHAnsi" w:cstheme="minorHAnsi"/>
                <w:color w:val="000000"/>
                <w:sz w:val="18"/>
                <w:szCs w:val="18"/>
              </w:rPr>
              <w:t xml:space="preserve">Crohn disease, </w:t>
            </w:r>
            <w:r w:rsidRPr="00015520">
              <w:rPr>
                <w:rFonts w:asciiTheme="minorHAnsi" w:hAnsiTheme="minorHAnsi" w:cstheme="minorHAnsi"/>
                <w:color w:val="000000"/>
                <w:sz w:val="18"/>
                <w:szCs w:val="18"/>
              </w:rPr>
              <w:br/>
              <w:t xml:space="preserve">Ulcerative colitis, </w:t>
            </w:r>
            <w:r w:rsidRPr="00015520">
              <w:rPr>
                <w:rFonts w:asciiTheme="minorHAnsi" w:hAnsiTheme="minorHAnsi" w:cstheme="minorHAnsi"/>
                <w:color w:val="000000"/>
                <w:sz w:val="18"/>
                <w:szCs w:val="18"/>
              </w:rPr>
              <w:br/>
              <w:t xml:space="preserve">Juvenile idiopathic arthritis, </w:t>
            </w:r>
          </w:p>
          <w:p w14:paraId="14D7838E" w14:textId="30018B06" w:rsidR="00506192" w:rsidRPr="00015520" w:rsidRDefault="00506192" w:rsidP="00851AFC">
            <w:pPr>
              <w:widowControl w:val="0"/>
              <w:jc w:val="center"/>
              <w:rPr>
                <w:rFonts w:asciiTheme="minorHAnsi" w:hAnsiTheme="minorHAnsi" w:cstheme="minorHAnsi"/>
                <w:bCs/>
                <w:sz w:val="18"/>
                <w:szCs w:val="18"/>
                <w:lang w:eastAsia="en-US"/>
              </w:rPr>
            </w:pPr>
            <w:r w:rsidRPr="00015520">
              <w:rPr>
                <w:rFonts w:asciiTheme="minorHAnsi" w:hAnsiTheme="minorHAnsi" w:cstheme="minorHAnsi"/>
                <w:color w:val="000000"/>
                <w:sz w:val="18"/>
                <w:szCs w:val="18"/>
              </w:rPr>
              <w:t xml:space="preserve">Rheumatoid arthritis, </w:t>
            </w:r>
            <w:r w:rsidRPr="00015520">
              <w:rPr>
                <w:rFonts w:asciiTheme="minorHAnsi" w:hAnsiTheme="minorHAnsi" w:cstheme="minorHAnsi"/>
                <w:color w:val="000000"/>
                <w:sz w:val="18"/>
                <w:szCs w:val="18"/>
              </w:rPr>
              <w:br/>
              <w:t xml:space="preserve">Psoriatic arthritis, </w:t>
            </w:r>
            <w:r w:rsidRPr="00015520">
              <w:rPr>
                <w:rFonts w:asciiTheme="minorHAnsi" w:hAnsiTheme="minorHAnsi" w:cstheme="minorHAnsi"/>
                <w:color w:val="000000"/>
                <w:sz w:val="18"/>
                <w:szCs w:val="18"/>
              </w:rPr>
              <w:br/>
              <w:t xml:space="preserve">Ankylosing spondylitis, </w:t>
            </w:r>
            <w:r w:rsidRPr="00015520">
              <w:rPr>
                <w:rFonts w:asciiTheme="minorHAnsi" w:hAnsiTheme="minorHAnsi" w:cstheme="minorHAnsi"/>
                <w:color w:val="000000"/>
                <w:sz w:val="18"/>
                <w:szCs w:val="18"/>
              </w:rPr>
              <w:br/>
              <w:t xml:space="preserve">Plaque psoriasis, </w:t>
            </w:r>
            <w:r w:rsidRPr="00015520">
              <w:rPr>
                <w:rFonts w:asciiTheme="minorHAnsi" w:hAnsiTheme="minorHAnsi" w:cstheme="minorHAnsi"/>
                <w:color w:val="000000"/>
                <w:sz w:val="18"/>
                <w:szCs w:val="18"/>
              </w:rPr>
              <w:br/>
              <w:t>Hidradenitis suppurativa</w:t>
            </w:r>
          </w:p>
        </w:tc>
        <w:tc>
          <w:tcPr>
            <w:tcW w:w="1197" w:type="pct"/>
            <w:tcBorders>
              <w:top w:val="single" w:sz="4" w:space="0" w:color="auto"/>
              <w:left w:val="nil"/>
              <w:bottom w:val="single" w:sz="4" w:space="0" w:color="auto"/>
              <w:right w:val="single" w:sz="4" w:space="0" w:color="auto"/>
            </w:tcBorders>
            <w:shd w:val="clear" w:color="auto" w:fill="auto"/>
            <w:vAlign w:val="center"/>
          </w:tcPr>
          <w:p w14:paraId="2ADE8BFE" w14:textId="2FD6335D" w:rsidR="00506192" w:rsidRPr="00015520" w:rsidRDefault="00506192" w:rsidP="00851AFC">
            <w:pPr>
              <w:widowControl w:val="0"/>
              <w:jc w:val="center"/>
              <w:rPr>
                <w:rFonts w:asciiTheme="minorHAnsi" w:hAnsiTheme="minorHAnsi" w:cstheme="minorHAnsi"/>
                <w:sz w:val="18"/>
                <w:szCs w:val="18"/>
                <w:lang w:eastAsia="en-US"/>
              </w:rPr>
            </w:pPr>
            <w:r w:rsidRPr="00015520">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6AD6BF6" w14:textId="36A6E987" w:rsidR="00506192" w:rsidRPr="00015520" w:rsidRDefault="004337DF" w:rsidP="00851AFC">
            <w:pPr>
              <w:widowControl w:val="0"/>
              <w:jc w:val="center"/>
              <w:rPr>
                <w:rFonts w:asciiTheme="minorHAnsi" w:hAnsiTheme="minorHAnsi" w:cstheme="minorHAnsi"/>
                <w:bCs/>
                <w:snapToGrid w:val="0"/>
                <w:sz w:val="18"/>
                <w:szCs w:val="18"/>
              </w:rPr>
            </w:pPr>
            <w:r w:rsidRPr="004337DF">
              <w:rPr>
                <w:rFonts w:asciiTheme="minorHAnsi" w:hAnsiTheme="minorHAnsi" w:cstheme="minorHAnsi"/>
                <w:bCs/>
                <w:snapToGrid w:val="0"/>
                <w:sz w:val="18"/>
                <w:szCs w:val="18"/>
              </w:rPr>
              <w:t>The PBAC advised that the recommendation be extended for an additional 12 months.</w:t>
            </w:r>
          </w:p>
        </w:tc>
      </w:tr>
      <w:tr w:rsidR="004337DF" w:rsidRPr="00015520" w14:paraId="3AFC23D2"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7E08E564" w14:textId="20E4C72A" w:rsidR="004337DF" w:rsidRDefault="004337DF" w:rsidP="00A61C56">
            <w:pPr>
              <w:jc w:val="center"/>
              <w:rPr>
                <w:rFonts w:asciiTheme="minorHAnsi" w:hAnsiTheme="minorHAnsi" w:cstheme="minorHAnsi"/>
                <w:sz w:val="18"/>
                <w:szCs w:val="18"/>
              </w:rPr>
            </w:pPr>
            <w:r w:rsidRPr="004337DF">
              <w:rPr>
                <w:rFonts w:asciiTheme="minorHAnsi" w:hAnsiTheme="minorHAnsi" w:cstheme="minorHAnsi"/>
                <w:sz w:val="18"/>
                <w:szCs w:val="18"/>
              </w:rPr>
              <w:t>CERTOLIZUMAB PEGOL</w:t>
            </w:r>
          </w:p>
          <w:p w14:paraId="03B96B3B" w14:textId="77777777" w:rsidR="00B57CDA" w:rsidRPr="004337DF" w:rsidRDefault="00B57CDA" w:rsidP="00851AFC">
            <w:pPr>
              <w:jc w:val="center"/>
              <w:rPr>
                <w:rFonts w:asciiTheme="minorHAnsi" w:hAnsiTheme="minorHAnsi" w:cstheme="minorHAnsi"/>
                <w:sz w:val="18"/>
                <w:szCs w:val="18"/>
              </w:rPr>
            </w:pPr>
          </w:p>
          <w:p w14:paraId="7D6D0464" w14:textId="68C40F7A" w:rsidR="004337DF" w:rsidRDefault="004337DF" w:rsidP="00A61C56">
            <w:pPr>
              <w:jc w:val="center"/>
              <w:rPr>
                <w:rFonts w:asciiTheme="minorHAnsi" w:hAnsiTheme="minorHAnsi" w:cstheme="minorHAnsi"/>
                <w:sz w:val="18"/>
                <w:szCs w:val="18"/>
              </w:rPr>
            </w:pPr>
            <w:r w:rsidRPr="004337DF">
              <w:rPr>
                <w:rFonts w:asciiTheme="minorHAnsi" w:hAnsiTheme="minorHAnsi" w:cstheme="minorHAnsi"/>
                <w:sz w:val="18"/>
                <w:szCs w:val="18"/>
              </w:rPr>
              <w:t>Injection 200 mg in 1 mL pre-filled syringe pen</w:t>
            </w:r>
            <w:r>
              <w:rPr>
                <w:rFonts w:asciiTheme="minorHAnsi" w:hAnsiTheme="minorHAnsi" w:cstheme="minorHAnsi"/>
                <w:sz w:val="18"/>
                <w:szCs w:val="18"/>
              </w:rPr>
              <w:t xml:space="preserve"> </w:t>
            </w:r>
            <w:r w:rsidRPr="004337DF">
              <w:rPr>
                <w:rFonts w:asciiTheme="minorHAnsi" w:hAnsiTheme="minorHAnsi" w:cstheme="minorHAnsi"/>
                <w:sz w:val="18"/>
                <w:szCs w:val="18"/>
              </w:rPr>
              <w:t>Solution for injection 200 mg in 1 mL pre-filled pen</w:t>
            </w:r>
          </w:p>
          <w:p w14:paraId="4492BA06" w14:textId="77777777" w:rsidR="00B57CDA" w:rsidRPr="004337DF" w:rsidRDefault="00B57CDA" w:rsidP="00851AFC">
            <w:pPr>
              <w:jc w:val="center"/>
              <w:rPr>
                <w:rFonts w:asciiTheme="minorHAnsi" w:hAnsiTheme="minorHAnsi" w:cstheme="minorHAnsi"/>
                <w:sz w:val="18"/>
                <w:szCs w:val="18"/>
              </w:rPr>
            </w:pPr>
          </w:p>
          <w:p w14:paraId="5A4E65F7" w14:textId="6E209C49" w:rsidR="004337DF" w:rsidRDefault="004337DF" w:rsidP="00A61C56">
            <w:pPr>
              <w:jc w:val="center"/>
              <w:rPr>
                <w:rFonts w:asciiTheme="minorHAnsi" w:hAnsiTheme="minorHAnsi" w:cstheme="minorHAnsi"/>
                <w:sz w:val="18"/>
                <w:szCs w:val="18"/>
              </w:rPr>
            </w:pPr>
            <w:r w:rsidRPr="004337DF">
              <w:rPr>
                <w:rFonts w:asciiTheme="minorHAnsi" w:hAnsiTheme="minorHAnsi" w:cstheme="minorHAnsi"/>
                <w:sz w:val="18"/>
                <w:szCs w:val="18"/>
              </w:rPr>
              <w:t>Cimzia®</w:t>
            </w:r>
          </w:p>
          <w:p w14:paraId="741899B9" w14:textId="77777777" w:rsidR="00B57CDA" w:rsidRPr="004337DF" w:rsidRDefault="00B57CDA" w:rsidP="00851AFC">
            <w:pPr>
              <w:jc w:val="center"/>
              <w:rPr>
                <w:rFonts w:asciiTheme="minorHAnsi" w:hAnsiTheme="minorHAnsi" w:cstheme="minorHAnsi"/>
                <w:sz w:val="18"/>
                <w:szCs w:val="18"/>
              </w:rPr>
            </w:pPr>
          </w:p>
          <w:p w14:paraId="55A5B50C" w14:textId="0CAA9577" w:rsidR="004337DF" w:rsidRPr="00015520" w:rsidRDefault="004337DF" w:rsidP="00851AFC">
            <w:pPr>
              <w:jc w:val="center"/>
              <w:rPr>
                <w:rFonts w:asciiTheme="minorHAnsi" w:hAnsiTheme="minorHAnsi" w:cstheme="minorHAnsi"/>
                <w:sz w:val="18"/>
                <w:szCs w:val="18"/>
              </w:rPr>
            </w:pPr>
            <w:r w:rsidRPr="004337DF">
              <w:rPr>
                <w:rFonts w:asciiTheme="minorHAnsi" w:hAnsiTheme="minorHAnsi" w:cstheme="minorHAnsi"/>
                <w:sz w:val="18"/>
                <w:szCs w:val="18"/>
              </w:rPr>
              <w:t>UCB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11F7D74" w14:textId="1E621D8D" w:rsidR="004337DF" w:rsidRPr="00015520" w:rsidRDefault="004337DF" w:rsidP="00851AFC">
            <w:pPr>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t>S</w:t>
            </w:r>
            <w:r w:rsidRPr="004337DF">
              <w:rPr>
                <w:rFonts w:asciiTheme="minorHAnsi" w:hAnsiTheme="minorHAnsi" w:cstheme="minorHAnsi"/>
                <w:color w:val="000000"/>
                <w:sz w:val="18"/>
                <w:szCs w:val="18"/>
              </w:rPr>
              <w:t>evere 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401C9ACA" w14:textId="0766F5C9" w:rsidR="004337DF" w:rsidRPr="00015520" w:rsidRDefault="004337DF" w:rsidP="00851AFC">
            <w:pPr>
              <w:widowControl w:val="0"/>
              <w:jc w:val="center"/>
              <w:rPr>
                <w:rFonts w:asciiTheme="minorHAnsi" w:hAnsiTheme="minorHAnsi" w:cstheme="minorHAnsi"/>
                <w:sz w:val="18"/>
                <w:szCs w:val="18"/>
              </w:rPr>
            </w:pPr>
            <w:r w:rsidRPr="00015520">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46B1472" w14:textId="1828136B" w:rsidR="004337DF" w:rsidRPr="004337DF" w:rsidRDefault="004337DF" w:rsidP="00851AFC">
            <w:pPr>
              <w:widowControl w:val="0"/>
              <w:jc w:val="center"/>
              <w:rPr>
                <w:rFonts w:asciiTheme="minorHAnsi" w:hAnsiTheme="minorHAnsi" w:cstheme="minorHAnsi"/>
                <w:bCs/>
                <w:snapToGrid w:val="0"/>
                <w:sz w:val="18"/>
                <w:szCs w:val="18"/>
              </w:rPr>
            </w:pPr>
            <w:r w:rsidRPr="004337DF">
              <w:rPr>
                <w:rFonts w:asciiTheme="minorHAnsi" w:hAnsiTheme="minorHAnsi" w:cstheme="minorHAnsi"/>
                <w:bCs/>
                <w:snapToGrid w:val="0"/>
                <w:sz w:val="18"/>
                <w:szCs w:val="18"/>
              </w:rPr>
              <w:t>The PBAC advised that the March 2019 recommendation could be revoked.</w:t>
            </w:r>
          </w:p>
        </w:tc>
      </w:tr>
      <w:tr w:rsidR="004337DF" w:rsidRPr="00015520" w14:paraId="408FF98A"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9777429" w14:textId="19ADC1A4"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ENOXAPARIN</w:t>
            </w:r>
          </w:p>
          <w:p w14:paraId="39EA6E8B" w14:textId="77777777" w:rsidR="00B57CDA" w:rsidRPr="00015520" w:rsidRDefault="00B57CDA" w:rsidP="00851AFC">
            <w:pPr>
              <w:jc w:val="center"/>
              <w:rPr>
                <w:rFonts w:asciiTheme="minorHAnsi" w:hAnsiTheme="minorHAnsi" w:cstheme="minorHAnsi"/>
                <w:sz w:val="18"/>
                <w:szCs w:val="18"/>
              </w:rPr>
            </w:pPr>
          </w:p>
          <w:p w14:paraId="56B01D6A" w14:textId="7A04BC87" w:rsidR="004337DF" w:rsidRPr="00015520" w:rsidRDefault="004337DF" w:rsidP="00B57CDA">
            <w:pPr>
              <w:jc w:val="center"/>
              <w:rPr>
                <w:rFonts w:asciiTheme="minorHAnsi" w:hAnsiTheme="minorHAnsi" w:cstheme="minorHAnsi"/>
                <w:sz w:val="18"/>
                <w:szCs w:val="18"/>
              </w:rPr>
            </w:pPr>
            <w:r w:rsidRPr="00015520">
              <w:rPr>
                <w:rFonts w:asciiTheme="minorHAnsi" w:hAnsiTheme="minorHAnsi" w:cstheme="minorHAnsi"/>
                <w:sz w:val="18"/>
                <w:szCs w:val="18"/>
              </w:rPr>
              <w:t>Injection containing enoxaparin sodium 120 mg (12,000 I.U. anti-</w:t>
            </w:r>
            <w:proofErr w:type="spellStart"/>
            <w:r w:rsidRPr="00015520">
              <w:rPr>
                <w:rFonts w:asciiTheme="minorHAnsi" w:hAnsiTheme="minorHAnsi" w:cstheme="minorHAnsi"/>
                <w:sz w:val="18"/>
                <w:szCs w:val="18"/>
              </w:rPr>
              <w:t>Xa</w:t>
            </w:r>
            <w:proofErr w:type="spellEnd"/>
            <w:r w:rsidRPr="00015520">
              <w:rPr>
                <w:rFonts w:asciiTheme="minorHAnsi" w:hAnsiTheme="minorHAnsi" w:cstheme="minorHAnsi"/>
                <w:sz w:val="18"/>
                <w:szCs w:val="18"/>
              </w:rPr>
              <w:t>) in 0.8</w:t>
            </w:r>
            <w:r>
              <w:rPr>
                <w:rFonts w:asciiTheme="minorHAnsi" w:hAnsiTheme="minorHAnsi" w:cstheme="minorHAnsi"/>
                <w:sz w:val="18"/>
                <w:szCs w:val="18"/>
              </w:rPr>
              <w:t> </w:t>
            </w:r>
            <w:r w:rsidRPr="00015520">
              <w:rPr>
                <w:rFonts w:asciiTheme="minorHAnsi" w:hAnsiTheme="minorHAnsi" w:cstheme="minorHAnsi"/>
                <w:sz w:val="18"/>
                <w:szCs w:val="18"/>
              </w:rPr>
              <w:t>mL pre-filled syringe</w:t>
            </w:r>
          </w:p>
          <w:p w14:paraId="3D654127" w14:textId="6A92B8C3"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Injection containing enoxaparin sodium 150 mg (15,000 I.U. anti-</w:t>
            </w:r>
            <w:proofErr w:type="spellStart"/>
            <w:r w:rsidRPr="00015520">
              <w:rPr>
                <w:rFonts w:asciiTheme="minorHAnsi" w:hAnsiTheme="minorHAnsi" w:cstheme="minorHAnsi"/>
                <w:sz w:val="18"/>
                <w:szCs w:val="18"/>
              </w:rPr>
              <w:t>Xa</w:t>
            </w:r>
            <w:proofErr w:type="spellEnd"/>
            <w:r w:rsidRPr="00015520">
              <w:rPr>
                <w:rFonts w:asciiTheme="minorHAnsi" w:hAnsiTheme="minorHAnsi" w:cstheme="minorHAnsi"/>
                <w:sz w:val="18"/>
                <w:szCs w:val="18"/>
              </w:rPr>
              <w:t>) in 1</w:t>
            </w:r>
            <w:r>
              <w:rPr>
                <w:rFonts w:asciiTheme="minorHAnsi" w:hAnsiTheme="minorHAnsi" w:cstheme="minorHAnsi"/>
                <w:sz w:val="18"/>
                <w:szCs w:val="18"/>
              </w:rPr>
              <w:t> </w:t>
            </w:r>
            <w:r w:rsidRPr="00015520">
              <w:rPr>
                <w:rFonts w:asciiTheme="minorHAnsi" w:hAnsiTheme="minorHAnsi" w:cstheme="minorHAnsi"/>
                <w:sz w:val="18"/>
                <w:szCs w:val="18"/>
              </w:rPr>
              <w:t>mL pre-filled syringe</w:t>
            </w:r>
          </w:p>
          <w:p w14:paraId="19C6FCBD" w14:textId="77777777" w:rsidR="00B57CDA" w:rsidRPr="00015520" w:rsidRDefault="00B57CDA" w:rsidP="00851AFC">
            <w:pPr>
              <w:jc w:val="center"/>
              <w:rPr>
                <w:rFonts w:asciiTheme="minorHAnsi" w:hAnsiTheme="minorHAnsi" w:cstheme="minorHAnsi"/>
                <w:sz w:val="18"/>
                <w:szCs w:val="18"/>
              </w:rPr>
            </w:pPr>
          </w:p>
          <w:p w14:paraId="7081403E" w14:textId="7E514F9F"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Clexane Forte®</w:t>
            </w:r>
            <w:r w:rsidRPr="00015520">
              <w:rPr>
                <w:rFonts w:asciiTheme="minorHAnsi" w:hAnsiTheme="minorHAnsi" w:cstheme="minorHAnsi"/>
                <w:sz w:val="18"/>
                <w:szCs w:val="18"/>
              </w:rPr>
              <w:br/>
              <w:t>Enoxaparin Winthrop®</w:t>
            </w:r>
            <w:r w:rsidRPr="00015520">
              <w:rPr>
                <w:rFonts w:asciiTheme="minorHAnsi" w:hAnsiTheme="minorHAnsi" w:cstheme="minorHAnsi"/>
                <w:sz w:val="18"/>
                <w:szCs w:val="18"/>
              </w:rPr>
              <w:br/>
              <w:t>Clexane Forte Safety Lock®</w:t>
            </w:r>
          </w:p>
          <w:p w14:paraId="10688F0F" w14:textId="77777777" w:rsidR="00B57CDA" w:rsidRPr="00015520" w:rsidRDefault="00B57CDA" w:rsidP="00851AFC">
            <w:pPr>
              <w:jc w:val="center"/>
              <w:rPr>
                <w:rFonts w:asciiTheme="minorHAnsi" w:hAnsiTheme="minorHAnsi" w:cstheme="minorHAnsi"/>
                <w:sz w:val="18"/>
                <w:szCs w:val="18"/>
              </w:rPr>
            </w:pPr>
          </w:p>
          <w:p w14:paraId="6C9EC299" w14:textId="2DC353EB" w:rsidR="004337DF" w:rsidRPr="00015520" w:rsidRDefault="004337DF" w:rsidP="00851AFC">
            <w:pPr>
              <w:jc w:val="center"/>
              <w:rPr>
                <w:rFonts w:asciiTheme="minorHAnsi" w:hAnsiTheme="minorHAnsi" w:cstheme="minorHAnsi"/>
                <w:snapToGrid w:val="0"/>
                <w:sz w:val="18"/>
                <w:szCs w:val="18"/>
              </w:rPr>
            </w:pPr>
            <w:r w:rsidRPr="00015520">
              <w:rPr>
                <w:rFonts w:asciiTheme="minorHAnsi" w:hAnsiTheme="minorHAnsi" w:cstheme="minorHAnsi"/>
                <w:sz w:val="18"/>
                <w:szCs w:val="18"/>
              </w:rP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3867266" w14:textId="3B5C7E91" w:rsidR="004337DF" w:rsidRPr="00015520" w:rsidRDefault="004337DF" w:rsidP="00851AFC">
            <w:pPr>
              <w:widowControl w:val="0"/>
              <w:jc w:val="center"/>
              <w:rPr>
                <w:rFonts w:asciiTheme="minorHAnsi" w:hAnsiTheme="minorHAnsi" w:cstheme="minorHAnsi"/>
                <w:snapToGrid w:val="0"/>
                <w:sz w:val="18"/>
                <w:szCs w:val="18"/>
              </w:rPr>
            </w:pPr>
            <w:r w:rsidRPr="00015520">
              <w:rPr>
                <w:rFonts w:asciiTheme="minorHAnsi" w:hAnsiTheme="minorHAnsi" w:cstheme="minorHAnsi"/>
                <w:bCs/>
                <w:sz w:val="18"/>
                <w:szCs w:val="18"/>
              </w:rPr>
              <w:t>Antithrombotic agent</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61E1B01C" w:rsidR="004337DF" w:rsidRPr="00015520" w:rsidRDefault="004337DF" w:rsidP="00851AFC">
            <w:pPr>
              <w:widowControl w:val="0"/>
              <w:jc w:val="center"/>
              <w:rPr>
                <w:rFonts w:asciiTheme="minorHAnsi" w:hAnsiTheme="minorHAnsi" w:cstheme="minorHAnsi"/>
                <w:bCs/>
                <w:snapToGrid w:val="0"/>
                <w:color w:val="000000"/>
                <w:sz w:val="18"/>
                <w:szCs w:val="18"/>
              </w:rPr>
            </w:pPr>
            <w:r w:rsidRPr="00015520">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3D014800" w:rsidR="004337DF" w:rsidRPr="00015520" w:rsidRDefault="004337DF" w:rsidP="00851AFC">
            <w:pPr>
              <w:widowControl w:val="0"/>
              <w:jc w:val="center"/>
              <w:rPr>
                <w:rFonts w:asciiTheme="minorHAnsi" w:hAnsiTheme="minorHAnsi" w:cstheme="minorHAnsi"/>
                <w:bCs/>
                <w:snapToGrid w:val="0"/>
                <w:sz w:val="18"/>
                <w:szCs w:val="18"/>
              </w:rPr>
            </w:pPr>
            <w:r w:rsidRPr="004337DF">
              <w:rPr>
                <w:rFonts w:asciiTheme="minorHAnsi" w:hAnsiTheme="minorHAnsi" w:cstheme="minorHAnsi"/>
                <w:bCs/>
                <w:snapToGrid w:val="0"/>
                <w:sz w:val="18"/>
                <w:szCs w:val="18"/>
              </w:rPr>
              <w:t>The PBAC advised that the recommendation be extended for an additional 12 months.</w:t>
            </w:r>
          </w:p>
        </w:tc>
      </w:tr>
      <w:tr w:rsidR="004337DF" w:rsidRPr="00015520" w14:paraId="6B5DB65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6704B87" w14:textId="571215DE"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GUSELKUMAB</w:t>
            </w:r>
          </w:p>
          <w:p w14:paraId="6BDDC0C2" w14:textId="77777777" w:rsidR="00B57CDA" w:rsidRPr="00015520" w:rsidRDefault="00B57CDA" w:rsidP="00851AFC">
            <w:pPr>
              <w:jc w:val="center"/>
              <w:rPr>
                <w:rFonts w:asciiTheme="minorHAnsi" w:hAnsiTheme="minorHAnsi" w:cstheme="minorHAnsi"/>
                <w:sz w:val="18"/>
                <w:szCs w:val="18"/>
              </w:rPr>
            </w:pPr>
          </w:p>
          <w:p w14:paraId="7D0E657D" w14:textId="663AFE6E"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Solution for injection 100 mg in 1 mL pen device</w:t>
            </w:r>
          </w:p>
          <w:p w14:paraId="003FB5BB" w14:textId="77777777" w:rsidR="00B57CDA" w:rsidRPr="00015520" w:rsidRDefault="00B57CDA" w:rsidP="00851AFC">
            <w:pPr>
              <w:jc w:val="center"/>
              <w:rPr>
                <w:rFonts w:asciiTheme="minorHAnsi" w:hAnsiTheme="minorHAnsi" w:cstheme="minorHAnsi"/>
                <w:sz w:val="18"/>
                <w:szCs w:val="18"/>
              </w:rPr>
            </w:pPr>
          </w:p>
          <w:p w14:paraId="2C585862" w14:textId="34ABFA6C"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Tremfya®</w:t>
            </w:r>
          </w:p>
          <w:p w14:paraId="44B2D6BA" w14:textId="77777777" w:rsidR="00B57CDA" w:rsidRPr="00015520" w:rsidRDefault="00B57CDA" w:rsidP="00851AFC">
            <w:pPr>
              <w:jc w:val="center"/>
              <w:rPr>
                <w:rFonts w:asciiTheme="minorHAnsi" w:hAnsiTheme="minorHAnsi" w:cstheme="minorHAnsi"/>
                <w:sz w:val="18"/>
                <w:szCs w:val="18"/>
              </w:rPr>
            </w:pPr>
          </w:p>
          <w:p w14:paraId="3D138D7D" w14:textId="6770F41F" w:rsidR="004337DF" w:rsidRPr="00015520" w:rsidRDefault="004337DF" w:rsidP="00851AFC">
            <w:pPr>
              <w:jc w:val="center"/>
              <w:rPr>
                <w:rFonts w:asciiTheme="minorHAnsi" w:hAnsiTheme="minorHAnsi" w:cstheme="minorHAnsi"/>
                <w:snapToGrid w:val="0"/>
                <w:color w:val="FF0000"/>
                <w:sz w:val="18"/>
                <w:szCs w:val="18"/>
              </w:rPr>
            </w:pPr>
            <w:r w:rsidRPr="00015520">
              <w:rPr>
                <w:rFonts w:asciiTheme="minorHAnsi" w:hAnsiTheme="minorHAnsi" w:cstheme="minorHAnsi"/>
                <w:sz w:val="18"/>
                <w:szCs w:val="18"/>
              </w:rPr>
              <w:t>Janssen-</w:t>
            </w:r>
            <w:proofErr w:type="spellStart"/>
            <w:r w:rsidRPr="00015520">
              <w:rPr>
                <w:rFonts w:asciiTheme="minorHAnsi" w:hAnsiTheme="minorHAnsi" w:cstheme="minorHAnsi"/>
                <w:sz w:val="18"/>
                <w:szCs w:val="18"/>
              </w:rPr>
              <w:t>Cilag</w:t>
            </w:r>
            <w:proofErr w:type="spellEnd"/>
            <w:r w:rsidRPr="00015520">
              <w:rPr>
                <w:rFonts w:asciiTheme="minorHAnsi" w:hAnsiTheme="minorHAnsi" w:cstheme="minorHAnsi"/>
                <w:sz w:val="18"/>
                <w:szCs w:val="18"/>
              </w:rPr>
              <w:t xml:space="preserv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1DF2D5D0" w:rsidR="004337DF" w:rsidRPr="00015520" w:rsidRDefault="004337DF" w:rsidP="00851AFC">
            <w:pPr>
              <w:widowControl w:val="0"/>
              <w:jc w:val="center"/>
              <w:rPr>
                <w:rFonts w:asciiTheme="minorHAnsi" w:hAnsiTheme="minorHAnsi" w:cstheme="minorHAnsi"/>
                <w:snapToGrid w:val="0"/>
                <w:color w:val="FF0000"/>
                <w:sz w:val="18"/>
                <w:szCs w:val="18"/>
              </w:rPr>
            </w:pPr>
            <w:r w:rsidRPr="00015520">
              <w:rPr>
                <w:rFonts w:asciiTheme="minorHAnsi" w:hAnsiTheme="minorHAnsi" w:cstheme="minorHAnsi"/>
                <w:bCs/>
                <w:sz w:val="18"/>
                <w:szCs w:val="18"/>
              </w:rPr>
              <w:t>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3629D3CB" w:rsidR="004337DF" w:rsidRPr="00015520" w:rsidRDefault="004337DF" w:rsidP="00851AFC">
            <w:pPr>
              <w:widowControl w:val="0"/>
              <w:jc w:val="center"/>
              <w:rPr>
                <w:rFonts w:asciiTheme="minorHAnsi" w:hAnsiTheme="minorHAnsi" w:cstheme="minorHAnsi"/>
                <w:bCs/>
                <w:snapToGrid w:val="0"/>
                <w:color w:val="000000"/>
                <w:sz w:val="18"/>
                <w:szCs w:val="18"/>
              </w:rPr>
            </w:pPr>
            <w:r w:rsidRPr="00015520">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030EDB45" w:rsidR="004337DF" w:rsidRPr="00015520" w:rsidRDefault="004337DF" w:rsidP="00851AFC">
            <w:pPr>
              <w:widowControl w:val="0"/>
              <w:jc w:val="center"/>
              <w:rPr>
                <w:rFonts w:asciiTheme="minorHAnsi" w:hAnsiTheme="minorHAnsi" w:cstheme="minorHAnsi"/>
                <w:bCs/>
                <w:snapToGrid w:val="0"/>
                <w:sz w:val="18"/>
                <w:szCs w:val="18"/>
              </w:rPr>
            </w:pPr>
            <w:r w:rsidRPr="004337DF">
              <w:rPr>
                <w:rFonts w:asciiTheme="minorHAnsi" w:hAnsiTheme="minorHAnsi" w:cstheme="minorHAnsi"/>
                <w:bCs/>
                <w:snapToGrid w:val="0"/>
                <w:sz w:val="18"/>
                <w:szCs w:val="18"/>
              </w:rPr>
              <w:t>The PBAC advised that the July 2020 recommendation could be revoked, noting that there was an alternate presentation of the product listed on the PBS.</w:t>
            </w:r>
          </w:p>
        </w:tc>
      </w:tr>
      <w:tr w:rsidR="004337DF" w:rsidRPr="00015520" w14:paraId="7A38C97D"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3B9558C" w14:textId="59318A9E"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lastRenderedPageBreak/>
              <w:t>INSULIN ASPART</w:t>
            </w:r>
          </w:p>
          <w:p w14:paraId="5C9FC483" w14:textId="77777777" w:rsidR="00B57CDA" w:rsidRPr="00015520" w:rsidRDefault="00B57CDA" w:rsidP="00851AFC">
            <w:pPr>
              <w:jc w:val="center"/>
              <w:rPr>
                <w:rFonts w:asciiTheme="minorHAnsi" w:hAnsiTheme="minorHAnsi" w:cstheme="minorHAnsi"/>
                <w:sz w:val="18"/>
                <w:szCs w:val="18"/>
              </w:rPr>
            </w:pPr>
          </w:p>
          <w:p w14:paraId="78139B2C" w14:textId="774DBB14" w:rsidR="004337DF" w:rsidRDefault="004337DF" w:rsidP="00A61C56">
            <w:pPr>
              <w:jc w:val="center"/>
              <w:rPr>
                <w:rFonts w:asciiTheme="minorHAnsi" w:hAnsiTheme="minorHAnsi" w:cstheme="minorHAnsi"/>
                <w:sz w:val="18"/>
                <w:szCs w:val="18"/>
              </w:rPr>
            </w:pPr>
            <w:r w:rsidRPr="00015520">
              <w:rPr>
                <w:rFonts w:asciiTheme="minorHAnsi" w:hAnsiTheme="minorHAnsi" w:cstheme="minorHAnsi"/>
                <w:sz w:val="18"/>
                <w:szCs w:val="18"/>
              </w:rPr>
              <w:t xml:space="preserve">Injections (human analogue), cartridges, </w:t>
            </w:r>
            <w:r w:rsidR="0003017D" w:rsidRPr="00015520">
              <w:rPr>
                <w:rFonts w:asciiTheme="minorHAnsi" w:hAnsiTheme="minorHAnsi" w:cstheme="minorHAnsi"/>
                <w:sz w:val="18"/>
                <w:szCs w:val="18"/>
              </w:rPr>
              <w:t>100</w:t>
            </w:r>
            <w:r w:rsidR="0003017D">
              <w:rPr>
                <w:rFonts w:asciiTheme="minorHAnsi" w:hAnsiTheme="minorHAnsi" w:cstheme="minorHAnsi"/>
                <w:sz w:val="18"/>
                <w:szCs w:val="18"/>
              </w:rPr>
              <w:t> </w:t>
            </w:r>
            <w:r w:rsidRPr="00015520">
              <w:rPr>
                <w:rFonts w:asciiTheme="minorHAnsi" w:hAnsiTheme="minorHAnsi" w:cstheme="minorHAnsi"/>
                <w:sz w:val="18"/>
                <w:szCs w:val="18"/>
              </w:rPr>
              <w:t>units per mL, 3</w:t>
            </w:r>
            <w:r>
              <w:rPr>
                <w:rFonts w:asciiTheme="minorHAnsi" w:hAnsiTheme="minorHAnsi" w:cstheme="minorHAnsi"/>
                <w:sz w:val="18"/>
                <w:szCs w:val="18"/>
              </w:rPr>
              <w:t> </w:t>
            </w:r>
            <w:r w:rsidRPr="00015520">
              <w:rPr>
                <w:rFonts w:asciiTheme="minorHAnsi" w:hAnsiTheme="minorHAnsi" w:cstheme="minorHAnsi"/>
                <w:sz w:val="18"/>
                <w:szCs w:val="18"/>
              </w:rPr>
              <w:t>mL</w:t>
            </w:r>
          </w:p>
          <w:p w14:paraId="28B1656E" w14:textId="77777777" w:rsidR="00B57CDA" w:rsidRPr="00015520" w:rsidRDefault="00B57CDA" w:rsidP="00851AFC">
            <w:pPr>
              <w:jc w:val="center"/>
              <w:rPr>
                <w:rFonts w:asciiTheme="minorHAnsi" w:hAnsiTheme="minorHAnsi" w:cstheme="minorHAnsi"/>
                <w:sz w:val="18"/>
                <w:szCs w:val="18"/>
              </w:rPr>
            </w:pPr>
          </w:p>
          <w:p w14:paraId="2334D37C" w14:textId="6CF6C5B2" w:rsidR="004337DF" w:rsidRDefault="004337DF" w:rsidP="00A61C56">
            <w:pPr>
              <w:jc w:val="center"/>
              <w:rPr>
                <w:rFonts w:asciiTheme="minorHAnsi" w:hAnsiTheme="minorHAnsi" w:cstheme="minorHAnsi"/>
                <w:sz w:val="18"/>
                <w:szCs w:val="18"/>
              </w:rPr>
            </w:pPr>
            <w:proofErr w:type="spellStart"/>
            <w:r w:rsidRPr="00015520">
              <w:rPr>
                <w:rFonts w:asciiTheme="minorHAnsi" w:hAnsiTheme="minorHAnsi" w:cstheme="minorHAnsi"/>
                <w:sz w:val="18"/>
                <w:szCs w:val="18"/>
              </w:rPr>
              <w:t>Fiasp</w:t>
            </w:r>
            <w:proofErr w:type="spellEnd"/>
            <w:r w:rsidRPr="00015520">
              <w:rPr>
                <w:rFonts w:asciiTheme="minorHAnsi" w:hAnsiTheme="minorHAnsi" w:cstheme="minorHAnsi"/>
                <w:sz w:val="18"/>
                <w:szCs w:val="18"/>
              </w:rPr>
              <w:t>®</w:t>
            </w:r>
          </w:p>
          <w:p w14:paraId="520B3600" w14:textId="77777777" w:rsidR="00B57CDA" w:rsidRPr="00015520" w:rsidRDefault="00B57CDA" w:rsidP="00851AFC">
            <w:pPr>
              <w:jc w:val="center"/>
              <w:rPr>
                <w:rFonts w:asciiTheme="minorHAnsi" w:hAnsiTheme="minorHAnsi" w:cstheme="minorHAnsi"/>
                <w:sz w:val="18"/>
                <w:szCs w:val="18"/>
              </w:rPr>
            </w:pPr>
          </w:p>
          <w:p w14:paraId="2D6D1C58" w14:textId="6C9E433E" w:rsidR="004337DF" w:rsidRPr="00015520" w:rsidRDefault="004337DF" w:rsidP="00851AFC">
            <w:pPr>
              <w:jc w:val="center"/>
              <w:rPr>
                <w:rFonts w:asciiTheme="minorHAnsi" w:hAnsiTheme="minorHAnsi" w:cstheme="minorHAnsi"/>
                <w:sz w:val="18"/>
                <w:szCs w:val="18"/>
              </w:rPr>
            </w:pPr>
            <w:r w:rsidRPr="00015520">
              <w:rPr>
                <w:rFonts w:asciiTheme="minorHAnsi" w:hAnsiTheme="minorHAnsi" w:cstheme="minorHAnsi"/>
                <w:sz w:val="18"/>
                <w:szCs w:val="18"/>
              </w:rPr>
              <w:t>Novo Nordisk Pharmaceuticals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DE5216D" w14:textId="43FCDA36" w:rsidR="004337DF" w:rsidRPr="00015520" w:rsidRDefault="004337DF" w:rsidP="00851AFC">
            <w:pPr>
              <w:widowControl w:val="0"/>
              <w:jc w:val="center"/>
              <w:rPr>
                <w:rFonts w:asciiTheme="minorHAnsi" w:hAnsiTheme="minorHAnsi" w:cstheme="minorHAnsi"/>
                <w:sz w:val="18"/>
                <w:szCs w:val="18"/>
              </w:rPr>
            </w:pPr>
            <w:r w:rsidRPr="00015520">
              <w:rPr>
                <w:rFonts w:asciiTheme="minorHAnsi" w:hAnsiTheme="minorHAnsi" w:cstheme="minorHAnsi"/>
                <w:bCs/>
                <w:sz w:val="18"/>
                <w:szCs w:val="18"/>
              </w:rPr>
              <w:t>Diabetes mellitus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403B0C" w14:textId="59C41EAF" w:rsidR="004337DF" w:rsidRPr="00015520" w:rsidRDefault="004337DF" w:rsidP="00851AFC">
            <w:pPr>
              <w:widowControl w:val="0"/>
              <w:jc w:val="center"/>
              <w:rPr>
                <w:rFonts w:asciiTheme="minorHAnsi" w:hAnsiTheme="minorHAnsi" w:cstheme="minorHAnsi"/>
                <w:sz w:val="18"/>
                <w:szCs w:val="18"/>
              </w:rPr>
            </w:pPr>
            <w:r w:rsidRPr="00015520">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D261D24" w14:textId="3B0B24E4" w:rsidR="004337DF" w:rsidRPr="00015520" w:rsidRDefault="004337DF" w:rsidP="00851AFC">
            <w:pPr>
              <w:widowControl w:val="0"/>
              <w:jc w:val="center"/>
              <w:rPr>
                <w:rFonts w:asciiTheme="minorHAnsi" w:hAnsiTheme="minorHAnsi" w:cstheme="minorHAnsi"/>
                <w:sz w:val="18"/>
                <w:szCs w:val="18"/>
              </w:rPr>
            </w:pPr>
            <w:r w:rsidRPr="004337DF">
              <w:rPr>
                <w:rFonts w:asciiTheme="minorHAnsi" w:hAnsiTheme="minorHAnsi" w:cstheme="minorHAnsi"/>
                <w:sz w:val="18"/>
                <w:szCs w:val="18"/>
              </w:rPr>
              <w:t>The PBAC advised that the recommendation be extended for an additional 12 months.</w:t>
            </w:r>
          </w:p>
        </w:tc>
      </w:tr>
      <w:tr w:rsidR="004337DF" w:rsidRPr="00015520" w14:paraId="1879FAA0" w14:textId="77777777" w:rsidTr="0001638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C0471B" w14:textId="45BF0CE4" w:rsidR="004337DF" w:rsidRPr="00851AFC" w:rsidRDefault="004337DF" w:rsidP="00A61C56">
            <w:pPr>
              <w:jc w:val="center"/>
              <w:rPr>
                <w:rFonts w:asciiTheme="minorHAnsi" w:hAnsiTheme="minorHAnsi" w:cstheme="minorHAnsi"/>
                <w:sz w:val="18"/>
                <w:szCs w:val="18"/>
              </w:rPr>
            </w:pPr>
            <w:r w:rsidRPr="00851AFC">
              <w:rPr>
                <w:rFonts w:asciiTheme="minorHAnsi" w:hAnsiTheme="minorHAnsi" w:cstheme="minorHAnsi"/>
                <w:sz w:val="18"/>
                <w:szCs w:val="18"/>
              </w:rPr>
              <w:t>TRABECTEBIN</w:t>
            </w:r>
          </w:p>
          <w:p w14:paraId="4D5E5FC4" w14:textId="77777777" w:rsidR="00B57CDA" w:rsidRPr="00851AFC" w:rsidRDefault="00B57CDA" w:rsidP="00851AFC">
            <w:pPr>
              <w:jc w:val="center"/>
              <w:rPr>
                <w:rFonts w:asciiTheme="minorHAnsi" w:hAnsiTheme="minorHAnsi" w:cstheme="minorHAnsi"/>
                <w:sz w:val="18"/>
                <w:szCs w:val="18"/>
              </w:rPr>
            </w:pPr>
          </w:p>
          <w:p w14:paraId="7A74B238" w14:textId="031E063D" w:rsidR="004337DF" w:rsidRPr="00851AFC" w:rsidRDefault="004337DF" w:rsidP="00B57CDA">
            <w:pPr>
              <w:jc w:val="center"/>
              <w:rPr>
                <w:rFonts w:asciiTheme="minorHAnsi" w:hAnsiTheme="minorHAnsi" w:cstheme="minorHAnsi"/>
                <w:sz w:val="18"/>
                <w:szCs w:val="18"/>
              </w:rPr>
            </w:pPr>
            <w:r w:rsidRPr="00851AFC">
              <w:rPr>
                <w:rFonts w:asciiTheme="minorHAnsi" w:hAnsiTheme="minorHAnsi" w:cstheme="minorHAnsi"/>
                <w:sz w:val="18"/>
                <w:szCs w:val="18"/>
              </w:rPr>
              <w:t>Powder for I.V. infusion 0.25 mg</w:t>
            </w:r>
          </w:p>
          <w:p w14:paraId="31E20004" w14:textId="77777777" w:rsidR="00B57CDA" w:rsidRPr="00851AFC" w:rsidRDefault="00B57CDA" w:rsidP="00B57CDA">
            <w:pPr>
              <w:jc w:val="center"/>
              <w:rPr>
                <w:rFonts w:asciiTheme="minorHAnsi" w:hAnsiTheme="minorHAnsi" w:cstheme="minorHAnsi"/>
                <w:sz w:val="18"/>
                <w:szCs w:val="18"/>
              </w:rPr>
            </w:pPr>
          </w:p>
          <w:p w14:paraId="69E5FF42" w14:textId="1378FF2E" w:rsidR="004337DF" w:rsidRPr="00851AFC" w:rsidRDefault="004337DF" w:rsidP="00A61C56">
            <w:pPr>
              <w:jc w:val="center"/>
              <w:rPr>
                <w:rFonts w:asciiTheme="minorHAnsi" w:hAnsiTheme="minorHAnsi" w:cstheme="minorHAnsi"/>
                <w:sz w:val="18"/>
                <w:szCs w:val="18"/>
              </w:rPr>
            </w:pPr>
            <w:proofErr w:type="spellStart"/>
            <w:r w:rsidRPr="00851AFC">
              <w:rPr>
                <w:rFonts w:asciiTheme="minorHAnsi" w:hAnsiTheme="minorHAnsi" w:cstheme="minorHAnsi"/>
                <w:sz w:val="18"/>
                <w:szCs w:val="18"/>
              </w:rPr>
              <w:t>Yondelis</w:t>
            </w:r>
            <w:proofErr w:type="spellEnd"/>
            <w:r w:rsidRPr="00851AFC">
              <w:rPr>
                <w:rFonts w:asciiTheme="minorHAnsi" w:hAnsiTheme="minorHAnsi" w:cstheme="minorHAnsi"/>
                <w:sz w:val="18"/>
                <w:szCs w:val="18"/>
              </w:rPr>
              <w:t>®</w:t>
            </w:r>
          </w:p>
          <w:p w14:paraId="23E23DF6" w14:textId="77777777" w:rsidR="00B57CDA" w:rsidRPr="00851AFC" w:rsidRDefault="00B57CDA" w:rsidP="00851AFC">
            <w:pPr>
              <w:jc w:val="center"/>
              <w:rPr>
                <w:rFonts w:asciiTheme="minorHAnsi" w:hAnsiTheme="minorHAnsi" w:cstheme="minorHAnsi"/>
                <w:sz w:val="18"/>
                <w:szCs w:val="18"/>
              </w:rPr>
            </w:pPr>
          </w:p>
          <w:p w14:paraId="73A16BC9" w14:textId="6E3EF249" w:rsidR="004337DF" w:rsidRPr="00851AFC" w:rsidRDefault="004337DF" w:rsidP="00851AFC">
            <w:pPr>
              <w:jc w:val="center"/>
              <w:rPr>
                <w:rFonts w:asciiTheme="minorHAnsi" w:hAnsiTheme="minorHAnsi" w:cstheme="minorHAnsi"/>
                <w:sz w:val="18"/>
                <w:szCs w:val="18"/>
              </w:rPr>
            </w:pPr>
            <w:r w:rsidRPr="00851AFC">
              <w:rPr>
                <w:rFonts w:asciiTheme="minorHAnsi" w:hAnsiTheme="minorHAnsi" w:cstheme="minorHAnsi"/>
                <w:sz w:val="18"/>
                <w:szCs w:val="18"/>
              </w:rPr>
              <w:t>Specialised Therapeutics Pharma Pty Ltd</w:t>
            </w:r>
          </w:p>
        </w:tc>
        <w:tc>
          <w:tcPr>
            <w:tcW w:w="1243"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2B0E0A1" w14:textId="17A133ED" w:rsidR="004337DF" w:rsidRPr="00851AFC" w:rsidRDefault="004337DF" w:rsidP="00851AFC">
            <w:pPr>
              <w:widowControl w:val="0"/>
              <w:jc w:val="center"/>
              <w:rPr>
                <w:rFonts w:asciiTheme="minorHAnsi" w:hAnsiTheme="minorHAnsi" w:cstheme="minorHAnsi"/>
                <w:bCs/>
                <w:sz w:val="18"/>
                <w:szCs w:val="18"/>
              </w:rPr>
            </w:pPr>
            <w:r w:rsidRPr="00851AFC">
              <w:rPr>
                <w:rFonts w:asciiTheme="minorHAnsi" w:hAnsiTheme="minorHAnsi" w:cstheme="minorHAnsi"/>
                <w:sz w:val="18"/>
                <w:szCs w:val="18"/>
              </w:rPr>
              <w:t>Leiomyosarcoma</w:t>
            </w:r>
          </w:p>
        </w:tc>
        <w:tc>
          <w:tcPr>
            <w:tcW w:w="119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6A63577" w14:textId="301D3C5E" w:rsidR="004337DF" w:rsidRPr="00851AFC" w:rsidRDefault="004337DF" w:rsidP="00851AFC">
            <w:pPr>
              <w:jc w:val="center"/>
              <w:rPr>
                <w:rFonts w:asciiTheme="minorHAnsi" w:hAnsiTheme="minorHAnsi" w:cstheme="minorHAnsi"/>
                <w:sz w:val="18"/>
                <w:szCs w:val="18"/>
              </w:rPr>
            </w:pPr>
            <w:r w:rsidRPr="00851AF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CD66957" w14:textId="1F153247" w:rsidR="00EB2737" w:rsidRDefault="00EB2737" w:rsidP="00851AFC">
            <w:pPr>
              <w:widowControl w:val="0"/>
              <w:jc w:val="center"/>
              <w:rPr>
                <w:rFonts w:asciiTheme="minorHAnsi" w:hAnsiTheme="minorHAnsi" w:cstheme="minorHAnsi"/>
                <w:sz w:val="18"/>
                <w:szCs w:val="18"/>
              </w:rPr>
            </w:pPr>
            <w:r w:rsidRPr="00EB2737">
              <w:rPr>
                <w:rFonts w:asciiTheme="minorHAnsi" w:hAnsiTheme="minorHAnsi" w:cstheme="minorHAnsi"/>
                <w:sz w:val="18"/>
                <w:szCs w:val="18"/>
              </w:rPr>
              <w:t>This item was withdrawn.</w:t>
            </w:r>
          </w:p>
          <w:p w14:paraId="515DD9D1" w14:textId="68FD2A7C" w:rsidR="004337DF" w:rsidRPr="00015520" w:rsidRDefault="00EB2737" w:rsidP="00851AFC">
            <w:pPr>
              <w:widowControl w:val="0"/>
              <w:jc w:val="center"/>
              <w:rPr>
                <w:rFonts w:asciiTheme="minorHAnsi" w:hAnsiTheme="minorHAnsi" w:cstheme="minorHAnsi"/>
                <w:sz w:val="18"/>
                <w:szCs w:val="18"/>
              </w:rPr>
            </w:pPr>
            <w:r>
              <w:rPr>
                <w:rFonts w:asciiTheme="minorHAnsi" w:hAnsiTheme="minorHAnsi" w:cstheme="minorHAnsi"/>
                <w:sz w:val="18"/>
                <w:szCs w:val="18"/>
              </w:rPr>
              <w:t>L</w:t>
            </w:r>
            <w:r w:rsidR="00B57CDA" w:rsidRPr="00016386">
              <w:rPr>
                <w:rFonts w:asciiTheme="minorHAnsi" w:hAnsiTheme="minorHAnsi" w:cstheme="minorHAnsi"/>
                <w:sz w:val="18"/>
                <w:szCs w:val="18"/>
              </w:rPr>
              <w:t>isting arrangements are currently under consideration.</w:t>
            </w:r>
          </w:p>
        </w:tc>
      </w:tr>
    </w:tbl>
    <w:p w14:paraId="2FD4C11F" w14:textId="7EA68E21" w:rsidR="00FB3935" w:rsidRPr="00015520" w:rsidRDefault="00FB3935" w:rsidP="002F2228">
      <w:pPr>
        <w:rPr>
          <w:rFonts w:asciiTheme="minorHAnsi" w:hAnsiTheme="minorHAnsi" w:cstheme="minorHAnsi"/>
          <w:sz w:val="18"/>
          <w:szCs w:val="18"/>
        </w:rPr>
      </w:pPr>
    </w:p>
    <w:p w14:paraId="237E7119" w14:textId="4574191B" w:rsidR="000F6F0D" w:rsidRPr="00015520" w:rsidRDefault="000F6F0D" w:rsidP="002F2228">
      <w:pPr>
        <w:rPr>
          <w:rFonts w:asciiTheme="minorHAnsi" w:hAnsiTheme="minorHAnsi" w:cstheme="minorHAnsi"/>
          <w:sz w:val="18"/>
          <w:szCs w:val="18"/>
        </w:rPr>
      </w:pPr>
    </w:p>
    <w:p w14:paraId="511B88D5" w14:textId="196217C3" w:rsidR="003E0E09" w:rsidRPr="00015520" w:rsidRDefault="003E0E09" w:rsidP="002F2228">
      <w:pPr>
        <w:ind w:left="360"/>
        <w:rPr>
          <w:rFonts w:asciiTheme="minorHAnsi" w:hAnsiTheme="minorHAnsi" w:cstheme="minorHAnsi"/>
          <w:bCs/>
          <w:sz w:val="18"/>
          <w:szCs w:val="18"/>
          <w:lang w:val="en-US"/>
        </w:rPr>
      </w:pPr>
      <w:r w:rsidRPr="00015520">
        <w:rPr>
          <w:rFonts w:asciiTheme="minorHAnsi" w:hAnsiTheme="minorHAnsi" w:cstheme="minorHAnsi"/>
          <w:bCs/>
          <w:sz w:val="18"/>
          <w:szCs w:val="18"/>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839"/>
        <w:gridCol w:w="8168"/>
      </w:tblGrid>
      <w:tr w:rsidR="002F2228" w:rsidRPr="00015520" w14:paraId="7FB72931" w14:textId="77777777" w:rsidTr="00344F5B">
        <w:trPr>
          <w:cantSplit/>
          <w:trHeight w:val="58"/>
          <w:tblHeader/>
        </w:trPr>
        <w:tc>
          <w:tcPr>
            <w:tcW w:w="873" w:type="pct"/>
            <w:shd w:val="clear" w:color="auto" w:fill="auto"/>
            <w:vAlign w:val="center"/>
          </w:tcPr>
          <w:p w14:paraId="50048F5E" w14:textId="77777777" w:rsidR="002F2228" w:rsidRPr="00015520" w:rsidRDefault="002F2228" w:rsidP="00344F5B">
            <w:pPr>
              <w:keepLines/>
              <w:widowControl w:val="0"/>
              <w:jc w:val="center"/>
              <w:rPr>
                <w:rFonts w:asciiTheme="minorHAnsi" w:hAnsiTheme="minorHAnsi" w:cstheme="minorHAnsi"/>
                <w:b/>
                <w:sz w:val="18"/>
                <w:szCs w:val="18"/>
              </w:rPr>
            </w:pPr>
            <w:r w:rsidRPr="00015520">
              <w:rPr>
                <w:rFonts w:asciiTheme="minorHAnsi" w:hAnsiTheme="minorHAnsi" w:cstheme="minorHAnsi"/>
                <w:b/>
                <w:sz w:val="18"/>
                <w:szCs w:val="18"/>
              </w:rPr>
              <w:lastRenderedPageBreak/>
              <w:t>DRUG NAME, FORM(S), STRENGTH(S), SPONSOR, TYPE OF SUBMISSION</w:t>
            </w:r>
          </w:p>
        </w:tc>
        <w:tc>
          <w:tcPr>
            <w:tcW w:w="552" w:type="pct"/>
            <w:shd w:val="clear" w:color="auto" w:fill="auto"/>
            <w:vAlign w:val="center"/>
          </w:tcPr>
          <w:p w14:paraId="59FCD99F" w14:textId="77777777" w:rsidR="002F2228" w:rsidRPr="00015520" w:rsidRDefault="002F2228" w:rsidP="00344F5B">
            <w:pPr>
              <w:keepLines/>
              <w:widowControl w:val="0"/>
              <w:jc w:val="center"/>
              <w:rPr>
                <w:rFonts w:asciiTheme="minorHAnsi" w:hAnsiTheme="minorHAnsi" w:cstheme="minorHAnsi"/>
                <w:b/>
                <w:sz w:val="18"/>
                <w:szCs w:val="18"/>
              </w:rPr>
            </w:pPr>
            <w:r w:rsidRPr="00015520">
              <w:rPr>
                <w:rFonts w:asciiTheme="minorHAnsi" w:hAnsiTheme="minorHAnsi" w:cstheme="minorHAnsi"/>
                <w:b/>
                <w:sz w:val="18"/>
                <w:szCs w:val="18"/>
              </w:rPr>
              <w:t>DRUG TYPE AND USE</w:t>
            </w:r>
          </w:p>
        </w:tc>
        <w:tc>
          <w:tcPr>
            <w:tcW w:w="922" w:type="pct"/>
            <w:shd w:val="clear" w:color="auto" w:fill="auto"/>
            <w:vAlign w:val="center"/>
          </w:tcPr>
          <w:p w14:paraId="543585BF" w14:textId="77777777" w:rsidR="002F2228" w:rsidRPr="00015520" w:rsidRDefault="002F2228" w:rsidP="00344F5B">
            <w:pPr>
              <w:keepLines/>
              <w:widowControl w:val="0"/>
              <w:jc w:val="center"/>
              <w:rPr>
                <w:rFonts w:asciiTheme="minorHAnsi" w:hAnsiTheme="minorHAnsi" w:cstheme="minorHAnsi"/>
                <w:b/>
                <w:sz w:val="18"/>
                <w:szCs w:val="18"/>
              </w:rPr>
            </w:pPr>
            <w:r w:rsidRPr="00015520">
              <w:rPr>
                <w:rFonts w:asciiTheme="minorHAnsi" w:hAnsiTheme="minorHAnsi" w:cstheme="minorHAnsi"/>
                <w:b/>
                <w:sz w:val="18"/>
                <w:szCs w:val="18"/>
              </w:rPr>
              <w:t>LISTING REQUESTED BY SPONSOR / PURPOSE OF SUBMISSION</w:t>
            </w:r>
          </w:p>
        </w:tc>
        <w:tc>
          <w:tcPr>
            <w:tcW w:w="2653" w:type="pct"/>
            <w:shd w:val="clear" w:color="auto" w:fill="auto"/>
            <w:vAlign w:val="center"/>
          </w:tcPr>
          <w:p w14:paraId="2458DA30" w14:textId="77777777" w:rsidR="002F2228" w:rsidRPr="00015520" w:rsidRDefault="002F2228" w:rsidP="00344F5B">
            <w:pPr>
              <w:keepLines/>
              <w:jc w:val="center"/>
              <w:rPr>
                <w:rFonts w:asciiTheme="minorHAnsi" w:hAnsiTheme="minorHAnsi" w:cstheme="minorHAnsi"/>
                <w:b/>
                <w:sz w:val="18"/>
                <w:szCs w:val="18"/>
              </w:rPr>
            </w:pPr>
            <w:r w:rsidRPr="00015520">
              <w:rPr>
                <w:rFonts w:asciiTheme="minorHAnsi" w:hAnsiTheme="minorHAnsi" w:cstheme="minorHAnsi"/>
                <w:b/>
                <w:sz w:val="18"/>
                <w:szCs w:val="18"/>
              </w:rPr>
              <w:t>PBAC OUTCOME</w:t>
            </w:r>
          </w:p>
        </w:tc>
      </w:tr>
      <w:tr w:rsidR="00666C67" w:rsidRPr="00015520" w14:paraId="695A9994" w14:textId="77777777" w:rsidTr="00851AFC">
        <w:trPr>
          <w:cantSplit/>
          <w:trHeight w:val="58"/>
        </w:trPr>
        <w:tc>
          <w:tcPr>
            <w:tcW w:w="873" w:type="pct"/>
            <w:shd w:val="clear" w:color="auto" w:fill="auto"/>
            <w:vAlign w:val="center"/>
          </w:tcPr>
          <w:p w14:paraId="7F6498AA" w14:textId="77777777" w:rsidR="00666C67" w:rsidRDefault="00666C67" w:rsidP="00666C67">
            <w:pPr>
              <w:jc w:val="center"/>
              <w:rPr>
                <w:rFonts w:asciiTheme="minorHAnsi" w:hAnsiTheme="minorHAnsi" w:cstheme="minorHAnsi"/>
                <w:sz w:val="18"/>
                <w:szCs w:val="18"/>
              </w:rPr>
            </w:pPr>
            <w:r w:rsidRPr="00851AFC">
              <w:rPr>
                <w:rFonts w:asciiTheme="minorHAnsi" w:hAnsiTheme="minorHAnsi" w:cstheme="minorHAnsi"/>
                <w:sz w:val="18"/>
                <w:szCs w:val="18"/>
              </w:rPr>
              <w:t>CANCER MEDICINES</w:t>
            </w:r>
          </w:p>
          <w:p w14:paraId="7E417DB2" w14:textId="77777777" w:rsidR="00666C67" w:rsidRDefault="00666C67" w:rsidP="00666C67">
            <w:pPr>
              <w:jc w:val="center"/>
              <w:rPr>
                <w:rFonts w:asciiTheme="minorHAnsi" w:hAnsiTheme="minorHAnsi" w:cstheme="minorHAnsi"/>
                <w:sz w:val="18"/>
                <w:szCs w:val="18"/>
              </w:rPr>
            </w:pPr>
          </w:p>
          <w:p w14:paraId="43BC3B2B" w14:textId="5C9FE6DF" w:rsidR="00666C67" w:rsidRDefault="00666C67" w:rsidP="00666C67">
            <w:pPr>
              <w:jc w:val="center"/>
              <w:rPr>
                <w:rFonts w:asciiTheme="minorHAnsi" w:hAnsiTheme="minorHAnsi" w:cstheme="minorHAnsi"/>
                <w:sz w:val="18"/>
                <w:szCs w:val="18"/>
              </w:rPr>
            </w:pPr>
            <w:r w:rsidRPr="00851AFC">
              <w:rPr>
                <w:rFonts w:asciiTheme="minorHAnsi" w:hAnsiTheme="minorHAnsi" w:cstheme="minorHAnsi"/>
                <w:sz w:val="18"/>
                <w:szCs w:val="18"/>
              </w:rPr>
              <w:t>Multiple forms and strengths</w:t>
            </w:r>
          </w:p>
          <w:p w14:paraId="7D68D3D3" w14:textId="77777777" w:rsidR="00666C67" w:rsidRDefault="00666C67" w:rsidP="00666C67">
            <w:pPr>
              <w:jc w:val="center"/>
              <w:rPr>
                <w:rFonts w:asciiTheme="minorHAnsi" w:hAnsiTheme="minorHAnsi" w:cstheme="minorHAnsi"/>
                <w:sz w:val="18"/>
                <w:szCs w:val="18"/>
              </w:rPr>
            </w:pPr>
          </w:p>
          <w:p w14:paraId="130B31FB" w14:textId="20A7B447" w:rsidR="00666C67" w:rsidRPr="00015520" w:rsidRDefault="00666C67" w:rsidP="00666C67">
            <w:pPr>
              <w:jc w:val="center"/>
              <w:rPr>
                <w:rFonts w:asciiTheme="minorHAnsi" w:hAnsiTheme="minorHAnsi" w:cstheme="minorHAnsi"/>
                <w:sz w:val="18"/>
                <w:szCs w:val="18"/>
              </w:rPr>
            </w:pPr>
            <w:r w:rsidRPr="00851AFC">
              <w:rPr>
                <w:rFonts w:asciiTheme="minorHAnsi" w:hAnsiTheme="minorHAnsi" w:cstheme="minorHAnsi"/>
                <w:sz w:val="18"/>
                <w:szCs w:val="18"/>
              </w:rPr>
              <w:t>Multiple sponsors</w:t>
            </w:r>
          </w:p>
        </w:tc>
        <w:tc>
          <w:tcPr>
            <w:tcW w:w="552" w:type="pct"/>
            <w:shd w:val="clear" w:color="auto" w:fill="auto"/>
            <w:vAlign w:val="center"/>
          </w:tcPr>
          <w:p w14:paraId="2F893005" w14:textId="009C11EF" w:rsidR="00666C67" w:rsidRPr="00851AFC" w:rsidRDefault="00666C67" w:rsidP="00666C67">
            <w:pPr>
              <w:jc w:val="center"/>
              <w:rPr>
                <w:rFonts w:asciiTheme="minorHAnsi" w:hAnsiTheme="minorHAnsi" w:cstheme="minorHAnsi"/>
                <w:sz w:val="18"/>
                <w:szCs w:val="18"/>
              </w:rPr>
            </w:pPr>
            <w:r w:rsidRPr="00851AFC">
              <w:rPr>
                <w:rFonts w:asciiTheme="minorHAnsi" w:hAnsiTheme="minorHAnsi" w:cstheme="minorHAnsi"/>
                <w:sz w:val="18"/>
                <w:szCs w:val="18"/>
              </w:rPr>
              <w:t>Cancer</w:t>
            </w:r>
          </w:p>
        </w:tc>
        <w:tc>
          <w:tcPr>
            <w:tcW w:w="922" w:type="pct"/>
            <w:shd w:val="clear" w:color="auto" w:fill="auto"/>
            <w:vAlign w:val="center"/>
          </w:tcPr>
          <w:p w14:paraId="3D03EE62" w14:textId="3A9ABDEF" w:rsidR="00666C67" w:rsidRPr="00851AFC" w:rsidRDefault="00666C67" w:rsidP="00666C67">
            <w:pPr>
              <w:jc w:val="center"/>
              <w:rPr>
                <w:rFonts w:asciiTheme="minorHAnsi" w:hAnsiTheme="minorHAnsi" w:cstheme="minorHAnsi"/>
                <w:sz w:val="18"/>
                <w:szCs w:val="18"/>
              </w:rPr>
            </w:pPr>
            <w:r w:rsidRPr="00851AFC">
              <w:rPr>
                <w:rFonts w:asciiTheme="minorHAnsi" w:hAnsiTheme="minorHAnsi" w:cstheme="minorHAnsi"/>
                <w:sz w:val="18"/>
                <w:szCs w:val="18"/>
              </w:rPr>
              <w:t>To provide the PBAC with a report on the use of surrogate outcome measures in PBAC submissions for cancer medicines</w:t>
            </w:r>
          </w:p>
        </w:tc>
        <w:tc>
          <w:tcPr>
            <w:tcW w:w="2653" w:type="pct"/>
            <w:shd w:val="clear" w:color="auto" w:fill="auto"/>
            <w:vAlign w:val="center"/>
          </w:tcPr>
          <w:p w14:paraId="7C991FB9" w14:textId="77777777" w:rsidR="00666C67" w:rsidRPr="00851AFC" w:rsidRDefault="00666C67" w:rsidP="00851AFC">
            <w:pPr>
              <w:pStyle w:val="Default"/>
              <w:rPr>
                <w:rFonts w:asciiTheme="minorHAnsi" w:hAnsiTheme="minorHAnsi" w:cstheme="minorHAnsi"/>
                <w:color w:val="auto"/>
                <w:sz w:val="18"/>
                <w:szCs w:val="18"/>
              </w:rPr>
            </w:pPr>
            <w:r w:rsidRPr="00851AFC">
              <w:rPr>
                <w:rFonts w:asciiTheme="minorHAnsi" w:hAnsiTheme="minorHAnsi" w:cstheme="minorHAnsi"/>
                <w:color w:val="auto"/>
                <w:sz w:val="18"/>
                <w:szCs w:val="18"/>
              </w:rPr>
              <w:t xml:space="preserve">Surrogate outcome measures have an increasingly important role in cancer medicine research providing evidence to support registration and subsidy of new medicines. The PBAC recommended a research project into the use of surrogate outcome measures in PBAC submissions for cancer medicines in May 2022. </w:t>
            </w:r>
          </w:p>
          <w:p w14:paraId="1962F0CC" w14:textId="77777777" w:rsidR="00666C67" w:rsidRPr="00851AFC" w:rsidRDefault="00666C67" w:rsidP="00851AFC">
            <w:pPr>
              <w:pStyle w:val="Default"/>
              <w:rPr>
                <w:rFonts w:asciiTheme="minorHAnsi" w:hAnsiTheme="minorHAnsi" w:cstheme="minorHAnsi"/>
                <w:color w:val="auto"/>
                <w:sz w:val="18"/>
                <w:szCs w:val="18"/>
              </w:rPr>
            </w:pPr>
          </w:p>
          <w:p w14:paraId="03BC8DDE" w14:textId="249517B3" w:rsidR="00666C67" w:rsidRPr="00851AFC" w:rsidRDefault="00666C67" w:rsidP="00851AFC">
            <w:pPr>
              <w:pStyle w:val="Default"/>
              <w:rPr>
                <w:rFonts w:asciiTheme="minorHAnsi" w:hAnsiTheme="minorHAnsi" w:cstheme="minorHAnsi"/>
                <w:color w:val="auto"/>
                <w:sz w:val="18"/>
                <w:szCs w:val="18"/>
              </w:rPr>
            </w:pPr>
            <w:r w:rsidRPr="00851AFC">
              <w:rPr>
                <w:rFonts w:asciiTheme="minorHAnsi" w:hAnsiTheme="minorHAnsi" w:cstheme="minorHAnsi"/>
                <w:color w:val="auto"/>
                <w:sz w:val="18"/>
                <w:szCs w:val="18"/>
              </w:rPr>
              <w:t>The PBAC noted the draft report, ‘A review of cancer related surrogate outcomes used for PBAC decision making’ (the Report), prepared by Monash University under contract to the Department. The Report showed that 50% (247 out of 498) of PBAC submissions (including resubmissions) for cancer medicines between January 2012 and May 2022, were based primarily on a surrogate outcome. Forty-four per cent of these were not recommended for PBS-listing by the PBAC, and in 62% (67 out of 108) of cases this was due to immature overall survival (OS) data. In submissions that presented modelled economic evaluations, surrogate outcomes were used in 85% (140 out of 165) of cases. However, a literature review of surrogate outcome measure validation studies presented mixed results with most studies showing low to moderate correlation between OS and the most common surrogate measures, including progression-free survival and objective/overall response rate.</w:t>
            </w:r>
          </w:p>
          <w:p w14:paraId="739B2342" w14:textId="77777777" w:rsidR="00666C67" w:rsidRPr="00851AFC" w:rsidRDefault="00666C67" w:rsidP="00851AFC">
            <w:pPr>
              <w:pStyle w:val="Default"/>
              <w:rPr>
                <w:rFonts w:asciiTheme="minorHAnsi" w:hAnsiTheme="minorHAnsi" w:cstheme="minorHAnsi"/>
                <w:color w:val="auto"/>
                <w:sz w:val="18"/>
                <w:szCs w:val="18"/>
              </w:rPr>
            </w:pPr>
          </w:p>
          <w:p w14:paraId="5ADCF2C7" w14:textId="37AA58BF" w:rsidR="00666C67" w:rsidRPr="00851AFC" w:rsidDel="00F00A70" w:rsidRDefault="00666C67" w:rsidP="00851AFC">
            <w:pPr>
              <w:pStyle w:val="Default"/>
              <w:rPr>
                <w:rFonts w:asciiTheme="minorHAnsi" w:hAnsiTheme="minorHAnsi" w:cstheme="minorHAnsi"/>
                <w:color w:val="auto"/>
                <w:sz w:val="18"/>
                <w:szCs w:val="18"/>
              </w:rPr>
            </w:pPr>
            <w:r w:rsidRPr="00851AFC">
              <w:rPr>
                <w:rFonts w:asciiTheme="minorHAnsi" w:hAnsiTheme="minorHAnsi" w:cstheme="minorHAnsi"/>
                <w:color w:val="auto"/>
                <w:sz w:val="18"/>
                <w:szCs w:val="18"/>
              </w:rPr>
              <w:t>The PBAC considered that the Report was informative for health technology assessment and recommended that the Report and PBAC consideration should be published on the PBS website and</w:t>
            </w:r>
            <w:r w:rsidR="001A0295">
              <w:rPr>
                <w:rFonts w:asciiTheme="minorHAnsi" w:hAnsiTheme="minorHAnsi" w:cstheme="minorHAnsi"/>
                <w:color w:val="auto"/>
                <w:sz w:val="18"/>
                <w:szCs w:val="18"/>
              </w:rPr>
              <w:t xml:space="preserve"> be</w:t>
            </w:r>
            <w:r w:rsidRPr="00851AFC">
              <w:rPr>
                <w:rFonts w:asciiTheme="minorHAnsi" w:hAnsiTheme="minorHAnsi" w:cstheme="minorHAnsi"/>
                <w:color w:val="auto"/>
                <w:sz w:val="18"/>
                <w:szCs w:val="18"/>
              </w:rPr>
              <w:t xml:space="preserve"> provided to relevant stakeholders.</w:t>
            </w:r>
          </w:p>
        </w:tc>
      </w:tr>
      <w:tr w:rsidR="002F2228" w:rsidRPr="00015520" w14:paraId="13CC6938" w14:textId="77777777" w:rsidTr="00CA5989">
        <w:trPr>
          <w:cantSplit/>
          <w:trHeight w:val="58"/>
        </w:trPr>
        <w:tc>
          <w:tcPr>
            <w:tcW w:w="873" w:type="pct"/>
            <w:shd w:val="clear" w:color="auto" w:fill="auto"/>
            <w:vAlign w:val="center"/>
          </w:tcPr>
          <w:p w14:paraId="70511C5F" w14:textId="4B49FF57" w:rsidR="00312763"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lastRenderedPageBreak/>
              <w:t>PBS R</w:t>
            </w:r>
            <w:r w:rsidR="00312763" w:rsidRPr="00015520">
              <w:rPr>
                <w:rFonts w:asciiTheme="minorHAnsi" w:hAnsiTheme="minorHAnsi" w:cstheme="minorHAnsi"/>
                <w:sz w:val="18"/>
                <w:szCs w:val="18"/>
              </w:rPr>
              <w:t>estrictions</w:t>
            </w:r>
            <w:r w:rsidRPr="00015520">
              <w:rPr>
                <w:rFonts w:asciiTheme="minorHAnsi" w:hAnsiTheme="minorHAnsi" w:cstheme="minorHAnsi"/>
                <w:sz w:val="18"/>
                <w:szCs w:val="18"/>
              </w:rPr>
              <w:t xml:space="preserve"> </w:t>
            </w:r>
            <w:r w:rsidR="00312763" w:rsidRPr="00015520">
              <w:rPr>
                <w:rFonts w:asciiTheme="minorHAnsi" w:hAnsiTheme="minorHAnsi" w:cstheme="minorHAnsi"/>
                <w:sz w:val="18"/>
                <w:szCs w:val="18"/>
              </w:rPr>
              <w:t>for</w:t>
            </w:r>
            <w:r w:rsidRPr="00015520">
              <w:rPr>
                <w:rFonts w:asciiTheme="minorHAnsi" w:hAnsiTheme="minorHAnsi" w:cstheme="minorHAnsi"/>
                <w:sz w:val="18"/>
                <w:szCs w:val="18"/>
              </w:rPr>
              <w:t xml:space="preserve"> </w:t>
            </w:r>
            <w:r w:rsidR="00312763" w:rsidRPr="00015520">
              <w:rPr>
                <w:rFonts w:asciiTheme="minorHAnsi" w:hAnsiTheme="minorHAnsi" w:cstheme="minorHAnsi"/>
                <w:sz w:val="18"/>
                <w:szCs w:val="18"/>
              </w:rPr>
              <w:t>Type 2 diabetes mellitus medicines</w:t>
            </w:r>
          </w:p>
          <w:p w14:paraId="701FD68A" w14:textId="77777777" w:rsidR="00312763" w:rsidRPr="00015520" w:rsidRDefault="00312763" w:rsidP="00344F5B">
            <w:pPr>
              <w:jc w:val="center"/>
              <w:rPr>
                <w:rFonts w:asciiTheme="minorHAnsi" w:hAnsiTheme="minorHAnsi" w:cstheme="minorHAnsi"/>
                <w:sz w:val="18"/>
                <w:szCs w:val="18"/>
              </w:rPr>
            </w:pPr>
          </w:p>
          <w:p w14:paraId="7987AD00" w14:textId="72BA4CC3"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PIOGLITAZONE</w:t>
            </w:r>
          </w:p>
          <w:p w14:paraId="55F96ED7" w14:textId="77777777"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DULAGLUTIDE</w:t>
            </w:r>
          </w:p>
          <w:p w14:paraId="08C6A2DB" w14:textId="77777777"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SEMAGLUTIDE</w:t>
            </w:r>
          </w:p>
          <w:p w14:paraId="1CF8FF3B" w14:textId="77777777"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EMPAGLIFLOZIN</w:t>
            </w:r>
          </w:p>
          <w:p w14:paraId="43C92B0E" w14:textId="77777777"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DAPAGLIFLOZIN</w:t>
            </w:r>
          </w:p>
          <w:p w14:paraId="2D3E164F" w14:textId="69F9DE53"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ALOGLIPTIN</w:t>
            </w:r>
          </w:p>
          <w:p w14:paraId="55318360" w14:textId="032E9606"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SAXAGLIPTIN</w:t>
            </w:r>
          </w:p>
          <w:p w14:paraId="60E7FA52" w14:textId="77777777"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SITAGLIPTIN</w:t>
            </w:r>
          </w:p>
          <w:p w14:paraId="4009F4B8" w14:textId="77777777" w:rsidR="00B172E7"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LINAGLIPTIN</w:t>
            </w:r>
          </w:p>
          <w:p w14:paraId="0FD6C4F4" w14:textId="77777777" w:rsidR="002F2228" w:rsidRDefault="00B172E7" w:rsidP="00344F5B">
            <w:pPr>
              <w:jc w:val="center"/>
              <w:rPr>
                <w:rFonts w:asciiTheme="minorHAnsi" w:hAnsiTheme="minorHAnsi" w:cstheme="minorHAnsi"/>
                <w:sz w:val="18"/>
                <w:szCs w:val="18"/>
              </w:rPr>
            </w:pPr>
            <w:r w:rsidRPr="00015520">
              <w:rPr>
                <w:rFonts w:asciiTheme="minorHAnsi" w:hAnsiTheme="minorHAnsi" w:cstheme="minorHAnsi"/>
                <w:sz w:val="18"/>
                <w:szCs w:val="18"/>
              </w:rPr>
              <w:t>VILDAGLIPTIN</w:t>
            </w:r>
          </w:p>
          <w:p w14:paraId="6F94A473" w14:textId="77777777" w:rsidR="005140F7" w:rsidRDefault="005140F7" w:rsidP="00344F5B">
            <w:pPr>
              <w:jc w:val="center"/>
              <w:rPr>
                <w:rFonts w:asciiTheme="minorHAnsi" w:hAnsiTheme="minorHAnsi" w:cstheme="minorHAnsi"/>
                <w:sz w:val="18"/>
                <w:szCs w:val="18"/>
              </w:rPr>
            </w:pPr>
          </w:p>
          <w:p w14:paraId="30B44120" w14:textId="632ABF21" w:rsidR="005140F7" w:rsidRPr="00015520" w:rsidRDefault="005140F7" w:rsidP="00344F5B">
            <w:pPr>
              <w:jc w:val="center"/>
              <w:rPr>
                <w:rFonts w:asciiTheme="minorHAnsi" w:hAnsiTheme="minorHAnsi" w:cstheme="minorHAnsi"/>
                <w:sz w:val="18"/>
                <w:szCs w:val="18"/>
              </w:rPr>
            </w:pPr>
            <w:r>
              <w:rPr>
                <w:rFonts w:asciiTheme="minorHAnsi" w:hAnsiTheme="minorHAnsi" w:cstheme="minorHAnsi"/>
                <w:sz w:val="18"/>
                <w:szCs w:val="18"/>
              </w:rPr>
              <w:t xml:space="preserve">All forms and </w:t>
            </w:r>
            <w:r w:rsidR="00666C67">
              <w:rPr>
                <w:rFonts w:asciiTheme="minorHAnsi" w:hAnsiTheme="minorHAnsi" w:cstheme="minorHAnsi"/>
                <w:sz w:val="18"/>
                <w:szCs w:val="18"/>
              </w:rPr>
              <w:t>strengths</w:t>
            </w:r>
          </w:p>
        </w:tc>
        <w:tc>
          <w:tcPr>
            <w:tcW w:w="552" w:type="pct"/>
            <w:shd w:val="clear" w:color="auto" w:fill="auto"/>
            <w:vAlign w:val="center"/>
          </w:tcPr>
          <w:p w14:paraId="0E333A13" w14:textId="60AF33BF" w:rsidR="002F2228" w:rsidRPr="00015520" w:rsidRDefault="00B172E7" w:rsidP="00344F5B">
            <w:pPr>
              <w:jc w:val="center"/>
              <w:rPr>
                <w:rFonts w:asciiTheme="minorHAnsi" w:hAnsiTheme="minorHAnsi" w:cstheme="minorHAnsi"/>
                <w:sz w:val="18"/>
                <w:szCs w:val="18"/>
              </w:rPr>
            </w:pPr>
            <w:r w:rsidRPr="00015520">
              <w:rPr>
                <w:rFonts w:asciiTheme="minorHAnsi" w:hAnsiTheme="minorHAnsi" w:cstheme="minorHAnsi"/>
                <w:color w:val="000000"/>
                <w:sz w:val="18"/>
                <w:szCs w:val="18"/>
              </w:rPr>
              <w:t>Type 2 diabetes mellitus (T2DM) medicines</w:t>
            </w:r>
          </w:p>
        </w:tc>
        <w:tc>
          <w:tcPr>
            <w:tcW w:w="922" w:type="pct"/>
            <w:shd w:val="clear" w:color="auto" w:fill="auto"/>
            <w:vAlign w:val="center"/>
          </w:tcPr>
          <w:p w14:paraId="5E47AF63" w14:textId="48FCF951" w:rsidR="002F2228" w:rsidRPr="00015520" w:rsidRDefault="0054795A" w:rsidP="00344F5B">
            <w:pPr>
              <w:jc w:val="center"/>
              <w:rPr>
                <w:rFonts w:asciiTheme="minorHAnsi" w:hAnsiTheme="minorHAnsi" w:cstheme="minorHAnsi"/>
                <w:bCs/>
                <w:snapToGrid w:val="0"/>
                <w:color w:val="000000"/>
                <w:sz w:val="18"/>
                <w:szCs w:val="18"/>
              </w:rPr>
            </w:pPr>
            <w:r w:rsidRPr="0054795A">
              <w:rPr>
                <w:rFonts w:asciiTheme="minorHAnsi" w:hAnsiTheme="minorHAnsi" w:cstheme="minorHAnsi"/>
                <w:color w:val="000000"/>
                <w:sz w:val="18"/>
                <w:szCs w:val="18"/>
              </w:rPr>
              <w:t>To review the PBS restrictions for T2DM medicines following stakeholder consultation on the restriction changes recommended by the PBAC in March 2023.</w:t>
            </w:r>
          </w:p>
        </w:tc>
        <w:tc>
          <w:tcPr>
            <w:tcW w:w="2653" w:type="pct"/>
            <w:shd w:val="clear" w:color="auto" w:fill="auto"/>
            <w:vAlign w:val="center"/>
          </w:tcPr>
          <w:p w14:paraId="0F467CFC" w14:textId="6572D5E0" w:rsidR="006D4E9E" w:rsidRPr="006D4E9E" w:rsidRDefault="006D4E9E" w:rsidP="001A0295">
            <w:pPr>
              <w:pStyle w:val="Default"/>
              <w:spacing w:after="120"/>
              <w:rPr>
                <w:rFonts w:asciiTheme="minorHAnsi" w:hAnsiTheme="minorHAnsi" w:cstheme="minorHAnsi"/>
                <w:bCs/>
                <w:sz w:val="18"/>
                <w:szCs w:val="18"/>
              </w:rPr>
            </w:pPr>
            <w:r w:rsidRPr="006D4E9E">
              <w:rPr>
                <w:rFonts w:asciiTheme="minorHAnsi" w:hAnsiTheme="minorHAnsi" w:cstheme="minorHAnsi"/>
                <w:bCs/>
                <w:sz w:val="18"/>
                <w:szCs w:val="18"/>
              </w:rPr>
              <w:t>The PBAC noted the comments received from a range of T2DM stakeholders on the proposed changes to the PBS restrictions for T2DM medicines. The PBAC noted that stakeholders generally supported the simplification of the restrictions, and clarification of combinations of medicines that are not PBS-subsidised.</w:t>
            </w:r>
          </w:p>
          <w:p w14:paraId="1E357803" w14:textId="77777777" w:rsidR="006D4E9E" w:rsidRPr="006D4E9E" w:rsidRDefault="006D4E9E" w:rsidP="001A0295">
            <w:pPr>
              <w:pStyle w:val="Default"/>
              <w:spacing w:after="120"/>
              <w:rPr>
                <w:rFonts w:asciiTheme="minorHAnsi" w:hAnsiTheme="minorHAnsi" w:cstheme="minorHAnsi"/>
                <w:bCs/>
                <w:sz w:val="18"/>
                <w:szCs w:val="18"/>
              </w:rPr>
            </w:pPr>
            <w:r w:rsidRPr="006D4E9E">
              <w:rPr>
                <w:rFonts w:asciiTheme="minorHAnsi" w:hAnsiTheme="minorHAnsi" w:cstheme="minorHAnsi"/>
                <w:bCs/>
                <w:sz w:val="18"/>
                <w:szCs w:val="18"/>
              </w:rPr>
              <w:t>The PBAC recommended that the level of restriction for pioglitazone be changed to a Restricted Benefit listing, without any additional clinical criteria.</w:t>
            </w:r>
          </w:p>
          <w:p w14:paraId="0449C1DE" w14:textId="29F2DCDD" w:rsidR="006D4E9E" w:rsidRPr="006D4E9E" w:rsidRDefault="006D4E9E" w:rsidP="001A0295">
            <w:pPr>
              <w:pStyle w:val="Default"/>
              <w:spacing w:after="120"/>
              <w:rPr>
                <w:rFonts w:asciiTheme="minorHAnsi" w:hAnsiTheme="minorHAnsi" w:cstheme="minorHAnsi"/>
                <w:bCs/>
                <w:sz w:val="18"/>
                <w:szCs w:val="18"/>
              </w:rPr>
            </w:pPr>
            <w:r w:rsidRPr="006D4E9E">
              <w:rPr>
                <w:rFonts w:asciiTheme="minorHAnsi" w:hAnsiTheme="minorHAnsi" w:cstheme="minorHAnsi"/>
                <w:bCs/>
                <w:sz w:val="18"/>
                <w:szCs w:val="18"/>
              </w:rPr>
              <w:t>The PBAC recommended removal of the requirement for contraindication or intolerance to metformin for patients to use dipeptidyl peptidase 4 (DPP4) inhibitors, sodium-glucose cotransporter 2 (SGLT2) inhibitors and glucagon-like peptide 1 receptor agonists (GLP</w:t>
            </w:r>
            <w:r w:rsidR="005140F7">
              <w:rPr>
                <w:rFonts w:asciiTheme="minorHAnsi" w:hAnsiTheme="minorHAnsi" w:cstheme="minorHAnsi"/>
                <w:bCs/>
                <w:sz w:val="18"/>
                <w:szCs w:val="18"/>
              </w:rPr>
              <w:t>-</w:t>
            </w:r>
            <w:r w:rsidRPr="006D4E9E">
              <w:rPr>
                <w:rFonts w:asciiTheme="minorHAnsi" w:hAnsiTheme="minorHAnsi" w:cstheme="minorHAnsi"/>
                <w:bCs/>
                <w:sz w:val="18"/>
                <w:szCs w:val="18"/>
              </w:rPr>
              <w:t xml:space="preserve">1 RAs) in dual therapy with insulin. The PBAC recommended alignment of the PBS restrictions for DPP4 inhibitors, no longer restricting the use of some of these medicines in combination with insulin or SGLT2 inhibitors. </w:t>
            </w:r>
          </w:p>
          <w:p w14:paraId="7F20438D" w14:textId="1CC081B2" w:rsidR="002F2228" w:rsidRPr="00015520" w:rsidRDefault="006D4E9E" w:rsidP="001A0295">
            <w:pPr>
              <w:pStyle w:val="Default"/>
              <w:spacing w:after="120"/>
              <w:rPr>
                <w:rFonts w:asciiTheme="minorHAnsi" w:hAnsiTheme="minorHAnsi" w:cstheme="minorHAnsi"/>
                <w:bCs/>
                <w:sz w:val="18"/>
                <w:szCs w:val="18"/>
              </w:rPr>
            </w:pPr>
            <w:r w:rsidRPr="006D4E9E">
              <w:rPr>
                <w:rFonts w:asciiTheme="minorHAnsi" w:hAnsiTheme="minorHAnsi" w:cstheme="minorHAnsi"/>
                <w:bCs/>
                <w:sz w:val="18"/>
                <w:szCs w:val="18"/>
              </w:rPr>
              <w:t xml:space="preserve">The PBAC recommended that the </w:t>
            </w:r>
            <w:r w:rsidR="005140F7">
              <w:rPr>
                <w:rFonts w:asciiTheme="minorHAnsi" w:hAnsiTheme="minorHAnsi" w:cstheme="minorHAnsi"/>
                <w:bCs/>
                <w:sz w:val="18"/>
                <w:szCs w:val="18"/>
              </w:rPr>
              <w:t>A</w:t>
            </w:r>
            <w:r w:rsidRPr="006D4E9E">
              <w:rPr>
                <w:rFonts w:asciiTheme="minorHAnsi" w:hAnsiTheme="minorHAnsi" w:cstheme="minorHAnsi"/>
                <w:bCs/>
                <w:sz w:val="18"/>
                <w:szCs w:val="18"/>
              </w:rPr>
              <w:t xml:space="preserve">uthority </w:t>
            </w:r>
            <w:r w:rsidR="005140F7">
              <w:rPr>
                <w:rFonts w:asciiTheme="minorHAnsi" w:hAnsiTheme="minorHAnsi" w:cstheme="minorHAnsi"/>
                <w:bCs/>
                <w:sz w:val="18"/>
                <w:szCs w:val="18"/>
              </w:rPr>
              <w:t>T</w:t>
            </w:r>
            <w:r w:rsidRPr="006D4E9E">
              <w:rPr>
                <w:rFonts w:asciiTheme="minorHAnsi" w:hAnsiTheme="minorHAnsi" w:cstheme="minorHAnsi"/>
                <w:bCs/>
                <w:sz w:val="18"/>
                <w:szCs w:val="18"/>
              </w:rPr>
              <w:t>ype for GLP-1 RAs, for therapy initiation for all indications, be changed from Authority Required (STREAMLINED) to Authority Required (</w:t>
            </w:r>
            <w:r w:rsidR="003F148F">
              <w:rPr>
                <w:rFonts w:asciiTheme="minorHAnsi" w:hAnsiTheme="minorHAnsi" w:cstheme="minorHAnsi"/>
                <w:bCs/>
                <w:sz w:val="18"/>
                <w:szCs w:val="18"/>
              </w:rPr>
              <w:t>T</w:t>
            </w:r>
            <w:r w:rsidRPr="006D4E9E">
              <w:rPr>
                <w:rFonts w:asciiTheme="minorHAnsi" w:hAnsiTheme="minorHAnsi" w:cstheme="minorHAnsi"/>
                <w:bCs/>
                <w:sz w:val="18"/>
                <w:szCs w:val="18"/>
              </w:rPr>
              <w:t>elephone/</w:t>
            </w:r>
            <w:r w:rsidR="003F148F">
              <w:rPr>
                <w:rFonts w:asciiTheme="minorHAnsi" w:hAnsiTheme="minorHAnsi" w:cstheme="minorHAnsi"/>
                <w:bCs/>
                <w:sz w:val="18"/>
                <w:szCs w:val="18"/>
              </w:rPr>
              <w:t>Online</w:t>
            </w:r>
            <w:r w:rsidRPr="006D4E9E">
              <w:rPr>
                <w:rFonts w:asciiTheme="minorHAnsi" w:hAnsiTheme="minorHAnsi" w:cstheme="minorHAnsi"/>
                <w:bCs/>
                <w:sz w:val="18"/>
                <w:szCs w:val="18"/>
              </w:rPr>
              <w:t>), but that continuing access should be via a streamlined authority. The PBAC further recommended that the use of GLP-1 RAs in all T2DM indications should be restricted to patients who are contraindicated or intolerant to an SGLT2 inhibitor, or who do not achieve a clinically meaningful glycaemic response with an SGLT2 inhibitor. The PBAC considered that it may be appropriate to expand the PBS listings for GLP-1 RAs to include use in combination with metformin, a sulfonylurea or insulin, for T2DM patients with a body mass index (BMI) greater than 35 kg/m</w:t>
            </w:r>
            <w:r w:rsidRPr="00851AFC">
              <w:rPr>
                <w:rFonts w:asciiTheme="minorHAnsi" w:hAnsiTheme="minorHAnsi" w:cstheme="minorHAnsi"/>
                <w:bCs/>
                <w:sz w:val="18"/>
                <w:szCs w:val="18"/>
                <w:vertAlign w:val="superscript"/>
              </w:rPr>
              <w:t>2</w:t>
            </w:r>
            <w:r w:rsidRPr="006D4E9E">
              <w:rPr>
                <w:rFonts w:asciiTheme="minorHAnsi" w:hAnsiTheme="minorHAnsi" w:cstheme="minorHAnsi"/>
                <w:bCs/>
                <w:sz w:val="18"/>
                <w:szCs w:val="18"/>
              </w:rPr>
              <w:t>, without a requirement to trial an SGLT2 inhibitor. The PBAC requested that the Department provide financial estimates for this expanded listing to be considered at a future meeting.</w:t>
            </w:r>
          </w:p>
        </w:tc>
      </w:tr>
      <w:tr w:rsidR="00E04F96" w:rsidRPr="00015520" w14:paraId="7126892B" w14:textId="77777777" w:rsidTr="00E04F96">
        <w:trPr>
          <w:cantSplit/>
          <w:trHeight w:val="58"/>
        </w:trPr>
        <w:tc>
          <w:tcPr>
            <w:tcW w:w="873" w:type="pct"/>
            <w:shd w:val="clear" w:color="auto" w:fill="auto"/>
            <w:vAlign w:val="center"/>
          </w:tcPr>
          <w:p w14:paraId="2EDB31BA" w14:textId="77777777" w:rsidR="00E04F96" w:rsidRPr="00E04F96" w:rsidRDefault="00E04F96" w:rsidP="00E04F96">
            <w:pPr>
              <w:jc w:val="center"/>
              <w:rPr>
                <w:rFonts w:asciiTheme="minorHAnsi" w:hAnsiTheme="minorHAnsi" w:cstheme="minorHAnsi"/>
                <w:sz w:val="18"/>
                <w:szCs w:val="18"/>
              </w:rPr>
            </w:pPr>
            <w:r w:rsidRPr="00E04F96">
              <w:rPr>
                <w:rFonts w:asciiTheme="minorHAnsi" w:hAnsiTheme="minorHAnsi" w:cstheme="minorHAnsi"/>
                <w:sz w:val="18"/>
                <w:szCs w:val="18"/>
              </w:rPr>
              <w:t>PBS Restrictions for Growth Hormones</w:t>
            </w:r>
          </w:p>
          <w:p w14:paraId="2A0F6DAF" w14:textId="77777777" w:rsidR="00E04F96" w:rsidRPr="00E04F96" w:rsidRDefault="00E04F96" w:rsidP="00E04F96">
            <w:pPr>
              <w:jc w:val="center"/>
              <w:rPr>
                <w:rFonts w:asciiTheme="minorHAnsi" w:hAnsiTheme="minorHAnsi" w:cstheme="minorHAnsi"/>
                <w:sz w:val="18"/>
                <w:szCs w:val="18"/>
              </w:rPr>
            </w:pPr>
          </w:p>
          <w:p w14:paraId="2CEFA67F" w14:textId="06C9695A" w:rsidR="00E04F96" w:rsidRPr="00E04F96" w:rsidRDefault="00E04F96" w:rsidP="00E04F96">
            <w:pPr>
              <w:jc w:val="center"/>
              <w:rPr>
                <w:rFonts w:asciiTheme="minorHAnsi" w:hAnsiTheme="minorHAnsi" w:cstheme="minorHAnsi"/>
                <w:sz w:val="18"/>
                <w:szCs w:val="18"/>
              </w:rPr>
            </w:pPr>
            <w:r w:rsidRPr="00E04F96">
              <w:rPr>
                <w:rFonts w:asciiTheme="minorHAnsi" w:hAnsiTheme="minorHAnsi" w:cstheme="minorHAnsi"/>
                <w:sz w:val="18"/>
                <w:szCs w:val="18"/>
              </w:rPr>
              <w:t>SOMATROPIN</w:t>
            </w:r>
          </w:p>
          <w:p w14:paraId="00D31A67" w14:textId="77777777" w:rsidR="00E04F96" w:rsidRPr="00E04F96" w:rsidRDefault="00E04F96" w:rsidP="00E04F96">
            <w:pPr>
              <w:jc w:val="center"/>
              <w:rPr>
                <w:rFonts w:asciiTheme="minorHAnsi" w:hAnsiTheme="minorHAnsi" w:cstheme="minorHAnsi"/>
                <w:sz w:val="18"/>
                <w:szCs w:val="18"/>
              </w:rPr>
            </w:pPr>
          </w:p>
          <w:p w14:paraId="3DA880BD" w14:textId="77777777" w:rsidR="00E04F96" w:rsidRPr="00E04F96" w:rsidRDefault="00E04F96" w:rsidP="00E04F96">
            <w:pPr>
              <w:jc w:val="center"/>
              <w:rPr>
                <w:rFonts w:asciiTheme="minorHAnsi" w:hAnsiTheme="minorHAnsi" w:cstheme="minorHAnsi"/>
                <w:sz w:val="18"/>
                <w:szCs w:val="18"/>
              </w:rPr>
            </w:pPr>
            <w:r w:rsidRPr="00E04F96">
              <w:rPr>
                <w:rFonts w:asciiTheme="minorHAnsi" w:hAnsiTheme="minorHAnsi" w:cstheme="minorHAnsi"/>
                <w:sz w:val="18"/>
                <w:szCs w:val="18"/>
              </w:rPr>
              <w:t xml:space="preserve">Genotropin </w:t>
            </w:r>
            <w:proofErr w:type="spellStart"/>
            <w:r w:rsidRPr="00E04F96">
              <w:rPr>
                <w:rFonts w:asciiTheme="minorHAnsi" w:hAnsiTheme="minorHAnsi" w:cstheme="minorHAnsi"/>
                <w:sz w:val="18"/>
                <w:szCs w:val="18"/>
              </w:rPr>
              <w:t>GoQuick</w:t>
            </w:r>
            <w:proofErr w:type="spellEnd"/>
            <w:r w:rsidRPr="00E04F96">
              <w:rPr>
                <w:rFonts w:asciiTheme="minorHAnsi" w:hAnsiTheme="minorHAnsi" w:cstheme="minorHAnsi"/>
                <w:sz w:val="18"/>
                <w:szCs w:val="18"/>
              </w:rPr>
              <w:t>®</w:t>
            </w:r>
          </w:p>
          <w:p w14:paraId="045FA9A8" w14:textId="77777777" w:rsidR="00E04F96" w:rsidRPr="00E04F96" w:rsidRDefault="00E04F96" w:rsidP="00E04F96">
            <w:pPr>
              <w:jc w:val="center"/>
              <w:rPr>
                <w:rFonts w:asciiTheme="minorHAnsi" w:hAnsiTheme="minorHAnsi" w:cstheme="minorHAnsi"/>
                <w:sz w:val="18"/>
                <w:szCs w:val="18"/>
              </w:rPr>
            </w:pPr>
            <w:bookmarkStart w:id="4" w:name="_Hlk142060390"/>
            <w:r w:rsidRPr="00E04F96">
              <w:rPr>
                <w:rFonts w:asciiTheme="minorHAnsi" w:hAnsiTheme="minorHAnsi" w:cstheme="minorHAnsi"/>
                <w:sz w:val="18"/>
                <w:szCs w:val="18"/>
              </w:rPr>
              <w:t>Pfizer Australia Pty Ltd</w:t>
            </w:r>
          </w:p>
          <w:p w14:paraId="64FC4C8C" w14:textId="77777777" w:rsidR="00E04F96" w:rsidRPr="00E04F96" w:rsidRDefault="00E04F96" w:rsidP="00E04F96">
            <w:pPr>
              <w:jc w:val="center"/>
              <w:rPr>
                <w:rFonts w:asciiTheme="minorHAnsi" w:hAnsiTheme="minorHAnsi" w:cstheme="minorHAnsi"/>
                <w:sz w:val="18"/>
                <w:szCs w:val="18"/>
              </w:rPr>
            </w:pPr>
          </w:p>
          <w:p w14:paraId="3E1191BE" w14:textId="77777777" w:rsidR="00E04F96" w:rsidRPr="00E04F96" w:rsidRDefault="00E04F96" w:rsidP="00E04F96">
            <w:pPr>
              <w:jc w:val="center"/>
              <w:rPr>
                <w:rFonts w:asciiTheme="minorHAnsi" w:hAnsiTheme="minorHAnsi" w:cstheme="minorHAnsi"/>
                <w:sz w:val="18"/>
                <w:szCs w:val="18"/>
              </w:rPr>
            </w:pPr>
            <w:proofErr w:type="spellStart"/>
            <w:r w:rsidRPr="00E04F96">
              <w:rPr>
                <w:rFonts w:asciiTheme="minorHAnsi" w:hAnsiTheme="minorHAnsi" w:cstheme="minorHAnsi"/>
                <w:sz w:val="18"/>
                <w:szCs w:val="18"/>
              </w:rPr>
              <w:t>Norditropin</w:t>
            </w:r>
            <w:proofErr w:type="spellEnd"/>
            <w:r w:rsidRPr="00E04F96">
              <w:rPr>
                <w:rFonts w:asciiTheme="minorHAnsi" w:hAnsiTheme="minorHAnsi" w:cstheme="minorHAnsi"/>
                <w:sz w:val="18"/>
                <w:szCs w:val="18"/>
              </w:rPr>
              <w:t xml:space="preserve"> </w:t>
            </w:r>
            <w:proofErr w:type="spellStart"/>
            <w:r w:rsidRPr="00E04F96">
              <w:rPr>
                <w:rFonts w:asciiTheme="minorHAnsi" w:hAnsiTheme="minorHAnsi" w:cstheme="minorHAnsi"/>
                <w:sz w:val="18"/>
                <w:szCs w:val="18"/>
              </w:rPr>
              <w:t>FlexPro</w:t>
            </w:r>
            <w:proofErr w:type="spellEnd"/>
            <w:r w:rsidRPr="00E04F96">
              <w:rPr>
                <w:rFonts w:asciiTheme="minorHAnsi" w:hAnsiTheme="minorHAnsi" w:cstheme="minorHAnsi"/>
                <w:sz w:val="18"/>
                <w:szCs w:val="18"/>
              </w:rPr>
              <w:t>®</w:t>
            </w:r>
          </w:p>
          <w:p w14:paraId="6924B33A" w14:textId="77777777" w:rsidR="00E04F96" w:rsidRDefault="00E04F96" w:rsidP="00E04F96">
            <w:pPr>
              <w:jc w:val="center"/>
              <w:rPr>
                <w:rFonts w:asciiTheme="minorHAnsi" w:hAnsiTheme="minorHAnsi" w:cstheme="minorHAnsi"/>
                <w:sz w:val="18"/>
                <w:szCs w:val="18"/>
              </w:rPr>
            </w:pPr>
            <w:r w:rsidRPr="00E04F96">
              <w:rPr>
                <w:rFonts w:asciiTheme="minorHAnsi" w:hAnsiTheme="minorHAnsi" w:cstheme="minorHAnsi"/>
                <w:sz w:val="18"/>
                <w:szCs w:val="18"/>
              </w:rPr>
              <w:t>Novo Nordisk Pharmaceuticals Pty Limited</w:t>
            </w:r>
          </w:p>
          <w:bookmarkEnd w:id="4"/>
          <w:p w14:paraId="0D1A9327" w14:textId="77777777" w:rsidR="00F562DF" w:rsidRDefault="00F562DF" w:rsidP="00E04F96">
            <w:pPr>
              <w:jc w:val="center"/>
              <w:rPr>
                <w:rFonts w:asciiTheme="minorHAnsi" w:hAnsiTheme="minorHAnsi" w:cstheme="minorHAnsi"/>
                <w:sz w:val="18"/>
                <w:szCs w:val="18"/>
              </w:rPr>
            </w:pPr>
          </w:p>
          <w:p w14:paraId="265BB0CE" w14:textId="77777777" w:rsidR="00F562DF" w:rsidRDefault="00F562DF" w:rsidP="00E04F96">
            <w:pPr>
              <w:jc w:val="center"/>
              <w:rPr>
                <w:rFonts w:asciiTheme="minorHAnsi" w:hAnsiTheme="minorHAnsi" w:cstheme="minorHAnsi"/>
                <w:sz w:val="18"/>
                <w:szCs w:val="18"/>
              </w:rPr>
            </w:pPr>
            <w:bookmarkStart w:id="5" w:name="_Hlk142060477"/>
            <w:proofErr w:type="spellStart"/>
            <w:r>
              <w:rPr>
                <w:rFonts w:asciiTheme="minorHAnsi" w:hAnsiTheme="minorHAnsi" w:cstheme="minorHAnsi"/>
                <w:sz w:val="18"/>
                <w:szCs w:val="18"/>
              </w:rPr>
              <w:t>NutropinAq</w:t>
            </w:r>
            <w:proofErr w:type="spellEnd"/>
            <w:r>
              <w:rPr>
                <w:rFonts w:asciiTheme="minorHAnsi" w:hAnsiTheme="minorHAnsi" w:cstheme="minorHAnsi"/>
                <w:sz w:val="18"/>
                <w:szCs w:val="18"/>
              </w:rPr>
              <w:t>®</w:t>
            </w:r>
          </w:p>
          <w:bookmarkEnd w:id="5"/>
          <w:p w14:paraId="78166FE7" w14:textId="7526642D" w:rsidR="00F562DF" w:rsidRPr="00E04F96" w:rsidRDefault="00F562DF" w:rsidP="00E04F96">
            <w:pPr>
              <w:jc w:val="center"/>
              <w:rPr>
                <w:rFonts w:asciiTheme="minorHAnsi" w:hAnsiTheme="minorHAnsi" w:cstheme="minorHAnsi"/>
                <w:sz w:val="18"/>
                <w:szCs w:val="18"/>
              </w:rPr>
            </w:pPr>
            <w:r w:rsidRPr="00F562DF">
              <w:rPr>
                <w:rFonts w:asciiTheme="minorHAnsi" w:hAnsiTheme="minorHAnsi" w:cstheme="minorHAnsi"/>
                <w:sz w:val="18"/>
                <w:szCs w:val="18"/>
              </w:rPr>
              <w:t>Ipsen Pty Ltd</w:t>
            </w:r>
          </w:p>
        </w:tc>
        <w:tc>
          <w:tcPr>
            <w:tcW w:w="552" w:type="pct"/>
            <w:shd w:val="clear" w:color="auto" w:fill="auto"/>
            <w:vAlign w:val="center"/>
          </w:tcPr>
          <w:p w14:paraId="0FCFFB8A" w14:textId="228F7085" w:rsidR="00E04F96" w:rsidRPr="00E04F96" w:rsidRDefault="00E04F96" w:rsidP="00E04F96">
            <w:pPr>
              <w:jc w:val="center"/>
              <w:rPr>
                <w:rFonts w:asciiTheme="minorHAnsi" w:hAnsiTheme="minorHAnsi" w:cstheme="minorHAnsi"/>
                <w:sz w:val="18"/>
                <w:szCs w:val="18"/>
              </w:rPr>
            </w:pPr>
            <w:r w:rsidRPr="00E04F96">
              <w:rPr>
                <w:rFonts w:asciiTheme="minorHAnsi" w:hAnsiTheme="minorHAnsi" w:cstheme="minorHAnsi"/>
                <w:color w:val="000000"/>
                <w:sz w:val="18"/>
                <w:szCs w:val="18"/>
              </w:rPr>
              <w:t>Growth hormone medicines</w:t>
            </w:r>
          </w:p>
        </w:tc>
        <w:tc>
          <w:tcPr>
            <w:tcW w:w="922" w:type="pct"/>
            <w:shd w:val="clear" w:color="auto" w:fill="auto"/>
            <w:vAlign w:val="center"/>
          </w:tcPr>
          <w:p w14:paraId="38F1921C" w14:textId="19D94C53" w:rsidR="00E04F96" w:rsidRPr="00E04F96" w:rsidRDefault="00E04F96" w:rsidP="00E04F96">
            <w:pPr>
              <w:jc w:val="center"/>
              <w:rPr>
                <w:rFonts w:asciiTheme="minorHAnsi" w:hAnsiTheme="minorHAnsi" w:cstheme="minorHAnsi"/>
                <w:bCs/>
                <w:snapToGrid w:val="0"/>
                <w:color w:val="000000"/>
                <w:sz w:val="18"/>
                <w:szCs w:val="18"/>
              </w:rPr>
            </w:pPr>
            <w:r w:rsidRPr="00E04F96">
              <w:rPr>
                <w:rFonts w:asciiTheme="minorHAnsi" w:hAnsiTheme="minorHAnsi" w:cstheme="minorHAnsi"/>
                <w:color w:val="000000"/>
                <w:sz w:val="18"/>
                <w:szCs w:val="18"/>
              </w:rPr>
              <w:t xml:space="preserve">Request to remove references to Prader Willi Syndrome (PWS) present in the PBS restrictions in the </w:t>
            </w:r>
            <w:r w:rsidRPr="00E04F96">
              <w:rPr>
                <w:rFonts w:asciiTheme="minorHAnsi" w:hAnsiTheme="minorHAnsi" w:cstheme="minorHAnsi"/>
                <w:i/>
                <w:iCs/>
                <w:color w:val="000000"/>
                <w:sz w:val="18"/>
                <w:szCs w:val="18"/>
              </w:rPr>
              <w:t>National Health (Growth Hormone Program) Special Arrangement 2015</w:t>
            </w:r>
            <w:r w:rsidRPr="00E04F96">
              <w:rPr>
                <w:rFonts w:asciiTheme="minorHAnsi" w:hAnsiTheme="minorHAnsi" w:cstheme="minorHAnsi"/>
                <w:color w:val="000000"/>
                <w:sz w:val="18"/>
                <w:szCs w:val="18"/>
              </w:rPr>
              <w:t xml:space="preserve"> to align with the updated definitions of ‘adult’ and ‘child’.</w:t>
            </w:r>
          </w:p>
        </w:tc>
        <w:tc>
          <w:tcPr>
            <w:tcW w:w="2653" w:type="pct"/>
            <w:shd w:val="clear" w:color="auto" w:fill="auto"/>
            <w:vAlign w:val="center"/>
          </w:tcPr>
          <w:p w14:paraId="267EFFC2" w14:textId="158E3FEA" w:rsidR="00E04F96" w:rsidRPr="00E04F96" w:rsidRDefault="00A61C56" w:rsidP="001A0295">
            <w:pPr>
              <w:rPr>
                <w:rFonts w:asciiTheme="minorHAnsi" w:hAnsiTheme="minorHAnsi" w:cstheme="minorHAnsi"/>
                <w:bCs/>
                <w:sz w:val="18"/>
                <w:szCs w:val="18"/>
              </w:rPr>
            </w:pPr>
            <w:r w:rsidRPr="00A61C56">
              <w:rPr>
                <w:rFonts w:asciiTheme="minorHAnsi" w:hAnsiTheme="minorHAnsi" w:cstheme="minorHAnsi"/>
                <w:color w:val="000000"/>
                <w:sz w:val="18"/>
                <w:szCs w:val="18"/>
              </w:rPr>
              <w:t xml:space="preserve">The PBAC recommended removing references to PWS present in the PBS restrictions for somatropin (PBS item codes: 11650E, 11495B, 11493X, 11895C) in the </w:t>
            </w:r>
            <w:r w:rsidRPr="001A0295">
              <w:rPr>
                <w:rFonts w:asciiTheme="minorHAnsi" w:hAnsiTheme="minorHAnsi" w:cstheme="minorHAnsi"/>
                <w:i/>
                <w:iCs/>
                <w:color w:val="000000"/>
                <w:sz w:val="18"/>
                <w:szCs w:val="18"/>
              </w:rPr>
              <w:t>National Health (Growth Hormone Program) Special Arrangement 2015</w:t>
            </w:r>
            <w:r w:rsidRPr="00A61C56">
              <w:rPr>
                <w:rFonts w:asciiTheme="minorHAnsi" w:hAnsiTheme="minorHAnsi" w:cstheme="minorHAnsi"/>
                <w:color w:val="000000"/>
                <w:sz w:val="18"/>
                <w:szCs w:val="18"/>
              </w:rPr>
              <w:t xml:space="preserve"> to align with the updated definitions of ‘adult’ and ‘child’. The updated definitions of ‘adult’ and ‘child’ are being amended to align with the intent of previous PBAC recommendations from July and August 2019. The PBAC advised that this would have no impact on patients currently receiving PBS subsidised growth hormone treatment.</w:t>
            </w:r>
          </w:p>
        </w:tc>
      </w:tr>
    </w:tbl>
    <w:p w14:paraId="4B4CEA1A" w14:textId="77777777" w:rsidR="00C70A4F" w:rsidRDefault="00C70A4F"/>
    <w:p w14:paraId="28033FA0" w14:textId="6E6C4982" w:rsidR="00C70A4F" w:rsidRPr="0094617D" w:rsidRDefault="00C70A4F">
      <w:pPr>
        <w:rPr>
          <w:rFonts w:asciiTheme="minorHAnsi" w:hAnsiTheme="minorHAnsi" w:cstheme="minorHAnsi"/>
          <w:sz w:val="18"/>
          <w:szCs w:val="18"/>
          <w:u w:val="single"/>
        </w:rPr>
      </w:pPr>
      <w:r w:rsidRPr="0094617D">
        <w:rPr>
          <w:rFonts w:asciiTheme="minorHAnsi" w:hAnsiTheme="minorHAnsi" w:cstheme="minorHAnsi"/>
          <w:sz w:val="18"/>
          <w:szCs w:val="18"/>
          <w:u w:val="single"/>
        </w:rPr>
        <w:lastRenderedPageBreak/>
        <w:t xml:space="preserve">Version 2 </w:t>
      </w:r>
    </w:p>
    <w:p w14:paraId="3F277EFA" w14:textId="77777777" w:rsidR="00C70A4F" w:rsidRPr="0094617D" w:rsidRDefault="00C70A4F">
      <w:pPr>
        <w:rPr>
          <w:rFonts w:asciiTheme="minorHAnsi" w:hAnsiTheme="minorHAnsi" w:cstheme="minorHAnsi"/>
          <w:sz w:val="18"/>
          <w:szCs w:val="18"/>
          <w:u w:val="single"/>
        </w:rPr>
      </w:pPr>
      <w:r w:rsidRPr="0094617D">
        <w:rPr>
          <w:rFonts w:asciiTheme="minorHAnsi" w:hAnsiTheme="minorHAnsi" w:cstheme="minorHAnsi"/>
          <w:sz w:val="18"/>
          <w:szCs w:val="18"/>
          <w:u w:val="single"/>
        </w:rPr>
        <w:t xml:space="preserve">Amendment </w:t>
      </w:r>
    </w:p>
    <w:p w14:paraId="3F641D38" w14:textId="2ED234E3" w:rsidR="002F2228" w:rsidRPr="0094617D" w:rsidRDefault="00C70A4F">
      <w:pPr>
        <w:rPr>
          <w:rFonts w:asciiTheme="minorHAnsi" w:hAnsiTheme="minorHAnsi" w:cstheme="minorHAnsi"/>
          <w:sz w:val="18"/>
          <w:szCs w:val="18"/>
        </w:rPr>
      </w:pPr>
      <w:r w:rsidRPr="0094617D">
        <w:rPr>
          <w:rFonts w:asciiTheme="minorHAnsi" w:hAnsiTheme="minorHAnsi" w:cstheme="minorHAnsi"/>
          <w:sz w:val="18"/>
          <w:szCs w:val="18"/>
        </w:rPr>
        <w:t xml:space="preserve">1. </w:t>
      </w:r>
      <w:r>
        <w:rPr>
          <w:rFonts w:asciiTheme="minorHAnsi" w:hAnsiTheme="minorHAnsi" w:cstheme="minorHAnsi"/>
          <w:sz w:val="18"/>
          <w:szCs w:val="18"/>
        </w:rPr>
        <w:t>FOSLEVODOPA WITH FOSCARBIDOPA -</w:t>
      </w:r>
      <w:r w:rsidRPr="0094617D">
        <w:rPr>
          <w:rFonts w:asciiTheme="minorHAnsi" w:hAnsiTheme="minorHAnsi" w:cstheme="minorHAnsi"/>
          <w:sz w:val="18"/>
          <w:szCs w:val="18"/>
        </w:rPr>
        <w:t xml:space="preserve"> Web outcome </w:t>
      </w:r>
      <w:r w:rsidR="00E80C27">
        <w:rPr>
          <w:rFonts w:asciiTheme="minorHAnsi" w:hAnsiTheme="minorHAnsi" w:cstheme="minorHAnsi"/>
          <w:sz w:val="18"/>
          <w:szCs w:val="18"/>
        </w:rPr>
        <w:t>amended.</w:t>
      </w:r>
    </w:p>
    <w:p w14:paraId="42A7E9F8" w14:textId="77777777" w:rsidR="00C70A4F" w:rsidRDefault="00C70A4F">
      <w:pPr>
        <w:rPr>
          <w:rFonts w:ascii="Arial" w:hAnsi="Arial" w:cs="Arial"/>
          <w:b/>
          <w:lang w:val="en-US"/>
        </w:rPr>
      </w:pPr>
      <w:r>
        <w:rPr>
          <w:rFonts w:ascii="Arial" w:hAnsi="Arial" w:cs="Arial"/>
          <w:b/>
          <w:lang w:val="en-US"/>
        </w:rPr>
        <w:br w:type="page"/>
      </w:r>
    </w:p>
    <w:p w14:paraId="6B64D1DE" w14:textId="5E000AB7" w:rsidR="007F48F6" w:rsidRPr="00292120" w:rsidRDefault="007F48F6" w:rsidP="007F48F6">
      <w:pPr>
        <w:rPr>
          <w:rFonts w:ascii="Arial" w:hAnsi="Arial" w:cs="Arial"/>
          <w:b/>
          <w:lang w:val="en-US"/>
        </w:rPr>
      </w:pPr>
      <w:r w:rsidRPr="00292120">
        <w:rPr>
          <w:rFonts w:ascii="Arial" w:hAnsi="Arial" w:cs="Arial"/>
          <w:b/>
          <w:lang w:val="en-US"/>
        </w:rPr>
        <w:lastRenderedPageBreak/>
        <w:t>Submission category types</w:t>
      </w:r>
    </w:p>
    <w:p w14:paraId="15D4233E" w14:textId="77777777" w:rsidR="007F48F6" w:rsidRPr="00292120" w:rsidRDefault="007F48F6" w:rsidP="007F48F6">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A159CA">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5B583D">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w:t>
            </w:r>
            <w:proofErr w:type="spellStart"/>
            <w:r w:rsidRPr="00292120">
              <w:rPr>
                <w:rFonts w:ascii="Arial" w:hAnsi="Arial" w:cs="Arial"/>
                <w:color w:val="000000"/>
                <w:sz w:val="20"/>
                <w:szCs w:val="20"/>
              </w:rPr>
              <w:t>codependent</w:t>
            </w:r>
            <w:proofErr w:type="spellEnd"/>
            <w:r w:rsidRPr="00292120">
              <w:rPr>
                <w:rFonts w:ascii="Arial" w:hAnsi="Arial" w:cs="Arial"/>
                <w:color w:val="000000"/>
                <w:sz w:val="20"/>
                <w:szCs w:val="20"/>
              </w:rPr>
              <w:t xml:space="preserve"> technology that requires an integrated </w:t>
            </w:r>
            <w:proofErr w:type="spellStart"/>
            <w:r w:rsidRPr="00292120">
              <w:rPr>
                <w:rFonts w:ascii="Arial" w:hAnsi="Arial" w:cs="Arial"/>
                <w:color w:val="000000"/>
                <w:sz w:val="20"/>
                <w:szCs w:val="20"/>
              </w:rPr>
              <w:t>codependent</w:t>
            </w:r>
            <w:proofErr w:type="spellEnd"/>
            <w:r w:rsidRPr="00292120">
              <w:rPr>
                <w:rFonts w:ascii="Arial" w:hAnsi="Arial" w:cs="Arial"/>
                <w:color w:val="000000"/>
                <w:sz w:val="20"/>
                <w:szCs w:val="20"/>
              </w:rPr>
              <w:t xml:space="preserve"> submission to the PBAC and MSAC. OR </w:t>
            </w:r>
          </w:p>
          <w:p w14:paraId="1380A86B"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5B583D">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77777777" w:rsidR="007F48F6" w:rsidRPr="00292120" w:rsidRDefault="007F48F6" w:rsidP="005B583D">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5B583D">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5B583D">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7EF9BA42"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5B583D">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9A1C75">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1A3326E0" w14:textId="77777777" w:rsidR="007F48F6" w:rsidRPr="00292120" w:rsidRDefault="007F48F6" w:rsidP="00EF3B9C">
      <w:pPr>
        <w:rPr>
          <w:rFonts w:ascii="Arial" w:hAnsi="Arial" w:cs="Arial"/>
          <w:b/>
          <w:lang w:val="en-US"/>
        </w:rPr>
      </w:pPr>
    </w:p>
    <w:p w14:paraId="379497B6" w14:textId="77777777" w:rsidR="008D62B4" w:rsidRPr="00292120" w:rsidRDefault="008D62B4">
      <w:pPr>
        <w:rPr>
          <w:rFonts w:ascii="Arial" w:hAnsi="Arial" w:cs="Arial"/>
          <w:b/>
          <w:lang w:val="en-US"/>
        </w:rPr>
      </w:pPr>
      <w:r w:rsidRPr="00292120">
        <w:rPr>
          <w:rFonts w:ascii="Arial" w:hAnsi="Arial" w:cs="Arial"/>
          <w:b/>
          <w:lang w:val="en-US"/>
        </w:rPr>
        <w:br w:type="page"/>
      </w:r>
    </w:p>
    <w:p w14:paraId="6CE3C41E" w14:textId="0367938F" w:rsidR="00640C80" w:rsidRPr="00292120" w:rsidRDefault="005A0A21" w:rsidP="00EF3B9C">
      <w:pPr>
        <w:rPr>
          <w:rFonts w:ascii="Arial" w:hAnsi="Arial" w:cs="Arial"/>
          <w:b/>
          <w:lang w:val="en-US"/>
        </w:rPr>
      </w:pPr>
      <w:r w:rsidRPr="00292120">
        <w:rPr>
          <w:rFonts w:ascii="Arial" w:hAnsi="Arial" w:cs="Arial"/>
          <w:b/>
          <w:lang w:val="en-US"/>
        </w:rPr>
        <w:lastRenderedPageBreak/>
        <w:t>Resubmission pathways</w:t>
      </w:r>
    </w:p>
    <w:p w14:paraId="025CE011" w14:textId="77777777" w:rsidR="005A0A21" w:rsidRPr="00292120" w:rsidRDefault="005A0A21" w:rsidP="00640C80">
      <w:pPr>
        <w:tabs>
          <w:tab w:val="left" w:pos="5210"/>
        </w:tabs>
        <w:rPr>
          <w:rFonts w:ascii="Arial" w:hAnsi="Arial" w:cs="Arial"/>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292120" w:rsidRDefault="004A3371">
            <w:pPr>
              <w:rPr>
                <w:rFonts w:ascii="Arial" w:hAnsi="Arial" w:cs="Arial"/>
              </w:rPr>
            </w:pPr>
            <w:r w:rsidRPr="00292120">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292120">
              <w:rPr>
                <w:rFonts w:ascii="Arial" w:hAnsi="Arial" w:cs="Arial"/>
              </w:rPr>
              <w:t>The resubmission pathways are classified into the following categories:</w:t>
            </w:r>
          </w:p>
        </w:tc>
      </w:tr>
      <w:tr w:rsidR="004A3371" w:rsidRPr="00292120"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292120" w:rsidRDefault="004A3371">
            <w:pPr>
              <w:spacing w:after="160" w:line="252" w:lineRule="auto"/>
              <w:contextualSpacing/>
              <w:rPr>
                <w:rFonts w:ascii="Arial" w:hAnsi="Arial" w:cs="Arial"/>
                <w:b/>
                <w:bCs/>
              </w:rPr>
            </w:pPr>
            <w:r w:rsidRPr="00292120">
              <w:rPr>
                <w:rFonts w:ascii="Arial" w:hAnsi="Arial" w:cs="Arial"/>
                <w:b/>
                <w:bCs/>
              </w:rPr>
              <w:t>Standard re-entry</w:t>
            </w:r>
          </w:p>
          <w:p w14:paraId="14CD87B9" w14:textId="77777777" w:rsidR="004A3371" w:rsidRPr="00292120" w:rsidRDefault="004A3371">
            <w:pPr>
              <w:spacing w:line="252" w:lineRule="auto"/>
              <w:rPr>
                <w:rFonts w:ascii="Arial" w:hAnsi="Arial"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292120" w:rsidRDefault="004A3371">
            <w:pPr>
              <w:autoSpaceDE w:val="0"/>
              <w:autoSpaceDN w:val="0"/>
              <w:rPr>
                <w:rFonts w:ascii="Arial" w:hAnsi="Arial" w:cs="Arial"/>
                <w:color w:val="000000"/>
              </w:rPr>
            </w:pPr>
            <w:r w:rsidRPr="00292120">
              <w:rPr>
                <w:rFonts w:ascii="Arial" w:hAnsi="Arial" w:cs="Arial"/>
                <w:color w:val="000000"/>
              </w:rPr>
              <w:t xml:space="preserve">The Standard Re-entry Pathway is the default pathway for resubmissions and also applies where: </w:t>
            </w:r>
          </w:p>
          <w:p w14:paraId="430AF034" w14:textId="77777777"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chooses not to accept the PBAC nominated resubmission pathway; or </w:t>
            </w:r>
          </w:p>
          <w:p w14:paraId="15ADDEB3" w14:textId="3C3608FE"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decides to lodge later than the allowable timelines for the other pathways. </w:t>
            </w:r>
          </w:p>
        </w:tc>
      </w:tr>
      <w:tr w:rsidR="004A3371" w:rsidRPr="00292120"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292120" w:rsidRDefault="004A3371">
            <w:pPr>
              <w:spacing w:after="160" w:line="252" w:lineRule="auto"/>
              <w:contextualSpacing/>
              <w:rPr>
                <w:rFonts w:ascii="Arial" w:hAnsi="Arial" w:cs="Arial"/>
                <w:b/>
                <w:bCs/>
                <w:lang w:eastAsia="en-US"/>
              </w:rPr>
            </w:pPr>
            <w:r w:rsidRPr="00292120">
              <w:rPr>
                <w:rFonts w:ascii="Arial" w:hAnsi="Arial"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2B0ABB4E" w:rsidR="004A3371" w:rsidRPr="00292120" w:rsidRDefault="004A3371">
            <w:pPr>
              <w:spacing w:after="160" w:line="252" w:lineRule="auto"/>
              <w:contextualSpacing/>
              <w:rPr>
                <w:rFonts w:ascii="Arial" w:hAnsi="Arial" w:cs="Arial"/>
                <w:color w:val="000000"/>
              </w:rPr>
            </w:pPr>
            <w:r w:rsidRPr="00292120">
              <w:rPr>
                <w:rFonts w:ascii="Arial" w:hAnsi="Arial" w:cs="Arial"/>
              </w:rPr>
              <w:t xml:space="preserve">An Early Re-entry Pathway may be nominated by the PBAC where the PBAC considers that the remaining issues could be easily resolved and the medicine or vaccine does not represent </w:t>
            </w:r>
            <w:r w:rsidR="003577EB" w:rsidRPr="00292120">
              <w:rPr>
                <w:rFonts w:ascii="Arial" w:hAnsi="Arial" w:cs="Arial"/>
                <w:color w:val="000000"/>
              </w:rPr>
              <w:t xml:space="preserve">High Added Therapeutic Value (HATV) </w:t>
            </w:r>
            <w:r w:rsidRPr="00292120">
              <w:rPr>
                <w:rFonts w:ascii="Arial" w:hAnsi="Arial" w:cs="Arial"/>
              </w:rPr>
              <w:t>for the proposed population. Applicants who accept this pathway are eligible for PBAC consideration at the immediate next meeting.</w:t>
            </w:r>
          </w:p>
        </w:tc>
      </w:tr>
      <w:tr w:rsidR="004A3371" w:rsidRPr="00292120"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292120" w:rsidRDefault="004A3371">
            <w:pPr>
              <w:spacing w:line="252" w:lineRule="auto"/>
              <w:rPr>
                <w:rFonts w:ascii="Arial" w:hAnsi="Arial" w:cs="Arial"/>
                <w:b/>
                <w:bCs/>
                <w:lang w:eastAsia="en-US"/>
              </w:rPr>
            </w:pPr>
            <w:r w:rsidRPr="00292120">
              <w:rPr>
                <w:rFonts w:ascii="Arial" w:hAnsi="Arial" w:cs="Arial"/>
                <w:b/>
                <w:bCs/>
              </w:rPr>
              <w:t>Early resolution pathway</w:t>
            </w:r>
          </w:p>
          <w:p w14:paraId="157D2C85" w14:textId="77777777" w:rsidR="004A3371" w:rsidRPr="00292120" w:rsidRDefault="004A3371">
            <w:pPr>
              <w:rPr>
                <w:rFonts w:ascii="Arial" w:hAnsi="Arial"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61CC1928" w:rsidR="004A3371" w:rsidRPr="00292120" w:rsidRDefault="004A3371">
            <w:pPr>
              <w:autoSpaceDE w:val="0"/>
              <w:autoSpaceDN w:val="0"/>
              <w:rPr>
                <w:rFonts w:ascii="Arial" w:hAnsi="Arial" w:cs="Arial"/>
                <w:color w:val="000000"/>
              </w:rPr>
            </w:pPr>
            <w:r w:rsidRPr="00292120">
              <w:rPr>
                <w:rFonts w:ascii="Arial" w:hAnsi="Arial" w:cs="Arial"/>
                <w:color w:val="000000"/>
              </w:rPr>
              <w:t xml:space="preserve">For medicines or vaccines deemed by the PBAC to represent HATV AND where the PBAC considers that the remaining issues could be easily resolved, including when: </w:t>
            </w:r>
          </w:p>
          <w:p w14:paraId="6EC882B7" w14:textId="77777777" w:rsidR="004A3371" w:rsidRPr="00292120" w:rsidRDefault="004A3371" w:rsidP="00461045">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292120" w:rsidRDefault="004A3371" w:rsidP="00461045">
            <w:pPr>
              <w:pStyle w:val="ListParagraph"/>
              <w:numPr>
                <w:ilvl w:val="0"/>
                <w:numId w:val="2"/>
              </w:numPr>
              <w:autoSpaceDE w:val="0"/>
              <w:autoSpaceDN w:val="0"/>
              <w:spacing w:after="120"/>
              <w:contextualSpacing w:val="0"/>
              <w:rPr>
                <w:rFonts w:ascii="Arial" w:hAnsi="Arial" w:cs="Arial"/>
                <w:color w:val="000000"/>
                <w:sz w:val="20"/>
                <w:szCs w:val="20"/>
              </w:rPr>
            </w:pPr>
            <w:r w:rsidRPr="00292120">
              <w:rPr>
                <w:rFonts w:ascii="Arial" w:hAnsi="Arial"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292120" w:rsidRDefault="004A3371">
            <w:pPr>
              <w:pStyle w:val="NormalWeb"/>
              <w:spacing w:before="0" w:beforeAutospacing="0" w:after="0" w:afterAutospacing="0"/>
              <w:rPr>
                <w:rFonts w:ascii="Arial" w:hAnsi="Arial" w:cs="Arial"/>
                <w:sz w:val="20"/>
                <w:szCs w:val="20"/>
              </w:rPr>
            </w:pPr>
            <w:r w:rsidRPr="00292120">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292120" w:rsidRDefault="004A3371">
            <w:pPr>
              <w:rPr>
                <w:rFonts w:ascii="Arial" w:hAnsi="Arial" w:cs="Arial"/>
              </w:rPr>
            </w:pPr>
            <w:r w:rsidRPr="00292120">
              <w:rPr>
                <w:rFonts w:ascii="Arial" w:hAnsi="Arial"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104C4A0C" w:rsidR="004A3371" w:rsidRPr="00292120" w:rsidRDefault="004A3371">
            <w:pPr>
              <w:autoSpaceDE w:val="0"/>
              <w:autoSpaceDN w:val="0"/>
              <w:rPr>
                <w:rFonts w:ascii="Arial" w:hAnsi="Arial" w:cs="Arial"/>
                <w:b/>
                <w:bCs/>
                <w:highlight w:val="green"/>
              </w:rPr>
            </w:pPr>
            <w:r w:rsidRPr="00292120">
              <w:rPr>
                <w:rFonts w:ascii="Arial" w:hAnsi="Arial"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Pr="00292120" w:rsidRDefault="00AD3477" w:rsidP="004A3371">
      <w:pPr>
        <w:tabs>
          <w:tab w:val="left" w:pos="5210"/>
        </w:tabs>
        <w:rPr>
          <w:rFonts w:ascii="Arial" w:hAnsi="Arial" w:cs="Arial"/>
          <w:lang w:val="en-US"/>
        </w:rPr>
      </w:pPr>
    </w:p>
    <w:p w14:paraId="6C9BA0D5" w14:textId="77777777" w:rsidR="00461045" w:rsidRPr="00292120" w:rsidRDefault="00461045" w:rsidP="004A3371">
      <w:pPr>
        <w:tabs>
          <w:tab w:val="left" w:pos="5210"/>
        </w:tabs>
        <w:rPr>
          <w:rFonts w:ascii="Arial" w:hAnsi="Arial" w:cs="Arial"/>
          <w:lang w:val="en-US"/>
        </w:rPr>
      </w:pPr>
    </w:p>
    <w:sectPr w:rsidR="00461045" w:rsidRPr="00292120"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E902E8" w:rsidRDefault="00E902E8">
      <w:r>
        <w:separator/>
      </w:r>
    </w:p>
  </w:endnote>
  <w:endnote w:type="continuationSeparator" w:id="0">
    <w:p w14:paraId="0B94B43F" w14:textId="77777777" w:rsidR="00E902E8" w:rsidRDefault="00E902E8">
      <w:r>
        <w:continuationSeparator/>
      </w:r>
    </w:p>
  </w:endnote>
  <w:endnote w:type="continuationNotice" w:id="1">
    <w:p w14:paraId="340BFECE" w14:textId="77777777" w:rsidR="00E902E8" w:rsidRDefault="00E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D426" w14:textId="77777777" w:rsidR="00E574A7" w:rsidRDefault="00E5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E902E8" w:rsidRDefault="00E902E8">
      <w:r>
        <w:separator/>
      </w:r>
    </w:p>
  </w:footnote>
  <w:footnote w:type="continuationSeparator" w:id="0">
    <w:p w14:paraId="7F846E8F" w14:textId="77777777" w:rsidR="00E902E8" w:rsidRDefault="00E902E8">
      <w:r>
        <w:continuationSeparator/>
      </w:r>
    </w:p>
  </w:footnote>
  <w:footnote w:type="continuationNotice" w:id="1">
    <w:p w14:paraId="70FA89B9" w14:textId="77777777" w:rsidR="00E902E8" w:rsidRDefault="00E9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8CDF" w14:textId="77777777" w:rsidR="00E574A7" w:rsidRDefault="00E57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46617496" w:rsidR="00E902E8" w:rsidRDefault="00897FAC" w:rsidP="00571206">
    <w:pPr>
      <w:pStyle w:val="Header"/>
      <w:jc w:val="center"/>
      <w:rPr>
        <w:rFonts w:ascii="Arial" w:hAnsi="Arial" w:cs="Arial"/>
        <w:b/>
      </w:rPr>
    </w:pPr>
    <w:r>
      <w:rPr>
        <w:rFonts w:ascii="Arial" w:hAnsi="Arial" w:cs="Arial"/>
        <w:b/>
      </w:rPr>
      <w:t>JULY</w:t>
    </w:r>
    <w:r w:rsidR="00424F1F">
      <w:rPr>
        <w:rFonts w:ascii="Arial" w:hAnsi="Arial" w:cs="Arial"/>
        <w:b/>
      </w:rPr>
      <w:t xml:space="preserve"> </w:t>
    </w:r>
    <w:r w:rsidR="00E902E8">
      <w:rPr>
        <w:rFonts w:ascii="Arial" w:hAnsi="Arial" w:cs="Arial"/>
        <w:b/>
      </w:rPr>
      <w:t>202</w:t>
    </w:r>
    <w:r w:rsidR="00894AB9">
      <w:rPr>
        <w:rFonts w:ascii="Arial" w:hAnsi="Arial" w:cs="Arial"/>
        <w:b/>
      </w:rPr>
      <w:t>3</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F7B3" w14:textId="77777777" w:rsidR="00E574A7" w:rsidRDefault="00E57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6"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184386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33"/>
  </w:num>
  <w:num w:numId="4" w16cid:durableId="1955818708">
    <w:abstractNumId w:val="6"/>
  </w:num>
  <w:num w:numId="5" w16cid:durableId="1762793081">
    <w:abstractNumId w:val="9"/>
  </w:num>
  <w:num w:numId="6" w16cid:durableId="1063870176">
    <w:abstractNumId w:val="2"/>
  </w:num>
  <w:num w:numId="7" w16cid:durableId="17202420">
    <w:abstractNumId w:val="12"/>
  </w:num>
  <w:num w:numId="8" w16cid:durableId="1042025453">
    <w:abstractNumId w:val="28"/>
  </w:num>
  <w:num w:numId="9" w16cid:durableId="6538040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17"/>
  </w:num>
  <w:num w:numId="11" w16cid:durableId="1146433718">
    <w:abstractNumId w:val="7"/>
  </w:num>
  <w:num w:numId="12" w16cid:durableId="403258695">
    <w:abstractNumId w:val="37"/>
  </w:num>
  <w:num w:numId="13" w16cid:durableId="1862627038">
    <w:abstractNumId w:val="41"/>
  </w:num>
  <w:num w:numId="14" w16cid:durableId="1933540907">
    <w:abstractNumId w:val="10"/>
  </w:num>
  <w:num w:numId="15" w16cid:durableId="410933758">
    <w:abstractNumId w:val="15"/>
  </w:num>
  <w:num w:numId="16" w16cid:durableId="1277060000">
    <w:abstractNumId w:val="21"/>
  </w:num>
  <w:num w:numId="17" w16cid:durableId="932201648">
    <w:abstractNumId w:val="39"/>
  </w:num>
  <w:num w:numId="18" w16cid:durableId="871497882">
    <w:abstractNumId w:val="5"/>
  </w:num>
  <w:num w:numId="19" w16cid:durableId="2057124610">
    <w:abstractNumId w:val="32"/>
  </w:num>
  <w:num w:numId="20" w16cid:durableId="174879048">
    <w:abstractNumId w:val="14"/>
  </w:num>
  <w:num w:numId="21" w16cid:durableId="258415052">
    <w:abstractNumId w:val="31"/>
  </w:num>
  <w:num w:numId="22" w16cid:durableId="1753772491">
    <w:abstractNumId w:val="34"/>
  </w:num>
  <w:num w:numId="23" w16cid:durableId="701518877">
    <w:abstractNumId w:val="30"/>
  </w:num>
  <w:num w:numId="24" w16cid:durableId="1493136778">
    <w:abstractNumId w:val="19"/>
  </w:num>
  <w:num w:numId="25" w16cid:durableId="527648721">
    <w:abstractNumId w:val="4"/>
  </w:num>
  <w:num w:numId="26" w16cid:durableId="753933244">
    <w:abstractNumId w:val="26"/>
  </w:num>
  <w:num w:numId="27" w16cid:durableId="1139153049">
    <w:abstractNumId w:val="22"/>
  </w:num>
  <w:num w:numId="28" w16cid:durableId="699205066">
    <w:abstractNumId w:val="13"/>
  </w:num>
  <w:num w:numId="29" w16cid:durableId="1951667345">
    <w:abstractNumId w:val="3"/>
  </w:num>
  <w:num w:numId="30" w16cid:durableId="860750086">
    <w:abstractNumId w:val="29"/>
  </w:num>
  <w:num w:numId="31" w16cid:durableId="2092240650">
    <w:abstractNumId w:val="0"/>
  </w:num>
  <w:num w:numId="32" w16cid:durableId="20669193">
    <w:abstractNumId w:val="1"/>
  </w:num>
  <w:num w:numId="33" w16cid:durableId="602032988">
    <w:abstractNumId w:val="20"/>
  </w:num>
  <w:num w:numId="34" w16cid:durableId="795491393">
    <w:abstractNumId w:val="11"/>
  </w:num>
  <w:num w:numId="35" w16cid:durableId="1371421239">
    <w:abstractNumId w:val="36"/>
  </w:num>
  <w:num w:numId="36" w16cid:durableId="495536337">
    <w:abstractNumId w:val="40"/>
  </w:num>
  <w:num w:numId="37" w16cid:durableId="508719203">
    <w:abstractNumId w:val="8"/>
  </w:num>
  <w:num w:numId="38" w16cid:durableId="258568966">
    <w:abstractNumId w:val="16"/>
  </w:num>
  <w:num w:numId="39" w16cid:durableId="1399867477">
    <w:abstractNumId w:val="27"/>
  </w:num>
  <w:num w:numId="40" w16cid:durableId="1150096549">
    <w:abstractNumId w:val="35"/>
  </w:num>
  <w:num w:numId="41" w16cid:durableId="1847667302">
    <w:abstractNumId w:val="18"/>
  </w:num>
  <w:num w:numId="42" w16cid:durableId="1178958632">
    <w:abstractNumId w:val="38"/>
  </w:num>
  <w:num w:numId="43" w16cid:durableId="76430397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6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868"/>
    <w:rsid w:val="00002E16"/>
    <w:rsid w:val="00002E7D"/>
    <w:rsid w:val="0000304C"/>
    <w:rsid w:val="000034C3"/>
    <w:rsid w:val="00003584"/>
    <w:rsid w:val="00004628"/>
    <w:rsid w:val="0000462B"/>
    <w:rsid w:val="00004D33"/>
    <w:rsid w:val="00004D75"/>
    <w:rsid w:val="00004F9D"/>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394"/>
    <w:rsid w:val="0001152D"/>
    <w:rsid w:val="000118E3"/>
    <w:rsid w:val="00011EA7"/>
    <w:rsid w:val="000120D3"/>
    <w:rsid w:val="000129ED"/>
    <w:rsid w:val="00013284"/>
    <w:rsid w:val="0001362E"/>
    <w:rsid w:val="000136A0"/>
    <w:rsid w:val="00013785"/>
    <w:rsid w:val="00014746"/>
    <w:rsid w:val="00014B96"/>
    <w:rsid w:val="00014DC1"/>
    <w:rsid w:val="00014FF8"/>
    <w:rsid w:val="00015520"/>
    <w:rsid w:val="000155A7"/>
    <w:rsid w:val="00015748"/>
    <w:rsid w:val="00015DFE"/>
    <w:rsid w:val="00016092"/>
    <w:rsid w:val="0001617C"/>
    <w:rsid w:val="00016211"/>
    <w:rsid w:val="0001634D"/>
    <w:rsid w:val="00016386"/>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6187"/>
    <w:rsid w:val="0002716D"/>
    <w:rsid w:val="00027346"/>
    <w:rsid w:val="00027672"/>
    <w:rsid w:val="00027773"/>
    <w:rsid w:val="00027AB0"/>
    <w:rsid w:val="0003017D"/>
    <w:rsid w:val="00030320"/>
    <w:rsid w:val="00030887"/>
    <w:rsid w:val="00030A03"/>
    <w:rsid w:val="00030A49"/>
    <w:rsid w:val="000311AC"/>
    <w:rsid w:val="00031946"/>
    <w:rsid w:val="00032078"/>
    <w:rsid w:val="00032226"/>
    <w:rsid w:val="000322EC"/>
    <w:rsid w:val="00032AB9"/>
    <w:rsid w:val="00032CE5"/>
    <w:rsid w:val="00033D0B"/>
    <w:rsid w:val="00034086"/>
    <w:rsid w:val="000341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8E8"/>
    <w:rsid w:val="00042970"/>
    <w:rsid w:val="000433CA"/>
    <w:rsid w:val="00043755"/>
    <w:rsid w:val="00043C1D"/>
    <w:rsid w:val="00044146"/>
    <w:rsid w:val="0004479C"/>
    <w:rsid w:val="00044BB4"/>
    <w:rsid w:val="00045450"/>
    <w:rsid w:val="00046725"/>
    <w:rsid w:val="000468C0"/>
    <w:rsid w:val="00046DA2"/>
    <w:rsid w:val="00050762"/>
    <w:rsid w:val="000507B9"/>
    <w:rsid w:val="00050DA9"/>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05A"/>
    <w:rsid w:val="00063210"/>
    <w:rsid w:val="0006357B"/>
    <w:rsid w:val="00063D17"/>
    <w:rsid w:val="000643D0"/>
    <w:rsid w:val="000648E2"/>
    <w:rsid w:val="000650C3"/>
    <w:rsid w:val="00065195"/>
    <w:rsid w:val="00065C22"/>
    <w:rsid w:val="000666A9"/>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3432"/>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27F9"/>
    <w:rsid w:val="00082ED9"/>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805"/>
    <w:rsid w:val="000C494F"/>
    <w:rsid w:val="000C56B4"/>
    <w:rsid w:val="000C586F"/>
    <w:rsid w:val="000C5A78"/>
    <w:rsid w:val="000C5B48"/>
    <w:rsid w:val="000C661A"/>
    <w:rsid w:val="000C77A9"/>
    <w:rsid w:val="000D0D8B"/>
    <w:rsid w:val="000D14F1"/>
    <w:rsid w:val="000D17E0"/>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005"/>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4952"/>
    <w:rsid w:val="000F5D35"/>
    <w:rsid w:val="000F5DDE"/>
    <w:rsid w:val="000F6F0D"/>
    <w:rsid w:val="000F7390"/>
    <w:rsid w:val="000F7D67"/>
    <w:rsid w:val="001000EA"/>
    <w:rsid w:val="00100A53"/>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257"/>
    <w:rsid w:val="00115629"/>
    <w:rsid w:val="001158B6"/>
    <w:rsid w:val="00115B67"/>
    <w:rsid w:val="00115C32"/>
    <w:rsid w:val="0011605A"/>
    <w:rsid w:val="00116222"/>
    <w:rsid w:val="001171CB"/>
    <w:rsid w:val="00117210"/>
    <w:rsid w:val="0011744C"/>
    <w:rsid w:val="00117AF4"/>
    <w:rsid w:val="00120070"/>
    <w:rsid w:val="00120A89"/>
    <w:rsid w:val="00120F0F"/>
    <w:rsid w:val="00120FAC"/>
    <w:rsid w:val="00121311"/>
    <w:rsid w:val="00121A8E"/>
    <w:rsid w:val="00121BF6"/>
    <w:rsid w:val="00122A1C"/>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057"/>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347"/>
    <w:rsid w:val="00142EED"/>
    <w:rsid w:val="00143743"/>
    <w:rsid w:val="001437D5"/>
    <w:rsid w:val="00143E66"/>
    <w:rsid w:val="00143EB0"/>
    <w:rsid w:val="00143FEE"/>
    <w:rsid w:val="00144CCA"/>
    <w:rsid w:val="00145D66"/>
    <w:rsid w:val="00146059"/>
    <w:rsid w:val="00146F0E"/>
    <w:rsid w:val="0014776D"/>
    <w:rsid w:val="00147845"/>
    <w:rsid w:val="00147FC1"/>
    <w:rsid w:val="001500C8"/>
    <w:rsid w:val="001502B0"/>
    <w:rsid w:val="00150381"/>
    <w:rsid w:val="0015080E"/>
    <w:rsid w:val="0015100D"/>
    <w:rsid w:val="001511D3"/>
    <w:rsid w:val="00151705"/>
    <w:rsid w:val="00151C88"/>
    <w:rsid w:val="00151D35"/>
    <w:rsid w:val="00152387"/>
    <w:rsid w:val="00152A0C"/>
    <w:rsid w:val="00153424"/>
    <w:rsid w:val="00153C15"/>
    <w:rsid w:val="00153EE1"/>
    <w:rsid w:val="0015402E"/>
    <w:rsid w:val="00154524"/>
    <w:rsid w:val="001546E8"/>
    <w:rsid w:val="00154828"/>
    <w:rsid w:val="00155698"/>
    <w:rsid w:val="00155809"/>
    <w:rsid w:val="00155BC9"/>
    <w:rsid w:val="00155C11"/>
    <w:rsid w:val="00157D22"/>
    <w:rsid w:val="00157F62"/>
    <w:rsid w:val="001600EB"/>
    <w:rsid w:val="00160327"/>
    <w:rsid w:val="00160423"/>
    <w:rsid w:val="00160AB7"/>
    <w:rsid w:val="00161177"/>
    <w:rsid w:val="00161841"/>
    <w:rsid w:val="00161C25"/>
    <w:rsid w:val="00161CC6"/>
    <w:rsid w:val="00161CD7"/>
    <w:rsid w:val="001628AD"/>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100"/>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DA1"/>
    <w:rsid w:val="00184E8A"/>
    <w:rsid w:val="0018519A"/>
    <w:rsid w:val="00185571"/>
    <w:rsid w:val="00190272"/>
    <w:rsid w:val="00190B36"/>
    <w:rsid w:val="00190B9C"/>
    <w:rsid w:val="00190D52"/>
    <w:rsid w:val="00190E20"/>
    <w:rsid w:val="0019138B"/>
    <w:rsid w:val="001919D3"/>
    <w:rsid w:val="001925E9"/>
    <w:rsid w:val="00192900"/>
    <w:rsid w:val="00192D91"/>
    <w:rsid w:val="00192F48"/>
    <w:rsid w:val="0019395E"/>
    <w:rsid w:val="00193C35"/>
    <w:rsid w:val="0019441C"/>
    <w:rsid w:val="001950D9"/>
    <w:rsid w:val="00195379"/>
    <w:rsid w:val="00195A6E"/>
    <w:rsid w:val="00196144"/>
    <w:rsid w:val="00196284"/>
    <w:rsid w:val="00196644"/>
    <w:rsid w:val="001971B1"/>
    <w:rsid w:val="001971EA"/>
    <w:rsid w:val="00197975"/>
    <w:rsid w:val="001A0295"/>
    <w:rsid w:val="001A0765"/>
    <w:rsid w:val="001A0DC8"/>
    <w:rsid w:val="001A0F43"/>
    <w:rsid w:val="001A14F5"/>
    <w:rsid w:val="001A1777"/>
    <w:rsid w:val="001A1A8A"/>
    <w:rsid w:val="001A2649"/>
    <w:rsid w:val="001A307D"/>
    <w:rsid w:val="001A3986"/>
    <w:rsid w:val="001A3E19"/>
    <w:rsid w:val="001A4242"/>
    <w:rsid w:val="001A48FD"/>
    <w:rsid w:val="001A63A3"/>
    <w:rsid w:val="001A6A97"/>
    <w:rsid w:val="001A6DEF"/>
    <w:rsid w:val="001A7A6A"/>
    <w:rsid w:val="001A7A87"/>
    <w:rsid w:val="001B049D"/>
    <w:rsid w:val="001B04E4"/>
    <w:rsid w:val="001B0553"/>
    <w:rsid w:val="001B0636"/>
    <w:rsid w:val="001B1577"/>
    <w:rsid w:val="001B15BA"/>
    <w:rsid w:val="001B16C3"/>
    <w:rsid w:val="001B1838"/>
    <w:rsid w:val="001B1C15"/>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100"/>
    <w:rsid w:val="001C41DA"/>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711"/>
    <w:rsid w:val="001E092F"/>
    <w:rsid w:val="001E0947"/>
    <w:rsid w:val="001E152C"/>
    <w:rsid w:val="001E17F9"/>
    <w:rsid w:val="001E1ABD"/>
    <w:rsid w:val="001E24EA"/>
    <w:rsid w:val="001E25FF"/>
    <w:rsid w:val="001E2CF5"/>
    <w:rsid w:val="001E35D6"/>
    <w:rsid w:val="001E3B0A"/>
    <w:rsid w:val="001E411C"/>
    <w:rsid w:val="001E5979"/>
    <w:rsid w:val="001E5C38"/>
    <w:rsid w:val="001E6EC5"/>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4875"/>
    <w:rsid w:val="00205337"/>
    <w:rsid w:val="00205C7C"/>
    <w:rsid w:val="002060A5"/>
    <w:rsid w:val="0020622C"/>
    <w:rsid w:val="002068F5"/>
    <w:rsid w:val="002070E4"/>
    <w:rsid w:val="002070E6"/>
    <w:rsid w:val="0020721C"/>
    <w:rsid w:val="002072C3"/>
    <w:rsid w:val="002077A1"/>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44B"/>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50D"/>
    <w:rsid w:val="00250912"/>
    <w:rsid w:val="00250DBA"/>
    <w:rsid w:val="00251087"/>
    <w:rsid w:val="00251294"/>
    <w:rsid w:val="00251AD5"/>
    <w:rsid w:val="00251E7D"/>
    <w:rsid w:val="002523E5"/>
    <w:rsid w:val="00253058"/>
    <w:rsid w:val="00253764"/>
    <w:rsid w:val="002550D8"/>
    <w:rsid w:val="00255896"/>
    <w:rsid w:val="00256078"/>
    <w:rsid w:val="002564FB"/>
    <w:rsid w:val="00256907"/>
    <w:rsid w:val="00257387"/>
    <w:rsid w:val="00257615"/>
    <w:rsid w:val="00257660"/>
    <w:rsid w:val="00257EB8"/>
    <w:rsid w:val="0026049B"/>
    <w:rsid w:val="00260EFA"/>
    <w:rsid w:val="00261377"/>
    <w:rsid w:val="00261714"/>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3042"/>
    <w:rsid w:val="0027463A"/>
    <w:rsid w:val="00274815"/>
    <w:rsid w:val="0027487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6B"/>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781"/>
    <w:rsid w:val="002969C0"/>
    <w:rsid w:val="0029707F"/>
    <w:rsid w:val="002972D4"/>
    <w:rsid w:val="002978B6"/>
    <w:rsid w:val="002979D2"/>
    <w:rsid w:val="002979E1"/>
    <w:rsid w:val="00297AEF"/>
    <w:rsid w:val="00297F02"/>
    <w:rsid w:val="002A06E1"/>
    <w:rsid w:val="002A0D05"/>
    <w:rsid w:val="002A21E8"/>
    <w:rsid w:val="002A29B6"/>
    <w:rsid w:val="002A2DC2"/>
    <w:rsid w:val="002A3220"/>
    <w:rsid w:val="002A3596"/>
    <w:rsid w:val="002A37BE"/>
    <w:rsid w:val="002A3AA9"/>
    <w:rsid w:val="002A570E"/>
    <w:rsid w:val="002A58F4"/>
    <w:rsid w:val="002A5AA2"/>
    <w:rsid w:val="002A5C85"/>
    <w:rsid w:val="002A5C87"/>
    <w:rsid w:val="002A5D50"/>
    <w:rsid w:val="002A5DE5"/>
    <w:rsid w:val="002A6503"/>
    <w:rsid w:val="002A659A"/>
    <w:rsid w:val="002A7542"/>
    <w:rsid w:val="002A7BE8"/>
    <w:rsid w:val="002B0474"/>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F7B"/>
    <w:rsid w:val="002C2427"/>
    <w:rsid w:val="002C2773"/>
    <w:rsid w:val="002C2A4F"/>
    <w:rsid w:val="002C2A5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1D54"/>
    <w:rsid w:val="002D2926"/>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7C5"/>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736D"/>
    <w:rsid w:val="002E78AC"/>
    <w:rsid w:val="002F0875"/>
    <w:rsid w:val="002F0884"/>
    <w:rsid w:val="002F1A5B"/>
    <w:rsid w:val="002F1B87"/>
    <w:rsid w:val="002F2228"/>
    <w:rsid w:val="002F3470"/>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1004"/>
    <w:rsid w:val="003022B8"/>
    <w:rsid w:val="003023C4"/>
    <w:rsid w:val="003023EB"/>
    <w:rsid w:val="003026B9"/>
    <w:rsid w:val="00302C73"/>
    <w:rsid w:val="003035B2"/>
    <w:rsid w:val="00303733"/>
    <w:rsid w:val="003037A9"/>
    <w:rsid w:val="00303A2F"/>
    <w:rsid w:val="00303C94"/>
    <w:rsid w:val="00304BF7"/>
    <w:rsid w:val="00304CF9"/>
    <w:rsid w:val="00304F0A"/>
    <w:rsid w:val="00304FE8"/>
    <w:rsid w:val="0030527B"/>
    <w:rsid w:val="00305FA4"/>
    <w:rsid w:val="0030617A"/>
    <w:rsid w:val="00306989"/>
    <w:rsid w:val="00310015"/>
    <w:rsid w:val="0031005D"/>
    <w:rsid w:val="00310992"/>
    <w:rsid w:val="00311387"/>
    <w:rsid w:val="003119DF"/>
    <w:rsid w:val="00311EEA"/>
    <w:rsid w:val="00312151"/>
    <w:rsid w:val="00312763"/>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186"/>
    <w:rsid w:val="00331B79"/>
    <w:rsid w:val="00331DCA"/>
    <w:rsid w:val="00332129"/>
    <w:rsid w:val="00332736"/>
    <w:rsid w:val="0033322F"/>
    <w:rsid w:val="00334912"/>
    <w:rsid w:val="00335779"/>
    <w:rsid w:val="00336CE8"/>
    <w:rsid w:val="00336FF2"/>
    <w:rsid w:val="003376B5"/>
    <w:rsid w:val="003376DF"/>
    <w:rsid w:val="003402DF"/>
    <w:rsid w:val="00340A89"/>
    <w:rsid w:val="00340D16"/>
    <w:rsid w:val="00340D94"/>
    <w:rsid w:val="00340EB5"/>
    <w:rsid w:val="00341361"/>
    <w:rsid w:val="00342A29"/>
    <w:rsid w:val="00343D26"/>
    <w:rsid w:val="00343D77"/>
    <w:rsid w:val="00344CBB"/>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4E7"/>
    <w:rsid w:val="003566E9"/>
    <w:rsid w:val="00357214"/>
    <w:rsid w:val="003577EB"/>
    <w:rsid w:val="0035791D"/>
    <w:rsid w:val="003607A0"/>
    <w:rsid w:val="00360CBD"/>
    <w:rsid w:val="00360D4F"/>
    <w:rsid w:val="00361072"/>
    <w:rsid w:val="00361851"/>
    <w:rsid w:val="00362461"/>
    <w:rsid w:val="003628AA"/>
    <w:rsid w:val="00362D37"/>
    <w:rsid w:val="003632EB"/>
    <w:rsid w:val="00363DA3"/>
    <w:rsid w:val="0036400A"/>
    <w:rsid w:val="00364B18"/>
    <w:rsid w:val="00364D63"/>
    <w:rsid w:val="00365105"/>
    <w:rsid w:val="0036579C"/>
    <w:rsid w:val="003657E7"/>
    <w:rsid w:val="00365E78"/>
    <w:rsid w:val="00366857"/>
    <w:rsid w:val="00370449"/>
    <w:rsid w:val="003708DD"/>
    <w:rsid w:val="00370DAC"/>
    <w:rsid w:val="00370EE0"/>
    <w:rsid w:val="003713B0"/>
    <w:rsid w:val="003717F5"/>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1531"/>
    <w:rsid w:val="003A1CFF"/>
    <w:rsid w:val="003A2BB7"/>
    <w:rsid w:val="003A312D"/>
    <w:rsid w:val="003A37BF"/>
    <w:rsid w:val="003A4AB4"/>
    <w:rsid w:val="003A4C61"/>
    <w:rsid w:val="003A4D4A"/>
    <w:rsid w:val="003A4F09"/>
    <w:rsid w:val="003A546F"/>
    <w:rsid w:val="003A565B"/>
    <w:rsid w:val="003A5C29"/>
    <w:rsid w:val="003A5D24"/>
    <w:rsid w:val="003A5DEB"/>
    <w:rsid w:val="003A5F75"/>
    <w:rsid w:val="003A61D4"/>
    <w:rsid w:val="003A6240"/>
    <w:rsid w:val="003A63B8"/>
    <w:rsid w:val="003A648B"/>
    <w:rsid w:val="003A6592"/>
    <w:rsid w:val="003A6A14"/>
    <w:rsid w:val="003A6FDD"/>
    <w:rsid w:val="003A72E4"/>
    <w:rsid w:val="003A7535"/>
    <w:rsid w:val="003A7616"/>
    <w:rsid w:val="003A799B"/>
    <w:rsid w:val="003A7D18"/>
    <w:rsid w:val="003B00C2"/>
    <w:rsid w:val="003B07D1"/>
    <w:rsid w:val="003B0A3B"/>
    <w:rsid w:val="003B0DFF"/>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6D36"/>
    <w:rsid w:val="003B78AC"/>
    <w:rsid w:val="003C08BD"/>
    <w:rsid w:val="003C1A62"/>
    <w:rsid w:val="003C27F3"/>
    <w:rsid w:val="003C2F43"/>
    <w:rsid w:val="003C32FC"/>
    <w:rsid w:val="003C3FD4"/>
    <w:rsid w:val="003C457C"/>
    <w:rsid w:val="003C49A9"/>
    <w:rsid w:val="003C4EBE"/>
    <w:rsid w:val="003C558C"/>
    <w:rsid w:val="003C5A3A"/>
    <w:rsid w:val="003C6367"/>
    <w:rsid w:val="003C66C3"/>
    <w:rsid w:val="003C6F87"/>
    <w:rsid w:val="003C7429"/>
    <w:rsid w:val="003C75BD"/>
    <w:rsid w:val="003C7E0E"/>
    <w:rsid w:val="003D0802"/>
    <w:rsid w:val="003D098A"/>
    <w:rsid w:val="003D0B7A"/>
    <w:rsid w:val="003D1303"/>
    <w:rsid w:val="003D17E4"/>
    <w:rsid w:val="003D1A6C"/>
    <w:rsid w:val="003D1AE5"/>
    <w:rsid w:val="003D1AEC"/>
    <w:rsid w:val="003D23D5"/>
    <w:rsid w:val="003D2533"/>
    <w:rsid w:val="003D2F1C"/>
    <w:rsid w:val="003D2FE6"/>
    <w:rsid w:val="003D3CD1"/>
    <w:rsid w:val="003D489A"/>
    <w:rsid w:val="003D4AED"/>
    <w:rsid w:val="003D4EA6"/>
    <w:rsid w:val="003D5944"/>
    <w:rsid w:val="003D5D05"/>
    <w:rsid w:val="003D5ECA"/>
    <w:rsid w:val="003D5FB6"/>
    <w:rsid w:val="003D63D1"/>
    <w:rsid w:val="003D66AA"/>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48F"/>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3BE9"/>
    <w:rsid w:val="00413E03"/>
    <w:rsid w:val="00414E73"/>
    <w:rsid w:val="00415330"/>
    <w:rsid w:val="00415367"/>
    <w:rsid w:val="004161C2"/>
    <w:rsid w:val="004170A6"/>
    <w:rsid w:val="004176BC"/>
    <w:rsid w:val="004176EB"/>
    <w:rsid w:val="004177A1"/>
    <w:rsid w:val="00417CB0"/>
    <w:rsid w:val="00417F47"/>
    <w:rsid w:val="00417FB8"/>
    <w:rsid w:val="00420584"/>
    <w:rsid w:val="004207B4"/>
    <w:rsid w:val="00420A61"/>
    <w:rsid w:val="00421048"/>
    <w:rsid w:val="0042164F"/>
    <w:rsid w:val="00421E8E"/>
    <w:rsid w:val="004220E5"/>
    <w:rsid w:val="00422A93"/>
    <w:rsid w:val="00422BB1"/>
    <w:rsid w:val="00422E7D"/>
    <w:rsid w:val="0042314F"/>
    <w:rsid w:val="0042315B"/>
    <w:rsid w:val="00423EA1"/>
    <w:rsid w:val="00424D21"/>
    <w:rsid w:val="00424F1F"/>
    <w:rsid w:val="00424F3C"/>
    <w:rsid w:val="00425333"/>
    <w:rsid w:val="00425C24"/>
    <w:rsid w:val="0042646A"/>
    <w:rsid w:val="00427238"/>
    <w:rsid w:val="004273BF"/>
    <w:rsid w:val="0042760E"/>
    <w:rsid w:val="00427E91"/>
    <w:rsid w:val="004311FF"/>
    <w:rsid w:val="00431211"/>
    <w:rsid w:val="004314B6"/>
    <w:rsid w:val="00432447"/>
    <w:rsid w:val="00432D97"/>
    <w:rsid w:val="00432F21"/>
    <w:rsid w:val="004336D1"/>
    <w:rsid w:val="004337DF"/>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296C"/>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47CBD"/>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AAF"/>
    <w:rsid w:val="00462D54"/>
    <w:rsid w:val="00462D63"/>
    <w:rsid w:val="004636BC"/>
    <w:rsid w:val="00463886"/>
    <w:rsid w:val="00464E03"/>
    <w:rsid w:val="00464F36"/>
    <w:rsid w:val="00464F3A"/>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3FF9"/>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4A4"/>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68"/>
    <w:rsid w:val="004B17CE"/>
    <w:rsid w:val="004B18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736"/>
    <w:rsid w:val="004C6997"/>
    <w:rsid w:val="004C6CDB"/>
    <w:rsid w:val="004C723F"/>
    <w:rsid w:val="004C7C36"/>
    <w:rsid w:val="004C7D16"/>
    <w:rsid w:val="004D0132"/>
    <w:rsid w:val="004D080F"/>
    <w:rsid w:val="004D138E"/>
    <w:rsid w:val="004D185E"/>
    <w:rsid w:val="004D2556"/>
    <w:rsid w:val="004D29F9"/>
    <w:rsid w:val="004D3753"/>
    <w:rsid w:val="004D4B61"/>
    <w:rsid w:val="004D4CE4"/>
    <w:rsid w:val="004D606D"/>
    <w:rsid w:val="004D67CB"/>
    <w:rsid w:val="004D6B20"/>
    <w:rsid w:val="004D6C2F"/>
    <w:rsid w:val="004D71FE"/>
    <w:rsid w:val="004D72CE"/>
    <w:rsid w:val="004D7964"/>
    <w:rsid w:val="004D7A80"/>
    <w:rsid w:val="004D7CA3"/>
    <w:rsid w:val="004E0388"/>
    <w:rsid w:val="004E04C7"/>
    <w:rsid w:val="004E0894"/>
    <w:rsid w:val="004E135A"/>
    <w:rsid w:val="004E1AA0"/>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34E"/>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0A2"/>
    <w:rsid w:val="00506192"/>
    <w:rsid w:val="00506576"/>
    <w:rsid w:val="00506710"/>
    <w:rsid w:val="00506DA6"/>
    <w:rsid w:val="00506E86"/>
    <w:rsid w:val="0050702C"/>
    <w:rsid w:val="0050723E"/>
    <w:rsid w:val="005072DD"/>
    <w:rsid w:val="00507403"/>
    <w:rsid w:val="00507430"/>
    <w:rsid w:val="005101E5"/>
    <w:rsid w:val="00511D75"/>
    <w:rsid w:val="00511FF2"/>
    <w:rsid w:val="00512232"/>
    <w:rsid w:val="00513B7E"/>
    <w:rsid w:val="005140F7"/>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4497"/>
    <w:rsid w:val="005448FE"/>
    <w:rsid w:val="00545BEC"/>
    <w:rsid w:val="005468A5"/>
    <w:rsid w:val="00546A1D"/>
    <w:rsid w:val="00546C8E"/>
    <w:rsid w:val="00546CB9"/>
    <w:rsid w:val="00546E83"/>
    <w:rsid w:val="005471C3"/>
    <w:rsid w:val="00547725"/>
    <w:rsid w:val="0054795A"/>
    <w:rsid w:val="00550292"/>
    <w:rsid w:val="005506E5"/>
    <w:rsid w:val="00551309"/>
    <w:rsid w:val="00551D80"/>
    <w:rsid w:val="00552426"/>
    <w:rsid w:val="00552604"/>
    <w:rsid w:val="00552F1A"/>
    <w:rsid w:val="0055363B"/>
    <w:rsid w:val="00553693"/>
    <w:rsid w:val="005536D5"/>
    <w:rsid w:val="00553934"/>
    <w:rsid w:val="00553B71"/>
    <w:rsid w:val="00553D3C"/>
    <w:rsid w:val="00554999"/>
    <w:rsid w:val="00554C4D"/>
    <w:rsid w:val="00555241"/>
    <w:rsid w:val="00555C08"/>
    <w:rsid w:val="0055622C"/>
    <w:rsid w:val="005564BE"/>
    <w:rsid w:val="00556A43"/>
    <w:rsid w:val="00556A63"/>
    <w:rsid w:val="0055727C"/>
    <w:rsid w:val="00557FCE"/>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6B0A"/>
    <w:rsid w:val="00567613"/>
    <w:rsid w:val="00567D48"/>
    <w:rsid w:val="00570C88"/>
    <w:rsid w:val="00571206"/>
    <w:rsid w:val="00571640"/>
    <w:rsid w:val="00571678"/>
    <w:rsid w:val="00571902"/>
    <w:rsid w:val="0057194C"/>
    <w:rsid w:val="00571D62"/>
    <w:rsid w:val="005720AF"/>
    <w:rsid w:val="00572283"/>
    <w:rsid w:val="00572F6B"/>
    <w:rsid w:val="00573604"/>
    <w:rsid w:val="00573DE2"/>
    <w:rsid w:val="00573F29"/>
    <w:rsid w:val="00574693"/>
    <w:rsid w:val="00574949"/>
    <w:rsid w:val="00574AD1"/>
    <w:rsid w:val="0057501B"/>
    <w:rsid w:val="00575F52"/>
    <w:rsid w:val="005762C9"/>
    <w:rsid w:val="0057666F"/>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CE"/>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67F"/>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76FD"/>
    <w:rsid w:val="005C7A6D"/>
    <w:rsid w:val="005C7DC3"/>
    <w:rsid w:val="005D027B"/>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0A9"/>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67F"/>
    <w:rsid w:val="005F2ABB"/>
    <w:rsid w:val="005F3375"/>
    <w:rsid w:val="005F354A"/>
    <w:rsid w:val="005F3FBF"/>
    <w:rsid w:val="005F405A"/>
    <w:rsid w:val="005F570C"/>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4C62"/>
    <w:rsid w:val="0060529E"/>
    <w:rsid w:val="00605384"/>
    <w:rsid w:val="00605829"/>
    <w:rsid w:val="00606CD7"/>
    <w:rsid w:val="00606FBC"/>
    <w:rsid w:val="006072E8"/>
    <w:rsid w:val="00607C2D"/>
    <w:rsid w:val="00607E71"/>
    <w:rsid w:val="00610178"/>
    <w:rsid w:val="006103A4"/>
    <w:rsid w:val="00610837"/>
    <w:rsid w:val="00610922"/>
    <w:rsid w:val="00610D06"/>
    <w:rsid w:val="00610EC4"/>
    <w:rsid w:val="00611250"/>
    <w:rsid w:val="00611D8D"/>
    <w:rsid w:val="006122E2"/>
    <w:rsid w:val="006125AA"/>
    <w:rsid w:val="00612638"/>
    <w:rsid w:val="0061367E"/>
    <w:rsid w:val="00613E9D"/>
    <w:rsid w:val="0061423C"/>
    <w:rsid w:val="0061427C"/>
    <w:rsid w:val="0061444C"/>
    <w:rsid w:val="00615053"/>
    <w:rsid w:val="006150FD"/>
    <w:rsid w:val="00615427"/>
    <w:rsid w:val="00615DED"/>
    <w:rsid w:val="00615FAB"/>
    <w:rsid w:val="00616105"/>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2676"/>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2B09"/>
    <w:rsid w:val="006337EA"/>
    <w:rsid w:val="00634871"/>
    <w:rsid w:val="006348ED"/>
    <w:rsid w:val="00634DF1"/>
    <w:rsid w:val="006355E6"/>
    <w:rsid w:val="0063593A"/>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476B0"/>
    <w:rsid w:val="0065002D"/>
    <w:rsid w:val="00650254"/>
    <w:rsid w:val="006502BB"/>
    <w:rsid w:val="006515EF"/>
    <w:rsid w:val="00651FCE"/>
    <w:rsid w:val="0065219E"/>
    <w:rsid w:val="00652202"/>
    <w:rsid w:val="0065234B"/>
    <w:rsid w:val="006530E2"/>
    <w:rsid w:val="006535DE"/>
    <w:rsid w:val="006538F2"/>
    <w:rsid w:val="0065453F"/>
    <w:rsid w:val="00654758"/>
    <w:rsid w:val="00656256"/>
    <w:rsid w:val="006563FC"/>
    <w:rsid w:val="00656EAE"/>
    <w:rsid w:val="00657344"/>
    <w:rsid w:val="00657AE2"/>
    <w:rsid w:val="006602CF"/>
    <w:rsid w:val="00660FB0"/>
    <w:rsid w:val="00661356"/>
    <w:rsid w:val="00661FA9"/>
    <w:rsid w:val="00662399"/>
    <w:rsid w:val="006628D0"/>
    <w:rsid w:val="0066292F"/>
    <w:rsid w:val="00663E53"/>
    <w:rsid w:val="00664A30"/>
    <w:rsid w:val="00664B40"/>
    <w:rsid w:val="006652C0"/>
    <w:rsid w:val="006652FD"/>
    <w:rsid w:val="006653DF"/>
    <w:rsid w:val="00665679"/>
    <w:rsid w:val="0066568C"/>
    <w:rsid w:val="0066590A"/>
    <w:rsid w:val="00665DB7"/>
    <w:rsid w:val="00666038"/>
    <w:rsid w:val="00666370"/>
    <w:rsid w:val="0066646F"/>
    <w:rsid w:val="00666775"/>
    <w:rsid w:val="00666A5B"/>
    <w:rsid w:val="00666C67"/>
    <w:rsid w:val="0066768F"/>
    <w:rsid w:val="006701F6"/>
    <w:rsid w:val="00670532"/>
    <w:rsid w:val="00670AA7"/>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1EF3"/>
    <w:rsid w:val="006823D9"/>
    <w:rsid w:val="00682434"/>
    <w:rsid w:val="00683367"/>
    <w:rsid w:val="00683B8F"/>
    <w:rsid w:val="006841B1"/>
    <w:rsid w:val="006841F4"/>
    <w:rsid w:val="0068436A"/>
    <w:rsid w:val="0068523F"/>
    <w:rsid w:val="006855A0"/>
    <w:rsid w:val="006861C4"/>
    <w:rsid w:val="006864D8"/>
    <w:rsid w:val="00686C23"/>
    <w:rsid w:val="00687033"/>
    <w:rsid w:val="0068762F"/>
    <w:rsid w:val="00687774"/>
    <w:rsid w:val="00687D28"/>
    <w:rsid w:val="00687EC6"/>
    <w:rsid w:val="00690AC8"/>
    <w:rsid w:val="00690CCF"/>
    <w:rsid w:val="00690E24"/>
    <w:rsid w:val="00691626"/>
    <w:rsid w:val="00692F2B"/>
    <w:rsid w:val="006936CD"/>
    <w:rsid w:val="0069391C"/>
    <w:rsid w:val="00693EA8"/>
    <w:rsid w:val="00694430"/>
    <w:rsid w:val="00694731"/>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5F5C"/>
    <w:rsid w:val="006A6263"/>
    <w:rsid w:val="006A6484"/>
    <w:rsid w:val="006A652E"/>
    <w:rsid w:val="006A67D8"/>
    <w:rsid w:val="006A7EA3"/>
    <w:rsid w:val="006B022C"/>
    <w:rsid w:val="006B07D8"/>
    <w:rsid w:val="006B0CEB"/>
    <w:rsid w:val="006B13C1"/>
    <w:rsid w:val="006B1707"/>
    <w:rsid w:val="006B1B45"/>
    <w:rsid w:val="006B2194"/>
    <w:rsid w:val="006B2489"/>
    <w:rsid w:val="006B3215"/>
    <w:rsid w:val="006B3348"/>
    <w:rsid w:val="006B3448"/>
    <w:rsid w:val="006B4346"/>
    <w:rsid w:val="006B4A1E"/>
    <w:rsid w:val="006B4F5C"/>
    <w:rsid w:val="006B5062"/>
    <w:rsid w:val="006B50A3"/>
    <w:rsid w:val="006B5725"/>
    <w:rsid w:val="006B6BDE"/>
    <w:rsid w:val="006B6CBE"/>
    <w:rsid w:val="006B71E4"/>
    <w:rsid w:val="006B721D"/>
    <w:rsid w:val="006B7256"/>
    <w:rsid w:val="006C00B5"/>
    <w:rsid w:val="006C04B0"/>
    <w:rsid w:val="006C062E"/>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0F86"/>
    <w:rsid w:val="006D1D18"/>
    <w:rsid w:val="006D2594"/>
    <w:rsid w:val="006D2BD4"/>
    <w:rsid w:val="006D3530"/>
    <w:rsid w:val="006D3BF4"/>
    <w:rsid w:val="006D407D"/>
    <w:rsid w:val="006D4721"/>
    <w:rsid w:val="006D477F"/>
    <w:rsid w:val="006D47BC"/>
    <w:rsid w:val="006D4AC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404F"/>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6F0"/>
    <w:rsid w:val="006F3C48"/>
    <w:rsid w:val="006F533D"/>
    <w:rsid w:val="006F6D3E"/>
    <w:rsid w:val="006F6DDA"/>
    <w:rsid w:val="006F7041"/>
    <w:rsid w:val="006F726F"/>
    <w:rsid w:val="006F7BBD"/>
    <w:rsid w:val="0070068B"/>
    <w:rsid w:val="00700990"/>
    <w:rsid w:val="00700CF4"/>
    <w:rsid w:val="007016BE"/>
    <w:rsid w:val="00701816"/>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190"/>
    <w:rsid w:val="0072590A"/>
    <w:rsid w:val="00725996"/>
    <w:rsid w:val="00726886"/>
    <w:rsid w:val="0072724E"/>
    <w:rsid w:val="00727381"/>
    <w:rsid w:val="00727924"/>
    <w:rsid w:val="00730896"/>
    <w:rsid w:val="007310CE"/>
    <w:rsid w:val="007314BA"/>
    <w:rsid w:val="007319B3"/>
    <w:rsid w:val="00732A2D"/>
    <w:rsid w:val="00732D06"/>
    <w:rsid w:val="00733D78"/>
    <w:rsid w:val="00733E70"/>
    <w:rsid w:val="00733FFC"/>
    <w:rsid w:val="0073438B"/>
    <w:rsid w:val="007343F1"/>
    <w:rsid w:val="00734428"/>
    <w:rsid w:val="007347C7"/>
    <w:rsid w:val="0073490E"/>
    <w:rsid w:val="00734FE8"/>
    <w:rsid w:val="0073536C"/>
    <w:rsid w:val="007359A2"/>
    <w:rsid w:val="007360A9"/>
    <w:rsid w:val="0073699B"/>
    <w:rsid w:val="0073710F"/>
    <w:rsid w:val="00737362"/>
    <w:rsid w:val="00737753"/>
    <w:rsid w:val="007409AA"/>
    <w:rsid w:val="00740E1B"/>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15C0"/>
    <w:rsid w:val="00762FCA"/>
    <w:rsid w:val="007639A5"/>
    <w:rsid w:val="00763DE8"/>
    <w:rsid w:val="00763EE9"/>
    <w:rsid w:val="00764375"/>
    <w:rsid w:val="007653BF"/>
    <w:rsid w:val="00765630"/>
    <w:rsid w:val="00765919"/>
    <w:rsid w:val="007661BB"/>
    <w:rsid w:val="0076653E"/>
    <w:rsid w:val="00766647"/>
    <w:rsid w:val="0076786D"/>
    <w:rsid w:val="007700F8"/>
    <w:rsid w:val="0077094D"/>
    <w:rsid w:val="00770E63"/>
    <w:rsid w:val="00772964"/>
    <w:rsid w:val="00773C06"/>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3F1A"/>
    <w:rsid w:val="007847D1"/>
    <w:rsid w:val="00784924"/>
    <w:rsid w:val="00785B0C"/>
    <w:rsid w:val="00785D82"/>
    <w:rsid w:val="00785DE4"/>
    <w:rsid w:val="0078647B"/>
    <w:rsid w:val="007866B1"/>
    <w:rsid w:val="00786ED4"/>
    <w:rsid w:val="0078716F"/>
    <w:rsid w:val="00787256"/>
    <w:rsid w:val="007873C8"/>
    <w:rsid w:val="0078793D"/>
    <w:rsid w:val="00787F80"/>
    <w:rsid w:val="00790F50"/>
    <w:rsid w:val="00791374"/>
    <w:rsid w:val="0079263D"/>
    <w:rsid w:val="007929C5"/>
    <w:rsid w:val="00792B66"/>
    <w:rsid w:val="0079352C"/>
    <w:rsid w:val="007937E7"/>
    <w:rsid w:val="00793B34"/>
    <w:rsid w:val="00793B84"/>
    <w:rsid w:val="00793D87"/>
    <w:rsid w:val="00794795"/>
    <w:rsid w:val="007949E6"/>
    <w:rsid w:val="00794CC2"/>
    <w:rsid w:val="00794D98"/>
    <w:rsid w:val="00794F29"/>
    <w:rsid w:val="007954BD"/>
    <w:rsid w:val="00795A2A"/>
    <w:rsid w:val="00795E7E"/>
    <w:rsid w:val="007964B5"/>
    <w:rsid w:val="007972FB"/>
    <w:rsid w:val="007977AD"/>
    <w:rsid w:val="007978FC"/>
    <w:rsid w:val="007A02BC"/>
    <w:rsid w:val="007A099F"/>
    <w:rsid w:val="007A0ADA"/>
    <w:rsid w:val="007A0F0F"/>
    <w:rsid w:val="007A16EB"/>
    <w:rsid w:val="007A17E2"/>
    <w:rsid w:val="007A26C4"/>
    <w:rsid w:val="007A2742"/>
    <w:rsid w:val="007A2790"/>
    <w:rsid w:val="007A2F96"/>
    <w:rsid w:val="007A33C4"/>
    <w:rsid w:val="007A49D9"/>
    <w:rsid w:val="007A5620"/>
    <w:rsid w:val="007A7E4C"/>
    <w:rsid w:val="007B01E7"/>
    <w:rsid w:val="007B0810"/>
    <w:rsid w:val="007B0DC2"/>
    <w:rsid w:val="007B104F"/>
    <w:rsid w:val="007B120B"/>
    <w:rsid w:val="007B1418"/>
    <w:rsid w:val="007B1C29"/>
    <w:rsid w:val="007B2177"/>
    <w:rsid w:val="007B2FF1"/>
    <w:rsid w:val="007B3347"/>
    <w:rsid w:val="007B3584"/>
    <w:rsid w:val="007B3BDC"/>
    <w:rsid w:val="007B3F86"/>
    <w:rsid w:val="007B41BE"/>
    <w:rsid w:val="007B482A"/>
    <w:rsid w:val="007B52BB"/>
    <w:rsid w:val="007B56E1"/>
    <w:rsid w:val="007B5C49"/>
    <w:rsid w:val="007B71D9"/>
    <w:rsid w:val="007B7BB1"/>
    <w:rsid w:val="007C0B47"/>
    <w:rsid w:val="007C1229"/>
    <w:rsid w:val="007C17AB"/>
    <w:rsid w:val="007C1DFF"/>
    <w:rsid w:val="007C1E1D"/>
    <w:rsid w:val="007C2145"/>
    <w:rsid w:val="007C21A1"/>
    <w:rsid w:val="007C2349"/>
    <w:rsid w:val="007C2A41"/>
    <w:rsid w:val="007C377C"/>
    <w:rsid w:val="007C378F"/>
    <w:rsid w:val="007C3815"/>
    <w:rsid w:val="007C3B7F"/>
    <w:rsid w:val="007C3F35"/>
    <w:rsid w:val="007C5B20"/>
    <w:rsid w:val="007C65FA"/>
    <w:rsid w:val="007C685F"/>
    <w:rsid w:val="007C7F59"/>
    <w:rsid w:val="007D069C"/>
    <w:rsid w:val="007D090A"/>
    <w:rsid w:val="007D1AFD"/>
    <w:rsid w:val="007D1E73"/>
    <w:rsid w:val="007D23C4"/>
    <w:rsid w:val="007D25E6"/>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70B"/>
    <w:rsid w:val="007E1720"/>
    <w:rsid w:val="007E18BA"/>
    <w:rsid w:val="007E18FA"/>
    <w:rsid w:val="007E1DF2"/>
    <w:rsid w:val="007E2170"/>
    <w:rsid w:val="007E2888"/>
    <w:rsid w:val="007E2BA4"/>
    <w:rsid w:val="007E3026"/>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338"/>
    <w:rsid w:val="00800FCD"/>
    <w:rsid w:val="00801057"/>
    <w:rsid w:val="00801387"/>
    <w:rsid w:val="00801BFF"/>
    <w:rsid w:val="0080250E"/>
    <w:rsid w:val="0080281E"/>
    <w:rsid w:val="0080288E"/>
    <w:rsid w:val="00803DDF"/>
    <w:rsid w:val="00804C27"/>
    <w:rsid w:val="00805261"/>
    <w:rsid w:val="0080563D"/>
    <w:rsid w:val="008056BE"/>
    <w:rsid w:val="00805F75"/>
    <w:rsid w:val="00806071"/>
    <w:rsid w:val="00807692"/>
    <w:rsid w:val="00807C1B"/>
    <w:rsid w:val="00807E3E"/>
    <w:rsid w:val="00810489"/>
    <w:rsid w:val="00810B18"/>
    <w:rsid w:val="00810D65"/>
    <w:rsid w:val="00810F2E"/>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A62"/>
    <w:rsid w:val="00816B36"/>
    <w:rsid w:val="00817452"/>
    <w:rsid w:val="0081758D"/>
    <w:rsid w:val="00817C39"/>
    <w:rsid w:val="00817C8A"/>
    <w:rsid w:val="0082098B"/>
    <w:rsid w:val="008214E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3E4B"/>
    <w:rsid w:val="00844B2A"/>
    <w:rsid w:val="00844ED2"/>
    <w:rsid w:val="0084562E"/>
    <w:rsid w:val="008470E8"/>
    <w:rsid w:val="0084736D"/>
    <w:rsid w:val="008479BC"/>
    <w:rsid w:val="00847C79"/>
    <w:rsid w:val="00850923"/>
    <w:rsid w:val="00850A19"/>
    <w:rsid w:val="00850AFC"/>
    <w:rsid w:val="00850C7E"/>
    <w:rsid w:val="00850DA6"/>
    <w:rsid w:val="0085106C"/>
    <w:rsid w:val="008514EC"/>
    <w:rsid w:val="00851AFC"/>
    <w:rsid w:val="00851F31"/>
    <w:rsid w:val="0085233E"/>
    <w:rsid w:val="008524F7"/>
    <w:rsid w:val="00852A9A"/>
    <w:rsid w:val="00852F34"/>
    <w:rsid w:val="008534FA"/>
    <w:rsid w:val="00853616"/>
    <w:rsid w:val="00853704"/>
    <w:rsid w:val="00853C23"/>
    <w:rsid w:val="00853EFD"/>
    <w:rsid w:val="0085413E"/>
    <w:rsid w:val="008542C1"/>
    <w:rsid w:val="00854674"/>
    <w:rsid w:val="00854784"/>
    <w:rsid w:val="00854C8E"/>
    <w:rsid w:val="008557F4"/>
    <w:rsid w:val="00855D65"/>
    <w:rsid w:val="00856542"/>
    <w:rsid w:val="00856B56"/>
    <w:rsid w:val="0085729A"/>
    <w:rsid w:val="008575ED"/>
    <w:rsid w:val="00857A8B"/>
    <w:rsid w:val="00857F3D"/>
    <w:rsid w:val="008608B0"/>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6BCC"/>
    <w:rsid w:val="00866D92"/>
    <w:rsid w:val="00870856"/>
    <w:rsid w:val="00870F6E"/>
    <w:rsid w:val="0087157B"/>
    <w:rsid w:val="00871C4C"/>
    <w:rsid w:val="00871E03"/>
    <w:rsid w:val="00873845"/>
    <w:rsid w:val="008748D1"/>
    <w:rsid w:val="00874E52"/>
    <w:rsid w:val="00876400"/>
    <w:rsid w:val="00876522"/>
    <w:rsid w:val="00876AE3"/>
    <w:rsid w:val="00876E87"/>
    <w:rsid w:val="008775DB"/>
    <w:rsid w:val="00877B07"/>
    <w:rsid w:val="00877B7A"/>
    <w:rsid w:val="00880EFA"/>
    <w:rsid w:val="00881EBC"/>
    <w:rsid w:val="0088248D"/>
    <w:rsid w:val="008828DF"/>
    <w:rsid w:val="00882C23"/>
    <w:rsid w:val="00882E91"/>
    <w:rsid w:val="00882EA8"/>
    <w:rsid w:val="00883EE1"/>
    <w:rsid w:val="0088421A"/>
    <w:rsid w:val="00884ED2"/>
    <w:rsid w:val="00885317"/>
    <w:rsid w:val="0088567D"/>
    <w:rsid w:val="00885D0E"/>
    <w:rsid w:val="00885E1B"/>
    <w:rsid w:val="008863EC"/>
    <w:rsid w:val="008865CF"/>
    <w:rsid w:val="00886995"/>
    <w:rsid w:val="00886BEE"/>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4AB9"/>
    <w:rsid w:val="00895260"/>
    <w:rsid w:val="00895570"/>
    <w:rsid w:val="0089594E"/>
    <w:rsid w:val="008968C4"/>
    <w:rsid w:val="00896E93"/>
    <w:rsid w:val="00897463"/>
    <w:rsid w:val="0089753B"/>
    <w:rsid w:val="00897911"/>
    <w:rsid w:val="00897B11"/>
    <w:rsid w:val="00897FAC"/>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0FC7"/>
    <w:rsid w:val="008B18C5"/>
    <w:rsid w:val="008B256F"/>
    <w:rsid w:val="008B29B7"/>
    <w:rsid w:val="008B480A"/>
    <w:rsid w:val="008B4F76"/>
    <w:rsid w:val="008B58D9"/>
    <w:rsid w:val="008B64DC"/>
    <w:rsid w:val="008B6AFD"/>
    <w:rsid w:val="008B6B42"/>
    <w:rsid w:val="008B70D9"/>
    <w:rsid w:val="008B7236"/>
    <w:rsid w:val="008C0396"/>
    <w:rsid w:val="008C07A9"/>
    <w:rsid w:val="008C0944"/>
    <w:rsid w:val="008C0A39"/>
    <w:rsid w:val="008C17C0"/>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282A"/>
    <w:rsid w:val="008F345A"/>
    <w:rsid w:val="008F3FE5"/>
    <w:rsid w:val="008F42D7"/>
    <w:rsid w:val="008F4382"/>
    <w:rsid w:val="008F4CE7"/>
    <w:rsid w:val="008F4E16"/>
    <w:rsid w:val="008F5536"/>
    <w:rsid w:val="008F6537"/>
    <w:rsid w:val="00900416"/>
    <w:rsid w:val="00900590"/>
    <w:rsid w:val="00901459"/>
    <w:rsid w:val="00901C47"/>
    <w:rsid w:val="00902190"/>
    <w:rsid w:val="00902C9D"/>
    <w:rsid w:val="0090328B"/>
    <w:rsid w:val="009032E9"/>
    <w:rsid w:val="00903D57"/>
    <w:rsid w:val="00903EFE"/>
    <w:rsid w:val="009040EB"/>
    <w:rsid w:val="0090437C"/>
    <w:rsid w:val="0090472D"/>
    <w:rsid w:val="0090518E"/>
    <w:rsid w:val="0090563D"/>
    <w:rsid w:val="00906EF4"/>
    <w:rsid w:val="00907057"/>
    <w:rsid w:val="00910287"/>
    <w:rsid w:val="00910D9D"/>
    <w:rsid w:val="00910F33"/>
    <w:rsid w:val="009110BA"/>
    <w:rsid w:val="00911691"/>
    <w:rsid w:val="009118B0"/>
    <w:rsid w:val="00912000"/>
    <w:rsid w:val="009120D7"/>
    <w:rsid w:val="009124E6"/>
    <w:rsid w:val="00913944"/>
    <w:rsid w:val="00913EF4"/>
    <w:rsid w:val="00914CD6"/>
    <w:rsid w:val="00915AC6"/>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224"/>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2B"/>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17D"/>
    <w:rsid w:val="00946484"/>
    <w:rsid w:val="00946970"/>
    <w:rsid w:val="00946B28"/>
    <w:rsid w:val="00947447"/>
    <w:rsid w:val="00947B1C"/>
    <w:rsid w:val="009510F9"/>
    <w:rsid w:val="009516DD"/>
    <w:rsid w:val="00951D77"/>
    <w:rsid w:val="00951F1A"/>
    <w:rsid w:val="00952F06"/>
    <w:rsid w:val="00953586"/>
    <w:rsid w:val="0095377C"/>
    <w:rsid w:val="00953A0D"/>
    <w:rsid w:val="00954532"/>
    <w:rsid w:val="00954C5C"/>
    <w:rsid w:val="00954D4A"/>
    <w:rsid w:val="009552E3"/>
    <w:rsid w:val="009558BE"/>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20B"/>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267"/>
    <w:rsid w:val="00982639"/>
    <w:rsid w:val="00982BCF"/>
    <w:rsid w:val="00982EEA"/>
    <w:rsid w:val="00982F82"/>
    <w:rsid w:val="009831E2"/>
    <w:rsid w:val="00983255"/>
    <w:rsid w:val="00983D12"/>
    <w:rsid w:val="00983E5F"/>
    <w:rsid w:val="00984B42"/>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0701"/>
    <w:rsid w:val="009D1578"/>
    <w:rsid w:val="009D2372"/>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2AAB"/>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1A0"/>
    <w:rsid w:val="009F2446"/>
    <w:rsid w:val="009F2450"/>
    <w:rsid w:val="009F2516"/>
    <w:rsid w:val="009F259C"/>
    <w:rsid w:val="009F29FF"/>
    <w:rsid w:val="009F2BF4"/>
    <w:rsid w:val="009F2C12"/>
    <w:rsid w:val="009F2F47"/>
    <w:rsid w:val="009F385D"/>
    <w:rsid w:val="009F48AF"/>
    <w:rsid w:val="009F4B7F"/>
    <w:rsid w:val="009F555E"/>
    <w:rsid w:val="009F5C78"/>
    <w:rsid w:val="009F5E9D"/>
    <w:rsid w:val="009F5F56"/>
    <w:rsid w:val="009F697A"/>
    <w:rsid w:val="009F6DAC"/>
    <w:rsid w:val="009F7274"/>
    <w:rsid w:val="009F7309"/>
    <w:rsid w:val="009F763F"/>
    <w:rsid w:val="009F7748"/>
    <w:rsid w:val="009F7802"/>
    <w:rsid w:val="009F78B7"/>
    <w:rsid w:val="009F791B"/>
    <w:rsid w:val="009F79D5"/>
    <w:rsid w:val="009F7D96"/>
    <w:rsid w:val="00A007E7"/>
    <w:rsid w:val="00A00F2E"/>
    <w:rsid w:val="00A0109E"/>
    <w:rsid w:val="00A0110C"/>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0A1"/>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2CF"/>
    <w:rsid w:val="00A14331"/>
    <w:rsid w:val="00A145EB"/>
    <w:rsid w:val="00A14987"/>
    <w:rsid w:val="00A14AB2"/>
    <w:rsid w:val="00A14AC9"/>
    <w:rsid w:val="00A159CA"/>
    <w:rsid w:val="00A175A7"/>
    <w:rsid w:val="00A17608"/>
    <w:rsid w:val="00A177D9"/>
    <w:rsid w:val="00A1787D"/>
    <w:rsid w:val="00A17D5B"/>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1F2"/>
    <w:rsid w:val="00A258E0"/>
    <w:rsid w:val="00A25FCF"/>
    <w:rsid w:val="00A269B5"/>
    <w:rsid w:val="00A26A3F"/>
    <w:rsid w:val="00A2726D"/>
    <w:rsid w:val="00A30627"/>
    <w:rsid w:val="00A30B6C"/>
    <w:rsid w:val="00A31498"/>
    <w:rsid w:val="00A31D99"/>
    <w:rsid w:val="00A31F37"/>
    <w:rsid w:val="00A3244C"/>
    <w:rsid w:val="00A32555"/>
    <w:rsid w:val="00A32E59"/>
    <w:rsid w:val="00A33017"/>
    <w:rsid w:val="00A333C1"/>
    <w:rsid w:val="00A33D5D"/>
    <w:rsid w:val="00A33E4D"/>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50C"/>
    <w:rsid w:val="00A43813"/>
    <w:rsid w:val="00A439B7"/>
    <w:rsid w:val="00A43D47"/>
    <w:rsid w:val="00A44090"/>
    <w:rsid w:val="00A440A6"/>
    <w:rsid w:val="00A44A4B"/>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5A7"/>
    <w:rsid w:val="00A536CB"/>
    <w:rsid w:val="00A542F8"/>
    <w:rsid w:val="00A54524"/>
    <w:rsid w:val="00A55A47"/>
    <w:rsid w:val="00A55AE0"/>
    <w:rsid w:val="00A56DF0"/>
    <w:rsid w:val="00A574BF"/>
    <w:rsid w:val="00A5790F"/>
    <w:rsid w:val="00A579F8"/>
    <w:rsid w:val="00A57EB9"/>
    <w:rsid w:val="00A605E1"/>
    <w:rsid w:val="00A60C15"/>
    <w:rsid w:val="00A60F08"/>
    <w:rsid w:val="00A61C56"/>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8A6"/>
    <w:rsid w:val="00A71CDE"/>
    <w:rsid w:val="00A72306"/>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234E"/>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0E27"/>
    <w:rsid w:val="00A913D1"/>
    <w:rsid w:val="00A91FE5"/>
    <w:rsid w:val="00A92F34"/>
    <w:rsid w:val="00A93154"/>
    <w:rsid w:val="00A93214"/>
    <w:rsid w:val="00A93ABB"/>
    <w:rsid w:val="00A93C27"/>
    <w:rsid w:val="00A93C2B"/>
    <w:rsid w:val="00A94865"/>
    <w:rsid w:val="00A94D8C"/>
    <w:rsid w:val="00A9598F"/>
    <w:rsid w:val="00A95B4F"/>
    <w:rsid w:val="00A96FC0"/>
    <w:rsid w:val="00A97BFA"/>
    <w:rsid w:val="00AA007C"/>
    <w:rsid w:val="00AA0B30"/>
    <w:rsid w:val="00AA20ED"/>
    <w:rsid w:val="00AA25C9"/>
    <w:rsid w:val="00AA3676"/>
    <w:rsid w:val="00AA3726"/>
    <w:rsid w:val="00AA40AA"/>
    <w:rsid w:val="00AA4F09"/>
    <w:rsid w:val="00AA62A1"/>
    <w:rsid w:val="00AA64E9"/>
    <w:rsid w:val="00AA67F0"/>
    <w:rsid w:val="00AA7897"/>
    <w:rsid w:val="00AA7A72"/>
    <w:rsid w:val="00AA7DCE"/>
    <w:rsid w:val="00AA7F8C"/>
    <w:rsid w:val="00AA7FA5"/>
    <w:rsid w:val="00AB0725"/>
    <w:rsid w:val="00AB0807"/>
    <w:rsid w:val="00AB0C5B"/>
    <w:rsid w:val="00AB0FB2"/>
    <w:rsid w:val="00AB10E3"/>
    <w:rsid w:val="00AB18AB"/>
    <w:rsid w:val="00AB1FAD"/>
    <w:rsid w:val="00AB26FB"/>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669"/>
    <w:rsid w:val="00AC40D8"/>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80C"/>
    <w:rsid w:val="00AD2BE1"/>
    <w:rsid w:val="00AD3477"/>
    <w:rsid w:val="00AD3491"/>
    <w:rsid w:val="00AD3C49"/>
    <w:rsid w:val="00AD3D21"/>
    <w:rsid w:val="00AD68F8"/>
    <w:rsid w:val="00AD692B"/>
    <w:rsid w:val="00AD74BD"/>
    <w:rsid w:val="00AD7E1C"/>
    <w:rsid w:val="00AE08FD"/>
    <w:rsid w:val="00AE0B68"/>
    <w:rsid w:val="00AE0CA2"/>
    <w:rsid w:val="00AE10CD"/>
    <w:rsid w:val="00AE13BB"/>
    <w:rsid w:val="00AE1499"/>
    <w:rsid w:val="00AE2D0A"/>
    <w:rsid w:val="00AE3725"/>
    <w:rsid w:val="00AE448F"/>
    <w:rsid w:val="00AE4A88"/>
    <w:rsid w:val="00AE4E58"/>
    <w:rsid w:val="00AE4F14"/>
    <w:rsid w:val="00AE5139"/>
    <w:rsid w:val="00AE54FA"/>
    <w:rsid w:val="00AE5C8B"/>
    <w:rsid w:val="00AE64DD"/>
    <w:rsid w:val="00AE65CA"/>
    <w:rsid w:val="00AE6800"/>
    <w:rsid w:val="00AE6CDA"/>
    <w:rsid w:val="00AE72FC"/>
    <w:rsid w:val="00AE7389"/>
    <w:rsid w:val="00AE751E"/>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223"/>
    <w:rsid w:val="00B00C97"/>
    <w:rsid w:val="00B00E2D"/>
    <w:rsid w:val="00B0115C"/>
    <w:rsid w:val="00B01F83"/>
    <w:rsid w:val="00B02BD8"/>
    <w:rsid w:val="00B0328C"/>
    <w:rsid w:val="00B0338C"/>
    <w:rsid w:val="00B036CF"/>
    <w:rsid w:val="00B0396C"/>
    <w:rsid w:val="00B03F9B"/>
    <w:rsid w:val="00B0432F"/>
    <w:rsid w:val="00B043ED"/>
    <w:rsid w:val="00B054FF"/>
    <w:rsid w:val="00B05CB6"/>
    <w:rsid w:val="00B0633F"/>
    <w:rsid w:val="00B06DE5"/>
    <w:rsid w:val="00B070A0"/>
    <w:rsid w:val="00B07CC0"/>
    <w:rsid w:val="00B102F5"/>
    <w:rsid w:val="00B103E9"/>
    <w:rsid w:val="00B10BEF"/>
    <w:rsid w:val="00B10C2E"/>
    <w:rsid w:val="00B11539"/>
    <w:rsid w:val="00B11586"/>
    <w:rsid w:val="00B11E6D"/>
    <w:rsid w:val="00B11FA4"/>
    <w:rsid w:val="00B12242"/>
    <w:rsid w:val="00B13427"/>
    <w:rsid w:val="00B1393B"/>
    <w:rsid w:val="00B140D2"/>
    <w:rsid w:val="00B1462C"/>
    <w:rsid w:val="00B14CD1"/>
    <w:rsid w:val="00B15491"/>
    <w:rsid w:val="00B15580"/>
    <w:rsid w:val="00B1562F"/>
    <w:rsid w:val="00B16C77"/>
    <w:rsid w:val="00B16D0D"/>
    <w:rsid w:val="00B16D63"/>
    <w:rsid w:val="00B172E7"/>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2B8"/>
    <w:rsid w:val="00B3068C"/>
    <w:rsid w:val="00B314D4"/>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3B71"/>
    <w:rsid w:val="00B43F67"/>
    <w:rsid w:val="00B45359"/>
    <w:rsid w:val="00B45535"/>
    <w:rsid w:val="00B4553C"/>
    <w:rsid w:val="00B4572C"/>
    <w:rsid w:val="00B459C8"/>
    <w:rsid w:val="00B45BAB"/>
    <w:rsid w:val="00B46739"/>
    <w:rsid w:val="00B46975"/>
    <w:rsid w:val="00B472EC"/>
    <w:rsid w:val="00B4777F"/>
    <w:rsid w:val="00B51611"/>
    <w:rsid w:val="00B518C6"/>
    <w:rsid w:val="00B52046"/>
    <w:rsid w:val="00B5259A"/>
    <w:rsid w:val="00B52CB1"/>
    <w:rsid w:val="00B53A25"/>
    <w:rsid w:val="00B53B6D"/>
    <w:rsid w:val="00B53C9A"/>
    <w:rsid w:val="00B53D31"/>
    <w:rsid w:val="00B54F0D"/>
    <w:rsid w:val="00B553DF"/>
    <w:rsid w:val="00B5563C"/>
    <w:rsid w:val="00B55939"/>
    <w:rsid w:val="00B56301"/>
    <w:rsid w:val="00B57469"/>
    <w:rsid w:val="00B57CDA"/>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EE"/>
    <w:rsid w:val="00B86B7E"/>
    <w:rsid w:val="00B8769D"/>
    <w:rsid w:val="00B87BE1"/>
    <w:rsid w:val="00B87DD5"/>
    <w:rsid w:val="00B90F96"/>
    <w:rsid w:val="00B9219F"/>
    <w:rsid w:val="00B926CB"/>
    <w:rsid w:val="00B92BB9"/>
    <w:rsid w:val="00B92FBB"/>
    <w:rsid w:val="00B933B2"/>
    <w:rsid w:val="00B936CB"/>
    <w:rsid w:val="00B93BDF"/>
    <w:rsid w:val="00B93CAF"/>
    <w:rsid w:val="00B941B6"/>
    <w:rsid w:val="00B94A06"/>
    <w:rsid w:val="00B952E7"/>
    <w:rsid w:val="00B95B2F"/>
    <w:rsid w:val="00B95B37"/>
    <w:rsid w:val="00B95E21"/>
    <w:rsid w:val="00B95E9C"/>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7701"/>
    <w:rsid w:val="00BA7A25"/>
    <w:rsid w:val="00BA7AF1"/>
    <w:rsid w:val="00BA7BAB"/>
    <w:rsid w:val="00BA7C02"/>
    <w:rsid w:val="00BA7C73"/>
    <w:rsid w:val="00BB00C3"/>
    <w:rsid w:val="00BB01F3"/>
    <w:rsid w:val="00BB073E"/>
    <w:rsid w:val="00BB0741"/>
    <w:rsid w:val="00BB17AD"/>
    <w:rsid w:val="00BB2428"/>
    <w:rsid w:val="00BB292D"/>
    <w:rsid w:val="00BB300F"/>
    <w:rsid w:val="00BB309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623"/>
    <w:rsid w:val="00BD3792"/>
    <w:rsid w:val="00BD3C72"/>
    <w:rsid w:val="00BD4E12"/>
    <w:rsid w:val="00BD4F07"/>
    <w:rsid w:val="00BD56F8"/>
    <w:rsid w:val="00BD5D4E"/>
    <w:rsid w:val="00BD5F7E"/>
    <w:rsid w:val="00BD7991"/>
    <w:rsid w:val="00BD7E30"/>
    <w:rsid w:val="00BE0BDD"/>
    <w:rsid w:val="00BE21E3"/>
    <w:rsid w:val="00BE305B"/>
    <w:rsid w:val="00BE5C0F"/>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5B81"/>
    <w:rsid w:val="00BF6270"/>
    <w:rsid w:val="00BF67B7"/>
    <w:rsid w:val="00BF703E"/>
    <w:rsid w:val="00BF770B"/>
    <w:rsid w:val="00BF7802"/>
    <w:rsid w:val="00C007A6"/>
    <w:rsid w:val="00C01510"/>
    <w:rsid w:val="00C01CEB"/>
    <w:rsid w:val="00C01F6E"/>
    <w:rsid w:val="00C02B42"/>
    <w:rsid w:val="00C02BED"/>
    <w:rsid w:val="00C03249"/>
    <w:rsid w:val="00C036F7"/>
    <w:rsid w:val="00C03978"/>
    <w:rsid w:val="00C04BA2"/>
    <w:rsid w:val="00C04BAE"/>
    <w:rsid w:val="00C05362"/>
    <w:rsid w:val="00C05537"/>
    <w:rsid w:val="00C05896"/>
    <w:rsid w:val="00C0599A"/>
    <w:rsid w:val="00C05D89"/>
    <w:rsid w:val="00C06C42"/>
    <w:rsid w:val="00C06D80"/>
    <w:rsid w:val="00C06EB2"/>
    <w:rsid w:val="00C073DA"/>
    <w:rsid w:val="00C078C1"/>
    <w:rsid w:val="00C079DB"/>
    <w:rsid w:val="00C07A40"/>
    <w:rsid w:val="00C07C15"/>
    <w:rsid w:val="00C10B9B"/>
    <w:rsid w:val="00C10C30"/>
    <w:rsid w:val="00C1104C"/>
    <w:rsid w:val="00C11577"/>
    <w:rsid w:val="00C11990"/>
    <w:rsid w:val="00C11DC5"/>
    <w:rsid w:val="00C11F13"/>
    <w:rsid w:val="00C11F39"/>
    <w:rsid w:val="00C11F55"/>
    <w:rsid w:val="00C12249"/>
    <w:rsid w:val="00C1250E"/>
    <w:rsid w:val="00C1262D"/>
    <w:rsid w:val="00C138E7"/>
    <w:rsid w:val="00C139A1"/>
    <w:rsid w:val="00C13D15"/>
    <w:rsid w:val="00C1448C"/>
    <w:rsid w:val="00C14D7A"/>
    <w:rsid w:val="00C153BC"/>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2B32"/>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6111"/>
    <w:rsid w:val="00C46816"/>
    <w:rsid w:val="00C46822"/>
    <w:rsid w:val="00C468CE"/>
    <w:rsid w:val="00C46CE5"/>
    <w:rsid w:val="00C4706F"/>
    <w:rsid w:val="00C47CFC"/>
    <w:rsid w:val="00C50206"/>
    <w:rsid w:val="00C50260"/>
    <w:rsid w:val="00C512B5"/>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8F4"/>
    <w:rsid w:val="00C65B6B"/>
    <w:rsid w:val="00C66492"/>
    <w:rsid w:val="00C664AB"/>
    <w:rsid w:val="00C66584"/>
    <w:rsid w:val="00C665A9"/>
    <w:rsid w:val="00C66705"/>
    <w:rsid w:val="00C67754"/>
    <w:rsid w:val="00C70254"/>
    <w:rsid w:val="00C703C0"/>
    <w:rsid w:val="00C706D1"/>
    <w:rsid w:val="00C70A4F"/>
    <w:rsid w:val="00C70FAE"/>
    <w:rsid w:val="00C7113D"/>
    <w:rsid w:val="00C71284"/>
    <w:rsid w:val="00C719C3"/>
    <w:rsid w:val="00C724F5"/>
    <w:rsid w:val="00C72BA3"/>
    <w:rsid w:val="00C72DD5"/>
    <w:rsid w:val="00C733A6"/>
    <w:rsid w:val="00C737B0"/>
    <w:rsid w:val="00C73D39"/>
    <w:rsid w:val="00C760ED"/>
    <w:rsid w:val="00C76282"/>
    <w:rsid w:val="00C7675A"/>
    <w:rsid w:val="00C76D5D"/>
    <w:rsid w:val="00C76E9D"/>
    <w:rsid w:val="00C77906"/>
    <w:rsid w:val="00C80E18"/>
    <w:rsid w:val="00C816DF"/>
    <w:rsid w:val="00C820EE"/>
    <w:rsid w:val="00C82CD4"/>
    <w:rsid w:val="00C84475"/>
    <w:rsid w:val="00C84713"/>
    <w:rsid w:val="00C84758"/>
    <w:rsid w:val="00C853AB"/>
    <w:rsid w:val="00C856EF"/>
    <w:rsid w:val="00C85CAC"/>
    <w:rsid w:val="00C85D45"/>
    <w:rsid w:val="00C85F72"/>
    <w:rsid w:val="00C85FB3"/>
    <w:rsid w:val="00C86896"/>
    <w:rsid w:val="00C876E1"/>
    <w:rsid w:val="00C90162"/>
    <w:rsid w:val="00C908A9"/>
    <w:rsid w:val="00C908BE"/>
    <w:rsid w:val="00C91507"/>
    <w:rsid w:val="00C929E1"/>
    <w:rsid w:val="00C92F67"/>
    <w:rsid w:val="00C93C36"/>
    <w:rsid w:val="00C940C2"/>
    <w:rsid w:val="00C944D1"/>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05A"/>
    <w:rsid w:val="00CA1AE4"/>
    <w:rsid w:val="00CA1E0C"/>
    <w:rsid w:val="00CA1FA7"/>
    <w:rsid w:val="00CA20E3"/>
    <w:rsid w:val="00CA245C"/>
    <w:rsid w:val="00CA26EC"/>
    <w:rsid w:val="00CA3AC7"/>
    <w:rsid w:val="00CA423D"/>
    <w:rsid w:val="00CA4AAC"/>
    <w:rsid w:val="00CA5989"/>
    <w:rsid w:val="00CA5AF9"/>
    <w:rsid w:val="00CA5D0C"/>
    <w:rsid w:val="00CA5E13"/>
    <w:rsid w:val="00CA625D"/>
    <w:rsid w:val="00CA69FF"/>
    <w:rsid w:val="00CA6F73"/>
    <w:rsid w:val="00CA7A1F"/>
    <w:rsid w:val="00CA7DAF"/>
    <w:rsid w:val="00CB017E"/>
    <w:rsid w:val="00CB0226"/>
    <w:rsid w:val="00CB0717"/>
    <w:rsid w:val="00CB0A65"/>
    <w:rsid w:val="00CB0DC8"/>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65B"/>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944"/>
    <w:rsid w:val="00CE0A76"/>
    <w:rsid w:val="00CE166B"/>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E4D"/>
    <w:rsid w:val="00D04F45"/>
    <w:rsid w:val="00D04FAA"/>
    <w:rsid w:val="00D0534B"/>
    <w:rsid w:val="00D0548B"/>
    <w:rsid w:val="00D05AEE"/>
    <w:rsid w:val="00D05D6E"/>
    <w:rsid w:val="00D0648D"/>
    <w:rsid w:val="00D06EB9"/>
    <w:rsid w:val="00D1153F"/>
    <w:rsid w:val="00D11995"/>
    <w:rsid w:val="00D11CFD"/>
    <w:rsid w:val="00D12432"/>
    <w:rsid w:val="00D126CF"/>
    <w:rsid w:val="00D12AD9"/>
    <w:rsid w:val="00D13808"/>
    <w:rsid w:val="00D14317"/>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17BF1"/>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0DAC"/>
    <w:rsid w:val="00D313FB"/>
    <w:rsid w:val="00D3141B"/>
    <w:rsid w:val="00D319A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105"/>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57E0C"/>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2D23"/>
    <w:rsid w:val="00D935AB"/>
    <w:rsid w:val="00D936B4"/>
    <w:rsid w:val="00D94900"/>
    <w:rsid w:val="00D94E4C"/>
    <w:rsid w:val="00D953F7"/>
    <w:rsid w:val="00D95709"/>
    <w:rsid w:val="00D958D7"/>
    <w:rsid w:val="00D96083"/>
    <w:rsid w:val="00D96248"/>
    <w:rsid w:val="00D96AFA"/>
    <w:rsid w:val="00D96B2B"/>
    <w:rsid w:val="00D96D46"/>
    <w:rsid w:val="00D97B72"/>
    <w:rsid w:val="00D97CF6"/>
    <w:rsid w:val="00DA0BBE"/>
    <w:rsid w:val="00DA11AE"/>
    <w:rsid w:val="00DA16E5"/>
    <w:rsid w:val="00DA1A59"/>
    <w:rsid w:val="00DA1BE6"/>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0F3"/>
    <w:rsid w:val="00DB115A"/>
    <w:rsid w:val="00DB1DCE"/>
    <w:rsid w:val="00DB31DB"/>
    <w:rsid w:val="00DB3213"/>
    <w:rsid w:val="00DB387C"/>
    <w:rsid w:val="00DB42F5"/>
    <w:rsid w:val="00DB4353"/>
    <w:rsid w:val="00DB43F8"/>
    <w:rsid w:val="00DB46D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17B"/>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2EF"/>
    <w:rsid w:val="00DE19AA"/>
    <w:rsid w:val="00DE1BFE"/>
    <w:rsid w:val="00DE2156"/>
    <w:rsid w:val="00DE367F"/>
    <w:rsid w:val="00DE3E2A"/>
    <w:rsid w:val="00DE4014"/>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4F96"/>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DB9"/>
    <w:rsid w:val="00E26E41"/>
    <w:rsid w:val="00E26EF2"/>
    <w:rsid w:val="00E274C1"/>
    <w:rsid w:val="00E277E0"/>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3C76"/>
    <w:rsid w:val="00E34523"/>
    <w:rsid w:val="00E3511E"/>
    <w:rsid w:val="00E35FC8"/>
    <w:rsid w:val="00E36F8A"/>
    <w:rsid w:val="00E37394"/>
    <w:rsid w:val="00E37482"/>
    <w:rsid w:val="00E37A6A"/>
    <w:rsid w:val="00E37CC3"/>
    <w:rsid w:val="00E40479"/>
    <w:rsid w:val="00E408F2"/>
    <w:rsid w:val="00E40B38"/>
    <w:rsid w:val="00E40FB5"/>
    <w:rsid w:val="00E41884"/>
    <w:rsid w:val="00E4192C"/>
    <w:rsid w:val="00E41DF6"/>
    <w:rsid w:val="00E420CB"/>
    <w:rsid w:val="00E4281D"/>
    <w:rsid w:val="00E42BB9"/>
    <w:rsid w:val="00E42FB9"/>
    <w:rsid w:val="00E446FD"/>
    <w:rsid w:val="00E451B6"/>
    <w:rsid w:val="00E454AD"/>
    <w:rsid w:val="00E458B2"/>
    <w:rsid w:val="00E46089"/>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3F98"/>
    <w:rsid w:val="00E54446"/>
    <w:rsid w:val="00E54704"/>
    <w:rsid w:val="00E55623"/>
    <w:rsid w:val="00E55CB7"/>
    <w:rsid w:val="00E55DC8"/>
    <w:rsid w:val="00E56479"/>
    <w:rsid w:val="00E567C7"/>
    <w:rsid w:val="00E56821"/>
    <w:rsid w:val="00E569DE"/>
    <w:rsid w:val="00E56F73"/>
    <w:rsid w:val="00E57111"/>
    <w:rsid w:val="00E574A7"/>
    <w:rsid w:val="00E57BEF"/>
    <w:rsid w:val="00E603AF"/>
    <w:rsid w:val="00E604FA"/>
    <w:rsid w:val="00E60FAB"/>
    <w:rsid w:val="00E6133F"/>
    <w:rsid w:val="00E615BD"/>
    <w:rsid w:val="00E61F48"/>
    <w:rsid w:val="00E62A1B"/>
    <w:rsid w:val="00E62B98"/>
    <w:rsid w:val="00E62C01"/>
    <w:rsid w:val="00E62F16"/>
    <w:rsid w:val="00E631E5"/>
    <w:rsid w:val="00E6329E"/>
    <w:rsid w:val="00E6390E"/>
    <w:rsid w:val="00E63980"/>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1F6"/>
    <w:rsid w:val="00E722A2"/>
    <w:rsid w:val="00E729B9"/>
    <w:rsid w:val="00E730FA"/>
    <w:rsid w:val="00E742E4"/>
    <w:rsid w:val="00E746A4"/>
    <w:rsid w:val="00E752A9"/>
    <w:rsid w:val="00E75529"/>
    <w:rsid w:val="00E75D96"/>
    <w:rsid w:val="00E75DC3"/>
    <w:rsid w:val="00E76D6E"/>
    <w:rsid w:val="00E76DCC"/>
    <w:rsid w:val="00E7757E"/>
    <w:rsid w:val="00E7789E"/>
    <w:rsid w:val="00E77A75"/>
    <w:rsid w:val="00E77B23"/>
    <w:rsid w:val="00E77D56"/>
    <w:rsid w:val="00E80364"/>
    <w:rsid w:val="00E80511"/>
    <w:rsid w:val="00E80C27"/>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76C"/>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4D45"/>
    <w:rsid w:val="00E95C26"/>
    <w:rsid w:val="00E95CEA"/>
    <w:rsid w:val="00E962EC"/>
    <w:rsid w:val="00E967F1"/>
    <w:rsid w:val="00E976D8"/>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3F7"/>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2737"/>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95F"/>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61FC"/>
    <w:rsid w:val="00EF7388"/>
    <w:rsid w:val="00EF75A6"/>
    <w:rsid w:val="00EF76F8"/>
    <w:rsid w:val="00EF7C48"/>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681"/>
    <w:rsid w:val="00F03E2F"/>
    <w:rsid w:val="00F04555"/>
    <w:rsid w:val="00F04D9B"/>
    <w:rsid w:val="00F05533"/>
    <w:rsid w:val="00F0588E"/>
    <w:rsid w:val="00F05AB5"/>
    <w:rsid w:val="00F05BC9"/>
    <w:rsid w:val="00F0608B"/>
    <w:rsid w:val="00F0659C"/>
    <w:rsid w:val="00F065FA"/>
    <w:rsid w:val="00F06776"/>
    <w:rsid w:val="00F06CDD"/>
    <w:rsid w:val="00F06D5D"/>
    <w:rsid w:val="00F10A31"/>
    <w:rsid w:val="00F1139F"/>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0D8"/>
    <w:rsid w:val="00F17267"/>
    <w:rsid w:val="00F211C9"/>
    <w:rsid w:val="00F21448"/>
    <w:rsid w:val="00F215D1"/>
    <w:rsid w:val="00F2210C"/>
    <w:rsid w:val="00F22F2A"/>
    <w:rsid w:val="00F231FB"/>
    <w:rsid w:val="00F243C4"/>
    <w:rsid w:val="00F243FF"/>
    <w:rsid w:val="00F2515E"/>
    <w:rsid w:val="00F25199"/>
    <w:rsid w:val="00F254D8"/>
    <w:rsid w:val="00F25953"/>
    <w:rsid w:val="00F25CD3"/>
    <w:rsid w:val="00F26A46"/>
    <w:rsid w:val="00F26F86"/>
    <w:rsid w:val="00F2780A"/>
    <w:rsid w:val="00F30B28"/>
    <w:rsid w:val="00F314EF"/>
    <w:rsid w:val="00F3167E"/>
    <w:rsid w:val="00F320E3"/>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4D3"/>
    <w:rsid w:val="00F405B4"/>
    <w:rsid w:val="00F40EB5"/>
    <w:rsid w:val="00F40F31"/>
    <w:rsid w:val="00F41380"/>
    <w:rsid w:val="00F41421"/>
    <w:rsid w:val="00F4174A"/>
    <w:rsid w:val="00F41886"/>
    <w:rsid w:val="00F419C3"/>
    <w:rsid w:val="00F41A80"/>
    <w:rsid w:val="00F41C4B"/>
    <w:rsid w:val="00F42798"/>
    <w:rsid w:val="00F4311B"/>
    <w:rsid w:val="00F43206"/>
    <w:rsid w:val="00F4322A"/>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2DF"/>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7B"/>
    <w:rsid w:val="00F853BE"/>
    <w:rsid w:val="00F8675D"/>
    <w:rsid w:val="00F86E2D"/>
    <w:rsid w:val="00F870B7"/>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D20"/>
    <w:rsid w:val="00F95E64"/>
    <w:rsid w:val="00F960B8"/>
    <w:rsid w:val="00F9649D"/>
    <w:rsid w:val="00F967C4"/>
    <w:rsid w:val="00F96A46"/>
    <w:rsid w:val="00F96BB8"/>
    <w:rsid w:val="00F97647"/>
    <w:rsid w:val="00F97724"/>
    <w:rsid w:val="00F97A19"/>
    <w:rsid w:val="00FA068B"/>
    <w:rsid w:val="00FA1973"/>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BD9"/>
    <w:rsid w:val="00FB2C51"/>
    <w:rsid w:val="00FB3935"/>
    <w:rsid w:val="00FB4250"/>
    <w:rsid w:val="00FB440D"/>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189"/>
    <w:rsid w:val="00FD0A8B"/>
    <w:rsid w:val="00FD0CE5"/>
    <w:rsid w:val="00FD126A"/>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20A"/>
    <w:rsid w:val="00FD6570"/>
    <w:rsid w:val="00FD66E5"/>
    <w:rsid w:val="00FD6EA4"/>
    <w:rsid w:val="00FD6FCC"/>
    <w:rsid w:val="00FD79A7"/>
    <w:rsid w:val="00FD7DB9"/>
    <w:rsid w:val="00FD7E42"/>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5D77"/>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 w:val="043C57EC"/>
    <w:rsid w:val="07F78205"/>
    <w:rsid w:val="0DEB1C25"/>
    <w:rsid w:val="11E22C4A"/>
    <w:rsid w:val="12BE8D48"/>
    <w:rsid w:val="13DB5ACD"/>
    <w:rsid w:val="145ED399"/>
    <w:rsid w:val="1B5A43D5"/>
    <w:rsid w:val="1C4C4731"/>
    <w:rsid w:val="1CB5B124"/>
    <w:rsid w:val="1DED22E3"/>
    <w:rsid w:val="1F3DEE6A"/>
    <w:rsid w:val="1FED51E6"/>
    <w:rsid w:val="2060D9EE"/>
    <w:rsid w:val="211FB854"/>
    <w:rsid w:val="2238F720"/>
    <w:rsid w:val="25C6C36D"/>
    <w:rsid w:val="276293CE"/>
    <w:rsid w:val="2BCBBC29"/>
    <w:rsid w:val="2C1EC6F0"/>
    <w:rsid w:val="2CAA50C7"/>
    <w:rsid w:val="2EF0BA70"/>
    <w:rsid w:val="310175D0"/>
    <w:rsid w:val="31AE206B"/>
    <w:rsid w:val="343A7F00"/>
    <w:rsid w:val="372C27B2"/>
    <w:rsid w:val="417E8D10"/>
    <w:rsid w:val="42AA2F68"/>
    <w:rsid w:val="43BF5569"/>
    <w:rsid w:val="4BD863BF"/>
    <w:rsid w:val="4C7F750E"/>
    <w:rsid w:val="4D980A94"/>
    <w:rsid w:val="525BADD2"/>
    <w:rsid w:val="52B6A45C"/>
    <w:rsid w:val="54CE23F9"/>
    <w:rsid w:val="5557A13B"/>
    <w:rsid w:val="5720733B"/>
    <w:rsid w:val="57988337"/>
    <w:rsid w:val="588FA029"/>
    <w:rsid w:val="58BC439C"/>
    <w:rsid w:val="5BEA6AB7"/>
    <w:rsid w:val="62154131"/>
    <w:rsid w:val="6451865E"/>
    <w:rsid w:val="653AA482"/>
    <w:rsid w:val="666D0AF0"/>
    <w:rsid w:val="680C6DEA"/>
    <w:rsid w:val="68262080"/>
    <w:rsid w:val="68FFBEF7"/>
    <w:rsid w:val="7B667373"/>
    <w:rsid w:val="7B74C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49"/>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bac-stakeholder-meetings/Esketamine-Stakeholder-Meeting-Outcome-Statemen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12260</Words>
  <Characters>71223</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2023-08-21T06:06:00Z</dcterms:created>
  <dcterms:modified xsi:type="dcterms:W3CDTF">2023-08-22T09:20:00Z</dcterms:modified>
</cp:coreProperties>
</file>