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32703C2D" w:rsidR="007567D2" w:rsidRDefault="007567D2" w:rsidP="00ED6AE3">
      <w:pPr>
        <w:pStyle w:val="Default"/>
        <w:ind w:right="656"/>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16C149F7" w14:textId="103F4460" w:rsidR="00C47960" w:rsidRDefault="00C47960" w:rsidP="00ED6AE3">
      <w:pPr>
        <w:pStyle w:val="Default"/>
        <w:ind w:right="656"/>
        <w:rPr>
          <w:rFonts w:ascii="Arial" w:hAnsi="Arial" w:cs="Arial"/>
          <w:sz w:val="18"/>
          <w:szCs w:val="18"/>
        </w:rPr>
      </w:pPr>
    </w:p>
    <w:p w14:paraId="662EE0D4" w14:textId="4A2D9AFD" w:rsidR="00C47960" w:rsidRPr="00153C15" w:rsidRDefault="00C47960" w:rsidP="00ED6AE3">
      <w:pPr>
        <w:pStyle w:val="Default"/>
        <w:ind w:right="656"/>
        <w:rPr>
          <w:rFonts w:ascii="Arial" w:hAnsi="Arial" w:cs="Arial"/>
          <w:sz w:val="18"/>
          <w:szCs w:val="18"/>
        </w:rPr>
      </w:pPr>
      <w:r w:rsidRPr="00ED6AE3">
        <w:rPr>
          <w:rFonts w:ascii="Arial" w:hAnsi="Arial" w:cs="Arial"/>
          <w:i/>
          <w:iCs/>
          <w:sz w:val="18"/>
          <w:szCs w:val="18"/>
        </w:rPr>
        <w:t>Submission items</w:t>
      </w:r>
    </w:p>
    <w:p w14:paraId="498951C4" w14:textId="211A8FF8" w:rsidR="007567D2" w:rsidRPr="00153C15" w:rsidRDefault="007567D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699"/>
        <w:gridCol w:w="2693"/>
        <w:gridCol w:w="1702"/>
        <w:gridCol w:w="6605"/>
      </w:tblGrid>
      <w:tr w:rsidR="00DE5E85" w:rsidRPr="00687774" w14:paraId="2F780D8A" w14:textId="77777777" w:rsidTr="00DE5E85">
        <w:trPr>
          <w:tblHeader/>
        </w:trPr>
        <w:tc>
          <w:tcPr>
            <w:tcW w:w="874" w:type="pct"/>
            <w:tcBorders>
              <w:bottom w:val="single" w:sz="4" w:space="0" w:color="auto"/>
            </w:tcBorders>
            <w:shd w:val="clear" w:color="auto" w:fill="auto"/>
            <w:tcMar>
              <w:top w:w="28" w:type="dxa"/>
              <w:bottom w:w="28" w:type="dxa"/>
            </w:tcMar>
          </w:tcPr>
          <w:p w14:paraId="58BB41E5" w14:textId="46F847AB" w:rsidR="00DE5E85" w:rsidRPr="003E3EC0" w:rsidRDefault="00DE5E85" w:rsidP="00F82BC6">
            <w:pPr>
              <w:widowControl w:val="0"/>
              <w:ind w:right="-106"/>
              <w:jc w:val="center"/>
              <w:rPr>
                <w:rFonts w:ascii="Arial" w:hAnsi="Arial" w:cs="Arial"/>
                <w:b/>
                <w:sz w:val="18"/>
                <w:szCs w:val="18"/>
              </w:rPr>
            </w:pPr>
            <w:r w:rsidRPr="003E3EC0">
              <w:rPr>
                <w:rFonts w:ascii="Arial" w:hAnsi="Arial" w:cs="Arial"/>
                <w:b/>
                <w:sz w:val="18"/>
                <w:szCs w:val="18"/>
              </w:rPr>
              <w:t>DRUG NAME, FORM(S), STRENGTH(S), SPONSOR, TYPE OF SUBMISSION</w:t>
            </w:r>
          </w:p>
        </w:tc>
        <w:tc>
          <w:tcPr>
            <w:tcW w:w="552" w:type="pct"/>
            <w:tcBorders>
              <w:bottom w:val="single" w:sz="4" w:space="0" w:color="auto"/>
            </w:tcBorders>
            <w:shd w:val="clear" w:color="auto" w:fill="auto"/>
            <w:tcMar>
              <w:top w:w="28" w:type="dxa"/>
              <w:bottom w:w="28" w:type="dxa"/>
            </w:tcMar>
          </w:tcPr>
          <w:p w14:paraId="22DBCABB" w14:textId="77777777" w:rsidR="00DE5E85" w:rsidRPr="003E3EC0" w:rsidRDefault="00DE5E85" w:rsidP="002A659A">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DRUG TYPE AND USE</w:t>
            </w:r>
          </w:p>
          <w:p w14:paraId="64FD3362" w14:textId="77777777" w:rsidR="00DE5E85" w:rsidRPr="003E3EC0" w:rsidRDefault="00DE5E85" w:rsidP="002A659A">
            <w:pPr>
              <w:widowControl w:val="0"/>
              <w:jc w:val="center"/>
              <w:rPr>
                <w:rFonts w:ascii="Arial" w:hAnsi="Arial" w:cs="Arial"/>
                <w:b/>
                <w:snapToGrid w:val="0"/>
                <w:sz w:val="18"/>
                <w:szCs w:val="18"/>
                <w:lang w:eastAsia="en-US"/>
              </w:rPr>
            </w:pPr>
          </w:p>
        </w:tc>
        <w:tc>
          <w:tcPr>
            <w:tcW w:w="875" w:type="pct"/>
            <w:tcBorders>
              <w:bottom w:val="single" w:sz="4" w:space="0" w:color="auto"/>
            </w:tcBorders>
            <w:shd w:val="clear" w:color="auto" w:fill="auto"/>
            <w:tcMar>
              <w:top w:w="28" w:type="dxa"/>
              <w:bottom w:w="28" w:type="dxa"/>
            </w:tcMar>
          </w:tcPr>
          <w:p w14:paraId="60A9336E" w14:textId="77777777" w:rsidR="00DE5E85" w:rsidRPr="003E3EC0" w:rsidRDefault="00DE5E85" w:rsidP="002A659A">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LISTING REQUESTED BY SPONSOR / PURPOSE OF SUBMISSION</w:t>
            </w:r>
          </w:p>
        </w:tc>
        <w:tc>
          <w:tcPr>
            <w:tcW w:w="2699" w:type="pct"/>
            <w:gridSpan w:val="2"/>
            <w:tcBorders>
              <w:bottom w:val="single" w:sz="4" w:space="0" w:color="auto"/>
            </w:tcBorders>
            <w:shd w:val="clear" w:color="auto" w:fill="auto"/>
          </w:tcPr>
          <w:p w14:paraId="5626F454" w14:textId="5D0E1C48" w:rsidR="00DE5E85" w:rsidRPr="003E3EC0" w:rsidRDefault="00DE5E85" w:rsidP="00AD3477">
            <w:pPr>
              <w:pStyle w:val="Header"/>
              <w:jc w:val="center"/>
              <w:rPr>
                <w:rFonts w:ascii="Arial" w:hAnsi="Arial" w:cs="Arial"/>
                <w:b/>
                <w:snapToGrid w:val="0"/>
                <w:sz w:val="18"/>
                <w:szCs w:val="18"/>
                <w:lang w:eastAsia="en-US"/>
              </w:rPr>
            </w:pPr>
            <w:r w:rsidRPr="003E3EC0">
              <w:rPr>
                <w:rFonts w:ascii="Arial" w:hAnsi="Arial" w:cs="Arial"/>
                <w:b/>
                <w:snapToGrid w:val="0"/>
                <w:sz w:val="18"/>
                <w:szCs w:val="18"/>
                <w:lang w:eastAsia="en-US"/>
              </w:rPr>
              <w:t xml:space="preserve">PBAC </w:t>
            </w:r>
            <w:r>
              <w:rPr>
                <w:rFonts w:ascii="Arial" w:hAnsi="Arial" w:cs="Arial"/>
                <w:b/>
                <w:snapToGrid w:val="0"/>
                <w:sz w:val="18"/>
                <w:szCs w:val="18"/>
                <w:lang w:eastAsia="en-US"/>
              </w:rPr>
              <w:t>OUTCOME</w:t>
            </w:r>
          </w:p>
        </w:tc>
      </w:tr>
      <w:tr w:rsidR="00630D54" w:rsidRPr="00687774" w14:paraId="0F59465D" w14:textId="77777777" w:rsidTr="002C77D1">
        <w:trPr>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564EAA52" w14:textId="77777777" w:rsidR="00630D54" w:rsidRDefault="00630D54" w:rsidP="007414B9">
            <w:pPr>
              <w:rPr>
                <w:rFonts w:ascii="Arial" w:hAnsi="Arial" w:cs="Arial"/>
                <w:sz w:val="18"/>
                <w:szCs w:val="18"/>
              </w:rPr>
            </w:pPr>
            <w:r>
              <w:rPr>
                <w:rFonts w:ascii="Arial" w:hAnsi="Arial" w:cs="Arial"/>
                <w:sz w:val="18"/>
                <w:szCs w:val="18"/>
              </w:rPr>
              <w:t>ACALABRUTINIB</w:t>
            </w:r>
          </w:p>
          <w:p w14:paraId="5D2572FE" w14:textId="77777777" w:rsidR="00630D54" w:rsidRDefault="00630D54" w:rsidP="007414B9">
            <w:pPr>
              <w:rPr>
                <w:rFonts w:ascii="Arial" w:hAnsi="Arial" w:cs="Arial"/>
                <w:sz w:val="18"/>
                <w:szCs w:val="18"/>
              </w:rPr>
            </w:pPr>
          </w:p>
          <w:p w14:paraId="2E039383" w14:textId="77777777" w:rsidR="00630D54" w:rsidRDefault="00630D54" w:rsidP="007414B9">
            <w:pPr>
              <w:rPr>
                <w:rFonts w:ascii="Arial" w:hAnsi="Arial" w:cs="Arial"/>
                <w:sz w:val="18"/>
                <w:szCs w:val="18"/>
              </w:rPr>
            </w:pPr>
            <w:r>
              <w:rPr>
                <w:rFonts w:ascii="Arial" w:hAnsi="Arial" w:cs="Arial"/>
                <w:sz w:val="18"/>
                <w:szCs w:val="18"/>
              </w:rPr>
              <w:t>Capsule 100 mg</w:t>
            </w:r>
          </w:p>
          <w:p w14:paraId="36FAA4BB" w14:textId="77777777" w:rsidR="00630D54" w:rsidRDefault="00630D54" w:rsidP="007414B9">
            <w:pPr>
              <w:rPr>
                <w:rFonts w:ascii="Arial" w:hAnsi="Arial" w:cs="Arial"/>
                <w:sz w:val="18"/>
                <w:szCs w:val="18"/>
              </w:rPr>
            </w:pPr>
          </w:p>
          <w:p w14:paraId="6D33DBD0" w14:textId="77777777" w:rsidR="00630D54" w:rsidRDefault="00630D54" w:rsidP="007414B9">
            <w:pPr>
              <w:rPr>
                <w:rFonts w:ascii="Arial" w:hAnsi="Arial" w:cs="Arial"/>
                <w:sz w:val="18"/>
                <w:szCs w:val="18"/>
                <w:vertAlign w:val="superscript"/>
              </w:rPr>
            </w:pPr>
            <w:proofErr w:type="spellStart"/>
            <w:r>
              <w:rPr>
                <w:rFonts w:ascii="Arial" w:hAnsi="Arial" w:cs="Arial"/>
                <w:sz w:val="18"/>
                <w:szCs w:val="18"/>
              </w:rPr>
              <w:t>Calquence</w:t>
            </w:r>
            <w:proofErr w:type="spellEnd"/>
            <w:r w:rsidRPr="00630D54">
              <w:rPr>
                <w:rFonts w:ascii="Arial" w:hAnsi="Arial" w:cs="Arial"/>
                <w:sz w:val="18"/>
                <w:szCs w:val="18"/>
                <w:vertAlign w:val="superscript"/>
              </w:rPr>
              <w:t>®</w:t>
            </w:r>
          </w:p>
          <w:p w14:paraId="7411E21E" w14:textId="77777777" w:rsidR="00630D54" w:rsidRDefault="00630D54" w:rsidP="007414B9">
            <w:pPr>
              <w:rPr>
                <w:rFonts w:ascii="Arial" w:hAnsi="Arial" w:cs="Arial"/>
                <w:sz w:val="18"/>
                <w:szCs w:val="18"/>
                <w:vertAlign w:val="superscript"/>
              </w:rPr>
            </w:pPr>
          </w:p>
          <w:p w14:paraId="7419B4C6" w14:textId="77777777" w:rsidR="00630D54" w:rsidRDefault="00630D54" w:rsidP="007414B9">
            <w:pPr>
              <w:rPr>
                <w:rFonts w:ascii="Arial" w:hAnsi="Arial" w:cs="Arial"/>
                <w:sz w:val="18"/>
                <w:szCs w:val="18"/>
              </w:rPr>
            </w:pPr>
            <w:r>
              <w:rPr>
                <w:rFonts w:ascii="Arial" w:hAnsi="Arial" w:cs="Arial"/>
                <w:sz w:val="18"/>
                <w:szCs w:val="18"/>
              </w:rPr>
              <w:t>AstraZeneca Pty Ltd</w:t>
            </w:r>
          </w:p>
          <w:p w14:paraId="3E4F0CF6" w14:textId="77777777" w:rsidR="00630D54" w:rsidRDefault="00630D54" w:rsidP="007414B9">
            <w:pPr>
              <w:rPr>
                <w:rFonts w:ascii="Arial" w:hAnsi="Arial" w:cs="Arial"/>
                <w:sz w:val="18"/>
                <w:szCs w:val="18"/>
              </w:rPr>
            </w:pPr>
          </w:p>
          <w:p w14:paraId="4A68CB4D" w14:textId="1762574B" w:rsidR="00630D54" w:rsidRPr="00630D54" w:rsidRDefault="00630D54" w:rsidP="007414B9">
            <w:pPr>
              <w:rPr>
                <w:rFonts w:ascii="Arial" w:hAnsi="Arial" w:cs="Arial"/>
                <w:sz w:val="18"/>
                <w:szCs w:val="18"/>
              </w:rPr>
            </w:pPr>
            <w:r>
              <w:rPr>
                <w:rFonts w:ascii="Arial" w:hAnsi="Arial" w:cs="Arial"/>
                <w:sz w:val="18"/>
                <w:szCs w:val="18"/>
              </w:rPr>
              <w:t>(Change to PBS listing)</w:t>
            </w:r>
          </w:p>
        </w:tc>
        <w:tc>
          <w:tcPr>
            <w:tcW w:w="552" w:type="pct"/>
            <w:tcBorders>
              <w:top w:val="single" w:sz="4" w:space="0" w:color="auto"/>
              <w:left w:val="single" w:sz="4" w:space="0" w:color="auto"/>
              <w:right w:val="single" w:sz="4" w:space="0" w:color="auto"/>
            </w:tcBorders>
            <w:shd w:val="clear" w:color="auto" w:fill="auto"/>
            <w:vAlign w:val="center"/>
          </w:tcPr>
          <w:p w14:paraId="314C2AE8" w14:textId="0A2BB97B" w:rsidR="00630D54" w:rsidRPr="00630D54" w:rsidRDefault="00630D54" w:rsidP="007414B9">
            <w:pPr>
              <w:widowControl w:val="0"/>
              <w:rPr>
                <w:rFonts w:ascii="Arial" w:hAnsi="Arial" w:cs="Arial"/>
                <w:snapToGrid w:val="0"/>
                <w:sz w:val="18"/>
                <w:szCs w:val="18"/>
                <w:lang w:eastAsia="en-US"/>
              </w:rPr>
            </w:pPr>
            <w:r w:rsidRPr="00630D54">
              <w:rPr>
                <w:rFonts w:ascii="Arial" w:hAnsi="Arial" w:cs="Arial"/>
                <w:sz w:val="18"/>
                <w:szCs w:val="18"/>
              </w:rPr>
              <w:t>Chronic lymphocytic leukaemia</w:t>
            </w:r>
            <w:r w:rsidR="001D1F9C">
              <w:rPr>
                <w:rFonts w:ascii="Arial" w:hAnsi="Arial" w:cs="Arial"/>
                <w:sz w:val="18"/>
                <w:szCs w:val="18"/>
              </w:rPr>
              <w:t xml:space="preserve"> (CLL)</w:t>
            </w:r>
            <w:r w:rsidRPr="00630D54">
              <w:rPr>
                <w:rFonts w:ascii="Arial" w:hAnsi="Arial" w:cs="Arial"/>
                <w:sz w:val="18"/>
                <w:szCs w:val="18"/>
              </w:rPr>
              <w:t xml:space="preserve"> or small lymphocytic lymphoma</w:t>
            </w:r>
            <w:r w:rsidR="001D1F9C">
              <w:rPr>
                <w:rFonts w:ascii="Arial" w:hAnsi="Arial" w:cs="Arial"/>
                <w:sz w:val="18"/>
                <w:szCs w:val="18"/>
              </w:rPr>
              <w:t xml:space="preserve"> (SLL)</w:t>
            </w:r>
          </w:p>
        </w:tc>
        <w:tc>
          <w:tcPr>
            <w:tcW w:w="875" w:type="pct"/>
            <w:tcBorders>
              <w:top w:val="single" w:sz="4" w:space="0" w:color="auto"/>
              <w:left w:val="nil"/>
              <w:right w:val="single" w:sz="4" w:space="0" w:color="auto"/>
            </w:tcBorders>
            <w:shd w:val="clear" w:color="auto" w:fill="auto"/>
            <w:tcMar>
              <w:top w:w="28" w:type="dxa"/>
              <w:bottom w:w="28" w:type="dxa"/>
            </w:tcMar>
            <w:vAlign w:val="center"/>
          </w:tcPr>
          <w:p w14:paraId="5216C944" w14:textId="0C87F275" w:rsidR="00630D54" w:rsidRPr="00630D54" w:rsidRDefault="00630D54" w:rsidP="007414B9">
            <w:pPr>
              <w:pStyle w:val="ListParagraph"/>
              <w:ind w:left="0"/>
              <w:rPr>
                <w:rFonts w:ascii="Arial" w:hAnsi="Arial" w:cs="Arial"/>
                <w:sz w:val="18"/>
                <w:szCs w:val="18"/>
              </w:rPr>
            </w:pPr>
            <w:r w:rsidRPr="00630D54">
              <w:rPr>
                <w:rFonts w:ascii="Arial" w:hAnsi="Arial" w:cs="Arial"/>
                <w:sz w:val="18"/>
                <w:szCs w:val="18"/>
              </w:rPr>
              <w:t xml:space="preserve">A resubmission to request a General Schedule Authority Required listing, for use in combination with </w:t>
            </w:r>
            <w:proofErr w:type="spellStart"/>
            <w:r w:rsidRPr="00630D54">
              <w:rPr>
                <w:rFonts w:ascii="Arial" w:hAnsi="Arial" w:cs="Arial"/>
                <w:sz w:val="18"/>
                <w:szCs w:val="18"/>
              </w:rPr>
              <w:t>obinutuzumab</w:t>
            </w:r>
            <w:proofErr w:type="spellEnd"/>
            <w:r w:rsidRPr="00630D54">
              <w:rPr>
                <w:rFonts w:ascii="Arial" w:hAnsi="Arial" w:cs="Arial"/>
                <w:sz w:val="18"/>
                <w:szCs w:val="18"/>
              </w:rPr>
              <w:t xml:space="preserve">, for the treatment of previously untreated </w:t>
            </w:r>
            <w:r w:rsidR="001D1F9C">
              <w:rPr>
                <w:rFonts w:ascii="Arial" w:hAnsi="Arial" w:cs="Arial"/>
                <w:sz w:val="18"/>
                <w:szCs w:val="18"/>
              </w:rPr>
              <w:t>CLL</w:t>
            </w:r>
            <w:r w:rsidRPr="00630D54">
              <w:rPr>
                <w:rFonts w:ascii="Arial" w:hAnsi="Arial" w:cs="Arial"/>
                <w:sz w:val="18"/>
                <w:szCs w:val="18"/>
              </w:rPr>
              <w:t xml:space="preserve"> or </w:t>
            </w:r>
            <w:r w:rsidR="001D1F9C">
              <w:rPr>
                <w:rFonts w:ascii="Arial" w:hAnsi="Arial" w:cs="Arial"/>
                <w:sz w:val="18"/>
                <w:szCs w:val="18"/>
              </w:rPr>
              <w:t>SLL</w:t>
            </w:r>
            <w:r w:rsidRPr="00630D54">
              <w:rPr>
                <w:rFonts w:ascii="Arial" w:hAnsi="Arial" w:cs="Arial"/>
                <w:sz w:val="18"/>
                <w:szCs w:val="18"/>
              </w:rPr>
              <w:t xml:space="preserve"> in patients who are unsuitable for fludarabine-based chemoimmunotherapy.</w:t>
            </w:r>
          </w:p>
        </w:tc>
        <w:tc>
          <w:tcPr>
            <w:tcW w:w="553" w:type="pct"/>
            <w:tcBorders>
              <w:top w:val="single" w:sz="4" w:space="0" w:color="auto"/>
              <w:left w:val="single" w:sz="4" w:space="0" w:color="auto"/>
              <w:right w:val="single" w:sz="4" w:space="0" w:color="auto"/>
            </w:tcBorders>
            <w:shd w:val="clear" w:color="auto" w:fill="auto"/>
            <w:vAlign w:val="center"/>
          </w:tcPr>
          <w:p w14:paraId="4F341E61" w14:textId="6FBC4B43" w:rsidR="00630D54" w:rsidRDefault="00630D54"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Not recommended</w:t>
            </w:r>
          </w:p>
        </w:tc>
        <w:tc>
          <w:tcPr>
            <w:tcW w:w="2146" w:type="pct"/>
            <w:tcBorders>
              <w:top w:val="single" w:sz="4" w:space="0" w:color="auto"/>
            </w:tcBorders>
            <w:shd w:val="clear" w:color="auto" w:fill="auto"/>
            <w:vAlign w:val="center"/>
          </w:tcPr>
          <w:p w14:paraId="417BE970" w14:textId="735C6A86" w:rsidR="002B4F19" w:rsidRPr="002B4F19" w:rsidRDefault="002B4F19" w:rsidP="002B4F19">
            <w:pPr>
              <w:keepNext/>
              <w:keepLines/>
              <w:rPr>
                <w:rFonts w:ascii="Arial" w:hAnsi="Arial" w:cs="Arial"/>
                <w:sz w:val="18"/>
                <w:szCs w:val="18"/>
              </w:rPr>
            </w:pPr>
            <w:r w:rsidRPr="002B4F19">
              <w:rPr>
                <w:rFonts w:ascii="Arial" w:hAnsi="Arial" w:cs="Arial"/>
                <w:sz w:val="18"/>
                <w:szCs w:val="18"/>
              </w:rPr>
              <w:t xml:space="preserve">The PBAC did not recommend acalabrutinib, for use in combination with </w:t>
            </w:r>
            <w:proofErr w:type="spellStart"/>
            <w:r w:rsidRPr="002B4F19">
              <w:rPr>
                <w:rFonts w:ascii="Arial" w:hAnsi="Arial" w:cs="Arial"/>
                <w:sz w:val="18"/>
                <w:szCs w:val="18"/>
              </w:rPr>
              <w:t>obinutuzumab</w:t>
            </w:r>
            <w:proofErr w:type="spellEnd"/>
            <w:r w:rsidRPr="002B4F19">
              <w:rPr>
                <w:rFonts w:ascii="Arial" w:hAnsi="Arial" w:cs="Arial"/>
                <w:sz w:val="18"/>
                <w:szCs w:val="18"/>
              </w:rPr>
              <w:t xml:space="preserve">, for the treatment of patients with previously untreated CLL or SLL, who are considered unsuitable for treatment with fludarabine-based chemoimmunotherapy. The PBAC considered that the claim of superiority versus </w:t>
            </w:r>
            <w:proofErr w:type="spellStart"/>
            <w:r w:rsidRPr="002B4F19">
              <w:rPr>
                <w:rFonts w:ascii="Arial" w:hAnsi="Arial" w:cs="Arial"/>
                <w:sz w:val="18"/>
                <w:szCs w:val="18"/>
              </w:rPr>
              <w:t>venetoclax</w:t>
            </w:r>
            <w:proofErr w:type="spellEnd"/>
            <w:r w:rsidRPr="002B4F19">
              <w:rPr>
                <w:rFonts w:ascii="Arial" w:hAnsi="Arial" w:cs="Arial"/>
                <w:sz w:val="18"/>
                <w:szCs w:val="18"/>
              </w:rPr>
              <w:t xml:space="preserve"> + </w:t>
            </w:r>
            <w:proofErr w:type="spellStart"/>
            <w:r w:rsidRPr="002B4F19">
              <w:rPr>
                <w:rFonts w:ascii="Arial" w:hAnsi="Arial" w:cs="Arial"/>
                <w:sz w:val="18"/>
                <w:szCs w:val="18"/>
              </w:rPr>
              <w:t>obinutuzumab</w:t>
            </w:r>
            <w:proofErr w:type="spellEnd"/>
            <w:r w:rsidRPr="002B4F19">
              <w:rPr>
                <w:rFonts w:ascii="Arial" w:hAnsi="Arial" w:cs="Arial"/>
                <w:sz w:val="18"/>
                <w:szCs w:val="18"/>
              </w:rPr>
              <w:t xml:space="preserve"> was not supported and that a claim of non-inferiority would be more appropriate. As such, the PBAC considered that a cost-minimisation approach would be more appropriate, rather than the cost-utility analysis submitted. The PBAC considered that a substantial price reduction would be required for acalabrutinib + </w:t>
            </w:r>
            <w:proofErr w:type="spellStart"/>
            <w:r w:rsidRPr="002B4F19">
              <w:rPr>
                <w:rFonts w:ascii="Arial" w:hAnsi="Arial" w:cs="Arial"/>
                <w:sz w:val="18"/>
                <w:szCs w:val="18"/>
              </w:rPr>
              <w:t>obinutuzumab</w:t>
            </w:r>
            <w:proofErr w:type="spellEnd"/>
            <w:r w:rsidRPr="002B4F19">
              <w:rPr>
                <w:rFonts w:ascii="Arial" w:hAnsi="Arial" w:cs="Arial"/>
                <w:sz w:val="18"/>
                <w:szCs w:val="18"/>
              </w:rPr>
              <w:t xml:space="preserve"> to be considered acceptably cost-effective.</w:t>
            </w:r>
          </w:p>
          <w:p w14:paraId="49B739D0" w14:textId="77777777" w:rsidR="002B4F19" w:rsidRPr="002B4F19" w:rsidRDefault="002B4F19" w:rsidP="002B4F19">
            <w:pPr>
              <w:rPr>
                <w:rFonts w:ascii="Arial" w:hAnsi="Arial" w:cs="Arial"/>
                <w:sz w:val="18"/>
                <w:szCs w:val="18"/>
              </w:rPr>
            </w:pPr>
          </w:p>
          <w:p w14:paraId="1531CF62" w14:textId="77777777" w:rsidR="002B4F19" w:rsidRPr="002B4F19" w:rsidRDefault="002B4F19" w:rsidP="002B4F19">
            <w:pPr>
              <w:rPr>
                <w:rFonts w:ascii="Arial" w:hAnsi="Arial" w:cs="Arial"/>
                <w:snapToGrid w:val="0"/>
                <w:color w:val="FF0000"/>
                <w:sz w:val="18"/>
                <w:szCs w:val="18"/>
                <w:lang w:eastAsia="en-US"/>
              </w:rPr>
            </w:pPr>
            <w:r w:rsidRPr="002B4F19">
              <w:rPr>
                <w:rFonts w:ascii="Arial" w:hAnsi="Arial" w:cs="Arial"/>
                <w:snapToGrid w:val="0"/>
                <w:sz w:val="18"/>
                <w:szCs w:val="18"/>
                <w:u w:val="single"/>
                <w:lang w:eastAsia="en-US"/>
              </w:rPr>
              <w:t xml:space="preserve">Comparator: </w:t>
            </w:r>
            <w:proofErr w:type="spellStart"/>
            <w:r w:rsidRPr="002B4F19">
              <w:rPr>
                <w:rFonts w:ascii="Arial" w:hAnsi="Arial" w:cs="Arial"/>
                <w:snapToGrid w:val="0"/>
                <w:sz w:val="18"/>
                <w:szCs w:val="18"/>
                <w:u w:val="single"/>
                <w:lang w:eastAsia="en-US"/>
              </w:rPr>
              <w:t>Venetoclax</w:t>
            </w:r>
            <w:proofErr w:type="spellEnd"/>
            <w:r w:rsidRPr="002B4F19">
              <w:rPr>
                <w:rFonts w:ascii="Arial" w:hAnsi="Arial" w:cs="Arial"/>
                <w:snapToGrid w:val="0"/>
                <w:sz w:val="18"/>
                <w:szCs w:val="18"/>
                <w:u w:val="single"/>
                <w:lang w:eastAsia="en-US"/>
              </w:rPr>
              <w:t xml:space="preserve"> + </w:t>
            </w:r>
            <w:proofErr w:type="spellStart"/>
            <w:r w:rsidRPr="002B4F19">
              <w:rPr>
                <w:rFonts w:ascii="Arial" w:hAnsi="Arial" w:cs="Arial"/>
                <w:snapToGrid w:val="0"/>
                <w:sz w:val="18"/>
                <w:szCs w:val="18"/>
                <w:u w:val="single"/>
                <w:lang w:eastAsia="en-US"/>
              </w:rPr>
              <w:t>obinutuzumab</w:t>
            </w:r>
            <w:proofErr w:type="spellEnd"/>
            <w:r w:rsidRPr="002B4F19">
              <w:rPr>
                <w:rFonts w:ascii="Arial" w:hAnsi="Arial" w:cs="Arial"/>
                <w:snapToGrid w:val="0"/>
                <w:sz w:val="18"/>
                <w:szCs w:val="18"/>
                <w:u w:val="single"/>
                <w:lang w:eastAsia="en-US"/>
              </w:rPr>
              <w:t>:</w:t>
            </w:r>
            <w:r w:rsidRPr="002B4F19">
              <w:rPr>
                <w:rFonts w:ascii="Arial" w:hAnsi="Arial" w:cs="Arial"/>
                <w:snapToGrid w:val="0"/>
                <w:sz w:val="18"/>
                <w:szCs w:val="18"/>
                <w:lang w:eastAsia="en-US"/>
              </w:rPr>
              <w:t xml:space="preserve"> The PBAC accepted that </w:t>
            </w:r>
            <w:proofErr w:type="spellStart"/>
            <w:r w:rsidRPr="002B4F19">
              <w:rPr>
                <w:rFonts w:ascii="Arial" w:hAnsi="Arial" w:cs="Arial"/>
                <w:snapToGrid w:val="0"/>
                <w:sz w:val="18"/>
                <w:szCs w:val="18"/>
                <w:lang w:eastAsia="en-US"/>
              </w:rPr>
              <w:t>venetoclax</w:t>
            </w:r>
            <w:proofErr w:type="spellEnd"/>
            <w:r w:rsidRPr="002B4F19">
              <w:rPr>
                <w:rFonts w:ascii="Arial" w:hAnsi="Arial" w:cs="Arial"/>
                <w:snapToGrid w:val="0"/>
                <w:sz w:val="18"/>
                <w:szCs w:val="18"/>
                <w:lang w:eastAsia="en-US"/>
              </w:rPr>
              <w:t xml:space="preserve"> + </w:t>
            </w:r>
            <w:proofErr w:type="spellStart"/>
            <w:r w:rsidRPr="002B4F19">
              <w:rPr>
                <w:rFonts w:ascii="Arial" w:hAnsi="Arial" w:cs="Arial"/>
                <w:snapToGrid w:val="0"/>
                <w:sz w:val="18"/>
                <w:szCs w:val="18"/>
                <w:lang w:eastAsia="en-US"/>
              </w:rPr>
              <w:t>obinutuzumab</w:t>
            </w:r>
            <w:proofErr w:type="spellEnd"/>
            <w:r w:rsidRPr="002B4F19">
              <w:rPr>
                <w:rFonts w:ascii="Arial" w:hAnsi="Arial" w:cs="Arial"/>
                <w:snapToGrid w:val="0"/>
                <w:sz w:val="18"/>
                <w:szCs w:val="18"/>
                <w:lang w:eastAsia="en-US"/>
              </w:rPr>
              <w:t>, as nominated by the resubmission, was the appropriate comparator.</w:t>
            </w:r>
          </w:p>
          <w:p w14:paraId="32EDAEE1" w14:textId="3B6F8C3E" w:rsidR="002B4F19" w:rsidRPr="002B4F19" w:rsidRDefault="002B4F19" w:rsidP="002B4F19">
            <w:pPr>
              <w:rPr>
                <w:rFonts w:ascii="Arial" w:hAnsi="Arial" w:cs="Arial"/>
                <w:snapToGrid w:val="0"/>
                <w:sz w:val="18"/>
                <w:szCs w:val="18"/>
                <w:lang w:eastAsia="en-US"/>
              </w:rPr>
            </w:pPr>
            <w:r w:rsidRPr="002B4F19">
              <w:rPr>
                <w:rFonts w:ascii="Arial" w:hAnsi="Arial" w:cs="Arial"/>
                <w:snapToGrid w:val="0"/>
                <w:sz w:val="18"/>
                <w:szCs w:val="18"/>
                <w:u w:val="single"/>
                <w:lang w:eastAsia="en-US"/>
              </w:rPr>
              <w:t xml:space="preserve">Clinical claim: Superior effectiveness and superior safety compared with </w:t>
            </w:r>
            <w:proofErr w:type="spellStart"/>
            <w:r w:rsidRPr="002B4F19">
              <w:rPr>
                <w:rFonts w:ascii="Arial" w:hAnsi="Arial" w:cs="Arial"/>
                <w:snapToGrid w:val="0"/>
                <w:sz w:val="18"/>
                <w:szCs w:val="18"/>
                <w:u w:val="single"/>
                <w:lang w:eastAsia="en-US"/>
              </w:rPr>
              <w:t>venetoclax</w:t>
            </w:r>
            <w:proofErr w:type="spellEnd"/>
            <w:r w:rsidRPr="002B4F19">
              <w:rPr>
                <w:rFonts w:ascii="Arial" w:hAnsi="Arial" w:cs="Arial"/>
                <w:snapToGrid w:val="0"/>
                <w:sz w:val="18"/>
                <w:szCs w:val="18"/>
                <w:u w:val="single"/>
                <w:lang w:eastAsia="en-US"/>
              </w:rPr>
              <w:t xml:space="preserve"> + </w:t>
            </w:r>
            <w:proofErr w:type="spellStart"/>
            <w:r w:rsidRPr="002B4F19">
              <w:rPr>
                <w:rFonts w:ascii="Arial" w:hAnsi="Arial" w:cs="Arial"/>
                <w:snapToGrid w:val="0"/>
                <w:sz w:val="18"/>
                <w:szCs w:val="18"/>
                <w:u w:val="single"/>
                <w:lang w:eastAsia="en-US"/>
              </w:rPr>
              <w:t>obinutuzumab</w:t>
            </w:r>
            <w:proofErr w:type="spellEnd"/>
            <w:r w:rsidRPr="002B4F19">
              <w:rPr>
                <w:rFonts w:ascii="Arial" w:hAnsi="Arial" w:cs="Arial"/>
                <w:snapToGrid w:val="0"/>
                <w:sz w:val="18"/>
                <w:szCs w:val="18"/>
                <w:u w:val="single"/>
                <w:lang w:eastAsia="en-US"/>
              </w:rPr>
              <w:t>:</w:t>
            </w:r>
            <w:r w:rsidRPr="002B4F19">
              <w:rPr>
                <w:rFonts w:ascii="Arial" w:hAnsi="Arial" w:cs="Arial"/>
                <w:snapToGrid w:val="0"/>
                <w:sz w:val="18"/>
                <w:szCs w:val="18"/>
                <w:lang w:eastAsia="en-US"/>
              </w:rPr>
              <w:t xml:space="preserve"> The clinical claim was based on unadjusted unmatched (naïve) indirect comparison and an unanchored</w:t>
            </w:r>
            <w:r w:rsidR="001D1F9C">
              <w:rPr>
                <w:rFonts w:ascii="Arial" w:hAnsi="Arial" w:cs="Arial"/>
                <w:snapToGrid w:val="0"/>
                <w:sz w:val="18"/>
                <w:szCs w:val="18"/>
                <w:lang w:eastAsia="en-US"/>
              </w:rPr>
              <w:t xml:space="preserve"> matching</w:t>
            </w:r>
            <w:r w:rsidR="00192E7E">
              <w:rPr>
                <w:rFonts w:ascii="Arial" w:hAnsi="Arial" w:cs="Arial"/>
                <w:snapToGrid w:val="0"/>
                <w:sz w:val="18"/>
                <w:szCs w:val="18"/>
                <w:lang w:eastAsia="en-US"/>
              </w:rPr>
              <w:t>-</w:t>
            </w:r>
            <w:r w:rsidR="001D1F9C">
              <w:rPr>
                <w:rFonts w:ascii="Arial" w:hAnsi="Arial" w:cs="Arial"/>
                <w:snapToGrid w:val="0"/>
                <w:sz w:val="18"/>
                <w:szCs w:val="18"/>
                <w:lang w:eastAsia="en-US"/>
              </w:rPr>
              <w:t>adjusted indirect comparison</w:t>
            </w:r>
            <w:r w:rsidRPr="002B4F19">
              <w:rPr>
                <w:rFonts w:ascii="Arial" w:hAnsi="Arial" w:cs="Arial"/>
                <w:snapToGrid w:val="0"/>
                <w:sz w:val="18"/>
                <w:szCs w:val="18"/>
                <w:lang w:eastAsia="en-US"/>
              </w:rPr>
              <w:t xml:space="preserve"> </w:t>
            </w:r>
            <w:r w:rsidR="001D1F9C">
              <w:rPr>
                <w:rFonts w:ascii="Arial" w:hAnsi="Arial" w:cs="Arial"/>
                <w:snapToGrid w:val="0"/>
                <w:sz w:val="18"/>
                <w:szCs w:val="18"/>
                <w:lang w:eastAsia="en-US"/>
              </w:rPr>
              <w:t>(</w:t>
            </w:r>
            <w:r w:rsidRPr="002B4F19">
              <w:rPr>
                <w:rFonts w:ascii="Arial" w:hAnsi="Arial" w:cs="Arial"/>
                <w:snapToGrid w:val="0"/>
                <w:sz w:val="18"/>
                <w:szCs w:val="18"/>
                <w:lang w:eastAsia="en-US"/>
              </w:rPr>
              <w:t>MAIC</w:t>
            </w:r>
            <w:r w:rsidR="001D1F9C">
              <w:rPr>
                <w:rFonts w:ascii="Arial" w:hAnsi="Arial" w:cs="Arial"/>
                <w:snapToGrid w:val="0"/>
                <w:sz w:val="18"/>
                <w:szCs w:val="18"/>
                <w:lang w:eastAsia="en-US"/>
              </w:rPr>
              <w:t>)</w:t>
            </w:r>
            <w:r w:rsidRPr="002B4F19">
              <w:rPr>
                <w:rFonts w:ascii="Arial" w:hAnsi="Arial" w:cs="Arial"/>
                <w:snapToGrid w:val="0"/>
                <w:sz w:val="18"/>
                <w:szCs w:val="18"/>
                <w:lang w:eastAsia="en-US"/>
              </w:rPr>
              <w:t xml:space="preserve"> of acalabrutinib + </w:t>
            </w:r>
            <w:proofErr w:type="spellStart"/>
            <w:r w:rsidRPr="002B4F19">
              <w:rPr>
                <w:rFonts w:ascii="Arial" w:hAnsi="Arial" w:cs="Arial"/>
                <w:snapToGrid w:val="0"/>
                <w:sz w:val="18"/>
                <w:szCs w:val="18"/>
                <w:lang w:eastAsia="en-US"/>
              </w:rPr>
              <w:t>obinutuzumab</w:t>
            </w:r>
            <w:proofErr w:type="spellEnd"/>
            <w:r w:rsidRPr="002B4F19">
              <w:rPr>
                <w:rFonts w:ascii="Arial" w:hAnsi="Arial" w:cs="Arial"/>
                <w:snapToGrid w:val="0"/>
                <w:sz w:val="18"/>
                <w:szCs w:val="18"/>
                <w:lang w:eastAsia="en-US"/>
              </w:rPr>
              <w:t xml:space="preserve"> compared to </w:t>
            </w:r>
            <w:proofErr w:type="spellStart"/>
            <w:r w:rsidRPr="002B4F19">
              <w:rPr>
                <w:rFonts w:ascii="Arial" w:hAnsi="Arial" w:cs="Arial"/>
                <w:snapToGrid w:val="0"/>
                <w:sz w:val="18"/>
                <w:szCs w:val="18"/>
                <w:lang w:eastAsia="en-US"/>
              </w:rPr>
              <w:t>venetoclax</w:t>
            </w:r>
            <w:proofErr w:type="spellEnd"/>
            <w:r w:rsidRPr="002B4F19">
              <w:rPr>
                <w:rFonts w:ascii="Arial" w:hAnsi="Arial" w:cs="Arial"/>
                <w:snapToGrid w:val="0"/>
                <w:sz w:val="18"/>
                <w:szCs w:val="18"/>
                <w:lang w:eastAsia="en-US"/>
              </w:rPr>
              <w:t xml:space="preserve"> + </w:t>
            </w:r>
            <w:proofErr w:type="spellStart"/>
            <w:r w:rsidRPr="002B4F19">
              <w:rPr>
                <w:rFonts w:ascii="Arial" w:hAnsi="Arial" w:cs="Arial"/>
                <w:snapToGrid w:val="0"/>
                <w:sz w:val="18"/>
                <w:szCs w:val="18"/>
                <w:lang w:eastAsia="en-US"/>
              </w:rPr>
              <w:t>obinutuzumab</w:t>
            </w:r>
            <w:proofErr w:type="spellEnd"/>
            <w:r w:rsidRPr="002B4F19">
              <w:rPr>
                <w:rFonts w:ascii="Arial" w:hAnsi="Arial" w:cs="Arial"/>
                <w:snapToGrid w:val="0"/>
                <w:sz w:val="18"/>
                <w:szCs w:val="18"/>
                <w:lang w:eastAsia="en-US"/>
              </w:rPr>
              <w:t xml:space="preserve"> for efficacy and safety. </w:t>
            </w:r>
            <w:r w:rsidRPr="002B4F19">
              <w:rPr>
                <w:rFonts w:ascii="Arial" w:hAnsi="Arial" w:cs="Arial"/>
                <w:snapToGrid w:val="0"/>
                <w:sz w:val="18"/>
                <w:szCs w:val="18"/>
              </w:rPr>
              <w:t xml:space="preserve">The PBAC considered that the </w:t>
            </w:r>
            <w:r w:rsidRPr="002B4F19">
              <w:rPr>
                <w:rFonts w:ascii="Arial" w:hAnsi="Arial" w:cs="Arial"/>
                <w:sz w:val="18"/>
                <w:szCs w:val="18"/>
              </w:rPr>
              <w:t>evidence presented</w:t>
            </w:r>
            <w:r w:rsidRPr="002B4F19">
              <w:rPr>
                <w:rFonts w:ascii="Arial" w:hAnsi="Arial" w:cs="Arial"/>
                <w:snapToGrid w:val="0"/>
                <w:sz w:val="18"/>
                <w:szCs w:val="18"/>
              </w:rPr>
              <w:t xml:space="preserve"> did not support</w:t>
            </w:r>
            <w:r w:rsidRPr="002B4F19">
              <w:rPr>
                <w:rFonts w:ascii="Arial" w:hAnsi="Arial" w:cs="Arial"/>
                <w:snapToGrid w:val="0"/>
                <w:sz w:val="18"/>
                <w:szCs w:val="18"/>
                <w:lang w:eastAsia="en-US"/>
              </w:rPr>
              <w:t xml:space="preserve"> a claim of superior comparative effectiveness or safety due to differences in patient populations between the trials which did not appear to be adequately accounted for in the MAIC. </w:t>
            </w:r>
          </w:p>
          <w:p w14:paraId="63DBA086" w14:textId="41640036" w:rsidR="00630D54" w:rsidRDefault="002B4F19" w:rsidP="001D1F9C">
            <w:pPr>
              <w:rPr>
                <w:rFonts w:ascii="Arial" w:hAnsi="Arial" w:cs="Arial"/>
                <w:snapToGrid w:val="0"/>
                <w:sz w:val="18"/>
                <w:szCs w:val="18"/>
                <w:lang w:eastAsia="en-US"/>
              </w:rPr>
            </w:pPr>
            <w:r w:rsidRPr="002B4F19">
              <w:rPr>
                <w:rFonts w:ascii="Arial" w:hAnsi="Arial" w:cs="Arial"/>
                <w:snapToGrid w:val="0"/>
                <w:sz w:val="18"/>
                <w:szCs w:val="18"/>
                <w:u w:val="single"/>
                <w:lang w:eastAsia="en-US"/>
              </w:rPr>
              <w:t xml:space="preserve">Economic claim: Cost-utility analysis compared with </w:t>
            </w:r>
            <w:proofErr w:type="spellStart"/>
            <w:r w:rsidRPr="002B4F19">
              <w:rPr>
                <w:rFonts w:ascii="Arial" w:hAnsi="Arial" w:cs="Arial"/>
                <w:snapToGrid w:val="0"/>
                <w:sz w:val="18"/>
                <w:szCs w:val="18"/>
                <w:u w:val="single"/>
                <w:lang w:eastAsia="en-US"/>
              </w:rPr>
              <w:t>venetoclax</w:t>
            </w:r>
            <w:proofErr w:type="spellEnd"/>
            <w:r w:rsidRPr="002B4F19">
              <w:rPr>
                <w:rFonts w:ascii="Arial" w:hAnsi="Arial" w:cs="Arial"/>
                <w:snapToGrid w:val="0"/>
                <w:sz w:val="18"/>
                <w:szCs w:val="18"/>
                <w:u w:val="single"/>
                <w:lang w:eastAsia="en-US"/>
              </w:rPr>
              <w:t xml:space="preserve"> + </w:t>
            </w:r>
            <w:proofErr w:type="spellStart"/>
            <w:r w:rsidRPr="002B4F19">
              <w:rPr>
                <w:rFonts w:ascii="Arial" w:hAnsi="Arial" w:cs="Arial"/>
                <w:snapToGrid w:val="0"/>
                <w:sz w:val="18"/>
                <w:szCs w:val="18"/>
                <w:u w:val="single"/>
                <w:lang w:eastAsia="en-US"/>
              </w:rPr>
              <w:t>obinutuzumab</w:t>
            </w:r>
            <w:proofErr w:type="spellEnd"/>
            <w:r w:rsidRPr="002B4F19">
              <w:rPr>
                <w:rFonts w:ascii="Arial" w:hAnsi="Arial" w:cs="Arial"/>
                <w:snapToGrid w:val="0"/>
                <w:sz w:val="18"/>
                <w:szCs w:val="18"/>
                <w:u w:val="single"/>
                <w:lang w:eastAsia="en-US"/>
              </w:rPr>
              <w:t>:</w:t>
            </w:r>
            <w:r w:rsidRPr="002B4F19">
              <w:rPr>
                <w:rFonts w:ascii="Arial" w:hAnsi="Arial" w:cs="Arial"/>
                <w:snapToGrid w:val="0"/>
                <w:sz w:val="18"/>
                <w:szCs w:val="18"/>
                <w:lang w:eastAsia="en-US"/>
              </w:rPr>
              <w:t xml:space="preserve"> The PBAC considered the clinical evidence presented supported a cost-minimisation approach to </w:t>
            </w:r>
            <w:proofErr w:type="spellStart"/>
            <w:r w:rsidRPr="002B4F19">
              <w:rPr>
                <w:rFonts w:ascii="Arial" w:hAnsi="Arial" w:cs="Arial"/>
                <w:snapToGrid w:val="0"/>
                <w:sz w:val="18"/>
                <w:szCs w:val="18"/>
                <w:lang w:eastAsia="en-US"/>
              </w:rPr>
              <w:t>venetoclax</w:t>
            </w:r>
            <w:proofErr w:type="spellEnd"/>
            <w:r w:rsidRPr="002B4F19">
              <w:rPr>
                <w:rFonts w:ascii="Arial" w:hAnsi="Arial" w:cs="Arial"/>
                <w:snapToGrid w:val="0"/>
                <w:sz w:val="18"/>
                <w:szCs w:val="18"/>
                <w:lang w:eastAsia="en-US"/>
              </w:rPr>
              <w:t xml:space="preserve"> + </w:t>
            </w:r>
            <w:proofErr w:type="spellStart"/>
            <w:r w:rsidRPr="002B4F19">
              <w:rPr>
                <w:rFonts w:ascii="Arial" w:hAnsi="Arial" w:cs="Arial"/>
                <w:snapToGrid w:val="0"/>
                <w:sz w:val="18"/>
                <w:szCs w:val="18"/>
                <w:lang w:eastAsia="en-US"/>
              </w:rPr>
              <w:t>obinutuzumab</w:t>
            </w:r>
            <w:proofErr w:type="spellEnd"/>
            <w:r w:rsidRPr="002B4F19">
              <w:rPr>
                <w:rFonts w:ascii="Arial" w:hAnsi="Arial" w:cs="Arial"/>
                <w:snapToGrid w:val="0"/>
                <w:sz w:val="18"/>
                <w:szCs w:val="18"/>
                <w:lang w:eastAsia="en-US"/>
              </w:rPr>
              <w:t xml:space="preserve">.  </w:t>
            </w:r>
          </w:p>
          <w:p w14:paraId="4AF83392" w14:textId="77777777" w:rsidR="001D1F9C" w:rsidRDefault="001D1F9C" w:rsidP="001D1F9C">
            <w:pPr>
              <w:rPr>
                <w:rFonts w:ascii="Arial" w:hAnsi="Arial" w:cs="Arial"/>
                <w:snapToGrid w:val="0"/>
                <w:sz w:val="18"/>
                <w:szCs w:val="18"/>
                <w:lang w:eastAsia="en-US"/>
              </w:rPr>
            </w:pPr>
          </w:p>
          <w:p w14:paraId="3D2FB87F" w14:textId="77777777" w:rsidR="001D1F9C" w:rsidRDefault="001D1F9C" w:rsidP="001D1F9C">
            <w:pPr>
              <w:rPr>
                <w:rFonts w:ascii="Arial" w:hAnsi="Arial" w:cs="Arial"/>
                <w:snapToGrid w:val="0"/>
                <w:sz w:val="18"/>
                <w:szCs w:val="18"/>
                <w:u w:val="single"/>
                <w:lang w:eastAsia="en-US"/>
              </w:rPr>
            </w:pPr>
            <w:r>
              <w:rPr>
                <w:rFonts w:ascii="Arial" w:hAnsi="Arial" w:cs="Arial"/>
                <w:snapToGrid w:val="0"/>
                <w:sz w:val="18"/>
                <w:szCs w:val="18"/>
                <w:u w:val="single"/>
                <w:lang w:eastAsia="en-US"/>
              </w:rPr>
              <w:t>Sponsor Comment:</w:t>
            </w:r>
          </w:p>
          <w:p w14:paraId="1D7E3F90" w14:textId="774D3088" w:rsidR="001D1F9C" w:rsidRPr="001D1F9C" w:rsidRDefault="00E71E95" w:rsidP="001D1F9C">
            <w:pPr>
              <w:rPr>
                <w:rFonts w:ascii="Arial" w:hAnsi="Arial" w:cs="Arial"/>
                <w:snapToGrid w:val="0"/>
                <w:sz w:val="18"/>
                <w:szCs w:val="18"/>
                <w:lang w:eastAsia="en-US"/>
              </w:rPr>
            </w:pPr>
            <w:r>
              <w:rPr>
                <w:rFonts w:ascii="Arial" w:hAnsi="Arial" w:cs="Arial"/>
                <w:snapToGrid w:val="0"/>
                <w:sz w:val="18"/>
                <w:szCs w:val="18"/>
                <w:lang w:eastAsia="en-US"/>
              </w:rPr>
              <w:t>The sponsor had no comment.</w:t>
            </w:r>
          </w:p>
        </w:tc>
      </w:tr>
      <w:tr w:rsidR="00862CED" w:rsidRPr="00687774" w14:paraId="47D85B2B" w14:textId="77777777" w:rsidTr="001D1F9C">
        <w:trPr>
          <w:cantSplit/>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2CE5872D" w14:textId="77777777" w:rsidR="00862CED" w:rsidRDefault="00862CED" w:rsidP="007414B9">
            <w:pPr>
              <w:rPr>
                <w:rFonts w:ascii="Arial" w:hAnsi="Arial" w:cs="Arial"/>
                <w:sz w:val="18"/>
                <w:szCs w:val="18"/>
              </w:rPr>
            </w:pPr>
            <w:r>
              <w:rPr>
                <w:rFonts w:ascii="Arial" w:hAnsi="Arial" w:cs="Arial"/>
                <w:sz w:val="18"/>
                <w:szCs w:val="18"/>
              </w:rPr>
              <w:lastRenderedPageBreak/>
              <w:t>IBRUTINIB</w:t>
            </w:r>
          </w:p>
          <w:p w14:paraId="4431C1D0" w14:textId="77777777" w:rsidR="00862CED" w:rsidRDefault="00862CED" w:rsidP="007414B9">
            <w:pPr>
              <w:rPr>
                <w:rFonts w:ascii="Arial" w:hAnsi="Arial" w:cs="Arial"/>
                <w:sz w:val="18"/>
                <w:szCs w:val="18"/>
              </w:rPr>
            </w:pPr>
          </w:p>
          <w:p w14:paraId="07ABE49B" w14:textId="77777777" w:rsidR="00862CED" w:rsidRDefault="00862CED" w:rsidP="007414B9">
            <w:pPr>
              <w:rPr>
                <w:rFonts w:ascii="Arial" w:hAnsi="Arial" w:cs="Arial"/>
                <w:sz w:val="18"/>
                <w:szCs w:val="18"/>
              </w:rPr>
            </w:pPr>
            <w:r>
              <w:rPr>
                <w:rFonts w:ascii="Arial" w:hAnsi="Arial" w:cs="Arial"/>
                <w:sz w:val="18"/>
                <w:szCs w:val="18"/>
              </w:rPr>
              <w:t>Capsule 140 mg</w:t>
            </w:r>
          </w:p>
          <w:p w14:paraId="55E3CB5D" w14:textId="77777777" w:rsidR="00862CED" w:rsidRDefault="00862CED" w:rsidP="007414B9">
            <w:pPr>
              <w:rPr>
                <w:rFonts w:ascii="Arial" w:hAnsi="Arial" w:cs="Arial"/>
                <w:sz w:val="18"/>
                <w:szCs w:val="18"/>
              </w:rPr>
            </w:pPr>
          </w:p>
          <w:p w14:paraId="69397065" w14:textId="77777777" w:rsidR="00862CED" w:rsidRDefault="00862CED" w:rsidP="007414B9">
            <w:pPr>
              <w:rPr>
                <w:rFonts w:ascii="Arial" w:hAnsi="Arial" w:cs="Arial"/>
                <w:sz w:val="18"/>
                <w:szCs w:val="18"/>
              </w:rPr>
            </w:pPr>
            <w:r>
              <w:rPr>
                <w:rFonts w:ascii="Arial" w:hAnsi="Arial" w:cs="Arial"/>
                <w:sz w:val="18"/>
                <w:szCs w:val="18"/>
              </w:rPr>
              <w:t>Imbruvica</w:t>
            </w:r>
            <w:r w:rsidRPr="00862CED">
              <w:rPr>
                <w:rFonts w:ascii="Arial" w:hAnsi="Arial" w:cs="Arial"/>
                <w:sz w:val="18"/>
                <w:szCs w:val="18"/>
                <w:vertAlign w:val="superscript"/>
              </w:rPr>
              <w:t>®</w:t>
            </w:r>
          </w:p>
          <w:p w14:paraId="31FE0942" w14:textId="77777777" w:rsidR="00862CED" w:rsidRDefault="00862CED" w:rsidP="007414B9">
            <w:pPr>
              <w:rPr>
                <w:rFonts w:ascii="Arial" w:hAnsi="Arial" w:cs="Arial"/>
                <w:sz w:val="18"/>
                <w:szCs w:val="18"/>
              </w:rPr>
            </w:pPr>
          </w:p>
          <w:p w14:paraId="3FEE3D0C" w14:textId="77777777" w:rsidR="00862CED" w:rsidRDefault="00862CED" w:rsidP="007414B9">
            <w:pPr>
              <w:rPr>
                <w:rFonts w:ascii="Arial" w:hAnsi="Arial" w:cs="Arial"/>
                <w:sz w:val="18"/>
                <w:szCs w:val="18"/>
              </w:rPr>
            </w:pPr>
            <w:r>
              <w:rPr>
                <w:rFonts w:ascii="Arial" w:hAnsi="Arial" w:cs="Arial"/>
                <w:sz w:val="18"/>
                <w:szCs w:val="18"/>
              </w:rPr>
              <w:t>Janssen-</w:t>
            </w:r>
            <w:proofErr w:type="spellStart"/>
            <w:r>
              <w:rPr>
                <w:rFonts w:ascii="Arial" w:hAnsi="Arial" w:cs="Arial"/>
                <w:sz w:val="18"/>
                <w:szCs w:val="18"/>
              </w:rPr>
              <w:t>Cilag</w:t>
            </w:r>
            <w:proofErr w:type="spellEnd"/>
            <w:r>
              <w:rPr>
                <w:rFonts w:ascii="Arial" w:hAnsi="Arial" w:cs="Arial"/>
                <w:sz w:val="18"/>
                <w:szCs w:val="18"/>
              </w:rPr>
              <w:t xml:space="preserve"> Pty Ltd</w:t>
            </w:r>
          </w:p>
          <w:p w14:paraId="324D1E48" w14:textId="77777777" w:rsidR="00862CED" w:rsidRDefault="00862CED" w:rsidP="007414B9">
            <w:pPr>
              <w:rPr>
                <w:rFonts w:ascii="Arial" w:hAnsi="Arial" w:cs="Arial"/>
                <w:sz w:val="18"/>
                <w:szCs w:val="18"/>
              </w:rPr>
            </w:pPr>
          </w:p>
          <w:p w14:paraId="0E33649C" w14:textId="5669F868" w:rsidR="00862CED" w:rsidRPr="00862CED" w:rsidRDefault="00862CED" w:rsidP="007414B9">
            <w:pPr>
              <w:rPr>
                <w:rFonts w:ascii="Arial" w:hAnsi="Arial" w:cs="Arial"/>
                <w:sz w:val="18"/>
                <w:szCs w:val="18"/>
              </w:rPr>
            </w:pPr>
            <w:r>
              <w:rPr>
                <w:rFonts w:ascii="Arial" w:hAnsi="Arial" w:cs="Arial"/>
                <w:sz w:val="18"/>
                <w:szCs w:val="18"/>
              </w:rPr>
              <w:t>(Change to PBS listing)</w:t>
            </w:r>
          </w:p>
        </w:tc>
        <w:tc>
          <w:tcPr>
            <w:tcW w:w="552" w:type="pct"/>
            <w:tcBorders>
              <w:top w:val="single" w:sz="4" w:space="0" w:color="auto"/>
              <w:left w:val="single" w:sz="4" w:space="0" w:color="auto"/>
              <w:right w:val="single" w:sz="4" w:space="0" w:color="auto"/>
            </w:tcBorders>
            <w:shd w:val="clear" w:color="auto" w:fill="auto"/>
            <w:vAlign w:val="center"/>
          </w:tcPr>
          <w:p w14:paraId="64A77230" w14:textId="202377DA" w:rsidR="00862CED" w:rsidRDefault="00862CED" w:rsidP="007414B9">
            <w:pPr>
              <w:widowControl w:val="0"/>
              <w:rPr>
                <w:rFonts w:ascii="Arial" w:hAnsi="Arial" w:cs="Arial"/>
                <w:snapToGrid w:val="0"/>
                <w:sz w:val="18"/>
                <w:szCs w:val="18"/>
                <w:lang w:eastAsia="en-US"/>
              </w:rPr>
            </w:pPr>
            <w:r w:rsidRPr="00862CED">
              <w:rPr>
                <w:rFonts w:ascii="Arial" w:hAnsi="Arial" w:cs="Arial"/>
                <w:snapToGrid w:val="0"/>
                <w:sz w:val="18"/>
                <w:szCs w:val="18"/>
                <w:lang w:eastAsia="en-US"/>
              </w:rPr>
              <w:t>Chronic lymphocytic leukaemia</w:t>
            </w:r>
            <w:r w:rsidR="001D1F9C">
              <w:rPr>
                <w:rFonts w:ascii="Arial" w:hAnsi="Arial" w:cs="Arial"/>
                <w:snapToGrid w:val="0"/>
                <w:sz w:val="18"/>
                <w:szCs w:val="18"/>
                <w:lang w:eastAsia="en-US"/>
              </w:rPr>
              <w:t xml:space="preserve"> (CLL)</w:t>
            </w:r>
            <w:r w:rsidRPr="00862CED">
              <w:rPr>
                <w:rFonts w:ascii="Arial" w:hAnsi="Arial" w:cs="Arial"/>
                <w:snapToGrid w:val="0"/>
                <w:sz w:val="18"/>
                <w:szCs w:val="18"/>
                <w:lang w:eastAsia="en-US"/>
              </w:rPr>
              <w:t xml:space="preserve"> or small lymphocytic lymphoma</w:t>
            </w:r>
            <w:r w:rsidR="001D1F9C">
              <w:rPr>
                <w:rFonts w:ascii="Arial" w:hAnsi="Arial" w:cs="Arial"/>
                <w:snapToGrid w:val="0"/>
                <w:sz w:val="18"/>
                <w:szCs w:val="18"/>
                <w:lang w:eastAsia="en-US"/>
              </w:rPr>
              <w:t xml:space="preserve"> (SLL)</w:t>
            </w:r>
          </w:p>
        </w:tc>
        <w:tc>
          <w:tcPr>
            <w:tcW w:w="875" w:type="pct"/>
            <w:tcBorders>
              <w:top w:val="single" w:sz="4" w:space="0" w:color="auto"/>
              <w:left w:val="nil"/>
              <w:right w:val="single" w:sz="4" w:space="0" w:color="auto"/>
            </w:tcBorders>
            <w:shd w:val="clear" w:color="auto" w:fill="auto"/>
            <w:tcMar>
              <w:top w:w="28" w:type="dxa"/>
              <w:bottom w:w="28" w:type="dxa"/>
            </w:tcMar>
            <w:vAlign w:val="center"/>
          </w:tcPr>
          <w:p w14:paraId="06D47A27" w14:textId="250A2105" w:rsidR="00862CED" w:rsidRPr="00862CED" w:rsidRDefault="00862CED" w:rsidP="007414B9">
            <w:pPr>
              <w:pStyle w:val="ListParagraph"/>
              <w:ind w:left="0"/>
              <w:rPr>
                <w:rFonts w:ascii="Arial" w:hAnsi="Arial" w:cs="Arial"/>
                <w:sz w:val="18"/>
                <w:szCs w:val="18"/>
              </w:rPr>
            </w:pPr>
            <w:r w:rsidRPr="00862CED">
              <w:rPr>
                <w:rFonts w:ascii="Arial" w:hAnsi="Arial" w:cs="Arial"/>
                <w:sz w:val="18"/>
                <w:szCs w:val="18"/>
              </w:rPr>
              <w:t xml:space="preserve">To request a General Schedule Authority Required (Written) listing, for use in combination with </w:t>
            </w:r>
            <w:proofErr w:type="spellStart"/>
            <w:r w:rsidRPr="00862CED">
              <w:rPr>
                <w:rFonts w:ascii="Arial" w:hAnsi="Arial" w:cs="Arial"/>
                <w:sz w:val="18"/>
                <w:szCs w:val="18"/>
              </w:rPr>
              <w:t>venetoclax</w:t>
            </w:r>
            <w:proofErr w:type="spellEnd"/>
            <w:r w:rsidRPr="00862CED">
              <w:rPr>
                <w:rFonts w:ascii="Arial" w:hAnsi="Arial" w:cs="Arial"/>
                <w:sz w:val="18"/>
                <w:szCs w:val="18"/>
              </w:rPr>
              <w:t xml:space="preserve">, for the treatment of previously untreated </w:t>
            </w:r>
            <w:r w:rsidR="001D1F9C">
              <w:rPr>
                <w:rFonts w:ascii="Arial" w:hAnsi="Arial" w:cs="Arial"/>
                <w:sz w:val="18"/>
                <w:szCs w:val="18"/>
              </w:rPr>
              <w:t>CLL</w:t>
            </w:r>
            <w:r w:rsidRPr="00862CED">
              <w:rPr>
                <w:rFonts w:ascii="Arial" w:hAnsi="Arial" w:cs="Arial"/>
                <w:sz w:val="18"/>
                <w:szCs w:val="18"/>
              </w:rPr>
              <w:t xml:space="preserve"> or </w:t>
            </w:r>
            <w:r w:rsidR="001D1F9C">
              <w:rPr>
                <w:rFonts w:ascii="Arial" w:hAnsi="Arial" w:cs="Arial"/>
                <w:sz w:val="18"/>
                <w:szCs w:val="18"/>
              </w:rPr>
              <w:t>SLL</w:t>
            </w:r>
            <w:r w:rsidRPr="00862CED">
              <w:rPr>
                <w:rFonts w:ascii="Arial" w:hAnsi="Arial" w:cs="Arial"/>
                <w:sz w:val="18"/>
                <w:szCs w:val="18"/>
              </w:rPr>
              <w:t>.</w:t>
            </w:r>
          </w:p>
        </w:tc>
        <w:tc>
          <w:tcPr>
            <w:tcW w:w="553" w:type="pct"/>
            <w:tcBorders>
              <w:top w:val="single" w:sz="4" w:space="0" w:color="auto"/>
              <w:left w:val="single" w:sz="4" w:space="0" w:color="auto"/>
              <w:right w:val="single" w:sz="4" w:space="0" w:color="auto"/>
            </w:tcBorders>
            <w:shd w:val="clear" w:color="auto" w:fill="auto"/>
            <w:vAlign w:val="center"/>
          </w:tcPr>
          <w:p w14:paraId="205ECE10" w14:textId="0B8571C7" w:rsidR="00862CED" w:rsidRDefault="00630D54"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Not recommended</w:t>
            </w:r>
          </w:p>
        </w:tc>
        <w:tc>
          <w:tcPr>
            <w:tcW w:w="2146" w:type="pct"/>
            <w:tcBorders>
              <w:top w:val="single" w:sz="4" w:space="0" w:color="auto"/>
            </w:tcBorders>
            <w:shd w:val="clear" w:color="auto" w:fill="auto"/>
            <w:vAlign w:val="center"/>
          </w:tcPr>
          <w:p w14:paraId="585C1F89" w14:textId="06A44643" w:rsidR="00630D54" w:rsidRPr="00630D54" w:rsidRDefault="00630D54" w:rsidP="00630D54">
            <w:pPr>
              <w:spacing w:after="120"/>
              <w:rPr>
                <w:rFonts w:ascii="Arial" w:hAnsi="Arial" w:cs="Arial"/>
                <w:color w:val="000000"/>
                <w:sz w:val="18"/>
                <w:szCs w:val="18"/>
              </w:rPr>
            </w:pPr>
            <w:r w:rsidRPr="00630D54">
              <w:rPr>
                <w:rFonts w:ascii="Arial" w:hAnsi="Arial" w:cs="Arial"/>
                <w:color w:val="000000"/>
                <w:sz w:val="18"/>
                <w:szCs w:val="18"/>
              </w:rPr>
              <w:t xml:space="preserve">The PBAC did not recommend ibrutinib, for use in combination with </w:t>
            </w:r>
            <w:proofErr w:type="spellStart"/>
            <w:r w:rsidRPr="00630D54">
              <w:rPr>
                <w:rFonts w:ascii="Arial" w:hAnsi="Arial" w:cs="Arial"/>
                <w:color w:val="000000"/>
                <w:sz w:val="18"/>
                <w:szCs w:val="18"/>
              </w:rPr>
              <w:t>venetoclax</w:t>
            </w:r>
            <w:proofErr w:type="spellEnd"/>
            <w:r w:rsidRPr="00630D54">
              <w:rPr>
                <w:rFonts w:ascii="Arial" w:hAnsi="Arial" w:cs="Arial"/>
                <w:color w:val="000000"/>
                <w:sz w:val="18"/>
                <w:szCs w:val="18"/>
              </w:rPr>
              <w:t xml:space="preserve">, for the treatment of previously untreated CLL or SLL. The PBAC considered the nominated comparator of fludarabine, cyclophosphamide and rituximab (FCR), although of historical relevance, is no longer the therapy most likely to be replaced in clinical practice given its limited use. The PBAC acknowledged that the existing </w:t>
            </w:r>
            <w:r w:rsidR="001D1F9C">
              <w:rPr>
                <w:rFonts w:ascii="Arial" w:hAnsi="Arial" w:cs="Arial"/>
                <w:color w:val="000000"/>
                <w:sz w:val="18"/>
                <w:szCs w:val="18"/>
              </w:rPr>
              <w:t>Pharmaceutical Benefits Scheme (</w:t>
            </w:r>
            <w:r w:rsidRPr="00630D54">
              <w:rPr>
                <w:rFonts w:ascii="Arial" w:hAnsi="Arial" w:cs="Arial"/>
                <w:color w:val="000000"/>
                <w:sz w:val="18"/>
                <w:szCs w:val="18"/>
              </w:rPr>
              <w:t>PBS</w:t>
            </w:r>
            <w:r w:rsidR="001D1F9C">
              <w:rPr>
                <w:rFonts w:ascii="Arial" w:hAnsi="Arial" w:cs="Arial"/>
                <w:color w:val="000000"/>
                <w:sz w:val="18"/>
                <w:szCs w:val="18"/>
              </w:rPr>
              <w:t>)</w:t>
            </w:r>
            <w:r w:rsidRPr="00630D54">
              <w:rPr>
                <w:rFonts w:ascii="Arial" w:hAnsi="Arial" w:cs="Arial"/>
                <w:color w:val="000000"/>
                <w:sz w:val="18"/>
                <w:szCs w:val="18"/>
              </w:rPr>
              <w:t xml:space="preserve"> restriction criteria define the patient populations on the basis of treatment with fludarabine being appropriate, however noted the advice from the clinical consultation that these criteria are no longer relevant to clinical practice. The PBAC further noted that, based on the available evidence, it was not possible to determine the magnitude of clinical benefit with ibrutinib + </w:t>
            </w:r>
            <w:proofErr w:type="spellStart"/>
            <w:r w:rsidRPr="00630D54">
              <w:rPr>
                <w:rFonts w:ascii="Arial" w:hAnsi="Arial" w:cs="Arial"/>
                <w:color w:val="000000"/>
                <w:sz w:val="18"/>
                <w:szCs w:val="18"/>
              </w:rPr>
              <w:t>venetoclax</w:t>
            </w:r>
            <w:proofErr w:type="spellEnd"/>
            <w:r w:rsidRPr="00630D54">
              <w:rPr>
                <w:rFonts w:ascii="Arial" w:hAnsi="Arial" w:cs="Arial"/>
                <w:color w:val="000000"/>
                <w:sz w:val="18"/>
                <w:szCs w:val="18"/>
              </w:rPr>
              <w:t xml:space="preserve"> versus</w:t>
            </w:r>
            <w:r w:rsidR="006C5C34">
              <w:rPr>
                <w:rFonts w:ascii="Arial" w:hAnsi="Arial" w:cs="Arial"/>
                <w:color w:val="000000"/>
                <w:sz w:val="18"/>
                <w:szCs w:val="18"/>
              </w:rPr>
              <w:t xml:space="preserve"> </w:t>
            </w:r>
            <w:r w:rsidRPr="00630D54">
              <w:rPr>
                <w:rFonts w:ascii="Arial" w:hAnsi="Arial" w:cs="Arial"/>
                <w:color w:val="000000"/>
                <w:sz w:val="18"/>
                <w:szCs w:val="18"/>
              </w:rPr>
              <w:t xml:space="preserve">FCR due to the comparison being based on an unadjusted (naïve) comparison of single arms of different trials, and the limited follow-up of the ibrutinib + </w:t>
            </w:r>
            <w:proofErr w:type="spellStart"/>
            <w:r w:rsidRPr="00630D54">
              <w:rPr>
                <w:rFonts w:ascii="Arial" w:hAnsi="Arial" w:cs="Arial"/>
                <w:color w:val="000000"/>
                <w:sz w:val="18"/>
                <w:szCs w:val="18"/>
              </w:rPr>
              <w:t>venetoclax</w:t>
            </w:r>
            <w:proofErr w:type="spellEnd"/>
            <w:r w:rsidRPr="00630D54">
              <w:rPr>
                <w:rFonts w:ascii="Arial" w:hAnsi="Arial" w:cs="Arial"/>
                <w:color w:val="000000"/>
                <w:sz w:val="18"/>
                <w:szCs w:val="18"/>
              </w:rPr>
              <w:t xml:space="preserve"> (CAPTIVATE) trial. Overall, the PBAC considered the comparison presented in the submission versus FCR was not an informative basis for the listing of ibrutinib + </w:t>
            </w:r>
            <w:proofErr w:type="spellStart"/>
            <w:r w:rsidRPr="00630D54">
              <w:rPr>
                <w:rFonts w:ascii="Arial" w:hAnsi="Arial" w:cs="Arial"/>
                <w:color w:val="000000"/>
                <w:sz w:val="18"/>
                <w:szCs w:val="18"/>
              </w:rPr>
              <w:t>venetoclax</w:t>
            </w:r>
            <w:proofErr w:type="spellEnd"/>
            <w:r w:rsidRPr="00630D54">
              <w:rPr>
                <w:rFonts w:ascii="Arial" w:hAnsi="Arial" w:cs="Arial"/>
                <w:color w:val="000000"/>
                <w:sz w:val="18"/>
                <w:szCs w:val="18"/>
              </w:rPr>
              <w:t xml:space="preserve">. </w:t>
            </w:r>
          </w:p>
          <w:p w14:paraId="6132B730" w14:textId="77777777" w:rsidR="00630D54" w:rsidRPr="00630D54" w:rsidRDefault="00630D54" w:rsidP="00630D54">
            <w:pPr>
              <w:spacing w:after="120"/>
              <w:rPr>
                <w:rFonts w:ascii="Arial" w:hAnsi="Arial" w:cs="Arial"/>
                <w:color w:val="000000"/>
                <w:sz w:val="18"/>
                <w:szCs w:val="18"/>
              </w:rPr>
            </w:pPr>
            <w:r w:rsidRPr="00630D54">
              <w:rPr>
                <w:rFonts w:ascii="Arial" w:hAnsi="Arial" w:cs="Arial"/>
                <w:color w:val="000000"/>
                <w:sz w:val="18"/>
                <w:szCs w:val="18"/>
              </w:rPr>
              <w:t>Further, following clinical consultation, the PBAC advised that the existing PBS criteria for CLL/SLL treatments be amended as follows:</w:t>
            </w:r>
          </w:p>
          <w:p w14:paraId="71AAA645" w14:textId="39D98CE5" w:rsidR="00630D54" w:rsidRPr="00630D54" w:rsidRDefault="00630D54" w:rsidP="00630D54">
            <w:pPr>
              <w:spacing w:after="120"/>
              <w:rPr>
                <w:rFonts w:ascii="Arial" w:hAnsi="Arial" w:cs="Arial"/>
                <w:color w:val="000000"/>
                <w:sz w:val="18"/>
                <w:szCs w:val="18"/>
              </w:rPr>
            </w:pPr>
            <w:r w:rsidRPr="00630D54">
              <w:rPr>
                <w:rFonts w:ascii="Arial" w:hAnsi="Arial" w:cs="Arial"/>
                <w:color w:val="000000"/>
                <w:sz w:val="18"/>
                <w:szCs w:val="18"/>
              </w:rPr>
              <w:t>•</w:t>
            </w:r>
            <w:r w:rsidR="001D1F9C">
              <w:rPr>
                <w:rFonts w:ascii="Arial" w:hAnsi="Arial" w:cs="Arial"/>
                <w:color w:val="000000"/>
                <w:sz w:val="18"/>
                <w:szCs w:val="18"/>
              </w:rPr>
              <w:t xml:space="preserve"> </w:t>
            </w:r>
            <w:r w:rsidRPr="00630D54">
              <w:rPr>
                <w:rFonts w:ascii="Arial" w:hAnsi="Arial" w:cs="Arial"/>
                <w:color w:val="000000"/>
                <w:sz w:val="18"/>
                <w:szCs w:val="18"/>
              </w:rPr>
              <w:t xml:space="preserve">The </w:t>
            </w:r>
            <w:proofErr w:type="spellStart"/>
            <w:r w:rsidRPr="00630D54">
              <w:rPr>
                <w:rFonts w:ascii="Arial" w:hAnsi="Arial" w:cs="Arial"/>
                <w:color w:val="000000"/>
                <w:sz w:val="18"/>
                <w:szCs w:val="18"/>
              </w:rPr>
              <w:t>venetoclax</w:t>
            </w:r>
            <w:proofErr w:type="spellEnd"/>
            <w:r w:rsidRPr="00630D54">
              <w:rPr>
                <w:rFonts w:ascii="Arial" w:hAnsi="Arial" w:cs="Arial"/>
                <w:color w:val="000000"/>
                <w:sz w:val="18"/>
                <w:szCs w:val="18"/>
              </w:rPr>
              <w:t xml:space="preserve"> + </w:t>
            </w:r>
            <w:proofErr w:type="spellStart"/>
            <w:r w:rsidRPr="00630D54">
              <w:rPr>
                <w:rFonts w:ascii="Arial" w:hAnsi="Arial" w:cs="Arial"/>
                <w:color w:val="000000"/>
                <w:sz w:val="18"/>
                <w:szCs w:val="18"/>
              </w:rPr>
              <w:t>obinutuzumab</w:t>
            </w:r>
            <w:proofErr w:type="spellEnd"/>
            <w:r w:rsidRPr="00630D54">
              <w:rPr>
                <w:rFonts w:ascii="Arial" w:hAnsi="Arial" w:cs="Arial"/>
                <w:color w:val="000000"/>
                <w:sz w:val="18"/>
                <w:szCs w:val="18"/>
              </w:rPr>
              <w:t xml:space="preserve"> restriction for first-line CLL/SLL should be updated to remove the criterion ‘inappropriate for fludarabine-based chemoimmunotherapy’ and remove reference to the requirement for patients to have a </w:t>
            </w:r>
            <w:r w:rsidR="003832C3">
              <w:rPr>
                <w:rFonts w:ascii="Arial" w:hAnsi="Arial" w:cs="Arial"/>
                <w:color w:val="000000"/>
                <w:sz w:val="18"/>
                <w:szCs w:val="18"/>
              </w:rPr>
              <w:t>cumulative illness rating scale (</w:t>
            </w:r>
            <w:r w:rsidRPr="00630D54">
              <w:rPr>
                <w:rFonts w:ascii="Arial" w:hAnsi="Arial" w:cs="Arial"/>
                <w:color w:val="000000"/>
                <w:sz w:val="18"/>
                <w:szCs w:val="18"/>
              </w:rPr>
              <w:t>CIRS</w:t>
            </w:r>
            <w:r w:rsidR="003832C3">
              <w:rPr>
                <w:rFonts w:ascii="Arial" w:hAnsi="Arial" w:cs="Arial"/>
                <w:color w:val="000000"/>
                <w:sz w:val="18"/>
                <w:szCs w:val="18"/>
              </w:rPr>
              <w:t>)</w:t>
            </w:r>
            <w:r w:rsidRPr="00630D54">
              <w:rPr>
                <w:rFonts w:ascii="Arial" w:hAnsi="Arial" w:cs="Arial"/>
                <w:color w:val="000000"/>
                <w:sz w:val="18"/>
                <w:szCs w:val="18"/>
              </w:rPr>
              <w:t xml:space="preserve"> score &gt; 6 or creatinine clearance &lt; 70 mL/min given the CIRS score was designed to predict toxicity with chemoimmunotherapy rather than targeted agents.</w:t>
            </w:r>
          </w:p>
          <w:p w14:paraId="33E66C08" w14:textId="77777777" w:rsidR="00862CED" w:rsidRDefault="00630D54" w:rsidP="00630D54">
            <w:pPr>
              <w:spacing w:after="120"/>
              <w:rPr>
                <w:rFonts w:ascii="Arial" w:hAnsi="Arial" w:cs="Arial"/>
                <w:color w:val="000000"/>
                <w:sz w:val="18"/>
                <w:szCs w:val="18"/>
              </w:rPr>
            </w:pPr>
            <w:r w:rsidRPr="00630D54">
              <w:rPr>
                <w:rFonts w:ascii="Arial" w:hAnsi="Arial" w:cs="Arial"/>
                <w:color w:val="000000"/>
                <w:sz w:val="18"/>
                <w:szCs w:val="18"/>
              </w:rPr>
              <w:t>•</w:t>
            </w:r>
            <w:r w:rsidR="001D1F9C">
              <w:rPr>
                <w:rFonts w:ascii="Arial" w:hAnsi="Arial" w:cs="Arial"/>
                <w:color w:val="000000"/>
                <w:sz w:val="18"/>
                <w:szCs w:val="18"/>
              </w:rPr>
              <w:t xml:space="preserve"> </w:t>
            </w:r>
            <w:r w:rsidRPr="00630D54">
              <w:rPr>
                <w:rFonts w:ascii="Arial" w:hAnsi="Arial" w:cs="Arial"/>
                <w:color w:val="000000"/>
                <w:sz w:val="18"/>
                <w:szCs w:val="18"/>
              </w:rPr>
              <w:t>The requirement for patients to be considered unsuitable for treatment or retreatment with a purine analogue should be removed from the restrictions for all PBS listed drugs for CLL/SLL in the relapsed or refractory setting. The PBAC noted this would remove the notes defining this criterion (which include criteria around factors like age and/or CIRS score and del17p).</w:t>
            </w:r>
          </w:p>
          <w:p w14:paraId="29CB2D19" w14:textId="77777777" w:rsidR="003832C3" w:rsidRDefault="003832C3" w:rsidP="003832C3">
            <w:pPr>
              <w:rPr>
                <w:rFonts w:ascii="Arial" w:hAnsi="Arial" w:cs="Arial"/>
                <w:snapToGrid w:val="0"/>
                <w:sz w:val="18"/>
                <w:szCs w:val="18"/>
                <w:u w:val="single"/>
                <w:lang w:eastAsia="en-US"/>
              </w:rPr>
            </w:pPr>
            <w:r>
              <w:rPr>
                <w:rFonts w:ascii="Arial" w:hAnsi="Arial" w:cs="Arial"/>
                <w:snapToGrid w:val="0"/>
                <w:sz w:val="18"/>
                <w:szCs w:val="18"/>
                <w:u w:val="single"/>
                <w:lang w:eastAsia="en-US"/>
              </w:rPr>
              <w:t>Sponsor Comment:</w:t>
            </w:r>
          </w:p>
          <w:p w14:paraId="7013EF83" w14:textId="299F8754" w:rsidR="003832C3" w:rsidRPr="000D1B6B" w:rsidRDefault="000D1B6B" w:rsidP="00630D54">
            <w:pPr>
              <w:spacing w:after="120"/>
              <w:rPr>
                <w:rFonts w:ascii="Arial" w:hAnsi="Arial" w:cs="Arial"/>
                <w:color w:val="000000"/>
                <w:sz w:val="18"/>
                <w:szCs w:val="18"/>
              </w:rPr>
            </w:pPr>
            <w:r w:rsidRPr="000D1B6B">
              <w:rPr>
                <w:rFonts w:ascii="Arial" w:hAnsi="Arial" w:cs="Arial"/>
                <w:color w:val="000000"/>
                <w:sz w:val="18"/>
                <w:szCs w:val="18"/>
              </w:rPr>
              <w:t xml:space="preserve">Janssen is disappointed that the PBAC has not recommended ibrutinib, for use in combination with </w:t>
            </w:r>
            <w:proofErr w:type="spellStart"/>
            <w:r w:rsidRPr="000D1B6B">
              <w:rPr>
                <w:rFonts w:ascii="Arial" w:hAnsi="Arial" w:cs="Arial"/>
                <w:color w:val="000000"/>
                <w:sz w:val="18"/>
                <w:szCs w:val="18"/>
              </w:rPr>
              <w:t>venetoclax</w:t>
            </w:r>
            <w:proofErr w:type="spellEnd"/>
            <w:r w:rsidRPr="000D1B6B">
              <w:rPr>
                <w:rFonts w:ascii="Arial" w:hAnsi="Arial" w:cs="Arial"/>
                <w:color w:val="000000"/>
                <w:sz w:val="18"/>
                <w:szCs w:val="18"/>
              </w:rPr>
              <w:t>, for the treatment of previously untreated CLL or SLL. While FCR is not a preferred regimen, FCR is still used in clinical practice and prior to this outcome, the PBS restrictions meant that a significant proportion of younger and fitter patients could only access FCR on the PBS for CLL treatment. Thus, Janssen considers that it was the appropriate comparator for PBAC assessment of this population.</w:t>
            </w:r>
            <w:r w:rsidRPr="000D1B6B">
              <w:rPr>
                <w:rFonts w:ascii="Arial" w:hAnsi="Arial" w:cs="Arial"/>
                <w:color w:val="000000"/>
                <w:sz w:val="18"/>
                <w:szCs w:val="18"/>
              </w:rPr>
              <w:br/>
            </w:r>
            <w:r w:rsidRPr="000D1B6B">
              <w:rPr>
                <w:rFonts w:ascii="Arial" w:hAnsi="Arial" w:cs="Arial"/>
                <w:color w:val="000000"/>
                <w:sz w:val="18"/>
                <w:szCs w:val="18"/>
              </w:rPr>
              <w:br/>
              <w:t xml:space="preserve">Janssen will review the PBAC’s feedback and remains committed to finding a way forward to list ibrutinib, in combination with </w:t>
            </w:r>
            <w:proofErr w:type="spellStart"/>
            <w:r w:rsidRPr="000D1B6B">
              <w:rPr>
                <w:rFonts w:ascii="Arial" w:hAnsi="Arial" w:cs="Arial"/>
                <w:color w:val="000000"/>
                <w:sz w:val="18"/>
                <w:szCs w:val="18"/>
              </w:rPr>
              <w:t>venetoclax</w:t>
            </w:r>
            <w:proofErr w:type="spellEnd"/>
            <w:r w:rsidRPr="000D1B6B">
              <w:rPr>
                <w:rFonts w:ascii="Arial" w:hAnsi="Arial" w:cs="Arial"/>
                <w:color w:val="000000"/>
                <w:sz w:val="18"/>
                <w:szCs w:val="18"/>
              </w:rPr>
              <w:t>, to address a high unmet clinical need for Australians with previously untreated CLL or SLL.</w:t>
            </w:r>
          </w:p>
        </w:tc>
      </w:tr>
      <w:tr w:rsidR="007E2CC3" w:rsidRPr="00687774" w14:paraId="7A17E803" w14:textId="77777777" w:rsidTr="000D1B6B">
        <w:trPr>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67E87C49" w14:textId="77777777" w:rsidR="007E2CC3" w:rsidRDefault="007E2CC3" w:rsidP="007414B9">
            <w:pPr>
              <w:rPr>
                <w:rFonts w:ascii="Arial" w:hAnsi="Arial" w:cs="Arial"/>
                <w:sz w:val="18"/>
                <w:szCs w:val="18"/>
              </w:rPr>
            </w:pPr>
            <w:r>
              <w:rPr>
                <w:rFonts w:ascii="Arial" w:hAnsi="Arial" w:cs="Arial"/>
                <w:sz w:val="18"/>
                <w:szCs w:val="18"/>
              </w:rPr>
              <w:lastRenderedPageBreak/>
              <w:t>TIXAGEVIMAB AND CILGAVIMAB</w:t>
            </w:r>
          </w:p>
          <w:p w14:paraId="3B8AAE28" w14:textId="77777777" w:rsidR="007E2CC3" w:rsidRDefault="007E2CC3" w:rsidP="007414B9">
            <w:pPr>
              <w:rPr>
                <w:rFonts w:ascii="Arial" w:hAnsi="Arial" w:cs="Arial"/>
                <w:sz w:val="18"/>
                <w:szCs w:val="18"/>
              </w:rPr>
            </w:pPr>
          </w:p>
          <w:p w14:paraId="73638B01" w14:textId="77777777" w:rsidR="007E2CC3" w:rsidRDefault="007E2CC3" w:rsidP="007414B9">
            <w:pPr>
              <w:rPr>
                <w:rFonts w:ascii="Arial" w:hAnsi="Arial" w:cs="Arial"/>
                <w:sz w:val="18"/>
                <w:szCs w:val="18"/>
              </w:rPr>
            </w:pPr>
            <w:r>
              <w:rPr>
                <w:rFonts w:ascii="Arial" w:hAnsi="Arial" w:cs="Arial"/>
                <w:sz w:val="18"/>
                <w:szCs w:val="18"/>
              </w:rPr>
              <w:t>Pack containing 1 vial of tixagevimab 150 mg in 1.5 mL and 1 vial of cilgavimab 150 mg in 1.5 mL</w:t>
            </w:r>
          </w:p>
          <w:p w14:paraId="2C6053ED" w14:textId="77777777" w:rsidR="007E2CC3" w:rsidRDefault="007E2CC3" w:rsidP="007414B9">
            <w:pPr>
              <w:rPr>
                <w:rFonts w:ascii="Arial" w:hAnsi="Arial" w:cs="Arial"/>
                <w:sz w:val="18"/>
                <w:szCs w:val="18"/>
              </w:rPr>
            </w:pPr>
          </w:p>
          <w:p w14:paraId="2B649252" w14:textId="77777777" w:rsidR="007E2CC3" w:rsidRDefault="007E2CC3" w:rsidP="007414B9">
            <w:pPr>
              <w:rPr>
                <w:rFonts w:ascii="Arial" w:hAnsi="Arial" w:cs="Arial"/>
                <w:sz w:val="18"/>
                <w:szCs w:val="18"/>
              </w:rPr>
            </w:pPr>
            <w:r>
              <w:rPr>
                <w:rFonts w:ascii="Arial" w:hAnsi="Arial" w:cs="Arial"/>
                <w:sz w:val="18"/>
                <w:szCs w:val="18"/>
              </w:rPr>
              <w:t>Evusheld</w:t>
            </w:r>
            <w:r w:rsidRPr="007E2CC3">
              <w:rPr>
                <w:rFonts w:ascii="Arial" w:hAnsi="Arial" w:cs="Arial"/>
                <w:sz w:val="18"/>
                <w:szCs w:val="18"/>
                <w:vertAlign w:val="superscript"/>
              </w:rPr>
              <w:t>®</w:t>
            </w:r>
          </w:p>
          <w:p w14:paraId="6B762AF9" w14:textId="77777777" w:rsidR="007E2CC3" w:rsidRDefault="007E2CC3" w:rsidP="007414B9">
            <w:pPr>
              <w:rPr>
                <w:rFonts w:ascii="Arial" w:hAnsi="Arial" w:cs="Arial"/>
                <w:sz w:val="18"/>
                <w:szCs w:val="18"/>
              </w:rPr>
            </w:pPr>
          </w:p>
          <w:p w14:paraId="3059E8FB" w14:textId="77777777" w:rsidR="007E2CC3" w:rsidRDefault="007E2CC3" w:rsidP="007414B9">
            <w:pPr>
              <w:rPr>
                <w:rFonts w:ascii="Arial" w:hAnsi="Arial" w:cs="Arial"/>
                <w:sz w:val="18"/>
                <w:szCs w:val="18"/>
              </w:rPr>
            </w:pPr>
            <w:r>
              <w:rPr>
                <w:rFonts w:ascii="Arial" w:hAnsi="Arial" w:cs="Arial"/>
                <w:sz w:val="18"/>
                <w:szCs w:val="18"/>
              </w:rPr>
              <w:t xml:space="preserve">AstraZeneca Pty Ltd </w:t>
            </w:r>
          </w:p>
          <w:p w14:paraId="6898BE9A" w14:textId="77777777" w:rsidR="007E2CC3" w:rsidRDefault="007E2CC3" w:rsidP="007414B9">
            <w:pPr>
              <w:rPr>
                <w:rFonts w:ascii="Arial" w:hAnsi="Arial" w:cs="Arial"/>
                <w:sz w:val="18"/>
                <w:szCs w:val="18"/>
              </w:rPr>
            </w:pPr>
          </w:p>
          <w:p w14:paraId="6B5C0B04" w14:textId="3288FC11" w:rsidR="007E2CC3" w:rsidRPr="007E2CC3" w:rsidRDefault="007E2CC3" w:rsidP="007414B9">
            <w:pPr>
              <w:rPr>
                <w:rFonts w:ascii="Arial" w:hAnsi="Arial" w:cs="Arial"/>
                <w:sz w:val="18"/>
                <w:szCs w:val="18"/>
              </w:rPr>
            </w:pPr>
            <w:r>
              <w:rPr>
                <w:rFonts w:ascii="Arial" w:hAnsi="Arial" w:cs="Arial"/>
                <w:sz w:val="18"/>
                <w:szCs w:val="18"/>
              </w:rPr>
              <w:t>(New PBS listing)</w:t>
            </w:r>
          </w:p>
        </w:tc>
        <w:tc>
          <w:tcPr>
            <w:tcW w:w="552" w:type="pct"/>
            <w:tcBorders>
              <w:top w:val="single" w:sz="4" w:space="0" w:color="auto"/>
              <w:left w:val="single" w:sz="4" w:space="0" w:color="auto"/>
              <w:right w:val="single" w:sz="4" w:space="0" w:color="auto"/>
            </w:tcBorders>
            <w:shd w:val="clear" w:color="auto" w:fill="auto"/>
            <w:vAlign w:val="center"/>
          </w:tcPr>
          <w:p w14:paraId="451F92F6" w14:textId="512E2DEF" w:rsidR="007E2CC3" w:rsidRDefault="007E2CC3" w:rsidP="007414B9">
            <w:pPr>
              <w:widowControl w:val="0"/>
              <w:rPr>
                <w:rFonts w:ascii="Arial" w:hAnsi="Arial" w:cs="Arial"/>
                <w:snapToGrid w:val="0"/>
                <w:sz w:val="18"/>
                <w:szCs w:val="18"/>
                <w:lang w:eastAsia="en-US"/>
              </w:rPr>
            </w:pPr>
            <w:r>
              <w:rPr>
                <w:rFonts w:ascii="Arial" w:hAnsi="Arial" w:cs="Arial"/>
                <w:snapToGrid w:val="0"/>
                <w:sz w:val="18"/>
                <w:szCs w:val="18"/>
                <w:lang w:eastAsia="en-US"/>
              </w:rPr>
              <w:t>Pre-exposure prevention of COVID-19</w:t>
            </w:r>
          </w:p>
        </w:tc>
        <w:tc>
          <w:tcPr>
            <w:tcW w:w="875" w:type="pct"/>
            <w:tcBorders>
              <w:top w:val="single" w:sz="4" w:space="0" w:color="auto"/>
              <w:left w:val="nil"/>
              <w:right w:val="single" w:sz="4" w:space="0" w:color="auto"/>
            </w:tcBorders>
            <w:shd w:val="clear" w:color="auto" w:fill="auto"/>
            <w:tcMar>
              <w:top w:w="28" w:type="dxa"/>
              <w:bottom w:w="28" w:type="dxa"/>
            </w:tcMar>
            <w:vAlign w:val="center"/>
          </w:tcPr>
          <w:p w14:paraId="6755C09B" w14:textId="473258D4" w:rsidR="007E2CC3" w:rsidRPr="007E2CC3" w:rsidRDefault="007E2CC3" w:rsidP="007414B9">
            <w:pPr>
              <w:pStyle w:val="ListParagraph"/>
              <w:ind w:left="0"/>
              <w:rPr>
                <w:rFonts w:ascii="Arial" w:hAnsi="Arial" w:cs="Arial"/>
                <w:sz w:val="18"/>
                <w:szCs w:val="18"/>
              </w:rPr>
            </w:pPr>
            <w:r w:rsidRPr="007E2CC3">
              <w:rPr>
                <w:rFonts w:ascii="Arial" w:hAnsi="Arial" w:cs="Arial"/>
                <w:sz w:val="18"/>
                <w:szCs w:val="18"/>
              </w:rPr>
              <w:t>A resubmission to request a General Schedule Authority Required listing for pre-exposure prevention of COVID-19 in individuals 12</w:t>
            </w:r>
            <w:r w:rsidR="001E4693">
              <w:rPr>
                <w:rFonts w:ascii="Arial" w:hAnsi="Arial" w:cs="Arial"/>
                <w:sz w:val="18"/>
                <w:szCs w:val="18"/>
              </w:rPr>
              <w:t> </w:t>
            </w:r>
            <w:r w:rsidRPr="007E2CC3">
              <w:rPr>
                <w:rFonts w:ascii="Arial" w:hAnsi="Arial" w:cs="Arial"/>
                <w:sz w:val="18"/>
                <w:szCs w:val="18"/>
              </w:rPr>
              <w:t>years or older who are severely immunocompromised due to a specific medical condition or because of treatment with immunosuppressive therapies that render them unlikely to mount an adequate immune response to immunisation.</w:t>
            </w:r>
          </w:p>
        </w:tc>
        <w:tc>
          <w:tcPr>
            <w:tcW w:w="553" w:type="pct"/>
            <w:tcBorders>
              <w:top w:val="single" w:sz="4" w:space="0" w:color="auto"/>
              <w:left w:val="single" w:sz="4" w:space="0" w:color="auto"/>
              <w:right w:val="single" w:sz="4" w:space="0" w:color="auto"/>
            </w:tcBorders>
            <w:shd w:val="clear" w:color="auto" w:fill="auto"/>
            <w:vAlign w:val="center"/>
          </w:tcPr>
          <w:p w14:paraId="5FCAE0F5" w14:textId="4E65BE4D" w:rsidR="007E2CC3" w:rsidRDefault="001E4693"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Not recommended</w:t>
            </w:r>
          </w:p>
        </w:tc>
        <w:tc>
          <w:tcPr>
            <w:tcW w:w="2146" w:type="pct"/>
            <w:tcBorders>
              <w:top w:val="single" w:sz="4" w:space="0" w:color="auto"/>
            </w:tcBorders>
            <w:shd w:val="clear" w:color="auto" w:fill="auto"/>
            <w:vAlign w:val="center"/>
          </w:tcPr>
          <w:p w14:paraId="21289B0D" w14:textId="6F707D5E" w:rsidR="001E4693" w:rsidRPr="001E4693" w:rsidRDefault="001E4693" w:rsidP="001E4693">
            <w:pPr>
              <w:spacing w:after="120"/>
              <w:rPr>
                <w:rFonts w:ascii="Arial" w:hAnsi="Arial" w:cs="Arial"/>
                <w:color w:val="000000"/>
                <w:sz w:val="18"/>
                <w:szCs w:val="18"/>
              </w:rPr>
            </w:pPr>
            <w:r w:rsidRPr="001E4693">
              <w:rPr>
                <w:rFonts w:ascii="Arial" w:hAnsi="Arial" w:cs="Arial"/>
                <w:color w:val="000000"/>
                <w:sz w:val="18"/>
                <w:szCs w:val="18"/>
              </w:rPr>
              <w:t xml:space="preserve">The PBAC did not recommend the listing of tixagevimab and cilgavimab for use as pre-exposure prophylaxis </w:t>
            </w:r>
            <w:r w:rsidR="003832C3">
              <w:rPr>
                <w:rFonts w:ascii="Arial" w:hAnsi="Arial" w:cs="Arial"/>
                <w:color w:val="000000"/>
                <w:sz w:val="18"/>
                <w:szCs w:val="18"/>
              </w:rPr>
              <w:t xml:space="preserve">(PrEP) </w:t>
            </w:r>
            <w:r w:rsidRPr="001E4693">
              <w:rPr>
                <w:rFonts w:ascii="Arial" w:hAnsi="Arial" w:cs="Arial"/>
                <w:color w:val="000000"/>
                <w:sz w:val="18"/>
                <w:szCs w:val="18"/>
              </w:rPr>
              <w:t xml:space="preserve">against COVID-19 infection. The PBAC considered there was a limited clinical place for Evusheld in the current therapeutic landscape. The PBAC considered that the resubmission had not adequately addressed the clinical, economic, financial and risk management issues that had been raised in its September 2022 consideration. Moreover, the emergence and growing prevalence of strains of virus that are likely to be resistant to tixagevimab and cilgavimab since then, increased the uncertainty about the future effectiveness of this treatment for </w:t>
            </w:r>
            <w:proofErr w:type="spellStart"/>
            <w:r w:rsidRPr="001E4693">
              <w:rPr>
                <w:rFonts w:ascii="Arial" w:hAnsi="Arial" w:cs="Arial"/>
                <w:color w:val="000000"/>
                <w:sz w:val="18"/>
                <w:szCs w:val="18"/>
              </w:rPr>
              <w:t>PrEP.</w:t>
            </w:r>
            <w:proofErr w:type="spellEnd"/>
          </w:p>
          <w:p w14:paraId="4677DEE3" w14:textId="2F1D9A74" w:rsidR="001E4693" w:rsidRPr="001E4693" w:rsidRDefault="001E4693" w:rsidP="001E4693">
            <w:pPr>
              <w:spacing w:after="120"/>
              <w:rPr>
                <w:rFonts w:ascii="Arial" w:hAnsi="Arial" w:cs="Arial"/>
                <w:color w:val="000000"/>
                <w:sz w:val="18"/>
                <w:szCs w:val="18"/>
              </w:rPr>
            </w:pPr>
            <w:r w:rsidRPr="001E4693">
              <w:rPr>
                <w:rFonts w:ascii="Arial" w:hAnsi="Arial" w:cs="Arial"/>
                <w:color w:val="000000"/>
                <w:sz w:val="18"/>
                <w:szCs w:val="18"/>
              </w:rPr>
              <w:t xml:space="preserve">The previous submission was considered in September 2022. </w:t>
            </w:r>
          </w:p>
          <w:p w14:paraId="7FAE7C5C" w14:textId="77777777" w:rsidR="001E4693" w:rsidRPr="001E4693" w:rsidRDefault="001E4693" w:rsidP="001E4693">
            <w:pPr>
              <w:rPr>
                <w:rFonts w:ascii="Arial" w:hAnsi="Arial" w:cs="Arial"/>
                <w:color w:val="000000"/>
                <w:sz w:val="18"/>
                <w:szCs w:val="18"/>
                <w:u w:val="single"/>
              </w:rPr>
            </w:pPr>
            <w:r w:rsidRPr="001E4693">
              <w:rPr>
                <w:rFonts w:ascii="Arial" w:hAnsi="Arial" w:cs="Arial"/>
                <w:color w:val="000000"/>
                <w:sz w:val="18"/>
                <w:szCs w:val="18"/>
                <w:u w:val="single"/>
              </w:rPr>
              <w:t>Comparator: Placebo.</w:t>
            </w:r>
          </w:p>
          <w:p w14:paraId="00922BB6" w14:textId="3620ACF4" w:rsidR="001E4693" w:rsidRPr="001E4693" w:rsidRDefault="001E4693" w:rsidP="001E4693">
            <w:pPr>
              <w:spacing w:after="120"/>
              <w:rPr>
                <w:rFonts w:ascii="Arial" w:hAnsi="Arial" w:cs="Arial"/>
                <w:color w:val="000000"/>
                <w:sz w:val="18"/>
                <w:szCs w:val="18"/>
              </w:rPr>
            </w:pPr>
            <w:r w:rsidRPr="001E4693">
              <w:rPr>
                <w:rFonts w:ascii="Arial" w:hAnsi="Arial" w:cs="Arial"/>
                <w:color w:val="000000"/>
                <w:sz w:val="18"/>
                <w:szCs w:val="18"/>
              </w:rPr>
              <w:t>Consistent with the September 2022 meeting, the PBAC considered that placebo (representative of a no PrEP scenario) was an appropriate main comparator.</w:t>
            </w:r>
          </w:p>
          <w:p w14:paraId="57308744" w14:textId="05586B4D" w:rsidR="001E4693" w:rsidRPr="005D441C" w:rsidRDefault="001E4693" w:rsidP="001E4693">
            <w:pPr>
              <w:spacing w:after="120"/>
              <w:rPr>
                <w:rFonts w:ascii="Arial" w:hAnsi="Arial" w:cs="Arial"/>
                <w:color w:val="000000"/>
                <w:sz w:val="18"/>
                <w:szCs w:val="18"/>
                <w:u w:val="single"/>
              </w:rPr>
            </w:pPr>
            <w:r w:rsidRPr="005D441C">
              <w:rPr>
                <w:rFonts w:ascii="Arial" w:hAnsi="Arial" w:cs="Arial"/>
                <w:color w:val="000000"/>
                <w:sz w:val="18"/>
                <w:szCs w:val="18"/>
                <w:u w:val="single"/>
              </w:rPr>
              <w:t>Clinical claim: The resubmission claimed that tixagevimab and cilgavimab provides up to 6 months effectiveness in a vaccinated, immunocompromised cohort.  The resubmission did not make any explicit claim in regard to safety.</w:t>
            </w:r>
          </w:p>
          <w:p w14:paraId="5F04E8AC" w14:textId="2C192032" w:rsidR="001E4693" w:rsidRPr="001E4693" w:rsidRDefault="001E4693" w:rsidP="001E4693">
            <w:pPr>
              <w:spacing w:after="120"/>
              <w:rPr>
                <w:rFonts w:ascii="Arial" w:hAnsi="Arial" w:cs="Arial"/>
                <w:color w:val="000000"/>
                <w:sz w:val="18"/>
                <w:szCs w:val="18"/>
              </w:rPr>
            </w:pPr>
            <w:r w:rsidRPr="001E4693">
              <w:rPr>
                <w:rFonts w:ascii="Arial" w:hAnsi="Arial" w:cs="Arial"/>
                <w:color w:val="000000"/>
                <w:sz w:val="18"/>
                <w:szCs w:val="18"/>
              </w:rPr>
              <w:t>Consistent with the September 2022 meeting, the PBAC considered that safety and effectiveness of the proposed dosing regimen tixagevimab 300 mg and cilgavimab 300 mg every 6 months had not been established. The PBAC did not accept that new evidence presented by the resubmission sufficiently supported a 6 month duration of effect.</w:t>
            </w:r>
          </w:p>
          <w:p w14:paraId="0808F28D" w14:textId="5AF4F2FB" w:rsidR="001E4693" w:rsidRPr="005D441C" w:rsidRDefault="001E4693" w:rsidP="001E4693">
            <w:pPr>
              <w:spacing w:after="120"/>
              <w:rPr>
                <w:rFonts w:ascii="Arial" w:hAnsi="Arial" w:cs="Arial"/>
                <w:color w:val="000000"/>
                <w:sz w:val="18"/>
                <w:szCs w:val="18"/>
                <w:u w:val="single"/>
              </w:rPr>
            </w:pPr>
            <w:r w:rsidRPr="005D441C">
              <w:rPr>
                <w:rFonts w:ascii="Arial" w:hAnsi="Arial" w:cs="Arial"/>
                <w:color w:val="000000"/>
                <w:sz w:val="18"/>
                <w:szCs w:val="18"/>
                <w:u w:val="single"/>
              </w:rPr>
              <w:t>Economic claim: cost-effectiveness versus placebo</w:t>
            </w:r>
          </w:p>
          <w:p w14:paraId="719A01B7" w14:textId="7D2C6665" w:rsidR="001E4693" w:rsidRPr="001E4693" w:rsidRDefault="001E4693" w:rsidP="001E4693">
            <w:pPr>
              <w:spacing w:after="120"/>
              <w:rPr>
                <w:rFonts w:ascii="Arial" w:hAnsi="Arial" w:cs="Arial"/>
                <w:color w:val="000000"/>
                <w:sz w:val="18"/>
                <w:szCs w:val="18"/>
              </w:rPr>
            </w:pPr>
            <w:r w:rsidRPr="001E4693">
              <w:rPr>
                <w:rFonts w:ascii="Arial" w:hAnsi="Arial" w:cs="Arial"/>
                <w:color w:val="000000"/>
                <w:sz w:val="18"/>
                <w:szCs w:val="18"/>
              </w:rPr>
              <w:t>The PBAC considered that the modelled cost-effectiveness analysis presented by the resubmission was not adequately justified by clinical evidence.  In addition, the analysis did not include any adjustments for potential resistance.  The PBAC noted the</w:t>
            </w:r>
            <w:r w:rsidR="003832C3">
              <w:rPr>
                <w:rFonts w:ascii="Arial" w:hAnsi="Arial" w:cs="Arial"/>
                <w:color w:val="000000"/>
                <w:sz w:val="18"/>
                <w:szCs w:val="18"/>
              </w:rPr>
              <w:t xml:space="preserve"> incremental cost-effectiveness ratio</w:t>
            </w:r>
            <w:r w:rsidRPr="001E4693">
              <w:rPr>
                <w:rFonts w:ascii="Arial" w:hAnsi="Arial" w:cs="Arial"/>
                <w:color w:val="000000"/>
                <w:sz w:val="18"/>
                <w:szCs w:val="18"/>
              </w:rPr>
              <w:t xml:space="preserve"> per</w:t>
            </w:r>
            <w:r w:rsidR="003832C3">
              <w:rPr>
                <w:rFonts w:ascii="Arial" w:hAnsi="Arial" w:cs="Arial"/>
                <w:color w:val="000000"/>
                <w:sz w:val="18"/>
                <w:szCs w:val="18"/>
              </w:rPr>
              <w:t xml:space="preserve"> Quality Adjusted Life Year</w:t>
            </w:r>
            <w:r w:rsidRPr="001E4693">
              <w:rPr>
                <w:rFonts w:ascii="Arial" w:hAnsi="Arial" w:cs="Arial"/>
                <w:color w:val="000000"/>
                <w:sz w:val="18"/>
                <w:szCs w:val="18"/>
              </w:rPr>
              <w:t xml:space="preserve"> increases significantly when potential resistance is accounted for in sensitivity analyses.</w:t>
            </w:r>
          </w:p>
          <w:p w14:paraId="3C40CDE1" w14:textId="77777777" w:rsidR="001E4693" w:rsidRPr="005D441C" w:rsidRDefault="001E4693" w:rsidP="001E4693">
            <w:pPr>
              <w:spacing w:after="120"/>
              <w:rPr>
                <w:rFonts w:ascii="Arial" w:hAnsi="Arial" w:cs="Arial"/>
                <w:color w:val="000000"/>
                <w:sz w:val="18"/>
                <w:szCs w:val="18"/>
                <w:u w:val="single"/>
              </w:rPr>
            </w:pPr>
            <w:r w:rsidRPr="005D441C">
              <w:rPr>
                <w:rFonts w:ascii="Arial" w:hAnsi="Arial" w:cs="Arial"/>
                <w:color w:val="000000"/>
                <w:sz w:val="18"/>
                <w:szCs w:val="18"/>
                <w:u w:val="single"/>
              </w:rPr>
              <w:t>Financial estimates</w:t>
            </w:r>
          </w:p>
          <w:p w14:paraId="7D942405" w14:textId="4C954BFC" w:rsidR="001E4693" w:rsidRPr="001E4693" w:rsidRDefault="001E4693" w:rsidP="001E4693">
            <w:pPr>
              <w:spacing w:after="120"/>
              <w:rPr>
                <w:rFonts w:ascii="Arial" w:hAnsi="Arial" w:cs="Arial"/>
                <w:color w:val="000000"/>
                <w:sz w:val="18"/>
                <w:szCs w:val="18"/>
              </w:rPr>
            </w:pPr>
            <w:r w:rsidRPr="001E4693">
              <w:rPr>
                <w:rFonts w:ascii="Arial" w:hAnsi="Arial" w:cs="Arial"/>
                <w:color w:val="000000"/>
                <w:sz w:val="18"/>
                <w:szCs w:val="18"/>
              </w:rPr>
              <w:t>The PBAC considered there is a significant amount of uncertainty related to the use and ongoing effectiveness of tixagevimab and cilgavimab because of the changing nature of the COVID-19 virus.</w:t>
            </w:r>
          </w:p>
          <w:p w14:paraId="3736D944" w14:textId="77777777" w:rsidR="001E4693" w:rsidRPr="005D441C" w:rsidRDefault="001E4693" w:rsidP="001E4693">
            <w:pPr>
              <w:spacing w:after="120"/>
              <w:rPr>
                <w:rFonts w:ascii="Arial" w:hAnsi="Arial" w:cs="Arial"/>
                <w:color w:val="000000"/>
                <w:sz w:val="18"/>
                <w:szCs w:val="18"/>
                <w:u w:val="single"/>
              </w:rPr>
            </w:pPr>
            <w:r w:rsidRPr="005D441C">
              <w:rPr>
                <w:rFonts w:ascii="Arial" w:hAnsi="Arial" w:cs="Arial"/>
                <w:color w:val="000000"/>
                <w:sz w:val="18"/>
                <w:szCs w:val="18"/>
                <w:u w:val="single"/>
              </w:rPr>
              <w:t>Risk sharing</w:t>
            </w:r>
          </w:p>
          <w:p w14:paraId="1A678A05" w14:textId="20F0C004" w:rsidR="001E4693" w:rsidRPr="001E4693" w:rsidRDefault="001E4693" w:rsidP="001E4693">
            <w:pPr>
              <w:spacing w:after="120"/>
              <w:rPr>
                <w:rFonts w:ascii="Arial" w:hAnsi="Arial" w:cs="Arial"/>
                <w:color w:val="000000"/>
                <w:sz w:val="18"/>
                <w:szCs w:val="18"/>
              </w:rPr>
            </w:pPr>
            <w:r w:rsidRPr="001E4693">
              <w:rPr>
                <w:rFonts w:ascii="Arial" w:hAnsi="Arial" w:cs="Arial"/>
                <w:color w:val="000000"/>
                <w:sz w:val="18"/>
                <w:szCs w:val="18"/>
              </w:rPr>
              <w:lastRenderedPageBreak/>
              <w:t>The PBAC noted the risks to individuals who have received, or are considering receiving, tixagevimab and cilgavimab for PrEP, arising from the potential resistance of some COVID-19 strains to this therapy and acknowledged the sponsor’s commitment to working with</w:t>
            </w:r>
            <w:r w:rsidR="003832C3">
              <w:rPr>
                <w:rFonts w:ascii="Arial" w:hAnsi="Arial" w:cs="Arial"/>
                <w:color w:val="000000"/>
                <w:sz w:val="18"/>
                <w:szCs w:val="18"/>
              </w:rPr>
              <w:t xml:space="preserve"> the Australian</w:t>
            </w:r>
            <w:r w:rsidRPr="001E4693">
              <w:rPr>
                <w:rFonts w:ascii="Arial" w:hAnsi="Arial" w:cs="Arial"/>
                <w:color w:val="000000"/>
                <w:sz w:val="18"/>
                <w:szCs w:val="18"/>
              </w:rPr>
              <w:t xml:space="preserve"> Government and stakeholders to manage this risk. </w:t>
            </w:r>
          </w:p>
          <w:p w14:paraId="49280C2F" w14:textId="77777777" w:rsidR="007E2CC3" w:rsidRDefault="001E4693" w:rsidP="001E4693">
            <w:pPr>
              <w:spacing w:after="120"/>
              <w:rPr>
                <w:rFonts w:ascii="Arial" w:hAnsi="Arial" w:cs="Arial"/>
                <w:color w:val="000000"/>
                <w:sz w:val="18"/>
                <w:szCs w:val="18"/>
              </w:rPr>
            </w:pPr>
            <w:r w:rsidRPr="001E4693">
              <w:rPr>
                <w:rFonts w:ascii="Arial" w:hAnsi="Arial" w:cs="Arial"/>
                <w:color w:val="000000"/>
                <w:sz w:val="18"/>
                <w:szCs w:val="18"/>
              </w:rPr>
              <w:t>However, the PBAC considered the sponsor’s risk management proposal insufficient to address the very significant risks to Government that arise from the uncertainty about the expected size and duration of the future average protective effect of tixagevimab and cilgavimab.</w:t>
            </w:r>
          </w:p>
          <w:p w14:paraId="20684483" w14:textId="77777777" w:rsidR="003832C3" w:rsidRDefault="003832C3" w:rsidP="003832C3">
            <w:pPr>
              <w:rPr>
                <w:rFonts w:ascii="Arial" w:hAnsi="Arial" w:cs="Arial"/>
                <w:snapToGrid w:val="0"/>
                <w:sz w:val="18"/>
                <w:szCs w:val="18"/>
                <w:u w:val="single"/>
                <w:lang w:eastAsia="en-US"/>
              </w:rPr>
            </w:pPr>
            <w:r>
              <w:rPr>
                <w:rFonts w:ascii="Arial" w:hAnsi="Arial" w:cs="Arial"/>
                <w:snapToGrid w:val="0"/>
                <w:sz w:val="18"/>
                <w:szCs w:val="18"/>
                <w:u w:val="single"/>
                <w:lang w:eastAsia="en-US"/>
              </w:rPr>
              <w:t>Sponsor Comment:</w:t>
            </w:r>
          </w:p>
          <w:p w14:paraId="0525115E" w14:textId="5B4495AF" w:rsidR="003832C3" w:rsidRPr="009E2D68" w:rsidRDefault="009E2D68" w:rsidP="001E4693">
            <w:pPr>
              <w:spacing w:after="120"/>
              <w:rPr>
                <w:rFonts w:ascii="Arial" w:hAnsi="Arial" w:cs="Arial"/>
                <w:color w:val="000000"/>
                <w:sz w:val="18"/>
                <w:szCs w:val="18"/>
              </w:rPr>
            </w:pPr>
            <w:r w:rsidRPr="009E2D68">
              <w:rPr>
                <w:rFonts w:ascii="Arial" w:hAnsi="Arial" w:cs="Arial"/>
                <w:color w:val="000000"/>
                <w:sz w:val="18"/>
                <w:szCs w:val="18"/>
              </w:rPr>
              <w:t>AstraZeneca is committed to providing continued access to Evusheld for immunocompromised patients at high risk of critical illness from COVID</w:t>
            </w:r>
            <w:r>
              <w:rPr>
                <w:rFonts w:ascii="Arial" w:hAnsi="Arial" w:cs="Arial"/>
                <w:color w:val="000000"/>
                <w:sz w:val="18"/>
                <w:szCs w:val="18"/>
              </w:rPr>
              <w:t>-</w:t>
            </w:r>
            <w:r w:rsidRPr="009E2D68">
              <w:rPr>
                <w:rFonts w:ascii="Arial" w:hAnsi="Arial" w:cs="Arial"/>
                <w:color w:val="000000"/>
                <w:sz w:val="18"/>
                <w:szCs w:val="18"/>
              </w:rPr>
              <w:t>19 infection. AstraZeneca acknowledges the concerns raised by</w:t>
            </w:r>
            <w:r>
              <w:rPr>
                <w:rFonts w:ascii="Arial" w:hAnsi="Arial" w:cs="Arial"/>
                <w:color w:val="000000"/>
                <w:sz w:val="18"/>
                <w:szCs w:val="18"/>
              </w:rPr>
              <w:t xml:space="preserve"> the</w:t>
            </w:r>
            <w:r w:rsidRPr="009E2D68">
              <w:rPr>
                <w:rFonts w:ascii="Arial" w:hAnsi="Arial" w:cs="Arial"/>
                <w:color w:val="000000"/>
                <w:sz w:val="18"/>
                <w:szCs w:val="18"/>
              </w:rPr>
              <w:t xml:space="preserve"> PBAC regarding the rapidly changing prevalence mix of sensitive and resistant COVID</w:t>
            </w:r>
            <w:r>
              <w:rPr>
                <w:rFonts w:ascii="Arial" w:hAnsi="Arial" w:cs="Arial"/>
                <w:color w:val="000000"/>
                <w:sz w:val="18"/>
                <w:szCs w:val="18"/>
              </w:rPr>
              <w:t>-</w:t>
            </w:r>
            <w:r w:rsidRPr="009E2D68">
              <w:rPr>
                <w:rFonts w:ascii="Arial" w:hAnsi="Arial" w:cs="Arial"/>
                <w:color w:val="000000"/>
                <w:sz w:val="18"/>
                <w:szCs w:val="18"/>
              </w:rPr>
              <w:t>19 variants and the subsequent challenges to the cost-effectiveness of Evusheld. We look forward to continuing to work with the Department of Health</w:t>
            </w:r>
            <w:r>
              <w:rPr>
                <w:rFonts w:ascii="Arial" w:hAnsi="Arial" w:cs="Arial"/>
                <w:color w:val="000000"/>
                <w:sz w:val="18"/>
                <w:szCs w:val="18"/>
              </w:rPr>
              <w:t xml:space="preserve"> and Aged Care</w:t>
            </w:r>
            <w:r w:rsidRPr="009E2D68">
              <w:rPr>
                <w:rFonts w:ascii="Arial" w:hAnsi="Arial" w:cs="Arial"/>
                <w:color w:val="000000"/>
                <w:sz w:val="18"/>
                <w:szCs w:val="18"/>
              </w:rPr>
              <w:t xml:space="preserve"> to ensure access to Evusheld is maintained.</w:t>
            </w:r>
          </w:p>
        </w:tc>
      </w:tr>
      <w:tr w:rsidR="007414B9" w:rsidRPr="00687774" w14:paraId="6111200E" w14:textId="77777777" w:rsidTr="000D1B6B">
        <w:trPr>
          <w:cantSplit/>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70E6B6C5" w14:textId="77777777" w:rsidR="0067649E" w:rsidRDefault="00EB00B5" w:rsidP="007414B9">
            <w:pPr>
              <w:rPr>
                <w:rFonts w:ascii="Arial" w:hAnsi="Arial" w:cs="Arial"/>
                <w:sz w:val="18"/>
                <w:szCs w:val="18"/>
              </w:rPr>
            </w:pPr>
            <w:r>
              <w:rPr>
                <w:rFonts w:ascii="Arial" w:hAnsi="Arial" w:cs="Arial"/>
                <w:sz w:val="18"/>
                <w:szCs w:val="18"/>
              </w:rPr>
              <w:lastRenderedPageBreak/>
              <w:t>TRASTUZUMAB DERUXTECAN</w:t>
            </w:r>
          </w:p>
          <w:p w14:paraId="0D9E25BA" w14:textId="77777777" w:rsidR="00EB00B5" w:rsidRDefault="00EB00B5" w:rsidP="007414B9">
            <w:pPr>
              <w:rPr>
                <w:rFonts w:ascii="Arial" w:hAnsi="Arial" w:cs="Arial"/>
                <w:sz w:val="18"/>
                <w:szCs w:val="18"/>
              </w:rPr>
            </w:pPr>
          </w:p>
          <w:p w14:paraId="2337D7D1" w14:textId="77777777" w:rsidR="00EB00B5" w:rsidRDefault="00EB00B5" w:rsidP="007414B9">
            <w:pPr>
              <w:rPr>
                <w:rFonts w:ascii="Arial" w:hAnsi="Arial" w:cs="Arial"/>
                <w:sz w:val="18"/>
                <w:szCs w:val="18"/>
              </w:rPr>
            </w:pPr>
            <w:r>
              <w:rPr>
                <w:rFonts w:ascii="Arial" w:hAnsi="Arial" w:cs="Arial"/>
                <w:sz w:val="18"/>
                <w:szCs w:val="18"/>
              </w:rPr>
              <w:t>Powder for I.V. infusion 100 mg</w:t>
            </w:r>
          </w:p>
          <w:p w14:paraId="4F957C9F" w14:textId="77777777" w:rsidR="00EB00B5" w:rsidRDefault="00EB00B5" w:rsidP="007414B9">
            <w:pPr>
              <w:rPr>
                <w:rFonts w:ascii="Arial" w:hAnsi="Arial" w:cs="Arial"/>
                <w:sz w:val="18"/>
                <w:szCs w:val="18"/>
              </w:rPr>
            </w:pPr>
          </w:p>
          <w:p w14:paraId="77CC336D" w14:textId="77777777" w:rsidR="00EB00B5" w:rsidRDefault="00EB00B5" w:rsidP="007414B9">
            <w:pPr>
              <w:rPr>
                <w:rFonts w:ascii="Arial" w:hAnsi="Arial" w:cs="Arial"/>
                <w:sz w:val="18"/>
                <w:szCs w:val="18"/>
              </w:rPr>
            </w:pPr>
            <w:proofErr w:type="spellStart"/>
            <w:r>
              <w:rPr>
                <w:rFonts w:ascii="Arial" w:hAnsi="Arial" w:cs="Arial"/>
                <w:sz w:val="18"/>
                <w:szCs w:val="18"/>
              </w:rPr>
              <w:t>Enhertu</w:t>
            </w:r>
            <w:proofErr w:type="spellEnd"/>
            <w:r w:rsidRPr="00EB00B5">
              <w:rPr>
                <w:rFonts w:ascii="Arial" w:hAnsi="Arial" w:cs="Arial"/>
                <w:sz w:val="18"/>
                <w:szCs w:val="18"/>
                <w:vertAlign w:val="superscript"/>
              </w:rPr>
              <w:t>®</w:t>
            </w:r>
          </w:p>
          <w:p w14:paraId="2DEAF088" w14:textId="77777777" w:rsidR="00EB00B5" w:rsidRDefault="00EB00B5" w:rsidP="007414B9">
            <w:pPr>
              <w:rPr>
                <w:rFonts w:ascii="Arial" w:hAnsi="Arial" w:cs="Arial"/>
                <w:sz w:val="18"/>
                <w:szCs w:val="18"/>
              </w:rPr>
            </w:pPr>
          </w:p>
          <w:p w14:paraId="4EC8DA38" w14:textId="77777777" w:rsidR="00EB00B5" w:rsidRDefault="00EB00B5" w:rsidP="007414B9">
            <w:pPr>
              <w:rPr>
                <w:rFonts w:ascii="Arial" w:hAnsi="Arial" w:cs="Arial"/>
                <w:sz w:val="18"/>
                <w:szCs w:val="18"/>
              </w:rPr>
            </w:pPr>
            <w:r>
              <w:rPr>
                <w:rFonts w:ascii="Arial" w:hAnsi="Arial" w:cs="Arial"/>
                <w:sz w:val="18"/>
                <w:szCs w:val="18"/>
              </w:rPr>
              <w:t>AstraZeneca Pty Ltd</w:t>
            </w:r>
          </w:p>
          <w:p w14:paraId="62CA1693" w14:textId="77777777" w:rsidR="00EB00B5" w:rsidRDefault="00EB00B5" w:rsidP="007414B9">
            <w:pPr>
              <w:rPr>
                <w:rFonts w:ascii="Arial" w:hAnsi="Arial" w:cs="Arial"/>
                <w:sz w:val="18"/>
                <w:szCs w:val="18"/>
              </w:rPr>
            </w:pPr>
          </w:p>
          <w:p w14:paraId="36D061B8" w14:textId="21E0E5E6" w:rsidR="00EB00B5" w:rsidRPr="00EB00B5" w:rsidRDefault="00EB00B5" w:rsidP="007414B9">
            <w:pPr>
              <w:rPr>
                <w:rFonts w:ascii="Arial" w:hAnsi="Arial" w:cs="Arial"/>
                <w:sz w:val="18"/>
                <w:szCs w:val="18"/>
              </w:rPr>
            </w:pPr>
            <w:r>
              <w:rPr>
                <w:rFonts w:ascii="Arial" w:hAnsi="Arial" w:cs="Arial"/>
                <w:sz w:val="18"/>
                <w:szCs w:val="18"/>
              </w:rPr>
              <w:t>(New PBS listing)</w:t>
            </w:r>
          </w:p>
        </w:tc>
        <w:tc>
          <w:tcPr>
            <w:tcW w:w="552" w:type="pct"/>
            <w:tcBorders>
              <w:top w:val="single" w:sz="4" w:space="0" w:color="auto"/>
              <w:left w:val="single" w:sz="4" w:space="0" w:color="auto"/>
              <w:right w:val="single" w:sz="4" w:space="0" w:color="auto"/>
            </w:tcBorders>
            <w:shd w:val="clear" w:color="auto" w:fill="auto"/>
            <w:vAlign w:val="center"/>
          </w:tcPr>
          <w:p w14:paraId="7341B392" w14:textId="5DB8D150" w:rsidR="007414B9" w:rsidRDefault="00EB00B5" w:rsidP="007414B9">
            <w:pPr>
              <w:widowControl w:val="0"/>
              <w:rPr>
                <w:rFonts w:ascii="Arial" w:hAnsi="Arial" w:cs="Arial"/>
                <w:snapToGrid w:val="0"/>
                <w:sz w:val="18"/>
                <w:szCs w:val="18"/>
                <w:lang w:eastAsia="en-US"/>
              </w:rPr>
            </w:pPr>
            <w:r>
              <w:rPr>
                <w:rFonts w:ascii="Arial" w:hAnsi="Arial" w:cs="Arial"/>
                <w:snapToGrid w:val="0"/>
                <w:sz w:val="18"/>
                <w:szCs w:val="18"/>
                <w:lang w:eastAsia="en-US"/>
              </w:rPr>
              <w:t>Breast cancer</w:t>
            </w:r>
          </w:p>
        </w:tc>
        <w:tc>
          <w:tcPr>
            <w:tcW w:w="875" w:type="pct"/>
            <w:tcBorders>
              <w:top w:val="single" w:sz="4" w:space="0" w:color="auto"/>
              <w:left w:val="nil"/>
              <w:right w:val="single" w:sz="4" w:space="0" w:color="auto"/>
            </w:tcBorders>
            <w:shd w:val="clear" w:color="auto" w:fill="auto"/>
            <w:tcMar>
              <w:top w:w="28" w:type="dxa"/>
              <w:bottom w:w="28" w:type="dxa"/>
            </w:tcMar>
            <w:vAlign w:val="center"/>
          </w:tcPr>
          <w:p w14:paraId="3A92DF2D" w14:textId="04D49D66" w:rsidR="007414B9" w:rsidRPr="00EB00B5" w:rsidRDefault="00EB00B5" w:rsidP="007414B9">
            <w:pPr>
              <w:pStyle w:val="ListParagraph"/>
              <w:ind w:left="0"/>
              <w:rPr>
                <w:rFonts w:ascii="Arial" w:hAnsi="Arial" w:cs="Arial"/>
                <w:snapToGrid w:val="0"/>
                <w:sz w:val="18"/>
                <w:szCs w:val="18"/>
                <w:highlight w:val="yellow"/>
                <w:lang w:eastAsia="en-US"/>
              </w:rPr>
            </w:pPr>
            <w:r w:rsidRPr="00EB00B5">
              <w:rPr>
                <w:rFonts w:ascii="Arial" w:hAnsi="Arial" w:cs="Arial"/>
                <w:sz w:val="18"/>
                <w:szCs w:val="18"/>
              </w:rPr>
              <w:t xml:space="preserve">A resubmission to request a Section 100 (Efficient Funding of Chemotherapy Program) Authority Required (Written) listing for the treatment of human epidermal growth factor receptor 2 (HER2) </w:t>
            </w:r>
            <w:r w:rsidR="006961DC">
              <w:rPr>
                <w:rFonts w:ascii="Arial" w:hAnsi="Arial" w:cs="Arial"/>
                <w:sz w:val="18"/>
                <w:szCs w:val="18"/>
              </w:rPr>
              <w:t xml:space="preserve">positive </w:t>
            </w:r>
            <w:r w:rsidRPr="00EB00B5">
              <w:rPr>
                <w:rFonts w:ascii="Arial" w:hAnsi="Arial" w:cs="Arial"/>
                <w:sz w:val="18"/>
                <w:szCs w:val="18"/>
              </w:rPr>
              <w:t>metastatic breast cancer in patients whose disease has progressed following treatment with at least one prior HER2-directed regimen in the metastatic setting or whose disease has progressed during or within 6</w:t>
            </w:r>
            <w:r w:rsidR="007E2CC3">
              <w:rPr>
                <w:rFonts w:ascii="Arial" w:hAnsi="Arial" w:cs="Arial"/>
                <w:sz w:val="18"/>
                <w:szCs w:val="18"/>
              </w:rPr>
              <w:t> </w:t>
            </w:r>
            <w:r w:rsidRPr="00EB00B5">
              <w:rPr>
                <w:rFonts w:ascii="Arial" w:hAnsi="Arial" w:cs="Arial"/>
                <w:sz w:val="18"/>
                <w:szCs w:val="18"/>
              </w:rPr>
              <w:t>months following HER2-directed adjuvant treatment.</w:t>
            </w:r>
          </w:p>
        </w:tc>
        <w:tc>
          <w:tcPr>
            <w:tcW w:w="553" w:type="pct"/>
            <w:tcBorders>
              <w:top w:val="single" w:sz="4" w:space="0" w:color="auto"/>
              <w:left w:val="single" w:sz="4" w:space="0" w:color="auto"/>
              <w:right w:val="single" w:sz="4" w:space="0" w:color="auto"/>
            </w:tcBorders>
            <w:shd w:val="clear" w:color="auto" w:fill="auto"/>
            <w:vAlign w:val="center"/>
          </w:tcPr>
          <w:p w14:paraId="2F8893FF" w14:textId="325FDE1D" w:rsidR="007414B9" w:rsidRDefault="007E2CC3"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Deferred</w:t>
            </w:r>
          </w:p>
        </w:tc>
        <w:tc>
          <w:tcPr>
            <w:tcW w:w="2146" w:type="pct"/>
            <w:tcBorders>
              <w:top w:val="single" w:sz="4" w:space="0" w:color="auto"/>
            </w:tcBorders>
            <w:shd w:val="clear" w:color="auto" w:fill="auto"/>
            <w:vAlign w:val="center"/>
          </w:tcPr>
          <w:p w14:paraId="785FECA3" w14:textId="77777777" w:rsidR="006961DC" w:rsidRDefault="007E2CC3" w:rsidP="00F82E86">
            <w:pPr>
              <w:rPr>
                <w:rFonts w:ascii="Arial" w:hAnsi="Arial" w:cs="Arial"/>
                <w:color w:val="000000"/>
                <w:sz w:val="18"/>
                <w:szCs w:val="18"/>
              </w:rPr>
            </w:pPr>
            <w:r w:rsidRPr="007E2CC3">
              <w:rPr>
                <w:rFonts w:ascii="Arial" w:hAnsi="Arial" w:cs="Arial"/>
                <w:color w:val="000000"/>
                <w:sz w:val="18"/>
                <w:szCs w:val="18"/>
              </w:rPr>
              <w:t xml:space="preserve">The PBAC deferred making a recommendation for trastuzumab </w:t>
            </w:r>
            <w:proofErr w:type="spellStart"/>
            <w:r w:rsidRPr="007E2CC3">
              <w:rPr>
                <w:rFonts w:ascii="Arial" w:hAnsi="Arial" w:cs="Arial"/>
                <w:color w:val="000000"/>
                <w:sz w:val="18"/>
                <w:szCs w:val="18"/>
              </w:rPr>
              <w:t>deruxtecan</w:t>
            </w:r>
            <w:proofErr w:type="spellEnd"/>
            <w:r w:rsidRPr="007E2CC3">
              <w:rPr>
                <w:rFonts w:ascii="Arial" w:hAnsi="Arial" w:cs="Arial"/>
                <w:color w:val="000000"/>
                <w:sz w:val="18"/>
                <w:szCs w:val="18"/>
              </w:rPr>
              <w:t xml:space="preserve"> </w:t>
            </w:r>
          </w:p>
          <w:p w14:paraId="6D66215A" w14:textId="485BCD02" w:rsidR="007414B9" w:rsidRDefault="007E2CC3" w:rsidP="00F82E86">
            <w:pPr>
              <w:spacing w:after="240"/>
              <w:rPr>
                <w:rFonts w:ascii="Arial" w:hAnsi="Arial" w:cs="Arial"/>
                <w:color w:val="000000"/>
                <w:sz w:val="18"/>
                <w:szCs w:val="18"/>
              </w:rPr>
            </w:pPr>
            <w:r w:rsidRPr="007E2CC3">
              <w:rPr>
                <w:rFonts w:ascii="Arial" w:hAnsi="Arial" w:cs="Arial"/>
                <w:color w:val="000000"/>
                <w:sz w:val="18"/>
                <w:szCs w:val="18"/>
              </w:rPr>
              <w:t>(T-</w:t>
            </w:r>
            <w:proofErr w:type="spellStart"/>
            <w:r w:rsidRPr="007E2CC3">
              <w:rPr>
                <w:rFonts w:ascii="Arial" w:hAnsi="Arial" w:cs="Arial"/>
                <w:color w:val="000000"/>
                <w:sz w:val="18"/>
                <w:szCs w:val="18"/>
              </w:rPr>
              <w:t>DXd</w:t>
            </w:r>
            <w:proofErr w:type="spellEnd"/>
            <w:r w:rsidRPr="007E2CC3">
              <w:rPr>
                <w:rFonts w:ascii="Arial" w:hAnsi="Arial" w:cs="Arial"/>
                <w:color w:val="000000"/>
                <w:sz w:val="18"/>
                <w:szCs w:val="18"/>
              </w:rPr>
              <w:t>) for the treatment of HER2 positive metastatic breast cancer for patients who have progressed following a prior HER2 directed therapy for metastatic disease, or relapsed during or within 6 months of receiving adjuvant HER2 directed therapy. In deciding to defer making a recommendation, the PBAC noted that further consultation with the sponsor regarding the cost-effectiveness of T-</w:t>
            </w:r>
            <w:proofErr w:type="spellStart"/>
            <w:r w:rsidRPr="007E2CC3">
              <w:rPr>
                <w:rFonts w:ascii="Arial" w:hAnsi="Arial" w:cs="Arial"/>
                <w:color w:val="000000"/>
                <w:sz w:val="18"/>
                <w:szCs w:val="18"/>
              </w:rPr>
              <w:t>DXd</w:t>
            </w:r>
            <w:proofErr w:type="spellEnd"/>
            <w:r w:rsidRPr="007E2CC3">
              <w:rPr>
                <w:rFonts w:ascii="Arial" w:hAnsi="Arial" w:cs="Arial"/>
                <w:color w:val="000000"/>
                <w:sz w:val="18"/>
                <w:szCs w:val="18"/>
              </w:rPr>
              <w:t xml:space="preserve"> would be required, along with revised financial estimates.</w:t>
            </w:r>
          </w:p>
          <w:p w14:paraId="021A59E8" w14:textId="77777777" w:rsidR="003832C3" w:rsidRDefault="003832C3" w:rsidP="003832C3">
            <w:pPr>
              <w:rPr>
                <w:rFonts w:ascii="Arial" w:hAnsi="Arial" w:cs="Arial"/>
                <w:snapToGrid w:val="0"/>
                <w:sz w:val="18"/>
                <w:szCs w:val="18"/>
                <w:u w:val="single"/>
                <w:lang w:eastAsia="en-US"/>
              </w:rPr>
            </w:pPr>
            <w:r>
              <w:rPr>
                <w:rFonts w:ascii="Arial" w:hAnsi="Arial" w:cs="Arial"/>
                <w:snapToGrid w:val="0"/>
                <w:sz w:val="18"/>
                <w:szCs w:val="18"/>
                <w:u w:val="single"/>
                <w:lang w:eastAsia="en-US"/>
              </w:rPr>
              <w:t>Sponsor Comment:</w:t>
            </w:r>
          </w:p>
          <w:p w14:paraId="25A25E87" w14:textId="29073751" w:rsidR="003832C3" w:rsidRPr="003E3EC0" w:rsidRDefault="006B386D" w:rsidP="00C16C4B">
            <w:pPr>
              <w:spacing w:after="120"/>
              <w:rPr>
                <w:rFonts w:ascii="Arial" w:hAnsi="Arial" w:cs="Arial"/>
                <w:color w:val="000000"/>
                <w:sz w:val="18"/>
                <w:szCs w:val="18"/>
              </w:rPr>
            </w:pPr>
            <w:r>
              <w:rPr>
                <w:rFonts w:ascii="Arial" w:hAnsi="Arial" w:cs="Arial"/>
                <w:snapToGrid w:val="0"/>
                <w:sz w:val="18"/>
                <w:szCs w:val="18"/>
                <w:lang w:eastAsia="en-US"/>
              </w:rPr>
              <w:t>The sponsor had no comment.</w:t>
            </w:r>
          </w:p>
        </w:tc>
      </w:tr>
    </w:tbl>
    <w:p w14:paraId="4081BEC2" w14:textId="635180E2" w:rsidR="00AC2F56" w:rsidRPr="001D4E5E" w:rsidRDefault="00AC2F56">
      <w:pPr>
        <w:rPr>
          <w:rFonts w:asciiTheme="minorHAnsi" w:hAnsiTheme="minorHAnsi" w:cstheme="minorHAnsi"/>
          <w:sz w:val="18"/>
          <w:szCs w:val="18"/>
          <w:lang w:val="en-US"/>
        </w:rPr>
      </w:pPr>
    </w:p>
    <w:p w14:paraId="50C821D7" w14:textId="55F695CA" w:rsidR="003835EB" w:rsidRDefault="003835EB">
      <w:pPr>
        <w:rPr>
          <w:rFonts w:asciiTheme="minorHAnsi" w:hAnsiTheme="minorHAnsi" w:cstheme="minorHAnsi"/>
          <w:sz w:val="18"/>
          <w:szCs w:val="18"/>
          <w:lang w:val="en-US"/>
        </w:rPr>
      </w:pPr>
      <w:r>
        <w:rPr>
          <w:rFonts w:asciiTheme="minorHAnsi" w:hAnsiTheme="minorHAnsi" w:cstheme="minorHAnsi"/>
          <w:sz w:val="18"/>
          <w:szCs w:val="18"/>
          <w:lang w:val="en-US"/>
        </w:rPr>
        <w:br w:type="page"/>
      </w:r>
    </w:p>
    <w:p w14:paraId="3DCF312E" w14:textId="51DED862" w:rsidR="00ED6AE3" w:rsidRDefault="00ED6AE3">
      <w:pPr>
        <w:rPr>
          <w:rFonts w:ascii="Arial" w:hAnsi="Arial" w:cs="Arial"/>
          <w:i/>
          <w:iCs/>
          <w:sz w:val="18"/>
          <w:szCs w:val="18"/>
        </w:rPr>
      </w:pPr>
      <w:r>
        <w:rPr>
          <w:rFonts w:ascii="Arial" w:hAnsi="Arial" w:cs="Arial"/>
          <w:i/>
          <w:iCs/>
          <w:sz w:val="18"/>
          <w:szCs w:val="18"/>
        </w:rPr>
        <w:lastRenderedPageBreak/>
        <w:t>Non-s</w:t>
      </w:r>
      <w:r w:rsidRPr="00ED6AE3">
        <w:rPr>
          <w:rFonts w:ascii="Arial" w:hAnsi="Arial" w:cs="Arial"/>
          <w:i/>
          <w:iCs/>
          <w:sz w:val="18"/>
          <w:szCs w:val="18"/>
        </w:rPr>
        <w:t>ubmission items</w:t>
      </w:r>
    </w:p>
    <w:p w14:paraId="305BBCEA" w14:textId="77777777" w:rsidR="00ED6AE3" w:rsidRDefault="00ED6AE3">
      <w:pPr>
        <w:rPr>
          <w:rFonts w:asciiTheme="minorHAnsi" w:hAnsiTheme="minorHAnsi" w:cstheme="minorHAnsi"/>
          <w:sz w:val="18"/>
          <w:szCs w:val="18"/>
          <w:lang w:val="en-US"/>
        </w:rPr>
      </w:pPr>
    </w:p>
    <w:tbl>
      <w:tblPr>
        <w:tblW w:w="5003" w:type="pct"/>
        <w:tblLayout w:type="fixed"/>
        <w:tblLook w:val="04A0" w:firstRow="1" w:lastRow="0" w:firstColumn="1" w:lastColumn="0" w:noHBand="0" w:noVBand="1"/>
      </w:tblPr>
      <w:tblGrid>
        <w:gridCol w:w="2688"/>
        <w:gridCol w:w="1700"/>
        <w:gridCol w:w="2691"/>
        <w:gridCol w:w="1703"/>
        <w:gridCol w:w="6615"/>
      </w:tblGrid>
      <w:tr w:rsidR="003835EB" w:rsidRPr="00A159CA" w14:paraId="6ADE83BF" w14:textId="77777777" w:rsidTr="00EF74BA">
        <w:trPr>
          <w:cantSplit/>
          <w:trHeight w:val="58"/>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14:paraId="5E0B65F2" w14:textId="77777777" w:rsidR="003835EB" w:rsidRPr="00A159CA" w:rsidRDefault="003835EB" w:rsidP="00442D9F">
            <w:pPr>
              <w:keepLines/>
              <w:widowControl w:val="0"/>
              <w:spacing w:after="120"/>
              <w:jc w:val="center"/>
              <w:rPr>
                <w:rFonts w:ascii="Arial" w:hAnsi="Arial" w:cs="Arial"/>
                <w:b/>
                <w:sz w:val="18"/>
                <w:szCs w:val="18"/>
              </w:rPr>
            </w:pPr>
            <w:bookmarkStart w:id="0" w:name="_Hlk84500855"/>
            <w:r w:rsidRPr="00A159CA">
              <w:rPr>
                <w:rFonts w:ascii="Arial" w:hAnsi="Arial" w:cs="Arial"/>
                <w:b/>
                <w:sz w:val="18"/>
                <w:szCs w:val="18"/>
              </w:rPr>
              <w:t>DRUG NAME, FORM(S), STRENGTH(S), SPONSOR, TYPE OF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7652D7AB" w14:textId="77777777" w:rsidR="003835EB" w:rsidRPr="00A159CA" w:rsidRDefault="003835EB" w:rsidP="00442D9F">
            <w:pPr>
              <w:keepLines/>
              <w:widowControl w:val="0"/>
              <w:spacing w:after="120"/>
              <w:jc w:val="center"/>
              <w:rPr>
                <w:rFonts w:ascii="Arial" w:hAnsi="Arial" w:cs="Arial"/>
                <w:b/>
                <w:sz w:val="18"/>
                <w:szCs w:val="18"/>
              </w:rPr>
            </w:pPr>
            <w:r w:rsidRPr="00A159CA">
              <w:rPr>
                <w:rFonts w:ascii="Arial" w:hAnsi="Arial" w:cs="Arial"/>
                <w:b/>
                <w:sz w:val="18"/>
                <w:szCs w:val="18"/>
              </w:rPr>
              <w:t>DRUG TYPE AND USE</w:t>
            </w:r>
          </w:p>
          <w:p w14:paraId="6328A465" w14:textId="77777777" w:rsidR="003835EB" w:rsidRPr="00A159CA" w:rsidRDefault="003835EB" w:rsidP="00442D9F">
            <w:pPr>
              <w:keepLines/>
              <w:widowControl w:val="0"/>
              <w:spacing w:after="120"/>
              <w:jc w:val="center"/>
              <w:rPr>
                <w:rFonts w:ascii="Arial" w:hAnsi="Arial" w:cs="Arial"/>
                <w:b/>
                <w:sz w:val="18"/>
                <w:szCs w:val="18"/>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29379879" w14:textId="77777777" w:rsidR="003835EB" w:rsidRPr="00A159CA" w:rsidRDefault="003835EB" w:rsidP="00442D9F">
            <w:pPr>
              <w:keepLines/>
              <w:widowControl w:val="0"/>
              <w:spacing w:after="120"/>
              <w:jc w:val="center"/>
              <w:rPr>
                <w:rFonts w:ascii="Arial" w:hAnsi="Arial" w:cs="Arial"/>
                <w:b/>
                <w:sz w:val="18"/>
                <w:szCs w:val="18"/>
              </w:rPr>
            </w:pPr>
            <w:r w:rsidRPr="00A159CA">
              <w:rPr>
                <w:rFonts w:ascii="Arial" w:hAnsi="Arial" w:cs="Arial"/>
                <w:b/>
                <w:sz w:val="18"/>
                <w:szCs w:val="18"/>
              </w:rPr>
              <w:t>LISTING REQUESTED BY SPONSOR / PURPOSE OF SUBMISSION</w:t>
            </w:r>
          </w:p>
        </w:tc>
        <w:tc>
          <w:tcPr>
            <w:tcW w:w="2701" w:type="pct"/>
            <w:gridSpan w:val="2"/>
            <w:tcBorders>
              <w:top w:val="single" w:sz="4" w:space="0" w:color="auto"/>
              <w:left w:val="single" w:sz="4" w:space="0" w:color="auto"/>
              <w:bottom w:val="single" w:sz="4" w:space="0" w:color="auto"/>
              <w:right w:val="single" w:sz="4" w:space="0" w:color="auto"/>
            </w:tcBorders>
            <w:shd w:val="clear" w:color="auto" w:fill="auto"/>
          </w:tcPr>
          <w:p w14:paraId="54E1355E" w14:textId="77777777" w:rsidR="003835EB" w:rsidRPr="00A159CA" w:rsidRDefault="003835EB" w:rsidP="00442D9F">
            <w:pPr>
              <w:keepLines/>
              <w:spacing w:after="120"/>
              <w:jc w:val="center"/>
              <w:rPr>
                <w:rFonts w:ascii="Arial" w:hAnsi="Arial" w:cs="Arial"/>
                <w:b/>
                <w:sz w:val="18"/>
                <w:szCs w:val="18"/>
              </w:rPr>
            </w:pPr>
            <w:r w:rsidRPr="00A159CA">
              <w:rPr>
                <w:rFonts w:ascii="Arial" w:hAnsi="Arial" w:cs="Arial"/>
                <w:b/>
                <w:sz w:val="18"/>
                <w:szCs w:val="18"/>
              </w:rPr>
              <w:t>PBAC OUTCOME</w:t>
            </w:r>
          </w:p>
          <w:p w14:paraId="5EC94810" w14:textId="77777777" w:rsidR="003835EB" w:rsidRPr="00A159CA" w:rsidRDefault="003835EB" w:rsidP="00442D9F">
            <w:pPr>
              <w:keepLines/>
              <w:spacing w:after="120"/>
              <w:jc w:val="center"/>
              <w:rPr>
                <w:rFonts w:ascii="Arial" w:hAnsi="Arial" w:cs="Arial"/>
                <w:b/>
                <w:sz w:val="18"/>
                <w:szCs w:val="18"/>
              </w:rPr>
            </w:pPr>
          </w:p>
        </w:tc>
      </w:tr>
      <w:tr w:rsidR="00EF74BA" w:rsidRPr="00D2401D" w14:paraId="44EDF77D" w14:textId="77777777" w:rsidTr="00F82E86">
        <w:trPr>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E7CC9A8" w14:textId="77777777" w:rsidR="00EF74BA" w:rsidRDefault="004C1552" w:rsidP="0087764A">
            <w:pPr>
              <w:rPr>
                <w:rFonts w:ascii="Arial" w:hAnsi="Arial" w:cs="Arial"/>
                <w:sz w:val="18"/>
                <w:szCs w:val="18"/>
              </w:rPr>
            </w:pPr>
            <w:r>
              <w:rPr>
                <w:rFonts w:ascii="Arial" w:hAnsi="Arial" w:cs="Arial"/>
                <w:sz w:val="18"/>
                <w:szCs w:val="18"/>
              </w:rPr>
              <w:t xml:space="preserve">HUMAN PAPILLOMAVIRUS (HPV) VACCINE ON THE NATIONAL IMMUNISATION PROGRAM (NIP) </w:t>
            </w:r>
          </w:p>
          <w:p w14:paraId="0E05E376" w14:textId="77777777" w:rsidR="004C1552" w:rsidRDefault="004C1552" w:rsidP="0087764A">
            <w:pPr>
              <w:rPr>
                <w:rFonts w:ascii="Arial" w:hAnsi="Arial" w:cs="Arial"/>
                <w:sz w:val="18"/>
                <w:szCs w:val="18"/>
              </w:rPr>
            </w:pPr>
          </w:p>
          <w:p w14:paraId="334C9EC7" w14:textId="77777777" w:rsidR="004C1552" w:rsidRDefault="00DA4E0B" w:rsidP="0087764A">
            <w:pPr>
              <w:rPr>
                <w:rFonts w:ascii="Arial" w:hAnsi="Arial" w:cs="Arial"/>
                <w:sz w:val="18"/>
                <w:szCs w:val="18"/>
              </w:rPr>
            </w:pPr>
            <w:r>
              <w:rPr>
                <w:rFonts w:ascii="Arial" w:hAnsi="Arial" w:cs="Arial"/>
                <w:sz w:val="18"/>
                <w:szCs w:val="18"/>
              </w:rPr>
              <w:t>HUMAN PAPILLOMAVIRUS 9-VALENT VACCINE</w:t>
            </w:r>
          </w:p>
          <w:p w14:paraId="049E656E" w14:textId="77777777" w:rsidR="00DA4E0B" w:rsidRDefault="00DA4E0B" w:rsidP="0087764A">
            <w:pPr>
              <w:rPr>
                <w:rFonts w:ascii="Arial" w:hAnsi="Arial" w:cs="Arial"/>
                <w:sz w:val="18"/>
                <w:szCs w:val="18"/>
              </w:rPr>
            </w:pPr>
          </w:p>
          <w:p w14:paraId="155C65EE" w14:textId="77777777" w:rsidR="00DA4E0B" w:rsidRDefault="00DA4E0B" w:rsidP="0087764A">
            <w:pPr>
              <w:rPr>
                <w:rFonts w:ascii="Arial" w:hAnsi="Arial" w:cs="Arial"/>
                <w:sz w:val="18"/>
                <w:szCs w:val="18"/>
              </w:rPr>
            </w:pPr>
            <w:r>
              <w:rPr>
                <w:rFonts w:ascii="Arial" w:hAnsi="Arial" w:cs="Arial"/>
                <w:sz w:val="18"/>
                <w:szCs w:val="18"/>
              </w:rPr>
              <w:t>Injection 0.5 mL pre-filled syringe</w:t>
            </w:r>
          </w:p>
          <w:p w14:paraId="0062223A" w14:textId="77777777" w:rsidR="00DA4E0B" w:rsidRDefault="00DA4E0B" w:rsidP="0087764A">
            <w:pPr>
              <w:rPr>
                <w:rFonts w:ascii="Arial" w:hAnsi="Arial" w:cs="Arial"/>
                <w:sz w:val="18"/>
                <w:szCs w:val="18"/>
              </w:rPr>
            </w:pPr>
          </w:p>
          <w:p w14:paraId="2831EF3A" w14:textId="77777777" w:rsidR="00DA4E0B" w:rsidRDefault="00DA4E0B" w:rsidP="0087764A">
            <w:pPr>
              <w:rPr>
                <w:rFonts w:ascii="Arial" w:hAnsi="Arial" w:cs="Arial"/>
                <w:sz w:val="18"/>
                <w:szCs w:val="18"/>
              </w:rPr>
            </w:pPr>
            <w:r>
              <w:rPr>
                <w:rFonts w:ascii="Arial" w:hAnsi="Arial" w:cs="Arial"/>
                <w:sz w:val="18"/>
                <w:szCs w:val="18"/>
              </w:rPr>
              <w:t>Gardasil</w:t>
            </w:r>
            <w:r w:rsidRPr="00DA4E0B">
              <w:rPr>
                <w:rFonts w:ascii="Arial" w:hAnsi="Arial" w:cs="Arial"/>
                <w:sz w:val="18"/>
                <w:szCs w:val="18"/>
                <w:vertAlign w:val="superscript"/>
              </w:rPr>
              <w:t>®</w:t>
            </w:r>
            <w:r>
              <w:rPr>
                <w:rFonts w:ascii="Arial" w:hAnsi="Arial" w:cs="Arial"/>
                <w:sz w:val="18"/>
                <w:szCs w:val="18"/>
              </w:rPr>
              <w:t>9</w:t>
            </w:r>
          </w:p>
          <w:p w14:paraId="5FB101A3" w14:textId="77777777" w:rsidR="00DA4E0B" w:rsidRDefault="00DA4E0B" w:rsidP="0087764A">
            <w:pPr>
              <w:rPr>
                <w:rFonts w:ascii="Arial" w:hAnsi="Arial" w:cs="Arial"/>
                <w:sz w:val="18"/>
                <w:szCs w:val="18"/>
              </w:rPr>
            </w:pPr>
          </w:p>
          <w:p w14:paraId="6A716A70" w14:textId="77777777" w:rsidR="00DA4E0B" w:rsidRDefault="00DA4E0B" w:rsidP="0087764A">
            <w:pPr>
              <w:rPr>
                <w:rFonts w:ascii="Arial" w:hAnsi="Arial" w:cs="Arial"/>
                <w:sz w:val="18"/>
                <w:szCs w:val="18"/>
              </w:rPr>
            </w:pPr>
            <w:r>
              <w:rPr>
                <w:rFonts w:ascii="Arial" w:hAnsi="Arial" w:cs="Arial"/>
                <w:sz w:val="18"/>
                <w:szCs w:val="18"/>
              </w:rPr>
              <w:t>Seqirus (Australia) Pty Ltd</w:t>
            </w:r>
          </w:p>
          <w:p w14:paraId="432773B6" w14:textId="77777777" w:rsidR="00DA4E0B" w:rsidRDefault="00DA4E0B" w:rsidP="0087764A">
            <w:pPr>
              <w:rPr>
                <w:rFonts w:ascii="Arial" w:hAnsi="Arial" w:cs="Arial"/>
                <w:sz w:val="18"/>
                <w:szCs w:val="18"/>
              </w:rPr>
            </w:pPr>
          </w:p>
          <w:p w14:paraId="440ECE84" w14:textId="1631F1B5" w:rsidR="00DA4E0B" w:rsidRPr="00D2401D" w:rsidRDefault="00DA4E0B" w:rsidP="0087764A">
            <w:pPr>
              <w:rPr>
                <w:rFonts w:ascii="Arial" w:hAnsi="Arial" w:cs="Arial"/>
                <w:sz w:val="18"/>
                <w:szCs w:val="18"/>
              </w:rPr>
            </w:pPr>
            <w:r>
              <w:rPr>
                <w:rFonts w:ascii="Arial" w:hAnsi="Arial" w:cs="Arial"/>
                <w:sz w:val="18"/>
                <w:szCs w:val="18"/>
              </w:rPr>
              <w:t>(Change to listing)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7156AD5" w14:textId="799C8846" w:rsidR="00EF74BA" w:rsidRDefault="00DA4E0B" w:rsidP="00952ADE">
            <w:pPr>
              <w:keepLines/>
              <w:widowControl w:val="0"/>
              <w:spacing w:after="120"/>
              <w:jc w:val="center"/>
              <w:rPr>
                <w:rFonts w:ascii="Arial" w:hAnsi="Arial" w:cs="Arial"/>
                <w:sz w:val="18"/>
                <w:szCs w:val="18"/>
              </w:rPr>
            </w:pPr>
            <w:r w:rsidRPr="00DA4E0B">
              <w:rPr>
                <w:rFonts w:ascii="Arial" w:hAnsi="Arial" w:cs="Arial"/>
                <w:sz w:val="18"/>
                <w:szCs w:val="18"/>
              </w:rPr>
              <w:t>Prevention of infection caused by HPV types 6, 11, 16, 18, 31, 33, 45, 52 and 58</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BB02ECA" w14:textId="5580F2B0" w:rsidR="00EF74BA" w:rsidRPr="006A1809" w:rsidRDefault="00DA4E0B" w:rsidP="006A1809">
            <w:pPr>
              <w:keepLines/>
              <w:widowControl w:val="0"/>
              <w:spacing w:after="120"/>
              <w:rPr>
                <w:rFonts w:ascii="Arial" w:hAnsi="Arial" w:cs="Arial"/>
                <w:snapToGrid w:val="0"/>
                <w:sz w:val="18"/>
                <w:szCs w:val="18"/>
                <w:lang w:eastAsia="en-US"/>
              </w:rPr>
            </w:pPr>
            <w:r w:rsidRPr="00DA4E0B">
              <w:rPr>
                <w:rFonts w:ascii="Arial" w:hAnsi="Arial" w:cs="Arial"/>
                <w:snapToGrid w:val="0"/>
                <w:sz w:val="18"/>
                <w:szCs w:val="18"/>
                <w:lang w:eastAsia="en-US"/>
              </w:rPr>
              <w:t xml:space="preserve">To consider a variation to the NIP listing of Gardasil 9 from </w:t>
            </w:r>
            <w:r w:rsidR="00CC5451">
              <w:rPr>
                <w:rFonts w:ascii="Arial" w:hAnsi="Arial" w:cs="Arial"/>
                <w:snapToGrid w:val="0"/>
                <w:sz w:val="18"/>
                <w:szCs w:val="18"/>
                <w:lang w:eastAsia="en-US"/>
              </w:rPr>
              <w:t>2</w:t>
            </w:r>
            <w:r w:rsidR="00CC5451" w:rsidRPr="00DA4E0B">
              <w:rPr>
                <w:rFonts w:ascii="Arial" w:hAnsi="Arial" w:cs="Arial"/>
                <w:snapToGrid w:val="0"/>
                <w:sz w:val="18"/>
                <w:szCs w:val="18"/>
                <w:lang w:eastAsia="en-US"/>
              </w:rPr>
              <w:t xml:space="preserve"> </w:t>
            </w:r>
            <w:r w:rsidRPr="00DA4E0B">
              <w:rPr>
                <w:rFonts w:ascii="Arial" w:hAnsi="Arial" w:cs="Arial"/>
                <w:snapToGrid w:val="0"/>
                <w:sz w:val="18"/>
                <w:szCs w:val="18"/>
                <w:lang w:eastAsia="en-US"/>
              </w:rPr>
              <w:t xml:space="preserve">doses to </w:t>
            </w:r>
            <w:r w:rsidR="00CC5451">
              <w:rPr>
                <w:rFonts w:ascii="Arial" w:hAnsi="Arial" w:cs="Arial"/>
                <w:snapToGrid w:val="0"/>
                <w:sz w:val="18"/>
                <w:szCs w:val="18"/>
                <w:lang w:eastAsia="en-US"/>
              </w:rPr>
              <w:t>1</w:t>
            </w:r>
            <w:r w:rsidR="00CC5451" w:rsidRPr="00DA4E0B">
              <w:rPr>
                <w:rFonts w:ascii="Arial" w:hAnsi="Arial" w:cs="Arial"/>
                <w:snapToGrid w:val="0"/>
                <w:sz w:val="18"/>
                <w:szCs w:val="18"/>
                <w:lang w:eastAsia="en-US"/>
              </w:rPr>
              <w:t xml:space="preserve"> </w:t>
            </w:r>
            <w:r w:rsidRPr="00DA4E0B">
              <w:rPr>
                <w:rFonts w:ascii="Arial" w:hAnsi="Arial" w:cs="Arial"/>
                <w:snapToGrid w:val="0"/>
                <w:sz w:val="18"/>
                <w:szCs w:val="18"/>
                <w:lang w:eastAsia="en-US"/>
              </w:rPr>
              <w:t>dose for the adolescent vaccination program and to extend the upper age limit for catch up vaccination</w:t>
            </w:r>
            <w:r>
              <w:rPr>
                <w:rFonts w:ascii="Arial" w:hAnsi="Arial" w:cs="Arial"/>
                <w:snapToGrid w:val="0"/>
                <w:sz w:val="18"/>
                <w:szCs w:val="18"/>
                <w:lang w:eastAsia="en-US"/>
              </w:rPr>
              <w: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197F177" w14:textId="46F3E0B9" w:rsidR="00EF74BA" w:rsidRDefault="00DA4E0B" w:rsidP="00952ADE">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05C3E4B" w14:textId="30858574" w:rsidR="00DA4E0B" w:rsidRPr="00DA4E0B" w:rsidRDefault="00DA4E0B" w:rsidP="00DA4E0B">
            <w:pPr>
              <w:keepLines/>
              <w:spacing w:after="120"/>
              <w:rPr>
                <w:rFonts w:ascii="Arial" w:hAnsi="Arial" w:cs="Arial"/>
                <w:color w:val="000000"/>
                <w:sz w:val="18"/>
                <w:szCs w:val="21"/>
                <w:shd w:val="clear" w:color="auto" w:fill="FFFFFF"/>
              </w:rPr>
            </w:pPr>
            <w:r w:rsidRPr="00DA4E0B">
              <w:rPr>
                <w:rFonts w:ascii="Arial" w:hAnsi="Arial" w:cs="Arial"/>
                <w:color w:val="000000"/>
                <w:sz w:val="18"/>
                <w:szCs w:val="21"/>
                <w:shd w:val="clear" w:color="auto" w:fill="FFFFFF"/>
              </w:rPr>
              <w:t xml:space="preserve">The PBAC recommended a change to the circumstances under which the human papillomavirus 9-valent (9vHPV) vaccine is made available as a designated vaccine for the purposes of the </w:t>
            </w:r>
            <w:r w:rsidRPr="00F82E86">
              <w:rPr>
                <w:rFonts w:ascii="Arial" w:hAnsi="Arial" w:cs="Arial"/>
                <w:i/>
                <w:iCs/>
                <w:color w:val="000000"/>
                <w:sz w:val="18"/>
                <w:szCs w:val="21"/>
                <w:shd w:val="clear" w:color="auto" w:fill="FFFFFF"/>
              </w:rPr>
              <w:t>National Health Act 1953</w:t>
            </w:r>
            <w:r w:rsidRPr="00DA4E0B">
              <w:rPr>
                <w:rFonts w:ascii="Arial" w:hAnsi="Arial" w:cs="Arial"/>
                <w:color w:val="000000"/>
                <w:sz w:val="18"/>
                <w:szCs w:val="21"/>
                <w:shd w:val="clear" w:color="auto" w:fill="FFFFFF"/>
              </w:rPr>
              <w:t xml:space="preserve"> based on a request for advice that was initiated by the Chief Medical Officer of the Department of Health and Aged Care. The PBAC recommended that the NIP listing of 9vHPV vaccine be changed from </w:t>
            </w:r>
            <w:r w:rsidR="00CC5451">
              <w:rPr>
                <w:rFonts w:ascii="Arial" w:hAnsi="Arial" w:cs="Arial"/>
                <w:color w:val="000000"/>
                <w:sz w:val="18"/>
                <w:szCs w:val="21"/>
                <w:shd w:val="clear" w:color="auto" w:fill="FFFFFF"/>
              </w:rPr>
              <w:t>2</w:t>
            </w:r>
            <w:r w:rsidR="00CC5451" w:rsidRPr="00DA4E0B">
              <w:rPr>
                <w:rFonts w:ascii="Arial" w:hAnsi="Arial" w:cs="Arial"/>
                <w:color w:val="000000"/>
                <w:sz w:val="18"/>
                <w:szCs w:val="21"/>
                <w:shd w:val="clear" w:color="auto" w:fill="FFFFFF"/>
              </w:rPr>
              <w:t xml:space="preserve"> </w:t>
            </w:r>
            <w:r w:rsidRPr="00DA4E0B">
              <w:rPr>
                <w:rFonts w:ascii="Arial" w:hAnsi="Arial" w:cs="Arial"/>
                <w:color w:val="000000"/>
                <w:sz w:val="18"/>
                <w:szCs w:val="21"/>
                <w:shd w:val="clear" w:color="auto" w:fill="FFFFFF"/>
              </w:rPr>
              <w:t xml:space="preserve">doses to </w:t>
            </w:r>
            <w:r w:rsidR="00CC5451">
              <w:rPr>
                <w:rFonts w:ascii="Arial" w:hAnsi="Arial" w:cs="Arial"/>
                <w:color w:val="000000"/>
                <w:sz w:val="18"/>
                <w:szCs w:val="21"/>
                <w:shd w:val="clear" w:color="auto" w:fill="FFFFFF"/>
              </w:rPr>
              <w:t>1</w:t>
            </w:r>
            <w:r w:rsidR="00CC5451" w:rsidRPr="00DA4E0B">
              <w:rPr>
                <w:rFonts w:ascii="Arial" w:hAnsi="Arial" w:cs="Arial"/>
                <w:color w:val="000000"/>
                <w:sz w:val="18"/>
                <w:szCs w:val="21"/>
                <w:shd w:val="clear" w:color="auto" w:fill="FFFFFF"/>
              </w:rPr>
              <w:t xml:space="preserve"> </w:t>
            </w:r>
            <w:r w:rsidRPr="00DA4E0B">
              <w:rPr>
                <w:rFonts w:ascii="Arial" w:hAnsi="Arial" w:cs="Arial"/>
                <w:color w:val="000000"/>
                <w:sz w:val="18"/>
                <w:szCs w:val="21"/>
                <w:shd w:val="clear" w:color="auto" w:fill="FFFFFF"/>
              </w:rPr>
              <w:t xml:space="preserve">dose for the adolescent vaccination program and that the upper age limit for catch up vaccination be updated from 20 years to 25 years. </w:t>
            </w:r>
          </w:p>
          <w:p w14:paraId="0C2D927E" w14:textId="63114E31" w:rsidR="00DA4E0B" w:rsidRPr="00DA4E0B" w:rsidRDefault="00DA4E0B" w:rsidP="00DA4E0B">
            <w:pPr>
              <w:keepLines/>
              <w:spacing w:after="120"/>
              <w:rPr>
                <w:rFonts w:ascii="Arial" w:hAnsi="Arial" w:cs="Arial"/>
                <w:color w:val="000000"/>
                <w:sz w:val="18"/>
                <w:szCs w:val="21"/>
                <w:shd w:val="clear" w:color="auto" w:fill="FFFFFF"/>
              </w:rPr>
            </w:pPr>
            <w:r w:rsidRPr="00DA4E0B">
              <w:rPr>
                <w:rFonts w:ascii="Arial" w:hAnsi="Arial" w:cs="Arial"/>
                <w:color w:val="000000"/>
                <w:sz w:val="18"/>
                <w:szCs w:val="21"/>
                <w:shd w:val="clear" w:color="auto" w:fill="FFFFFF"/>
              </w:rPr>
              <w:t>The PBAC noted the advice of the Australian Technical Advisory Group on Immunisation (ATAGI) regarding the likely non-inferior efficacy of a single dose of 9vHPV vaccine compared to 2</w:t>
            </w:r>
            <w:r w:rsidR="00CC5451">
              <w:rPr>
                <w:rFonts w:ascii="Arial" w:hAnsi="Arial" w:cs="Arial"/>
                <w:color w:val="000000"/>
                <w:sz w:val="18"/>
                <w:szCs w:val="21"/>
                <w:shd w:val="clear" w:color="auto" w:fill="FFFFFF"/>
              </w:rPr>
              <w:t xml:space="preserve"> </w:t>
            </w:r>
            <w:r w:rsidRPr="00DA4E0B">
              <w:rPr>
                <w:rFonts w:ascii="Arial" w:hAnsi="Arial" w:cs="Arial"/>
                <w:color w:val="000000"/>
                <w:sz w:val="18"/>
                <w:szCs w:val="21"/>
                <w:shd w:val="clear" w:color="auto" w:fill="FFFFFF"/>
              </w:rPr>
              <w:t xml:space="preserve">doses in immunocompetent adolescents aligned with recommendations made by the World Health Organization Strategic Advisory Group of Experts on Immunization and the United Kingdom’s Joint Committee on Vaccination and Immunisation. </w:t>
            </w:r>
            <w:r w:rsidR="00685586">
              <w:rPr>
                <w:rFonts w:ascii="Arial" w:hAnsi="Arial" w:cs="Arial"/>
                <w:color w:val="000000"/>
                <w:sz w:val="18"/>
                <w:szCs w:val="21"/>
                <w:shd w:val="clear" w:color="auto" w:fill="FFFFFF"/>
              </w:rPr>
              <w:t xml:space="preserve">The </w:t>
            </w:r>
            <w:r w:rsidRPr="00DA4E0B">
              <w:rPr>
                <w:rFonts w:ascii="Arial" w:hAnsi="Arial" w:cs="Arial"/>
                <w:color w:val="000000"/>
                <w:sz w:val="18"/>
                <w:szCs w:val="21"/>
                <w:shd w:val="clear" w:color="auto" w:fill="FFFFFF"/>
              </w:rPr>
              <w:t xml:space="preserve">ATAGI recommended that adolescents and adults aged up to 25 years who did not receive HPV vaccination during adolescence be eligible to receive a single dose of 9vHPV vaccine (previously up to age 19 years). The clinical impacts of not proceeding with the schedule change would mean people aged 20 to 25 years, who did not receive a funded HPV vaccine during adolescence, will not be eligible for a funded vaccine. </w:t>
            </w:r>
          </w:p>
          <w:p w14:paraId="49925CA9" w14:textId="080D5483" w:rsidR="00DA4E0B" w:rsidRPr="00DA4E0B" w:rsidRDefault="00DA4E0B" w:rsidP="00DA4E0B">
            <w:pPr>
              <w:keepLines/>
              <w:spacing w:after="120"/>
              <w:rPr>
                <w:rFonts w:ascii="Arial" w:hAnsi="Arial" w:cs="Arial"/>
                <w:color w:val="000000"/>
                <w:sz w:val="18"/>
                <w:szCs w:val="21"/>
                <w:shd w:val="clear" w:color="auto" w:fill="FFFFFF"/>
              </w:rPr>
            </w:pPr>
            <w:r w:rsidRPr="00DA4E0B">
              <w:rPr>
                <w:rFonts w:ascii="Arial" w:hAnsi="Arial" w:cs="Arial"/>
                <w:color w:val="000000"/>
                <w:sz w:val="18"/>
                <w:szCs w:val="21"/>
                <w:shd w:val="clear" w:color="auto" w:fill="FFFFFF"/>
              </w:rPr>
              <w:t xml:space="preserve">The PBAC noted the dissenting opinion of the sponsor with regards to implementing the proposed change, citing data immaturity and that a hasty move may jeopardise Australia’s long-term plans to eliminate HPV. However, the PBAC noted the ATAGI advice and available evidence and was reassured by the long-term immunogenicity studies of single versus multiple doses which demonstrated stabilised geometric mean concentrations out to 11 years. </w:t>
            </w:r>
          </w:p>
          <w:p w14:paraId="1A444FC7" w14:textId="026FC7EA" w:rsidR="00DA4E0B" w:rsidRPr="00DA4E0B" w:rsidRDefault="00DA4E0B" w:rsidP="00DA4E0B">
            <w:pPr>
              <w:keepLines/>
              <w:spacing w:after="120"/>
              <w:rPr>
                <w:rFonts w:ascii="Arial" w:hAnsi="Arial" w:cs="Arial"/>
                <w:color w:val="000000"/>
                <w:sz w:val="18"/>
                <w:szCs w:val="21"/>
                <w:shd w:val="clear" w:color="auto" w:fill="FFFFFF"/>
              </w:rPr>
            </w:pPr>
            <w:r w:rsidRPr="00DA4E0B">
              <w:rPr>
                <w:rFonts w:ascii="Arial" w:hAnsi="Arial" w:cs="Arial"/>
                <w:color w:val="000000"/>
                <w:sz w:val="18"/>
                <w:szCs w:val="21"/>
                <w:shd w:val="clear" w:color="auto" w:fill="FFFFFF"/>
              </w:rPr>
              <w:lastRenderedPageBreak/>
              <w:t>The PBAC advised that on the basis of presented clinical and immunogenicity data, a single dose schedule of 9vHPV is likely to be non-inferior in terms of effectiveness to 2 doses in the currently eligible population (12-19 years) and therefore likely to be cost effective (and cost saving) at the existing unit price of the 9vHPV vaccine. Similarly, the PBAC advised a single dose schedule of 9vHPV is likely to be non-inferior in terms of effectiveness to 2 doses and be cost-effective for immunocompetent individuals from 20-25 years. The PBAC considered that in terms of safety, a single dose of 9vHPV vaccine compared with two doses will likely reduce the number of mild-moderate short term adverse events expected after any vaccine dose.</w:t>
            </w:r>
          </w:p>
          <w:p w14:paraId="10FFEB2E" w14:textId="49B5577D" w:rsidR="00EF74BA" w:rsidRPr="001C4557" w:rsidRDefault="00DA4E0B" w:rsidP="00DA4E0B">
            <w:pPr>
              <w:keepLines/>
              <w:spacing w:after="120"/>
              <w:rPr>
                <w:rFonts w:ascii="Arial" w:hAnsi="Arial" w:cs="Arial"/>
                <w:color w:val="000000"/>
                <w:sz w:val="18"/>
                <w:szCs w:val="21"/>
                <w:shd w:val="clear" w:color="auto" w:fill="FFFFFF"/>
              </w:rPr>
            </w:pPr>
            <w:r w:rsidRPr="00DA4E0B">
              <w:rPr>
                <w:rFonts w:ascii="Arial" w:hAnsi="Arial" w:cs="Arial"/>
                <w:color w:val="000000"/>
                <w:sz w:val="18"/>
                <w:szCs w:val="21"/>
                <w:shd w:val="clear" w:color="auto" w:fill="FFFFFF"/>
              </w:rPr>
              <w:t>The PBAC acknowledged the public health value of achieving elimination of cervical cancer, and ATAGI's advice that a move to a one dose schedule will need to be supported by prospective monitoring against elimination goals, noting there is moderate residual risk in unvaccinated young people.</w:t>
            </w:r>
          </w:p>
        </w:tc>
      </w:tr>
      <w:bookmarkEnd w:id="0"/>
      <w:tr w:rsidR="00EF74BA" w:rsidRPr="00D2401D" w14:paraId="17B74272"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1B14258" w14:textId="77777777" w:rsidR="00EF74BA" w:rsidRDefault="00DA4E0B" w:rsidP="00952ADE">
            <w:pPr>
              <w:rPr>
                <w:rFonts w:ascii="Arial" w:hAnsi="Arial" w:cs="Arial"/>
                <w:sz w:val="18"/>
                <w:szCs w:val="18"/>
              </w:rPr>
            </w:pPr>
            <w:r>
              <w:rPr>
                <w:rFonts w:ascii="Arial" w:hAnsi="Arial" w:cs="Arial"/>
                <w:sz w:val="18"/>
                <w:szCs w:val="18"/>
              </w:rPr>
              <w:lastRenderedPageBreak/>
              <w:t>MIGALASTAT</w:t>
            </w:r>
          </w:p>
          <w:p w14:paraId="5B7D0BD1" w14:textId="77777777" w:rsidR="00DA4E0B" w:rsidRDefault="00DA4E0B" w:rsidP="00952ADE">
            <w:pPr>
              <w:rPr>
                <w:rFonts w:ascii="Arial" w:hAnsi="Arial" w:cs="Arial"/>
                <w:sz w:val="18"/>
                <w:szCs w:val="18"/>
              </w:rPr>
            </w:pPr>
          </w:p>
          <w:p w14:paraId="59BAAD22" w14:textId="77777777" w:rsidR="00DA4E0B" w:rsidRDefault="00DA4E0B" w:rsidP="00952ADE">
            <w:pPr>
              <w:rPr>
                <w:rFonts w:ascii="Arial" w:hAnsi="Arial" w:cs="Arial"/>
                <w:sz w:val="18"/>
                <w:szCs w:val="18"/>
              </w:rPr>
            </w:pPr>
            <w:r>
              <w:rPr>
                <w:rFonts w:ascii="Arial" w:hAnsi="Arial" w:cs="Arial"/>
                <w:sz w:val="18"/>
                <w:szCs w:val="18"/>
              </w:rPr>
              <w:t>Capsule containing migalastat hydrochloride 150 mg</w:t>
            </w:r>
          </w:p>
          <w:p w14:paraId="7747F4FF" w14:textId="77777777" w:rsidR="00DA4E0B" w:rsidRDefault="00DA4E0B" w:rsidP="00952ADE">
            <w:pPr>
              <w:rPr>
                <w:rFonts w:ascii="Arial" w:hAnsi="Arial" w:cs="Arial"/>
                <w:sz w:val="18"/>
                <w:szCs w:val="18"/>
              </w:rPr>
            </w:pPr>
          </w:p>
          <w:p w14:paraId="133FA9D5" w14:textId="77777777" w:rsidR="00DA4E0B" w:rsidRDefault="00DA4E0B" w:rsidP="00952ADE">
            <w:pPr>
              <w:rPr>
                <w:rFonts w:ascii="Arial" w:hAnsi="Arial" w:cs="Arial"/>
                <w:sz w:val="18"/>
                <w:szCs w:val="18"/>
                <w:vertAlign w:val="superscript"/>
              </w:rPr>
            </w:pPr>
            <w:proofErr w:type="spellStart"/>
            <w:r>
              <w:rPr>
                <w:rFonts w:ascii="Arial" w:hAnsi="Arial" w:cs="Arial"/>
                <w:sz w:val="18"/>
                <w:szCs w:val="18"/>
              </w:rPr>
              <w:t>Galafold</w:t>
            </w:r>
            <w:proofErr w:type="spellEnd"/>
            <w:r>
              <w:rPr>
                <w:rFonts w:ascii="Arial" w:hAnsi="Arial" w:cs="Arial"/>
                <w:sz w:val="18"/>
                <w:szCs w:val="18"/>
                <w:vertAlign w:val="superscript"/>
              </w:rPr>
              <w:t>®</w:t>
            </w:r>
          </w:p>
          <w:p w14:paraId="50B9B626" w14:textId="77777777" w:rsidR="00DA4E0B" w:rsidRDefault="00DA4E0B" w:rsidP="00952ADE">
            <w:pPr>
              <w:rPr>
                <w:rFonts w:ascii="Arial" w:hAnsi="Arial" w:cs="Arial"/>
                <w:sz w:val="18"/>
                <w:szCs w:val="18"/>
                <w:vertAlign w:val="superscript"/>
              </w:rPr>
            </w:pPr>
          </w:p>
          <w:p w14:paraId="7CE5A2F2" w14:textId="77777777" w:rsidR="00DA4E0B" w:rsidRDefault="00DA4E0B" w:rsidP="00952ADE">
            <w:pPr>
              <w:rPr>
                <w:rFonts w:ascii="Arial" w:hAnsi="Arial" w:cs="Arial"/>
                <w:sz w:val="18"/>
                <w:szCs w:val="18"/>
              </w:rPr>
            </w:pPr>
            <w:r>
              <w:rPr>
                <w:rFonts w:ascii="Arial" w:hAnsi="Arial" w:cs="Arial"/>
                <w:sz w:val="18"/>
                <w:szCs w:val="18"/>
              </w:rPr>
              <w:t>Amicus Therapeutics</w:t>
            </w:r>
          </w:p>
          <w:p w14:paraId="4328F451" w14:textId="77777777" w:rsidR="00DA4E0B" w:rsidRDefault="00DA4E0B" w:rsidP="00952ADE">
            <w:pPr>
              <w:rPr>
                <w:rFonts w:ascii="Arial" w:hAnsi="Arial" w:cs="Arial"/>
                <w:sz w:val="18"/>
                <w:szCs w:val="18"/>
              </w:rPr>
            </w:pPr>
          </w:p>
          <w:p w14:paraId="50550D79" w14:textId="14B323EE" w:rsidR="00DA4E0B" w:rsidRPr="00DA4E0B" w:rsidRDefault="00DA4E0B" w:rsidP="00952ADE">
            <w:pPr>
              <w:rPr>
                <w:rFonts w:ascii="Arial" w:hAnsi="Arial" w:cs="Arial"/>
                <w:sz w:val="18"/>
                <w:szCs w:val="18"/>
              </w:rPr>
            </w:pPr>
            <w:r>
              <w:rPr>
                <w:rFonts w:ascii="Arial" w:hAnsi="Arial" w:cs="Arial"/>
                <w:sz w:val="18"/>
                <w:szCs w:val="18"/>
              </w:rPr>
              <w:t>(New PBS listing)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9F2CC06" w14:textId="29F18D30" w:rsidR="00EF74BA" w:rsidRPr="006A1809" w:rsidRDefault="00DA4E0B" w:rsidP="00283D2B">
            <w:pPr>
              <w:keepLines/>
              <w:widowControl w:val="0"/>
              <w:spacing w:after="120"/>
              <w:jc w:val="center"/>
              <w:rPr>
                <w:rFonts w:ascii="Arial" w:hAnsi="Arial" w:cs="Arial"/>
                <w:snapToGrid w:val="0"/>
                <w:sz w:val="18"/>
                <w:szCs w:val="18"/>
                <w:lang w:eastAsia="en-US"/>
              </w:rPr>
            </w:pPr>
            <w:r w:rsidRPr="00DA4E0B">
              <w:rPr>
                <w:rFonts w:ascii="Arial" w:hAnsi="Arial" w:cs="Arial"/>
                <w:snapToGrid w:val="0"/>
                <w:sz w:val="18"/>
                <w:szCs w:val="18"/>
                <w:lang w:eastAsia="en-US"/>
              </w:rPr>
              <w:t xml:space="preserve">Fabry </w:t>
            </w:r>
            <w:r w:rsidR="008D598A">
              <w:rPr>
                <w:rFonts w:ascii="Arial" w:hAnsi="Arial" w:cs="Arial"/>
                <w:snapToGrid w:val="0"/>
                <w:sz w:val="18"/>
                <w:szCs w:val="18"/>
                <w:lang w:eastAsia="en-US"/>
              </w:rPr>
              <w:t>d</w:t>
            </w:r>
            <w:r w:rsidR="008D598A" w:rsidRPr="00DA4E0B">
              <w:rPr>
                <w:rFonts w:ascii="Arial" w:hAnsi="Arial" w:cs="Arial"/>
                <w:snapToGrid w:val="0"/>
                <w:sz w:val="18"/>
                <w:szCs w:val="18"/>
                <w:lang w:eastAsia="en-US"/>
              </w:rPr>
              <w:t>isease</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89DFB1" w14:textId="32C226AE" w:rsidR="00EF74BA" w:rsidRPr="006A1809" w:rsidRDefault="00DA4E0B" w:rsidP="006A1809">
            <w:pPr>
              <w:keepLines/>
              <w:widowControl w:val="0"/>
              <w:spacing w:after="120"/>
              <w:rPr>
                <w:rFonts w:ascii="Arial" w:hAnsi="Arial" w:cs="Arial"/>
                <w:snapToGrid w:val="0"/>
                <w:sz w:val="18"/>
                <w:szCs w:val="18"/>
                <w:lang w:eastAsia="en-US"/>
              </w:rPr>
            </w:pPr>
            <w:r w:rsidRPr="00DA4E0B">
              <w:rPr>
                <w:rFonts w:ascii="Arial" w:hAnsi="Arial" w:cs="Arial"/>
                <w:snapToGrid w:val="0"/>
                <w:sz w:val="18"/>
                <w:szCs w:val="18"/>
                <w:lang w:eastAsia="en-US"/>
              </w:rPr>
              <w:t xml:space="preserve">To consider the </w:t>
            </w:r>
            <w:r>
              <w:rPr>
                <w:rFonts w:ascii="Arial" w:hAnsi="Arial" w:cs="Arial"/>
                <w:snapToGrid w:val="0"/>
                <w:sz w:val="18"/>
                <w:szCs w:val="18"/>
                <w:lang w:eastAsia="en-US"/>
              </w:rPr>
              <w:t xml:space="preserve">PBS </w:t>
            </w:r>
            <w:r w:rsidRPr="00DA4E0B">
              <w:rPr>
                <w:rFonts w:ascii="Arial" w:hAnsi="Arial" w:cs="Arial"/>
                <w:snapToGrid w:val="0"/>
                <w:sz w:val="18"/>
                <w:szCs w:val="18"/>
                <w:lang w:eastAsia="en-US"/>
              </w:rPr>
              <w:t xml:space="preserve">listing of migalastat for the treatment of Fabry </w:t>
            </w:r>
            <w:r w:rsidR="008D598A">
              <w:rPr>
                <w:rFonts w:ascii="Arial" w:hAnsi="Arial" w:cs="Arial"/>
                <w:snapToGrid w:val="0"/>
                <w:sz w:val="18"/>
                <w:szCs w:val="18"/>
                <w:lang w:eastAsia="en-US"/>
              </w:rPr>
              <w:t>d</w:t>
            </w:r>
            <w:r w:rsidR="008D598A" w:rsidRPr="00DA4E0B">
              <w:rPr>
                <w:rFonts w:ascii="Arial" w:hAnsi="Arial" w:cs="Arial"/>
                <w:snapToGrid w:val="0"/>
                <w:sz w:val="18"/>
                <w:szCs w:val="18"/>
                <w:lang w:eastAsia="en-US"/>
              </w:rPr>
              <w:t>isease</w:t>
            </w:r>
            <w:r w:rsidR="00747FBF">
              <w:rPr>
                <w:rFonts w:ascii="Arial" w:hAnsi="Arial" w:cs="Arial"/>
                <w:snapToGrid w:val="0"/>
                <w:sz w:val="18"/>
                <w:szCs w:val="18"/>
                <w:lang w:eastAsia="en-US"/>
              </w:rPr>
              <w: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F9A2F22" w14:textId="3E5F42E5" w:rsidR="00EF74BA" w:rsidRPr="006A1809" w:rsidRDefault="00DA4E0B" w:rsidP="0032768B">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E575727" w14:textId="5D52BC8C" w:rsidR="00EF74BA" w:rsidRPr="006A1809" w:rsidRDefault="00DA4E0B" w:rsidP="0032768B">
            <w:pPr>
              <w:keepLines/>
              <w:spacing w:after="120"/>
              <w:rPr>
                <w:rFonts w:ascii="Arial" w:hAnsi="Arial" w:cs="Arial"/>
                <w:color w:val="000000"/>
                <w:sz w:val="18"/>
                <w:szCs w:val="21"/>
                <w:shd w:val="clear" w:color="auto" w:fill="FFFFFF"/>
              </w:rPr>
            </w:pPr>
            <w:r w:rsidRPr="00DA4E0B">
              <w:rPr>
                <w:rFonts w:ascii="Arial" w:hAnsi="Arial" w:cs="Arial"/>
                <w:color w:val="000000"/>
                <w:sz w:val="18"/>
                <w:szCs w:val="21"/>
                <w:shd w:val="clear" w:color="auto" w:fill="FFFFFF"/>
              </w:rPr>
              <w:t>In response to a referral from the Life Saving Drugs Program (LSDP) Expert Panel, the PBAC considered the PBS listing of migalastat for the treatment of Fabry disease. The PBAC recommended the Authority Required listing of migalastat on the PBS for the treatment of Fabry disease in patients aged 16</w:t>
            </w:r>
            <w:r w:rsidR="008D598A">
              <w:rPr>
                <w:rFonts w:ascii="Arial" w:hAnsi="Arial" w:cs="Arial"/>
                <w:color w:val="000000"/>
                <w:sz w:val="18"/>
                <w:szCs w:val="21"/>
                <w:shd w:val="clear" w:color="auto" w:fill="FFFFFF"/>
              </w:rPr>
              <w:t> </w:t>
            </w:r>
            <w:r w:rsidRPr="00DA4E0B">
              <w:rPr>
                <w:rFonts w:ascii="Arial" w:hAnsi="Arial" w:cs="Arial"/>
                <w:color w:val="000000"/>
                <w:sz w:val="18"/>
                <w:szCs w:val="21"/>
                <w:shd w:val="clear" w:color="auto" w:fill="FFFFFF"/>
              </w:rPr>
              <w:t>years of age and older who have an amenable mutation. The PBAC’s recommendation for listing was based on, among other matters, its assessment that the cost-effectiveness of migalastat would be acceptable if migalastat was less expensive than the lowest cost enzyme replacement therapy (ERT) on the LSDP for Fabry disease for all patients 16 years of age and older, and that this could be achieved with a cost per patient per year no higher than the cost of ERT for a patient weighing 45 kg. The PBAC acknowledged the importance of patients with Fabry disease having ongoing access to effective therapies.</w:t>
            </w:r>
          </w:p>
        </w:tc>
      </w:tr>
      <w:tr w:rsidR="0060615A" w:rsidRPr="00D2401D" w14:paraId="7DDAF339"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BEAAA42" w14:textId="77777777" w:rsidR="0060615A" w:rsidRDefault="0060615A" w:rsidP="00952ADE">
            <w:pPr>
              <w:rPr>
                <w:rFonts w:ascii="Arial" w:hAnsi="Arial" w:cs="Arial"/>
                <w:sz w:val="18"/>
                <w:szCs w:val="18"/>
              </w:rPr>
            </w:pPr>
            <w:r>
              <w:rPr>
                <w:rFonts w:ascii="Arial" w:hAnsi="Arial" w:cs="Arial"/>
                <w:sz w:val="18"/>
                <w:szCs w:val="18"/>
              </w:rPr>
              <w:lastRenderedPageBreak/>
              <w:t>RISK OF HERPES ZOSTER INFECTION IN PATIENTS TAKING BIOLOGICS AND JAK INHIBITOR MEDICINES FOR AUTOIMMUNE CONDITIONS</w:t>
            </w:r>
          </w:p>
          <w:p w14:paraId="367A216D" w14:textId="77777777" w:rsidR="0060615A" w:rsidRDefault="0060615A" w:rsidP="00952ADE">
            <w:pPr>
              <w:rPr>
                <w:rFonts w:ascii="Arial" w:hAnsi="Arial" w:cs="Arial"/>
                <w:sz w:val="18"/>
                <w:szCs w:val="18"/>
              </w:rPr>
            </w:pPr>
          </w:p>
          <w:p w14:paraId="037543CE" w14:textId="77777777" w:rsidR="0060615A" w:rsidRDefault="0060615A" w:rsidP="00952ADE">
            <w:pPr>
              <w:rPr>
                <w:rFonts w:ascii="Arial" w:hAnsi="Arial" w:cs="Arial"/>
                <w:sz w:val="18"/>
                <w:szCs w:val="18"/>
              </w:rPr>
            </w:pPr>
            <w:r>
              <w:rPr>
                <w:rFonts w:ascii="Arial" w:hAnsi="Arial" w:cs="Arial"/>
                <w:sz w:val="18"/>
                <w:szCs w:val="18"/>
              </w:rPr>
              <w:t>Multiple medicines</w:t>
            </w:r>
          </w:p>
          <w:p w14:paraId="36136B67" w14:textId="77777777" w:rsidR="0060615A" w:rsidRDefault="0060615A" w:rsidP="00952ADE">
            <w:pPr>
              <w:rPr>
                <w:rFonts w:ascii="Arial" w:hAnsi="Arial" w:cs="Arial"/>
                <w:sz w:val="18"/>
                <w:szCs w:val="18"/>
              </w:rPr>
            </w:pPr>
          </w:p>
          <w:p w14:paraId="006DA266" w14:textId="77777777" w:rsidR="0060615A" w:rsidRDefault="0060615A" w:rsidP="00952ADE">
            <w:pPr>
              <w:rPr>
                <w:rFonts w:ascii="Arial" w:hAnsi="Arial" w:cs="Arial"/>
                <w:sz w:val="18"/>
                <w:szCs w:val="18"/>
              </w:rPr>
            </w:pPr>
            <w:r>
              <w:rPr>
                <w:rFonts w:ascii="Arial" w:hAnsi="Arial" w:cs="Arial"/>
                <w:sz w:val="18"/>
                <w:szCs w:val="18"/>
              </w:rPr>
              <w:t>Multiple brands</w:t>
            </w:r>
          </w:p>
          <w:p w14:paraId="42789906" w14:textId="77777777" w:rsidR="0060615A" w:rsidRDefault="0060615A" w:rsidP="00952ADE">
            <w:pPr>
              <w:rPr>
                <w:rFonts w:ascii="Arial" w:hAnsi="Arial" w:cs="Arial"/>
                <w:sz w:val="18"/>
                <w:szCs w:val="18"/>
              </w:rPr>
            </w:pPr>
          </w:p>
          <w:p w14:paraId="168482AB" w14:textId="77777777" w:rsidR="0060615A" w:rsidRDefault="0060615A" w:rsidP="00952ADE">
            <w:pPr>
              <w:rPr>
                <w:rFonts w:ascii="Arial" w:hAnsi="Arial" w:cs="Arial"/>
                <w:sz w:val="18"/>
                <w:szCs w:val="18"/>
              </w:rPr>
            </w:pPr>
            <w:r>
              <w:rPr>
                <w:rFonts w:ascii="Arial" w:hAnsi="Arial" w:cs="Arial"/>
                <w:sz w:val="18"/>
                <w:szCs w:val="18"/>
              </w:rPr>
              <w:t>Multiple sponsors</w:t>
            </w:r>
          </w:p>
          <w:p w14:paraId="2C2EACAC" w14:textId="77777777" w:rsidR="0060615A" w:rsidRDefault="0060615A" w:rsidP="00952ADE">
            <w:pPr>
              <w:rPr>
                <w:rFonts w:ascii="Arial" w:hAnsi="Arial" w:cs="Arial"/>
                <w:sz w:val="18"/>
                <w:szCs w:val="18"/>
              </w:rPr>
            </w:pPr>
          </w:p>
          <w:p w14:paraId="2D8A9183" w14:textId="126A8482" w:rsidR="0060615A" w:rsidRDefault="0060615A" w:rsidP="00952ADE">
            <w:pPr>
              <w:rPr>
                <w:rFonts w:ascii="Arial" w:hAnsi="Arial" w:cs="Arial"/>
                <w:sz w:val="18"/>
                <w:szCs w:val="18"/>
              </w:rPr>
            </w:pPr>
            <w:r>
              <w:rPr>
                <w:rFonts w:ascii="Arial" w:hAnsi="Arial" w:cs="Arial"/>
                <w:sz w:val="18"/>
                <w:szCs w:val="18"/>
              </w:rPr>
              <w:t>(Post-market Review)</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7FD1925" w14:textId="22CCB0C1" w:rsidR="0060615A" w:rsidRPr="00DA4E0B" w:rsidRDefault="0060615A" w:rsidP="00283D2B">
            <w:pPr>
              <w:keepLines/>
              <w:widowControl w:val="0"/>
              <w:spacing w:after="120"/>
              <w:jc w:val="center"/>
              <w:rPr>
                <w:rFonts w:ascii="Arial" w:hAnsi="Arial" w:cs="Arial"/>
                <w:snapToGrid w:val="0"/>
                <w:sz w:val="18"/>
                <w:szCs w:val="18"/>
                <w:lang w:eastAsia="en-US"/>
              </w:rPr>
            </w:pPr>
            <w:r>
              <w:rPr>
                <w:rFonts w:ascii="Arial" w:hAnsi="Arial" w:cs="Arial"/>
                <w:snapToGrid w:val="0"/>
                <w:sz w:val="18"/>
                <w:szCs w:val="18"/>
                <w:lang w:eastAsia="en-US"/>
              </w:rPr>
              <w:t>Biologics and JAK inhibitor</w:t>
            </w:r>
            <w:r w:rsidR="008D598A">
              <w:rPr>
                <w:rFonts w:ascii="Arial" w:hAnsi="Arial" w:cs="Arial"/>
                <w:snapToGrid w:val="0"/>
                <w:sz w:val="18"/>
                <w:szCs w:val="18"/>
                <w:lang w:eastAsia="en-US"/>
              </w:rPr>
              <w:t xml:space="preserve"> medicines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3BA7005" w14:textId="28A84647" w:rsidR="0060615A" w:rsidRPr="00DA4E0B" w:rsidRDefault="0060615A" w:rsidP="006A1809">
            <w:pPr>
              <w:keepLines/>
              <w:widowControl w:val="0"/>
              <w:spacing w:after="120"/>
              <w:rPr>
                <w:rFonts w:ascii="Arial" w:hAnsi="Arial" w:cs="Arial"/>
                <w:snapToGrid w:val="0"/>
                <w:sz w:val="18"/>
                <w:szCs w:val="18"/>
                <w:lang w:eastAsia="en-US"/>
              </w:rPr>
            </w:pPr>
            <w:r w:rsidRPr="0060615A">
              <w:rPr>
                <w:rFonts w:ascii="Arial" w:hAnsi="Arial" w:cs="Arial"/>
                <w:snapToGrid w:val="0"/>
                <w:sz w:val="18"/>
                <w:szCs w:val="18"/>
                <w:lang w:eastAsia="en-US"/>
              </w:rPr>
              <w:t>For</w:t>
            </w:r>
            <w:r w:rsidR="008D598A">
              <w:rPr>
                <w:rFonts w:ascii="Arial" w:hAnsi="Arial" w:cs="Arial"/>
                <w:snapToGrid w:val="0"/>
                <w:sz w:val="18"/>
                <w:szCs w:val="18"/>
                <w:lang w:eastAsia="en-US"/>
              </w:rPr>
              <w:t xml:space="preserve"> the</w:t>
            </w:r>
            <w:r w:rsidRPr="0060615A">
              <w:rPr>
                <w:rFonts w:ascii="Arial" w:hAnsi="Arial" w:cs="Arial"/>
                <w:snapToGrid w:val="0"/>
                <w:sz w:val="18"/>
                <w:szCs w:val="18"/>
                <w:lang w:eastAsia="en-US"/>
              </w:rPr>
              <w:t xml:space="preserve"> PBAC to review methods and results of this research</w:t>
            </w:r>
            <w:r w:rsidR="008D598A">
              <w:rPr>
                <w:rFonts w:ascii="Arial" w:hAnsi="Arial" w:cs="Arial"/>
                <w:snapToGrid w:val="0"/>
                <w:sz w:val="18"/>
                <w:szCs w:val="18"/>
                <w:lang w:eastAsia="en-US"/>
              </w:rPr>
              <w: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2681F8C" w14:textId="1EAC9664" w:rsidR="0060615A" w:rsidRDefault="0060615A" w:rsidP="0032768B">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Noted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70F6499" w14:textId="549A4EE9" w:rsidR="008D598A" w:rsidRDefault="0060615A" w:rsidP="00F82E86">
            <w:pPr>
              <w:pStyle w:val="3Bodytext"/>
              <w:keepNext/>
              <w:keepLines/>
              <w:spacing w:after="0"/>
              <w:ind w:left="0" w:firstLine="0"/>
              <w:rPr>
                <w:rFonts w:ascii="Arial" w:hAnsi="Arial" w:cs="Arial"/>
                <w:sz w:val="18"/>
                <w:szCs w:val="18"/>
              </w:rPr>
            </w:pPr>
            <w:r w:rsidRPr="0060615A">
              <w:rPr>
                <w:rFonts w:ascii="Arial" w:hAnsi="Arial" w:cs="Arial"/>
                <w:sz w:val="18"/>
                <w:szCs w:val="18"/>
              </w:rPr>
              <w:t xml:space="preserve">The PBAC noted the report on the ‘Risk of herpes zoster (HZ) infection in patients taking biologic and </w:t>
            </w:r>
            <w:proofErr w:type="spellStart"/>
            <w:r w:rsidRPr="0060615A">
              <w:rPr>
                <w:rFonts w:ascii="Arial" w:hAnsi="Arial" w:cs="Arial"/>
                <w:sz w:val="18"/>
                <w:szCs w:val="18"/>
              </w:rPr>
              <w:t>janus</w:t>
            </w:r>
            <w:proofErr w:type="spellEnd"/>
            <w:r w:rsidRPr="0060615A">
              <w:rPr>
                <w:rFonts w:ascii="Arial" w:hAnsi="Arial" w:cs="Arial"/>
                <w:sz w:val="18"/>
                <w:szCs w:val="18"/>
              </w:rPr>
              <w:t xml:space="preserve"> kinase inhibitor (</w:t>
            </w:r>
            <w:proofErr w:type="spellStart"/>
            <w:r w:rsidRPr="0060615A">
              <w:rPr>
                <w:rFonts w:ascii="Arial" w:hAnsi="Arial" w:cs="Arial"/>
                <w:sz w:val="18"/>
                <w:szCs w:val="18"/>
              </w:rPr>
              <w:t>JAKi</w:t>
            </w:r>
            <w:proofErr w:type="spellEnd"/>
            <w:r w:rsidRPr="0060615A">
              <w:rPr>
                <w:rFonts w:ascii="Arial" w:hAnsi="Arial" w:cs="Arial"/>
                <w:sz w:val="18"/>
                <w:szCs w:val="18"/>
              </w:rPr>
              <w:t>) medicines’. The report presented a fully adjusted cohort analysis based on PBS dataset to estimate the risk of HZ in patients using biologic disease-modifying treatments (</w:t>
            </w:r>
            <w:proofErr w:type="spellStart"/>
            <w:r w:rsidRPr="0060615A">
              <w:rPr>
                <w:rFonts w:ascii="Arial" w:hAnsi="Arial" w:cs="Arial"/>
                <w:sz w:val="18"/>
                <w:szCs w:val="18"/>
              </w:rPr>
              <w:t>bDMT</w:t>
            </w:r>
            <w:proofErr w:type="spellEnd"/>
            <w:r w:rsidRPr="0060615A">
              <w:rPr>
                <w:rFonts w:ascii="Arial" w:hAnsi="Arial" w:cs="Arial"/>
                <w:sz w:val="18"/>
                <w:szCs w:val="18"/>
              </w:rPr>
              <w:t xml:space="preserve">) and </w:t>
            </w:r>
            <w:proofErr w:type="spellStart"/>
            <w:r w:rsidRPr="0060615A">
              <w:rPr>
                <w:rFonts w:ascii="Arial" w:hAnsi="Arial" w:cs="Arial"/>
                <w:sz w:val="18"/>
                <w:szCs w:val="18"/>
              </w:rPr>
              <w:t>JAKi</w:t>
            </w:r>
            <w:proofErr w:type="spellEnd"/>
            <w:r w:rsidRPr="0060615A">
              <w:rPr>
                <w:rFonts w:ascii="Arial" w:hAnsi="Arial" w:cs="Arial"/>
                <w:sz w:val="18"/>
                <w:szCs w:val="18"/>
              </w:rPr>
              <w:t>. The medicines included in the analysis were those PBS</w:t>
            </w:r>
            <w:r w:rsidR="008D598A">
              <w:rPr>
                <w:rFonts w:ascii="Arial" w:hAnsi="Arial" w:cs="Arial"/>
                <w:sz w:val="18"/>
                <w:szCs w:val="18"/>
              </w:rPr>
              <w:t xml:space="preserve"> </w:t>
            </w:r>
            <w:r w:rsidRPr="0060615A">
              <w:rPr>
                <w:rFonts w:ascii="Arial" w:hAnsi="Arial" w:cs="Arial"/>
                <w:sz w:val="18"/>
                <w:szCs w:val="18"/>
              </w:rPr>
              <w:t xml:space="preserve">listed for psoriasis, inflammatory bowel disease (IBD), multiple sclerosis and rheumatoid conditions. The report found that the risk of HZ infection was consistently increased with </w:t>
            </w:r>
            <w:proofErr w:type="spellStart"/>
            <w:r w:rsidRPr="0060615A">
              <w:rPr>
                <w:rFonts w:ascii="Arial" w:hAnsi="Arial" w:cs="Arial"/>
                <w:sz w:val="18"/>
                <w:szCs w:val="18"/>
              </w:rPr>
              <w:t>JAKi</w:t>
            </w:r>
            <w:proofErr w:type="spellEnd"/>
            <w:r w:rsidRPr="0060615A">
              <w:rPr>
                <w:rFonts w:ascii="Arial" w:hAnsi="Arial" w:cs="Arial"/>
                <w:sz w:val="18"/>
                <w:szCs w:val="18"/>
              </w:rPr>
              <w:t xml:space="preserve"> compared to </w:t>
            </w:r>
            <w:proofErr w:type="spellStart"/>
            <w:r w:rsidRPr="0060615A">
              <w:rPr>
                <w:rFonts w:ascii="Arial" w:hAnsi="Arial" w:cs="Arial"/>
                <w:sz w:val="18"/>
                <w:szCs w:val="18"/>
              </w:rPr>
              <w:t>bDMTs</w:t>
            </w:r>
            <w:proofErr w:type="spellEnd"/>
            <w:r w:rsidRPr="0060615A">
              <w:rPr>
                <w:rFonts w:ascii="Arial" w:hAnsi="Arial" w:cs="Arial"/>
                <w:sz w:val="18"/>
                <w:szCs w:val="18"/>
              </w:rPr>
              <w:t xml:space="preserve"> for all mechanisms of action. Patients most at risk of HZ infection were: </w:t>
            </w:r>
          </w:p>
          <w:p w14:paraId="2FBA8BEA" w14:textId="77777777" w:rsidR="008D598A" w:rsidRDefault="008D598A" w:rsidP="00F82E86">
            <w:pPr>
              <w:pStyle w:val="3Bodytext"/>
              <w:keepNext/>
              <w:keepLines/>
              <w:spacing w:after="0"/>
              <w:rPr>
                <w:rFonts w:ascii="Arial" w:hAnsi="Arial" w:cs="Arial"/>
                <w:sz w:val="18"/>
                <w:szCs w:val="18"/>
              </w:rPr>
            </w:pPr>
            <w:r w:rsidRPr="00630D54">
              <w:rPr>
                <w:rFonts w:ascii="Arial" w:hAnsi="Arial" w:cs="Arial"/>
                <w:color w:val="000000"/>
                <w:sz w:val="18"/>
                <w:szCs w:val="18"/>
              </w:rPr>
              <w:t>•</w:t>
            </w:r>
            <w:r>
              <w:rPr>
                <w:rFonts w:ascii="Arial" w:hAnsi="Arial" w:cs="Arial"/>
                <w:color w:val="000000"/>
                <w:sz w:val="18"/>
                <w:szCs w:val="18"/>
              </w:rPr>
              <w:t xml:space="preserve"> </w:t>
            </w:r>
            <w:r w:rsidR="0060615A" w:rsidRPr="0060615A">
              <w:rPr>
                <w:rFonts w:ascii="Arial" w:hAnsi="Arial" w:cs="Arial"/>
                <w:sz w:val="18"/>
                <w:szCs w:val="18"/>
              </w:rPr>
              <w:t xml:space="preserve">those who were using </w:t>
            </w:r>
            <w:proofErr w:type="spellStart"/>
            <w:r w:rsidR="0060615A" w:rsidRPr="0060615A">
              <w:rPr>
                <w:rFonts w:ascii="Arial" w:hAnsi="Arial" w:cs="Arial"/>
                <w:sz w:val="18"/>
                <w:szCs w:val="18"/>
              </w:rPr>
              <w:t>JAKi</w:t>
            </w:r>
            <w:proofErr w:type="spellEnd"/>
            <w:r w:rsidR="0060615A" w:rsidRPr="0060615A">
              <w:rPr>
                <w:rFonts w:ascii="Arial" w:hAnsi="Arial" w:cs="Arial"/>
                <w:sz w:val="18"/>
                <w:szCs w:val="18"/>
              </w:rPr>
              <w:t xml:space="preserve"> for rheumatoid conditions or IBD; </w:t>
            </w:r>
          </w:p>
          <w:p w14:paraId="33D73218" w14:textId="77777777" w:rsidR="008D598A" w:rsidRDefault="008D598A" w:rsidP="00F82E86">
            <w:pPr>
              <w:pStyle w:val="3Bodytext"/>
              <w:keepNext/>
              <w:keepLines/>
              <w:spacing w:after="0"/>
              <w:rPr>
                <w:rFonts w:ascii="Arial" w:hAnsi="Arial" w:cs="Arial"/>
                <w:sz w:val="18"/>
                <w:szCs w:val="18"/>
              </w:rPr>
            </w:pPr>
            <w:r w:rsidRPr="00630D54">
              <w:rPr>
                <w:rFonts w:ascii="Arial" w:hAnsi="Arial" w:cs="Arial"/>
                <w:color w:val="000000"/>
                <w:sz w:val="18"/>
                <w:szCs w:val="18"/>
              </w:rPr>
              <w:t>•</w:t>
            </w:r>
            <w:r>
              <w:rPr>
                <w:rFonts w:ascii="Arial" w:hAnsi="Arial" w:cs="Arial"/>
                <w:color w:val="000000"/>
                <w:sz w:val="18"/>
                <w:szCs w:val="18"/>
              </w:rPr>
              <w:t xml:space="preserve"> </w:t>
            </w:r>
            <w:r w:rsidR="0060615A" w:rsidRPr="0060615A">
              <w:rPr>
                <w:rFonts w:ascii="Arial" w:hAnsi="Arial" w:cs="Arial"/>
                <w:sz w:val="18"/>
                <w:szCs w:val="18"/>
              </w:rPr>
              <w:t xml:space="preserve">female patients; </w:t>
            </w:r>
          </w:p>
          <w:p w14:paraId="3D53F63F" w14:textId="6659EC57" w:rsidR="008D598A" w:rsidRDefault="008D598A" w:rsidP="00F82E86">
            <w:pPr>
              <w:pStyle w:val="3Bodytext"/>
              <w:keepNext/>
              <w:keepLines/>
              <w:spacing w:after="0"/>
              <w:rPr>
                <w:rFonts w:ascii="Arial" w:hAnsi="Arial" w:cs="Arial"/>
                <w:sz w:val="18"/>
                <w:szCs w:val="18"/>
              </w:rPr>
            </w:pPr>
            <w:r w:rsidRPr="00630D54">
              <w:rPr>
                <w:rFonts w:ascii="Arial" w:hAnsi="Arial" w:cs="Arial"/>
                <w:color w:val="000000"/>
                <w:sz w:val="18"/>
                <w:szCs w:val="18"/>
              </w:rPr>
              <w:t>•</w:t>
            </w:r>
            <w:r>
              <w:rPr>
                <w:rFonts w:ascii="Arial" w:hAnsi="Arial" w:cs="Arial"/>
                <w:color w:val="000000"/>
                <w:sz w:val="18"/>
                <w:szCs w:val="18"/>
              </w:rPr>
              <w:t xml:space="preserve"> </w:t>
            </w:r>
            <w:r w:rsidR="0060615A" w:rsidRPr="0060615A">
              <w:rPr>
                <w:rFonts w:ascii="Arial" w:hAnsi="Arial" w:cs="Arial"/>
                <w:sz w:val="18"/>
                <w:szCs w:val="18"/>
              </w:rPr>
              <w:t>patients with a high number of comorbid conditions</w:t>
            </w:r>
          </w:p>
          <w:p w14:paraId="716CC524" w14:textId="77777777" w:rsidR="008D598A" w:rsidRDefault="008D598A" w:rsidP="005A7266">
            <w:pPr>
              <w:pStyle w:val="3Bodytext"/>
              <w:keepNext/>
              <w:keepLines/>
              <w:rPr>
                <w:rFonts w:ascii="Arial" w:hAnsi="Arial" w:cs="Arial"/>
                <w:sz w:val="18"/>
                <w:szCs w:val="18"/>
              </w:rPr>
            </w:pPr>
            <w:r w:rsidRPr="00630D54">
              <w:rPr>
                <w:rFonts w:ascii="Arial" w:hAnsi="Arial" w:cs="Arial"/>
                <w:color w:val="000000"/>
                <w:sz w:val="18"/>
                <w:szCs w:val="18"/>
              </w:rPr>
              <w:t>•</w:t>
            </w:r>
            <w:r w:rsidR="0060615A" w:rsidRPr="0060615A">
              <w:rPr>
                <w:rFonts w:ascii="Arial" w:hAnsi="Arial" w:cs="Arial"/>
                <w:sz w:val="18"/>
                <w:szCs w:val="18"/>
              </w:rPr>
              <w:t xml:space="preserve"> those using concomitant corticosteroids. </w:t>
            </w:r>
          </w:p>
          <w:p w14:paraId="0F8F0C63" w14:textId="6E23E09C" w:rsidR="0060615A" w:rsidRPr="0060615A" w:rsidRDefault="0060615A" w:rsidP="008D598A">
            <w:pPr>
              <w:pStyle w:val="3Bodytext"/>
              <w:keepNext/>
              <w:keepLines/>
              <w:ind w:left="0" w:firstLine="0"/>
              <w:rPr>
                <w:rFonts w:ascii="Arial" w:hAnsi="Arial" w:cs="Arial"/>
                <w:sz w:val="18"/>
                <w:szCs w:val="18"/>
              </w:rPr>
            </w:pPr>
            <w:r w:rsidRPr="0060615A">
              <w:rPr>
                <w:rFonts w:ascii="Arial" w:hAnsi="Arial" w:cs="Arial"/>
                <w:sz w:val="18"/>
                <w:szCs w:val="18"/>
              </w:rPr>
              <w:t>The PBAC noted that the results were consistent with the results from other studies and supported the publication of this research. The PBAC requested that relevant sponsors be provided with a copy of the report for their information, including GlaxoSmithKline, the sponsor of Shingrix</w:t>
            </w:r>
            <w:r w:rsidRPr="00E80FEF">
              <w:rPr>
                <w:rFonts w:ascii="Arial" w:hAnsi="Arial" w:cs="Arial"/>
                <w:sz w:val="18"/>
                <w:szCs w:val="18"/>
                <w:vertAlign w:val="superscript"/>
              </w:rPr>
              <w:t>®</w:t>
            </w:r>
            <w:r w:rsidRPr="0060615A">
              <w:rPr>
                <w:rFonts w:ascii="Arial" w:hAnsi="Arial" w:cs="Arial"/>
                <w:sz w:val="18"/>
                <w:szCs w:val="18"/>
              </w:rPr>
              <w:t xml:space="preserve"> (a recombinant varicella zoster virus vaccine).</w:t>
            </w:r>
          </w:p>
        </w:tc>
      </w:tr>
      <w:tr w:rsidR="004D4ABE" w:rsidRPr="00D2401D" w14:paraId="79F852D8"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777FDEB" w14:textId="77777777" w:rsidR="004D4ABE" w:rsidRDefault="004D4ABE" w:rsidP="00952ADE">
            <w:pPr>
              <w:rPr>
                <w:rFonts w:ascii="Arial" w:hAnsi="Arial" w:cs="Arial"/>
                <w:sz w:val="18"/>
                <w:szCs w:val="18"/>
              </w:rPr>
            </w:pPr>
            <w:r>
              <w:rPr>
                <w:rFonts w:ascii="Arial" w:hAnsi="Arial" w:cs="Arial"/>
                <w:sz w:val="18"/>
                <w:szCs w:val="18"/>
              </w:rPr>
              <w:lastRenderedPageBreak/>
              <w:t>STOCKTAKE OF PHARMACEUTICAL BENEFITS SCHEME (PBS) SUBSIDISED MEDICINES AVAILABLE FOR ENDOMETRIOSIS AND RELATED CONDITIONS, AND COMPARISON OF CURRENT AUSTRALIAN PHARMACOLOGICAL TREATMENT GUIDELINES</w:t>
            </w:r>
          </w:p>
          <w:p w14:paraId="11F3539B" w14:textId="77777777" w:rsidR="004D4ABE" w:rsidRDefault="004D4ABE" w:rsidP="00952ADE">
            <w:pPr>
              <w:rPr>
                <w:rFonts w:ascii="Arial" w:hAnsi="Arial" w:cs="Arial"/>
                <w:sz w:val="18"/>
                <w:szCs w:val="18"/>
              </w:rPr>
            </w:pPr>
          </w:p>
          <w:p w14:paraId="0A165CCA" w14:textId="77777777" w:rsidR="004D4ABE" w:rsidRDefault="004D4ABE" w:rsidP="00952ADE">
            <w:pPr>
              <w:rPr>
                <w:rFonts w:ascii="Arial" w:hAnsi="Arial" w:cs="Arial"/>
                <w:sz w:val="18"/>
                <w:szCs w:val="18"/>
              </w:rPr>
            </w:pPr>
            <w:r>
              <w:rPr>
                <w:rFonts w:ascii="Arial" w:hAnsi="Arial" w:cs="Arial"/>
                <w:sz w:val="18"/>
                <w:szCs w:val="18"/>
              </w:rPr>
              <w:t>Multiple medicines</w:t>
            </w:r>
          </w:p>
          <w:p w14:paraId="6DC909EF" w14:textId="77777777" w:rsidR="004D4ABE" w:rsidRDefault="004D4ABE" w:rsidP="00952ADE">
            <w:pPr>
              <w:rPr>
                <w:rFonts w:ascii="Arial" w:hAnsi="Arial" w:cs="Arial"/>
                <w:sz w:val="18"/>
                <w:szCs w:val="18"/>
              </w:rPr>
            </w:pPr>
          </w:p>
          <w:p w14:paraId="6A5D806D" w14:textId="77777777" w:rsidR="004D4ABE" w:rsidRDefault="004D4ABE" w:rsidP="00952ADE">
            <w:pPr>
              <w:rPr>
                <w:rFonts w:ascii="Arial" w:hAnsi="Arial" w:cs="Arial"/>
                <w:sz w:val="18"/>
                <w:szCs w:val="18"/>
              </w:rPr>
            </w:pPr>
            <w:r>
              <w:rPr>
                <w:rFonts w:ascii="Arial" w:hAnsi="Arial" w:cs="Arial"/>
                <w:sz w:val="18"/>
                <w:szCs w:val="18"/>
              </w:rPr>
              <w:t>Multiple brands</w:t>
            </w:r>
          </w:p>
          <w:p w14:paraId="5AB6E701" w14:textId="77777777" w:rsidR="004D4ABE" w:rsidRDefault="004D4ABE" w:rsidP="00952ADE">
            <w:pPr>
              <w:rPr>
                <w:rFonts w:ascii="Arial" w:hAnsi="Arial" w:cs="Arial"/>
                <w:sz w:val="18"/>
                <w:szCs w:val="18"/>
              </w:rPr>
            </w:pPr>
          </w:p>
          <w:p w14:paraId="6C1E0E04" w14:textId="77777777" w:rsidR="004D4ABE" w:rsidRDefault="004D4ABE" w:rsidP="00952ADE">
            <w:pPr>
              <w:rPr>
                <w:rFonts w:ascii="Arial" w:hAnsi="Arial" w:cs="Arial"/>
                <w:sz w:val="18"/>
                <w:szCs w:val="18"/>
              </w:rPr>
            </w:pPr>
            <w:r>
              <w:rPr>
                <w:rFonts w:ascii="Arial" w:hAnsi="Arial" w:cs="Arial"/>
                <w:sz w:val="18"/>
                <w:szCs w:val="18"/>
              </w:rPr>
              <w:t>Multiple sponsors</w:t>
            </w:r>
          </w:p>
          <w:p w14:paraId="762F3AA4" w14:textId="77777777" w:rsidR="004D4ABE" w:rsidRDefault="004D4ABE" w:rsidP="00952ADE">
            <w:pPr>
              <w:rPr>
                <w:rFonts w:ascii="Arial" w:hAnsi="Arial" w:cs="Arial"/>
                <w:sz w:val="18"/>
                <w:szCs w:val="18"/>
              </w:rPr>
            </w:pPr>
          </w:p>
          <w:p w14:paraId="31195611" w14:textId="2C87F8F6" w:rsidR="004D4ABE" w:rsidRDefault="004D4ABE" w:rsidP="00952ADE">
            <w:pPr>
              <w:rPr>
                <w:rFonts w:ascii="Arial" w:hAnsi="Arial" w:cs="Arial"/>
                <w:sz w:val="18"/>
                <w:szCs w:val="18"/>
              </w:rPr>
            </w:pPr>
            <w:r>
              <w:rPr>
                <w:rFonts w:ascii="Arial" w:hAnsi="Arial" w:cs="Arial"/>
                <w:sz w:val="18"/>
                <w:szCs w:val="18"/>
              </w:rPr>
              <w:t xml:space="preserve">(Post-market </w:t>
            </w:r>
            <w:r w:rsidR="008D598A">
              <w:rPr>
                <w:rFonts w:ascii="Arial" w:hAnsi="Arial" w:cs="Arial"/>
                <w:sz w:val="18"/>
                <w:szCs w:val="18"/>
              </w:rPr>
              <w:t>R</w:t>
            </w:r>
            <w:r>
              <w:rPr>
                <w:rFonts w:ascii="Arial" w:hAnsi="Arial" w:cs="Arial"/>
                <w:sz w:val="18"/>
                <w:szCs w:val="18"/>
              </w:rPr>
              <w:t>eview)</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4078E10" w14:textId="565F8D0F" w:rsidR="004D4ABE" w:rsidRPr="00DA4E0B" w:rsidRDefault="004D4ABE" w:rsidP="00283D2B">
            <w:pPr>
              <w:keepLines/>
              <w:widowControl w:val="0"/>
              <w:spacing w:after="120"/>
              <w:jc w:val="center"/>
              <w:rPr>
                <w:rFonts w:ascii="Arial" w:hAnsi="Arial" w:cs="Arial"/>
                <w:snapToGrid w:val="0"/>
                <w:sz w:val="18"/>
                <w:szCs w:val="18"/>
                <w:lang w:eastAsia="en-US"/>
              </w:rPr>
            </w:pPr>
            <w:r>
              <w:rPr>
                <w:rFonts w:ascii="Arial" w:hAnsi="Arial" w:cs="Arial"/>
                <w:snapToGrid w:val="0"/>
                <w:sz w:val="18"/>
                <w:szCs w:val="18"/>
                <w:lang w:eastAsia="en-US"/>
              </w:rPr>
              <w:t>Endometriosis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0E1C505" w14:textId="33302CBA" w:rsidR="004D4ABE" w:rsidRPr="00DA4E0B" w:rsidRDefault="004D4ABE" w:rsidP="006A1809">
            <w:pPr>
              <w:keepLines/>
              <w:widowControl w:val="0"/>
              <w:spacing w:after="120"/>
              <w:rPr>
                <w:rFonts w:ascii="Arial" w:hAnsi="Arial" w:cs="Arial"/>
                <w:snapToGrid w:val="0"/>
                <w:sz w:val="18"/>
                <w:szCs w:val="18"/>
                <w:lang w:eastAsia="en-US"/>
              </w:rPr>
            </w:pPr>
            <w:r w:rsidRPr="004D4ABE">
              <w:rPr>
                <w:rFonts w:ascii="Arial" w:hAnsi="Arial" w:cs="Arial"/>
                <w:snapToGrid w:val="0"/>
                <w:sz w:val="18"/>
                <w:szCs w:val="18"/>
                <w:lang w:eastAsia="en-US"/>
              </w:rPr>
              <w:t>To provide the PBAC with an overview of medicines available in Australia for use in endometriosis and related conditions according to clinical treatment guidelines and to identify potential gaps between the medicines listed on the PBS and those available via the private market.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050160E" w14:textId="6BCC741F" w:rsidR="004D4ABE" w:rsidRDefault="008D598A" w:rsidP="0032768B">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Advice provided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82F6FBA" w14:textId="21A5AC37" w:rsidR="004D4ABE" w:rsidRPr="004D4ABE" w:rsidRDefault="008D598A" w:rsidP="004D4ABE">
            <w:pPr>
              <w:rPr>
                <w:rFonts w:ascii="Arial" w:hAnsi="Arial" w:cs="Arial"/>
                <w:sz w:val="18"/>
                <w:szCs w:val="18"/>
              </w:rPr>
            </w:pPr>
            <w:r>
              <w:rPr>
                <w:rFonts w:ascii="Arial" w:hAnsi="Arial" w:cs="Arial"/>
                <w:sz w:val="18"/>
                <w:szCs w:val="18"/>
              </w:rPr>
              <w:t>T</w:t>
            </w:r>
            <w:r w:rsidRPr="004D4ABE">
              <w:rPr>
                <w:rFonts w:ascii="Arial" w:hAnsi="Arial" w:cs="Arial"/>
                <w:sz w:val="18"/>
                <w:szCs w:val="18"/>
              </w:rPr>
              <w:t xml:space="preserve">he </w:t>
            </w:r>
            <w:r w:rsidR="004D4ABE" w:rsidRPr="004D4ABE">
              <w:rPr>
                <w:rFonts w:ascii="Arial" w:hAnsi="Arial" w:cs="Arial"/>
                <w:sz w:val="18"/>
                <w:szCs w:val="18"/>
              </w:rPr>
              <w:t xml:space="preserve">PBAC considered a report on the Stocktake of PBS subsidised medicines available for endometriosis and related conditions (the Report) prepared by the Department. External stakeholders were invited to provide feedback on the report, including on the use and accessibility of medicines for endometriosis available in Australia, for the PBAC’s consideration. </w:t>
            </w:r>
          </w:p>
          <w:p w14:paraId="6EDDE60B" w14:textId="77777777" w:rsidR="004D4ABE" w:rsidRPr="004D4ABE" w:rsidRDefault="004D4ABE" w:rsidP="004D4ABE">
            <w:pPr>
              <w:rPr>
                <w:rFonts w:ascii="Arial" w:hAnsi="Arial" w:cs="Arial"/>
                <w:sz w:val="18"/>
                <w:szCs w:val="18"/>
              </w:rPr>
            </w:pPr>
          </w:p>
          <w:p w14:paraId="13D90873" w14:textId="546EC58F" w:rsidR="004D4ABE" w:rsidRPr="004D4ABE" w:rsidRDefault="004D4ABE" w:rsidP="004D4ABE">
            <w:pPr>
              <w:widowControl w:val="0"/>
              <w:rPr>
                <w:rFonts w:ascii="Arial" w:hAnsi="Arial" w:cs="Arial"/>
                <w:sz w:val="18"/>
                <w:szCs w:val="18"/>
              </w:rPr>
            </w:pPr>
            <w:r w:rsidRPr="004D4ABE">
              <w:rPr>
                <w:rFonts w:ascii="Arial" w:hAnsi="Arial" w:cs="Arial"/>
                <w:snapToGrid w:val="0"/>
                <w:sz w:val="18"/>
                <w:szCs w:val="18"/>
              </w:rPr>
              <w:t xml:space="preserve">The PBAC </w:t>
            </w:r>
            <w:r w:rsidRPr="004D4ABE">
              <w:rPr>
                <w:rFonts w:ascii="Arial" w:hAnsi="Arial" w:cs="Arial"/>
                <w:sz w:val="18"/>
                <w:szCs w:val="18"/>
              </w:rPr>
              <w:t xml:space="preserve">noted the findings of the Report on medicines available for endometriosis and the stakeholder feedback that suggested PBS subsidy of the following medicines, specifically for endometriosis: </w:t>
            </w:r>
            <w:proofErr w:type="spellStart"/>
            <w:r w:rsidRPr="004D4ABE">
              <w:rPr>
                <w:rFonts w:ascii="Arial" w:hAnsi="Arial" w:cs="Arial"/>
                <w:sz w:val="18"/>
                <w:szCs w:val="18"/>
              </w:rPr>
              <w:t>dienogest</w:t>
            </w:r>
            <w:proofErr w:type="spellEnd"/>
            <w:r w:rsidRPr="004D4ABE">
              <w:rPr>
                <w:rFonts w:ascii="Arial" w:hAnsi="Arial" w:cs="Arial"/>
                <w:sz w:val="18"/>
                <w:szCs w:val="18"/>
              </w:rPr>
              <w:t xml:space="preserve">, </w:t>
            </w:r>
            <w:proofErr w:type="spellStart"/>
            <w:r w:rsidRPr="004D4ABE">
              <w:rPr>
                <w:rFonts w:ascii="Arial" w:hAnsi="Arial" w:cs="Arial"/>
                <w:sz w:val="18"/>
                <w:szCs w:val="18"/>
              </w:rPr>
              <w:t>dienogest</w:t>
            </w:r>
            <w:proofErr w:type="spellEnd"/>
            <w:r w:rsidRPr="004D4ABE">
              <w:rPr>
                <w:rFonts w:ascii="Arial" w:hAnsi="Arial" w:cs="Arial"/>
                <w:sz w:val="18"/>
                <w:szCs w:val="18"/>
              </w:rPr>
              <w:t xml:space="preserve"> and </w:t>
            </w:r>
            <w:proofErr w:type="spellStart"/>
            <w:r w:rsidRPr="004D4ABE">
              <w:rPr>
                <w:rFonts w:ascii="Arial" w:hAnsi="Arial" w:cs="Arial"/>
                <w:sz w:val="18"/>
                <w:szCs w:val="18"/>
              </w:rPr>
              <w:t>estradiol</w:t>
            </w:r>
            <w:proofErr w:type="spellEnd"/>
            <w:r w:rsidRPr="004D4ABE">
              <w:rPr>
                <w:rFonts w:ascii="Arial" w:hAnsi="Arial" w:cs="Arial"/>
                <w:sz w:val="18"/>
                <w:szCs w:val="18"/>
              </w:rPr>
              <w:t xml:space="preserve"> valerate (</w:t>
            </w:r>
            <w:proofErr w:type="spellStart"/>
            <w:r w:rsidRPr="004D4ABE">
              <w:rPr>
                <w:rFonts w:ascii="Arial" w:hAnsi="Arial" w:cs="Arial"/>
                <w:sz w:val="18"/>
                <w:szCs w:val="18"/>
              </w:rPr>
              <w:t>Qlaira</w:t>
            </w:r>
            <w:proofErr w:type="spellEnd"/>
            <w:r w:rsidRPr="00E80FEF">
              <w:rPr>
                <w:rFonts w:ascii="Arial" w:hAnsi="Arial" w:cs="Arial"/>
                <w:sz w:val="18"/>
                <w:szCs w:val="18"/>
                <w:vertAlign w:val="superscript"/>
              </w:rPr>
              <w:t>®</w:t>
            </w:r>
            <w:r w:rsidRPr="004D4ABE">
              <w:rPr>
                <w:rFonts w:ascii="Arial" w:hAnsi="Arial" w:cs="Arial"/>
                <w:sz w:val="18"/>
                <w:szCs w:val="18"/>
              </w:rPr>
              <w:t>), non-steroidal anti-inflammatory drugs (NSAIDs), newer generation combined oral contraceptive</w:t>
            </w:r>
            <w:r w:rsidR="005A7266">
              <w:rPr>
                <w:rFonts w:ascii="Arial" w:hAnsi="Arial" w:cs="Arial"/>
                <w:sz w:val="18"/>
                <w:szCs w:val="18"/>
              </w:rPr>
              <w:t xml:space="preserve"> (COC)</w:t>
            </w:r>
            <w:r w:rsidRPr="004D4ABE">
              <w:rPr>
                <w:rFonts w:ascii="Arial" w:hAnsi="Arial" w:cs="Arial"/>
                <w:sz w:val="18"/>
                <w:szCs w:val="18"/>
              </w:rPr>
              <w:t xml:space="preserve"> pills and medicines used for neuropathic pain. </w:t>
            </w:r>
          </w:p>
          <w:p w14:paraId="647B5E85" w14:textId="77777777" w:rsidR="004D4ABE" w:rsidRPr="004D4ABE" w:rsidRDefault="004D4ABE" w:rsidP="004D4ABE">
            <w:pPr>
              <w:widowControl w:val="0"/>
              <w:rPr>
                <w:rFonts w:ascii="Arial" w:hAnsi="Arial" w:cs="Arial"/>
                <w:sz w:val="18"/>
                <w:szCs w:val="18"/>
              </w:rPr>
            </w:pPr>
          </w:p>
          <w:p w14:paraId="6BE5EE27" w14:textId="3ACB6987" w:rsidR="004D4ABE" w:rsidRPr="004D4ABE" w:rsidRDefault="004D4ABE" w:rsidP="004D4ABE">
            <w:pPr>
              <w:widowControl w:val="0"/>
              <w:rPr>
                <w:rFonts w:ascii="Arial" w:hAnsi="Arial" w:cs="Arial"/>
                <w:sz w:val="18"/>
                <w:szCs w:val="18"/>
              </w:rPr>
            </w:pPr>
            <w:r w:rsidRPr="004D4ABE">
              <w:rPr>
                <w:rFonts w:ascii="Arial" w:hAnsi="Arial" w:cs="Arial"/>
                <w:sz w:val="18"/>
                <w:szCs w:val="18"/>
              </w:rPr>
              <w:t xml:space="preserve">The PBAC noted that the oral progestogen </w:t>
            </w:r>
            <w:proofErr w:type="spellStart"/>
            <w:r w:rsidRPr="004D4ABE">
              <w:rPr>
                <w:rFonts w:ascii="Arial" w:hAnsi="Arial" w:cs="Arial"/>
                <w:sz w:val="18"/>
                <w:szCs w:val="18"/>
              </w:rPr>
              <w:t>dienogest</w:t>
            </w:r>
            <w:proofErr w:type="spellEnd"/>
            <w:r w:rsidRPr="004D4ABE">
              <w:rPr>
                <w:rFonts w:ascii="Arial" w:hAnsi="Arial" w:cs="Arial"/>
                <w:sz w:val="18"/>
                <w:szCs w:val="18"/>
              </w:rPr>
              <w:t xml:space="preserve"> 2000 mcg is specifically </w:t>
            </w:r>
            <w:r w:rsidR="005A7266">
              <w:rPr>
                <w:rFonts w:ascii="Arial" w:hAnsi="Arial" w:cs="Arial"/>
                <w:sz w:val="18"/>
                <w:szCs w:val="18"/>
              </w:rPr>
              <w:t>Therapeutic Goods Administration (</w:t>
            </w:r>
            <w:r w:rsidRPr="004D4ABE">
              <w:rPr>
                <w:rFonts w:ascii="Arial" w:hAnsi="Arial" w:cs="Arial"/>
                <w:sz w:val="18"/>
                <w:szCs w:val="18"/>
              </w:rPr>
              <w:t>TGA</w:t>
            </w:r>
            <w:r w:rsidR="005A7266">
              <w:rPr>
                <w:rFonts w:ascii="Arial" w:hAnsi="Arial" w:cs="Arial"/>
                <w:sz w:val="18"/>
                <w:szCs w:val="18"/>
              </w:rPr>
              <w:t>)</w:t>
            </w:r>
            <w:r w:rsidRPr="004D4ABE">
              <w:rPr>
                <w:rFonts w:ascii="Arial" w:hAnsi="Arial" w:cs="Arial"/>
                <w:sz w:val="18"/>
                <w:szCs w:val="18"/>
              </w:rPr>
              <w:t xml:space="preserve"> registered for endometriosis and its use is supported by clinical guidelines, however the sponsor has not yet made a submission to list their product on the PBS. </w:t>
            </w:r>
          </w:p>
          <w:p w14:paraId="6EEE4633" w14:textId="77777777" w:rsidR="004D4ABE" w:rsidRPr="004D4ABE" w:rsidRDefault="004D4ABE" w:rsidP="004D4ABE">
            <w:pPr>
              <w:widowControl w:val="0"/>
              <w:rPr>
                <w:rFonts w:ascii="Arial" w:hAnsi="Arial" w:cs="Arial"/>
                <w:sz w:val="18"/>
                <w:szCs w:val="18"/>
              </w:rPr>
            </w:pPr>
          </w:p>
          <w:p w14:paraId="4608126E" w14:textId="1AA86E0C" w:rsidR="004D4ABE" w:rsidRPr="004D4ABE" w:rsidRDefault="004D4ABE" w:rsidP="004D4ABE">
            <w:pPr>
              <w:widowControl w:val="0"/>
              <w:rPr>
                <w:rFonts w:ascii="Arial" w:hAnsi="Arial" w:cs="Arial"/>
                <w:sz w:val="18"/>
                <w:szCs w:val="18"/>
              </w:rPr>
            </w:pPr>
            <w:r w:rsidRPr="004D4ABE">
              <w:rPr>
                <w:rFonts w:ascii="Arial" w:hAnsi="Arial" w:cs="Arial"/>
                <w:sz w:val="18"/>
                <w:szCs w:val="18"/>
              </w:rPr>
              <w:t>The PBAC considered the two unrestricted PBS listed NSAIDs</w:t>
            </w:r>
            <w:r w:rsidR="00616705">
              <w:rPr>
                <w:rFonts w:ascii="Arial" w:hAnsi="Arial" w:cs="Arial"/>
                <w:sz w:val="18"/>
                <w:szCs w:val="18"/>
              </w:rPr>
              <w:t xml:space="preserve"> (ibuprofen, diclofenac)</w:t>
            </w:r>
            <w:r w:rsidRPr="004D4ABE">
              <w:rPr>
                <w:rFonts w:ascii="Arial" w:hAnsi="Arial" w:cs="Arial"/>
                <w:sz w:val="18"/>
                <w:szCs w:val="18"/>
              </w:rPr>
              <w:t xml:space="preserve"> appropriate to treat endometriosis/pelvic pain without the need to expand the PBS listings of other NSAIDs.</w:t>
            </w:r>
          </w:p>
          <w:p w14:paraId="3EB7E233" w14:textId="77777777" w:rsidR="004D4ABE" w:rsidRPr="004D4ABE" w:rsidRDefault="004D4ABE" w:rsidP="004D4ABE">
            <w:pPr>
              <w:widowControl w:val="0"/>
              <w:rPr>
                <w:rFonts w:ascii="Arial" w:hAnsi="Arial" w:cs="Arial"/>
                <w:sz w:val="18"/>
                <w:szCs w:val="18"/>
              </w:rPr>
            </w:pPr>
          </w:p>
          <w:p w14:paraId="2F6D8902" w14:textId="1D8FC7AB" w:rsidR="004D4ABE" w:rsidRPr="004D4ABE" w:rsidRDefault="004D4ABE" w:rsidP="004D4ABE">
            <w:pPr>
              <w:widowControl w:val="0"/>
              <w:rPr>
                <w:rFonts w:ascii="Arial" w:hAnsi="Arial" w:cs="Arial"/>
                <w:sz w:val="18"/>
                <w:szCs w:val="18"/>
              </w:rPr>
            </w:pPr>
            <w:r w:rsidRPr="004D4ABE">
              <w:rPr>
                <w:rFonts w:ascii="Arial" w:hAnsi="Arial" w:cs="Arial"/>
                <w:sz w:val="18"/>
                <w:szCs w:val="18"/>
              </w:rPr>
              <w:t xml:space="preserve">The PBAC also </w:t>
            </w:r>
            <w:r w:rsidRPr="004D4ABE">
              <w:rPr>
                <w:rFonts w:ascii="Arial" w:hAnsi="Arial" w:cs="Arial"/>
                <w:color w:val="000000"/>
                <w:sz w:val="18"/>
                <w:szCs w:val="18"/>
              </w:rPr>
              <w:t xml:space="preserve">considered that expansion of PBS listings for botulinum toxin, diazepam suppositories and neuropathic pain medicines to include treatment of endometriosis was not possible at this time due to the limited evidence base for use in this indication, the risk of off label use and the potential for abuse. The PBAC proposed referring investigation of the effectiveness of these medicines in endometriosis/related conditions to the </w:t>
            </w:r>
            <w:r w:rsidRPr="004D4ABE">
              <w:rPr>
                <w:rFonts w:ascii="Arial" w:hAnsi="Arial" w:cs="Arial"/>
                <w:sz w:val="18"/>
                <w:szCs w:val="18"/>
              </w:rPr>
              <w:t xml:space="preserve">Medical Research Future Fund </w:t>
            </w:r>
            <w:r w:rsidRPr="004D4ABE">
              <w:rPr>
                <w:rFonts w:ascii="Arial" w:hAnsi="Arial" w:cs="Arial"/>
                <w:color w:val="000000"/>
                <w:sz w:val="18"/>
                <w:szCs w:val="18"/>
              </w:rPr>
              <w:t xml:space="preserve">for consideration as a research initiative </w:t>
            </w:r>
            <w:r w:rsidRPr="004D4ABE">
              <w:rPr>
                <w:rFonts w:ascii="Arial" w:hAnsi="Arial" w:cs="Arial"/>
                <w:sz w:val="18"/>
                <w:szCs w:val="18"/>
              </w:rPr>
              <w:t xml:space="preserve">to evaluate the benefits. </w:t>
            </w:r>
          </w:p>
          <w:p w14:paraId="182DDA56" w14:textId="77777777" w:rsidR="004D4ABE" w:rsidRPr="004D4ABE" w:rsidRDefault="004D4ABE" w:rsidP="004D4ABE">
            <w:pPr>
              <w:widowControl w:val="0"/>
              <w:rPr>
                <w:rFonts w:ascii="Arial" w:hAnsi="Arial" w:cs="Arial"/>
                <w:sz w:val="18"/>
                <w:szCs w:val="18"/>
              </w:rPr>
            </w:pPr>
          </w:p>
          <w:p w14:paraId="6B6AC444" w14:textId="321DC918" w:rsidR="004D4ABE" w:rsidRPr="004D4ABE" w:rsidRDefault="004D4ABE" w:rsidP="004D4ABE">
            <w:pPr>
              <w:keepLines/>
              <w:spacing w:after="120"/>
              <w:rPr>
                <w:rFonts w:ascii="Arial" w:hAnsi="Arial" w:cs="Arial"/>
                <w:color w:val="000000"/>
                <w:sz w:val="18"/>
                <w:szCs w:val="18"/>
                <w:shd w:val="clear" w:color="auto" w:fill="FFFFFF"/>
              </w:rPr>
            </w:pPr>
            <w:r w:rsidRPr="004D4ABE">
              <w:rPr>
                <w:rFonts w:ascii="Arial" w:hAnsi="Arial" w:cs="Arial"/>
                <w:sz w:val="18"/>
                <w:szCs w:val="18"/>
              </w:rPr>
              <w:t>The PBAC expressed its intention to continue to work with the Department to address the identified issues within its remit to improve access for patients with endometriosis and related conditions to effective PBS subsidised therapies.</w:t>
            </w:r>
          </w:p>
        </w:tc>
      </w:tr>
      <w:tr w:rsidR="00712C57" w:rsidRPr="00D2401D" w14:paraId="462D24A8"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564B02E" w14:textId="77777777" w:rsidR="00712C57" w:rsidRDefault="00712C57" w:rsidP="00712C57">
            <w:pPr>
              <w:rPr>
                <w:rFonts w:ascii="Arial" w:hAnsi="Arial" w:cs="Arial"/>
                <w:sz w:val="18"/>
                <w:szCs w:val="18"/>
              </w:rPr>
            </w:pPr>
            <w:r>
              <w:rPr>
                <w:rFonts w:ascii="Arial" w:hAnsi="Arial" w:cs="Arial"/>
                <w:sz w:val="18"/>
                <w:szCs w:val="18"/>
              </w:rPr>
              <w:lastRenderedPageBreak/>
              <w:t>TOCILIZUMAB</w:t>
            </w:r>
          </w:p>
          <w:p w14:paraId="42C7B9F0" w14:textId="77777777" w:rsidR="00712C57" w:rsidRDefault="00712C57" w:rsidP="00712C57">
            <w:pPr>
              <w:rPr>
                <w:rFonts w:ascii="Arial" w:hAnsi="Arial" w:cs="Arial"/>
                <w:sz w:val="18"/>
                <w:szCs w:val="18"/>
              </w:rPr>
            </w:pPr>
          </w:p>
          <w:p w14:paraId="0335153E" w14:textId="77777777" w:rsidR="00712C57" w:rsidRDefault="00712C57" w:rsidP="00712C57">
            <w:pPr>
              <w:rPr>
                <w:rFonts w:ascii="Arial" w:hAnsi="Arial" w:cs="Arial"/>
                <w:sz w:val="18"/>
                <w:szCs w:val="18"/>
              </w:rPr>
            </w:pPr>
            <w:r>
              <w:rPr>
                <w:rFonts w:ascii="Arial" w:hAnsi="Arial" w:cs="Arial"/>
                <w:sz w:val="18"/>
                <w:szCs w:val="18"/>
              </w:rPr>
              <w:t>Injection 162 mg in 0.9 mL single use pre-filled pen</w:t>
            </w:r>
          </w:p>
          <w:p w14:paraId="267C91F7" w14:textId="77777777" w:rsidR="00712C57" w:rsidRDefault="00712C57" w:rsidP="00712C57">
            <w:pPr>
              <w:rPr>
                <w:rFonts w:ascii="Arial" w:hAnsi="Arial" w:cs="Arial"/>
                <w:sz w:val="18"/>
                <w:szCs w:val="18"/>
              </w:rPr>
            </w:pPr>
          </w:p>
          <w:p w14:paraId="13F86B2E" w14:textId="77777777" w:rsidR="00712C57" w:rsidRDefault="00712C57" w:rsidP="00712C57">
            <w:pPr>
              <w:rPr>
                <w:rFonts w:ascii="Arial" w:hAnsi="Arial" w:cs="Arial"/>
                <w:sz w:val="18"/>
                <w:szCs w:val="18"/>
              </w:rPr>
            </w:pPr>
            <w:r>
              <w:rPr>
                <w:rFonts w:ascii="Arial" w:hAnsi="Arial" w:cs="Arial"/>
                <w:sz w:val="18"/>
                <w:szCs w:val="18"/>
              </w:rPr>
              <w:t>Actemra</w:t>
            </w:r>
            <w:r w:rsidRPr="00293366">
              <w:rPr>
                <w:rFonts w:ascii="Arial" w:hAnsi="Arial" w:cs="Arial"/>
                <w:sz w:val="18"/>
                <w:szCs w:val="18"/>
                <w:vertAlign w:val="superscript"/>
              </w:rPr>
              <w:t>®</w:t>
            </w:r>
            <w:r>
              <w:rPr>
                <w:rFonts w:ascii="Arial" w:hAnsi="Arial" w:cs="Arial"/>
                <w:sz w:val="18"/>
                <w:szCs w:val="18"/>
              </w:rPr>
              <w:t xml:space="preserve"> </w:t>
            </w:r>
            <w:proofErr w:type="spellStart"/>
            <w:r>
              <w:rPr>
                <w:rFonts w:ascii="Arial" w:hAnsi="Arial" w:cs="Arial"/>
                <w:sz w:val="18"/>
                <w:szCs w:val="18"/>
              </w:rPr>
              <w:t>ACTPen</w:t>
            </w:r>
            <w:proofErr w:type="spellEnd"/>
          </w:p>
          <w:p w14:paraId="3C3481E7" w14:textId="77777777" w:rsidR="00712C57" w:rsidRDefault="00712C57" w:rsidP="00712C57">
            <w:pPr>
              <w:rPr>
                <w:rFonts w:ascii="Arial" w:hAnsi="Arial" w:cs="Arial"/>
                <w:sz w:val="18"/>
                <w:szCs w:val="18"/>
              </w:rPr>
            </w:pPr>
          </w:p>
          <w:p w14:paraId="45684B9E" w14:textId="77777777" w:rsidR="00712C57" w:rsidRDefault="00712C57" w:rsidP="00712C57">
            <w:pPr>
              <w:rPr>
                <w:rFonts w:ascii="Arial" w:hAnsi="Arial" w:cs="Arial"/>
                <w:sz w:val="18"/>
                <w:szCs w:val="18"/>
              </w:rPr>
            </w:pPr>
            <w:r>
              <w:rPr>
                <w:rFonts w:ascii="Arial" w:hAnsi="Arial" w:cs="Arial"/>
                <w:sz w:val="18"/>
                <w:szCs w:val="18"/>
              </w:rPr>
              <w:t>Injection 162 mg in 0.9 mL single use pre-filled syringe</w:t>
            </w:r>
          </w:p>
          <w:p w14:paraId="4D29B7ED" w14:textId="77777777" w:rsidR="00712C57" w:rsidRDefault="00712C57" w:rsidP="00712C57">
            <w:pPr>
              <w:rPr>
                <w:rFonts w:ascii="Arial" w:hAnsi="Arial" w:cs="Arial"/>
                <w:sz w:val="18"/>
                <w:szCs w:val="18"/>
              </w:rPr>
            </w:pPr>
          </w:p>
          <w:p w14:paraId="5481DC88" w14:textId="77777777" w:rsidR="00712C57" w:rsidRDefault="00712C57" w:rsidP="00712C57">
            <w:pPr>
              <w:rPr>
                <w:rFonts w:ascii="Arial" w:hAnsi="Arial" w:cs="Arial"/>
                <w:sz w:val="18"/>
                <w:szCs w:val="18"/>
              </w:rPr>
            </w:pPr>
            <w:r>
              <w:rPr>
                <w:rFonts w:ascii="Arial" w:hAnsi="Arial" w:cs="Arial"/>
                <w:sz w:val="18"/>
                <w:szCs w:val="18"/>
              </w:rPr>
              <w:t>Actemra</w:t>
            </w:r>
            <w:r w:rsidRPr="00EB00B5">
              <w:rPr>
                <w:rFonts w:ascii="Arial" w:hAnsi="Arial" w:cs="Arial"/>
                <w:sz w:val="18"/>
                <w:szCs w:val="18"/>
                <w:vertAlign w:val="superscript"/>
              </w:rPr>
              <w:t>®</w:t>
            </w:r>
            <w:r>
              <w:rPr>
                <w:rFonts w:ascii="Arial" w:hAnsi="Arial" w:cs="Arial"/>
                <w:sz w:val="18"/>
                <w:szCs w:val="18"/>
              </w:rPr>
              <w:t xml:space="preserve"> Subcutaneous Injection</w:t>
            </w:r>
          </w:p>
          <w:p w14:paraId="14F63AA8" w14:textId="77777777" w:rsidR="00712C57" w:rsidRDefault="00712C57" w:rsidP="00712C57">
            <w:pPr>
              <w:rPr>
                <w:rFonts w:ascii="Arial" w:hAnsi="Arial" w:cs="Arial"/>
                <w:sz w:val="18"/>
                <w:szCs w:val="18"/>
              </w:rPr>
            </w:pPr>
          </w:p>
          <w:p w14:paraId="4534EC10" w14:textId="77777777" w:rsidR="00712C57" w:rsidRDefault="00712C57" w:rsidP="00712C57">
            <w:pPr>
              <w:rPr>
                <w:rFonts w:ascii="Arial" w:hAnsi="Arial" w:cs="Arial"/>
                <w:sz w:val="18"/>
                <w:szCs w:val="18"/>
              </w:rPr>
            </w:pPr>
            <w:r>
              <w:rPr>
                <w:rFonts w:ascii="Arial" w:hAnsi="Arial" w:cs="Arial"/>
                <w:sz w:val="18"/>
                <w:szCs w:val="18"/>
              </w:rPr>
              <w:t>Roche Products Pty Ltd</w:t>
            </w:r>
          </w:p>
          <w:p w14:paraId="1A510206" w14:textId="77777777" w:rsidR="00712C57" w:rsidRDefault="00712C57" w:rsidP="00712C57">
            <w:pPr>
              <w:rPr>
                <w:rFonts w:ascii="Arial" w:hAnsi="Arial" w:cs="Arial"/>
                <w:sz w:val="18"/>
                <w:szCs w:val="18"/>
              </w:rPr>
            </w:pPr>
          </w:p>
          <w:p w14:paraId="4F5178DA" w14:textId="30C75C59" w:rsidR="00712C57" w:rsidRDefault="00712C57" w:rsidP="00712C57">
            <w:pPr>
              <w:rPr>
                <w:rFonts w:ascii="Arial" w:hAnsi="Arial" w:cs="Arial"/>
                <w:sz w:val="18"/>
                <w:szCs w:val="18"/>
              </w:rPr>
            </w:pPr>
            <w:r>
              <w:rPr>
                <w:rFonts w:ascii="Arial" w:hAnsi="Arial" w:cs="Arial"/>
                <w:sz w:val="18"/>
                <w:szCs w:val="18"/>
              </w:rPr>
              <w:t>(Change to PBS listing)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3962821" w14:textId="75583F18" w:rsidR="00712C57" w:rsidRDefault="00712C57" w:rsidP="00712C57">
            <w:pPr>
              <w:keepLines/>
              <w:widowControl w:val="0"/>
              <w:spacing w:after="120"/>
              <w:jc w:val="center"/>
              <w:rPr>
                <w:rFonts w:ascii="Arial" w:hAnsi="Arial" w:cs="Arial"/>
                <w:snapToGrid w:val="0"/>
                <w:sz w:val="18"/>
                <w:szCs w:val="18"/>
                <w:lang w:eastAsia="en-US"/>
              </w:rPr>
            </w:pPr>
            <w:r>
              <w:rPr>
                <w:rFonts w:ascii="Arial" w:hAnsi="Arial" w:cs="Arial"/>
                <w:snapToGrid w:val="0"/>
                <w:sz w:val="18"/>
                <w:szCs w:val="18"/>
                <w:lang w:eastAsia="en-US"/>
              </w:rPr>
              <w:t>Giant cell arteritis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28E20CD" w14:textId="5579757A" w:rsidR="00712C57" w:rsidRPr="004D4ABE" w:rsidRDefault="00712C57" w:rsidP="00712C57">
            <w:pPr>
              <w:keepLines/>
              <w:widowControl w:val="0"/>
              <w:spacing w:after="120"/>
              <w:rPr>
                <w:rFonts w:ascii="Arial" w:hAnsi="Arial" w:cs="Arial"/>
                <w:snapToGrid w:val="0"/>
                <w:sz w:val="18"/>
                <w:szCs w:val="18"/>
                <w:lang w:eastAsia="en-US"/>
              </w:rPr>
            </w:pPr>
            <w:r w:rsidRPr="00EB00B5">
              <w:rPr>
                <w:rFonts w:ascii="Arial" w:hAnsi="Arial" w:cs="Arial"/>
                <w:snapToGrid w:val="0"/>
                <w:sz w:val="18"/>
                <w:szCs w:val="18"/>
                <w:lang w:eastAsia="en-US"/>
              </w:rPr>
              <w:t>Consideration of correspondence requesting an amendment to the circumstances under which tocilizumab for giant cell arteritis is available on the PBS.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18D35C3" w14:textId="2F9CA99B" w:rsidR="00712C57" w:rsidDel="008D598A" w:rsidRDefault="00712C57" w:rsidP="00712C57">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15432C8" w14:textId="28236272" w:rsidR="00712C57" w:rsidRPr="004D4ABE" w:rsidDel="008D598A" w:rsidRDefault="00712C57" w:rsidP="00712C57">
            <w:pPr>
              <w:rPr>
                <w:rFonts w:ascii="Arial" w:hAnsi="Arial" w:cs="Arial"/>
                <w:sz w:val="18"/>
                <w:szCs w:val="18"/>
              </w:rPr>
            </w:pPr>
            <w:r w:rsidRPr="00EB00B5">
              <w:rPr>
                <w:rFonts w:ascii="Arial" w:hAnsi="Arial" w:cs="Arial"/>
                <w:color w:val="000000"/>
                <w:sz w:val="18"/>
                <w:szCs w:val="21"/>
                <w:shd w:val="clear" w:color="auto" w:fill="FFFFFF"/>
              </w:rPr>
              <w:t>The PBAC recommended to amend the circumstances under which tocilizumab is available on the PBS for giant cell arteritis to include ultrasound in the clinical criteria as a method for diagnosis.</w:t>
            </w:r>
          </w:p>
        </w:tc>
      </w:tr>
      <w:tr w:rsidR="00747FBF" w:rsidRPr="00D2401D" w14:paraId="7A546DAC"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CDDD99E" w14:textId="77777777" w:rsidR="00747FBF" w:rsidRDefault="00747FBF" w:rsidP="00952ADE">
            <w:pPr>
              <w:rPr>
                <w:rFonts w:ascii="Arial" w:hAnsi="Arial" w:cs="Arial"/>
                <w:sz w:val="18"/>
                <w:szCs w:val="18"/>
              </w:rPr>
            </w:pPr>
            <w:r>
              <w:rPr>
                <w:rFonts w:ascii="Arial" w:hAnsi="Arial" w:cs="Arial"/>
                <w:sz w:val="18"/>
                <w:szCs w:val="18"/>
              </w:rPr>
              <w:lastRenderedPageBreak/>
              <w:t>UTILISATION OF ONDANSETRON FOR JUVENILE IDIOPATHIC ARTHRITIS</w:t>
            </w:r>
          </w:p>
          <w:p w14:paraId="7F339189" w14:textId="1E282211" w:rsidR="00747FBF" w:rsidRDefault="00747FBF" w:rsidP="00952ADE">
            <w:pPr>
              <w:rPr>
                <w:rFonts w:ascii="Arial" w:hAnsi="Arial" w:cs="Arial"/>
                <w:sz w:val="18"/>
                <w:szCs w:val="18"/>
              </w:rPr>
            </w:pPr>
          </w:p>
          <w:p w14:paraId="04AF9E73" w14:textId="48723394" w:rsidR="00846BB8" w:rsidRDefault="00846BB8" w:rsidP="00952ADE">
            <w:pPr>
              <w:rPr>
                <w:rFonts w:ascii="Arial" w:hAnsi="Arial" w:cs="Arial"/>
                <w:sz w:val="18"/>
                <w:szCs w:val="18"/>
              </w:rPr>
            </w:pPr>
            <w:r>
              <w:rPr>
                <w:rFonts w:ascii="Arial" w:hAnsi="Arial" w:cs="Arial"/>
                <w:sz w:val="18"/>
                <w:szCs w:val="18"/>
              </w:rPr>
              <w:t>ONDANSETRON</w:t>
            </w:r>
          </w:p>
          <w:p w14:paraId="60319652" w14:textId="6960B4A8" w:rsidR="00846BB8" w:rsidRDefault="00846BB8" w:rsidP="00952ADE">
            <w:pPr>
              <w:rPr>
                <w:rFonts w:ascii="Arial" w:hAnsi="Arial" w:cs="Arial"/>
                <w:sz w:val="18"/>
                <w:szCs w:val="18"/>
              </w:rPr>
            </w:pPr>
          </w:p>
          <w:p w14:paraId="3DFF8E50" w14:textId="72699956" w:rsidR="00846BB8" w:rsidRDefault="00846BB8" w:rsidP="00952ADE">
            <w:pPr>
              <w:rPr>
                <w:rFonts w:ascii="Arial" w:hAnsi="Arial" w:cs="Arial"/>
                <w:sz w:val="18"/>
                <w:szCs w:val="18"/>
              </w:rPr>
            </w:pPr>
            <w:r>
              <w:rPr>
                <w:rFonts w:ascii="Arial" w:hAnsi="Arial" w:cs="Arial"/>
                <w:sz w:val="18"/>
                <w:szCs w:val="18"/>
              </w:rPr>
              <w:t>Syrup 4 mg (as hydrochloride dihydrate) per 5 mL, 50 mL</w:t>
            </w:r>
          </w:p>
          <w:p w14:paraId="4E78C5EA" w14:textId="40DB38C1" w:rsidR="00846BB8" w:rsidRDefault="00846BB8" w:rsidP="00952ADE">
            <w:pPr>
              <w:rPr>
                <w:rFonts w:ascii="Arial" w:hAnsi="Arial" w:cs="Arial"/>
                <w:sz w:val="18"/>
                <w:szCs w:val="18"/>
              </w:rPr>
            </w:pPr>
            <w:r>
              <w:rPr>
                <w:rFonts w:ascii="Arial" w:hAnsi="Arial" w:cs="Arial"/>
                <w:sz w:val="18"/>
                <w:szCs w:val="18"/>
              </w:rPr>
              <w:t>Tablet 4 mg (as hydrochloride dihydrate)</w:t>
            </w:r>
          </w:p>
          <w:p w14:paraId="351D2838" w14:textId="7FE0BC59" w:rsidR="00846BB8" w:rsidRDefault="00846BB8" w:rsidP="00952ADE">
            <w:pPr>
              <w:rPr>
                <w:rFonts w:ascii="Arial" w:hAnsi="Arial" w:cs="Arial"/>
                <w:sz w:val="18"/>
                <w:szCs w:val="18"/>
              </w:rPr>
            </w:pPr>
            <w:r>
              <w:rPr>
                <w:rFonts w:ascii="Arial" w:hAnsi="Arial" w:cs="Arial"/>
                <w:sz w:val="18"/>
                <w:szCs w:val="18"/>
              </w:rPr>
              <w:t>Tablet 8 mg (as hydrochloride dihydrate)</w:t>
            </w:r>
          </w:p>
          <w:p w14:paraId="582C7C57" w14:textId="7AA01F08" w:rsidR="00846BB8" w:rsidRDefault="00846BB8" w:rsidP="00952ADE">
            <w:pPr>
              <w:rPr>
                <w:rFonts w:ascii="Arial" w:hAnsi="Arial" w:cs="Arial"/>
                <w:sz w:val="18"/>
                <w:szCs w:val="18"/>
              </w:rPr>
            </w:pPr>
            <w:r>
              <w:rPr>
                <w:rFonts w:ascii="Arial" w:hAnsi="Arial" w:cs="Arial"/>
                <w:sz w:val="18"/>
                <w:szCs w:val="18"/>
              </w:rPr>
              <w:t>Tablet (orally disintegrating) 4 mg</w:t>
            </w:r>
          </w:p>
          <w:p w14:paraId="6BD374FB" w14:textId="6BA695CB" w:rsidR="00846BB8" w:rsidRDefault="00846BB8" w:rsidP="00952ADE">
            <w:pPr>
              <w:rPr>
                <w:rFonts w:ascii="Arial" w:hAnsi="Arial" w:cs="Arial"/>
                <w:sz w:val="18"/>
                <w:szCs w:val="18"/>
              </w:rPr>
            </w:pPr>
            <w:r>
              <w:rPr>
                <w:rFonts w:ascii="Arial" w:hAnsi="Arial" w:cs="Arial"/>
                <w:sz w:val="18"/>
                <w:szCs w:val="18"/>
              </w:rPr>
              <w:t>Tablet (orally disintegrating) 8 mg</w:t>
            </w:r>
          </w:p>
          <w:p w14:paraId="70CD8980" w14:textId="385DA29B" w:rsidR="00846BB8" w:rsidRDefault="00846BB8" w:rsidP="00952ADE">
            <w:pPr>
              <w:rPr>
                <w:rFonts w:ascii="Arial" w:hAnsi="Arial" w:cs="Arial"/>
                <w:sz w:val="18"/>
                <w:szCs w:val="18"/>
              </w:rPr>
            </w:pPr>
            <w:r>
              <w:rPr>
                <w:rFonts w:ascii="Arial" w:hAnsi="Arial" w:cs="Arial"/>
                <w:sz w:val="18"/>
                <w:szCs w:val="18"/>
              </w:rPr>
              <w:t>Wafer 4 mg</w:t>
            </w:r>
          </w:p>
          <w:p w14:paraId="7B33E095" w14:textId="3C6AF438" w:rsidR="00846BB8" w:rsidRDefault="00846BB8" w:rsidP="00952ADE">
            <w:pPr>
              <w:rPr>
                <w:rFonts w:ascii="Arial" w:hAnsi="Arial" w:cs="Arial"/>
                <w:sz w:val="18"/>
                <w:szCs w:val="18"/>
              </w:rPr>
            </w:pPr>
            <w:r>
              <w:rPr>
                <w:rFonts w:ascii="Arial" w:hAnsi="Arial" w:cs="Arial"/>
                <w:sz w:val="18"/>
                <w:szCs w:val="18"/>
              </w:rPr>
              <w:t>Wafer 8 mg</w:t>
            </w:r>
          </w:p>
          <w:p w14:paraId="6E27CD20" w14:textId="07F53B17" w:rsidR="00293366" w:rsidRDefault="00293366" w:rsidP="00952ADE">
            <w:pPr>
              <w:rPr>
                <w:rFonts w:ascii="Arial" w:hAnsi="Arial" w:cs="Arial"/>
                <w:sz w:val="18"/>
                <w:szCs w:val="18"/>
              </w:rPr>
            </w:pPr>
          </w:p>
          <w:p w14:paraId="65E89B93" w14:textId="27E82252" w:rsidR="00293366" w:rsidRDefault="00293366" w:rsidP="00952ADE">
            <w:pPr>
              <w:rPr>
                <w:rFonts w:ascii="Arial" w:hAnsi="Arial" w:cs="Arial"/>
                <w:sz w:val="18"/>
                <w:szCs w:val="18"/>
              </w:rPr>
            </w:pPr>
            <w:r>
              <w:rPr>
                <w:rFonts w:ascii="Arial" w:hAnsi="Arial" w:cs="Arial"/>
                <w:sz w:val="18"/>
                <w:szCs w:val="18"/>
              </w:rPr>
              <w:t>Multiple brands</w:t>
            </w:r>
          </w:p>
          <w:p w14:paraId="0F79795C" w14:textId="42318288" w:rsidR="00293366" w:rsidRDefault="00293366" w:rsidP="00952ADE">
            <w:pPr>
              <w:rPr>
                <w:rFonts w:ascii="Arial" w:hAnsi="Arial" w:cs="Arial"/>
                <w:sz w:val="18"/>
                <w:szCs w:val="18"/>
              </w:rPr>
            </w:pPr>
          </w:p>
          <w:p w14:paraId="00697985" w14:textId="24E794F3" w:rsidR="00293366" w:rsidRDefault="00293366" w:rsidP="00952ADE">
            <w:pPr>
              <w:rPr>
                <w:rFonts w:ascii="Arial" w:hAnsi="Arial" w:cs="Arial"/>
                <w:sz w:val="18"/>
                <w:szCs w:val="18"/>
              </w:rPr>
            </w:pPr>
            <w:r>
              <w:rPr>
                <w:rFonts w:ascii="Arial" w:hAnsi="Arial" w:cs="Arial"/>
                <w:sz w:val="18"/>
                <w:szCs w:val="18"/>
              </w:rPr>
              <w:t>Multiple sponsors</w:t>
            </w:r>
          </w:p>
          <w:p w14:paraId="26F0AC28" w14:textId="634A04E5" w:rsidR="00846BB8" w:rsidRDefault="00846BB8" w:rsidP="00952ADE">
            <w:pPr>
              <w:rPr>
                <w:rFonts w:ascii="Arial" w:hAnsi="Arial" w:cs="Arial"/>
                <w:sz w:val="18"/>
                <w:szCs w:val="18"/>
              </w:rPr>
            </w:pPr>
          </w:p>
          <w:p w14:paraId="29AA9E22" w14:textId="6C55777F" w:rsidR="00293366" w:rsidRDefault="00293366" w:rsidP="00952ADE">
            <w:pPr>
              <w:rPr>
                <w:rFonts w:ascii="Arial" w:hAnsi="Arial" w:cs="Arial"/>
                <w:sz w:val="18"/>
                <w:szCs w:val="18"/>
              </w:rPr>
            </w:pPr>
            <w:r>
              <w:rPr>
                <w:rFonts w:ascii="Arial" w:hAnsi="Arial" w:cs="Arial"/>
                <w:sz w:val="18"/>
                <w:szCs w:val="18"/>
              </w:rPr>
              <w:t>(Change to PBS listing)</w:t>
            </w:r>
          </w:p>
          <w:p w14:paraId="3CB32258" w14:textId="45F265AE" w:rsidR="00747FBF" w:rsidRDefault="00747FBF" w:rsidP="00952ADE">
            <w:pPr>
              <w:rPr>
                <w:rFonts w:ascii="Arial" w:hAnsi="Arial" w:cs="Arial"/>
                <w:sz w:val="18"/>
                <w:szCs w:val="18"/>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F396EF9" w14:textId="1BB4FC37" w:rsidR="00747FBF" w:rsidRPr="00DA4E0B" w:rsidRDefault="00846BB8" w:rsidP="00283D2B">
            <w:pPr>
              <w:keepLines/>
              <w:widowControl w:val="0"/>
              <w:spacing w:after="120"/>
              <w:jc w:val="center"/>
              <w:rPr>
                <w:rFonts w:ascii="Arial" w:hAnsi="Arial" w:cs="Arial"/>
                <w:snapToGrid w:val="0"/>
                <w:sz w:val="18"/>
                <w:szCs w:val="18"/>
                <w:lang w:eastAsia="en-US"/>
              </w:rPr>
            </w:pPr>
            <w:r>
              <w:rPr>
                <w:rFonts w:ascii="Arial" w:hAnsi="Arial" w:cs="Arial"/>
                <w:snapToGrid w:val="0"/>
                <w:sz w:val="18"/>
                <w:szCs w:val="18"/>
                <w:lang w:eastAsia="en-US"/>
              </w:rPr>
              <w:t>Antiemetic and antinauseant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9631A9B" w14:textId="227E1988" w:rsidR="00747FBF" w:rsidRPr="00DA4E0B" w:rsidRDefault="00846BB8" w:rsidP="006A1809">
            <w:pPr>
              <w:keepLines/>
              <w:widowControl w:val="0"/>
              <w:spacing w:after="120"/>
              <w:rPr>
                <w:rFonts w:ascii="Arial" w:hAnsi="Arial" w:cs="Arial"/>
                <w:snapToGrid w:val="0"/>
                <w:sz w:val="18"/>
                <w:szCs w:val="18"/>
                <w:lang w:eastAsia="en-US"/>
              </w:rPr>
            </w:pPr>
            <w:r w:rsidRPr="00846BB8">
              <w:rPr>
                <w:rFonts w:ascii="Arial" w:hAnsi="Arial" w:cs="Arial"/>
                <w:snapToGrid w:val="0"/>
                <w:sz w:val="18"/>
                <w:szCs w:val="18"/>
                <w:lang w:eastAsia="en-US"/>
              </w:rPr>
              <w:t>To consider expanding the PBS listing of ondansetron to allow use in</w:t>
            </w:r>
            <w:r w:rsidR="00414FB3">
              <w:rPr>
                <w:rFonts w:ascii="Arial" w:hAnsi="Arial" w:cs="Arial"/>
                <w:snapToGrid w:val="0"/>
                <w:sz w:val="18"/>
                <w:szCs w:val="18"/>
                <w:lang w:eastAsia="en-US"/>
              </w:rPr>
              <w:t xml:space="preserve"> paediatric</w:t>
            </w:r>
            <w:r w:rsidRPr="00846BB8">
              <w:rPr>
                <w:rFonts w:ascii="Arial" w:hAnsi="Arial" w:cs="Arial"/>
                <w:snapToGrid w:val="0"/>
                <w:sz w:val="18"/>
                <w:szCs w:val="18"/>
                <w:lang w:eastAsia="en-US"/>
              </w:rPr>
              <w:t xml:space="preserve"> patients taking methotrexate for the treatment of rheumatic diseases.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A005F1D" w14:textId="6E0B2EC9" w:rsidR="00747FBF" w:rsidRDefault="00846BB8" w:rsidP="0032768B">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B4D94DB" w14:textId="3EAFF016" w:rsidR="00747FBF" w:rsidRPr="00DA4E0B" w:rsidRDefault="00846BB8" w:rsidP="009545F1">
            <w:pPr>
              <w:keepLines/>
              <w:spacing w:after="120"/>
              <w:rPr>
                <w:rFonts w:ascii="Arial" w:hAnsi="Arial" w:cs="Arial"/>
                <w:color w:val="000000"/>
                <w:sz w:val="18"/>
                <w:szCs w:val="21"/>
                <w:shd w:val="clear" w:color="auto" w:fill="FFFFFF"/>
              </w:rPr>
            </w:pPr>
            <w:r w:rsidRPr="00846BB8">
              <w:rPr>
                <w:rFonts w:ascii="Arial" w:hAnsi="Arial" w:cs="Arial"/>
                <w:color w:val="000000"/>
                <w:sz w:val="18"/>
                <w:szCs w:val="21"/>
                <w:shd w:val="clear" w:color="auto" w:fill="FFFFFF"/>
              </w:rPr>
              <w:t>The PBAC recommended an Authority Required (Streamlined) listing for</w:t>
            </w:r>
            <w:r w:rsidR="00414FB3">
              <w:rPr>
                <w:rFonts w:ascii="Arial" w:hAnsi="Arial" w:cs="Arial"/>
                <w:color w:val="000000"/>
                <w:sz w:val="18"/>
                <w:szCs w:val="21"/>
                <w:shd w:val="clear" w:color="auto" w:fill="FFFFFF"/>
              </w:rPr>
              <w:t xml:space="preserve"> ondansetron for the treatment of</w:t>
            </w:r>
            <w:r w:rsidRPr="00846BB8">
              <w:rPr>
                <w:rFonts w:ascii="Arial" w:hAnsi="Arial" w:cs="Arial"/>
                <w:color w:val="000000"/>
                <w:sz w:val="18"/>
                <w:szCs w:val="21"/>
                <w:shd w:val="clear" w:color="auto" w:fill="FFFFFF"/>
              </w:rPr>
              <w:t xml:space="preserve"> nausea and vomiting </w:t>
            </w:r>
            <w:r w:rsidR="00414FB3">
              <w:rPr>
                <w:rFonts w:ascii="Arial" w:hAnsi="Arial" w:cs="Arial"/>
                <w:color w:val="000000"/>
                <w:sz w:val="18"/>
                <w:szCs w:val="21"/>
                <w:shd w:val="clear" w:color="auto" w:fill="FFFFFF"/>
              </w:rPr>
              <w:t>associated with</w:t>
            </w:r>
            <w:r w:rsidRPr="00846BB8">
              <w:rPr>
                <w:rFonts w:ascii="Arial" w:hAnsi="Arial" w:cs="Arial"/>
                <w:color w:val="000000"/>
                <w:sz w:val="18"/>
                <w:szCs w:val="21"/>
                <w:shd w:val="clear" w:color="auto" w:fill="FFFFFF"/>
              </w:rPr>
              <w:t xml:space="preserve"> cytotoxic chemotherapy (including methotrexate) </w:t>
            </w:r>
            <w:r w:rsidR="00414FB3">
              <w:rPr>
                <w:rFonts w:ascii="Arial" w:hAnsi="Arial" w:cs="Arial"/>
                <w:color w:val="000000"/>
                <w:sz w:val="18"/>
                <w:szCs w:val="21"/>
                <w:shd w:val="clear" w:color="auto" w:fill="FFFFFF"/>
              </w:rPr>
              <w:t xml:space="preserve">being </w:t>
            </w:r>
            <w:r w:rsidRPr="00846BB8">
              <w:rPr>
                <w:rFonts w:ascii="Arial" w:hAnsi="Arial" w:cs="Arial"/>
                <w:color w:val="000000"/>
                <w:sz w:val="18"/>
                <w:szCs w:val="21"/>
                <w:shd w:val="clear" w:color="auto" w:fill="FFFFFF"/>
              </w:rPr>
              <w:t xml:space="preserve">used in the treatment of </w:t>
            </w:r>
            <w:r w:rsidR="00414FB3">
              <w:rPr>
                <w:rFonts w:ascii="Arial" w:hAnsi="Arial" w:cs="Arial"/>
                <w:color w:val="000000"/>
                <w:sz w:val="18"/>
                <w:szCs w:val="21"/>
                <w:shd w:val="clear" w:color="auto" w:fill="FFFFFF"/>
              </w:rPr>
              <w:t>malignancy</w:t>
            </w:r>
            <w:r w:rsidR="00414FB3" w:rsidRPr="00846BB8">
              <w:rPr>
                <w:rFonts w:ascii="Arial" w:hAnsi="Arial" w:cs="Arial"/>
                <w:color w:val="000000"/>
                <w:sz w:val="18"/>
                <w:szCs w:val="21"/>
                <w:shd w:val="clear" w:color="auto" w:fill="FFFFFF"/>
              </w:rPr>
              <w:t xml:space="preserve"> </w:t>
            </w:r>
            <w:r w:rsidRPr="00846BB8">
              <w:rPr>
                <w:rFonts w:ascii="Arial" w:hAnsi="Arial" w:cs="Arial"/>
                <w:color w:val="000000"/>
                <w:sz w:val="18"/>
                <w:szCs w:val="21"/>
                <w:shd w:val="clear" w:color="auto" w:fill="FFFFFF"/>
              </w:rPr>
              <w:t>and juvenile autoimmune conditions.</w:t>
            </w:r>
            <w:r w:rsidR="009545F1">
              <w:rPr>
                <w:rFonts w:ascii="Arial" w:hAnsi="Arial" w:cs="Arial"/>
                <w:color w:val="000000"/>
                <w:sz w:val="18"/>
                <w:szCs w:val="21"/>
                <w:shd w:val="clear" w:color="auto" w:fill="FFFFFF"/>
              </w:rPr>
              <w:t xml:space="preserve"> </w:t>
            </w:r>
            <w:r w:rsidRPr="00846BB8">
              <w:rPr>
                <w:rFonts w:ascii="Arial" w:hAnsi="Arial" w:cs="Arial"/>
                <w:color w:val="000000"/>
                <w:sz w:val="18"/>
                <w:szCs w:val="21"/>
                <w:shd w:val="clear" w:color="auto" w:fill="FFFFFF"/>
              </w:rPr>
              <w:t xml:space="preserve">This </w:t>
            </w:r>
            <w:r w:rsidR="00E80FEF">
              <w:rPr>
                <w:rFonts w:ascii="Arial" w:hAnsi="Arial" w:cs="Arial"/>
                <w:color w:val="000000"/>
                <w:sz w:val="18"/>
                <w:szCs w:val="21"/>
                <w:shd w:val="clear" w:color="auto" w:fill="FFFFFF"/>
              </w:rPr>
              <w:t>includes conditions such as</w:t>
            </w:r>
            <w:r w:rsidRPr="00846BB8">
              <w:rPr>
                <w:rFonts w:ascii="Arial" w:hAnsi="Arial" w:cs="Arial"/>
                <w:color w:val="000000"/>
                <w:sz w:val="18"/>
                <w:szCs w:val="21"/>
                <w:shd w:val="clear" w:color="auto" w:fill="FFFFFF"/>
              </w:rPr>
              <w:t xml:space="preserve"> juvenile rheumatic diseases as well as uveitis.</w:t>
            </w:r>
          </w:p>
        </w:tc>
      </w:tr>
      <w:tr w:rsidR="00EF74BA" w:rsidRPr="00D2401D" w14:paraId="7BE80AB5"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04DDFD4" w14:textId="25DB055A" w:rsidR="00EF74BA" w:rsidRDefault="00747FBF" w:rsidP="006A1809">
            <w:pPr>
              <w:rPr>
                <w:rFonts w:ascii="Arial" w:hAnsi="Arial" w:cs="Arial"/>
                <w:sz w:val="18"/>
                <w:szCs w:val="18"/>
              </w:rPr>
            </w:pPr>
            <w:r>
              <w:rPr>
                <w:rFonts w:ascii="Arial" w:hAnsi="Arial" w:cs="Arial"/>
                <w:sz w:val="18"/>
                <w:szCs w:val="18"/>
              </w:rPr>
              <w:lastRenderedPageBreak/>
              <w:t>UTILISATION OF SUBCUTANEOUS METHOTREXATE</w:t>
            </w:r>
            <w:r w:rsidR="008357B3">
              <w:rPr>
                <w:rFonts w:ascii="Arial" w:hAnsi="Arial" w:cs="Arial"/>
                <w:sz w:val="18"/>
                <w:szCs w:val="18"/>
              </w:rPr>
              <w:t xml:space="preserve"> (MTX)</w:t>
            </w:r>
            <w:r>
              <w:rPr>
                <w:rFonts w:ascii="Arial" w:hAnsi="Arial" w:cs="Arial"/>
                <w:sz w:val="18"/>
                <w:szCs w:val="18"/>
              </w:rPr>
              <w:t xml:space="preserve"> FOR JUVENILE IDIOPATHIC ARTHRITIS</w:t>
            </w:r>
          </w:p>
          <w:p w14:paraId="4F90C5F0" w14:textId="77777777" w:rsidR="00747FBF" w:rsidRDefault="00747FBF" w:rsidP="006A1809">
            <w:pPr>
              <w:rPr>
                <w:rFonts w:ascii="Arial" w:hAnsi="Arial" w:cs="Arial"/>
                <w:sz w:val="18"/>
                <w:szCs w:val="18"/>
              </w:rPr>
            </w:pPr>
          </w:p>
          <w:p w14:paraId="7294B70B" w14:textId="77777777" w:rsidR="00747FBF" w:rsidRDefault="00747FBF" w:rsidP="006A1809">
            <w:pPr>
              <w:rPr>
                <w:rFonts w:ascii="Arial" w:hAnsi="Arial" w:cs="Arial"/>
                <w:sz w:val="18"/>
                <w:szCs w:val="18"/>
              </w:rPr>
            </w:pPr>
            <w:r>
              <w:rPr>
                <w:rFonts w:ascii="Arial" w:hAnsi="Arial" w:cs="Arial"/>
                <w:sz w:val="18"/>
                <w:szCs w:val="18"/>
              </w:rPr>
              <w:t>METHOTREXATE</w:t>
            </w:r>
          </w:p>
          <w:p w14:paraId="64ECAA3D" w14:textId="77777777" w:rsidR="00747FBF" w:rsidRDefault="00747FBF" w:rsidP="006A1809">
            <w:pPr>
              <w:rPr>
                <w:rFonts w:ascii="Arial" w:hAnsi="Arial" w:cs="Arial"/>
                <w:sz w:val="18"/>
                <w:szCs w:val="18"/>
              </w:rPr>
            </w:pPr>
          </w:p>
          <w:p w14:paraId="5F4683CE" w14:textId="77777777" w:rsidR="00747FBF" w:rsidRDefault="00747FBF" w:rsidP="006A1809">
            <w:pPr>
              <w:rPr>
                <w:rFonts w:ascii="Arial" w:hAnsi="Arial" w:cs="Arial"/>
                <w:sz w:val="18"/>
                <w:szCs w:val="18"/>
              </w:rPr>
            </w:pPr>
            <w:r>
              <w:rPr>
                <w:rFonts w:ascii="Arial" w:hAnsi="Arial" w:cs="Arial"/>
                <w:sz w:val="18"/>
                <w:szCs w:val="18"/>
              </w:rPr>
              <w:t>Injection 7.5 mg in 0.15 mL pre-filled syringe</w:t>
            </w:r>
          </w:p>
          <w:p w14:paraId="00142C26" w14:textId="77777777" w:rsidR="00747FBF" w:rsidRDefault="00747FBF" w:rsidP="006A1809">
            <w:pPr>
              <w:rPr>
                <w:rFonts w:ascii="Arial" w:hAnsi="Arial" w:cs="Arial"/>
                <w:sz w:val="18"/>
                <w:szCs w:val="18"/>
              </w:rPr>
            </w:pPr>
            <w:r>
              <w:rPr>
                <w:rFonts w:ascii="Arial" w:hAnsi="Arial" w:cs="Arial"/>
                <w:sz w:val="18"/>
                <w:szCs w:val="18"/>
              </w:rPr>
              <w:t>Injection 10 mg in 0.2 mL pre-filled syringe</w:t>
            </w:r>
          </w:p>
          <w:p w14:paraId="384B6417" w14:textId="77777777" w:rsidR="00747FBF" w:rsidRDefault="00747FBF" w:rsidP="006A1809">
            <w:pPr>
              <w:rPr>
                <w:rFonts w:ascii="Arial" w:hAnsi="Arial" w:cs="Arial"/>
                <w:sz w:val="18"/>
                <w:szCs w:val="18"/>
              </w:rPr>
            </w:pPr>
            <w:r>
              <w:rPr>
                <w:rFonts w:ascii="Arial" w:hAnsi="Arial" w:cs="Arial"/>
                <w:sz w:val="18"/>
                <w:szCs w:val="18"/>
              </w:rPr>
              <w:t>Injection 15 mg in 0.3 mL pre-filled syringe</w:t>
            </w:r>
          </w:p>
          <w:p w14:paraId="490889D1" w14:textId="77777777" w:rsidR="00747FBF" w:rsidRDefault="00747FBF" w:rsidP="006A1809">
            <w:pPr>
              <w:rPr>
                <w:rFonts w:ascii="Arial" w:hAnsi="Arial" w:cs="Arial"/>
                <w:sz w:val="18"/>
                <w:szCs w:val="18"/>
              </w:rPr>
            </w:pPr>
            <w:r>
              <w:rPr>
                <w:rFonts w:ascii="Arial" w:hAnsi="Arial" w:cs="Arial"/>
                <w:sz w:val="18"/>
                <w:szCs w:val="18"/>
              </w:rPr>
              <w:t>Injection 20 mg in 0.4 mL pre-filled syringe</w:t>
            </w:r>
          </w:p>
          <w:p w14:paraId="2760D840" w14:textId="77777777" w:rsidR="00747FBF" w:rsidRDefault="00747FBF" w:rsidP="006A1809">
            <w:pPr>
              <w:rPr>
                <w:rFonts w:ascii="Arial" w:hAnsi="Arial" w:cs="Arial"/>
                <w:sz w:val="18"/>
                <w:szCs w:val="18"/>
              </w:rPr>
            </w:pPr>
            <w:r>
              <w:rPr>
                <w:rFonts w:ascii="Arial" w:hAnsi="Arial" w:cs="Arial"/>
                <w:sz w:val="18"/>
                <w:szCs w:val="18"/>
              </w:rPr>
              <w:t>Injection 25 mg in 0.5 mL pre-filled syringe</w:t>
            </w:r>
          </w:p>
          <w:p w14:paraId="54D03EF5" w14:textId="77777777" w:rsidR="00293366" w:rsidRDefault="00293366" w:rsidP="006A1809">
            <w:pPr>
              <w:rPr>
                <w:rFonts w:ascii="Arial" w:hAnsi="Arial" w:cs="Arial"/>
                <w:sz w:val="18"/>
                <w:szCs w:val="18"/>
              </w:rPr>
            </w:pPr>
          </w:p>
          <w:p w14:paraId="6F2FF968" w14:textId="77777777" w:rsidR="00293366" w:rsidRDefault="00293366" w:rsidP="006A1809">
            <w:pPr>
              <w:rPr>
                <w:rFonts w:ascii="Arial" w:hAnsi="Arial" w:cs="Arial"/>
                <w:sz w:val="18"/>
                <w:szCs w:val="18"/>
                <w:vertAlign w:val="superscript"/>
              </w:rPr>
            </w:pPr>
            <w:r>
              <w:rPr>
                <w:rFonts w:ascii="Arial" w:hAnsi="Arial" w:cs="Arial"/>
                <w:sz w:val="18"/>
                <w:szCs w:val="18"/>
              </w:rPr>
              <w:t>Trexject</w:t>
            </w:r>
            <w:r w:rsidRPr="00293366">
              <w:rPr>
                <w:rFonts w:ascii="Arial" w:hAnsi="Arial" w:cs="Arial"/>
                <w:sz w:val="18"/>
                <w:szCs w:val="18"/>
                <w:vertAlign w:val="superscript"/>
              </w:rPr>
              <w:t>®</w:t>
            </w:r>
          </w:p>
          <w:p w14:paraId="2D7DA1F9" w14:textId="77777777" w:rsidR="00293366" w:rsidRDefault="00293366" w:rsidP="006A1809">
            <w:pPr>
              <w:rPr>
                <w:rFonts w:ascii="Arial" w:hAnsi="Arial" w:cs="Arial"/>
                <w:sz w:val="18"/>
                <w:szCs w:val="18"/>
                <w:vertAlign w:val="superscript"/>
              </w:rPr>
            </w:pPr>
          </w:p>
          <w:p w14:paraId="6371174D" w14:textId="77777777" w:rsidR="00293366" w:rsidRDefault="00293366" w:rsidP="006A1809">
            <w:pPr>
              <w:rPr>
                <w:rFonts w:ascii="Arial" w:hAnsi="Arial" w:cs="Arial"/>
                <w:sz w:val="18"/>
                <w:szCs w:val="18"/>
              </w:rPr>
            </w:pPr>
            <w:r>
              <w:rPr>
                <w:rFonts w:ascii="Arial" w:hAnsi="Arial" w:cs="Arial"/>
                <w:sz w:val="18"/>
                <w:szCs w:val="18"/>
              </w:rPr>
              <w:t>Link Medical Products Pty Ltd</w:t>
            </w:r>
          </w:p>
          <w:p w14:paraId="4DFB722A" w14:textId="77777777" w:rsidR="00293366" w:rsidRDefault="00293366" w:rsidP="006A1809">
            <w:pPr>
              <w:rPr>
                <w:rFonts w:ascii="Arial" w:hAnsi="Arial" w:cs="Arial"/>
                <w:sz w:val="18"/>
                <w:szCs w:val="18"/>
              </w:rPr>
            </w:pPr>
          </w:p>
          <w:p w14:paraId="03CA3490" w14:textId="4708FBDA" w:rsidR="00293366" w:rsidRPr="00293366" w:rsidRDefault="00293366" w:rsidP="006A1809">
            <w:pPr>
              <w:rPr>
                <w:rFonts w:ascii="Arial" w:hAnsi="Arial" w:cs="Arial"/>
                <w:sz w:val="18"/>
                <w:szCs w:val="18"/>
              </w:rPr>
            </w:pPr>
            <w:r>
              <w:rPr>
                <w:rFonts w:ascii="Arial" w:hAnsi="Arial" w:cs="Arial"/>
                <w:sz w:val="18"/>
                <w:szCs w:val="18"/>
              </w:rPr>
              <w:t>(Change to PBS listing)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F4F2198" w14:textId="2146DC2B" w:rsidR="00EF74BA" w:rsidRPr="006A1809" w:rsidRDefault="00747FBF" w:rsidP="006A1809">
            <w:pPr>
              <w:keepLines/>
              <w:widowControl w:val="0"/>
              <w:spacing w:after="120"/>
              <w:rPr>
                <w:rFonts w:ascii="Arial" w:hAnsi="Arial" w:cs="Arial"/>
                <w:snapToGrid w:val="0"/>
                <w:sz w:val="18"/>
                <w:szCs w:val="18"/>
                <w:lang w:eastAsia="en-US"/>
              </w:rPr>
            </w:pPr>
            <w:r>
              <w:rPr>
                <w:rFonts w:ascii="Arial" w:hAnsi="Arial" w:cs="Arial"/>
                <w:snapToGrid w:val="0"/>
                <w:sz w:val="18"/>
                <w:szCs w:val="18"/>
                <w:lang w:eastAsia="en-US"/>
              </w:rPr>
              <w:t>Juvenile idiopathic arthritis (JIA)</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9C8C7A5" w14:textId="4D141556" w:rsidR="00EF74BA" w:rsidRPr="006A1809" w:rsidRDefault="00747FBF" w:rsidP="006A1809">
            <w:pPr>
              <w:keepLines/>
              <w:widowControl w:val="0"/>
              <w:spacing w:after="120"/>
              <w:rPr>
                <w:rFonts w:ascii="Arial" w:hAnsi="Arial" w:cs="Arial"/>
                <w:snapToGrid w:val="0"/>
                <w:sz w:val="18"/>
                <w:szCs w:val="18"/>
                <w:lang w:eastAsia="en-US"/>
              </w:rPr>
            </w:pPr>
            <w:r w:rsidRPr="00747FBF">
              <w:rPr>
                <w:rFonts w:ascii="Arial" w:hAnsi="Arial" w:cs="Arial"/>
                <w:snapToGrid w:val="0"/>
                <w:sz w:val="18"/>
                <w:szCs w:val="18"/>
                <w:lang w:eastAsia="en-US"/>
              </w:rPr>
              <w:t xml:space="preserve">To consider expanding the PBS listing of </w:t>
            </w:r>
            <w:r>
              <w:rPr>
                <w:rFonts w:ascii="Arial" w:hAnsi="Arial" w:cs="Arial"/>
                <w:snapToGrid w:val="0"/>
                <w:sz w:val="18"/>
                <w:szCs w:val="18"/>
                <w:lang w:eastAsia="en-US"/>
              </w:rPr>
              <w:t>MTX</w:t>
            </w:r>
            <w:r w:rsidRPr="00747FBF">
              <w:rPr>
                <w:rFonts w:ascii="Arial" w:hAnsi="Arial" w:cs="Arial"/>
                <w:snapToGrid w:val="0"/>
                <w:sz w:val="18"/>
                <w:szCs w:val="18"/>
                <w:lang w:eastAsia="en-US"/>
              </w:rPr>
              <w:t xml:space="preserve"> to allow use by paediatric patients who have rheumatic diseases.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3E69656" w14:textId="07B8304F" w:rsidR="00EF74BA" w:rsidRPr="006A1809" w:rsidRDefault="00747FBF" w:rsidP="0032768B">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4297F13" w14:textId="43DB61B2" w:rsidR="00747FBF" w:rsidRPr="00747FBF" w:rsidRDefault="00747FBF" w:rsidP="00747FBF">
            <w:pPr>
              <w:keepLines/>
              <w:spacing w:after="120"/>
              <w:rPr>
                <w:rFonts w:ascii="Arial" w:hAnsi="Arial" w:cs="Arial"/>
                <w:color w:val="000000"/>
                <w:sz w:val="18"/>
                <w:szCs w:val="21"/>
                <w:shd w:val="clear" w:color="auto" w:fill="FFFFFF"/>
              </w:rPr>
            </w:pPr>
            <w:r w:rsidRPr="00747FBF">
              <w:rPr>
                <w:rFonts w:ascii="Arial" w:hAnsi="Arial" w:cs="Arial"/>
                <w:color w:val="000000"/>
                <w:sz w:val="18"/>
                <w:szCs w:val="21"/>
                <w:shd w:val="clear" w:color="auto" w:fill="FFFFFF"/>
              </w:rPr>
              <w:t>The PBAC recommended expanding the PBS listing of subcutaneous MTX to allow use by patients who have JIA. The PBAC recognised the clinical need for availability of this form</w:t>
            </w:r>
            <w:r w:rsidR="008357B3">
              <w:rPr>
                <w:rFonts w:ascii="Arial" w:hAnsi="Arial" w:cs="Arial"/>
                <w:color w:val="000000"/>
                <w:sz w:val="18"/>
                <w:szCs w:val="21"/>
                <w:shd w:val="clear" w:color="auto" w:fill="FFFFFF"/>
              </w:rPr>
              <w:t xml:space="preserve"> of MTX</w:t>
            </w:r>
            <w:r w:rsidRPr="00747FBF">
              <w:rPr>
                <w:rFonts w:ascii="Arial" w:hAnsi="Arial" w:cs="Arial"/>
                <w:color w:val="000000"/>
                <w:sz w:val="18"/>
                <w:szCs w:val="21"/>
                <w:shd w:val="clear" w:color="auto" w:fill="FFFFFF"/>
              </w:rPr>
              <w:t xml:space="preserve"> for patients with JIA in the context of significant</w:t>
            </w:r>
            <w:r w:rsidR="008357B3">
              <w:rPr>
                <w:rFonts w:ascii="Arial" w:hAnsi="Arial" w:cs="Arial"/>
                <w:color w:val="000000"/>
                <w:sz w:val="18"/>
                <w:szCs w:val="21"/>
                <w:shd w:val="clear" w:color="auto" w:fill="FFFFFF"/>
              </w:rPr>
              <w:t xml:space="preserve"> quality use of medicine</w:t>
            </w:r>
            <w:r w:rsidRPr="00747FBF">
              <w:rPr>
                <w:rFonts w:ascii="Arial" w:hAnsi="Arial" w:cs="Arial"/>
                <w:color w:val="000000"/>
                <w:sz w:val="18"/>
                <w:szCs w:val="21"/>
                <w:shd w:val="clear" w:color="auto" w:fill="FFFFFF"/>
              </w:rPr>
              <w:t xml:space="preserve"> issues for patients in whom oral MTX is unsuitable and for whom vial forms present safety concerns for carers and substantial risks of incorrect dosing. </w:t>
            </w:r>
          </w:p>
          <w:p w14:paraId="469FCF7F" w14:textId="3BF4DB32" w:rsidR="00EF74BA" w:rsidRPr="006A1809" w:rsidRDefault="00747FBF" w:rsidP="00747FBF">
            <w:pPr>
              <w:keepLines/>
              <w:spacing w:after="120"/>
              <w:rPr>
                <w:rFonts w:ascii="Arial" w:hAnsi="Arial" w:cs="Arial"/>
                <w:color w:val="000000"/>
                <w:sz w:val="18"/>
                <w:szCs w:val="21"/>
                <w:shd w:val="clear" w:color="auto" w:fill="FFFFFF"/>
              </w:rPr>
            </w:pPr>
            <w:r w:rsidRPr="00747FBF">
              <w:rPr>
                <w:rFonts w:ascii="Arial" w:hAnsi="Arial" w:cs="Arial"/>
                <w:color w:val="000000"/>
                <w:sz w:val="18"/>
                <w:szCs w:val="21"/>
                <w:shd w:val="clear" w:color="auto" w:fill="FFFFFF"/>
              </w:rPr>
              <w:t>The PBAC recommended the JIA listing to have the same authority level (Authority Required</w:t>
            </w:r>
            <w:r w:rsidR="008357B3">
              <w:rPr>
                <w:rFonts w:ascii="Arial" w:hAnsi="Arial" w:cs="Arial"/>
                <w:color w:val="000000"/>
                <w:sz w:val="18"/>
                <w:szCs w:val="21"/>
                <w:shd w:val="clear" w:color="auto" w:fill="FFFFFF"/>
              </w:rPr>
              <w:t xml:space="preserve"> (</w:t>
            </w:r>
            <w:r w:rsidRPr="00747FBF">
              <w:rPr>
                <w:rFonts w:ascii="Arial" w:hAnsi="Arial" w:cs="Arial"/>
                <w:color w:val="000000"/>
                <w:sz w:val="18"/>
                <w:szCs w:val="21"/>
                <w:shd w:val="clear" w:color="auto" w:fill="FFFFFF"/>
              </w:rPr>
              <w:t>Streamlined</w:t>
            </w:r>
            <w:r w:rsidR="008357B3">
              <w:rPr>
                <w:rFonts w:ascii="Arial" w:hAnsi="Arial" w:cs="Arial"/>
                <w:color w:val="000000"/>
                <w:sz w:val="18"/>
                <w:szCs w:val="21"/>
                <w:shd w:val="clear" w:color="auto" w:fill="FFFFFF"/>
              </w:rPr>
              <w:t>)</w:t>
            </w:r>
            <w:r w:rsidRPr="00747FBF">
              <w:rPr>
                <w:rFonts w:ascii="Arial" w:hAnsi="Arial" w:cs="Arial"/>
                <w:color w:val="000000"/>
                <w:sz w:val="18"/>
                <w:szCs w:val="21"/>
                <w:shd w:val="clear" w:color="auto" w:fill="FFFFFF"/>
              </w:rPr>
              <w:t xml:space="preserve">), maximum quantity and repeats as the current </w:t>
            </w:r>
            <w:r w:rsidR="008357B3">
              <w:rPr>
                <w:rFonts w:ascii="Arial" w:hAnsi="Arial" w:cs="Arial"/>
                <w:color w:val="000000"/>
                <w:sz w:val="18"/>
                <w:szCs w:val="21"/>
                <w:shd w:val="clear" w:color="auto" w:fill="FFFFFF"/>
              </w:rPr>
              <w:t xml:space="preserve">PBS </w:t>
            </w:r>
            <w:r w:rsidRPr="00747FBF">
              <w:rPr>
                <w:rFonts w:ascii="Arial" w:hAnsi="Arial" w:cs="Arial"/>
                <w:color w:val="000000"/>
                <w:sz w:val="18"/>
                <w:szCs w:val="21"/>
                <w:shd w:val="clear" w:color="auto" w:fill="FFFFFF"/>
              </w:rPr>
              <w:t xml:space="preserve">listing </w:t>
            </w:r>
            <w:r w:rsidR="008357B3">
              <w:rPr>
                <w:rFonts w:ascii="Arial" w:hAnsi="Arial" w:cs="Arial"/>
                <w:color w:val="000000"/>
                <w:sz w:val="18"/>
                <w:szCs w:val="21"/>
                <w:shd w:val="clear" w:color="auto" w:fill="FFFFFF"/>
              </w:rPr>
              <w:t>for</w:t>
            </w:r>
            <w:r w:rsidRPr="00747FBF">
              <w:rPr>
                <w:rFonts w:ascii="Arial" w:hAnsi="Arial" w:cs="Arial"/>
                <w:color w:val="000000"/>
                <w:sz w:val="18"/>
                <w:szCs w:val="21"/>
                <w:shd w:val="clear" w:color="auto" w:fill="FFFFFF"/>
              </w:rPr>
              <w:t xml:space="preserve"> severe active rheumatoid arthritis and severe psoriasis.</w:t>
            </w:r>
          </w:p>
        </w:tc>
      </w:tr>
    </w:tbl>
    <w:p w14:paraId="262264D7" w14:textId="77777777" w:rsidR="00712C57" w:rsidRDefault="00712C57" w:rsidP="00EF3B9C">
      <w:pPr>
        <w:rPr>
          <w:rFonts w:ascii="Arial" w:hAnsi="Arial" w:cs="Arial"/>
          <w:b/>
          <w:sz w:val="18"/>
          <w:szCs w:val="18"/>
          <w:lang w:val="en-US"/>
        </w:rPr>
      </w:pPr>
    </w:p>
    <w:p w14:paraId="1A6F57A9" w14:textId="77777777" w:rsidR="00712C57" w:rsidRDefault="00712C57" w:rsidP="00EF3B9C">
      <w:pPr>
        <w:rPr>
          <w:rFonts w:ascii="Arial" w:hAnsi="Arial" w:cs="Arial"/>
          <w:b/>
          <w:sz w:val="18"/>
          <w:szCs w:val="18"/>
          <w:lang w:val="en-US"/>
        </w:rPr>
      </w:pPr>
    </w:p>
    <w:p w14:paraId="7B7FEE8F" w14:textId="77777777" w:rsidR="00712C57" w:rsidRDefault="00712C57" w:rsidP="00EF3B9C">
      <w:pPr>
        <w:rPr>
          <w:rFonts w:ascii="Arial" w:hAnsi="Arial" w:cs="Arial"/>
          <w:b/>
          <w:sz w:val="18"/>
          <w:szCs w:val="18"/>
          <w:lang w:val="en-US"/>
        </w:rPr>
      </w:pPr>
    </w:p>
    <w:p w14:paraId="0DA08E79" w14:textId="77777777" w:rsidR="00712C57" w:rsidRDefault="00712C57" w:rsidP="00EF3B9C">
      <w:pPr>
        <w:rPr>
          <w:rFonts w:ascii="Arial" w:hAnsi="Arial" w:cs="Arial"/>
          <w:b/>
          <w:sz w:val="18"/>
          <w:szCs w:val="18"/>
          <w:lang w:val="en-US"/>
        </w:rPr>
      </w:pPr>
    </w:p>
    <w:p w14:paraId="3661582C" w14:textId="77777777" w:rsidR="00712C57" w:rsidRDefault="00712C57" w:rsidP="00EF3B9C">
      <w:pPr>
        <w:rPr>
          <w:rFonts w:ascii="Arial" w:hAnsi="Arial" w:cs="Arial"/>
          <w:b/>
          <w:sz w:val="18"/>
          <w:szCs w:val="18"/>
          <w:lang w:val="en-US"/>
        </w:rPr>
      </w:pPr>
    </w:p>
    <w:p w14:paraId="084C84A9" w14:textId="77777777" w:rsidR="00712C57" w:rsidRDefault="00712C57" w:rsidP="00EF3B9C">
      <w:pPr>
        <w:rPr>
          <w:rFonts w:ascii="Arial" w:hAnsi="Arial" w:cs="Arial"/>
          <w:b/>
          <w:sz w:val="18"/>
          <w:szCs w:val="18"/>
          <w:lang w:val="en-US"/>
        </w:rPr>
      </w:pPr>
    </w:p>
    <w:p w14:paraId="1C2A7A83" w14:textId="77777777" w:rsidR="00712C57" w:rsidRDefault="00712C57" w:rsidP="00EF3B9C">
      <w:pPr>
        <w:rPr>
          <w:rFonts w:ascii="Arial" w:hAnsi="Arial" w:cs="Arial"/>
          <w:b/>
          <w:sz w:val="18"/>
          <w:szCs w:val="18"/>
          <w:lang w:val="en-US"/>
        </w:rPr>
      </w:pPr>
    </w:p>
    <w:p w14:paraId="4330F954" w14:textId="77777777" w:rsidR="00712C57" w:rsidRDefault="00712C57" w:rsidP="00EF3B9C">
      <w:pPr>
        <w:rPr>
          <w:rFonts w:ascii="Arial" w:hAnsi="Arial" w:cs="Arial"/>
          <w:b/>
          <w:sz w:val="18"/>
          <w:szCs w:val="18"/>
          <w:lang w:val="en-US"/>
        </w:rPr>
      </w:pPr>
    </w:p>
    <w:p w14:paraId="6AD05F43" w14:textId="77777777" w:rsidR="00712C57" w:rsidRDefault="00712C57" w:rsidP="00EF3B9C">
      <w:pPr>
        <w:rPr>
          <w:rFonts w:ascii="Arial" w:hAnsi="Arial" w:cs="Arial"/>
          <w:b/>
          <w:sz w:val="18"/>
          <w:szCs w:val="18"/>
          <w:lang w:val="en-US"/>
        </w:rPr>
      </w:pPr>
    </w:p>
    <w:p w14:paraId="70867897" w14:textId="77777777" w:rsidR="00712C57" w:rsidRDefault="00712C57" w:rsidP="00EF3B9C">
      <w:pPr>
        <w:rPr>
          <w:rFonts w:ascii="Arial" w:hAnsi="Arial" w:cs="Arial"/>
          <w:b/>
          <w:sz w:val="18"/>
          <w:szCs w:val="18"/>
          <w:lang w:val="en-US"/>
        </w:rPr>
      </w:pPr>
    </w:p>
    <w:p w14:paraId="649D999D" w14:textId="77777777" w:rsidR="00712C57" w:rsidRDefault="00712C57" w:rsidP="00EF3B9C">
      <w:pPr>
        <w:rPr>
          <w:rFonts w:ascii="Arial" w:hAnsi="Arial" w:cs="Arial"/>
          <w:b/>
          <w:sz w:val="18"/>
          <w:szCs w:val="18"/>
          <w:lang w:val="en-US"/>
        </w:rPr>
      </w:pPr>
    </w:p>
    <w:p w14:paraId="5E57640C" w14:textId="77777777" w:rsidR="00712C57" w:rsidRDefault="00712C57" w:rsidP="00EF3B9C">
      <w:pPr>
        <w:rPr>
          <w:rFonts w:ascii="Arial" w:hAnsi="Arial" w:cs="Arial"/>
          <w:b/>
          <w:sz w:val="18"/>
          <w:szCs w:val="18"/>
          <w:lang w:val="en-US"/>
        </w:rPr>
      </w:pPr>
    </w:p>
    <w:p w14:paraId="4F6B08F9" w14:textId="77777777" w:rsidR="00712C57" w:rsidRDefault="00712C57" w:rsidP="00EF3B9C">
      <w:pPr>
        <w:rPr>
          <w:rFonts w:ascii="Arial" w:hAnsi="Arial" w:cs="Arial"/>
          <w:b/>
          <w:sz w:val="18"/>
          <w:szCs w:val="18"/>
          <w:lang w:val="en-US"/>
        </w:rPr>
      </w:pPr>
    </w:p>
    <w:p w14:paraId="4A221561" w14:textId="77777777" w:rsidR="00712C57" w:rsidRDefault="00712C57" w:rsidP="00EF3B9C">
      <w:pPr>
        <w:rPr>
          <w:rFonts w:ascii="Arial" w:hAnsi="Arial" w:cs="Arial"/>
          <w:b/>
          <w:sz w:val="18"/>
          <w:szCs w:val="18"/>
          <w:lang w:val="en-US"/>
        </w:rPr>
      </w:pPr>
    </w:p>
    <w:p w14:paraId="0F0678C9" w14:textId="77777777" w:rsidR="00712C57" w:rsidRDefault="00712C57" w:rsidP="00EF3B9C">
      <w:pPr>
        <w:rPr>
          <w:rFonts w:ascii="Arial" w:hAnsi="Arial" w:cs="Arial"/>
          <w:b/>
          <w:sz w:val="18"/>
          <w:szCs w:val="18"/>
          <w:lang w:val="en-US"/>
        </w:rPr>
      </w:pPr>
    </w:p>
    <w:p w14:paraId="6CE3C41E" w14:textId="08250C2D" w:rsidR="00640C80" w:rsidRPr="001D4E5E" w:rsidRDefault="005A0A21" w:rsidP="00EF3B9C">
      <w:pPr>
        <w:rPr>
          <w:rFonts w:ascii="Arial" w:hAnsi="Arial" w:cs="Arial"/>
          <w:b/>
          <w:sz w:val="18"/>
          <w:szCs w:val="18"/>
          <w:lang w:val="en-US"/>
        </w:rPr>
      </w:pPr>
      <w:r w:rsidRPr="001D4E5E">
        <w:rPr>
          <w:rFonts w:ascii="Arial" w:hAnsi="Arial" w:cs="Arial"/>
          <w:b/>
          <w:sz w:val="18"/>
          <w:szCs w:val="18"/>
          <w:lang w:val="en-US"/>
        </w:rPr>
        <w:lastRenderedPageBreak/>
        <w:t>Resubmission pathways</w:t>
      </w:r>
    </w:p>
    <w:p w14:paraId="025CE011" w14:textId="77777777" w:rsidR="005A0A21" w:rsidRPr="001D4E5E" w:rsidRDefault="005A0A21" w:rsidP="00640C80">
      <w:pPr>
        <w:tabs>
          <w:tab w:val="left" w:pos="5210"/>
        </w:tabs>
        <w:rPr>
          <w:rFonts w:asciiTheme="minorHAnsi" w:hAnsiTheme="minorHAnsi" w:cstheme="minorHAnsi"/>
          <w:b/>
          <w:sz w:val="18"/>
          <w:szCs w:val="18"/>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687774" w14:paraId="1B32CA1F" w14:textId="77777777" w:rsidTr="004A3371">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1D4E5E" w:rsidRDefault="004A3371">
            <w:pPr>
              <w:rPr>
                <w:rFonts w:ascii="Arial" w:hAnsi="Arial" w:cs="Arial"/>
                <w:sz w:val="18"/>
                <w:szCs w:val="18"/>
              </w:rPr>
            </w:pPr>
            <w:r w:rsidRPr="001D4E5E">
              <w:rPr>
                <w:rFonts w:ascii="Arial" w:hAnsi="Arial" w:cs="Arial"/>
                <w:color w:val="333333"/>
                <w:sz w:val="18"/>
                <w:szCs w:val="18"/>
              </w:rPr>
              <w:t xml:space="preserve">*There are four different resubmission pathways available to applicants following a ‘not recommended’ PBAC outcome. Resubmission pathways are not available for submissions that receive a positive recommendation from the PBAC. </w:t>
            </w:r>
            <w:r w:rsidRPr="001D4E5E">
              <w:rPr>
                <w:rFonts w:ascii="Arial" w:hAnsi="Arial" w:cs="Arial"/>
                <w:sz w:val="18"/>
                <w:szCs w:val="18"/>
              </w:rPr>
              <w:t>The resubmission pathways are classified into the following categories:</w:t>
            </w:r>
          </w:p>
        </w:tc>
      </w:tr>
      <w:tr w:rsidR="004A3371" w:rsidRPr="00687774" w14:paraId="5A78A628"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1D4E5E" w:rsidRDefault="004A3371">
            <w:pPr>
              <w:spacing w:after="160" w:line="252" w:lineRule="auto"/>
              <w:contextualSpacing/>
              <w:rPr>
                <w:rFonts w:ascii="Arial" w:hAnsi="Arial" w:cs="Arial"/>
                <w:b/>
                <w:bCs/>
                <w:sz w:val="18"/>
                <w:szCs w:val="18"/>
              </w:rPr>
            </w:pPr>
            <w:r w:rsidRPr="001D4E5E">
              <w:rPr>
                <w:rFonts w:ascii="Arial" w:hAnsi="Arial" w:cs="Arial"/>
                <w:b/>
                <w:bCs/>
                <w:sz w:val="18"/>
                <w:szCs w:val="18"/>
              </w:rPr>
              <w:t>Standard re-entry</w:t>
            </w:r>
          </w:p>
          <w:p w14:paraId="14CD87B9" w14:textId="77777777" w:rsidR="004A3371" w:rsidRPr="001D4E5E" w:rsidRDefault="004A3371">
            <w:pPr>
              <w:spacing w:line="252" w:lineRule="auto"/>
              <w:rPr>
                <w:rFonts w:ascii="Arial" w:hAnsi="Arial" w:cs="Arial"/>
                <w:b/>
                <w:bCs/>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The Standard Re-entry Pathway is the default pathway for resubmissions and also applies where: </w:t>
            </w:r>
          </w:p>
          <w:p w14:paraId="430AF034" w14:textId="77777777"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chooses not to accept the PBAC nominated resubmission pathway; or </w:t>
            </w:r>
          </w:p>
          <w:p w14:paraId="15ADDEB3" w14:textId="3C3608FE"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1D4E5E" w:rsidRDefault="004A3371" w:rsidP="00F1210C">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decides to lodge later than the allowable timelines for the other pathways. </w:t>
            </w:r>
          </w:p>
        </w:tc>
      </w:tr>
      <w:tr w:rsidR="004A3371" w:rsidRPr="00687774" w14:paraId="46BDFCAF"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1D4E5E" w:rsidRDefault="004A3371">
            <w:pPr>
              <w:spacing w:after="160" w:line="252" w:lineRule="auto"/>
              <w:contextualSpacing/>
              <w:rPr>
                <w:rFonts w:ascii="Arial" w:hAnsi="Arial" w:cs="Arial"/>
                <w:b/>
                <w:bCs/>
                <w:sz w:val="18"/>
                <w:szCs w:val="18"/>
                <w:lang w:eastAsia="en-US"/>
              </w:rPr>
            </w:pPr>
            <w:r w:rsidRPr="001D4E5E">
              <w:rPr>
                <w:rFonts w:ascii="Arial" w:hAnsi="Arial" w:cs="Arial"/>
                <w:b/>
                <w:bCs/>
                <w:sz w:val="18"/>
                <w:szCs w:val="18"/>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50B52A57" w:rsidR="004A3371" w:rsidRPr="001D4E5E" w:rsidRDefault="004A3371">
            <w:pPr>
              <w:spacing w:after="160" w:line="252" w:lineRule="auto"/>
              <w:contextualSpacing/>
              <w:rPr>
                <w:rFonts w:ascii="Arial" w:hAnsi="Arial" w:cs="Arial"/>
                <w:color w:val="000000"/>
                <w:sz w:val="18"/>
                <w:szCs w:val="18"/>
              </w:rPr>
            </w:pPr>
            <w:r w:rsidRPr="001D4E5E">
              <w:rPr>
                <w:rFonts w:ascii="Arial" w:hAnsi="Arial" w:cs="Arial"/>
                <w:sz w:val="18"/>
                <w:szCs w:val="18"/>
              </w:rPr>
              <w:t>An Early Re-entry Pathway may be nominated by the PBAC where the PBAC considers that the remaining issues could be easily resolved and the medicine or vaccine does not represent</w:t>
            </w:r>
            <w:r w:rsidR="00BB0CE9">
              <w:t xml:space="preserve"> </w:t>
            </w:r>
            <w:r w:rsidR="00BB0CE9" w:rsidRPr="00BB0CE9">
              <w:rPr>
                <w:rFonts w:ascii="Arial" w:hAnsi="Arial" w:cs="Arial"/>
                <w:sz w:val="18"/>
                <w:szCs w:val="18"/>
              </w:rPr>
              <w:t>High Added Therapeutic Value</w:t>
            </w:r>
            <w:r w:rsidRPr="001D4E5E">
              <w:rPr>
                <w:rFonts w:ascii="Arial" w:hAnsi="Arial" w:cs="Arial"/>
                <w:sz w:val="18"/>
                <w:szCs w:val="18"/>
              </w:rPr>
              <w:t xml:space="preserve"> </w:t>
            </w:r>
            <w:r w:rsidR="00BB0CE9">
              <w:rPr>
                <w:rFonts w:ascii="Arial" w:hAnsi="Arial" w:cs="Arial"/>
                <w:sz w:val="18"/>
                <w:szCs w:val="18"/>
              </w:rPr>
              <w:t>(</w:t>
            </w:r>
            <w:r w:rsidRPr="001D4E5E">
              <w:rPr>
                <w:rFonts w:ascii="Arial" w:hAnsi="Arial" w:cs="Arial"/>
                <w:sz w:val="18"/>
                <w:szCs w:val="18"/>
              </w:rPr>
              <w:t>HATV</w:t>
            </w:r>
            <w:r w:rsidR="00BB0CE9">
              <w:rPr>
                <w:rFonts w:ascii="Arial" w:hAnsi="Arial" w:cs="Arial"/>
                <w:sz w:val="18"/>
                <w:szCs w:val="18"/>
              </w:rPr>
              <w:t>)</w:t>
            </w:r>
            <w:r w:rsidRPr="001D4E5E">
              <w:rPr>
                <w:rFonts w:ascii="Arial" w:hAnsi="Arial" w:cs="Arial"/>
                <w:sz w:val="18"/>
                <w:szCs w:val="18"/>
              </w:rPr>
              <w:t xml:space="preserve"> for the proposed population. Applicants who accept this pathway are eligible for PBAC consideration at the immediate next meeting.</w:t>
            </w:r>
          </w:p>
        </w:tc>
      </w:tr>
      <w:tr w:rsidR="004A3371" w:rsidRPr="00687774" w14:paraId="1A2475F2"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1D4E5E" w:rsidRDefault="004A3371">
            <w:pPr>
              <w:spacing w:line="252" w:lineRule="auto"/>
              <w:rPr>
                <w:rFonts w:ascii="Arial" w:hAnsi="Arial" w:cs="Arial"/>
                <w:b/>
                <w:bCs/>
                <w:sz w:val="18"/>
                <w:szCs w:val="18"/>
                <w:lang w:eastAsia="en-US"/>
              </w:rPr>
            </w:pPr>
            <w:r w:rsidRPr="001D4E5E">
              <w:rPr>
                <w:rFonts w:ascii="Arial" w:hAnsi="Arial" w:cs="Arial"/>
                <w:b/>
                <w:bCs/>
                <w:sz w:val="18"/>
                <w:szCs w:val="18"/>
              </w:rPr>
              <w:t>Early resolution pathway</w:t>
            </w:r>
          </w:p>
          <w:p w14:paraId="157D2C85" w14:textId="77777777" w:rsidR="004A3371" w:rsidRPr="001D4E5E" w:rsidRDefault="004A3371">
            <w:pPr>
              <w:rPr>
                <w:rFonts w:ascii="Arial" w:hAnsi="Arial" w:cs="Arial"/>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4276D58E"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For medicines or vaccines deemed by the PBAC to represent HATV AND where the PBAC considers that the remaining issues could be easily resolved, including when: </w:t>
            </w:r>
          </w:p>
          <w:p w14:paraId="6EC882B7" w14:textId="77777777" w:rsidR="004A3371" w:rsidRPr="001D4E5E" w:rsidRDefault="004A3371" w:rsidP="004A3371">
            <w:pPr>
              <w:pStyle w:val="ListParagraph"/>
              <w:numPr>
                <w:ilvl w:val="0"/>
                <w:numId w:val="47"/>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new clinical study data requiring evaluation is not considered necessary by the PBAC to support new clinical claims to be made in the resubmission; and </w:t>
            </w:r>
          </w:p>
          <w:p w14:paraId="1D4B869E" w14:textId="77777777" w:rsidR="004A3371" w:rsidRPr="001D4E5E" w:rsidRDefault="004A3371" w:rsidP="004A3371">
            <w:pPr>
              <w:pStyle w:val="ListParagraph"/>
              <w:numPr>
                <w:ilvl w:val="0"/>
                <w:numId w:val="47"/>
              </w:numPr>
              <w:autoSpaceDE w:val="0"/>
              <w:autoSpaceDN w:val="0"/>
              <w:spacing w:after="120"/>
              <w:contextualSpacing w:val="0"/>
              <w:rPr>
                <w:rFonts w:ascii="Arial" w:hAnsi="Arial" w:cs="Arial"/>
                <w:color w:val="000000"/>
                <w:sz w:val="18"/>
                <w:szCs w:val="18"/>
              </w:rPr>
            </w:pPr>
            <w:r w:rsidRPr="001D4E5E">
              <w:rPr>
                <w:rFonts w:ascii="Arial" w:hAnsi="Arial" w:cs="Arial"/>
                <w:color w:val="000000"/>
                <w:sz w:val="18"/>
                <w:szCs w:val="18"/>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1D4E5E" w:rsidRDefault="004A3371">
            <w:pPr>
              <w:pStyle w:val="NormalWeb"/>
              <w:spacing w:before="0" w:beforeAutospacing="0" w:after="0" w:afterAutospacing="0"/>
              <w:rPr>
                <w:rFonts w:ascii="Arial" w:hAnsi="Arial" w:cs="Arial"/>
                <w:sz w:val="18"/>
                <w:szCs w:val="18"/>
              </w:rPr>
            </w:pPr>
            <w:r w:rsidRPr="001D4E5E">
              <w:rPr>
                <w:rFonts w:ascii="Arial" w:hAnsi="Arial" w:cs="Arial"/>
                <w:sz w:val="18"/>
                <w:szCs w:val="18"/>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687774" w14:paraId="1CF59836"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1D4E5E" w:rsidRDefault="004A3371">
            <w:pPr>
              <w:rPr>
                <w:rFonts w:ascii="Arial" w:hAnsi="Arial" w:cs="Arial"/>
                <w:sz w:val="18"/>
                <w:szCs w:val="18"/>
              </w:rPr>
            </w:pPr>
            <w:r w:rsidRPr="001D4E5E">
              <w:rPr>
                <w:rFonts w:ascii="Arial" w:hAnsi="Arial" w:cs="Arial"/>
                <w:b/>
                <w:bCs/>
                <w:sz w:val="18"/>
                <w:szCs w:val="18"/>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1D4E5E" w:rsidRDefault="004A3371">
            <w:pPr>
              <w:autoSpaceDE w:val="0"/>
              <w:autoSpaceDN w:val="0"/>
              <w:rPr>
                <w:rFonts w:ascii="Arial" w:hAnsi="Arial" w:cs="Arial"/>
                <w:b/>
                <w:bCs/>
                <w:sz w:val="18"/>
                <w:szCs w:val="18"/>
                <w:highlight w:val="green"/>
              </w:rPr>
            </w:pPr>
            <w:r w:rsidRPr="001D4E5E">
              <w:rPr>
                <w:rFonts w:ascii="Arial" w:hAnsi="Arial" w:cs="Arial"/>
                <w:color w:val="000000"/>
                <w:sz w:val="18"/>
                <w:szCs w:val="18"/>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C843216" w:rsidR="00AD3477" w:rsidRPr="001D4E5E" w:rsidRDefault="00AD3477" w:rsidP="004A3371">
      <w:pPr>
        <w:tabs>
          <w:tab w:val="left" w:pos="5210"/>
        </w:tabs>
        <w:rPr>
          <w:rFonts w:asciiTheme="minorHAnsi" w:hAnsiTheme="minorHAnsi" w:cstheme="minorHAnsi"/>
          <w:sz w:val="18"/>
          <w:szCs w:val="18"/>
          <w:lang w:val="en-US"/>
        </w:rPr>
      </w:pPr>
    </w:p>
    <w:sectPr w:rsidR="00AD3477" w:rsidRPr="001D4E5E"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762FCA" w:rsidRDefault="00762FCA">
      <w:r>
        <w:separator/>
      </w:r>
    </w:p>
  </w:endnote>
  <w:endnote w:type="continuationSeparator" w:id="0">
    <w:p w14:paraId="0B94B43F" w14:textId="77777777" w:rsidR="00762FCA" w:rsidRDefault="007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762FCA" w:rsidRDefault="00762FC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762FCA" w:rsidRDefault="00762FC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187CDB7" w:rsidR="00762FCA" w:rsidRPr="00287C89" w:rsidRDefault="00762FCA"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3E3EC0">
      <w:rPr>
        <w:rStyle w:val="PageNumber"/>
        <w:rFonts w:ascii="Arial" w:hAnsi="Arial" w:cs="Arial"/>
        <w:noProof/>
      </w:rPr>
      <w:t>5</w:t>
    </w:r>
    <w:r w:rsidRPr="00287C89">
      <w:rPr>
        <w:rStyle w:val="PageNumber"/>
        <w:rFonts w:ascii="Arial" w:hAnsi="Arial" w:cs="Arial"/>
      </w:rPr>
      <w:fldChar w:fldCharType="end"/>
    </w:r>
  </w:p>
  <w:p w14:paraId="5DEC0542" w14:textId="77777777" w:rsidR="00762FCA" w:rsidRDefault="00762FCA" w:rsidP="00FE2A81">
    <w:pPr>
      <w:pStyle w:val="Footer"/>
      <w:ind w:right="360"/>
    </w:pPr>
  </w:p>
  <w:p w14:paraId="429295B6" w14:textId="77777777" w:rsidR="00762FCA" w:rsidRDefault="00762FCA"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0323" w14:textId="77777777" w:rsidR="00BB0CE9" w:rsidRDefault="00BB0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762FCA" w:rsidRDefault="00762FCA">
      <w:r>
        <w:separator/>
      </w:r>
    </w:p>
  </w:footnote>
  <w:footnote w:type="continuationSeparator" w:id="0">
    <w:p w14:paraId="7F846E8F" w14:textId="77777777" w:rsidR="00762FCA" w:rsidRDefault="007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6FB2" w14:textId="77777777" w:rsidR="00BB0CE9" w:rsidRDefault="00BB0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762FCA" w:rsidRPr="00571206" w:rsidRDefault="00762FCA" w:rsidP="00571206">
    <w:pPr>
      <w:autoSpaceDE w:val="0"/>
      <w:autoSpaceDN w:val="0"/>
      <w:adjustRightInd w:val="0"/>
      <w:rPr>
        <w:rFonts w:ascii="Arial" w:hAnsi="Arial" w:cs="Arial"/>
        <w:color w:val="000000"/>
        <w:sz w:val="24"/>
        <w:szCs w:val="24"/>
      </w:rPr>
    </w:pPr>
  </w:p>
  <w:p w14:paraId="117035EF" w14:textId="1E14CCFB" w:rsidR="00762FCA" w:rsidRDefault="00762FCA"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0E5B22CD" w:rsidR="00762FCA" w:rsidRDefault="00BB0CE9" w:rsidP="00571206">
    <w:pPr>
      <w:pStyle w:val="Header"/>
      <w:jc w:val="center"/>
      <w:rPr>
        <w:rFonts w:ascii="Arial" w:hAnsi="Arial" w:cs="Arial"/>
        <w:b/>
      </w:rPr>
    </w:pPr>
    <w:r>
      <w:rPr>
        <w:rFonts w:ascii="Arial" w:hAnsi="Arial" w:cs="Arial"/>
        <w:b/>
      </w:rPr>
      <w:t>DECEMBER</w:t>
    </w:r>
    <w:r w:rsidR="002C51AF">
      <w:rPr>
        <w:rFonts w:ascii="Arial" w:hAnsi="Arial" w:cs="Arial"/>
        <w:b/>
      </w:rPr>
      <w:t xml:space="preserve"> </w:t>
    </w:r>
    <w:r w:rsidR="00762FCA">
      <w:rPr>
        <w:rFonts w:ascii="Arial" w:hAnsi="Arial" w:cs="Arial"/>
        <w:b/>
      </w:rPr>
      <w:t>202</w:t>
    </w:r>
    <w:r w:rsidR="002C51AF">
      <w:rPr>
        <w:rFonts w:ascii="Arial" w:hAnsi="Arial" w:cs="Arial"/>
        <w:b/>
      </w:rPr>
      <w:t>2</w:t>
    </w:r>
    <w:r w:rsidR="00762FCA">
      <w:rPr>
        <w:rFonts w:ascii="Arial" w:hAnsi="Arial" w:cs="Arial"/>
        <w:b/>
      </w:rPr>
      <w:t xml:space="preserve"> PBAC MEETING</w:t>
    </w:r>
  </w:p>
  <w:p w14:paraId="0E28AC1B" w14:textId="77777777" w:rsidR="00762FCA" w:rsidRPr="0071356F" w:rsidRDefault="00762FCA"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1151" w14:textId="77777777" w:rsidR="00BB0CE9" w:rsidRDefault="00BB0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410BE4"/>
    <w:multiLevelType w:val="hybridMultilevel"/>
    <w:tmpl w:val="F6D83D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3"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5"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7" w15:restartNumberingAfterBreak="0">
    <w:nsid w:val="535B1360"/>
    <w:multiLevelType w:val="hybridMultilevel"/>
    <w:tmpl w:val="718C8A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94066C"/>
    <w:multiLevelType w:val="hybridMultilevel"/>
    <w:tmpl w:val="9A80C8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2" w15:restartNumberingAfterBreak="0">
    <w:nsid w:val="5D3B7667"/>
    <w:multiLevelType w:val="hybridMultilevel"/>
    <w:tmpl w:val="8326B8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A428E5"/>
    <w:multiLevelType w:val="hybridMultilevel"/>
    <w:tmpl w:val="1F8CA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9"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2"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9837B0"/>
    <w:multiLevelType w:val="hybridMultilevel"/>
    <w:tmpl w:val="0E7AB222"/>
    <w:lvl w:ilvl="0" w:tplc="69C2B46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743CE0"/>
    <w:multiLevelType w:val="hybridMultilevel"/>
    <w:tmpl w:val="C9D0D22E"/>
    <w:lvl w:ilvl="0" w:tplc="69C2B46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4"/>
  </w:num>
  <w:num w:numId="4">
    <w:abstractNumId w:val="25"/>
  </w:num>
  <w:num w:numId="5">
    <w:abstractNumId w:val="13"/>
  </w:num>
  <w:num w:numId="6">
    <w:abstractNumId w:val="6"/>
  </w:num>
  <w:num w:numId="7">
    <w:abstractNumId w:val="3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0"/>
  </w:num>
  <w:num w:numId="11">
    <w:abstractNumId w:val="29"/>
  </w:num>
  <w:num w:numId="12">
    <w:abstractNumId w:val="31"/>
  </w:num>
  <w:num w:numId="13">
    <w:abstractNumId w:val="8"/>
  </w:num>
  <w:num w:numId="14">
    <w:abstractNumId w:val="30"/>
  </w:num>
  <w:num w:numId="15">
    <w:abstractNumId w:val="33"/>
  </w:num>
  <w:num w:numId="16">
    <w:abstractNumId w:val="26"/>
  </w:num>
  <w:num w:numId="17">
    <w:abstractNumId w:val="46"/>
  </w:num>
  <w:num w:numId="18">
    <w:abstractNumId w:val="48"/>
  </w:num>
  <w:num w:numId="19">
    <w:abstractNumId w:val="5"/>
  </w:num>
  <w:num w:numId="20">
    <w:abstractNumId w:val="14"/>
  </w:num>
  <w:num w:numId="21">
    <w:abstractNumId w:val="16"/>
  </w:num>
  <w:num w:numId="22">
    <w:abstractNumId w:val="42"/>
  </w:num>
  <w:num w:numId="23">
    <w:abstractNumId w:val="4"/>
  </w:num>
  <w:num w:numId="24">
    <w:abstractNumId w:val="19"/>
  </w:num>
  <w:num w:numId="25">
    <w:abstractNumId w:val="11"/>
  </w:num>
  <w:num w:numId="26">
    <w:abstractNumId w:val="9"/>
  </w:num>
  <w:num w:numId="27">
    <w:abstractNumId w:val="21"/>
  </w:num>
  <w:num w:numId="28">
    <w:abstractNumId w:val="23"/>
  </w:num>
  <w:num w:numId="29">
    <w:abstractNumId w:val="20"/>
  </w:num>
  <w:num w:numId="30">
    <w:abstractNumId w:val="47"/>
  </w:num>
  <w:num w:numId="31">
    <w:abstractNumId w:val="17"/>
  </w:num>
  <w:num w:numId="32">
    <w:abstractNumId w:val="38"/>
  </w:num>
  <w:num w:numId="33">
    <w:abstractNumId w:val="45"/>
  </w:num>
  <w:num w:numId="34">
    <w:abstractNumId w:val="41"/>
  </w:num>
  <w:num w:numId="35">
    <w:abstractNumId w:val="3"/>
  </w:num>
  <w:num w:numId="36">
    <w:abstractNumId w:val="39"/>
  </w:num>
  <w:num w:numId="37">
    <w:abstractNumId w:val="2"/>
  </w:num>
  <w:num w:numId="38">
    <w:abstractNumId w:val="18"/>
  </w:num>
  <w:num w:numId="39">
    <w:abstractNumId w:val="1"/>
  </w:num>
  <w:num w:numId="40">
    <w:abstractNumId w:val="27"/>
  </w:num>
  <w:num w:numId="41">
    <w:abstractNumId w:val="7"/>
  </w:num>
  <w:num w:numId="42">
    <w:abstractNumId w:val="32"/>
  </w:num>
  <w:num w:numId="43">
    <w:abstractNumId w:val="28"/>
  </w:num>
  <w:num w:numId="44">
    <w:abstractNumId w:val="37"/>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152D"/>
    <w:rsid w:val="000118E3"/>
    <w:rsid w:val="00011EA7"/>
    <w:rsid w:val="000120D3"/>
    <w:rsid w:val="00012806"/>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74F"/>
    <w:rsid w:val="00031946"/>
    <w:rsid w:val="000322EC"/>
    <w:rsid w:val="00032AB9"/>
    <w:rsid w:val="00033D0B"/>
    <w:rsid w:val="00034086"/>
    <w:rsid w:val="00034121"/>
    <w:rsid w:val="000350A9"/>
    <w:rsid w:val="00035472"/>
    <w:rsid w:val="000365B0"/>
    <w:rsid w:val="00036CF7"/>
    <w:rsid w:val="00037175"/>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50B"/>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B98"/>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36C"/>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269"/>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350"/>
    <w:rsid w:val="000B2F97"/>
    <w:rsid w:val="000B3004"/>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A94"/>
    <w:rsid w:val="000C1BA1"/>
    <w:rsid w:val="000C219D"/>
    <w:rsid w:val="000C22B0"/>
    <w:rsid w:val="000C2786"/>
    <w:rsid w:val="000C2E72"/>
    <w:rsid w:val="000C2FFA"/>
    <w:rsid w:val="000C3369"/>
    <w:rsid w:val="000C3CAA"/>
    <w:rsid w:val="000C45E3"/>
    <w:rsid w:val="000C56B4"/>
    <w:rsid w:val="000C586F"/>
    <w:rsid w:val="000C5B48"/>
    <w:rsid w:val="000C661A"/>
    <w:rsid w:val="000C77A9"/>
    <w:rsid w:val="000D0D8B"/>
    <w:rsid w:val="000D14F1"/>
    <w:rsid w:val="000D1B6B"/>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5CA"/>
    <w:rsid w:val="000E2C73"/>
    <w:rsid w:val="000E2C8F"/>
    <w:rsid w:val="000E2EA3"/>
    <w:rsid w:val="000E31F7"/>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15A"/>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BC9"/>
    <w:rsid w:val="00155C11"/>
    <w:rsid w:val="00157D22"/>
    <w:rsid w:val="00157F62"/>
    <w:rsid w:val="001600EB"/>
    <w:rsid w:val="0016039F"/>
    <w:rsid w:val="00160423"/>
    <w:rsid w:val="00161C25"/>
    <w:rsid w:val="00161CD7"/>
    <w:rsid w:val="0016312E"/>
    <w:rsid w:val="00163182"/>
    <w:rsid w:val="0016341E"/>
    <w:rsid w:val="001654A9"/>
    <w:rsid w:val="00165A05"/>
    <w:rsid w:val="00165E5D"/>
    <w:rsid w:val="00166297"/>
    <w:rsid w:val="001663D5"/>
    <w:rsid w:val="0016683E"/>
    <w:rsid w:val="00167277"/>
    <w:rsid w:val="001703EE"/>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2E7E"/>
    <w:rsid w:val="00193C35"/>
    <w:rsid w:val="0019441C"/>
    <w:rsid w:val="001950D9"/>
    <w:rsid w:val="00195379"/>
    <w:rsid w:val="00196144"/>
    <w:rsid w:val="001971B1"/>
    <w:rsid w:val="001971EA"/>
    <w:rsid w:val="00197975"/>
    <w:rsid w:val="00197D0D"/>
    <w:rsid w:val="001A0DC8"/>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5DCE"/>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1F9C"/>
    <w:rsid w:val="001D2755"/>
    <w:rsid w:val="001D2F4D"/>
    <w:rsid w:val="001D39E8"/>
    <w:rsid w:val="001D4075"/>
    <w:rsid w:val="001D4E5E"/>
    <w:rsid w:val="001D600F"/>
    <w:rsid w:val="001D6843"/>
    <w:rsid w:val="001D79BC"/>
    <w:rsid w:val="001E092F"/>
    <w:rsid w:val="001E0947"/>
    <w:rsid w:val="001E152C"/>
    <w:rsid w:val="001E17F9"/>
    <w:rsid w:val="001E24EA"/>
    <w:rsid w:val="001E25FF"/>
    <w:rsid w:val="001E35D6"/>
    <w:rsid w:val="001E411C"/>
    <w:rsid w:val="001E4693"/>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28FF"/>
    <w:rsid w:val="0020322B"/>
    <w:rsid w:val="002032C8"/>
    <w:rsid w:val="00203A75"/>
    <w:rsid w:val="0020409B"/>
    <w:rsid w:val="00205901"/>
    <w:rsid w:val="00205C7C"/>
    <w:rsid w:val="002060A5"/>
    <w:rsid w:val="002068F5"/>
    <w:rsid w:val="002070E4"/>
    <w:rsid w:val="0020721C"/>
    <w:rsid w:val="002072C3"/>
    <w:rsid w:val="00207813"/>
    <w:rsid w:val="0020790A"/>
    <w:rsid w:val="00207E86"/>
    <w:rsid w:val="00210594"/>
    <w:rsid w:val="00210F65"/>
    <w:rsid w:val="002114F0"/>
    <w:rsid w:val="0021261D"/>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0F49"/>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797"/>
    <w:rsid w:val="00246A8F"/>
    <w:rsid w:val="0024727D"/>
    <w:rsid w:val="00247783"/>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67F1F"/>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3D2B"/>
    <w:rsid w:val="00285478"/>
    <w:rsid w:val="0028663C"/>
    <w:rsid w:val="00287C89"/>
    <w:rsid w:val="002905B5"/>
    <w:rsid w:val="002911D8"/>
    <w:rsid w:val="00293203"/>
    <w:rsid w:val="0029329A"/>
    <w:rsid w:val="00293366"/>
    <w:rsid w:val="00293A15"/>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9C6"/>
    <w:rsid w:val="002B0F52"/>
    <w:rsid w:val="002B1071"/>
    <w:rsid w:val="002B129B"/>
    <w:rsid w:val="002B29E2"/>
    <w:rsid w:val="002B3708"/>
    <w:rsid w:val="002B4D46"/>
    <w:rsid w:val="002B4F19"/>
    <w:rsid w:val="002B5625"/>
    <w:rsid w:val="002B5F9C"/>
    <w:rsid w:val="002B6147"/>
    <w:rsid w:val="002C0170"/>
    <w:rsid w:val="002C0E18"/>
    <w:rsid w:val="002C2427"/>
    <w:rsid w:val="002C2773"/>
    <w:rsid w:val="002C2A4F"/>
    <w:rsid w:val="002C3502"/>
    <w:rsid w:val="002C397B"/>
    <w:rsid w:val="002C3BA0"/>
    <w:rsid w:val="002C436C"/>
    <w:rsid w:val="002C47C4"/>
    <w:rsid w:val="002C51AF"/>
    <w:rsid w:val="002C6E41"/>
    <w:rsid w:val="002C748E"/>
    <w:rsid w:val="002C77D1"/>
    <w:rsid w:val="002C7D3C"/>
    <w:rsid w:val="002D04DB"/>
    <w:rsid w:val="002D0DDF"/>
    <w:rsid w:val="002D17A5"/>
    <w:rsid w:val="002D1AC7"/>
    <w:rsid w:val="002D347E"/>
    <w:rsid w:val="002D3D17"/>
    <w:rsid w:val="002D42A0"/>
    <w:rsid w:val="002D440D"/>
    <w:rsid w:val="002D4C8C"/>
    <w:rsid w:val="002D4EF6"/>
    <w:rsid w:val="002D545A"/>
    <w:rsid w:val="002D550B"/>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B5"/>
    <w:rsid w:val="002E4DC4"/>
    <w:rsid w:val="002E5281"/>
    <w:rsid w:val="002E5E0E"/>
    <w:rsid w:val="002E5E2F"/>
    <w:rsid w:val="002E5F1C"/>
    <w:rsid w:val="002E5F3E"/>
    <w:rsid w:val="002E736D"/>
    <w:rsid w:val="002F0875"/>
    <w:rsid w:val="002F0884"/>
    <w:rsid w:val="002F1A5B"/>
    <w:rsid w:val="002F1B87"/>
    <w:rsid w:val="002F3470"/>
    <w:rsid w:val="002F4CA2"/>
    <w:rsid w:val="002F51B3"/>
    <w:rsid w:val="002F527B"/>
    <w:rsid w:val="002F5306"/>
    <w:rsid w:val="002F5570"/>
    <w:rsid w:val="002F5792"/>
    <w:rsid w:val="002F5C9A"/>
    <w:rsid w:val="002F6254"/>
    <w:rsid w:val="002F6432"/>
    <w:rsid w:val="002F64A0"/>
    <w:rsid w:val="002F69EB"/>
    <w:rsid w:val="002F6D11"/>
    <w:rsid w:val="002F6D5A"/>
    <w:rsid w:val="002F6FC4"/>
    <w:rsid w:val="002F7255"/>
    <w:rsid w:val="002F7D6F"/>
    <w:rsid w:val="00300450"/>
    <w:rsid w:val="003005AA"/>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10015"/>
    <w:rsid w:val="00310992"/>
    <w:rsid w:val="00311387"/>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32F1"/>
    <w:rsid w:val="0032378E"/>
    <w:rsid w:val="00323C12"/>
    <w:rsid w:val="00323D04"/>
    <w:rsid w:val="003243CB"/>
    <w:rsid w:val="003245FB"/>
    <w:rsid w:val="003250E2"/>
    <w:rsid w:val="0032569E"/>
    <w:rsid w:val="00326522"/>
    <w:rsid w:val="003270BF"/>
    <w:rsid w:val="0032768B"/>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21D7"/>
    <w:rsid w:val="003832C3"/>
    <w:rsid w:val="003835EB"/>
    <w:rsid w:val="00383FF3"/>
    <w:rsid w:val="00384485"/>
    <w:rsid w:val="00384833"/>
    <w:rsid w:val="00384B1C"/>
    <w:rsid w:val="00384EA5"/>
    <w:rsid w:val="0038505C"/>
    <w:rsid w:val="00385BBE"/>
    <w:rsid w:val="00385D5C"/>
    <w:rsid w:val="00386843"/>
    <w:rsid w:val="00386C4E"/>
    <w:rsid w:val="00386E5D"/>
    <w:rsid w:val="00387E97"/>
    <w:rsid w:val="003901EF"/>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340"/>
    <w:rsid w:val="00397572"/>
    <w:rsid w:val="003A074E"/>
    <w:rsid w:val="003A1CFF"/>
    <w:rsid w:val="003A2BB7"/>
    <w:rsid w:val="003A312D"/>
    <w:rsid w:val="003A3C93"/>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FBC"/>
    <w:rsid w:val="003B32CC"/>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983"/>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3EC0"/>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811"/>
    <w:rsid w:val="00400D40"/>
    <w:rsid w:val="004014C9"/>
    <w:rsid w:val="00401DDB"/>
    <w:rsid w:val="00402B5F"/>
    <w:rsid w:val="00402C3D"/>
    <w:rsid w:val="00403087"/>
    <w:rsid w:val="00403EDA"/>
    <w:rsid w:val="00403F44"/>
    <w:rsid w:val="0040409C"/>
    <w:rsid w:val="00404A45"/>
    <w:rsid w:val="00405576"/>
    <w:rsid w:val="004058B8"/>
    <w:rsid w:val="00405B3F"/>
    <w:rsid w:val="00406113"/>
    <w:rsid w:val="004063C4"/>
    <w:rsid w:val="004072FC"/>
    <w:rsid w:val="004074CB"/>
    <w:rsid w:val="00407D7D"/>
    <w:rsid w:val="00407EDD"/>
    <w:rsid w:val="00410247"/>
    <w:rsid w:val="00410B00"/>
    <w:rsid w:val="00410B24"/>
    <w:rsid w:val="00410E12"/>
    <w:rsid w:val="00410E3B"/>
    <w:rsid w:val="00410E7B"/>
    <w:rsid w:val="004115C8"/>
    <w:rsid w:val="00411A4D"/>
    <w:rsid w:val="00413BE9"/>
    <w:rsid w:val="00413E03"/>
    <w:rsid w:val="00414E73"/>
    <w:rsid w:val="00414FB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3964"/>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DC0"/>
    <w:rsid w:val="00462787"/>
    <w:rsid w:val="004628F0"/>
    <w:rsid w:val="00462D54"/>
    <w:rsid w:val="00462D63"/>
    <w:rsid w:val="00463886"/>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5B4D"/>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577"/>
    <w:rsid w:val="0049362A"/>
    <w:rsid w:val="004942A0"/>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0A2"/>
    <w:rsid w:val="004C13F1"/>
    <w:rsid w:val="004C1552"/>
    <w:rsid w:val="004C16F5"/>
    <w:rsid w:val="004C33E8"/>
    <w:rsid w:val="004C4A96"/>
    <w:rsid w:val="004C4E5F"/>
    <w:rsid w:val="004C5875"/>
    <w:rsid w:val="004C5F28"/>
    <w:rsid w:val="004C6997"/>
    <w:rsid w:val="004C6CDB"/>
    <w:rsid w:val="004C723F"/>
    <w:rsid w:val="004C7C36"/>
    <w:rsid w:val="004C7D16"/>
    <w:rsid w:val="004D0132"/>
    <w:rsid w:val="004D080F"/>
    <w:rsid w:val="004D138E"/>
    <w:rsid w:val="004D185E"/>
    <w:rsid w:val="004D2556"/>
    <w:rsid w:val="004D29F9"/>
    <w:rsid w:val="004D4ABE"/>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C4"/>
    <w:rsid w:val="004F5D65"/>
    <w:rsid w:val="004F70F8"/>
    <w:rsid w:val="004F7230"/>
    <w:rsid w:val="004F7D65"/>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769B"/>
    <w:rsid w:val="0052052F"/>
    <w:rsid w:val="00520571"/>
    <w:rsid w:val="00522C8A"/>
    <w:rsid w:val="00523AF8"/>
    <w:rsid w:val="00523F57"/>
    <w:rsid w:val="00523F8F"/>
    <w:rsid w:val="005248F8"/>
    <w:rsid w:val="00524E1E"/>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4AF9"/>
    <w:rsid w:val="00535189"/>
    <w:rsid w:val="005356B6"/>
    <w:rsid w:val="00535D75"/>
    <w:rsid w:val="00535FF9"/>
    <w:rsid w:val="0053609B"/>
    <w:rsid w:val="0053655A"/>
    <w:rsid w:val="00536ECF"/>
    <w:rsid w:val="0053740F"/>
    <w:rsid w:val="00537BDF"/>
    <w:rsid w:val="00540D9E"/>
    <w:rsid w:val="0054171A"/>
    <w:rsid w:val="005420CF"/>
    <w:rsid w:val="00542C2A"/>
    <w:rsid w:val="0054337D"/>
    <w:rsid w:val="005438E3"/>
    <w:rsid w:val="00543CAC"/>
    <w:rsid w:val="005440E4"/>
    <w:rsid w:val="0054438F"/>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169"/>
    <w:rsid w:val="00564643"/>
    <w:rsid w:val="00564772"/>
    <w:rsid w:val="00566518"/>
    <w:rsid w:val="005667C6"/>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2FA1"/>
    <w:rsid w:val="005843DF"/>
    <w:rsid w:val="005860BC"/>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266"/>
    <w:rsid w:val="005A74D9"/>
    <w:rsid w:val="005A7E88"/>
    <w:rsid w:val="005B01F4"/>
    <w:rsid w:val="005B05BE"/>
    <w:rsid w:val="005B0692"/>
    <w:rsid w:val="005B07C7"/>
    <w:rsid w:val="005B1B4F"/>
    <w:rsid w:val="005B2564"/>
    <w:rsid w:val="005B2E53"/>
    <w:rsid w:val="005B2F26"/>
    <w:rsid w:val="005B3076"/>
    <w:rsid w:val="005B389B"/>
    <w:rsid w:val="005B4B88"/>
    <w:rsid w:val="005B4C25"/>
    <w:rsid w:val="005B52D8"/>
    <w:rsid w:val="005B57E9"/>
    <w:rsid w:val="005B5DAD"/>
    <w:rsid w:val="005B659A"/>
    <w:rsid w:val="005B65CA"/>
    <w:rsid w:val="005B79C6"/>
    <w:rsid w:val="005C04C0"/>
    <w:rsid w:val="005C0912"/>
    <w:rsid w:val="005C0DE9"/>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441C"/>
    <w:rsid w:val="005D63D9"/>
    <w:rsid w:val="005D6652"/>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D25"/>
    <w:rsid w:val="0060615A"/>
    <w:rsid w:val="006072E8"/>
    <w:rsid w:val="006079DC"/>
    <w:rsid w:val="00607C2D"/>
    <w:rsid w:val="006103A4"/>
    <w:rsid w:val="00610922"/>
    <w:rsid w:val="00611250"/>
    <w:rsid w:val="00611D8D"/>
    <w:rsid w:val="006122E2"/>
    <w:rsid w:val="006125AA"/>
    <w:rsid w:val="00613E9D"/>
    <w:rsid w:val="0061423C"/>
    <w:rsid w:val="0061427C"/>
    <w:rsid w:val="00615DED"/>
    <w:rsid w:val="00615FAB"/>
    <w:rsid w:val="00616705"/>
    <w:rsid w:val="006169BB"/>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3BE"/>
    <w:rsid w:val="00624406"/>
    <w:rsid w:val="006248E3"/>
    <w:rsid w:val="00625D3D"/>
    <w:rsid w:val="00625DB6"/>
    <w:rsid w:val="00626280"/>
    <w:rsid w:val="00626CAC"/>
    <w:rsid w:val="00627AD4"/>
    <w:rsid w:val="00630D54"/>
    <w:rsid w:val="00630F33"/>
    <w:rsid w:val="006312A4"/>
    <w:rsid w:val="006312F8"/>
    <w:rsid w:val="006313C9"/>
    <w:rsid w:val="006317D2"/>
    <w:rsid w:val="00631C0F"/>
    <w:rsid w:val="006337EA"/>
    <w:rsid w:val="006348ED"/>
    <w:rsid w:val="00635314"/>
    <w:rsid w:val="006355E6"/>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9B8"/>
    <w:rsid w:val="00672F3E"/>
    <w:rsid w:val="00673BF2"/>
    <w:rsid w:val="00673C58"/>
    <w:rsid w:val="0067494B"/>
    <w:rsid w:val="00674DB0"/>
    <w:rsid w:val="00675296"/>
    <w:rsid w:val="0067649E"/>
    <w:rsid w:val="006766B8"/>
    <w:rsid w:val="00677143"/>
    <w:rsid w:val="006807E1"/>
    <w:rsid w:val="00680DE4"/>
    <w:rsid w:val="0068116A"/>
    <w:rsid w:val="006823D9"/>
    <w:rsid w:val="00682434"/>
    <w:rsid w:val="00683367"/>
    <w:rsid w:val="00683B8F"/>
    <w:rsid w:val="006841B1"/>
    <w:rsid w:val="0068436A"/>
    <w:rsid w:val="0068523F"/>
    <w:rsid w:val="00685586"/>
    <w:rsid w:val="006855A0"/>
    <w:rsid w:val="006861C4"/>
    <w:rsid w:val="00686C23"/>
    <w:rsid w:val="00687033"/>
    <w:rsid w:val="00687774"/>
    <w:rsid w:val="00687D28"/>
    <w:rsid w:val="00687EC6"/>
    <w:rsid w:val="00690AC8"/>
    <w:rsid w:val="00690CCF"/>
    <w:rsid w:val="00690E24"/>
    <w:rsid w:val="00691626"/>
    <w:rsid w:val="006936CD"/>
    <w:rsid w:val="0069391C"/>
    <w:rsid w:val="00693EA8"/>
    <w:rsid w:val="0069493D"/>
    <w:rsid w:val="00694C13"/>
    <w:rsid w:val="00694FF9"/>
    <w:rsid w:val="006961DC"/>
    <w:rsid w:val="0069620B"/>
    <w:rsid w:val="0069659F"/>
    <w:rsid w:val="00696801"/>
    <w:rsid w:val="0069758F"/>
    <w:rsid w:val="006978DB"/>
    <w:rsid w:val="00697989"/>
    <w:rsid w:val="006979EF"/>
    <w:rsid w:val="006A049D"/>
    <w:rsid w:val="006A0623"/>
    <w:rsid w:val="006A12AE"/>
    <w:rsid w:val="006A12E9"/>
    <w:rsid w:val="006A180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386D"/>
    <w:rsid w:val="006B4F5C"/>
    <w:rsid w:val="006B5062"/>
    <w:rsid w:val="006B50A3"/>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C34"/>
    <w:rsid w:val="006C5D35"/>
    <w:rsid w:val="006C6470"/>
    <w:rsid w:val="006C75FA"/>
    <w:rsid w:val="006C7FAC"/>
    <w:rsid w:val="006D002D"/>
    <w:rsid w:val="006D0421"/>
    <w:rsid w:val="006D047B"/>
    <w:rsid w:val="006D1D18"/>
    <w:rsid w:val="006D20CB"/>
    <w:rsid w:val="006D2594"/>
    <w:rsid w:val="006D2BD4"/>
    <w:rsid w:val="006D3530"/>
    <w:rsid w:val="006D3BF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2C57"/>
    <w:rsid w:val="0071320C"/>
    <w:rsid w:val="0071356F"/>
    <w:rsid w:val="00714166"/>
    <w:rsid w:val="007153F0"/>
    <w:rsid w:val="007154CF"/>
    <w:rsid w:val="007159A1"/>
    <w:rsid w:val="00716812"/>
    <w:rsid w:val="007171DB"/>
    <w:rsid w:val="00717651"/>
    <w:rsid w:val="0071796A"/>
    <w:rsid w:val="00717A8D"/>
    <w:rsid w:val="00717BF6"/>
    <w:rsid w:val="00717C21"/>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4B9"/>
    <w:rsid w:val="00741968"/>
    <w:rsid w:val="00741BDD"/>
    <w:rsid w:val="00741F62"/>
    <w:rsid w:val="007423E9"/>
    <w:rsid w:val="00742D75"/>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47FBF"/>
    <w:rsid w:val="00751097"/>
    <w:rsid w:val="00751E1F"/>
    <w:rsid w:val="0075296E"/>
    <w:rsid w:val="00752F33"/>
    <w:rsid w:val="0075319C"/>
    <w:rsid w:val="007531A5"/>
    <w:rsid w:val="007535E3"/>
    <w:rsid w:val="00753FCB"/>
    <w:rsid w:val="007542B1"/>
    <w:rsid w:val="0075488D"/>
    <w:rsid w:val="007550FE"/>
    <w:rsid w:val="00755EE8"/>
    <w:rsid w:val="00756609"/>
    <w:rsid w:val="007566A7"/>
    <w:rsid w:val="007567D2"/>
    <w:rsid w:val="00756E30"/>
    <w:rsid w:val="0075707E"/>
    <w:rsid w:val="00757941"/>
    <w:rsid w:val="00762FCA"/>
    <w:rsid w:val="007639A5"/>
    <w:rsid w:val="00763CC7"/>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3F00"/>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C685F"/>
    <w:rsid w:val="007D069C"/>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2CC3"/>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06F"/>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2005"/>
    <w:rsid w:val="0082256B"/>
    <w:rsid w:val="00822609"/>
    <w:rsid w:val="00822B0C"/>
    <w:rsid w:val="00822C45"/>
    <w:rsid w:val="0082377B"/>
    <w:rsid w:val="008241E4"/>
    <w:rsid w:val="00824394"/>
    <w:rsid w:val="00824912"/>
    <w:rsid w:val="00824F1A"/>
    <w:rsid w:val="00825B07"/>
    <w:rsid w:val="008265E8"/>
    <w:rsid w:val="00826634"/>
    <w:rsid w:val="00826C0C"/>
    <w:rsid w:val="00827175"/>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7B3"/>
    <w:rsid w:val="008358DA"/>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6BB8"/>
    <w:rsid w:val="008470E8"/>
    <w:rsid w:val="0084736D"/>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F08"/>
    <w:rsid w:val="008612F5"/>
    <w:rsid w:val="00861F9D"/>
    <w:rsid w:val="00862CED"/>
    <w:rsid w:val="0086307F"/>
    <w:rsid w:val="008639AD"/>
    <w:rsid w:val="00863C1F"/>
    <w:rsid w:val="00866BCC"/>
    <w:rsid w:val="00870856"/>
    <w:rsid w:val="0087157B"/>
    <w:rsid w:val="00872B3A"/>
    <w:rsid w:val="00873845"/>
    <w:rsid w:val="00876522"/>
    <w:rsid w:val="00876AE3"/>
    <w:rsid w:val="008775DB"/>
    <w:rsid w:val="0087764A"/>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598A"/>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55D1"/>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513"/>
    <w:rsid w:val="0093661E"/>
    <w:rsid w:val="00936789"/>
    <w:rsid w:val="00936EF5"/>
    <w:rsid w:val="009372E1"/>
    <w:rsid w:val="00937FBA"/>
    <w:rsid w:val="009417AC"/>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2ADE"/>
    <w:rsid w:val="00953586"/>
    <w:rsid w:val="0095377C"/>
    <w:rsid w:val="00953A0D"/>
    <w:rsid w:val="00954532"/>
    <w:rsid w:val="009545F1"/>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644"/>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765"/>
    <w:rsid w:val="00987DF4"/>
    <w:rsid w:val="00987FDA"/>
    <w:rsid w:val="00990175"/>
    <w:rsid w:val="00990C1C"/>
    <w:rsid w:val="00991ED6"/>
    <w:rsid w:val="009920A0"/>
    <w:rsid w:val="00992E8A"/>
    <w:rsid w:val="00992E8D"/>
    <w:rsid w:val="009937FD"/>
    <w:rsid w:val="00994F4D"/>
    <w:rsid w:val="0099582B"/>
    <w:rsid w:val="00995C38"/>
    <w:rsid w:val="00995DAF"/>
    <w:rsid w:val="00995FC3"/>
    <w:rsid w:val="00996AA6"/>
    <w:rsid w:val="00997230"/>
    <w:rsid w:val="009A0274"/>
    <w:rsid w:val="009A035E"/>
    <w:rsid w:val="009A18AB"/>
    <w:rsid w:val="009A2D7C"/>
    <w:rsid w:val="009A30FE"/>
    <w:rsid w:val="009A4644"/>
    <w:rsid w:val="009A468E"/>
    <w:rsid w:val="009A48A4"/>
    <w:rsid w:val="009A4908"/>
    <w:rsid w:val="009A4A3E"/>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70"/>
    <w:rsid w:val="009C3AE8"/>
    <w:rsid w:val="009C4087"/>
    <w:rsid w:val="009C4959"/>
    <w:rsid w:val="009C4CFF"/>
    <w:rsid w:val="009C5961"/>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F86"/>
    <w:rsid w:val="009E2D68"/>
    <w:rsid w:val="009E3112"/>
    <w:rsid w:val="009E34B7"/>
    <w:rsid w:val="009E434B"/>
    <w:rsid w:val="009E480B"/>
    <w:rsid w:val="009E4C2E"/>
    <w:rsid w:val="009E5BAE"/>
    <w:rsid w:val="009E5BF5"/>
    <w:rsid w:val="009E5D18"/>
    <w:rsid w:val="009E5F8E"/>
    <w:rsid w:val="009E648E"/>
    <w:rsid w:val="009E65CA"/>
    <w:rsid w:val="009E699D"/>
    <w:rsid w:val="009F1904"/>
    <w:rsid w:val="009F209E"/>
    <w:rsid w:val="009F2446"/>
    <w:rsid w:val="009F2450"/>
    <w:rsid w:val="009F2BF4"/>
    <w:rsid w:val="009F2C12"/>
    <w:rsid w:val="009F2F47"/>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87D"/>
    <w:rsid w:val="00A20573"/>
    <w:rsid w:val="00A205B6"/>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80"/>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5D27"/>
    <w:rsid w:val="00A96FC0"/>
    <w:rsid w:val="00A97BFA"/>
    <w:rsid w:val="00AA007C"/>
    <w:rsid w:val="00AA0B30"/>
    <w:rsid w:val="00AA1053"/>
    <w:rsid w:val="00AA1A77"/>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1B1"/>
    <w:rsid w:val="00AB7601"/>
    <w:rsid w:val="00AB7957"/>
    <w:rsid w:val="00AB7A15"/>
    <w:rsid w:val="00AC0BD8"/>
    <w:rsid w:val="00AC1E53"/>
    <w:rsid w:val="00AC2F56"/>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8F8"/>
    <w:rsid w:val="00AD692B"/>
    <w:rsid w:val="00AE0B68"/>
    <w:rsid w:val="00AE0CA2"/>
    <w:rsid w:val="00AE10CD"/>
    <w:rsid w:val="00AE1499"/>
    <w:rsid w:val="00AE2D0A"/>
    <w:rsid w:val="00AE3725"/>
    <w:rsid w:val="00AE3AE0"/>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F83"/>
    <w:rsid w:val="00B0338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629"/>
    <w:rsid w:val="00B21D6E"/>
    <w:rsid w:val="00B22C39"/>
    <w:rsid w:val="00B22DE0"/>
    <w:rsid w:val="00B23D2D"/>
    <w:rsid w:val="00B24380"/>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097F"/>
    <w:rsid w:val="00B410B3"/>
    <w:rsid w:val="00B4190C"/>
    <w:rsid w:val="00B41956"/>
    <w:rsid w:val="00B42A22"/>
    <w:rsid w:val="00B43539"/>
    <w:rsid w:val="00B45535"/>
    <w:rsid w:val="00B4553C"/>
    <w:rsid w:val="00B4572C"/>
    <w:rsid w:val="00B459C8"/>
    <w:rsid w:val="00B45BAB"/>
    <w:rsid w:val="00B46975"/>
    <w:rsid w:val="00B472EC"/>
    <w:rsid w:val="00B52046"/>
    <w:rsid w:val="00B5259A"/>
    <w:rsid w:val="00B52CB1"/>
    <w:rsid w:val="00B53B6D"/>
    <w:rsid w:val="00B53C9A"/>
    <w:rsid w:val="00B53D31"/>
    <w:rsid w:val="00B54F0D"/>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4F32"/>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0CE9"/>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3A31"/>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1510"/>
    <w:rsid w:val="00C01CEB"/>
    <w:rsid w:val="00C01F6E"/>
    <w:rsid w:val="00C03249"/>
    <w:rsid w:val="00C04BAE"/>
    <w:rsid w:val="00C05896"/>
    <w:rsid w:val="00C0599A"/>
    <w:rsid w:val="00C06C42"/>
    <w:rsid w:val="00C06EB2"/>
    <w:rsid w:val="00C073DA"/>
    <w:rsid w:val="00C07C15"/>
    <w:rsid w:val="00C10B9B"/>
    <w:rsid w:val="00C10C30"/>
    <w:rsid w:val="00C1104C"/>
    <w:rsid w:val="00C11577"/>
    <w:rsid w:val="00C11DC5"/>
    <w:rsid w:val="00C11F13"/>
    <w:rsid w:val="00C11F39"/>
    <w:rsid w:val="00C11F55"/>
    <w:rsid w:val="00C12249"/>
    <w:rsid w:val="00C1250E"/>
    <w:rsid w:val="00C12A29"/>
    <w:rsid w:val="00C138E7"/>
    <w:rsid w:val="00C139A1"/>
    <w:rsid w:val="00C1448C"/>
    <w:rsid w:val="00C14D7A"/>
    <w:rsid w:val="00C16C4B"/>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3022B"/>
    <w:rsid w:val="00C30723"/>
    <w:rsid w:val="00C31756"/>
    <w:rsid w:val="00C31F7F"/>
    <w:rsid w:val="00C32186"/>
    <w:rsid w:val="00C335AE"/>
    <w:rsid w:val="00C3427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960"/>
    <w:rsid w:val="00C47CFC"/>
    <w:rsid w:val="00C50260"/>
    <w:rsid w:val="00C51395"/>
    <w:rsid w:val="00C51553"/>
    <w:rsid w:val="00C518A5"/>
    <w:rsid w:val="00C51A60"/>
    <w:rsid w:val="00C520E4"/>
    <w:rsid w:val="00C52334"/>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171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778AB"/>
    <w:rsid w:val="00C816DF"/>
    <w:rsid w:val="00C820EE"/>
    <w:rsid w:val="00C82CD4"/>
    <w:rsid w:val="00C84713"/>
    <w:rsid w:val="00C84758"/>
    <w:rsid w:val="00C853AB"/>
    <w:rsid w:val="00C85F72"/>
    <w:rsid w:val="00C86896"/>
    <w:rsid w:val="00C876E1"/>
    <w:rsid w:val="00C90162"/>
    <w:rsid w:val="00C908A9"/>
    <w:rsid w:val="00C908BE"/>
    <w:rsid w:val="00C90B93"/>
    <w:rsid w:val="00C91507"/>
    <w:rsid w:val="00C940C2"/>
    <w:rsid w:val="00C952E9"/>
    <w:rsid w:val="00C95AC8"/>
    <w:rsid w:val="00C95E95"/>
    <w:rsid w:val="00C9639C"/>
    <w:rsid w:val="00C9760B"/>
    <w:rsid w:val="00C976E0"/>
    <w:rsid w:val="00C9796B"/>
    <w:rsid w:val="00C97C19"/>
    <w:rsid w:val="00CA0174"/>
    <w:rsid w:val="00CA018B"/>
    <w:rsid w:val="00CA05EE"/>
    <w:rsid w:val="00CA0C53"/>
    <w:rsid w:val="00CA1AE4"/>
    <w:rsid w:val="00CA1BF5"/>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140D"/>
    <w:rsid w:val="00CC1E56"/>
    <w:rsid w:val="00CC2270"/>
    <w:rsid w:val="00CC3277"/>
    <w:rsid w:val="00CC385B"/>
    <w:rsid w:val="00CC4207"/>
    <w:rsid w:val="00CC5222"/>
    <w:rsid w:val="00CC5451"/>
    <w:rsid w:val="00CC5775"/>
    <w:rsid w:val="00CC62CD"/>
    <w:rsid w:val="00CC6C6A"/>
    <w:rsid w:val="00CC7881"/>
    <w:rsid w:val="00CC7971"/>
    <w:rsid w:val="00CD0422"/>
    <w:rsid w:val="00CD083E"/>
    <w:rsid w:val="00CD0982"/>
    <w:rsid w:val="00CD124B"/>
    <w:rsid w:val="00CD14D2"/>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D73E8"/>
    <w:rsid w:val="00CE06B1"/>
    <w:rsid w:val="00CE0944"/>
    <w:rsid w:val="00CE0A76"/>
    <w:rsid w:val="00CE3120"/>
    <w:rsid w:val="00CE3C60"/>
    <w:rsid w:val="00CE42DB"/>
    <w:rsid w:val="00CE4C6F"/>
    <w:rsid w:val="00CE52CC"/>
    <w:rsid w:val="00CE53F4"/>
    <w:rsid w:val="00CE5510"/>
    <w:rsid w:val="00CE563A"/>
    <w:rsid w:val="00CE5B5C"/>
    <w:rsid w:val="00CE5B69"/>
    <w:rsid w:val="00CE6071"/>
    <w:rsid w:val="00CE66E3"/>
    <w:rsid w:val="00CE6E72"/>
    <w:rsid w:val="00CE793F"/>
    <w:rsid w:val="00CE7E6F"/>
    <w:rsid w:val="00CF15DD"/>
    <w:rsid w:val="00CF223D"/>
    <w:rsid w:val="00CF2703"/>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2045"/>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564"/>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6255"/>
    <w:rsid w:val="00D863D1"/>
    <w:rsid w:val="00D872B7"/>
    <w:rsid w:val="00D8798B"/>
    <w:rsid w:val="00D87DCF"/>
    <w:rsid w:val="00D87F5B"/>
    <w:rsid w:val="00D90125"/>
    <w:rsid w:val="00D9057B"/>
    <w:rsid w:val="00D9096B"/>
    <w:rsid w:val="00D90ED1"/>
    <w:rsid w:val="00D91C34"/>
    <w:rsid w:val="00D925C5"/>
    <w:rsid w:val="00D9279F"/>
    <w:rsid w:val="00D948F3"/>
    <w:rsid w:val="00D94E4C"/>
    <w:rsid w:val="00D95709"/>
    <w:rsid w:val="00D958D7"/>
    <w:rsid w:val="00D95D24"/>
    <w:rsid w:val="00D96B2B"/>
    <w:rsid w:val="00D96D46"/>
    <w:rsid w:val="00D97B72"/>
    <w:rsid w:val="00D97CF6"/>
    <w:rsid w:val="00DA0BBE"/>
    <w:rsid w:val="00DA11AE"/>
    <w:rsid w:val="00DA16E5"/>
    <w:rsid w:val="00DA1BE9"/>
    <w:rsid w:val="00DA283D"/>
    <w:rsid w:val="00DA3E12"/>
    <w:rsid w:val="00DA4141"/>
    <w:rsid w:val="00DA417B"/>
    <w:rsid w:val="00DA45BD"/>
    <w:rsid w:val="00DA4E0B"/>
    <w:rsid w:val="00DA5000"/>
    <w:rsid w:val="00DA52EB"/>
    <w:rsid w:val="00DA5CD6"/>
    <w:rsid w:val="00DA6868"/>
    <w:rsid w:val="00DA7044"/>
    <w:rsid w:val="00DB0312"/>
    <w:rsid w:val="00DB115A"/>
    <w:rsid w:val="00DB31DB"/>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DA2"/>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5E85"/>
    <w:rsid w:val="00DE704F"/>
    <w:rsid w:val="00DE7DBA"/>
    <w:rsid w:val="00DE7FB5"/>
    <w:rsid w:val="00DF0953"/>
    <w:rsid w:val="00DF354D"/>
    <w:rsid w:val="00DF3B05"/>
    <w:rsid w:val="00DF44BC"/>
    <w:rsid w:val="00DF46D2"/>
    <w:rsid w:val="00DF5209"/>
    <w:rsid w:val="00DF5300"/>
    <w:rsid w:val="00DF5D59"/>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433"/>
    <w:rsid w:val="00E06510"/>
    <w:rsid w:val="00E072B0"/>
    <w:rsid w:val="00E074F2"/>
    <w:rsid w:val="00E07C90"/>
    <w:rsid w:val="00E111E7"/>
    <w:rsid w:val="00E111F8"/>
    <w:rsid w:val="00E12041"/>
    <w:rsid w:val="00E12618"/>
    <w:rsid w:val="00E129DF"/>
    <w:rsid w:val="00E12B5D"/>
    <w:rsid w:val="00E12C2E"/>
    <w:rsid w:val="00E13435"/>
    <w:rsid w:val="00E13F23"/>
    <w:rsid w:val="00E143D4"/>
    <w:rsid w:val="00E14773"/>
    <w:rsid w:val="00E1521D"/>
    <w:rsid w:val="00E154D2"/>
    <w:rsid w:val="00E155E5"/>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FB5"/>
    <w:rsid w:val="00E41199"/>
    <w:rsid w:val="00E41884"/>
    <w:rsid w:val="00E4192C"/>
    <w:rsid w:val="00E41DF6"/>
    <w:rsid w:val="00E420CB"/>
    <w:rsid w:val="00E42BB9"/>
    <w:rsid w:val="00E42FB9"/>
    <w:rsid w:val="00E451B6"/>
    <w:rsid w:val="00E454AD"/>
    <w:rsid w:val="00E45F16"/>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1E95"/>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0FEF"/>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F5C"/>
    <w:rsid w:val="00EA4397"/>
    <w:rsid w:val="00EA4816"/>
    <w:rsid w:val="00EA499D"/>
    <w:rsid w:val="00EA4FFF"/>
    <w:rsid w:val="00EA54AD"/>
    <w:rsid w:val="00EA58A0"/>
    <w:rsid w:val="00EA5AE3"/>
    <w:rsid w:val="00EA5C8C"/>
    <w:rsid w:val="00EA5ECB"/>
    <w:rsid w:val="00EA62F8"/>
    <w:rsid w:val="00EA6B56"/>
    <w:rsid w:val="00EA6D49"/>
    <w:rsid w:val="00EA7D0C"/>
    <w:rsid w:val="00EA7F0B"/>
    <w:rsid w:val="00EB00B5"/>
    <w:rsid w:val="00EB0CCF"/>
    <w:rsid w:val="00EB114C"/>
    <w:rsid w:val="00EB18C0"/>
    <w:rsid w:val="00EB20F4"/>
    <w:rsid w:val="00EB2490"/>
    <w:rsid w:val="00EB3C4F"/>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942"/>
    <w:rsid w:val="00ED1A7F"/>
    <w:rsid w:val="00ED22C5"/>
    <w:rsid w:val="00ED3503"/>
    <w:rsid w:val="00ED4DFC"/>
    <w:rsid w:val="00ED4E42"/>
    <w:rsid w:val="00ED5E54"/>
    <w:rsid w:val="00ED6AE3"/>
    <w:rsid w:val="00ED7786"/>
    <w:rsid w:val="00ED7EA9"/>
    <w:rsid w:val="00EE00E5"/>
    <w:rsid w:val="00EE0B31"/>
    <w:rsid w:val="00EE1E9C"/>
    <w:rsid w:val="00EE200B"/>
    <w:rsid w:val="00EE2083"/>
    <w:rsid w:val="00EE20A8"/>
    <w:rsid w:val="00EE2140"/>
    <w:rsid w:val="00EE23BC"/>
    <w:rsid w:val="00EE25D9"/>
    <w:rsid w:val="00EE2AFA"/>
    <w:rsid w:val="00EE433B"/>
    <w:rsid w:val="00EE46D0"/>
    <w:rsid w:val="00EE476D"/>
    <w:rsid w:val="00EE49A6"/>
    <w:rsid w:val="00EE4C73"/>
    <w:rsid w:val="00EE5ACC"/>
    <w:rsid w:val="00EE5C23"/>
    <w:rsid w:val="00EE67FE"/>
    <w:rsid w:val="00EE6BDD"/>
    <w:rsid w:val="00EE703E"/>
    <w:rsid w:val="00EE76F0"/>
    <w:rsid w:val="00EE7B1C"/>
    <w:rsid w:val="00EF02BD"/>
    <w:rsid w:val="00EF17B9"/>
    <w:rsid w:val="00EF1EB9"/>
    <w:rsid w:val="00EF274D"/>
    <w:rsid w:val="00EF2A0D"/>
    <w:rsid w:val="00EF3436"/>
    <w:rsid w:val="00EF34F6"/>
    <w:rsid w:val="00EF355D"/>
    <w:rsid w:val="00EF3725"/>
    <w:rsid w:val="00EF37B5"/>
    <w:rsid w:val="00EF388A"/>
    <w:rsid w:val="00EF3B9C"/>
    <w:rsid w:val="00EF3D14"/>
    <w:rsid w:val="00EF3EEE"/>
    <w:rsid w:val="00EF3F88"/>
    <w:rsid w:val="00EF74BA"/>
    <w:rsid w:val="00EF75A6"/>
    <w:rsid w:val="00F0045E"/>
    <w:rsid w:val="00F006D2"/>
    <w:rsid w:val="00F00724"/>
    <w:rsid w:val="00F00774"/>
    <w:rsid w:val="00F0081B"/>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1448"/>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285C"/>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2E86"/>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7C4"/>
    <w:rsid w:val="00F96A46"/>
    <w:rsid w:val="00F96BB8"/>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16A"/>
    <w:rsid w:val="00FB07FC"/>
    <w:rsid w:val="00FB1180"/>
    <w:rsid w:val="00FB15B5"/>
    <w:rsid w:val="00FB174F"/>
    <w:rsid w:val="00FB1FEB"/>
    <w:rsid w:val="00FB22AB"/>
    <w:rsid w:val="00FB3EB1"/>
    <w:rsid w:val="00FB4250"/>
    <w:rsid w:val="00FB5638"/>
    <w:rsid w:val="00FB59AB"/>
    <w:rsid w:val="00FB5A8D"/>
    <w:rsid w:val="00FB60C6"/>
    <w:rsid w:val="00FB6627"/>
    <w:rsid w:val="00FB6721"/>
    <w:rsid w:val="00FB7318"/>
    <w:rsid w:val="00FB77DE"/>
    <w:rsid w:val="00FC0251"/>
    <w:rsid w:val="00FC1102"/>
    <w:rsid w:val="00FC16AD"/>
    <w:rsid w:val="00FC1F94"/>
    <w:rsid w:val="00FC2E23"/>
    <w:rsid w:val="00FC3241"/>
    <w:rsid w:val="00FC3935"/>
    <w:rsid w:val="00FC3BB3"/>
    <w:rsid w:val="00FC3ED9"/>
    <w:rsid w:val="00FC54D5"/>
    <w:rsid w:val="00FC664D"/>
    <w:rsid w:val="00FC737A"/>
    <w:rsid w:val="00FC7844"/>
    <w:rsid w:val="00FC7DBB"/>
    <w:rsid w:val="00FD0A8B"/>
    <w:rsid w:val="00FD1512"/>
    <w:rsid w:val="00FD1AB4"/>
    <w:rsid w:val="00FD1DDF"/>
    <w:rsid w:val="00FD28E8"/>
    <w:rsid w:val="00FD3330"/>
    <w:rsid w:val="00FD3355"/>
    <w:rsid w:val="00FD3CF7"/>
    <w:rsid w:val="00FD472A"/>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0F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3F18"/>
    <w:rsid w:val="00FF4169"/>
    <w:rsid w:val="00FF4B56"/>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377360"/>
  </w:style>
  <w:style w:type="paragraph" w:styleId="Revision">
    <w:name w:val="Revision"/>
    <w:hidden/>
    <w:uiPriority w:val="99"/>
    <w:semiHidden/>
    <w:rsid w:val="00DA7044"/>
  </w:style>
  <w:style w:type="paragraph" w:customStyle="1" w:styleId="3Bodytext">
    <w:name w:val="3. Body text"/>
    <w:basedOn w:val="ListParagraph"/>
    <w:link w:val="3BodytextChar"/>
    <w:qFormat/>
    <w:rsid w:val="00A205B6"/>
    <w:pPr>
      <w:spacing w:after="120"/>
      <w:ind w:hanging="720"/>
      <w:contextualSpacing w:val="0"/>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A205B6"/>
    <w:rPr>
      <w:rFonts w:asciiTheme="minorHAnsi" w:eastAsiaTheme="minorHAnsi" w:hAnsiTheme="minorHAnsi" w:cstheme="minorBidi"/>
      <w:sz w:val="24"/>
      <w:szCs w:val="22"/>
    </w:rPr>
  </w:style>
  <w:style w:type="paragraph" w:customStyle="1" w:styleId="2-SectionHeading">
    <w:name w:val="2-Section Heading"/>
    <w:qFormat/>
    <w:rsid w:val="00A205B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C12A29"/>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C12A29"/>
    <w:rPr>
      <w:rFonts w:asciiTheme="minorHAnsi" w:hAnsiTheme="minorHAnsi" w:cs="Arial"/>
      <w:snapToGrid w:val="0"/>
      <w:sz w:val="24"/>
      <w:szCs w:val="24"/>
    </w:rPr>
  </w:style>
  <w:style w:type="paragraph" w:customStyle="1" w:styleId="4Bodytextnumbered">
    <w:name w:val="4. Body text numbered"/>
    <w:basedOn w:val="ListParagraph"/>
    <w:qFormat/>
    <w:rsid w:val="00952ADE"/>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EE2AFA"/>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EE2AFA"/>
    <w:rPr>
      <w:rFonts w:asciiTheme="minorHAnsi" w:hAnsiTheme="minorHAnsi" w:cstheme="minorHAnsi"/>
      <w:sz w:val="24"/>
      <w:szCs w:val="24"/>
      <w:lang w:eastAsia="en-US"/>
    </w:rPr>
  </w:style>
  <w:style w:type="paragraph" w:customStyle="1" w:styleId="2Sections">
    <w:name w:val="2. Sections"/>
    <w:qFormat/>
    <w:rsid w:val="000B2350"/>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
    <w:name w:val="4. Body text"/>
    <w:basedOn w:val="4Bodytextnumbered"/>
    <w:link w:val="4BodytextChar"/>
    <w:qFormat/>
    <w:rsid w:val="000B2350"/>
  </w:style>
  <w:style w:type="character" w:customStyle="1" w:styleId="4BodytextChar">
    <w:name w:val="4. Body text Char"/>
    <w:basedOn w:val="DefaultParagraphFont"/>
    <w:link w:val="4Bodytext"/>
    <w:rsid w:val="000B2350"/>
    <w:rPr>
      <w:rFonts w:asciiTheme="minorHAnsi" w:eastAsiaTheme="minorHAnsi" w:hAnsiTheme="minorHAnsi" w:cstheme="minorBidi"/>
      <w:sz w:val="24"/>
      <w:szCs w:val="22"/>
      <w:lang w:eastAsia="en-US"/>
    </w:rPr>
  </w:style>
  <w:style w:type="paragraph" w:customStyle="1" w:styleId="PBACHeading1">
    <w:name w:val="PBAC Heading 1"/>
    <w:qFormat/>
    <w:rsid w:val="0060615A"/>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4AD9-CF87-4623-89D7-215FA1AA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3628</Words>
  <Characters>20898</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2023-01-25T06:04:00Z</dcterms:created>
  <dcterms:modified xsi:type="dcterms:W3CDTF">2023-01-26T23:06:00Z</dcterms:modified>
</cp:coreProperties>
</file>