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60048" w14:textId="2A2A6C70" w:rsidR="00BA6AEE" w:rsidRPr="0007215F" w:rsidRDefault="00BA6AEE" w:rsidP="00BA6AEE">
      <w:pPr>
        <w:pBdr>
          <w:top w:val="nil"/>
          <w:left w:val="nil"/>
          <w:bottom w:val="nil"/>
          <w:right w:val="nil"/>
          <w:between w:val="nil"/>
        </w:pBdr>
        <w:spacing w:after="120"/>
        <w:ind w:left="-425"/>
        <w:jc w:val="center"/>
        <w:rPr>
          <w:rFonts w:cstheme="minorHAnsi"/>
          <w:b/>
          <w:sz w:val="36"/>
        </w:rPr>
      </w:pPr>
      <w:r>
        <w:rPr>
          <w:rFonts w:cstheme="minorHAnsi"/>
          <w:b/>
          <w:sz w:val="36"/>
        </w:rPr>
        <w:t xml:space="preserve">PBAC - </w:t>
      </w:r>
      <w:r w:rsidRPr="0007215F">
        <w:rPr>
          <w:rFonts w:cstheme="minorHAnsi"/>
          <w:b/>
          <w:sz w:val="36"/>
        </w:rPr>
        <w:t>OUTCOME STATEMENT</w:t>
      </w:r>
    </w:p>
    <w:p w14:paraId="5E476764" w14:textId="22FFC693" w:rsidR="00BA6AEE" w:rsidRDefault="0068669E" w:rsidP="00BA6AEE">
      <w:pPr>
        <w:jc w:val="center"/>
        <w:rPr>
          <w:rFonts w:cstheme="minorHAnsi"/>
          <w:b/>
          <w:bCs/>
          <w:sz w:val="36"/>
          <w:szCs w:val="36"/>
        </w:rPr>
      </w:pPr>
      <w:r>
        <w:rPr>
          <w:rFonts w:cstheme="minorHAnsi"/>
          <w:b/>
          <w:bCs/>
          <w:sz w:val="36"/>
          <w:szCs w:val="36"/>
        </w:rPr>
        <w:t xml:space="preserve">ITEM 14.04 - </w:t>
      </w:r>
      <w:r w:rsidR="00BA6AEE">
        <w:rPr>
          <w:rFonts w:cstheme="minorHAnsi"/>
          <w:b/>
          <w:bCs/>
          <w:sz w:val="36"/>
          <w:szCs w:val="36"/>
        </w:rPr>
        <w:t>COVID-19 ANTIVIRAL RESTRICTIONS</w:t>
      </w:r>
    </w:p>
    <w:p w14:paraId="19A5E25E" w14:textId="77777777" w:rsidR="0068669E" w:rsidRPr="0095098B" w:rsidRDefault="0068669E" w:rsidP="0068669E">
      <w:pPr>
        <w:spacing w:before="120" w:after="120" w:line="240" w:lineRule="auto"/>
        <w:rPr>
          <w:b/>
          <w:bCs/>
          <w:sz w:val="24"/>
          <w:szCs w:val="24"/>
        </w:rPr>
      </w:pPr>
      <w:r w:rsidRPr="0095098B">
        <w:rPr>
          <w:b/>
          <w:bCs/>
          <w:sz w:val="24"/>
          <w:szCs w:val="24"/>
        </w:rPr>
        <w:t xml:space="preserve">MOLNUPIRAVIR, Capsule 200 mg, </w:t>
      </w:r>
      <w:proofErr w:type="spellStart"/>
      <w:r w:rsidRPr="0095098B">
        <w:rPr>
          <w:b/>
          <w:bCs/>
          <w:sz w:val="24"/>
          <w:szCs w:val="24"/>
        </w:rPr>
        <w:t>Lagevrio</w:t>
      </w:r>
      <w:proofErr w:type="spellEnd"/>
      <w:r w:rsidRPr="0095098B">
        <w:rPr>
          <w:b/>
          <w:bCs/>
          <w:sz w:val="24"/>
          <w:szCs w:val="24"/>
          <w:vertAlign w:val="superscript"/>
        </w:rPr>
        <w:t>®</w:t>
      </w:r>
      <w:r w:rsidRPr="0095098B">
        <w:rPr>
          <w:b/>
          <w:bCs/>
          <w:sz w:val="24"/>
          <w:szCs w:val="24"/>
        </w:rPr>
        <w:t>, Merck Sharp &amp; Dohme Australia Pty Ltd</w:t>
      </w:r>
    </w:p>
    <w:p w14:paraId="0C328531" w14:textId="7B8C2300" w:rsidR="00D651F2" w:rsidRPr="0095098B" w:rsidRDefault="0068669E" w:rsidP="0068669E">
      <w:pPr>
        <w:spacing w:before="120" w:after="120" w:line="240" w:lineRule="auto"/>
        <w:rPr>
          <w:sz w:val="24"/>
          <w:szCs w:val="24"/>
        </w:rPr>
      </w:pPr>
      <w:r w:rsidRPr="0095098B">
        <w:rPr>
          <w:b/>
          <w:bCs/>
          <w:sz w:val="24"/>
          <w:szCs w:val="24"/>
        </w:rPr>
        <w:t xml:space="preserve">NIRMATRELVIR AND RITONAVIR, Pack containing 4 tablets </w:t>
      </w:r>
      <w:proofErr w:type="spellStart"/>
      <w:r w:rsidRPr="0095098B">
        <w:rPr>
          <w:b/>
          <w:bCs/>
          <w:sz w:val="24"/>
          <w:szCs w:val="24"/>
        </w:rPr>
        <w:t>nirmatrelvir</w:t>
      </w:r>
      <w:proofErr w:type="spellEnd"/>
      <w:r w:rsidRPr="0095098B">
        <w:rPr>
          <w:b/>
          <w:bCs/>
          <w:sz w:val="24"/>
          <w:szCs w:val="24"/>
        </w:rPr>
        <w:t xml:space="preserve"> 150 mg and 2 tablets ritonavir 100 mg, </w:t>
      </w:r>
      <w:proofErr w:type="spellStart"/>
      <w:r w:rsidRPr="0095098B">
        <w:rPr>
          <w:b/>
          <w:bCs/>
          <w:sz w:val="24"/>
          <w:szCs w:val="24"/>
        </w:rPr>
        <w:t>Paxlovid</w:t>
      </w:r>
      <w:proofErr w:type="spellEnd"/>
      <w:r w:rsidRPr="0095098B">
        <w:rPr>
          <w:b/>
          <w:bCs/>
          <w:sz w:val="24"/>
          <w:szCs w:val="24"/>
          <w:vertAlign w:val="superscript"/>
        </w:rPr>
        <w:t>®</w:t>
      </w:r>
      <w:r w:rsidR="00B267F4" w:rsidRPr="0095098B">
        <w:rPr>
          <w:b/>
          <w:bCs/>
          <w:sz w:val="24"/>
          <w:szCs w:val="24"/>
        </w:rPr>
        <w:t>, Pfizer Australia Pty Ltd</w:t>
      </w:r>
    </w:p>
    <w:p w14:paraId="6DFC4C59" w14:textId="3E9B3DBA" w:rsidR="00E843A2" w:rsidRPr="0095098B" w:rsidRDefault="00D651F2" w:rsidP="0095098B">
      <w:pPr>
        <w:spacing w:before="120" w:after="120" w:line="240" w:lineRule="auto"/>
        <w:jc w:val="both"/>
        <w:rPr>
          <w:sz w:val="24"/>
          <w:szCs w:val="24"/>
        </w:rPr>
      </w:pPr>
      <w:r w:rsidRPr="0095098B">
        <w:rPr>
          <w:sz w:val="24"/>
          <w:szCs w:val="24"/>
        </w:rPr>
        <w:t xml:space="preserve">At its November 2022 meeting, the </w:t>
      </w:r>
      <w:r w:rsidR="00B267F4">
        <w:rPr>
          <w:sz w:val="24"/>
          <w:szCs w:val="24"/>
        </w:rPr>
        <w:t>Pharmaceutical Benefits Advisory Committee (</w:t>
      </w:r>
      <w:r w:rsidRPr="0095098B">
        <w:rPr>
          <w:sz w:val="24"/>
          <w:szCs w:val="24"/>
        </w:rPr>
        <w:t>PBAC</w:t>
      </w:r>
      <w:r w:rsidR="00B267F4">
        <w:rPr>
          <w:sz w:val="24"/>
          <w:szCs w:val="24"/>
        </w:rPr>
        <w:t>)</w:t>
      </w:r>
      <w:r w:rsidRPr="0095098B">
        <w:rPr>
          <w:sz w:val="24"/>
          <w:szCs w:val="24"/>
        </w:rPr>
        <w:t xml:space="preserve"> considered several aspects of the </w:t>
      </w:r>
      <w:r w:rsidR="00B267F4">
        <w:rPr>
          <w:sz w:val="24"/>
          <w:szCs w:val="24"/>
        </w:rPr>
        <w:t>Pharmaceutical Benefits Scheme (</w:t>
      </w:r>
      <w:r w:rsidRPr="0095098B">
        <w:rPr>
          <w:sz w:val="24"/>
          <w:szCs w:val="24"/>
        </w:rPr>
        <w:t>PBS</w:t>
      </w:r>
      <w:r w:rsidR="00B267F4">
        <w:rPr>
          <w:sz w:val="24"/>
          <w:szCs w:val="24"/>
        </w:rPr>
        <w:t>)</w:t>
      </w:r>
      <w:r w:rsidRPr="0095098B">
        <w:rPr>
          <w:sz w:val="24"/>
          <w:szCs w:val="24"/>
        </w:rPr>
        <w:t xml:space="preserve"> listings of the COVID-19 oral antivirals, </w:t>
      </w:r>
      <w:proofErr w:type="spellStart"/>
      <w:r w:rsidRPr="0095098B">
        <w:rPr>
          <w:sz w:val="24"/>
          <w:szCs w:val="24"/>
        </w:rPr>
        <w:t>molnupiravir</w:t>
      </w:r>
      <w:proofErr w:type="spellEnd"/>
      <w:r w:rsidR="00B267F4">
        <w:rPr>
          <w:sz w:val="24"/>
          <w:szCs w:val="24"/>
        </w:rPr>
        <w:t xml:space="preserve"> (</w:t>
      </w:r>
      <w:proofErr w:type="spellStart"/>
      <w:r w:rsidR="00B267F4" w:rsidRPr="00B267F4">
        <w:rPr>
          <w:sz w:val="24"/>
          <w:szCs w:val="24"/>
        </w:rPr>
        <w:t>Lagevrio</w:t>
      </w:r>
      <w:proofErr w:type="spellEnd"/>
      <w:r w:rsidR="00B267F4" w:rsidRPr="00B267F4">
        <w:rPr>
          <w:sz w:val="24"/>
          <w:szCs w:val="24"/>
        </w:rPr>
        <w:t>®</w:t>
      </w:r>
      <w:r w:rsidR="00B267F4">
        <w:rPr>
          <w:sz w:val="24"/>
          <w:szCs w:val="24"/>
        </w:rPr>
        <w:t>)</w:t>
      </w:r>
      <w:r w:rsidRPr="0095098B">
        <w:rPr>
          <w:sz w:val="24"/>
          <w:szCs w:val="24"/>
        </w:rPr>
        <w:t xml:space="preserve"> and </w:t>
      </w:r>
      <w:proofErr w:type="spellStart"/>
      <w:r w:rsidRPr="0095098B">
        <w:rPr>
          <w:sz w:val="24"/>
          <w:szCs w:val="24"/>
        </w:rPr>
        <w:t>nirmatrelvir</w:t>
      </w:r>
      <w:proofErr w:type="spellEnd"/>
      <w:r w:rsidRPr="0095098B">
        <w:rPr>
          <w:sz w:val="24"/>
          <w:szCs w:val="24"/>
        </w:rPr>
        <w:t xml:space="preserve"> </w:t>
      </w:r>
      <w:r w:rsidR="005161B2">
        <w:rPr>
          <w:sz w:val="24"/>
          <w:szCs w:val="24"/>
        </w:rPr>
        <w:t>and</w:t>
      </w:r>
      <w:r w:rsidR="00B267F4" w:rsidRPr="0095098B">
        <w:rPr>
          <w:sz w:val="24"/>
          <w:szCs w:val="24"/>
        </w:rPr>
        <w:t xml:space="preserve"> </w:t>
      </w:r>
      <w:r w:rsidRPr="0095098B">
        <w:rPr>
          <w:sz w:val="24"/>
          <w:szCs w:val="24"/>
        </w:rPr>
        <w:t>ritonavir</w:t>
      </w:r>
      <w:r w:rsidR="00B267F4">
        <w:rPr>
          <w:sz w:val="24"/>
          <w:szCs w:val="24"/>
        </w:rPr>
        <w:t xml:space="preserve"> </w:t>
      </w:r>
      <w:r w:rsidR="00B267F4" w:rsidRPr="00B267F4">
        <w:rPr>
          <w:sz w:val="24"/>
          <w:szCs w:val="24"/>
        </w:rPr>
        <w:t>(</w:t>
      </w:r>
      <w:proofErr w:type="spellStart"/>
      <w:r w:rsidR="00B267F4" w:rsidRPr="0095098B">
        <w:rPr>
          <w:sz w:val="24"/>
          <w:szCs w:val="24"/>
        </w:rPr>
        <w:t>Paxlovid</w:t>
      </w:r>
      <w:proofErr w:type="spellEnd"/>
      <w:r w:rsidR="00B267F4" w:rsidRPr="0095098B">
        <w:rPr>
          <w:sz w:val="24"/>
          <w:szCs w:val="24"/>
          <w:vertAlign w:val="superscript"/>
        </w:rPr>
        <w:t>®</w:t>
      </w:r>
      <w:r w:rsidR="00B267F4" w:rsidRPr="0095098B">
        <w:rPr>
          <w:sz w:val="24"/>
          <w:szCs w:val="24"/>
        </w:rPr>
        <w:t>)</w:t>
      </w:r>
      <w:r w:rsidRPr="0095098B">
        <w:rPr>
          <w:sz w:val="24"/>
          <w:szCs w:val="24"/>
        </w:rPr>
        <w:t>.</w:t>
      </w:r>
    </w:p>
    <w:p w14:paraId="792409D4" w14:textId="77777777" w:rsidR="00D651F2" w:rsidRPr="0095098B" w:rsidRDefault="00D651F2" w:rsidP="0095098B">
      <w:pPr>
        <w:spacing w:before="120" w:after="120" w:line="240" w:lineRule="auto"/>
        <w:jc w:val="both"/>
        <w:rPr>
          <w:sz w:val="24"/>
          <w:szCs w:val="24"/>
        </w:rPr>
      </w:pPr>
    </w:p>
    <w:p w14:paraId="0BF8B8C2" w14:textId="649BE242" w:rsidR="00790ADA" w:rsidRPr="0095098B" w:rsidRDefault="002E6EDD" w:rsidP="0095098B">
      <w:pPr>
        <w:pBdr>
          <w:top w:val="nil"/>
          <w:left w:val="nil"/>
          <w:bottom w:val="nil"/>
          <w:right w:val="nil"/>
          <w:between w:val="nil"/>
        </w:pBdr>
        <w:spacing w:after="120" w:line="240" w:lineRule="auto"/>
        <w:jc w:val="both"/>
        <w:rPr>
          <w:rFonts w:ascii="Calibri" w:eastAsia="Calibri" w:hAnsi="Calibri" w:cs="Calibri"/>
          <w:sz w:val="24"/>
          <w:szCs w:val="24"/>
          <w:lang w:eastAsia="en-AU"/>
        </w:rPr>
      </w:pPr>
      <w:r w:rsidRPr="0095098B">
        <w:rPr>
          <w:rFonts w:ascii="Calibri" w:eastAsia="Calibri" w:hAnsi="Calibri" w:cs="Calibri"/>
          <w:sz w:val="24"/>
          <w:szCs w:val="24"/>
          <w:lang w:eastAsia="en-AU"/>
        </w:rPr>
        <w:t xml:space="preserve">The PBAC noted correspondence from Queensland Health, drawing attention to PBS </w:t>
      </w:r>
      <w:proofErr w:type="spellStart"/>
      <w:r w:rsidRPr="0095098B">
        <w:rPr>
          <w:rFonts w:ascii="Calibri" w:eastAsia="Calibri" w:hAnsi="Calibri" w:cs="Calibri"/>
          <w:sz w:val="24"/>
          <w:szCs w:val="24"/>
          <w:lang w:eastAsia="en-AU"/>
        </w:rPr>
        <w:t>molnupiravir</w:t>
      </w:r>
      <w:proofErr w:type="spellEnd"/>
      <w:r w:rsidRPr="0095098B">
        <w:rPr>
          <w:rFonts w:ascii="Calibri" w:eastAsia="Calibri" w:hAnsi="Calibri" w:cs="Calibri"/>
          <w:sz w:val="24"/>
          <w:szCs w:val="24"/>
          <w:lang w:eastAsia="en-AU"/>
        </w:rPr>
        <w:t xml:space="preserve"> and </w:t>
      </w:r>
      <w:proofErr w:type="spellStart"/>
      <w:r w:rsidRPr="0095098B">
        <w:rPr>
          <w:rFonts w:ascii="Calibri" w:eastAsia="Calibri" w:hAnsi="Calibri" w:cs="Calibri"/>
          <w:sz w:val="24"/>
          <w:szCs w:val="24"/>
          <w:lang w:eastAsia="en-AU"/>
        </w:rPr>
        <w:t>nirmatrelvir</w:t>
      </w:r>
      <w:proofErr w:type="spellEnd"/>
      <w:r w:rsidRPr="0095098B">
        <w:rPr>
          <w:rFonts w:ascii="Calibri" w:eastAsia="Calibri" w:hAnsi="Calibri" w:cs="Calibri"/>
          <w:sz w:val="24"/>
          <w:szCs w:val="24"/>
          <w:lang w:eastAsia="en-AU"/>
        </w:rPr>
        <w:t xml:space="preserve"> </w:t>
      </w:r>
      <w:r w:rsidR="005161B2">
        <w:rPr>
          <w:rFonts w:ascii="Calibri" w:eastAsia="Calibri" w:hAnsi="Calibri" w:cs="Calibri"/>
          <w:sz w:val="24"/>
          <w:szCs w:val="24"/>
          <w:lang w:eastAsia="en-AU"/>
        </w:rPr>
        <w:t>and</w:t>
      </w:r>
      <w:r w:rsidRPr="0095098B">
        <w:rPr>
          <w:rFonts w:ascii="Calibri" w:eastAsia="Calibri" w:hAnsi="Calibri" w:cs="Calibri"/>
          <w:sz w:val="24"/>
          <w:szCs w:val="24"/>
          <w:lang w:eastAsia="en-AU"/>
        </w:rPr>
        <w:t xml:space="preserve"> ritonavir eligibility criteria relevant for patients taking anti-CD20 monoclonal antibodies.</w:t>
      </w:r>
    </w:p>
    <w:p w14:paraId="1B675A42" w14:textId="54F18710" w:rsidR="00BD6EC0" w:rsidRPr="0095098B" w:rsidRDefault="002E6EDD" w:rsidP="0095098B">
      <w:pPr>
        <w:pBdr>
          <w:top w:val="nil"/>
          <w:left w:val="nil"/>
          <w:bottom w:val="nil"/>
          <w:right w:val="nil"/>
          <w:between w:val="nil"/>
        </w:pBdr>
        <w:spacing w:after="120" w:line="240" w:lineRule="auto"/>
        <w:jc w:val="both"/>
        <w:rPr>
          <w:rFonts w:ascii="Calibri" w:eastAsia="Calibri" w:hAnsi="Calibri" w:cs="Calibri"/>
          <w:sz w:val="24"/>
          <w:szCs w:val="24"/>
          <w:lang w:eastAsia="en-AU"/>
        </w:rPr>
      </w:pPr>
      <w:r w:rsidRPr="0095098B">
        <w:rPr>
          <w:rFonts w:ascii="Calibri" w:eastAsia="Calibri" w:hAnsi="Calibri" w:cs="Calibri"/>
          <w:sz w:val="24"/>
          <w:szCs w:val="24"/>
          <w:lang w:eastAsia="en-AU"/>
        </w:rPr>
        <w:t xml:space="preserve">The PBAC agreed that anti-CD20 monoclonal antibodies including rituximab, ocrelizumab, ofatumumab and </w:t>
      </w:r>
      <w:proofErr w:type="spellStart"/>
      <w:r w:rsidRPr="0095098B">
        <w:rPr>
          <w:rFonts w:ascii="Calibri" w:eastAsia="Calibri" w:hAnsi="Calibri" w:cs="Calibri"/>
          <w:sz w:val="24"/>
          <w:szCs w:val="24"/>
          <w:lang w:eastAsia="en-AU"/>
        </w:rPr>
        <w:t>obinutuzumab</w:t>
      </w:r>
      <w:proofErr w:type="spellEnd"/>
      <w:r w:rsidRPr="0095098B">
        <w:rPr>
          <w:rFonts w:ascii="Calibri" w:eastAsia="Calibri" w:hAnsi="Calibri" w:cs="Calibri"/>
          <w:sz w:val="24"/>
          <w:szCs w:val="24"/>
          <w:lang w:eastAsia="en-AU"/>
        </w:rPr>
        <w:t xml:space="preserve"> have similar activity and duration of B cell suppression</w:t>
      </w:r>
      <w:r w:rsidR="00BD6EC0" w:rsidRPr="0095098B">
        <w:rPr>
          <w:rFonts w:ascii="Calibri" w:eastAsia="Calibri" w:hAnsi="Calibri" w:cs="Calibri"/>
          <w:sz w:val="24"/>
          <w:szCs w:val="24"/>
          <w:lang w:eastAsia="en-AU"/>
        </w:rPr>
        <w:t>.</w:t>
      </w:r>
    </w:p>
    <w:p w14:paraId="36251F97" w14:textId="4B43E813" w:rsidR="002E6EDD" w:rsidRPr="0095098B" w:rsidRDefault="00BD6EC0" w:rsidP="0095098B">
      <w:pPr>
        <w:spacing w:before="120" w:after="120" w:line="240" w:lineRule="auto"/>
        <w:jc w:val="both"/>
        <w:rPr>
          <w:b/>
          <w:bCs/>
          <w:sz w:val="24"/>
          <w:szCs w:val="24"/>
        </w:rPr>
      </w:pPr>
      <w:r w:rsidRPr="0095098B">
        <w:rPr>
          <w:b/>
          <w:bCs/>
          <w:sz w:val="24"/>
          <w:szCs w:val="24"/>
        </w:rPr>
        <w:t>The PBAC</w:t>
      </w:r>
      <w:r w:rsidR="002E6EDD" w:rsidRPr="0095098B">
        <w:rPr>
          <w:b/>
          <w:bCs/>
          <w:sz w:val="24"/>
          <w:szCs w:val="24"/>
        </w:rPr>
        <w:t xml:space="preserve"> recommended </w:t>
      </w:r>
      <w:r w:rsidR="000A3F8F" w:rsidRPr="0095098B">
        <w:rPr>
          <w:b/>
          <w:bCs/>
          <w:sz w:val="24"/>
          <w:szCs w:val="24"/>
        </w:rPr>
        <w:t xml:space="preserve">that </w:t>
      </w:r>
      <w:r w:rsidR="0009273C" w:rsidRPr="0095098B">
        <w:rPr>
          <w:b/>
          <w:bCs/>
          <w:sz w:val="24"/>
          <w:szCs w:val="24"/>
        </w:rPr>
        <w:t>listings</w:t>
      </w:r>
      <w:r w:rsidR="000A3F8F" w:rsidRPr="0095098B">
        <w:rPr>
          <w:b/>
          <w:bCs/>
          <w:sz w:val="24"/>
          <w:szCs w:val="24"/>
        </w:rPr>
        <w:t xml:space="preserve"> </w:t>
      </w:r>
      <w:r w:rsidR="0009273C" w:rsidRPr="0095098B">
        <w:rPr>
          <w:b/>
          <w:bCs/>
          <w:sz w:val="24"/>
          <w:szCs w:val="24"/>
        </w:rPr>
        <w:t xml:space="preserve">for </w:t>
      </w:r>
      <w:proofErr w:type="spellStart"/>
      <w:r w:rsidR="0009273C" w:rsidRPr="0095098B">
        <w:rPr>
          <w:b/>
          <w:bCs/>
          <w:sz w:val="24"/>
          <w:szCs w:val="24"/>
        </w:rPr>
        <w:t>molnupiravir</w:t>
      </w:r>
      <w:proofErr w:type="spellEnd"/>
      <w:r w:rsidR="0009273C" w:rsidRPr="0095098B">
        <w:rPr>
          <w:b/>
          <w:bCs/>
          <w:sz w:val="24"/>
          <w:szCs w:val="24"/>
        </w:rPr>
        <w:t xml:space="preserve"> and </w:t>
      </w:r>
      <w:proofErr w:type="spellStart"/>
      <w:r w:rsidR="0009273C" w:rsidRPr="0095098B">
        <w:rPr>
          <w:b/>
          <w:bCs/>
          <w:sz w:val="24"/>
          <w:szCs w:val="24"/>
        </w:rPr>
        <w:t>nirmatrelvir</w:t>
      </w:r>
      <w:proofErr w:type="spellEnd"/>
      <w:r w:rsidR="0009273C" w:rsidRPr="0095098B">
        <w:rPr>
          <w:b/>
          <w:bCs/>
          <w:sz w:val="24"/>
          <w:szCs w:val="24"/>
        </w:rPr>
        <w:t xml:space="preserve"> </w:t>
      </w:r>
      <w:r w:rsidR="005161B2">
        <w:rPr>
          <w:b/>
          <w:bCs/>
          <w:sz w:val="24"/>
          <w:szCs w:val="24"/>
        </w:rPr>
        <w:t>and</w:t>
      </w:r>
      <w:r w:rsidR="0009273C" w:rsidRPr="0095098B">
        <w:rPr>
          <w:b/>
          <w:bCs/>
          <w:sz w:val="24"/>
          <w:szCs w:val="24"/>
        </w:rPr>
        <w:t xml:space="preserve"> ritonavir </w:t>
      </w:r>
      <w:r w:rsidR="000A3F8F" w:rsidRPr="0095098B">
        <w:rPr>
          <w:b/>
          <w:bCs/>
          <w:sz w:val="24"/>
          <w:szCs w:val="24"/>
        </w:rPr>
        <w:t xml:space="preserve">be amended to allow PBS access </w:t>
      </w:r>
      <w:r w:rsidR="0009273C" w:rsidRPr="0095098B">
        <w:rPr>
          <w:b/>
          <w:bCs/>
          <w:sz w:val="24"/>
          <w:szCs w:val="24"/>
        </w:rPr>
        <w:t>for</w:t>
      </w:r>
      <w:r w:rsidR="000A3F8F" w:rsidRPr="0095098B">
        <w:rPr>
          <w:b/>
          <w:bCs/>
          <w:sz w:val="24"/>
          <w:szCs w:val="24"/>
        </w:rPr>
        <w:t xml:space="preserve"> patients with any significantly immunocompromising condition where in the last 12 months, the patient has received anti-CD20 monoclonal antibody treatment.</w:t>
      </w:r>
    </w:p>
    <w:p w14:paraId="716B56E7" w14:textId="77777777" w:rsidR="0009273C" w:rsidRPr="0095098B" w:rsidRDefault="0009273C" w:rsidP="0095098B">
      <w:pPr>
        <w:spacing w:before="120" w:after="120" w:line="240" w:lineRule="auto"/>
        <w:jc w:val="both"/>
        <w:rPr>
          <w:sz w:val="24"/>
          <w:szCs w:val="24"/>
        </w:rPr>
      </w:pPr>
    </w:p>
    <w:p w14:paraId="07306EC8" w14:textId="072B028A" w:rsidR="00790ADA" w:rsidRPr="0095098B" w:rsidRDefault="000A3F8F" w:rsidP="0095098B">
      <w:pPr>
        <w:pBdr>
          <w:top w:val="nil"/>
          <w:left w:val="nil"/>
          <w:bottom w:val="nil"/>
          <w:right w:val="nil"/>
          <w:between w:val="nil"/>
        </w:pBdr>
        <w:spacing w:after="120" w:line="240" w:lineRule="auto"/>
        <w:jc w:val="both"/>
        <w:rPr>
          <w:rFonts w:ascii="Calibri" w:eastAsia="Calibri" w:hAnsi="Calibri" w:cs="Calibri"/>
          <w:sz w:val="24"/>
          <w:szCs w:val="24"/>
          <w:lang w:eastAsia="en-AU"/>
        </w:rPr>
      </w:pPr>
      <w:r w:rsidRPr="0095098B">
        <w:rPr>
          <w:rFonts w:ascii="Calibri" w:eastAsia="Calibri" w:hAnsi="Calibri" w:cs="Calibri"/>
          <w:sz w:val="24"/>
          <w:szCs w:val="24"/>
          <w:lang w:eastAsia="en-AU"/>
        </w:rPr>
        <w:t xml:space="preserve">The PBAC noted correspondence suggesting that restrictions should be amended to allow PBS access to </w:t>
      </w:r>
      <w:proofErr w:type="spellStart"/>
      <w:r w:rsidRPr="0095098B">
        <w:rPr>
          <w:rFonts w:ascii="Calibri" w:eastAsia="Calibri" w:hAnsi="Calibri" w:cs="Calibri"/>
          <w:sz w:val="24"/>
          <w:szCs w:val="24"/>
          <w:lang w:eastAsia="en-AU"/>
        </w:rPr>
        <w:t>molnupiravir</w:t>
      </w:r>
      <w:proofErr w:type="spellEnd"/>
      <w:r w:rsidRPr="0095098B">
        <w:rPr>
          <w:rFonts w:ascii="Calibri" w:eastAsia="Calibri" w:hAnsi="Calibri" w:cs="Calibri"/>
          <w:sz w:val="24"/>
          <w:szCs w:val="24"/>
          <w:lang w:eastAsia="en-AU"/>
        </w:rPr>
        <w:t xml:space="preserve"> and </w:t>
      </w:r>
      <w:proofErr w:type="spellStart"/>
      <w:r w:rsidRPr="0095098B">
        <w:rPr>
          <w:rFonts w:ascii="Calibri" w:eastAsia="Calibri" w:hAnsi="Calibri" w:cs="Calibri"/>
          <w:sz w:val="24"/>
          <w:szCs w:val="24"/>
          <w:lang w:eastAsia="en-AU"/>
        </w:rPr>
        <w:t>nirmatrelvir</w:t>
      </w:r>
      <w:proofErr w:type="spellEnd"/>
      <w:r w:rsidRPr="0095098B">
        <w:rPr>
          <w:rFonts w:ascii="Calibri" w:eastAsia="Calibri" w:hAnsi="Calibri" w:cs="Calibri"/>
          <w:sz w:val="24"/>
          <w:szCs w:val="24"/>
          <w:lang w:eastAsia="en-AU"/>
        </w:rPr>
        <w:t xml:space="preserve"> </w:t>
      </w:r>
      <w:r w:rsidR="005161B2">
        <w:rPr>
          <w:rFonts w:ascii="Calibri" w:eastAsia="Calibri" w:hAnsi="Calibri" w:cs="Calibri"/>
          <w:sz w:val="24"/>
          <w:szCs w:val="24"/>
          <w:lang w:eastAsia="en-AU"/>
        </w:rPr>
        <w:t>and</w:t>
      </w:r>
      <w:r w:rsidRPr="0095098B">
        <w:rPr>
          <w:rFonts w:ascii="Calibri" w:eastAsia="Calibri" w:hAnsi="Calibri" w:cs="Calibri"/>
          <w:sz w:val="24"/>
          <w:szCs w:val="24"/>
          <w:lang w:eastAsia="en-AU"/>
        </w:rPr>
        <w:t xml:space="preserve"> ritonavir, in patients </w:t>
      </w:r>
      <w:r w:rsidR="0009273C" w:rsidRPr="0095098B">
        <w:rPr>
          <w:rFonts w:ascii="Calibri" w:eastAsia="Calibri" w:hAnsi="Calibri" w:cs="Calibri"/>
          <w:sz w:val="24"/>
          <w:szCs w:val="24"/>
          <w:lang w:eastAsia="en-AU"/>
        </w:rPr>
        <w:t xml:space="preserve">(not meeting the current PBS definition of high risk) </w:t>
      </w:r>
      <w:r w:rsidRPr="0095098B">
        <w:rPr>
          <w:rFonts w:ascii="Calibri" w:eastAsia="Calibri" w:hAnsi="Calibri" w:cs="Calibri"/>
          <w:sz w:val="24"/>
          <w:szCs w:val="24"/>
          <w:lang w:eastAsia="en-AU"/>
        </w:rPr>
        <w:t>who have previously been hospitalised with severe COVID-19 disease.</w:t>
      </w:r>
    </w:p>
    <w:p w14:paraId="6D338145" w14:textId="180D0F40" w:rsidR="000A3F8F" w:rsidRPr="0095098B" w:rsidRDefault="0009273C" w:rsidP="0095098B">
      <w:pPr>
        <w:spacing w:before="120" w:after="120" w:line="240" w:lineRule="auto"/>
        <w:jc w:val="both"/>
        <w:rPr>
          <w:b/>
          <w:bCs/>
          <w:sz w:val="24"/>
          <w:szCs w:val="24"/>
        </w:rPr>
      </w:pPr>
      <w:r w:rsidRPr="0095098B">
        <w:rPr>
          <w:b/>
          <w:bCs/>
          <w:sz w:val="24"/>
          <w:szCs w:val="24"/>
        </w:rPr>
        <w:t xml:space="preserve">The PBAC recommended that the listings for </w:t>
      </w:r>
      <w:proofErr w:type="spellStart"/>
      <w:r w:rsidRPr="0095098B">
        <w:rPr>
          <w:b/>
          <w:bCs/>
          <w:sz w:val="24"/>
          <w:szCs w:val="24"/>
        </w:rPr>
        <w:t>molnupiravir</w:t>
      </w:r>
      <w:proofErr w:type="spellEnd"/>
      <w:r w:rsidRPr="0095098B">
        <w:rPr>
          <w:b/>
          <w:bCs/>
          <w:sz w:val="24"/>
          <w:szCs w:val="24"/>
        </w:rPr>
        <w:t xml:space="preserve"> and </w:t>
      </w:r>
      <w:proofErr w:type="spellStart"/>
      <w:r w:rsidRPr="0095098B">
        <w:rPr>
          <w:b/>
          <w:bCs/>
          <w:sz w:val="24"/>
          <w:szCs w:val="24"/>
        </w:rPr>
        <w:t>nirmatrelvir</w:t>
      </w:r>
      <w:proofErr w:type="spellEnd"/>
      <w:r w:rsidRPr="0095098B">
        <w:rPr>
          <w:b/>
          <w:bCs/>
          <w:sz w:val="24"/>
          <w:szCs w:val="24"/>
        </w:rPr>
        <w:t xml:space="preserve"> </w:t>
      </w:r>
      <w:r w:rsidR="005161B2">
        <w:rPr>
          <w:b/>
          <w:bCs/>
          <w:sz w:val="24"/>
          <w:szCs w:val="24"/>
        </w:rPr>
        <w:t>and</w:t>
      </w:r>
      <w:r w:rsidRPr="0095098B">
        <w:rPr>
          <w:b/>
          <w:bCs/>
          <w:sz w:val="24"/>
          <w:szCs w:val="24"/>
        </w:rPr>
        <w:t xml:space="preserve"> ritonavir be amended to allow PBS access for patients who have been previously hospitalised with COVID-19 disease if subsequently re-infected.</w:t>
      </w:r>
    </w:p>
    <w:p w14:paraId="6634F44C" w14:textId="77777777" w:rsidR="000A3F8F" w:rsidRPr="0095098B" w:rsidRDefault="000A3F8F" w:rsidP="0095098B">
      <w:pPr>
        <w:spacing w:before="120" w:after="120" w:line="240" w:lineRule="auto"/>
        <w:jc w:val="both"/>
        <w:rPr>
          <w:sz w:val="24"/>
          <w:szCs w:val="24"/>
        </w:rPr>
      </w:pPr>
    </w:p>
    <w:p w14:paraId="6C6D6787" w14:textId="480EB6AF" w:rsidR="000A3F8F" w:rsidRPr="0095098B" w:rsidRDefault="000A3F8F" w:rsidP="0095098B">
      <w:pPr>
        <w:spacing w:before="120" w:after="120" w:line="240" w:lineRule="auto"/>
        <w:jc w:val="both"/>
        <w:rPr>
          <w:sz w:val="24"/>
          <w:szCs w:val="24"/>
        </w:rPr>
      </w:pPr>
      <w:r w:rsidRPr="0095098B">
        <w:rPr>
          <w:sz w:val="24"/>
          <w:szCs w:val="24"/>
        </w:rPr>
        <w:t xml:space="preserve">The PBAC noted correspondence from the Chief Health Officer of the Victorian Department of Health, concerning current PBS requirements for verification of a positive COVID-19 rapid antigen test. Correspondence suggested that practitioners taking a strict interpretation of what is meant by verification of RAT </w:t>
      </w:r>
      <w:r w:rsidR="00FB502F" w:rsidRPr="0095098B">
        <w:rPr>
          <w:sz w:val="24"/>
          <w:szCs w:val="24"/>
        </w:rPr>
        <w:t>results</w:t>
      </w:r>
      <w:r w:rsidRPr="0095098B">
        <w:rPr>
          <w:sz w:val="24"/>
          <w:szCs w:val="24"/>
        </w:rPr>
        <w:t xml:space="preserve"> might cause delay in prescription and / or additional burden on Emergency Departments</w:t>
      </w:r>
      <w:r w:rsidR="00FB502F" w:rsidRPr="0095098B">
        <w:rPr>
          <w:sz w:val="24"/>
          <w:szCs w:val="24"/>
        </w:rPr>
        <w:t>.</w:t>
      </w:r>
    </w:p>
    <w:p w14:paraId="29C069F8" w14:textId="77832665" w:rsidR="006B5827" w:rsidRPr="0095098B" w:rsidRDefault="00F80FA2" w:rsidP="0095098B">
      <w:pPr>
        <w:spacing w:before="120" w:after="120" w:line="240" w:lineRule="auto"/>
        <w:jc w:val="both"/>
        <w:rPr>
          <w:b/>
          <w:bCs/>
          <w:sz w:val="24"/>
          <w:szCs w:val="24"/>
        </w:rPr>
      </w:pPr>
      <w:r w:rsidRPr="0095098B">
        <w:rPr>
          <w:b/>
          <w:bCs/>
          <w:sz w:val="24"/>
          <w:szCs w:val="24"/>
        </w:rPr>
        <w:t>The PBAC</w:t>
      </w:r>
      <w:r w:rsidR="00FB502F" w:rsidRPr="0095098B">
        <w:rPr>
          <w:b/>
          <w:bCs/>
          <w:sz w:val="24"/>
          <w:szCs w:val="24"/>
        </w:rPr>
        <w:t xml:space="preserve"> recommended</w:t>
      </w:r>
      <w:r w:rsidRPr="0095098B">
        <w:rPr>
          <w:b/>
          <w:bCs/>
          <w:sz w:val="24"/>
          <w:szCs w:val="24"/>
        </w:rPr>
        <w:t xml:space="preserve"> that the </w:t>
      </w:r>
      <w:r w:rsidR="006B5827" w:rsidRPr="0095098B">
        <w:rPr>
          <w:b/>
          <w:bCs/>
          <w:sz w:val="24"/>
          <w:szCs w:val="24"/>
        </w:rPr>
        <w:t>listings</w:t>
      </w:r>
      <w:r w:rsidRPr="0095098B">
        <w:rPr>
          <w:b/>
          <w:bCs/>
          <w:sz w:val="24"/>
          <w:szCs w:val="24"/>
        </w:rPr>
        <w:t xml:space="preserve"> for </w:t>
      </w:r>
      <w:proofErr w:type="spellStart"/>
      <w:r w:rsidRPr="0095098B">
        <w:rPr>
          <w:b/>
          <w:bCs/>
          <w:sz w:val="24"/>
          <w:szCs w:val="24"/>
        </w:rPr>
        <w:t>molnupiravir</w:t>
      </w:r>
      <w:proofErr w:type="spellEnd"/>
      <w:r w:rsidRPr="0095098B">
        <w:rPr>
          <w:b/>
          <w:bCs/>
          <w:sz w:val="24"/>
          <w:szCs w:val="24"/>
        </w:rPr>
        <w:t xml:space="preserve"> and </w:t>
      </w:r>
      <w:proofErr w:type="spellStart"/>
      <w:r w:rsidRPr="0095098B">
        <w:rPr>
          <w:b/>
          <w:bCs/>
          <w:sz w:val="24"/>
          <w:szCs w:val="24"/>
        </w:rPr>
        <w:t>nirmatrelvir</w:t>
      </w:r>
      <w:proofErr w:type="spellEnd"/>
      <w:r w:rsidRPr="0095098B">
        <w:rPr>
          <w:b/>
          <w:bCs/>
          <w:sz w:val="24"/>
          <w:szCs w:val="24"/>
        </w:rPr>
        <w:t xml:space="preserve"> </w:t>
      </w:r>
      <w:r w:rsidR="005161B2">
        <w:rPr>
          <w:b/>
          <w:bCs/>
          <w:sz w:val="24"/>
          <w:szCs w:val="24"/>
        </w:rPr>
        <w:t>and</w:t>
      </w:r>
      <w:r w:rsidRPr="0095098B">
        <w:rPr>
          <w:b/>
          <w:bCs/>
          <w:sz w:val="24"/>
          <w:szCs w:val="24"/>
        </w:rPr>
        <w:t xml:space="preserve"> ritonavir be amended </w:t>
      </w:r>
      <w:r w:rsidR="006B5827" w:rsidRPr="0095098B">
        <w:rPr>
          <w:b/>
          <w:bCs/>
          <w:sz w:val="24"/>
          <w:szCs w:val="24"/>
        </w:rPr>
        <w:t>so that clinical criteria around COVID-19 testing are:</w:t>
      </w:r>
    </w:p>
    <w:p w14:paraId="73AFE96B" w14:textId="77777777" w:rsidR="006B5827" w:rsidRPr="0095098B" w:rsidRDefault="006B5827" w:rsidP="0095098B">
      <w:pPr>
        <w:pStyle w:val="NormalWeb"/>
        <w:numPr>
          <w:ilvl w:val="0"/>
          <w:numId w:val="1"/>
        </w:numPr>
        <w:shd w:val="clear" w:color="auto" w:fill="FFFFFF"/>
        <w:spacing w:before="120" w:beforeAutospacing="0" w:after="120" w:afterAutospacing="0"/>
        <w:ind w:left="714" w:hanging="357"/>
        <w:jc w:val="both"/>
        <w:rPr>
          <w:rFonts w:asciiTheme="minorHAnsi" w:hAnsiTheme="minorHAnsi" w:cstheme="minorHAnsi"/>
          <w:b/>
          <w:bCs/>
          <w:color w:val="222222"/>
        </w:rPr>
      </w:pPr>
      <w:r w:rsidRPr="0095098B">
        <w:rPr>
          <w:rFonts w:asciiTheme="minorHAnsi" w:hAnsiTheme="minorHAnsi" w:cstheme="minorHAnsi"/>
          <w:b/>
          <w:bCs/>
          <w:color w:val="222222"/>
        </w:rPr>
        <w:t xml:space="preserve">Patient must have received a positive polymerase chain reaction (PCR) test </w:t>
      </w:r>
      <w:proofErr w:type="gramStart"/>
      <w:r w:rsidRPr="0095098B">
        <w:rPr>
          <w:rFonts w:asciiTheme="minorHAnsi" w:hAnsiTheme="minorHAnsi" w:cstheme="minorHAnsi"/>
          <w:b/>
          <w:bCs/>
          <w:color w:val="222222"/>
        </w:rPr>
        <w:t>result;</w:t>
      </w:r>
      <w:proofErr w:type="gramEnd"/>
      <w:r w:rsidRPr="0095098B">
        <w:rPr>
          <w:rFonts w:asciiTheme="minorHAnsi" w:hAnsiTheme="minorHAnsi" w:cstheme="minorHAnsi"/>
          <w:b/>
          <w:bCs/>
          <w:color w:val="222222"/>
        </w:rPr>
        <w:t xml:space="preserve"> OR</w:t>
      </w:r>
    </w:p>
    <w:p w14:paraId="3E9AAE39" w14:textId="77777777" w:rsidR="006B5827" w:rsidRPr="0095098B" w:rsidRDefault="006B5827" w:rsidP="0095098B">
      <w:pPr>
        <w:pStyle w:val="NormalWeb"/>
        <w:numPr>
          <w:ilvl w:val="0"/>
          <w:numId w:val="1"/>
        </w:numPr>
        <w:shd w:val="clear" w:color="auto" w:fill="FFFFFF"/>
        <w:spacing w:before="120" w:beforeAutospacing="0" w:after="120" w:afterAutospacing="0"/>
        <w:ind w:left="714" w:hanging="357"/>
        <w:jc w:val="both"/>
        <w:rPr>
          <w:rFonts w:asciiTheme="minorHAnsi" w:hAnsiTheme="minorHAnsi" w:cstheme="minorHAnsi"/>
          <w:b/>
          <w:bCs/>
          <w:color w:val="222222"/>
        </w:rPr>
      </w:pPr>
      <w:r w:rsidRPr="0095098B">
        <w:rPr>
          <w:rFonts w:asciiTheme="minorHAnsi" w:hAnsiTheme="minorHAnsi" w:cstheme="minorHAnsi"/>
          <w:b/>
          <w:bCs/>
          <w:color w:val="222222"/>
        </w:rPr>
        <w:t>Patient must have received a positive rapid antigen test (RAT) result</w:t>
      </w:r>
    </w:p>
    <w:p w14:paraId="1955D146" w14:textId="32B93A77" w:rsidR="006B5827" w:rsidRPr="0095098B" w:rsidRDefault="006B5827" w:rsidP="0095098B">
      <w:pPr>
        <w:spacing w:before="120" w:after="120" w:line="240" w:lineRule="auto"/>
        <w:jc w:val="both"/>
        <w:rPr>
          <w:b/>
          <w:bCs/>
          <w:sz w:val="24"/>
          <w:szCs w:val="24"/>
        </w:rPr>
      </w:pPr>
      <w:r w:rsidRPr="0095098B">
        <w:rPr>
          <w:b/>
          <w:bCs/>
          <w:sz w:val="24"/>
          <w:szCs w:val="24"/>
        </w:rPr>
        <w:lastRenderedPageBreak/>
        <w:t>The note concerning use of a RAT to confirm diagnosis should be updated to state: “Where a RAT is used to confirm diagnosis, available information about the test result, testing date, location and test provider (where relevant) should be recorded on the patient record”.</w:t>
      </w:r>
    </w:p>
    <w:p w14:paraId="56D38815" w14:textId="67B24A35" w:rsidR="00A95277" w:rsidRPr="0095098B" w:rsidRDefault="00A95277" w:rsidP="0095098B">
      <w:pPr>
        <w:spacing w:before="120" w:after="120" w:line="240" w:lineRule="auto"/>
        <w:jc w:val="both"/>
        <w:rPr>
          <w:sz w:val="24"/>
          <w:szCs w:val="24"/>
        </w:rPr>
      </w:pPr>
      <w:r w:rsidRPr="0095098B">
        <w:rPr>
          <w:sz w:val="24"/>
          <w:szCs w:val="24"/>
        </w:rPr>
        <w:t xml:space="preserve">The PBAC noted </w:t>
      </w:r>
      <w:r w:rsidR="00AE6C2E" w:rsidRPr="0095098B">
        <w:rPr>
          <w:sz w:val="24"/>
          <w:szCs w:val="24"/>
        </w:rPr>
        <w:t xml:space="preserve">the </w:t>
      </w:r>
      <w:r w:rsidRPr="0095098B">
        <w:rPr>
          <w:sz w:val="24"/>
          <w:szCs w:val="24"/>
        </w:rPr>
        <w:t xml:space="preserve">posting in October 2022 of a pre-print describing preliminary analysis of the UK’s PANORAMIC trial of </w:t>
      </w:r>
      <w:proofErr w:type="spellStart"/>
      <w:r w:rsidRPr="0095098B">
        <w:rPr>
          <w:sz w:val="24"/>
          <w:szCs w:val="24"/>
        </w:rPr>
        <w:t>molnupiravir</w:t>
      </w:r>
      <w:proofErr w:type="spellEnd"/>
      <w:r w:rsidRPr="0095098B">
        <w:rPr>
          <w:sz w:val="24"/>
          <w:szCs w:val="24"/>
        </w:rPr>
        <w:t xml:space="preserve"> plus usual care versus usual care, for </w:t>
      </w:r>
      <w:r w:rsidR="00AE6C2E" w:rsidRPr="0095098B">
        <w:rPr>
          <w:sz w:val="24"/>
          <w:szCs w:val="24"/>
        </w:rPr>
        <w:t xml:space="preserve">community </w:t>
      </w:r>
      <w:r w:rsidRPr="0095098B">
        <w:rPr>
          <w:sz w:val="24"/>
          <w:szCs w:val="24"/>
        </w:rPr>
        <w:t>treatment of adults with COVID-19 at increased risk of adverse outcomes.</w:t>
      </w:r>
    </w:p>
    <w:p w14:paraId="2A884828" w14:textId="77E6D4CE" w:rsidR="00A95277" w:rsidRPr="0095098B" w:rsidRDefault="00A95277" w:rsidP="0095098B">
      <w:pPr>
        <w:spacing w:before="120" w:after="120" w:line="240" w:lineRule="auto"/>
        <w:jc w:val="both"/>
        <w:rPr>
          <w:sz w:val="24"/>
          <w:szCs w:val="24"/>
        </w:rPr>
      </w:pPr>
      <w:r w:rsidRPr="0095098B">
        <w:rPr>
          <w:sz w:val="24"/>
          <w:szCs w:val="24"/>
        </w:rPr>
        <w:t xml:space="preserve">The PBAC noted that there have been two routes to access treatments for COVID-19 in non-hospitalised patients in the UK, namely targeted deployment for those at highest risk of progression to severe disease, and </w:t>
      </w:r>
      <w:r w:rsidR="00AE6C2E" w:rsidRPr="0095098B">
        <w:rPr>
          <w:sz w:val="24"/>
          <w:szCs w:val="24"/>
        </w:rPr>
        <w:t xml:space="preserve">for others, </w:t>
      </w:r>
      <w:r w:rsidRPr="0095098B">
        <w:rPr>
          <w:sz w:val="24"/>
          <w:szCs w:val="24"/>
        </w:rPr>
        <w:t>enrolment in the PANORAMIC study. N=25,783 patients (</w:t>
      </w:r>
      <w:r w:rsidRPr="0095098B">
        <w:rPr>
          <w:rFonts w:cstheme="minorHAnsi"/>
          <w:sz w:val="24"/>
          <w:szCs w:val="24"/>
        </w:rPr>
        <w:t>≥</w:t>
      </w:r>
      <w:r w:rsidRPr="0095098B">
        <w:rPr>
          <w:sz w:val="24"/>
          <w:szCs w:val="24"/>
        </w:rPr>
        <w:t xml:space="preserve">50 years of age, or </w:t>
      </w:r>
      <w:r w:rsidRPr="0095098B">
        <w:rPr>
          <w:rFonts w:cstheme="minorHAnsi"/>
          <w:sz w:val="24"/>
          <w:szCs w:val="24"/>
        </w:rPr>
        <w:t>≥</w:t>
      </w:r>
      <w:r w:rsidRPr="0095098B">
        <w:rPr>
          <w:sz w:val="24"/>
          <w:szCs w:val="24"/>
        </w:rPr>
        <w:t>18 years with comorbidities) were randomised between December 2021 and April 2022, but patients at highest risk of progression were not the target population. Patients in PANORAMIC were highly vaccinated, and the mean age was 56.6 years with only 6% being &gt;75 years of age.</w:t>
      </w:r>
      <w:r w:rsidR="00070243" w:rsidRPr="0095098B">
        <w:rPr>
          <w:sz w:val="24"/>
          <w:szCs w:val="24"/>
        </w:rPr>
        <w:t xml:space="preserve"> The PBAC noted a modest imbalance in the number of patients excluded from the primary analysis across arms (97.7% of randomised patients were included in the primary analysis in the </w:t>
      </w:r>
      <w:proofErr w:type="spellStart"/>
      <w:r w:rsidR="00070243" w:rsidRPr="0095098B">
        <w:rPr>
          <w:sz w:val="24"/>
          <w:szCs w:val="24"/>
        </w:rPr>
        <w:t>molnupiravir</w:t>
      </w:r>
      <w:proofErr w:type="spellEnd"/>
      <w:r w:rsidR="00070243" w:rsidRPr="0095098B">
        <w:rPr>
          <w:sz w:val="24"/>
          <w:szCs w:val="24"/>
        </w:rPr>
        <w:t xml:space="preserve"> arm, and 96.3% in the usual care arm).</w:t>
      </w:r>
    </w:p>
    <w:p w14:paraId="53204F98" w14:textId="77777777" w:rsidR="00F80FA2" w:rsidRPr="0095098B" w:rsidRDefault="00A95277" w:rsidP="0095098B">
      <w:pPr>
        <w:spacing w:before="120" w:after="120" w:line="240" w:lineRule="auto"/>
        <w:jc w:val="both"/>
        <w:rPr>
          <w:sz w:val="24"/>
          <w:szCs w:val="24"/>
        </w:rPr>
      </w:pPr>
      <w:r w:rsidRPr="0095098B">
        <w:rPr>
          <w:sz w:val="24"/>
          <w:szCs w:val="24"/>
        </w:rPr>
        <w:t>The primary endpoint was the composite of all-cause hospitalisation and death</w:t>
      </w:r>
      <w:r w:rsidR="00EF2F24" w:rsidRPr="0095098B">
        <w:rPr>
          <w:sz w:val="24"/>
          <w:szCs w:val="24"/>
        </w:rPr>
        <w:t xml:space="preserve"> within 28 days of randomisation, and this endpoint was observed in only 0.8% of patients in both arms, indicating that in the studied group, addition of </w:t>
      </w:r>
      <w:proofErr w:type="spellStart"/>
      <w:r w:rsidR="00EF2F24" w:rsidRPr="0095098B">
        <w:rPr>
          <w:sz w:val="24"/>
          <w:szCs w:val="24"/>
        </w:rPr>
        <w:t>molnupiravir</w:t>
      </w:r>
      <w:proofErr w:type="spellEnd"/>
      <w:r w:rsidR="00EF2F24" w:rsidRPr="0095098B">
        <w:rPr>
          <w:sz w:val="24"/>
          <w:szCs w:val="24"/>
        </w:rPr>
        <w:t xml:space="preserve"> to usual care did not reduce the risk of </w:t>
      </w:r>
      <w:r w:rsidR="00F80FA2" w:rsidRPr="0095098B">
        <w:rPr>
          <w:sz w:val="24"/>
          <w:szCs w:val="24"/>
        </w:rPr>
        <w:t xml:space="preserve">the composite outcome of </w:t>
      </w:r>
      <w:r w:rsidR="00EF2F24" w:rsidRPr="0095098B">
        <w:rPr>
          <w:sz w:val="24"/>
          <w:szCs w:val="24"/>
        </w:rPr>
        <w:t>hospitalisation or death.</w:t>
      </w:r>
    </w:p>
    <w:p w14:paraId="67FE539D" w14:textId="6D7EEAC1" w:rsidR="00A95277" w:rsidRPr="0095098B" w:rsidRDefault="00EF2F24" w:rsidP="0095098B">
      <w:pPr>
        <w:spacing w:before="120" w:after="120" w:line="240" w:lineRule="auto"/>
        <w:jc w:val="both"/>
        <w:rPr>
          <w:sz w:val="24"/>
          <w:szCs w:val="24"/>
        </w:rPr>
      </w:pPr>
      <w:r w:rsidRPr="0095098B">
        <w:rPr>
          <w:sz w:val="24"/>
          <w:szCs w:val="24"/>
        </w:rPr>
        <w:t xml:space="preserve">A secondary endpoint was time to first recovery, and after adjustment for age and co-morbidity, time to first recovery was 4.2 days </w:t>
      </w:r>
      <w:r w:rsidR="00F80FA2" w:rsidRPr="0095098B">
        <w:rPr>
          <w:sz w:val="24"/>
          <w:szCs w:val="24"/>
        </w:rPr>
        <w:t>faster</w:t>
      </w:r>
      <w:r w:rsidRPr="0095098B">
        <w:rPr>
          <w:sz w:val="24"/>
          <w:szCs w:val="24"/>
        </w:rPr>
        <w:t xml:space="preserve"> in the </w:t>
      </w:r>
      <w:proofErr w:type="spellStart"/>
      <w:r w:rsidRPr="0095098B">
        <w:rPr>
          <w:sz w:val="24"/>
          <w:szCs w:val="24"/>
        </w:rPr>
        <w:t>molnupiravir</w:t>
      </w:r>
      <w:proofErr w:type="spellEnd"/>
      <w:r w:rsidRPr="0095098B">
        <w:rPr>
          <w:sz w:val="24"/>
          <w:szCs w:val="24"/>
        </w:rPr>
        <w:t xml:space="preserve"> arm</w:t>
      </w:r>
      <w:r w:rsidR="00AE6C2E" w:rsidRPr="0095098B">
        <w:rPr>
          <w:sz w:val="24"/>
          <w:szCs w:val="24"/>
        </w:rPr>
        <w:t xml:space="preserve"> (95% Bayesian credible interval, 3.8-4.6 days)</w:t>
      </w:r>
      <w:r w:rsidRPr="0095098B">
        <w:rPr>
          <w:sz w:val="24"/>
          <w:szCs w:val="24"/>
        </w:rPr>
        <w:t>. This improvement met the pre-specified superiority threshold.</w:t>
      </w:r>
    </w:p>
    <w:p w14:paraId="58C7DC97" w14:textId="64503685" w:rsidR="00EF2F24" w:rsidRPr="0095098B" w:rsidRDefault="00EF2F24" w:rsidP="0095098B">
      <w:pPr>
        <w:spacing w:before="120" w:after="120" w:line="240" w:lineRule="auto"/>
        <w:jc w:val="both"/>
        <w:rPr>
          <w:sz w:val="24"/>
          <w:szCs w:val="24"/>
        </w:rPr>
      </w:pPr>
      <w:r w:rsidRPr="0095098B">
        <w:rPr>
          <w:sz w:val="24"/>
          <w:szCs w:val="24"/>
        </w:rPr>
        <w:t xml:space="preserve">In a small subset of patients in whom virological outcomes were assessed, at day 7, SARS-CoV-2 virus was not detected in 21% of </w:t>
      </w:r>
      <w:proofErr w:type="spellStart"/>
      <w:r w:rsidRPr="0095098B">
        <w:rPr>
          <w:sz w:val="24"/>
          <w:szCs w:val="24"/>
        </w:rPr>
        <w:t>molnupiravir</w:t>
      </w:r>
      <w:proofErr w:type="spellEnd"/>
      <w:r w:rsidRPr="0095098B">
        <w:rPr>
          <w:sz w:val="24"/>
          <w:szCs w:val="24"/>
        </w:rPr>
        <w:t xml:space="preserve"> patients and 4% of usual care patients.</w:t>
      </w:r>
    </w:p>
    <w:p w14:paraId="74487CC8" w14:textId="0FA81FAB" w:rsidR="00097EF9" w:rsidRPr="0095098B" w:rsidRDefault="00097EF9" w:rsidP="0095098B">
      <w:pPr>
        <w:spacing w:before="120" w:after="120" w:line="240" w:lineRule="auto"/>
        <w:jc w:val="both"/>
        <w:rPr>
          <w:sz w:val="24"/>
          <w:szCs w:val="24"/>
        </w:rPr>
      </w:pPr>
      <w:r w:rsidRPr="0095098B">
        <w:rPr>
          <w:sz w:val="24"/>
          <w:szCs w:val="24"/>
        </w:rPr>
        <w:t xml:space="preserve">The study did not uncover any new safety concerns about use of </w:t>
      </w:r>
      <w:proofErr w:type="spellStart"/>
      <w:r w:rsidRPr="0095098B">
        <w:rPr>
          <w:sz w:val="24"/>
          <w:szCs w:val="24"/>
        </w:rPr>
        <w:t>molnupiravir</w:t>
      </w:r>
      <w:proofErr w:type="spellEnd"/>
      <w:r w:rsidRPr="0095098B">
        <w:rPr>
          <w:sz w:val="24"/>
          <w:szCs w:val="24"/>
        </w:rPr>
        <w:t>.</w:t>
      </w:r>
    </w:p>
    <w:p w14:paraId="5F916863" w14:textId="70E38C47" w:rsidR="00EF2F24" w:rsidRPr="0095098B" w:rsidRDefault="00EF2F24" w:rsidP="0095098B">
      <w:pPr>
        <w:spacing w:before="120" w:after="120" w:line="240" w:lineRule="auto"/>
        <w:jc w:val="both"/>
        <w:rPr>
          <w:sz w:val="24"/>
          <w:szCs w:val="24"/>
        </w:rPr>
      </w:pPr>
      <w:r w:rsidRPr="0095098B">
        <w:rPr>
          <w:sz w:val="24"/>
          <w:szCs w:val="24"/>
        </w:rPr>
        <w:t>The PBAC observed that subjects in PANORAMIC were</w:t>
      </w:r>
      <w:proofErr w:type="gramStart"/>
      <w:r w:rsidRPr="0095098B">
        <w:rPr>
          <w:sz w:val="24"/>
          <w:szCs w:val="24"/>
        </w:rPr>
        <w:t>, as a whole, younger</w:t>
      </w:r>
      <w:proofErr w:type="gramEnd"/>
      <w:r w:rsidRPr="0095098B">
        <w:rPr>
          <w:sz w:val="24"/>
          <w:szCs w:val="24"/>
        </w:rPr>
        <w:t xml:space="preserve"> than subjects receiving </w:t>
      </w:r>
      <w:proofErr w:type="spellStart"/>
      <w:r w:rsidRPr="0095098B">
        <w:rPr>
          <w:sz w:val="24"/>
          <w:szCs w:val="24"/>
        </w:rPr>
        <w:t>molnupiravir</w:t>
      </w:r>
      <w:proofErr w:type="spellEnd"/>
      <w:r w:rsidRPr="0095098B">
        <w:rPr>
          <w:sz w:val="24"/>
          <w:szCs w:val="24"/>
        </w:rPr>
        <w:t xml:space="preserve"> in Australia. Two-thirds of PBS utilisation of </w:t>
      </w:r>
      <w:proofErr w:type="spellStart"/>
      <w:r w:rsidRPr="0095098B">
        <w:rPr>
          <w:sz w:val="24"/>
          <w:szCs w:val="24"/>
        </w:rPr>
        <w:t>molnupiravir</w:t>
      </w:r>
      <w:proofErr w:type="spellEnd"/>
      <w:r w:rsidRPr="0095098B">
        <w:rPr>
          <w:sz w:val="24"/>
          <w:szCs w:val="24"/>
        </w:rPr>
        <w:t xml:space="preserve"> has been in patients </w:t>
      </w:r>
      <w:r w:rsidRPr="0095098B">
        <w:rPr>
          <w:rFonts w:cstheme="minorHAnsi"/>
          <w:sz w:val="24"/>
          <w:szCs w:val="24"/>
        </w:rPr>
        <w:t>≥</w:t>
      </w:r>
      <w:r w:rsidRPr="0095098B">
        <w:rPr>
          <w:sz w:val="24"/>
          <w:szCs w:val="24"/>
        </w:rPr>
        <w:t>70 y</w:t>
      </w:r>
      <w:r w:rsidR="00A65849">
        <w:rPr>
          <w:sz w:val="24"/>
          <w:szCs w:val="24"/>
        </w:rPr>
        <w:t>ea</w:t>
      </w:r>
      <w:r w:rsidRPr="0095098B">
        <w:rPr>
          <w:sz w:val="24"/>
          <w:szCs w:val="24"/>
        </w:rPr>
        <w:t xml:space="preserve">rs of age, whereas &lt;15% of PANORAMIC subjects were </w:t>
      </w:r>
      <w:r w:rsidRPr="0095098B">
        <w:rPr>
          <w:rFonts w:cstheme="minorHAnsi"/>
          <w:sz w:val="24"/>
          <w:szCs w:val="24"/>
        </w:rPr>
        <w:t>≥</w:t>
      </w:r>
      <w:r w:rsidRPr="0095098B">
        <w:rPr>
          <w:sz w:val="24"/>
          <w:szCs w:val="24"/>
        </w:rPr>
        <w:t>70 y</w:t>
      </w:r>
      <w:r w:rsidR="00A65849">
        <w:rPr>
          <w:sz w:val="24"/>
          <w:szCs w:val="24"/>
        </w:rPr>
        <w:t>ea</w:t>
      </w:r>
      <w:r w:rsidRPr="0095098B">
        <w:rPr>
          <w:sz w:val="24"/>
          <w:szCs w:val="24"/>
        </w:rPr>
        <w:t>rs of age. Also, patients at highest risk of progression to severe disease in the UK were not the target population in PANORAMIC.</w:t>
      </w:r>
    </w:p>
    <w:p w14:paraId="6C28EFD3" w14:textId="4D288CC4" w:rsidR="00F80FA2" w:rsidRPr="0095098B" w:rsidRDefault="00EF2F24" w:rsidP="0095098B">
      <w:pPr>
        <w:spacing w:before="120" w:after="120" w:line="240" w:lineRule="auto"/>
        <w:jc w:val="both"/>
        <w:rPr>
          <w:sz w:val="24"/>
          <w:szCs w:val="24"/>
        </w:rPr>
      </w:pPr>
      <w:r w:rsidRPr="0095098B">
        <w:rPr>
          <w:sz w:val="24"/>
          <w:szCs w:val="24"/>
        </w:rPr>
        <w:t xml:space="preserve">The PBAC noted several </w:t>
      </w:r>
      <w:r w:rsidR="00AE6C2E" w:rsidRPr="0095098B">
        <w:rPr>
          <w:sz w:val="24"/>
          <w:szCs w:val="24"/>
        </w:rPr>
        <w:t xml:space="preserve">journal </w:t>
      </w:r>
      <w:r w:rsidRPr="0095098B">
        <w:rPr>
          <w:sz w:val="24"/>
          <w:szCs w:val="24"/>
        </w:rPr>
        <w:t xml:space="preserve">publications or pre-print articles describing </w:t>
      </w:r>
      <w:r w:rsidR="00F25FBC" w:rsidRPr="0095098B">
        <w:rPr>
          <w:sz w:val="24"/>
          <w:szCs w:val="24"/>
        </w:rPr>
        <w:t xml:space="preserve">observational studies of the use of </w:t>
      </w:r>
      <w:proofErr w:type="spellStart"/>
      <w:r w:rsidR="00F25FBC" w:rsidRPr="0095098B">
        <w:rPr>
          <w:sz w:val="24"/>
          <w:szCs w:val="24"/>
        </w:rPr>
        <w:t>molnupiravir</w:t>
      </w:r>
      <w:proofErr w:type="spellEnd"/>
      <w:r w:rsidR="00F25FBC" w:rsidRPr="0095098B">
        <w:rPr>
          <w:sz w:val="24"/>
          <w:szCs w:val="24"/>
        </w:rPr>
        <w:t xml:space="preserve"> in Israel and Hong Kong, as well as initial information from a Victorian Department of Health data linkage project in patients </w:t>
      </w:r>
      <w:r w:rsidR="00F25FBC" w:rsidRPr="0095098B">
        <w:rPr>
          <w:rFonts w:cstheme="minorHAnsi"/>
          <w:sz w:val="24"/>
          <w:szCs w:val="24"/>
        </w:rPr>
        <w:t>≥</w:t>
      </w:r>
      <w:r w:rsidR="00F25FBC" w:rsidRPr="0095098B">
        <w:rPr>
          <w:sz w:val="24"/>
          <w:szCs w:val="24"/>
        </w:rPr>
        <w:t xml:space="preserve">70 years of age, taken together suggesting </w:t>
      </w:r>
      <w:r w:rsidR="00F80FA2" w:rsidRPr="0095098B">
        <w:rPr>
          <w:sz w:val="24"/>
          <w:szCs w:val="24"/>
        </w:rPr>
        <w:t xml:space="preserve">benefit </w:t>
      </w:r>
      <w:r w:rsidR="00070243" w:rsidRPr="0095098B">
        <w:rPr>
          <w:sz w:val="24"/>
          <w:szCs w:val="24"/>
        </w:rPr>
        <w:t>of</w:t>
      </w:r>
      <w:r w:rsidR="00F80FA2" w:rsidRPr="0095098B">
        <w:rPr>
          <w:sz w:val="24"/>
          <w:szCs w:val="24"/>
        </w:rPr>
        <w:t xml:space="preserve"> </w:t>
      </w:r>
      <w:proofErr w:type="spellStart"/>
      <w:r w:rsidR="00F80FA2" w:rsidRPr="0095098B">
        <w:rPr>
          <w:sz w:val="24"/>
          <w:szCs w:val="24"/>
        </w:rPr>
        <w:t>molnupiravir</w:t>
      </w:r>
      <w:proofErr w:type="spellEnd"/>
      <w:r w:rsidR="00F80FA2" w:rsidRPr="0095098B">
        <w:rPr>
          <w:sz w:val="24"/>
          <w:szCs w:val="24"/>
        </w:rPr>
        <w:t xml:space="preserve"> over no treatment in patients at high risk of progression to severe disease.</w:t>
      </w:r>
    </w:p>
    <w:p w14:paraId="43823070" w14:textId="081A6151" w:rsidR="009A662F" w:rsidRPr="0095098B" w:rsidRDefault="00F25FBC" w:rsidP="0095098B">
      <w:pPr>
        <w:spacing w:before="120" w:after="120" w:line="240" w:lineRule="auto"/>
        <w:jc w:val="both"/>
        <w:rPr>
          <w:sz w:val="24"/>
          <w:szCs w:val="24"/>
        </w:rPr>
      </w:pPr>
      <w:r w:rsidRPr="0095098B">
        <w:rPr>
          <w:sz w:val="24"/>
          <w:szCs w:val="24"/>
        </w:rPr>
        <w:t>The PB</w:t>
      </w:r>
      <w:r w:rsidR="009A662F" w:rsidRPr="0095098B">
        <w:rPr>
          <w:sz w:val="24"/>
          <w:szCs w:val="24"/>
        </w:rPr>
        <w:t xml:space="preserve">AC </w:t>
      </w:r>
      <w:r w:rsidR="00097EF9" w:rsidRPr="0095098B">
        <w:rPr>
          <w:sz w:val="24"/>
          <w:szCs w:val="24"/>
        </w:rPr>
        <w:t>concluded</w:t>
      </w:r>
      <w:r w:rsidR="009A662F" w:rsidRPr="0095098B">
        <w:rPr>
          <w:sz w:val="24"/>
          <w:szCs w:val="24"/>
        </w:rPr>
        <w:t xml:space="preserve"> that while </w:t>
      </w:r>
      <w:proofErr w:type="spellStart"/>
      <w:r w:rsidR="009A662F" w:rsidRPr="0095098B">
        <w:rPr>
          <w:sz w:val="24"/>
          <w:szCs w:val="24"/>
        </w:rPr>
        <w:t>nirmatrelvir</w:t>
      </w:r>
      <w:proofErr w:type="spellEnd"/>
      <w:r w:rsidR="009A662F" w:rsidRPr="0095098B">
        <w:rPr>
          <w:sz w:val="24"/>
          <w:szCs w:val="24"/>
        </w:rPr>
        <w:t xml:space="preserve"> </w:t>
      </w:r>
      <w:r w:rsidR="005161B2">
        <w:rPr>
          <w:sz w:val="24"/>
          <w:szCs w:val="24"/>
        </w:rPr>
        <w:t>and</w:t>
      </w:r>
      <w:r w:rsidR="009A662F" w:rsidRPr="0095098B">
        <w:rPr>
          <w:sz w:val="24"/>
          <w:szCs w:val="24"/>
        </w:rPr>
        <w:t xml:space="preserve"> ritonavir may be preferred for many patients with mild to moderate COVID-19 at high risk of progression to severe disease, in many</w:t>
      </w:r>
      <w:r w:rsidR="00097EF9" w:rsidRPr="0095098B">
        <w:rPr>
          <w:sz w:val="24"/>
          <w:szCs w:val="24"/>
        </w:rPr>
        <w:t xml:space="preserve"> common clinical</w:t>
      </w:r>
      <w:r w:rsidR="009A662F" w:rsidRPr="0095098B">
        <w:rPr>
          <w:sz w:val="24"/>
          <w:szCs w:val="24"/>
        </w:rPr>
        <w:t xml:space="preserve"> circumstances </w:t>
      </w:r>
      <w:proofErr w:type="spellStart"/>
      <w:r w:rsidR="009A662F" w:rsidRPr="0095098B">
        <w:rPr>
          <w:sz w:val="24"/>
          <w:szCs w:val="24"/>
        </w:rPr>
        <w:t>nirmatrelvir</w:t>
      </w:r>
      <w:proofErr w:type="spellEnd"/>
      <w:r w:rsidR="009A662F" w:rsidRPr="0095098B">
        <w:rPr>
          <w:sz w:val="24"/>
          <w:szCs w:val="24"/>
        </w:rPr>
        <w:t xml:space="preserve"> </w:t>
      </w:r>
      <w:r w:rsidR="005161B2">
        <w:rPr>
          <w:sz w:val="24"/>
          <w:szCs w:val="24"/>
        </w:rPr>
        <w:t>and</w:t>
      </w:r>
      <w:r w:rsidR="009A662F" w:rsidRPr="0095098B">
        <w:rPr>
          <w:sz w:val="24"/>
          <w:szCs w:val="24"/>
        </w:rPr>
        <w:t xml:space="preserve"> ritonavir will be contraindicated or unsuitable for use</w:t>
      </w:r>
      <w:r w:rsidR="00097EF9" w:rsidRPr="0095098B">
        <w:rPr>
          <w:sz w:val="24"/>
          <w:szCs w:val="24"/>
        </w:rPr>
        <w:t xml:space="preserve">, and </w:t>
      </w:r>
      <w:proofErr w:type="spellStart"/>
      <w:r w:rsidR="00097EF9" w:rsidRPr="0095098B">
        <w:rPr>
          <w:sz w:val="24"/>
          <w:szCs w:val="24"/>
        </w:rPr>
        <w:t>molnupiravir</w:t>
      </w:r>
      <w:proofErr w:type="spellEnd"/>
      <w:r w:rsidR="00097EF9" w:rsidRPr="0095098B">
        <w:rPr>
          <w:sz w:val="24"/>
          <w:szCs w:val="24"/>
        </w:rPr>
        <w:t xml:space="preserve"> remains a suitable option in such patients.</w:t>
      </w:r>
    </w:p>
    <w:p w14:paraId="665E2EA5" w14:textId="7714274E" w:rsidR="000A3F8F" w:rsidRPr="0095098B" w:rsidRDefault="009A662F" w:rsidP="0095098B">
      <w:pPr>
        <w:spacing w:before="120" w:after="120" w:line="240" w:lineRule="auto"/>
        <w:jc w:val="both"/>
        <w:rPr>
          <w:sz w:val="24"/>
          <w:szCs w:val="24"/>
        </w:rPr>
      </w:pPr>
      <w:r w:rsidRPr="0095098B">
        <w:rPr>
          <w:b/>
          <w:bCs/>
          <w:sz w:val="24"/>
          <w:szCs w:val="24"/>
        </w:rPr>
        <w:t xml:space="preserve">The PBAC recommended that </w:t>
      </w:r>
      <w:r w:rsidR="006B5827" w:rsidRPr="0095098B">
        <w:rPr>
          <w:b/>
          <w:bCs/>
          <w:sz w:val="24"/>
          <w:szCs w:val="24"/>
        </w:rPr>
        <w:t>an Administrative Note</w:t>
      </w:r>
      <w:r w:rsidRPr="0095098B">
        <w:rPr>
          <w:b/>
          <w:bCs/>
          <w:sz w:val="24"/>
          <w:szCs w:val="24"/>
        </w:rPr>
        <w:t xml:space="preserve"> be added to the </w:t>
      </w:r>
      <w:proofErr w:type="spellStart"/>
      <w:r w:rsidRPr="0095098B">
        <w:rPr>
          <w:b/>
          <w:bCs/>
          <w:sz w:val="24"/>
          <w:szCs w:val="24"/>
        </w:rPr>
        <w:t>molnupiravir</w:t>
      </w:r>
      <w:proofErr w:type="spellEnd"/>
      <w:r w:rsidRPr="0095098B">
        <w:rPr>
          <w:b/>
          <w:bCs/>
          <w:sz w:val="24"/>
          <w:szCs w:val="24"/>
        </w:rPr>
        <w:t xml:space="preserve"> listing stating that </w:t>
      </w:r>
      <w:proofErr w:type="spellStart"/>
      <w:r w:rsidRPr="0095098B">
        <w:rPr>
          <w:b/>
          <w:bCs/>
          <w:sz w:val="24"/>
          <w:szCs w:val="24"/>
        </w:rPr>
        <w:t>molnupiravir</w:t>
      </w:r>
      <w:proofErr w:type="spellEnd"/>
      <w:r w:rsidRPr="0095098B">
        <w:rPr>
          <w:b/>
          <w:bCs/>
          <w:sz w:val="24"/>
          <w:szCs w:val="24"/>
        </w:rPr>
        <w:t xml:space="preserve"> should </w:t>
      </w:r>
      <w:r w:rsidR="004A5FA0" w:rsidRPr="0095098B">
        <w:rPr>
          <w:b/>
          <w:bCs/>
          <w:sz w:val="24"/>
          <w:szCs w:val="24"/>
        </w:rPr>
        <w:t xml:space="preserve">be considered for use </w:t>
      </w:r>
      <w:r w:rsidR="006B5827" w:rsidRPr="0095098B">
        <w:rPr>
          <w:b/>
          <w:bCs/>
          <w:sz w:val="24"/>
          <w:szCs w:val="24"/>
        </w:rPr>
        <w:t>only if</w:t>
      </w:r>
      <w:r w:rsidRPr="0095098B">
        <w:rPr>
          <w:b/>
          <w:bCs/>
          <w:sz w:val="24"/>
          <w:szCs w:val="24"/>
        </w:rPr>
        <w:t xml:space="preserve"> </w:t>
      </w:r>
      <w:proofErr w:type="spellStart"/>
      <w:r w:rsidRPr="0095098B">
        <w:rPr>
          <w:b/>
          <w:bCs/>
          <w:sz w:val="24"/>
          <w:szCs w:val="24"/>
        </w:rPr>
        <w:t>nirmatrelvir</w:t>
      </w:r>
      <w:proofErr w:type="spellEnd"/>
      <w:r w:rsidRPr="0095098B">
        <w:rPr>
          <w:b/>
          <w:bCs/>
          <w:sz w:val="24"/>
          <w:szCs w:val="24"/>
        </w:rPr>
        <w:t xml:space="preserve"> </w:t>
      </w:r>
      <w:r w:rsidR="005161B2">
        <w:rPr>
          <w:b/>
          <w:bCs/>
          <w:sz w:val="24"/>
          <w:szCs w:val="24"/>
        </w:rPr>
        <w:t>and</w:t>
      </w:r>
      <w:r w:rsidRPr="0095098B">
        <w:rPr>
          <w:b/>
          <w:bCs/>
          <w:sz w:val="24"/>
          <w:szCs w:val="24"/>
        </w:rPr>
        <w:t xml:space="preserve"> ritonavir is contraindicated or otherwise unsuitable</w:t>
      </w:r>
      <w:r w:rsidR="00AE6C2E" w:rsidRPr="0095098B">
        <w:rPr>
          <w:b/>
          <w:bCs/>
          <w:sz w:val="24"/>
          <w:szCs w:val="24"/>
        </w:rPr>
        <w:t>.</w:t>
      </w:r>
    </w:p>
    <w:p w14:paraId="1D20ADEA" w14:textId="5B34D518" w:rsidR="00F25FBC" w:rsidRPr="0095098B" w:rsidRDefault="009477D0" w:rsidP="0095098B">
      <w:pPr>
        <w:spacing w:before="120" w:after="120" w:line="240" w:lineRule="auto"/>
        <w:jc w:val="both"/>
        <w:rPr>
          <w:sz w:val="24"/>
          <w:szCs w:val="24"/>
        </w:rPr>
      </w:pPr>
      <w:r w:rsidRPr="0095098B">
        <w:rPr>
          <w:sz w:val="24"/>
          <w:szCs w:val="24"/>
        </w:rPr>
        <w:lastRenderedPageBreak/>
        <w:t>The PBAC noted the importance of ensuring that clinicians and the community were informed about appropriate use of COVID-19 oral antivirals.</w:t>
      </w:r>
    </w:p>
    <w:sectPr w:rsidR="00F25FBC" w:rsidRPr="0095098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781B4" w14:textId="77777777" w:rsidR="00BA6AEE" w:rsidRDefault="00BA6AEE" w:rsidP="00BA6AEE">
      <w:pPr>
        <w:spacing w:after="0" w:line="240" w:lineRule="auto"/>
      </w:pPr>
      <w:r>
        <w:separator/>
      </w:r>
    </w:p>
  </w:endnote>
  <w:endnote w:type="continuationSeparator" w:id="0">
    <w:p w14:paraId="39322107" w14:textId="77777777" w:rsidR="00BA6AEE" w:rsidRDefault="00BA6AEE" w:rsidP="00BA6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BB875" w14:textId="77777777" w:rsidR="00BA6AEE" w:rsidRDefault="00BA6AEE" w:rsidP="00BA6AEE">
      <w:pPr>
        <w:spacing w:after="0" w:line="240" w:lineRule="auto"/>
      </w:pPr>
      <w:r>
        <w:separator/>
      </w:r>
    </w:p>
  </w:footnote>
  <w:footnote w:type="continuationSeparator" w:id="0">
    <w:p w14:paraId="06C79D11" w14:textId="77777777" w:rsidR="00BA6AEE" w:rsidRDefault="00BA6AEE" w:rsidP="00BA6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3AEE" w14:textId="4BF71640" w:rsidR="00BA6AEE" w:rsidRDefault="00BA6AEE" w:rsidP="00BA6AEE">
    <w:pPr>
      <w:pStyle w:val="Header"/>
      <w:jc w:val="right"/>
    </w:pPr>
    <w:r>
      <w:t>PBAC November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415B3"/>
    <w:multiLevelType w:val="multilevel"/>
    <w:tmpl w:val="74E2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33"/>
    <w:rsid w:val="00070243"/>
    <w:rsid w:val="0009273C"/>
    <w:rsid w:val="00097EF9"/>
    <w:rsid w:val="000A3F8F"/>
    <w:rsid w:val="002E6EDD"/>
    <w:rsid w:val="00464F09"/>
    <w:rsid w:val="004A5FA0"/>
    <w:rsid w:val="005161B2"/>
    <w:rsid w:val="0068669E"/>
    <w:rsid w:val="006B5827"/>
    <w:rsid w:val="00790ADA"/>
    <w:rsid w:val="008349B5"/>
    <w:rsid w:val="008D44F7"/>
    <w:rsid w:val="009477D0"/>
    <w:rsid w:val="0095098B"/>
    <w:rsid w:val="009A662F"/>
    <w:rsid w:val="009F332E"/>
    <w:rsid w:val="00A34655"/>
    <w:rsid w:val="00A65849"/>
    <w:rsid w:val="00A95277"/>
    <w:rsid w:val="00AE6C2E"/>
    <w:rsid w:val="00B267F4"/>
    <w:rsid w:val="00B36EBB"/>
    <w:rsid w:val="00BA6AEE"/>
    <w:rsid w:val="00BC4BC5"/>
    <w:rsid w:val="00BD6EC0"/>
    <w:rsid w:val="00C371B6"/>
    <w:rsid w:val="00C546E9"/>
    <w:rsid w:val="00C55A33"/>
    <w:rsid w:val="00D31B83"/>
    <w:rsid w:val="00D651F2"/>
    <w:rsid w:val="00DA0339"/>
    <w:rsid w:val="00DE5734"/>
    <w:rsid w:val="00E843A2"/>
    <w:rsid w:val="00EF2F24"/>
    <w:rsid w:val="00F25FBC"/>
    <w:rsid w:val="00F80FA2"/>
    <w:rsid w:val="00FB50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DF1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25FBC"/>
    <w:rPr>
      <w:sz w:val="16"/>
      <w:szCs w:val="16"/>
    </w:rPr>
  </w:style>
  <w:style w:type="paragraph" w:styleId="CommentText">
    <w:name w:val="annotation text"/>
    <w:basedOn w:val="Normal"/>
    <w:link w:val="CommentTextChar"/>
    <w:uiPriority w:val="99"/>
    <w:semiHidden/>
    <w:unhideWhenUsed/>
    <w:rsid w:val="00F25FBC"/>
    <w:pPr>
      <w:spacing w:line="240" w:lineRule="auto"/>
    </w:pPr>
    <w:rPr>
      <w:sz w:val="20"/>
      <w:szCs w:val="20"/>
    </w:rPr>
  </w:style>
  <w:style w:type="character" w:customStyle="1" w:styleId="CommentTextChar">
    <w:name w:val="Comment Text Char"/>
    <w:basedOn w:val="DefaultParagraphFont"/>
    <w:link w:val="CommentText"/>
    <w:uiPriority w:val="99"/>
    <w:semiHidden/>
    <w:rsid w:val="00F25FBC"/>
    <w:rPr>
      <w:sz w:val="20"/>
      <w:szCs w:val="20"/>
    </w:rPr>
  </w:style>
  <w:style w:type="paragraph" w:styleId="CommentSubject">
    <w:name w:val="annotation subject"/>
    <w:basedOn w:val="CommentText"/>
    <w:next w:val="CommentText"/>
    <w:link w:val="CommentSubjectChar"/>
    <w:uiPriority w:val="99"/>
    <w:semiHidden/>
    <w:unhideWhenUsed/>
    <w:rsid w:val="00F25FBC"/>
    <w:rPr>
      <w:b/>
      <w:bCs/>
    </w:rPr>
  </w:style>
  <w:style w:type="character" w:customStyle="1" w:styleId="CommentSubjectChar">
    <w:name w:val="Comment Subject Char"/>
    <w:basedOn w:val="CommentTextChar"/>
    <w:link w:val="CommentSubject"/>
    <w:uiPriority w:val="99"/>
    <w:semiHidden/>
    <w:rsid w:val="00F25FBC"/>
    <w:rPr>
      <w:b/>
      <w:bCs/>
      <w:sz w:val="20"/>
      <w:szCs w:val="20"/>
    </w:rPr>
  </w:style>
  <w:style w:type="paragraph" w:styleId="NormalWeb">
    <w:name w:val="Normal (Web)"/>
    <w:basedOn w:val="Normal"/>
    <w:uiPriority w:val="99"/>
    <w:semiHidden/>
    <w:unhideWhenUsed/>
    <w:rsid w:val="006B582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BA6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AEE"/>
  </w:style>
  <w:style w:type="paragraph" w:styleId="Footer">
    <w:name w:val="footer"/>
    <w:basedOn w:val="Normal"/>
    <w:link w:val="FooterChar"/>
    <w:uiPriority w:val="99"/>
    <w:unhideWhenUsed/>
    <w:rsid w:val="00BA6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20628">
      <w:bodyDiv w:val="1"/>
      <w:marLeft w:val="0"/>
      <w:marRight w:val="0"/>
      <w:marTop w:val="0"/>
      <w:marBottom w:val="0"/>
      <w:divBdr>
        <w:top w:val="none" w:sz="0" w:space="0" w:color="auto"/>
        <w:left w:val="none" w:sz="0" w:space="0" w:color="auto"/>
        <w:bottom w:val="none" w:sz="0" w:space="0" w:color="auto"/>
        <w:right w:val="none" w:sz="0" w:space="0" w:color="auto"/>
      </w:divBdr>
    </w:div>
    <w:div w:id="231350513">
      <w:bodyDiv w:val="1"/>
      <w:marLeft w:val="0"/>
      <w:marRight w:val="0"/>
      <w:marTop w:val="0"/>
      <w:marBottom w:val="0"/>
      <w:divBdr>
        <w:top w:val="none" w:sz="0" w:space="0" w:color="auto"/>
        <w:left w:val="none" w:sz="0" w:space="0" w:color="auto"/>
        <w:bottom w:val="none" w:sz="0" w:space="0" w:color="auto"/>
        <w:right w:val="none" w:sz="0" w:space="0" w:color="auto"/>
      </w:divBdr>
    </w:div>
    <w:div w:id="672803115">
      <w:bodyDiv w:val="1"/>
      <w:marLeft w:val="0"/>
      <w:marRight w:val="0"/>
      <w:marTop w:val="0"/>
      <w:marBottom w:val="0"/>
      <w:divBdr>
        <w:top w:val="none" w:sz="0" w:space="0" w:color="auto"/>
        <w:left w:val="none" w:sz="0" w:space="0" w:color="auto"/>
        <w:bottom w:val="none" w:sz="0" w:space="0" w:color="auto"/>
        <w:right w:val="none" w:sz="0" w:space="0" w:color="auto"/>
      </w:divBdr>
    </w:div>
    <w:div w:id="833452835">
      <w:bodyDiv w:val="1"/>
      <w:marLeft w:val="0"/>
      <w:marRight w:val="0"/>
      <w:marTop w:val="0"/>
      <w:marBottom w:val="0"/>
      <w:divBdr>
        <w:top w:val="none" w:sz="0" w:space="0" w:color="auto"/>
        <w:left w:val="none" w:sz="0" w:space="0" w:color="auto"/>
        <w:bottom w:val="none" w:sz="0" w:space="0" w:color="auto"/>
        <w:right w:val="none" w:sz="0" w:space="0" w:color="auto"/>
      </w:divBdr>
    </w:div>
    <w:div w:id="991980477">
      <w:bodyDiv w:val="1"/>
      <w:marLeft w:val="0"/>
      <w:marRight w:val="0"/>
      <w:marTop w:val="0"/>
      <w:marBottom w:val="0"/>
      <w:divBdr>
        <w:top w:val="none" w:sz="0" w:space="0" w:color="auto"/>
        <w:left w:val="none" w:sz="0" w:space="0" w:color="auto"/>
        <w:bottom w:val="none" w:sz="0" w:space="0" w:color="auto"/>
        <w:right w:val="none" w:sz="0" w:space="0" w:color="auto"/>
      </w:divBdr>
    </w:div>
    <w:div w:id="164562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5201</Characters>
  <Application>Microsoft Office Word</Application>
  <DocSecurity>0</DocSecurity>
  <Lines>43</Lines>
  <Paragraphs>12</Paragraphs>
  <ScaleCrop>false</ScaleCrop>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2022-11-07T02:51:00Z</dcterms:created>
  <dcterms:modified xsi:type="dcterms:W3CDTF">2022-11-07T02:51:00Z</dcterms:modified>
</cp:coreProperties>
</file>