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1934"/>
        <w:gridCol w:w="2694"/>
        <w:gridCol w:w="1703"/>
        <w:gridCol w:w="6603"/>
      </w:tblGrid>
      <w:tr w:rsidR="00DE5E85" w:rsidRPr="00687774" w14:paraId="2F780D8A" w14:textId="77777777" w:rsidTr="00180894">
        <w:trPr>
          <w:tblHeader/>
        </w:trPr>
        <w:tc>
          <w:tcPr>
            <w:tcW w:w="861" w:type="pct"/>
            <w:tcBorders>
              <w:bottom w:val="single" w:sz="4" w:space="0" w:color="auto"/>
            </w:tcBorders>
            <w:shd w:val="clear" w:color="auto" w:fill="auto"/>
            <w:tcMar>
              <w:top w:w="28" w:type="dxa"/>
              <w:bottom w:w="28" w:type="dxa"/>
            </w:tcMar>
            <w:vAlign w:val="center"/>
          </w:tcPr>
          <w:p w14:paraId="58BB41E5" w14:textId="46F847AB" w:rsidR="00DE5E85" w:rsidRPr="003E3EC0" w:rsidRDefault="00DE5E85" w:rsidP="00180894">
            <w:pPr>
              <w:widowControl w:val="0"/>
              <w:ind w:right="-106"/>
              <w:rPr>
                <w:rFonts w:ascii="Arial" w:hAnsi="Arial" w:cs="Arial"/>
                <w:b/>
                <w:sz w:val="18"/>
                <w:szCs w:val="18"/>
              </w:rPr>
            </w:pPr>
            <w:r w:rsidRPr="003E3EC0">
              <w:rPr>
                <w:rFonts w:ascii="Arial" w:hAnsi="Arial" w:cs="Arial"/>
                <w:b/>
                <w:sz w:val="18"/>
                <w:szCs w:val="18"/>
              </w:rPr>
              <w:t>DRUG NAME, FORM(S), STRENGTH(S), SPONSOR, TYPE OF SUBMISSION</w:t>
            </w:r>
          </w:p>
        </w:tc>
        <w:tc>
          <w:tcPr>
            <w:tcW w:w="619" w:type="pct"/>
            <w:tcBorders>
              <w:bottom w:val="single" w:sz="4" w:space="0" w:color="auto"/>
            </w:tcBorders>
            <w:shd w:val="clear" w:color="auto" w:fill="auto"/>
            <w:tcMar>
              <w:top w:w="28" w:type="dxa"/>
              <w:bottom w:w="28" w:type="dxa"/>
            </w:tcMar>
            <w:vAlign w:val="center"/>
          </w:tcPr>
          <w:p w14:paraId="64FD3362" w14:textId="0B4E1070" w:rsidR="00DE5E85" w:rsidRPr="003E3EC0" w:rsidRDefault="00DE5E85" w:rsidP="00874475">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tc>
        <w:tc>
          <w:tcPr>
            <w:tcW w:w="862" w:type="pct"/>
            <w:tcBorders>
              <w:bottom w:val="single" w:sz="4" w:space="0" w:color="auto"/>
            </w:tcBorders>
            <w:shd w:val="clear" w:color="auto" w:fill="auto"/>
            <w:tcMar>
              <w:top w:w="28" w:type="dxa"/>
              <w:bottom w:w="28" w:type="dxa"/>
            </w:tcMar>
            <w:vAlign w:val="center"/>
          </w:tcPr>
          <w:p w14:paraId="60A9336E" w14:textId="77777777" w:rsidR="00DE5E85" w:rsidRPr="003E3EC0" w:rsidRDefault="00DE5E85" w:rsidP="00874475">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58" w:type="pct"/>
            <w:gridSpan w:val="2"/>
            <w:tcBorders>
              <w:bottom w:val="single" w:sz="4" w:space="0" w:color="auto"/>
            </w:tcBorders>
            <w:shd w:val="clear" w:color="auto" w:fill="auto"/>
            <w:vAlign w:val="center"/>
          </w:tcPr>
          <w:p w14:paraId="5626F454" w14:textId="5D0E1C48" w:rsidR="00DE5E85" w:rsidRPr="003E3EC0" w:rsidRDefault="00DE5E85" w:rsidP="00874475">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FF3385" w:rsidRPr="00687774" w14:paraId="2319D5D6" w14:textId="77777777" w:rsidTr="00205445">
        <w:trPr>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38F3D2AD" w14:textId="77777777" w:rsidR="00041F97" w:rsidRPr="00041F97" w:rsidRDefault="00041F97" w:rsidP="00FF3385">
            <w:pPr>
              <w:rPr>
                <w:rFonts w:ascii="Arial" w:hAnsi="Arial" w:cs="Arial"/>
                <w:sz w:val="18"/>
                <w:szCs w:val="18"/>
              </w:rPr>
            </w:pPr>
            <w:r w:rsidRPr="00041F97">
              <w:rPr>
                <w:rFonts w:ascii="Arial" w:hAnsi="Arial" w:cs="Arial"/>
                <w:sz w:val="18"/>
                <w:szCs w:val="18"/>
              </w:rPr>
              <w:t xml:space="preserve">AZACITIDINE </w:t>
            </w:r>
          </w:p>
          <w:p w14:paraId="240DA1E1" w14:textId="77777777" w:rsidR="00041F97" w:rsidRPr="00041F97" w:rsidRDefault="00041F97" w:rsidP="00FF3385">
            <w:pPr>
              <w:rPr>
                <w:rFonts w:ascii="Arial" w:hAnsi="Arial" w:cs="Arial"/>
                <w:sz w:val="18"/>
                <w:szCs w:val="18"/>
              </w:rPr>
            </w:pPr>
          </w:p>
          <w:p w14:paraId="1DB9C88A" w14:textId="7B4F160B" w:rsidR="00041F97" w:rsidRPr="00041F97" w:rsidRDefault="00041F97" w:rsidP="00FF3385">
            <w:pPr>
              <w:rPr>
                <w:rFonts w:ascii="Arial" w:hAnsi="Arial" w:cs="Arial"/>
                <w:sz w:val="18"/>
                <w:szCs w:val="18"/>
              </w:rPr>
            </w:pPr>
            <w:r w:rsidRPr="00041F97">
              <w:rPr>
                <w:rFonts w:ascii="Arial" w:hAnsi="Arial" w:cs="Arial"/>
                <w:sz w:val="18"/>
                <w:szCs w:val="18"/>
              </w:rPr>
              <w:t xml:space="preserve">Tablet 200 mg </w:t>
            </w:r>
          </w:p>
          <w:p w14:paraId="5D4A4D4E" w14:textId="77777777" w:rsidR="00041F97" w:rsidRPr="00041F97" w:rsidRDefault="00041F97" w:rsidP="00FF3385">
            <w:pPr>
              <w:rPr>
                <w:rFonts w:ascii="Arial" w:hAnsi="Arial" w:cs="Arial"/>
                <w:sz w:val="18"/>
                <w:szCs w:val="18"/>
              </w:rPr>
            </w:pPr>
            <w:r w:rsidRPr="00041F97">
              <w:rPr>
                <w:rFonts w:ascii="Arial" w:hAnsi="Arial" w:cs="Arial"/>
                <w:sz w:val="18"/>
                <w:szCs w:val="18"/>
              </w:rPr>
              <w:t xml:space="preserve">Tablet 300 mg </w:t>
            </w:r>
          </w:p>
          <w:p w14:paraId="26EDCCE6" w14:textId="77777777" w:rsidR="00041F97" w:rsidRPr="00041F97" w:rsidRDefault="00041F97" w:rsidP="00FF3385">
            <w:pPr>
              <w:rPr>
                <w:rFonts w:ascii="Arial" w:hAnsi="Arial" w:cs="Arial"/>
                <w:sz w:val="18"/>
                <w:szCs w:val="18"/>
              </w:rPr>
            </w:pPr>
          </w:p>
          <w:p w14:paraId="518D3C70" w14:textId="77777777" w:rsidR="00041F97" w:rsidRPr="00041F97" w:rsidRDefault="00041F97" w:rsidP="00FF3385">
            <w:pPr>
              <w:rPr>
                <w:rFonts w:ascii="Arial" w:hAnsi="Arial" w:cs="Arial"/>
                <w:sz w:val="18"/>
                <w:szCs w:val="18"/>
              </w:rPr>
            </w:pPr>
            <w:proofErr w:type="spellStart"/>
            <w:r w:rsidRPr="00041F97">
              <w:rPr>
                <w:rFonts w:ascii="Arial" w:hAnsi="Arial" w:cs="Arial"/>
                <w:sz w:val="18"/>
                <w:szCs w:val="18"/>
              </w:rPr>
              <w:t>Onureg</w:t>
            </w:r>
            <w:proofErr w:type="spellEnd"/>
            <w:r w:rsidRPr="00041F97">
              <w:rPr>
                <w:rFonts w:ascii="Arial" w:hAnsi="Arial" w:cs="Arial"/>
                <w:sz w:val="18"/>
                <w:szCs w:val="18"/>
              </w:rPr>
              <w:t xml:space="preserve">® </w:t>
            </w:r>
          </w:p>
          <w:p w14:paraId="6CA53CC3" w14:textId="77777777" w:rsidR="00041F97" w:rsidRPr="00041F97" w:rsidRDefault="00041F97" w:rsidP="00FF3385">
            <w:pPr>
              <w:rPr>
                <w:rFonts w:ascii="Arial" w:hAnsi="Arial" w:cs="Arial"/>
                <w:sz w:val="18"/>
                <w:szCs w:val="18"/>
              </w:rPr>
            </w:pPr>
          </w:p>
          <w:p w14:paraId="4D2845A3" w14:textId="77777777" w:rsidR="00041F97" w:rsidRPr="00041F97" w:rsidRDefault="00041F97" w:rsidP="00FF3385">
            <w:pPr>
              <w:rPr>
                <w:rFonts w:ascii="Arial" w:hAnsi="Arial" w:cs="Arial"/>
                <w:sz w:val="18"/>
                <w:szCs w:val="18"/>
              </w:rPr>
            </w:pPr>
            <w:r w:rsidRPr="00041F97">
              <w:rPr>
                <w:rFonts w:ascii="Arial" w:hAnsi="Arial" w:cs="Arial"/>
                <w:sz w:val="18"/>
                <w:szCs w:val="18"/>
              </w:rPr>
              <w:t xml:space="preserve">Celgene Pty Limited </w:t>
            </w:r>
          </w:p>
          <w:p w14:paraId="4E19DB92" w14:textId="77777777" w:rsidR="00041F97" w:rsidRPr="00041F97" w:rsidRDefault="00041F97" w:rsidP="00FF3385">
            <w:pPr>
              <w:rPr>
                <w:rFonts w:ascii="Arial" w:hAnsi="Arial" w:cs="Arial"/>
                <w:sz w:val="18"/>
                <w:szCs w:val="18"/>
              </w:rPr>
            </w:pPr>
          </w:p>
          <w:p w14:paraId="60E4EE30" w14:textId="1D046EC2" w:rsidR="00FF3385" w:rsidRPr="00062335" w:rsidRDefault="00041F97" w:rsidP="00FF3385">
            <w:pPr>
              <w:rPr>
                <w:rFonts w:ascii="Arial" w:hAnsi="Arial" w:cs="Arial"/>
                <w:sz w:val="18"/>
                <w:szCs w:val="18"/>
              </w:rPr>
            </w:pPr>
            <w:r w:rsidRPr="00041F97">
              <w:rPr>
                <w:rFonts w:ascii="Arial" w:hAnsi="Arial" w:cs="Arial"/>
                <w:sz w:val="18"/>
                <w:szCs w:val="18"/>
              </w:rPr>
              <w:t>(New PBS listing)</w:t>
            </w:r>
          </w:p>
        </w:tc>
        <w:tc>
          <w:tcPr>
            <w:tcW w:w="619" w:type="pct"/>
            <w:tcBorders>
              <w:top w:val="single" w:sz="4" w:space="0" w:color="auto"/>
              <w:left w:val="single" w:sz="4" w:space="0" w:color="auto"/>
              <w:right w:val="single" w:sz="4" w:space="0" w:color="auto"/>
            </w:tcBorders>
            <w:shd w:val="clear" w:color="auto" w:fill="auto"/>
            <w:vAlign w:val="center"/>
          </w:tcPr>
          <w:p w14:paraId="49929E59" w14:textId="56EDDC0B" w:rsidR="00FF3385" w:rsidRPr="00041F97" w:rsidRDefault="00041F97" w:rsidP="00180894">
            <w:pPr>
              <w:widowControl w:val="0"/>
              <w:jc w:val="center"/>
              <w:rPr>
                <w:rFonts w:ascii="Arial" w:hAnsi="Arial" w:cs="Arial"/>
                <w:sz w:val="18"/>
                <w:szCs w:val="18"/>
              </w:rPr>
            </w:pPr>
            <w:r w:rsidRPr="00041F97">
              <w:rPr>
                <w:rFonts w:ascii="Arial" w:hAnsi="Arial" w:cs="Arial"/>
                <w:sz w:val="18"/>
                <w:szCs w:val="18"/>
              </w:rPr>
              <w:t>Acute myeloid leukaemia</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18D1A04A" w14:textId="494D57AD" w:rsidR="00FF3385" w:rsidRPr="00FF3385" w:rsidRDefault="00041F97" w:rsidP="00041F97">
            <w:pPr>
              <w:rPr>
                <w:rFonts w:ascii="Arial" w:hAnsi="Arial" w:cs="Arial"/>
                <w:sz w:val="18"/>
                <w:szCs w:val="18"/>
              </w:rPr>
            </w:pPr>
            <w:r w:rsidRPr="00041F97">
              <w:rPr>
                <w:rFonts w:ascii="Arial" w:hAnsi="Arial" w:cs="Arial"/>
                <w:sz w:val="18"/>
                <w:szCs w:val="18"/>
              </w:rPr>
              <w:t>To request a General Schedule Authority Required</w:t>
            </w:r>
            <w:r>
              <w:rPr>
                <w:rFonts w:ascii="Arial" w:hAnsi="Arial" w:cs="Arial"/>
                <w:sz w:val="18"/>
                <w:szCs w:val="18"/>
              </w:rPr>
              <w:t xml:space="preserve"> </w:t>
            </w:r>
            <w:r w:rsidRPr="00041F97">
              <w:rPr>
                <w:rFonts w:ascii="Arial" w:hAnsi="Arial" w:cs="Arial"/>
                <w:sz w:val="18"/>
                <w:szCs w:val="18"/>
              </w:rPr>
              <w:t>(STREAMLINED) listing for</w:t>
            </w:r>
            <w:r>
              <w:rPr>
                <w:rFonts w:ascii="Arial" w:hAnsi="Arial" w:cs="Arial"/>
                <w:sz w:val="18"/>
                <w:szCs w:val="18"/>
              </w:rPr>
              <w:t xml:space="preserve"> </w:t>
            </w:r>
            <w:r w:rsidRPr="00041F97">
              <w:rPr>
                <w:rFonts w:ascii="Arial" w:hAnsi="Arial" w:cs="Arial"/>
                <w:sz w:val="18"/>
                <w:szCs w:val="18"/>
              </w:rPr>
              <w:t>maintenance therapy in certain</w:t>
            </w:r>
            <w:r>
              <w:rPr>
                <w:rFonts w:ascii="Arial" w:hAnsi="Arial" w:cs="Arial"/>
                <w:sz w:val="18"/>
                <w:szCs w:val="18"/>
              </w:rPr>
              <w:t xml:space="preserve"> </w:t>
            </w:r>
            <w:r w:rsidRPr="00041F97">
              <w:rPr>
                <w:rFonts w:ascii="Arial" w:hAnsi="Arial" w:cs="Arial"/>
                <w:sz w:val="18"/>
                <w:szCs w:val="18"/>
              </w:rPr>
              <w:t>patients with acute myeloid</w:t>
            </w:r>
            <w:r>
              <w:rPr>
                <w:rFonts w:ascii="Arial" w:hAnsi="Arial" w:cs="Arial"/>
                <w:sz w:val="18"/>
                <w:szCs w:val="18"/>
              </w:rPr>
              <w:t xml:space="preserve"> </w:t>
            </w:r>
            <w:r w:rsidRPr="00041F97">
              <w:rPr>
                <w:rFonts w:ascii="Arial" w:hAnsi="Arial" w:cs="Arial"/>
                <w:sz w:val="18"/>
                <w:szCs w:val="18"/>
              </w:rPr>
              <w:t>leukaemia who are not</w:t>
            </w:r>
            <w:r>
              <w:rPr>
                <w:rFonts w:ascii="Arial" w:hAnsi="Arial" w:cs="Arial"/>
                <w:sz w:val="18"/>
                <w:szCs w:val="18"/>
              </w:rPr>
              <w:t xml:space="preserve"> </w:t>
            </w:r>
            <w:r w:rsidRPr="00041F97">
              <w:rPr>
                <w:rFonts w:ascii="Arial" w:hAnsi="Arial" w:cs="Arial"/>
                <w:sz w:val="18"/>
                <w:szCs w:val="18"/>
              </w:rPr>
              <w:t xml:space="preserve">candidates for </w:t>
            </w:r>
            <w:r w:rsidR="00CA5CDB">
              <w:rPr>
                <w:rFonts w:ascii="Arial" w:hAnsi="Arial" w:cs="Arial"/>
                <w:sz w:val="18"/>
                <w:szCs w:val="18"/>
              </w:rPr>
              <w:t>(</w:t>
            </w:r>
            <w:r w:rsidRPr="00041F97">
              <w:rPr>
                <w:rFonts w:ascii="Arial" w:hAnsi="Arial" w:cs="Arial"/>
                <w:sz w:val="18"/>
                <w:szCs w:val="18"/>
              </w:rPr>
              <w:t>including those</w:t>
            </w:r>
            <w:r>
              <w:rPr>
                <w:rFonts w:ascii="Arial" w:hAnsi="Arial" w:cs="Arial"/>
                <w:sz w:val="18"/>
                <w:szCs w:val="18"/>
              </w:rPr>
              <w:t xml:space="preserve"> </w:t>
            </w:r>
            <w:r w:rsidRPr="00041F97">
              <w:rPr>
                <w:rFonts w:ascii="Arial" w:hAnsi="Arial" w:cs="Arial"/>
                <w:sz w:val="18"/>
                <w:szCs w:val="18"/>
              </w:rPr>
              <w:t>who choose not to proceed to</w:t>
            </w:r>
            <w:r w:rsidR="00CA5CDB">
              <w:rPr>
                <w:rFonts w:ascii="Arial" w:hAnsi="Arial" w:cs="Arial"/>
                <w:sz w:val="18"/>
                <w:szCs w:val="18"/>
              </w:rPr>
              <w:t>)</w:t>
            </w:r>
            <w:r>
              <w:rPr>
                <w:rFonts w:ascii="Arial" w:hAnsi="Arial" w:cs="Arial"/>
                <w:sz w:val="18"/>
                <w:szCs w:val="18"/>
              </w:rPr>
              <w:t xml:space="preserve"> </w:t>
            </w:r>
            <w:r w:rsidRPr="00041F97">
              <w:rPr>
                <w:rFonts w:ascii="Arial" w:hAnsi="Arial" w:cs="Arial"/>
                <w:sz w:val="18"/>
                <w:szCs w:val="18"/>
              </w:rPr>
              <w:t>haematopoietic</w:t>
            </w:r>
            <w:r>
              <w:rPr>
                <w:rFonts w:ascii="Arial" w:hAnsi="Arial" w:cs="Arial"/>
                <w:sz w:val="18"/>
                <w:szCs w:val="18"/>
              </w:rPr>
              <w:t xml:space="preserve"> </w:t>
            </w:r>
            <w:r w:rsidRPr="00041F97">
              <w:rPr>
                <w:rFonts w:ascii="Arial" w:hAnsi="Arial" w:cs="Arial"/>
                <w:sz w:val="18"/>
                <w:szCs w:val="18"/>
              </w:rPr>
              <w:t>stem cell transplantation.</w:t>
            </w:r>
          </w:p>
        </w:tc>
        <w:tc>
          <w:tcPr>
            <w:tcW w:w="545" w:type="pct"/>
            <w:tcBorders>
              <w:top w:val="single" w:sz="4" w:space="0" w:color="auto"/>
              <w:left w:val="single" w:sz="4" w:space="0" w:color="auto"/>
              <w:right w:val="single" w:sz="4" w:space="0" w:color="auto"/>
            </w:tcBorders>
            <w:shd w:val="clear" w:color="auto" w:fill="auto"/>
            <w:vAlign w:val="center"/>
          </w:tcPr>
          <w:p w14:paraId="3CFEF633" w14:textId="7D89FC9A" w:rsidR="00FF3385" w:rsidRDefault="00A25E80"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13" w:type="pct"/>
            <w:tcBorders>
              <w:top w:val="single" w:sz="4" w:space="0" w:color="auto"/>
            </w:tcBorders>
            <w:shd w:val="clear" w:color="auto" w:fill="auto"/>
            <w:vAlign w:val="center"/>
          </w:tcPr>
          <w:p w14:paraId="1C37C8AA" w14:textId="35F89883" w:rsidR="00FF3385" w:rsidRPr="00062335" w:rsidRDefault="00A25E80" w:rsidP="00635314">
            <w:pPr>
              <w:spacing w:after="120"/>
              <w:rPr>
                <w:rFonts w:ascii="Arial" w:hAnsi="Arial" w:cs="Arial"/>
                <w:color w:val="000000"/>
                <w:sz w:val="18"/>
                <w:szCs w:val="18"/>
              </w:rPr>
            </w:pPr>
            <w:r w:rsidRPr="00A25E80">
              <w:rPr>
                <w:rFonts w:ascii="Arial" w:hAnsi="Arial" w:cs="Arial"/>
                <w:color w:val="000000"/>
                <w:sz w:val="18"/>
                <w:szCs w:val="18"/>
              </w:rPr>
              <w:t xml:space="preserve">The PBAC recommended oral </w:t>
            </w:r>
            <w:proofErr w:type="spellStart"/>
            <w:r w:rsidRPr="00A25E80">
              <w:rPr>
                <w:rFonts w:ascii="Arial" w:hAnsi="Arial" w:cs="Arial"/>
                <w:color w:val="000000"/>
                <w:sz w:val="18"/>
                <w:szCs w:val="18"/>
              </w:rPr>
              <w:t>azacitidine</w:t>
            </w:r>
            <w:proofErr w:type="spellEnd"/>
            <w:r w:rsidRPr="00A25E80">
              <w:rPr>
                <w:rFonts w:ascii="Arial" w:hAnsi="Arial" w:cs="Arial"/>
                <w:color w:val="000000"/>
                <w:sz w:val="18"/>
                <w:szCs w:val="18"/>
              </w:rPr>
              <w:t xml:space="preserve"> as maintenance therapy in patients with acute myeloid leukaemia (AML) who achieve complete remission or complete remission with incomplete blood count recovery following induction chemotherapy with or without consolidation treatment, and who are not candidates for</w:t>
            </w:r>
            <w:r w:rsidR="00CA5CDB">
              <w:rPr>
                <w:rFonts w:ascii="Arial" w:hAnsi="Arial" w:cs="Arial"/>
                <w:color w:val="000000"/>
                <w:sz w:val="18"/>
                <w:szCs w:val="18"/>
              </w:rPr>
              <w:t xml:space="preserve"> (</w:t>
            </w:r>
            <w:r w:rsidRPr="00A25E80">
              <w:rPr>
                <w:rFonts w:ascii="Arial" w:hAnsi="Arial" w:cs="Arial"/>
                <w:color w:val="000000"/>
                <w:sz w:val="18"/>
                <w:szCs w:val="18"/>
              </w:rPr>
              <w:t>including those who choose not to proceed to</w:t>
            </w:r>
            <w:r w:rsidR="00CA5CDB">
              <w:rPr>
                <w:rFonts w:ascii="Arial" w:hAnsi="Arial" w:cs="Arial"/>
                <w:color w:val="000000"/>
                <w:sz w:val="18"/>
                <w:szCs w:val="18"/>
              </w:rPr>
              <w:t>)</w:t>
            </w:r>
            <w:r w:rsidRPr="00A25E80">
              <w:rPr>
                <w:rFonts w:ascii="Arial" w:hAnsi="Arial" w:cs="Arial"/>
                <w:color w:val="000000"/>
                <w:sz w:val="18"/>
                <w:szCs w:val="18"/>
              </w:rPr>
              <w:t xml:space="preserve"> haematopoietic stem cell transplantation. The PBAC was satisfied that oral </w:t>
            </w:r>
            <w:proofErr w:type="spellStart"/>
            <w:r w:rsidRPr="00A25E80">
              <w:rPr>
                <w:rFonts w:ascii="Arial" w:hAnsi="Arial" w:cs="Arial"/>
                <w:color w:val="000000"/>
                <w:sz w:val="18"/>
                <w:szCs w:val="18"/>
              </w:rPr>
              <w:t>azacitidine</w:t>
            </w:r>
            <w:proofErr w:type="spellEnd"/>
            <w:r w:rsidRPr="00A25E80">
              <w:rPr>
                <w:rFonts w:ascii="Arial" w:hAnsi="Arial" w:cs="Arial"/>
                <w:color w:val="000000"/>
                <w:sz w:val="18"/>
                <w:szCs w:val="18"/>
              </w:rPr>
              <w:t xml:space="preserve"> provides, for some patients, a significant improvement in efficacy including improved overall survival and relapse free survival. The PBAC considered that the resubmission’s changes to the economic model parameters adequately addressed its previous concerns and that oral </w:t>
            </w:r>
            <w:proofErr w:type="spellStart"/>
            <w:r w:rsidRPr="00A25E80">
              <w:rPr>
                <w:rFonts w:ascii="Arial" w:hAnsi="Arial" w:cs="Arial"/>
                <w:color w:val="000000"/>
                <w:sz w:val="18"/>
                <w:szCs w:val="18"/>
              </w:rPr>
              <w:t>azacitidine</w:t>
            </w:r>
            <w:proofErr w:type="spellEnd"/>
            <w:r w:rsidRPr="00A25E80">
              <w:rPr>
                <w:rFonts w:ascii="Arial" w:hAnsi="Arial" w:cs="Arial"/>
                <w:color w:val="000000"/>
                <w:sz w:val="18"/>
                <w:szCs w:val="18"/>
              </w:rPr>
              <w:t xml:space="preserve"> would be acceptably cost-effective at the price proposed in the resubmission. Further, the PBAC considered that the resubmission’s changes to the financial estimates were reasonable.</w:t>
            </w:r>
          </w:p>
        </w:tc>
      </w:tr>
      <w:tr w:rsidR="00F5188E" w:rsidRPr="00687774" w14:paraId="1787553E" w14:textId="77777777" w:rsidTr="00205445">
        <w:trPr>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2189B517" w14:textId="77777777" w:rsidR="00F5188E" w:rsidRPr="00F5188E" w:rsidRDefault="00F5188E" w:rsidP="00F5188E">
            <w:pPr>
              <w:rPr>
                <w:rFonts w:ascii="Arial" w:hAnsi="Arial" w:cs="Arial"/>
                <w:sz w:val="18"/>
                <w:szCs w:val="18"/>
              </w:rPr>
            </w:pPr>
            <w:r w:rsidRPr="00F5188E">
              <w:rPr>
                <w:rFonts w:ascii="Arial" w:hAnsi="Arial" w:cs="Arial"/>
                <w:sz w:val="18"/>
                <w:szCs w:val="18"/>
              </w:rPr>
              <w:t>CANNABIDIOL</w:t>
            </w:r>
          </w:p>
          <w:p w14:paraId="3A0F7C5D" w14:textId="77777777" w:rsidR="00F5188E" w:rsidRDefault="00F5188E" w:rsidP="00F5188E">
            <w:pPr>
              <w:rPr>
                <w:rFonts w:ascii="Arial" w:hAnsi="Arial" w:cs="Arial"/>
                <w:sz w:val="18"/>
                <w:szCs w:val="18"/>
              </w:rPr>
            </w:pPr>
          </w:p>
          <w:p w14:paraId="3AF4F6B7" w14:textId="73BE0B93" w:rsidR="00F5188E" w:rsidRPr="00F5188E" w:rsidRDefault="00F5188E" w:rsidP="00F5188E">
            <w:pPr>
              <w:rPr>
                <w:rFonts w:ascii="Arial" w:hAnsi="Arial" w:cs="Arial"/>
                <w:sz w:val="18"/>
                <w:szCs w:val="18"/>
              </w:rPr>
            </w:pPr>
            <w:r w:rsidRPr="00F5188E">
              <w:rPr>
                <w:rFonts w:ascii="Arial" w:hAnsi="Arial" w:cs="Arial"/>
                <w:sz w:val="18"/>
                <w:szCs w:val="18"/>
              </w:rPr>
              <w:t>Oral liquid 100 mg per mL, 100</w:t>
            </w:r>
            <w:r>
              <w:rPr>
                <w:rFonts w:ascii="Arial" w:hAnsi="Arial" w:cs="Arial"/>
                <w:sz w:val="18"/>
                <w:szCs w:val="18"/>
              </w:rPr>
              <w:t> </w:t>
            </w:r>
            <w:r w:rsidRPr="00F5188E">
              <w:rPr>
                <w:rFonts w:ascii="Arial" w:hAnsi="Arial" w:cs="Arial"/>
                <w:sz w:val="18"/>
                <w:szCs w:val="18"/>
              </w:rPr>
              <w:t>mL</w:t>
            </w:r>
          </w:p>
          <w:p w14:paraId="0AADD78C" w14:textId="77777777" w:rsidR="00F5188E" w:rsidRDefault="00F5188E" w:rsidP="00F5188E">
            <w:pPr>
              <w:rPr>
                <w:rFonts w:ascii="Arial" w:hAnsi="Arial" w:cs="Arial"/>
                <w:sz w:val="18"/>
                <w:szCs w:val="18"/>
              </w:rPr>
            </w:pPr>
          </w:p>
          <w:p w14:paraId="62A9AFA2" w14:textId="0DDABD27" w:rsidR="00F5188E" w:rsidRPr="00F5188E" w:rsidRDefault="00F5188E" w:rsidP="00F5188E">
            <w:pPr>
              <w:rPr>
                <w:rFonts w:ascii="Arial" w:hAnsi="Arial" w:cs="Arial"/>
                <w:sz w:val="18"/>
                <w:szCs w:val="18"/>
              </w:rPr>
            </w:pPr>
            <w:proofErr w:type="spellStart"/>
            <w:r w:rsidRPr="00F5188E">
              <w:rPr>
                <w:rFonts w:ascii="Arial" w:hAnsi="Arial" w:cs="Arial"/>
                <w:sz w:val="18"/>
                <w:szCs w:val="18"/>
              </w:rPr>
              <w:t>Epidyolex</w:t>
            </w:r>
            <w:proofErr w:type="spellEnd"/>
            <w:r>
              <w:rPr>
                <w:rFonts w:ascii="Arial" w:hAnsi="Arial" w:cs="Arial"/>
                <w:sz w:val="18"/>
                <w:szCs w:val="18"/>
              </w:rPr>
              <w:t>®</w:t>
            </w:r>
          </w:p>
          <w:p w14:paraId="1771704A" w14:textId="77777777" w:rsidR="00F5188E" w:rsidRDefault="00F5188E" w:rsidP="00F5188E">
            <w:pPr>
              <w:rPr>
                <w:rFonts w:ascii="Arial" w:hAnsi="Arial" w:cs="Arial"/>
                <w:sz w:val="18"/>
                <w:szCs w:val="18"/>
              </w:rPr>
            </w:pPr>
          </w:p>
          <w:p w14:paraId="22C3BBEF" w14:textId="4A32BC5F" w:rsidR="00F5188E" w:rsidRPr="00F5188E" w:rsidRDefault="00F5188E" w:rsidP="00F5188E">
            <w:pPr>
              <w:rPr>
                <w:rFonts w:ascii="Arial" w:hAnsi="Arial" w:cs="Arial"/>
                <w:sz w:val="18"/>
                <w:szCs w:val="18"/>
              </w:rPr>
            </w:pPr>
            <w:proofErr w:type="spellStart"/>
            <w:r w:rsidRPr="00F5188E">
              <w:rPr>
                <w:rFonts w:ascii="Arial" w:hAnsi="Arial" w:cs="Arial"/>
                <w:sz w:val="18"/>
                <w:szCs w:val="18"/>
              </w:rPr>
              <w:t>Chiesi</w:t>
            </w:r>
            <w:proofErr w:type="spellEnd"/>
            <w:r w:rsidRPr="00F5188E">
              <w:rPr>
                <w:rFonts w:ascii="Arial" w:hAnsi="Arial" w:cs="Arial"/>
                <w:sz w:val="18"/>
                <w:szCs w:val="18"/>
              </w:rPr>
              <w:t xml:space="preserve"> Australia Pty Ltd</w:t>
            </w:r>
          </w:p>
          <w:p w14:paraId="35C62734" w14:textId="77777777" w:rsidR="00F5188E" w:rsidRDefault="00F5188E" w:rsidP="00F5188E">
            <w:pPr>
              <w:rPr>
                <w:rFonts w:ascii="Arial" w:hAnsi="Arial" w:cs="Arial"/>
                <w:sz w:val="18"/>
                <w:szCs w:val="18"/>
              </w:rPr>
            </w:pPr>
          </w:p>
          <w:p w14:paraId="7363C3E8" w14:textId="77777777" w:rsidR="00F5188E" w:rsidRPr="00041F97" w:rsidRDefault="00F5188E" w:rsidP="00F5188E">
            <w:pPr>
              <w:rPr>
                <w:rFonts w:ascii="Arial" w:hAnsi="Arial" w:cs="Arial"/>
                <w:sz w:val="18"/>
                <w:szCs w:val="18"/>
              </w:rPr>
            </w:pPr>
            <w:r>
              <w:rPr>
                <w:rFonts w:ascii="Arial" w:hAnsi="Arial" w:cs="Arial"/>
                <w:sz w:val="18"/>
                <w:szCs w:val="18"/>
              </w:rPr>
              <w:t>(</w:t>
            </w:r>
            <w:r w:rsidRPr="00F5188E">
              <w:rPr>
                <w:rFonts w:ascii="Arial" w:hAnsi="Arial" w:cs="Arial"/>
                <w:sz w:val="18"/>
                <w:szCs w:val="18"/>
              </w:rPr>
              <w:t>Matters arising</w:t>
            </w:r>
            <w:r>
              <w:rPr>
                <w:rFonts w:ascii="Arial" w:hAnsi="Arial" w:cs="Arial"/>
                <w:sz w:val="18"/>
                <w:szCs w:val="18"/>
              </w:rPr>
              <w:t>)</w:t>
            </w:r>
          </w:p>
        </w:tc>
        <w:tc>
          <w:tcPr>
            <w:tcW w:w="619" w:type="pct"/>
            <w:tcBorders>
              <w:top w:val="single" w:sz="4" w:space="0" w:color="auto"/>
              <w:left w:val="single" w:sz="4" w:space="0" w:color="auto"/>
              <w:right w:val="single" w:sz="4" w:space="0" w:color="auto"/>
            </w:tcBorders>
            <w:shd w:val="clear" w:color="auto" w:fill="auto"/>
            <w:vAlign w:val="center"/>
          </w:tcPr>
          <w:p w14:paraId="555F92B7" w14:textId="18564221" w:rsidR="00F5188E" w:rsidRPr="00041F97" w:rsidRDefault="00F5188E" w:rsidP="00180894">
            <w:pPr>
              <w:widowControl w:val="0"/>
              <w:jc w:val="center"/>
              <w:rPr>
                <w:rFonts w:ascii="Arial" w:hAnsi="Arial" w:cs="Arial"/>
                <w:sz w:val="18"/>
                <w:szCs w:val="18"/>
              </w:rPr>
            </w:pPr>
            <w:r w:rsidRPr="00F5188E">
              <w:rPr>
                <w:rFonts w:ascii="Arial" w:hAnsi="Arial" w:cs="Arial"/>
                <w:sz w:val="18"/>
                <w:szCs w:val="18"/>
              </w:rPr>
              <w:t>Lennox-</w:t>
            </w:r>
            <w:proofErr w:type="spellStart"/>
            <w:r w:rsidRPr="00F5188E">
              <w:rPr>
                <w:rFonts w:ascii="Arial" w:hAnsi="Arial" w:cs="Arial"/>
                <w:sz w:val="18"/>
                <w:szCs w:val="18"/>
              </w:rPr>
              <w:t>Gastaut</w:t>
            </w:r>
            <w:proofErr w:type="spellEnd"/>
            <w:r w:rsidRPr="00F5188E">
              <w:rPr>
                <w:rFonts w:ascii="Arial" w:hAnsi="Arial" w:cs="Arial"/>
                <w:sz w:val="18"/>
                <w:szCs w:val="18"/>
              </w:rPr>
              <w:t xml:space="preserve"> syndrome</w:t>
            </w:r>
            <w:r w:rsidR="002E6781">
              <w:rPr>
                <w:rFonts w:ascii="Arial" w:hAnsi="Arial" w:cs="Arial"/>
                <w:sz w:val="18"/>
                <w:szCs w:val="18"/>
              </w:rPr>
              <w:t xml:space="preserve"> (LGS)</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4E8C6500" w14:textId="7DB83976" w:rsidR="00F5188E" w:rsidRPr="00041F97" w:rsidRDefault="00F5188E" w:rsidP="00041F97">
            <w:pPr>
              <w:rPr>
                <w:rFonts w:ascii="Arial" w:hAnsi="Arial" w:cs="Arial"/>
                <w:sz w:val="18"/>
                <w:szCs w:val="18"/>
              </w:rPr>
            </w:pPr>
            <w:r w:rsidRPr="00F5188E">
              <w:rPr>
                <w:rFonts w:ascii="Arial" w:hAnsi="Arial" w:cs="Arial"/>
                <w:sz w:val="18"/>
                <w:szCs w:val="18"/>
              </w:rPr>
              <w:t>Resubmission to request a General Schedule Authority Required listing for the adjunctive treatment of seizures in patients with LGS aged 2 years and older.</w:t>
            </w:r>
          </w:p>
        </w:tc>
        <w:tc>
          <w:tcPr>
            <w:tcW w:w="545" w:type="pct"/>
            <w:tcBorders>
              <w:top w:val="single" w:sz="4" w:space="0" w:color="auto"/>
              <w:left w:val="single" w:sz="4" w:space="0" w:color="auto"/>
              <w:right w:val="single" w:sz="4" w:space="0" w:color="auto"/>
            </w:tcBorders>
            <w:shd w:val="clear" w:color="auto" w:fill="auto"/>
            <w:vAlign w:val="center"/>
          </w:tcPr>
          <w:p w14:paraId="7B0B87C4" w14:textId="79BE708A" w:rsidR="00F5188E" w:rsidRDefault="002E6781"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13" w:type="pct"/>
            <w:tcBorders>
              <w:top w:val="single" w:sz="4" w:space="0" w:color="auto"/>
            </w:tcBorders>
            <w:shd w:val="clear" w:color="auto" w:fill="auto"/>
            <w:vAlign w:val="center"/>
          </w:tcPr>
          <w:p w14:paraId="04645115" w14:textId="16882C2C" w:rsidR="00F5188E" w:rsidRPr="00062335" w:rsidRDefault="002E6781" w:rsidP="00635314">
            <w:pPr>
              <w:spacing w:after="120"/>
              <w:rPr>
                <w:rFonts w:ascii="Arial" w:hAnsi="Arial" w:cs="Arial"/>
                <w:color w:val="000000"/>
                <w:sz w:val="18"/>
                <w:szCs w:val="18"/>
              </w:rPr>
            </w:pPr>
            <w:r w:rsidRPr="002E6781">
              <w:rPr>
                <w:rFonts w:ascii="Arial" w:hAnsi="Arial" w:cs="Arial"/>
                <w:color w:val="000000"/>
                <w:sz w:val="18"/>
                <w:szCs w:val="18"/>
              </w:rPr>
              <w:t xml:space="preserve">The PBAC recommended the listing of cannabidiol for the treatment of seizures associated with </w:t>
            </w:r>
            <w:r w:rsidR="002D2BCB">
              <w:rPr>
                <w:rFonts w:ascii="Arial" w:hAnsi="Arial" w:cs="Arial"/>
                <w:color w:val="000000"/>
                <w:sz w:val="18"/>
                <w:szCs w:val="18"/>
              </w:rPr>
              <w:t>LGS</w:t>
            </w:r>
            <w:r w:rsidRPr="002E6781">
              <w:rPr>
                <w:rFonts w:ascii="Arial" w:hAnsi="Arial" w:cs="Arial"/>
                <w:color w:val="000000"/>
                <w:sz w:val="18"/>
                <w:szCs w:val="18"/>
              </w:rPr>
              <w:t xml:space="preserve"> in patients who have not achieved adequate seizure control with at least two other anti-epileptic drugs. The PBAC considered the revised proposal for listing provided by the sponsor addressed its outstanding concerns regarding the cost</w:t>
            </w:r>
            <w:r w:rsidR="00CA5CDB">
              <w:rPr>
                <w:rFonts w:ascii="Arial" w:hAnsi="Arial" w:cs="Arial"/>
                <w:color w:val="000000"/>
                <w:sz w:val="18"/>
                <w:szCs w:val="18"/>
              </w:rPr>
              <w:t>-</w:t>
            </w:r>
            <w:r w:rsidRPr="002E6781">
              <w:rPr>
                <w:rFonts w:ascii="Arial" w:hAnsi="Arial" w:cs="Arial"/>
                <w:color w:val="000000"/>
                <w:sz w:val="18"/>
                <w:szCs w:val="18"/>
              </w:rPr>
              <w:t xml:space="preserve">effectiveness of cannabidiol.  </w:t>
            </w:r>
          </w:p>
        </w:tc>
      </w:tr>
      <w:tr w:rsidR="00062335" w:rsidRPr="00687774" w14:paraId="52581EF2" w14:textId="77777777" w:rsidTr="00A25E80">
        <w:trPr>
          <w:cantSplit/>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35BE1D6E" w14:textId="5C409932" w:rsidR="00041F97" w:rsidRPr="00041F97" w:rsidRDefault="00041F97" w:rsidP="00041F97">
            <w:pPr>
              <w:rPr>
                <w:rFonts w:ascii="Arial" w:hAnsi="Arial" w:cs="Arial"/>
                <w:sz w:val="18"/>
                <w:szCs w:val="18"/>
              </w:rPr>
            </w:pPr>
            <w:r w:rsidRPr="00041F97">
              <w:rPr>
                <w:rFonts w:ascii="Arial" w:hAnsi="Arial" w:cs="Arial"/>
                <w:sz w:val="18"/>
                <w:szCs w:val="18"/>
              </w:rPr>
              <w:lastRenderedPageBreak/>
              <w:t>QUADRIVALENT INFLUENZA</w:t>
            </w:r>
            <w:r>
              <w:rPr>
                <w:rFonts w:ascii="Arial" w:hAnsi="Arial" w:cs="Arial"/>
                <w:sz w:val="18"/>
                <w:szCs w:val="18"/>
              </w:rPr>
              <w:t xml:space="preserve"> </w:t>
            </w:r>
            <w:r w:rsidRPr="00041F97">
              <w:rPr>
                <w:rFonts w:ascii="Arial" w:hAnsi="Arial" w:cs="Arial"/>
                <w:sz w:val="18"/>
                <w:szCs w:val="18"/>
              </w:rPr>
              <w:t>VACCINE (SURFACE</w:t>
            </w:r>
            <w:r>
              <w:rPr>
                <w:rFonts w:ascii="Arial" w:hAnsi="Arial" w:cs="Arial"/>
                <w:sz w:val="18"/>
                <w:szCs w:val="18"/>
              </w:rPr>
              <w:t xml:space="preserve"> </w:t>
            </w:r>
            <w:r w:rsidRPr="00041F97">
              <w:rPr>
                <w:rFonts w:ascii="Arial" w:hAnsi="Arial" w:cs="Arial"/>
                <w:sz w:val="18"/>
                <w:szCs w:val="18"/>
              </w:rPr>
              <w:t>ANTIGEN, INACTIVATED,</w:t>
            </w:r>
            <w:r>
              <w:rPr>
                <w:rFonts w:ascii="Arial" w:hAnsi="Arial" w:cs="Arial"/>
                <w:sz w:val="18"/>
                <w:szCs w:val="18"/>
              </w:rPr>
              <w:t xml:space="preserve"> </w:t>
            </w:r>
            <w:r w:rsidRPr="00041F97">
              <w:rPr>
                <w:rFonts w:ascii="Arial" w:hAnsi="Arial" w:cs="Arial"/>
                <w:sz w:val="18"/>
                <w:szCs w:val="18"/>
              </w:rPr>
              <w:t xml:space="preserve">CELL-BASED) </w:t>
            </w:r>
          </w:p>
          <w:p w14:paraId="274C11EA" w14:textId="77777777" w:rsidR="00041F97" w:rsidRDefault="00041F97" w:rsidP="00041F97">
            <w:pPr>
              <w:rPr>
                <w:rFonts w:ascii="Arial" w:hAnsi="Arial" w:cs="Arial"/>
                <w:sz w:val="18"/>
                <w:szCs w:val="18"/>
              </w:rPr>
            </w:pPr>
          </w:p>
          <w:p w14:paraId="009DAA75" w14:textId="2706231B" w:rsidR="00041F97" w:rsidRPr="00041F97" w:rsidRDefault="00041F97" w:rsidP="00041F97">
            <w:pPr>
              <w:rPr>
                <w:rFonts w:ascii="Arial" w:hAnsi="Arial" w:cs="Arial"/>
                <w:sz w:val="18"/>
                <w:szCs w:val="18"/>
              </w:rPr>
            </w:pPr>
            <w:r w:rsidRPr="00041F97">
              <w:rPr>
                <w:rFonts w:ascii="Arial" w:hAnsi="Arial" w:cs="Arial"/>
                <w:sz w:val="18"/>
                <w:szCs w:val="18"/>
              </w:rPr>
              <w:t>Injection 15 microgram in 0.5</w:t>
            </w:r>
            <w:r>
              <w:rPr>
                <w:rFonts w:ascii="Arial" w:hAnsi="Arial" w:cs="Arial"/>
                <w:sz w:val="18"/>
                <w:szCs w:val="18"/>
              </w:rPr>
              <w:t> </w:t>
            </w:r>
            <w:r w:rsidRPr="00041F97">
              <w:rPr>
                <w:rFonts w:ascii="Arial" w:hAnsi="Arial" w:cs="Arial"/>
                <w:sz w:val="18"/>
                <w:szCs w:val="18"/>
              </w:rPr>
              <w:t xml:space="preserve">mL needle-free pre-filled syringe </w:t>
            </w:r>
          </w:p>
          <w:p w14:paraId="2BBD8687" w14:textId="18383D58" w:rsidR="00041F97" w:rsidRPr="00041F97" w:rsidRDefault="00041F97" w:rsidP="00041F97">
            <w:pPr>
              <w:rPr>
                <w:rFonts w:ascii="Arial" w:hAnsi="Arial" w:cs="Arial"/>
                <w:sz w:val="18"/>
                <w:szCs w:val="18"/>
              </w:rPr>
            </w:pPr>
            <w:r w:rsidRPr="00041F97">
              <w:rPr>
                <w:rFonts w:ascii="Arial" w:hAnsi="Arial" w:cs="Arial"/>
                <w:sz w:val="18"/>
                <w:szCs w:val="18"/>
              </w:rPr>
              <w:t>Injection 15 microgram in 0.5</w:t>
            </w:r>
            <w:r>
              <w:rPr>
                <w:rFonts w:ascii="Arial" w:hAnsi="Arial" w:cs="Arial"/>
                <w:sz w:val="18"/>
                <w:szCs w:val="18"/>
              </w:rPr>
              <w:t> </w:t>
            </w:r>
            <w:r w:rsidRPr="00041F97">
              <w:rPr>
                <w:rFonts w:ascii="Arial" w:hAnsi="Arial" w:cs="Arial"/>
                <w:sz w:val="18"/>
                <w:szCs w:val="18"/>
              </w:rPr>
              <w:t xml:space="preserve">mL pre-filled syringe with attached needle </w:t>
            </w:r>
          </w:p>
          <w:p w14:paraId="45E067D2" w14:textId="77777777" w:rsidR="00041F97" w:rsidRDefault="00041F97" w:rsidP="00041F97">
            <w:pPr>
              <w:rPr>
                <w:rFonts w:ascii="Arial" w:hAnsi="Arial" w:cs="Arial"/>
                <w:sz w:val="18"/>
                <w:szCs w:val="18"/>
              </w:rPr>
            </w:pPr>
          </w:p>
          <w:p w14:paraId="20DEBEC3" w14:textId="2C57F861" w:rsidR="00041F97" w:rsidRPr="00041F97" w:rsidRDefault="00041F97" w:rsidP="00041F97">
            <w:pPr>
              <w:rPr>
                <w:rFonts w:ascii="Arial" w:hAnsi="Arial" w:cs="Arial"/>
                <w:sz w:val="18"/>
                <w:szCs w:val="18"/>
              </w:rPr>
            </w:pPr>
            <w:r w:rsidRPr="00041F97">
              <w:rPr>
                <w:rFonts w:ascii="Arial" w:hAnsi="Arial" w:cs="Arial"/>
                <w:sz w:val="18"/>
                <w:szCs w:val="18"/>
              </w:rPr>
              <w:t xml:space="preserve">Flucelvax® Quad </w:t>
            </w:r>
          </w:p>
          <w:p w14:paraId="712EA5AD" w14:textId="77777777" w:rsidR="00041F97" w:rsidRDefault="00041F97" w:rsidP="00041F97">
            <w:pPr>
              <w:rPr>
                <w:rFonts w:ascii="Arial" w:hAnsi="Arial" w:cs="Arial"/>
                <w:sz w:val="18"/>
                <w:szCs w:val="18"/>
              </w:rPr>
            </w:pPr>
          </w:p>
          <w:p w14:paraId="1C4910E4" w14:textId="4CFBC12C" w:rsidR="00041F97" w:rsidRPr="00041F97" w:rsidRDefault="00041F97" w:rsidP="00041F97">
            <w:pPr>
              <w:rPr>
                <w:rFonts w:ascii="Arial" w:hAnsi="Arial" w:cs="Arial"/>
                <w:sz w:val="18"/>
                <w:szCs w:val="18"/>
              </w:rPr>
            </w:pPr>
            <w:r w:rsidRPr="00041F97">
              <w:rPr>
                <w:rFonts w:ascii="Arial" w:hAnsi="Arial" w:cs="Arial"/>
                <w:sz w:val="18"/>
                <w:szCs w:val="18"/>
              </w:rPr>
              <w:t xml:space="preserve">Seqirus (Australia) Pty Ltd </w:t>
            </w:r>
          </w:p>
          <w:p w14:paraId="2325A045" w14:textId="77777777" w:rsidR="00041F97" w:rsidRDefault="00041F97" w:rsidP="00041F97">
            <w:pPr>
              <w:rPr>
                <w:rFonts w:ascii="Arial" w:hAnsi="Arial" w:cs="Arial"/>
                <w:sz w:val="18"/>
                <w:szCs w:val="18"/>
              </w:rPr>
            </w:pPr>
          </w:p>
          <w:p w14:paraId="6CA712DE" w14:textId="2596BEE2" w:rsidR="00062335" w:rsidRPr="00CE0FEB" w:rsidRDefault="00041F97" w:rsidP="00041F97">
            <w:pPr>
              <w:rPr>
                <w:rFonts w:ascii="Arial" w:hAnsi="Arial" w:cs="Arial"/>
                <w:sz w:val="18"/>
                <w:szCs w:val="18"/>
              </w:rPr>
            </w:pPr>
            <w:r w:rsidRPr="00041F97">
              <w:rPr>
                <w:rFonts w:ascii="Arial" w:hAnsi="Arial" w:cs="Arial"/>
                <w:sz w:val="18"/>
                <w:szCs w:val="18"/>
              </w:rPr>
              <w:t>(New listing)</w:t>
            </w:r>
          </w:p>
        </w:tc>
        <w:tc>
          <w:tcPr>
            <w:tcW w:w="619" w:type="pct"/>
            <w:tcBorders>
              <w:top w:val="single" w:sz="4" w:space="0" w:color="auto"/>
              <w:left w:val="single" w:sz="4" w:space="0" w:color="auto"/>
              <w:right w:val="single" w:sz="4" w:space="0" w:color="auto"/>
            </w:tcBorders>
            <w:shd w:val="clear" w:color="auto" w:fill="auto"/>
            <w:vAlign w:val="center"/>
          </w:tcPr>
          <w:p w14:paraId="608BB5E6" w14:textId="18F76951" w:rsidR="00062335" w:rsidRPr="00062335" w:rsidRDefault="00041F97" w:rsidP="00180894">
            <w:pPr>
              <w:widowControl w:val="0"/>
              <w:jc w:val="center"/>
              <w:rPr>
                <w:rFonts w:ascii="Arial" w:hAnsi="Arial" w:cs="Arial"/>
                <w:snapToGrid w:val="0"/>
                <w:sz w:val="18"/>
                <w:szCs w:val="18"/>
                <w:lang w:eastAsia="en-US"/>
              </w:rPr>
            </w:pPr>
            <w:r w:rsidRPr="00041F97">
              <w:rPr>
                <w:rFonts w:ascii="Arial" w:hAnsi="Arial" w:cs="Arial"/>
                <w:snapToGrid w:val="0"/>
                <w:sz w:val="18"/>
                <w:szCs w:val="18"/>
                <w:lang w:eastAsia="en-US"/>
              </w:rPr>
              <w:t>Prevention of</w:t>
            </w:r>
            <w:r>
              <w:rPr>
                <w:rFonts w:ascii="Arial" w:hAnsi="Arial" w:cs="Arial"/>
                <w:snapToGrid w:val="0"/>
                <w:sz w:val="18"/>
                <w:szCs w:val="18"/>
                <w:lang w:eastAsia="en-US"/>
              </w:rPr>
              <w:t xml:space="preserve"> </w:t>
            </w:r>
            <w:r w:rsidRPr="00041F97">
              <w:rPr>
                <w:rFonts w:ascii="Arial" w:hAnsi="Arial" w:cs="Arial"/>
                <w:snapToGrid w:val="0"/>
                <w:sz w:val="18"/>
                <w:szCs w:val="18"/>
                <w:lang w:eastAsia="en-US"/>
              </w:rPr>
              <w:t>influenza</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6ACE1E15" w14:textId="68CA80F9" w:rsidR="00062335" w:rsidRPr="00062335" w:rsidRDefault="00041F97" w:rsidP="00041F97">
            <w:pPr>
              <w:rPr>
                <w:rFonts w:ascii="Arial" w:hAnsi="Arial" w:cs="Arial"/>
                <w:snapToGrid w:val="0"/>
                <w:sz w:val="18"/>
                <w:szCs w:val="18"/>
                <w:lang w:eastAsia="en-US"/>
              </w:rPr>
            </w:pPr>
            <w:r w:rsidRPr="00041F97">
              <w:rPr>
                <w:rFonts w:ascii="Arial" w:hAnsi="Arial" w:cs="Arial"/>
                <w:snapToGrid w:val="0"/>
                <w:sz w:val="18"/>
                <w:szCs w:val="18"/>
                <w:lang w:eastAsia="en-US"/>
              </w:rPr>
              <w:t>To request National</w:t>
            </w:r>
            <w:r>
              <w:rPr>
                <w:rFonts w:ascii="Arial" w:hAnsi="Arial" w:cs="Arial"/>
                <w:snapToGrid w:val="0"/>
                <w:sz w:val="18"/>
                <w:szCs w:val="18"/>
                <w:lang w:eastAsia="en-US"/>
              </w:rPr>
              <w:t xml:space="preserve"> </w:t>
            </w:r>
            <w:r w:rsidRPr="00041F97">
              <w:rPr>
                <w:rFonts w:ascii="Arial" w:hAnsi="Arial" w:cs="Arial"/>
                <w:snapToGrid w:val="0"/>
                <w:sz w:val="18"/>
                <w:szCs w:val="18"/>
                <w:lang w:eastAsia="en-US"/>
              </w:rPr>
              <w:t>Immunisation Program listing</w:t>
            </w:r>
            <w:r>
              <w:rPr>
                <w:rFonts w:ascii="Arial" w:hAnsi="Arial" w:cs="Arial"/>
                <w:snapToGrid w:val="0"/>
                <w:sz w:val="18"/>
                <w:szCs w:val="18"/>
                <w:lang w:eastAsia="en-US"/>
              </w:rPr>
              <w:t xml:space="preserve"> </w:t>
            </w:r>
            <w:r w:rsidRPr="00041F97">
              <w:rPr>
                <w:rFonts w:ascii="Arial" w:hAnsi="Arial" w:cs="Arial"/>
                <w:snapToGrid w:val="0"/>
                <w:sz w:val="18"/>
                <w:szCs w:val="18"/>
                <w:lang w:eastAsia="en-US"/>
              </w:rPr>
              <w:t>for the</w:t>
            </w:r>
            <w:r>
              <w:rPr>
                <w:rFonts w:ascii="Arial" w:hAnsi="Arial" w:cs="Arial"/>
                <w:snapToGrid w:val="0"/>
                <w:sz w:val="18"/>
                <w:szCs w:val="18"/>
                <w:lang w:eastAsia="en-US"/>
              </w:rPr>
              <w:t xml:space="preserve"> </w:t>
            </w:r>
            <w:r w:rsidRPr="00041F97">
              <w:rPr>
                <w:rFonts w:ascii="Arial" w:hAnsi="Arial" w:cs="Arial"/>
                <w:snapToGrid w:val="0"/>
                <w:sz w:val="18"/>
                <w:szCs w:val="18"/>
                <w:lang w:eastAsia="en-US"/>
              </w:rPr>
              <w:t>prevention of influenza.</w:t>
            </w:r>
          </w:p>
        </w:tc>
        <w:tc>
          <w:tcPr>
            <w:tcW w:w="545" w:type="pct"/>
            <w:tcBorders>
              <w:top w:val="single" w:sz="4" w:space="0" w:color="auto"/>
              <w:left w:val="single" w:sz="4" w:space="0" w:color="auto"/>
              <w:right w:val="single" w:sz="4" w:space="0" w:color="auto"/>
            </w:tcBorders>
            <w:shd w:val="clear" w:color="auto" w:fill="auto"/>
            <w:vAlign w:val="center"/>
          </w:tcPr>
          <w:p w14:paraId="0064EA31" w14:textId="5FD1E69D" w:rsidR="00062335" w:rsidRDefault="002E6781"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13" w:type="pct"/>
            <w:tcBorders>
              <w:top w:val="single" w:sz="4" w:space="0" w:color="auto"/>
            </w:tcBorders>
            <w:shd w:val="clear" w:color="auto" w:fill="auto"/>
            <w:vAlign w:val="center"/>
          </w:tcPr>
          <w:p w14:paraId="3A791645" w14:textId="2CF79495" w:rsidR="00062335" w:rsidRPr="00CE0FEB" w:rsidRDefault="002E6781" w:rsidP="00635314">
            <w:pPr>
              <w:spacing w:after="120"/>
              <w:rPr>
                <w:rFonts w:ascii="Arial" w:hAnsi="Arial" w:cs="Arial"/>
                <w:color w:val="000000"/>
                <w:sz w:val="18"/>
                <w:szCs w:val="18"/>
              </w:rPr>
            </w:pPr>
            <w:bookmarkStart w:id="0" w:name="_Hlk116472039"/>
            <w:r w:rsidRPr="002E6781">
              <w:rPr>
                <w:rFonts w:ascii="Arial" w:hAnsi="Arial" w:cs="Arial"/>
                <w:color w:val="000000"/>
                <w:sz w:val="18"/>
                <w:szCs w:val="18"/>
              </w:rPr>
              <w:t>The PBAC recommended that quadrivalent influenza virus vaccine</w:t>
            </w:r>
            <w:r w:rsidR="00CA5CDB">
              <w:rPr>
                <w:rFonts w:ascii="Arial" w:hAnsi="Arial" w:cs="Arial"/>
                <w:color w:val="000000"/>
                <w:sz w:val="18"/>
                <w:szCs w:val="18"/>
              </w:rPr>
              <w:t xml:space="preserve">, </w:t>
            </w:r>
            <w:r w:rsidRPr="002E6781">
              <w:rPr>
                <w:rFonts w:ascii="Arial" w:hAnsi="Arial" w:cs="Arial"/>
                <w:color w:val="000000"/>
                <w:sz w:val="18"/>
                <w:szCs w:val="18"/>
              </w:rPr>
              <w:t xml:space="preserve">surface antigen, inactivated, </w:t>
            </w:r>
            <w:proofErr w:type="gramStart"/>
            <w:r w:rsidRPr="002E6781">
              <w:rPr>
                <w:rFonts w:ascii="Arial" w:hAnsi="Arial" w:cs="Arial"/>
                <w:color w:val="000000"/>
                <w:sz w:val="18"/>
                <w:szCs w:val="18"/>
              </w:rPr>
              <w:t>cell-based</w:t>
            </w:r>
            <w:proofErr w:type="gramEnd"/>
            <w:r w:rsidR="00CA5CDB">
              <w:rPr>
                <w:rFonts w:ascii="Arial" w:hAnsi="Arial" w:cs="Arial"/>
                <w:color w:val="000000"/>
                <w:sz w:val="18"/>
                <w:szCs w:val="18"/>
              </w:rPr>
              <w:t xml:space="preserve"> (</w:t>
            </w:r>
            <w:proofErr w:type="spellStart"/>
            <w:r w:rsidRPr="002E6781">
              <w:rPr>
                <w:rFonts w:ascii="Arial" w:hAnsi="Arial" w:cs="Arial"/>
                <w:color w:val="000000"/>
                <w:sz w:val="18"/>
                <w:szCs w:val="18"/>
              </w:rPr>
              <w:t>QIVc</w:t>
            </w:r>
            <w:proofErr w:type="spellEnd"/>
            <w:r w:rsidR="00B27F78">
              <w:rPr>
                <w:rFonts w:ascii="Arial" w:hAnsi="Arial" w:cs="Arial"/>
                <w:color w:val="000000"/>
                <w:sz w:val="18"/>
                <w:szCs w:val="18"/>
              </w:rPr>
              <w:t>)</w:t>
            </w:r>
            <w:r w:rsidRPr="002E6781">
              <w:rPr>
                <w:rFonts w:ascii="Arial" w:hAnsi="Arial" w:cs="Arial"/>
                <w:color w:val="000000"/>
                <w:sz w:val="18"/>
                <w:szCs w:val="18"/>
              </w:rPr>
              <w:t>, Flucelvax® Quad</w:t>
            </w:r>
            <w:r w:rsidR="00B27F78">
              <w:rPr>
                <w:rFonts w:ascii="Arial" w:hAnsi="Arial" w:cs="Arial"/>
                <w:color w:val="000000"/>
                <w:sz w:val="18"/>
                <w:szCs w:val="18"/>
              </w:rPr>
              <w:t>,</w:t>
            </w:r>
            <w:r w:rsidR="00B27F78" w:rsidRPr="002E6781">
              <w:rPr>
                <w:rFonts w:ascii="Arial" w:hAnsi="Arial" w:cs="Arial"/>
                <w:color w:val="000000"/>
                <w:sz w:val="18"/>
                <w:szCs w:val="18"/>
              </w:rPr>
              <w:t xml:space="preserve"> </w:t>
            </w:r>
            <w:r w:rsidRPr="002E6781">
              <w:rPr>
                <w:rFonts w:ascii="Arial" w:hAnsi="Arial" w:cs="Arial"/>
                <w:color w:val="000000"/>
                <w:sz w:val="18"/>
                <w:szCs w:val="18"/>
              </w:rPr>
              <w:t xml:space="preserve">be a designated vaccine for the purposes of the </w:t>
            </w:r>
            <w:r w:rsidRPr="00BF28E8">
              <w:rPr>
                <w:rFonts w:ascii="Arial" w:hAnsi="Arial" w:cs="Arial"/>
                <w:i/>
                <w:iCs/>
                <w:color w:val="000000"/>
                <w:sz w:val="18"/>
                <w:szCs w:val="18"/>
              </w:rPr>
              <w:t>National Health Act 1953</w:t>
            </w:r>
            <w:r w:rsidRPr="002E6781">
              <w:rPr>
                <w:rFonts w:ascii="Arial" w:hAnsi="Arial" w:cs="Arial"/>
                <w:color w:val="000000"/>
                <w:sz w:val="18"/>
                <w:szCs w:val="18"/>
              </w:rPr>
              <w:t>, for vaccination against influenza in Aboriginal and Torres Strait Islander people</w:t>
            </w:r>
            <w:r w:rsidR="001B0F06">
              <w:rPr>
                <w:rFonts w:ascii="Arial" w:hAnsi="Arial" w:cs="Arial"/>
                <w:color w:val="000000"/>
                <w:sz w:val="18"/>
                <w:szCs w:val="18"/>
              </w:rPr>
              <w:t>s</w:t>
            </w:r>
            <w:r w:rsidRPr="002E6781">
              <w:rPr>
                <w:rFonts w:ascii="Arial" w:hAnsi="Arial" w:cs="Arial"/>
                <w:color w:val="000000"/>
                <w:sz w:val="18"/>
                <w:szCs w:val="18"/>
              </w:rPr>
              <w:t xml:space="preserve"> aged ≥5 to &lt;65 years, people at increased risk of influenza disease complications aged ≥5</w:t>
            </w:r>
            <w:r w:rsidR="001B0F06">
              <w:rPr>
                <w:rFonts w:ascii="Arial" w:hAnsi="Arial" w:cs="Arial"/>
                <w:color w:val="000000"/>
                <w:sz w:val="18"/>
                <w:szCs w:val="18"/>
              </w:rPr>
              <w:t> </w:t>
            </w:r>
            <w:r w:rsidRPr="002E6781">
              <w:rPr>
                <w:rFonts w:ascii="Arial" w:hAnsi="Arial" w:cs="Arial"/>
                <w:color w:val="000000"/>
                <w:sz w:val="18"/>
                <w:szCs w:val="18"/>
              </w:rPr>
              <w:t xml:space="preserve">to &lt;65 years and pregnant women. The PBAC’s recommendation for listing was based on, among other matters, its assessment that the cost-effectiveness of </w:t>
            </w:r>
            <w:proofErr w:type="spellStart"/>
            <w:r w:rsidRPr="002E6781">
              <w:rPr>
                <w:rFonts w:ascii="Arial" w:hAnsi="Arial" w:cs="Arial"/>
                <w:color w:val="000000"/>
                <w:sz w:val="18"/>
                <w:szCs w:val="18"/>
              </w:rPr>
              <w:t>QIVc</w:t>
            </w:r>
            <w:proofErr w:type="spellEnd"/>
            <w:r w:rsidRPr="002E6781">
              <w:rPr>
                <w:rFonts w:ascii="Arial" w:hAnsi="Arial" w:cs="Arial"/>
                <w:color w:val="000000"/>
                <w:sz w:val="18"/>
                <w:szCs w:val="18"/>
              </w:rPr>
              <w:t xml:space="preserve"> would be acceptable with a small price premium compared to egg-based quadrivalent influenza virus vaccines and the acknowledgment of potential benefits associated with the diversification of vaccine manufacturing.</w:t>
            </w:r>
            <w:bookmarkEnd w:id="0"/>
          </w:p>
        </w:tc>
      </w:tr>
      <w:tr w:rsidR="00CE0FEB" w:rsidRPr="00687774" w14:paraId="5EFE2EDD" w14:textId="77777777" w:rsidTr="00205445">
        <w:trPr>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61931725" w14:textId="77777777" w:rsidR="00041F97" w:rsidRPr="00041F97" w:rsidRDefault="00041F97" w:rsidP="00041F97">
            <w:pPr>
              <w:rPr>
                <w:rFonts w:ascii="Arial" w:hAnsi="Arial" w:cs="Arial"/>
                <w:sz w:val="18"/>
                <w:szCs w:val="18"/>
              </w:rPr>
            </w:pPr>
            <w:r w:rsidRPr="00041F97">
              <w:rPr>
                <w:rFonts w:ascii="Arial" w:hAnsi="Arial" w:cs="Arial"/>
                <w:sz w:val="18"/>
                <w:szCs w:val="18"/>
              </w:rPr>
              <w:t>RUXOLITINIB</w:t>
            </w:r>
          </w:p>
          <w:p w14:paraId="3228731C" w14:textId="77777777" w:rsidR="00041F97" w:rsidRDefault="00041F97" w:rsidP="00041F97">
            <w:pPr>
              <w:rPr>
                <w:rFonts w:ascii="Arial" w:hAnsi="Arial" w:cs="Arial"/>
                <w:sz w:val="18"/>
                <w:szCs w:val="18"/>
              </w:rPr>
            </w:pPr>
          </w:p>
          <w:p w14:paraId="62EBE13F" w14:textId="7B84D691" w:rsidR="00041F97" w:rsidRPr="00041F97" w:rsidRDefault="00041F97" w:rsidP="00041F97">
            <w:pPr>
              <w:rPr>
                <w:rFonts w:ascii="Arial" w:hAnsi="Arial" w:cs="Arial"/>
                <w:sz w:val="18"/>
                <w:szCs w:val="18"/>
              </w:rPr>
            </w:pPr>
            <w:r w:rsidRPr="00041F97">
              <w:rPr>
                <w:rFonts w:ascii="Arial" w:hAnsi="Arial" w:cs="Arial"/>
                <w:sz w:val="18"/>
                <w:szCs w:val="18"/>
              </w:rPr>
              <w:t>Tablet 5 mg</w:t>
            </w:r>
          </w:p>
          <w:p w14:paraId="0E2D22EE" w14:textId="77777777" w:rsidR="00041F97" w:rsidRPr="00041F97" w:rsidRDefault="00041F97" w:rsidP="00041F97">
            <w:pPr>
              <w:rPr>
                <w:rFonts w:ascii="Arial" w:hAnsi="Arial" w:cs="Arial"/>
                <w:sz w:val="18"/>
                <w:szCs w:val="18"/>
              </w:rPr>
            </w:pPr>
            <w:r w:rsidRPr="00041F97">
              <w:rPr>
                <w:rFonts w:ascii="Arial" w:hAnsi="Arial" w:cs="Arial"/>
                <w:sz w:val="18"/>
                <w:szCs w:val="18"/>
              </w:rPr>
              <w:t>Tablet 10 mg</w:t>
            </w:r>
          </w:p>
          <w:p w14:paraId="029078B3" w14:textId="77777777" w:rsidR="00041F97" w:rsidRDefault="00041F97" w:rsidP="00041F97">
            <w:pPr>
              <w:rPr>
                <w:rFonts w:ascii="Arial" w:hAnsi="Arial" w:cs="Arial"/>
                <w:sz w:val="18"/>
                <w:szCs w:val="18"/>
              </w:rPr>
            </w:pPr>
          </w:p>
          <w:p w14:paraId="74A1AD4B" w14:textId="54D4CB84" w:rsidR="00041F97" w:rsidRPr="00041F97" w:rsidRDefault="00041F97" w:rsidP="00041F97">
            <w:pPr>
              <w:rPr>
                <w:rFonts w:ascii="Arial" w:hAnsi="Arial" w:cs="Arial"/>
                <w:sz w:val="18"/>
                <w:szCs w:val="18"/>
              </w:rPr>
            </w:pPr>
            <w:proofErr w:type="spellStart"/>
            <w:r w:rsidRPr="00041F97">
              <w:rPr>
                <w:rFonts w:ascii="Arial" w:hAnsi="Arial" w:cs="Arial"/>
                <w:sz w:val="18"/>
                <w:szCs w:val="18"/>
              </w:rPr>
              <w:t>Jakavi</w:t>
            </w:r>
            <w:proofErr w:type="spellEnd"/>
            <w:r w:rsidRPr="00041F97">
              <w:rPr>
                <w:rFonts w:ascii="Arial" w:hAnsi="Arial" w:cs="Arial"/>
                <w:sz w:val="18"/>
                <w:szCs w:val="18"/>
              </w:rPr>
              <w:t>®</w:t>
            </w:r>
          </w:p>
          <w:p w14:paraId="08D95E63" w14:textId="77777777" w:rsidR="00041F97" w:rsidRDefault="00041F97" w:rsidP="00041F97">
            <w:pPr>
              <w:rPr>
                <w:rFonts w:ascii="Arial" w:hAnsi="Arial" w:cs="Arial"/>
                <w:sz w:val="18"/>
                <w:szCs w:val="18"/>
              </w:rPr>
            </w:pPr>
          </w:p>
          <w:p w14:paraId="79821638" w14:textId="7B731429" w:rsidR="00041F97" w:rsidRPr="00041F97" w:rsidRDefault="00041F97" w:rsidP="00041F97">
            <w:pPr>
              <w:rPr>
                <w:rFonts w:ascii="Arial" w:hAnsi="Arial" w:cs="Arial"/>
                <w:sz w:val="18"/>
                <w:szCs w:val="18"/>
              </w:rPr>
            </w:pPr>
            <w:r w:rsidRPr="00041F97">
              <w:rPr>
                <w:rFonts w:ascii="Arial" w:hAnsi="Arial" w:cs="Arial"/>
                <w:sz w:val="18"/>
                <w:szCs w:val="18"/>
              </w:rPr>
              <w:t>Novartis Pharmaceuticals Australia Pty Limited</w:t>
            </w:r>
          </w:p>
          <w:p w14:paraId="1BE6B84F" w14:textId="77777777" w:rsidR="00041F97" w:rsidRDefault="00041F97" w:rsidP="00041F97">
            <w:pPr>
              <w:rPr>
                <w:rFonts w:ascii="Arial" w:hAnsi="Arial" w:cs="Arial"/>
                <w:sz w:val="18"/>
                <w:szCs w:val="18"/>
              </w:rPr>
            </w:pPr>
          </w:p>
          <w:p w14:paraId="6FFB32BA" w14:textId="1606BF54" w:rsidR="00CE0FEB" w:rsidRPr="003F0DE3" w:rsidRDefault="00041F97" w:rsidP="00041F97">
            <w:pPr>
              <w:rPr>
                <w:rFonts w:ascii="Arial" w:hAnsi="Arial" w:cs="Arial"/>
                <w:sz w:val="18"/>
                <w:szCs w:val="18"/>
              </w:rPr>
            </w:pPr>
            <w:r w:rsidRPr="00041F97">
              <w:rPr>
                <w:rFonts w:ascii="Arial" w:hAnsi="Arial" w:cs="Arial"/>
                <w:sz w:val="18"/>
                <w:szCs w:val="18"/>
              </w:rPr>
              <w:t>(Change to PBS listing)</w:t>
            </w:r>
          </w:p>
        </w:tc>
        <w:tc>
          <w:tcPr>
            <w:tcW w:w="619" w:type="pct"/>
            <w:tcBorders>
              <w:top w:val="single" w:sz="4" w:space="0" w:color="auto"/>
              <w:left w:val="single" w:sz="4" w:space="0" w:color="auto"/>
              <w:right w:val="single" w:sz="4" w:space="0" w:color="auto"/>
            </w:tcBorders>
            <w:shd w:val="clear" w:color="auto" w:fill="auto"/>
            <w:vAlign w:val="center"/>
          </w:tcPr>
          <w:p w14:paraId="12D602BC" w14:textId="612D6BA3" w:rsidR="00CE0FEB" w:rsidRPr="003F0DE3" w:rsidRDefault="00041F97" w:rsidP="00180894">
            <w:pPr>
              <w:widowControl w:val="0"/>
              <w:jc w:val="center"/>
              <w:rPr>
                <w:rFonts w:ascii="Arial" w:hAnsi="Arial" w:cs="Arial"/>
                <w:snapToGrid w:val="0"/>
                <w:sz w:val="18"/>
                <w:szCs w:val="18"/>
                <w:lang w:eastAsia="en-US"/>
              </w:rPr>
            </w:pPr>
            <w:r w:rsidRPr="00041F97">
              <w:rPr>
                <w:rFonts w:ascii="Arial" w:hAnsi="Arial" w:cs="Arial"/>
                <w:snapToGrid w:val="0"/>
                <w:sz w:val="18"/>
                <w:szCs w:val="18"/>
                <w:lang w:eastAsia="en-US"/>
              </w:rPr>
              <w:t>Graft versus host disease</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37338ED5" w14:textId="75CC3D60" w:rsidR="00CE0FEB" w:rsidRPr="00E27AB3" w:rsidRDefault="00E27AB3" w:rsidP="00041F97">
            <w:pPr>
              <w:rPr>
                <w:rFonts w:ascii="Arial" w:hAnsi="Arial" w:cs="Arial"/>
                <w:snapToGrid w:val="0"/>
                <w:sz w:val="18"/>
                <w:szCs w:val="18"/>
                <w:lang w:eastAsia="en-US"/>
              </w:rPr>
            </w:pPr>
            <w:r w:rsidRPr="00E27AB3">
              <w:rPr>
                <w:rFonts w:ascii="Arial" w:hAnsi="Arial" w:cs="Arial"/>
                <w:sz w:val="18"/>
                <w:szCs w:val="18"/>
              </w:rPr>
              <w:t>To request a General Schedule Authority Required (STREAMLINED) listing for the treatment of patients with moderate to severe chronic graft versus host disease (GVHD) who are refractory to, dependent on or intolerant of corticosteroids.</w:t>
            </w:r>
          </w:p>
        </w:tc>
        <w:tc>
          <w:tcPr>
            <w:tcW w:w="545" w:type="pct"/>
            <w:tcBorders>
              <w:top w:val="single" w:sz="4" w:space="0" w:color="auto"/>
              <w:left w:val="single" w:sz="4" w:space="0" w:color="auto"/>
              <w:right w:val="single" w:sz="4" w:space="0" w:color="auto"/>
            </w:tcBorders>
            <w:shd w:val="clear" w:color="auto" w:fill="auto"/>
            <w:vAlign w:val="center"/>
          </w:tcPr>
          <w:p w14:paraId="4FFB657C" w14:textId="3B16A57A" w:rsidR="00CE0FEB" w:rsidRDefault="00A25E80"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Not recommended</w:t>
            </w:r>
          </w:p>
        </w:tc>
        <w:tc>
          <w:tcPr>
            <w:tcW w:w="2113" w:type="pct"/>
            <w:tcBorders>
              <w:top w:val="single" w:sz="4" w:space="0" w:color="auto"/>
            </w:tcBorders>
            <w:shd w:val="clear" w:color="auto" w:fill="auto"/>
            <w:vAlign w:val="center"/>
          </w:tcPr>
          <w:p w14:paraId="6FAF0E1B" w14:textId="4C544237" w:rsidR="00CE0FEB" w:rsidRDefault="00A25E80" w:rsidP="00635314">
            <w:pPr>
              <w:spacing w:after="120"/>
              <w:rPr>
                <w:rFonts w:ascii="Arial" w:hAnsi="Arial" w:cs="Arial"/>
                <w:color w:val="000000"/>
                <w:sz w:val="18"/>
                <w:szCs w:val="18"/>
              </w:rPr>
            </w:pPr>
            <w:r w:rsidRPr="00A25E80">
              <w:rPr>
                <w:rFonts w:ascii="Arial" w:hAnsi="Arial" w:cs="Arial"/>
                <w:color w:val="000000"/>
                <w:sz w:val="18"/>
                <w:szCs w:val="18"/>
              </w:rPr>
              <w:t xml:space="preserve">The PBAC did not recommend </w:t>
            </w:r>
            <w:proofErr w:type="spellStart"/>
            <w:r w:rsidRPr="00A25E80">
              <w:rPr>
                <w:rFonts w:ascii="Arial" w:hAnsi="Arial" w:cs="Arial"/>
                <w:color w:val="000000"/>
                <w:sz w:val="18"/>
                <w:szCs w:val="18"/>
              </w:rPr>
              <w:t>ruxolitinib</w:t>
            </w:r>
            <w:proofErr w:type="spellEnd"/>
            <w:r w:rsidRPr="00A25E80">
              <w:rPr>
                <w:rFonts w:ascii="Arial" w:hAnsi="Arial" w:cs="Arial"/>
                <w:color w:val="000000"/>
                <w:sz w:val="18"/>
                <w:szCs w:val="18"/>
              </w:rPr>
              <w:t xml:space="preserve"> for the treatment of patients with chronic GVHD. The PBAC considered that the changes made in the resubmission did not sufficiently address the Committee’s previous advice regarding the requirements of a simple resubmission. Overall, the PBAC considered that </w:t>
            </w:r>
            <w:proofErr w:type="spellStart"/>
            <w:r w:rsidRPr="00A25E80">
              <w:rPr>
                <w:rFonts w:ascii="Arial" w:hAnsi="Arial" w:cs="Arial"/>
                <w:color w:val="000000"/>
                <w:sz w:val="18"/>
                <w:szCs w:val="18"/>
              </w:rPr>
              <w:t>ruxolitinib</w:t>
            </w:r>
            <w:proofErr w:type="spellEnd"/>
            <w:r w:rsidRPr="00A25E80">
              <w:rPr>
                <w:rFonts w:ascii="Arial" w:hAnsi="Arial" w:cs="Arial"/>
                <w:color w:val="000000"/>
                <w:sz w:val="18"/>
                <w:szCs w:val="18"/>
              </w:rPr>
              <w:t xml:space="preserve"> was not acceptably cost-effective at the price proposed</w:t>
            </w:r>
            <w:r w:rsidR="00CA5CDB">
              <w:rPr>
                <w:rFonts w:ascii="Arial" w:hAnsi="Arial" w:cs="Arial"/>
                <w:color w:val="000000"/>
                <w:sz w:val="18"/>
                <w:szCs w:val="18"/>
              </w:rPr>
              <w:t>,</w:t>
            </w:r>
            <w:r w:rsidRPr="00A25E80">
              <w:rPr>
                <w:rFonts w:ascii="Arial" w:hAnsi="Arial" w:cs="Arial"/>
                <w:color w:val="000000"/>
                <w:sz w:val="18"/>
                <w:szCs w:val="18"/>
              </w:rPr>
              <w:t xml:space="preserve"> noting that the economic model was not revised as requested</w:t>
            </w:r>
            <w:r w:rsidR="00BF28E8">
              <w:rPr>
                <w:rFonts w:ascii="Arial" w:hAnsi="Arial" w:cs="Arial"/>
                <w:color w:val="000000"/>
                <w:sz w:val="18"/>
                <w:szCs w:val="18"/>
              </w:rPr>
              <w:t>;</w:t>
            </w:r>
            <w:r w:rsidRPr="00A25E80">
              <w:rPr>
                <w:rFonts w:ascii="Arial" w:hAnsi="Arial" w:cs="Arial"/>
                <w:color w:val="000000"/>
                <w:sz w:val="18"/>
                <w:szCs w:val="18"/>
              </w:rPr>
              <w:t xml:space="preserve"> the financial implications were increased compared with the previous submission</w:t>
            </w:r>
            <w:r w:rsidR="00BF28E8">
              <w:rPr>
                <w:rFonts w:ascii="Arial" w:hAnsi="Arial" w:cs="Arial"/>
                <w:color w:val="000000"/>
                <w:sz w:val="18"/>
                <w:szCs w:val="18"/>
              </w:rPr>
              <w:t>;</w:t>
            </w:r>
            <w:r w:rsidRPr="00A25E80">
              <w:rPr>
                <w:rFonts w:ascii="Arial" w:hAnsi="Arial" w:cs="Arial"/>
                <w:color w:val="000000"/>
                <w:sz w:val="18"/>
                <w:szCs w:val="18"/>
              </w:rPr>
              <w:t xml:space="preserve"> and the proposed risk sharing arrangement (RSA) would not adequately manage the risk associated with the uncertain treatment duration.</w:t>
            </w:r>
          </w:p>
          <w:p w14:paraId="612AA80E" w14:textId="77777777" w:rsidR="00FB7190" w:rsidRDefault="00FB7190" w:rsidP="00635314">
            <w:pPr>
              <w:spacing w:after="120"/>
              <w:rPr>
                <w:rFonts w:ascii="Arial" w:hAnsi="Arial" w:cs="Arial"/>
                <w:color w:val="000000"/>
                <w:sz w:val="18"/>
                <w:szCs w:val="18"/>
                <w:u w:val="single"/>
              </w:rPr>
            </w:pPr>
            <w:r>
              <w:rPr>
                <w:rFonts w:ascii="Arial" w:hAnsi="Arial" w:cs="Arial"/>
                <w:color w:val="000000"/>
                <w:sz w:val="18"/>
                <w:szCs w:val="18"/>
                <w:u w:val="single"/>
              </w:rPr>
              <w:t>Sponsor Comment:</w:t>
            </w:r>
          </w:p>
          <w:p w14:paraId="7A71134B" w14:textId="6917EDD9" w:rsidR="00FB7190" w:rsidRPr="00821E91" w:rsidRDefault="00821E91" w:rsidP="00635314">
            <w:pPr>
              <w:spacing w:after="120"/>
              <w:rPr>
                <w:rFonts w:ascii="Arial" w:hAnsi="Arial" w:cs="Arial"/>
                <w:color w:val="000000"/>
                <w:sz w:val="18"/>
                <w:szCs w:val="18"/>
              </w:rPr>
            </w:pPr>
            <w:r w:rsidRPr="00821E91">
              <w:rPr>
                <w:rFonts w:ascii="Arial" w:hAnsi="Arial" w:cs="Arial"/>
                <w:color w:val="000000"/>
                <w:sz w:val="18"/>
                <w:szCs w:val="18"/>
              </w:rPr>
              <w:t xml:space="preserve">Novartis is disappointed that the PBAC did not recommend </w:t>
            </w:r>
            <w:proofErr w:type="spellStart"/>
            <w:r w:rsidRPr="00821E91">
              <w:rPr>
                <w:rFonts w:ascii="Arial" w:hAnsi="Arial" w:cs="Arial"/>
                <w:color w:val="000000"/>
                <w:sz w:val="18"/>
                <w:szCs w:val="18"/>
              </w:rPr>
              <w:t>ruxolitinib</w:t>
            </w:r>
            <w:proofErr w:type="spellEnd"/>
            <w:r w:rsidRPr="00821E91">
              <w:rPr>
                <w:rFonts w:ascii="Arial" w:hAnsi="Arial" w:cs="Arial"/>
                <w:color w:val="000000"/>
                <w:sz w:val="18"/>
                <w:szCs w:val="18"/>
              </w:rPr>
              <w:t xml:space="preserve"> for the treatment of chronic graft vs host disease. We will continue to work with the PBAC to resolve the outstanding issues.</w:t>
            </w:r>
          </w:p>
        </w:tc>
      </w:tr>
      <w:tr w:rsidR="003A08F1" w:rsidRPr="00687774" w14:paraId="60B5DD8F" w14:textId="77777777" w:rsidTr="000564EB">
        <w:trPr>
          <w:cantSplit/>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7058D61E" w14:textId="41B165A5" w:rsidR="00041F97" w:rsidRDefault="00041F97" w:rsidP="00041F97">
            <w:pPr>
              <w:rPr>
                <w:rFonts w:ascii="Arial" w:hAnsi="Arial" w:cs="Arial"/>
                <w:sz w:val="18"/>
                <w:szCs w:val="18"/>
              </w:rPr>
            </w:pPr>
            <w:r w:rsidRPr="00041F97">
              <w:rPr>
                <w:rFonts w:ascii="Arial" w:hAnsi="Arial" w:cs="Arial"/>
                <w:sz w:val="18"/>
                <w:szCs w:val="18"/>
              </w:rPr>
              <w:lastRenderedPageBreak/>
              <w:t>TIXAGEVIMAB AND CILGAVIMAB</w:t>
            </w:r>
          </w:p>
          <w:p w14:paraId="4D955497" w14:textId="77777777" w:rsidR="00F5188E" w:rsidRDefault="00F5188E" w:rsidP="00041F97">
            <w:pPr>
              <w:rPr>
                <w:rFonts w:ascii="Arial" w:hAnsi="Arial" w:cs="Arial"/>
                <w:sz w:val="18"/>
                <w:szCs w:val="18"/>
              </w:rPr>
            </w:pPr>
          </w:p>
          <w:p w14:paraId="126773A1" w14:textId="0348A76D" w:rsidR="00041F97" w:rsidRPr="00041F97" w:rsidRDefault="00041F97" w:rsidP="00041F97">
            <w:pPr>
              <w:rPr>
                <w:rFonts w:ascii="Arial" w:hAnsi="Arial" w:cs="Arial"/>
                <w:sz w:val="18"/>
                <w:szCs w:val="18"/>
              </w:rPr>
            </w:pPr>
            <w:r w:rsidRPr="00041F97">
              <w:rPr>
                <w:rFonts w:ascii="Arial" w:hAnsi="Arial" w:cs="Arial"/>
                <w:sz w:val="18"/>
                <w:szCs w:val="18"/>
              </w:rPr>
              <w:t xml:space="preserve">Pack containing 1 vial of </w:t>
            </w:r>
            <w:proofErr w:type="spellStart"/>
            <w:r w:rsidRPr="00041F97">
              <w:rPr>
                <w:rFonts w:ascii="Arial" w:hAnsi="Arial" w:cs="Arial"/>
                <w:sz w:val="18"/>
                <w:szCs w:val="18"/>
              </w:rPr>
              <w:t>tixagevimab</w:t>
            </w:r>
            <w:proofErr w:type="spellEnd"/>
            <w:r w:rsidRPr="00041F97">
              <w:rPr>
                <w:rFonts w:ascii="Arial" w:hAnsi="Arial" w:cs="Arial"/>
                <w:sz w:val="18"/>
                <w:szCs w:val="18"/>
              </w:rPr>
              <w:t xml:space="preserve"> 150 mg in 1.5</w:t>
            </w:r>
            <w:r w:rsidR="00F5188E">
              <w:rPr>
                <w:rFonts w:ascii="Arial" w:hAnsi="Arial" w:cs="Arial"/>
                <w:sz w:val="18"/>
                <w:szCs w:val="18"/>
              </w:rPr>
              <w:t> </w:t>
            </w:r>
            <w:r w:rsidRPr="00041F97">
              <w:rPr>
                <w:rFonts w:ascii="Arial" w:hAnsi="Arial" w:cs="Arial"/>
                <w:sz w:val="18"/>
                <w:szCs w:val="18"/>
              </w:rPr>
              <w:t xml:space="preserve">mL and 1 vial of </w:t>
            </w:r>
            <w:proofErr w:type="spellStart"/>
            <w:r w:rsidRPr="00041F97">
              <w:rPr>
                <w:rFonts w:ascii="Arial" w:hAnsi="Arial" w:cs="Arial"/>
                <w:sz w:val="18"/>
                <w:szCs w:val="18"/>
              </w:rPr>
              <w:t>cilgavimab</w:t>
            </w:r>
            <w:proofErr w:type="spellEnd"/>
            <w:r w:rsidRPr="00041F97">
              <w:rPr>
                <w:rFonts w:ascii="Arial" w:hAnsi="Arial" w:cs="Arial"/>
                <w:sz w:val="18"/>
                <w:szCs w:val="18"/>
              </w:rPr>
              <w:t xml:space="preserve"> 150</w:t>
            </w:r>
            <w:r w:rsidR="00F5188E">
              <w:rPr>
                <w:rFonts w:ascii="Arial" w:hAnsi="Arial" w:cs="Arial"/>
                <w:sz w:val="18"/>
                <w:szCs w:val="18"/>
              </w:rPr>
              <w:t> </w:t>
            </w:r>
            <w:r w:rsidRPr="00041F97">
              <w:rPr>
                <w:rFonts w:ascii="Arial" w:hAnsi="Arial" w:cs="Arial"/>
                <w:sz w:val="18"/>
                <w:szCs w:val="18"/>
              </w:rPr>
              <w:t>mg in 1.5 mL</w:t>
            </w:r>
          </w:p>
          <w:p w14:paraId="7EB9238D" w14:textId="77777777" w:rsidR="00041F97" w:rsidRDefault="00041F97" w:rsidP="00041F97">
            <w:pPr>
              <w:rPr>
                <w:rFonts w:ascii="Arial" w:hAnsi="Arial" w:cs="Arial"/>
                <w:sz w:val="18"/>
                <w:szCs w:val="18"/>
              </w:rPr>
            </w:pPr>
          </w:p>
          <w:p w14:paraId="25CB9F63" w14:textId="1B1B3B28" w:rsidR="00041F97" w:rsidRPr="00041F97" w:rsidRDefault="00041F97" w:rsidP="00041F97">
            <w:pPr>
              <w:rPr>
                <w:rFonts w:ascii="Arial" w:hAnsi="Arial" w:cs="Arial"/>
                <w:sz w:val="18"/>
                <w:szCs w:val="18"/>
              </w:rPr>
            </w:pPr>
            <w:proofErr w:type="spellStart"/>
            <w:r w:rsidRPr="00041F97">
              <w:rPr>
                <w:rFonts w:ascii="Arial" w:hAnsi="Arial" w:cs="Arial"/>
                <w:sz w:val="18"/>
                <w:szCs w:val="18"/>
              </w:rPr>
              <w:t>Evusheld</w:t>
            </w:r>
            <w:proofErr w:type="spellEnd"/>
            <w:r w:rsidRPr="00041F97">
              <w:rPr>
                <w:rFonts w:ascii="Arial" w:hAnsi="Arial" w:cs="Arial"/>
                <w:sz w:val="18"/>
                <w:szCs w:val="18"/>
              </w:rPr>
              <w:t>®</w:t>
            </w:r>
          </w:p>
          <w:p w14:paraId="526601BA" w14:textId="77777777" w:rsidR="00041F97" w:rsidRDefault="00041F97" w:rsidP="00041F97">
            <w:pPr>
              <w:rPr>
                <w:rFonts w:ascii="Arial" w:hAnsi="Arial" w:cs="Arial"/>
                <w:sz w:val="18"/>
                <w:szCs w:val="18"/>
              </w:rPr>
            </w:pPr>
          </w:p>
          <w:p w14:paraId="0FAE5FC6" w14:textId="7CC7DD11" w:rsidR="00041F97" w:rsidRPr="00041F97" w:rsidRDefault="00041F97" w:rsidP="00041F97">
            <w:pPr>
              <w:rPr>
                <w:rFonts w:ascii="Arial" w:hAnsi="Arial" w:cs="Arial"/>
                <w:sz w:val="18"/>
                <w:szCs w:val="18"/>
              </w:rPr>
            </w:pPr>
            <w:r w:rsidRPr="00041F97">
              <w:rPr>
                <w:rFonts w:ascii="Arial" w:hAnsi="Arial" w:cs="Arial"/>
                <w:sz w:val="18"/>
                <w:szCs w:val="18"/>
              </w:rPr>
              <w:t>Astra</w:t>
            </w:r>
            <w:r w:rsidR="00FF277C">
              <w:rPr>
                <w:rFonts w:ascii="Arial" w:hAnsi="Arial" w:cs="Arial"/>
                <w:sz w:val="18"/>
                <w:szCs w:val="18"/>
              </w:rPr>
              <w:t>Z</w:t>
            </w:r>
            <w:r w:rsidRPr="00041F97">
              <w:rPr>
                <w:rFonts w:ascii="Arial" w:hAnsi="Arial" w:cs="Arial"/>
                <w:sz w:val="18"/>
                <w:szCs w:val="18"/>
              </w:rPr>
              <w:t>eneca Pty Ltd</w:t>
            </w:r>
          </w:p>
          <w:p w14:paraId="445CA9E0" w14:textId="77777777" w:rsidR="00041F97" w:rsidRDefault="00041F97" w:rsidP="00041F97">
            <w:pPr>
              <w:rPr>
                <w:rFonts w:ascii="Arial" w:hAnsi="Arial" w:cs="Arial"/>
                <w:sz w:val="18"/>
                <w:szCs w:val="18"/>
              </w:rPr>
            </w:pPr>
          </w:p>
          <w:p w14:paraId="02C86723" w14:textId="6BF1EA62" w:rsidR="003A08F1" w:rsidRPr="00CE0FEB" w:rsidRDefault="00041F97" w:rsidP="00041F97">
            <w:pPr>
              <w:rPr>
                <w:rFonts w:ascii="Arial" w:hAnsi="Arial" w:cs="Arial"/>
                <w:sz w:val="18"/>
                <w:szCs w:val="18"/>
              </w:rPr>
            </w:pPr>
            <w:r w:rsidRPr="00041F97">
              <w:rPr>
                <w:rFonts w:ascii="Arial" w:hAnsi="Arial" w:cs="Arial"/>
                <w:sz w:val="18"/>
                <w:szCs w:val="18"/>
              </w:rPr>
              <w:t xml:space="preserve">(New </w:t>
            </w:r>
            <w:r w:rsidR="00C75B98">
              <w:rPr>
                <w:rFonts w:ascii="Arial" w:hAnsi="Arial" w:cs="Arial"/>
                <w:sz w:val="18"/>
                <w:szCs w:val="18"/>
              </w:rPr>
              <w:t xml:space="preserve">PBS </w:t>
            </w:r>
            <w:r w:rsidRPr="00041F97">
              <w:rPr>
                <w:rFonts w:ascii="Arial" w:hAnsi="Arial" w:cs="Arial"/>
                <w:sz w:val="18"/>
                <w:szCs w:val="18"/>
              </w:rPr>
              <w:t>listing)</w:t>
            </w:r>
          </w:p>
        </w:tc>
        <w:tc>
          <w:tcPr>
            <w:tcW w:w="619" w:type="pct"/>
            <w:tcBorders>
              <w:top w:val="single" w:sz="4" w:space="0" w:color="auto"/>
              <w:left w:val="single" w:sz="4" w:space="0" w:color="auto"/>
              <w:right w:val="single" w:sz="4" w:space="0" w:color="auto"/>
            </w:tcBorders>
            <w:shd w:val="clear" w:color="auto" w:fill="auto"/>
            <w:vAlign w:val="center"/>
          </w:tcPr>
          <w:p w14:paraId="5D295014" w14:textId="1A899BED" w:rsidR="003A08F1" w:rsidRPr="003A08F1" w:rsidRDefault="00F5188E" w:rsidP="00180894">
            <w:pPr>
              <w:widowControl w:val="0"/>
              <w:jc w:val="center"/>
              <w:rPr>
                <w:rFonts w:ascii="Arial" w:hAnsi="Arial" w:cs="Arial"/>
                <w:snapToGrid w:val="0"/>
                <w:sz w:val="18"/>
                <w:szCs w:val="18"/>
                <w:lang w:eastAsia="en-US"/>
              </w:rPr>
            </w:pPr>
            <w:r w:rsidRPr="00F5188E">
              <w:rPr>
                <w:rFonts w:ascii="Arial" w:hAnsi="Arial" w:cs="Arial"/>
                <w:snapToGrid w:val="0"/>
                <w:sz w:val="18"/>
                <w:szCs w:val="18"/>
                <w:lang w:eastAsia="en-US"/>
              </w:rPr>
              <w:t>Pre-exposure</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prevention of</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COVID-19</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14F1E91C" w14:textId="4ED8D6FC" w:rsidR="003A08F1" w:rsidRPr="003A08F1" w:rsidRDefault="00F5188E" w:rsidP="00F5188E">
            <w:pPr>
              <w:rPr>
                <w:rFonts w:ascii="Arial" w:hAnsi="Arial" w:cs="Arial"/>
                <w:snapToGrid w:val="0"/>
                <w:sz w:val="18"/>
                <w:szCs w:val="18"/>
                <w:lang w:eastAsia="en-US"/>
              </w:rPr>
            </w:pPr>
            <w:r w:rsidRPr="00F5188E">
              <w:rPr>
                <w:rFonts w:ascii="Arial" w:hAnsi="Arial" w:cs="Arial"/>
                <w:snapToGrid w:val="0"/>
                <w:sz w:val="18"/>
                <w:szCs w:val="18"/>
                <w:lang w:eastAsia="en-US"/>
              </w:rPr>
              <w:t>To request a General</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Schedule Authority Required</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listing for pre</w:t>
            </w:r>
            <w:r>
              <w:rPr>
                <w:rFonts w:ascii="Arial" w:hAnsi="Arial" w:cs="Arial"/>
                <w:snapToGrid w:val="0"/>
                <w:sz w:val="18"/>
                <w:szCs w:val="18"/>
                <w:lang w:eastAsia="en-US"/>
              </w:rPr>
              <w:t>-</w:t>
            </w:r>
            <w:r w:rsidRPr="00F5188E">
              <w:rPr>
                <w:rFonts w:ascii="Arial" w:hAnsi="Arial" w:cs="Arial"/>
                <w:snapToGrid w:val="0"/>
                <w:sz w:val="18"/>
                <w:szCs w:val="18"/>
                <w:lang w:eastAsia="en-US"/>
              </w:rPr>
              <w:t>exposure</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prevention of COVID-19 in</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individuals 12 years or older</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who are severely</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immunocompromised due to a</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specific medical condition or</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because of treatment with</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immunosuppressive therapies</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that render them unlikely to</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mount an adequate immune</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response to immunisation.</w:t>
            </w:r>
          </w:p>
        </w:tc>
        <w:tc>
          <w:tcPr>
            <w:tcW w:w="545" w:type="pct"/>
            <w:tcBorders>
              <w:top w:val="single" w:sz="4" w:space="0" w:color="auto"/>
              <w:left w:val="single" w:sz="4" w:space="0" w:color="auto"/>
              <w:right w:val="single" w:sz="4" w:space="0" w:color="auto"/>
            </w:tcBorders>
            <w:shd w:val="clear" w:color="auto" w:fill="auto"/>
            <w:vAlign w:val="center"/>
          </w:tcPr>
          <w:p w14:paraId="1F88997C" w14:textId="3422ABFF" w:rsidR="003A08F1" w:rsidRDefault="00A25E80"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Not recommended</w:t>
            </w:r>
          </w:p>
        </w:tc>
        <w:tc>
          <w:tcPr>
            <w:tcW w:w="2113" w:type="pct"/>
            <w:tcBorders>
              <w:top w:val="single" w:sz="4" w:space="0" w:color="auto"/>
            </w:tcBorders>
            <w:shd w:val="clear" w:color="auto" w:fill="auto"/>
            <w:vAlign w:val="center"/>
          </w:tcPr>
          <w:p w14:paraId="7E69A0F2" w14:textId="77777777"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 xml:space="preserve">The PBAC did not recommend the PBS listing of </w:t>
            </w:r>
            <w:proofErr w:type="spellStart"/>
            <w:r w:rsidRPr="00E90963">
              <w:rPr>
                <w:rFonts w:ascii="Arial" w:hAnsi="Arial" w:cs="Arial"/>
                <w:color w:val="000000"/>
                <w:sz w:val="18"/>
                <w:szCs w:val="18"/>
                <w:lang w:val="en-GB"/>
              </w:rPr>
              <w:t>tixagevimab</w:t>
            </w:r>
            <w:proofErr w:type="spellEnd"/>
            <w:r w:rsidRPr="00E90963">
              <w:rPr>
                <w:rFonts w:ascii="Arial" w:hAnsi="Arial" w:cs="Arial"/>
                <w:color w:val="000000"/>
                <w:sz w:val="18"/>
                <w:szCs w:val="18"/>
                <w:lang w:val="en-GB"/>
              </w:rPr>
              <w:t xml:space="preserve"> and </w:t>
            </w:r>
            <w:proofErr w:type="spellStart"/>
            <w:r w:rsidRPr="00E90963">
              <w:rPr>
                <w:rFonts w:ascii="Arial" w:hAnsi="Arial" w:cs="Arial"/>
                <w:color w:val="000000"/>
                <w:sz w:val="18"/>
                <w:szCs w:val="18"/>
                <w:lang w:val="en-GB"/>
              </w:rPr>
              <w:t>cilgavimab</w:t>
            </w:r>
            <w:proofErr w:type="spellEnd"/>
            <w:r w:rsidRPr="00E90963">
              <w:rPr>
                <w:rFonts w:ascii="Arial" w:hAnsi="Arial" w:cs="Arial"/>
                <w:color w:val="000000"/>
                <w:sz w:val="18"/>
                <w:szCs w:val="18"/>
                <w:lang w:val="en-GB"/>
              </w:rPr>
              <w:t xml:space="preserve">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for pre exposure prophylaxis (</w:t>
            </w:r>
            <w:proofErr w:type="spellStart"/>
            <w:r w:rsidRPr="00E90963">
              <w:rPr>
                <w:rFonts w:ascii="Arial" w:hAnsi="Arial" w:cs="Arial"/>
                <w:color w:val="000000"/>
                <w:sz w:val="18"/>
                <w:szCs w:val="18"/>
                <w:lang w:val="en-GB"/>
              </w:rPr>
              <w:t>PrEP</w:t>
            </w:r>
            <w:proofErr w:type="spellEnd"/>
            <w:r w:rsidRPr="00E90963">
              <w:rPr>
                <w:rFonts w:ascii="Arial" w:hAnsi="Arial" w:cs="Arial"/>
                <w:color w:val="000000"/>
                <w:sz w:val="18"/>
                <w:szCs w:val="18"/>
                <w:lang w:val="en-GB"/>
              </w:rPr>
              <w:t>) against COVID-19 because, in the view of the PBAC, there was uncertainty about the clinical place in treatment; uncertainty about the dose and duration of protection against the Omicron or future variants of the severe acute respiratory syndrome coronavirus 2 (SARS-CoV-2) virus; a lack of information on the safety and effectiveness of the proposed repeat dosing regimen; a high and highly uncertain incremental cost-effectiveness ratio; and a very high overall cost as requested by the sponsor.</w:t>
            </w:r>
          </w:p>
          <w:p w14:paraId="35507234" w14:textId="1DD38FAD"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 xml:space="preserve">In considering the application, the PBAC noted the Department of Health and Aged Care’s advice that when the Commonwealth purchase contract for 36,000 courses of </w:t>
            </w:r>
            <w:proofErr w:type="spellStart"/>
            <w:r w:rsidRPr="00E90963">
              <w:rPr>
                <w:rFonts w:ascii="Arial" w:hAnsi="Arial" w:cs="Arial"/>
                <w:color w:val="000000"/>
                <w:sz w:val="18"/>
                <w:szCs w:val="18"/>
                <w:lang w:val="en-GB"/>
              </w:rPr>
              <w:t>tixagevimab</w:t>
            </w:r>
            <w:proofErr w:type="spellEnd"/>
            <w:r w:rsidRPr="00E90963">
              <w:rPr>
                <w:rFonts w:ascii="Arial" w:hAnsi="Arial" w:cs="Arial"/>
                <w:color w:val="000000"/>
                <w:sz w:val="18"/>
                <w:szCs w:val="18"/>
                <w:lang w:val="en-GB"/>
              </w:rPr>
              <w:t xml:space="preserve"> 150 mg and </w:t>
            </w:r>
            <w:proofErr w:type="spellStart"/>
            <w:r w:rsidRPr="00E90963">
              <w:rPr>
                <w:rFonts w:ascii="Arial" w:hAnsi="Arial" w:cs="Arial"/>
                <w:color w:val="000000"/>
                <w:sz w:val="18"/>
                <w:szCs w:val="18"/>
                <w:lang w:val="en-GB"/>
              </w:rPr>
              <w:t>cilgavimab</w:t>
            </w:r>
            <w:proofErr w:type="spellEnd"/>
            <w:r w:rsidRPr="00E90963">
              <w:rPr>
                <w:rFonts w:ascii="Arial" w:hAnsi="Arial" w:cs="Arial"/>
                <w:color w:val="000000"/>
                <w:sz w:val="18"/>
                <w:szCs w:val="18"/>
                <w:lang w:val="en-GB"/>
              </w:rPr>
              <w:t xml:space="preserve"> 150 mg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for the National Medical Stockpile was agreed early in 2022, it was expected by the Department that a single dose of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would provide </w:t>
            </w:r>
            <w:proofErr w:type="spellStart"/>
            <w:r w:rsidRPr="00E90963">
              <w:rPr>
                <w:rFonts w:ascii="Arial" w:hAnsi="Arial" w:cs="Arial"/>
                <w:color w:val="000000"/>
                <w:sz w:val="18"/>
                <w:szCs w:val="18"/>
                <w:lang w:val="en-GB"/>
              </w:rPr>
              <w:t>PrEP</w:t>
            </w:r>
            <w:proofErr w:type="spellEnd"/>
            <w:r w:rsidRPr="00E90963">
              <w:rPr>
                <w:rFonts w:ascii="Arial" w:hAnsi="Arial" w:cs="Arial"/>
                <w:color w:val="000000"/>
                <w:sz w:val="18"/>
                <w:szCs w:val="18"/>
                <w:lang w:val="en-GB"/>
              </w:rPr>
              <w:t xml:space="preserve"> against symptomatic COVID for at least 6 months and potentially for 12 months or even longer. This expectation was founded on the available results from the PROVENT clinical trial conducted when the predominant SARS-CoV-2 variants circulating were Alpha, Beta, Gamma, Delta, and Epsilon.</w:t>
            </w:r>
          </w:p>
          <w:p w14:paraId="6A3A0C54" w14:textId="29BE99E5"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 xml:space="preserve">The PBAC noted more recent publicly available information on Omicron indicates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does not protect to the same extent as past variants and AstraZeneca has proposed a doubling of the dose to </w:t>
            </w:r>
            <w:proofErr w:type="spellStart"/>
            <w:r w:rsidRPr="00E90963">
              <w:rPr>
                <w:rFonts w:ascii="Arial" w:hAnsi="Arial" w:cs="Arial"/>
                <w:color w:val="000000"/>
                <w:sz w:val="18"/>
                <w:szCs w:val="18"/>
                <w:lang w:val="en-GB"/>
              </w:rPr>
              <w:t>tixagevimab</w:t>
            </w:r>
            <w:proofErr w:type="spellEnd"/>
            <w:r w:rsidRPr="00E90963">
              <w:rPr>
                <w:rFonts w:ascii="Arial" w:hAnsi="Arial" w:cs="Arial"/>
                <w:color w:val="000000"/>
                <w:sz w:val="18"/>
                <w:szCs w:val="18"/>
                <w:lang w:val="en-GB"/>
              </w:rPr>
              <w:t xml:space="preserve"> 300 mg and </w:t>
            </w:r>
            <w:proofErr w:type="spellStart"/>
            <w:r w:rsidRPr="00E90963">
              <w:rPr>
                <w:rFonts w:ascii="Arial" w:hAnsi="Arial" w:cs="Arial"/>
                <w:color w:val="000000"/>
                <w:sz w:val="18"/>
                <w:szCs w:val="18"/>
                <w:lang w:val="en-GB"/>
              </w:rPr>
              <w:t>cilgavimab</w:t>
            </w:r>
            <w:proofErr w:type="spellEnd"/>
            <w:r w:rsidRPr="00E90963">
              <w:rPr>
                <w:rFonts w:ascii="Arial" w:hAnsi="Arial" w:cs="Arial"/>
                <w:color w:val="000000"/>
                <w:sz w:val="18"/>
                <w:szCs w:val="18"/>
                <w:lang w:val="en-GB"/>
              </w:rPr>
              <w:t xml:space="preserve"> 300 mg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300-300mg), together with 6-monthly repeat dosing at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to address this diminution in effectiveness (Astra Zeneca, 14 July 2022). In the PBAC’s view, the outcomes of two observational studies conducted early during the Omicron variant outbreak provide some evidence of effectiveness for the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dose in a vaccinated, immunocompromised population (Young-Xu, 2022; Al </w:t>
            </w:r>
            <w:proofErr w:type="spellStart"/>
            <w:r w:rsidRPr="00E90963">
              <w:rPr>
                <w:rFonts w:ascii="Arial" w:hAnsi="Arial" w:cs="Arial"/>
                <w:color w:val="000000"/>
                <w:sz w:val="18"/>
                <w:szCs w:val="18"/>
                <w:lang w:val="en-GB"/>
              </w:rPr>
              <w:t>Jurdi</w:t>
            </w:r>
            <w:proofErr w:type="spellEnd"/>
            <w:r w:rsidRPr="00E90963">
              <w:rPr>
                <w:rFonts w:ascii="Arial" w:hAnsi="Arial" w:cs="Arial"/>
                <w:color w:val="000000"/>
                <w:sz w:val="18"/>
                <w:szCs w:val="18"/>
                <w:lang w:val="en-GB"/>
              </w:rPr>
              <w:t xml:space="preserve">, 2022). In relation to effectiveness and safety of 6-monthly repeat dosing, the evidence was limited to pharmacokinetic modelling and no in-human evidence was presented. </w:t>
            </w:r>
          </w:p>
          <w:p w14:paraId="7601F032" w14:textId="204F4B73"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 xml:space="preserve">The PBAC noted the Therapeutic Goods Administration (TGA) is evaluating an application from AstraZeneca to vary the currently recommended dose from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once, to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6</w:t>
            </w:r>
            <w:r w:rsidR="00D031A1">
              <w:rPr>
                <w:rFonts w:ascii="Arial" w:hAnsi="Arial" w:cs="Arial"/>
                <w:color w:val="000000"/>
                <w:sz w:val="18"/>
                <w:szCs w:val="18"/>
                <w:lang w:val="en-GB"/>
              </w:rPr>
              <w:noBreakHyphen/>
            </w:r>
            <w:r w:rsidRPr="00E90963">
              <w:rPr>
                <w:rFonts w:ascii="Arial" w:hAnsi="Arial" w:cs="Arial"/>
                <w:color w:val="000000"/>
                <w:sz w:val="18"/>
                <w:szCs w:val="18"/>
                <w:lang w:val="en-GB"/>
              </w:rPr>
              <w:t>monthly. However, the TGA had not finalised its considerations on the effectiveness or safety of this approach at the time of PBAC consideration.</w:t>
            </w:r>
          </w:p>
          <w:p w14:paraId="564EF65A" w14:textId="77777777"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The PBAC was concerned that:</w:t>
            </w:r>
          </w:p>
          <w:p w14:paraId="4F3A3380" w14:textId="39061727" w:rsidR="00E90963" w:rsidRPr="00E90963" w:rsidRDefault="00E90963" w:rsidP="00E90963">
            <w:pPr>
              <w:pStyle w:val="ListParagraph"/>
              <w:numPr>
                <w:ilvl w:val="3"/>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The population most likely to benefit from </w:t>
            </w:r>
            <w:proofErr w:type="spellStart"/>
            <w:r w:rsidRPr="00E90963">
              <w:rPr>
                <w:rFonts w:ascii="Arial" w:hAnsi="Arial" w:cs="Arial"/>
                <w:color w:val="000000"/>
                <w:sz w:val="18"/>
                <w:szCs w:val="18"/>
                <w:lang w:val="en-GB"/>
              </w:rPr>
              <w:t>PrEP</w:t>
            </w:r>
            <w:proofErr w:type="spellEnd"/>
            <w:r w:rsidRPr="00E90963">
              <w:rPr>
                <w:rFonts w:ascii="Arial" w:hAnsi="Arial" w:cs="Arial"/>
                <w:color w:val="000000"/>
                <w:sz w:val="18"/>
                <w:szCs w:val="18"/>
                <w:lang w:val="en-GB"/>
              </w:rPr>
              <w:t xml:space="preserve"> in the context of an evolving and cyclic disease was not well defined by the sponsor’s application, creating the potential that the sponsor proposed PBS eligible population would include many individuals who would gain little benefit and exclude other individuals who would benefit.</w:t>
            </w:r>
          </w:p>
          <w:p w14:paraId="4604D0CD" w14:textId="05883B87" w:rsidR="00E90963" w:rsidRP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lastRenderedPageBreak/>
              <w:t>AstraZeneca acknowledged the duration of protection against COVID</w:t>
            </w:r>
            <w:r w:rsidR="00D031A1">
              <w:rPr>
                <w:rFonts w:ascii="Arial" w:hAnsi="Arial" w:cs="Arial"/>
                <w:color w:val="000000"/>
                <w:sz w:val="18"/>
                <w:szCs w:val="18"/>
                <w:lang w:val="en-GB"/>
              </w:rPr>
              <w:noBreakHyphen/>
            </w:r>
            <w:r w:rsidRPr="00E90963">
              <w:rPr>
                <w:rFonts w:ascii="Arial" w:hAnsi="Arial" w:cs="Arial"/>
                <w:color w:val="000000"/>
                <w:sz w:val="18"/>
                <w:szCs w:val="18"/>
                <w:lang w:val="en-GB"/>
              </w:rPr>
              <w:t xml:space="preserve">19 given by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is shorter for the Omicron variants than it was for earlier variants of the SARS-CoV-2 virus. The PBAC opined that, based on the information provided by AstraZeneca, the TGA approved single dose of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 xml:space="preserve">mg could provide as little as three months protection from symptomatic disease caused by the Omicron variants. Protection against severe and critical illness appears to be maintained </w:t>
            </w:r>
            <w:r w:rsidRPr="00E90963">
              <w:rPr>
                <w:rFonts w:ascii="Arial" w:hAnsi="Arial" w:cs="Arial"/>
                <w:color w:val="000000"/>
                <w:sz w:val="18"/>
                <w:szCs w:val="18"/>
              </w:rPr>
              <w:t>although the size of the effect was uncertain</w:t>
            </w:r>
            <w:r>
              <w:rPr>
                <w:rFonts w:ascii="Arial" w:hAnsi="Arial" w:cs="Arial"/>
                <w:color w:val="000000"/>
                <w:sz w:val="18"/>
                <w:szCs w:val="18"/>
              </w:rPr>
              <w:t>.</w:t>
            </w:r>
          </w:p>
          <w:p w14:paraId="4249A888" w14:textId="187A6060" w:rsidR="00E90963" w:rsidRP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While the observational studies provide some support, there was no evidence from controlled clinical studies to support the AstraZeneca proposition that doubling the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dose (from 150-150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to 300</w:t>
            </w:r>
            <w:r w:rsidR="00D031A1">
              <w:rPr>
                <w:rFonts w:ascii="Arial" w:hAnsi="Arial" w:cs="Arial"/>
                <w:color w:val="000000"/>
                <w:sz w:val="18"/>
                <w:szCs w:val="18"/>
                <w:lang w:val="en-GB"/>
              </w:rPr>
              <w:noBreakHyphen/>
            </w:r>
            <w:r w:rsidRPr="00E90963">
              <w:rPr>
                <w:rFonts w:ascii="Arial" w:hAnsi="Arial" w:cs="Arial"/>
                <w:color w:val="000000"/>
                <w:sz w:val="18"/>
                <w:szCs w:val="18"/>
                <w:lang w:val="en-GB"/>
              </w:rPr>
              <w:t>300mg)</w:t>
            </w:r>
            <w:r w:rsidRPr="00E90963">
              <w:rPr>
                <w:rFonts w:ascii="Arial" w:hAnsi="Arial" w:cs="Arial"/>
                <w:color w:val="000000"/>
                <w:sz w:val="18"/>
                <w:szCs w:val="18"/>
              </w:rPr>
              <w:t xml:space="preserve"> </w:t>
            </w:r>
            <w:r w:rsidRPr="00E90963">
              <w:rPr>
                <w:rFonts w:ascii="Arial" w:hAnsi="Arial" w:cs="Arial"/>
                <w:color w:val="000000"/>
                <w:sz w:val="18"/>
                <w:szCs w:val="18"/>
                <w:lang w:val="en-GB"/>
              </w:rPr>
              <w:t>will address the limited duration of protection. There was no clinical evidence for 6</w:t>
            </w:r>
            <w:r w:rsidR="00D031A1">
              <w:rPr>
                <w:rFonts w:ascii="Arial" w:hAnsi="Arial" w:cs="Arial"/>
                <w:color w:val="000000"/>
                <w:sz w:val="18"/>
                <w:szCs w:val="18"/>
                <w:lang w:val="en-GB"/>
              </w:rPr>
              <w:noBreakHyphen/>
            </w:r>
            <w:r w:rsidRPr="00E90963">
              <w:rPr>
                <w:rFonts w:ascii="Arial" w:hAnsi="Arial" w:cs="Arial"/>
                <w:color w:val="000000"/>
                <w:sz w:val="18"/>
                <w:szCs w:val="18"/>
                <w:lang w:val="en-GB"/>
              </w:rPr>
              <w:t xml:space="preserve">monthly repeat dosing. </w:t>
            </w:r>
          </w:p>
          <w:p w14:paraId="4D2E111E" w14:textId="77777777" w:rsid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The safety of the higher and more frequent dosing regimen has not been established.</w:t>
            </w:r>
          </w:p>
          <w:p w14:paraId="4F0EFB7B" w14:textId="29CFFAC6" w:rsid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Although the economic modelling used assumptions that were favourable to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the incremental cost-effectiveness ratio (ICER) for the proposed dosing regimen at the proposed price was unacceptably high at $115,000 to &lt;$135,000 per Quality Adjusted Life Year (QALY) gained.</w:t>
            </w:r>
          </w:p>
          <w:p w14:paraId="78559A03" w14:textId="2AD45290" w:rsid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The changing nature of the pandemic adds additional uncertainty about the future value of treatment with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(i.e., the value proposition could be worse than estimated now).</w:t>
            </w:r>
          </w:p>
          <w:p w14:paraId="7A97B714" w14:textId="2E702B3A" w:rsidR="00E90963" w:rsidRP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Uptake of </w:t>
            </w:r>
            <w:proofErr w:type="spellStart"/>
            <w:r w:rsidRPr="00E90963">
              <w:rPr>
                <w:rFonts w:ascii="Arial" w:hAnsi="Arial" w:cs="Arial"/>
                <w:color w:val="000000"/>
                <w:sz w:val="18"/>
                <w:szCs w:val="18"/>
                <w:lang w:val="en-GB"/>
              </w:rPr>
              <w:t>Evusheld</w:t>
            </w:r>
            <w:proofErr w:type="spellEnd"/>
            <w:r w:rsidRPr="00E90963">
              <w:rPr>
                <w:rFonts w:ascii="Arial" w:hAnsi="Arial" w:cs="Arial"/>
                <w:color w:val="000000"/>
                <w:sz w:val="18"/>
                <w:szCs w:val="18"/>
                <w:lang w:val="en-GB"/>
              </w:rPr>
              <w:t xml:space="preserve"> 300-300</w:t>
            </w:r>
            <w:r w:rsidR="00D031A1">
              <w:rPr>
                <w:rFonts w:ascii="Arial" w:hAnsi="Arial" w:cs="Arial"/>
                <w:color w:val="000000"/>
                <w:sz w:val="18"/>
                <w:szCs w:val="18"/>
                <w:lang w:val="en-GB"/>
              </w:rPr>
              <w:t xml:space="preserve"> </w:t>
            </w:r>
            <w:r w:rsidRPr="00E90963">
              <w:rPr>
                <w:rFonts w:ascii="Arial" w:hAnsi="Arial" w:cs="Arial"/>
                <w:color w:val="000000"/>
                <w:sz w:val="18"/>
                <w:szCs w:val="18"/>
                <w:lang w:val="en-GB"/>
              </w:rPr>
              <w:t>mg was likely to be significantly overestimated by the application.</w:t>
            </w:r>
          </w:p>
          <w:p w14:paraId="1E6CA68F" w14:textId="47C8BA16" w:rsidR="00E90963" w:rsidRPr="00E90963" w:rsidRDefault="00E90963" w:rsidP="00E90963">
            <w:pPr>
              <w:pStyle w:val="ListParagraph"/>
              <w:numPr>
                <w:ilvl w:val="0"/>
                <w:numId w:val="49"/>
              </w:numPr>
              <w:spacing w:after="120"/>
              <w:ind w:left="647"/>
              <w:rPr>
                <w:rFonts w:ascii="Arial" w:hAnsi="Arial" w:cs="Arial"/>
                <w:color w:val="000000"/>
                <w:sz w:val="18"/>
                <w:szCs w:val="18"/>
                <w:lang w:val="en-GB"/>
              </w:rPr>
            </w:pPr>
            <w:r w:rsidRPr="00E90963">
              <w:rPr>
                <w:rFonts w:ascii="Arial" w:hAnsi="Arial" w:cs="Arial"/>
                <w:color w:val="000000"/>
                <w:sz w:val="18"/>
                <w:szCs w:val="18"/>
                <w:lang w:val="en-GB"/>
              </w:rPr>
              <w:t xml:space="preserve">At an estimated cost that could exceed $1 billion per year, the opportunity cost of subsidy is potentially very high. </w:t>
            </w:r>
          </w:p>
          <w:p w14:paraId="493E8F1F" w14:textId="77777777"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The PBAC made extensive suggestions for consideration by AstraZeneca which included limiting its subsidy request to a once-off dose per patient in line with the available evidence; refining the target population to those with the greatest clinical need; reducing the price; and time-limiting the subsidy period given the uncertainty over the future role of this medicine in view of the evolving nature of the SARS-CoV-2 virus.</w:t>
            </w:r>
          </w:p>
          <w:p w14:paraId="00056392" w14:textId="77777777" w:rsidR="00E90963" w:rsidRPr="00E90963" w:rsidRDefault="00E90963" w:rsidP="00E90963">
            <w:pPr>
              <w:spacing w:after="120"/>
              <w:rPr>
                <w:rFonts w:ascii="Arial" w:hAnsi="Arial" w:cs="Arial"/>
                <w:color w:val="000000"/>
                <w:sz w:val="18"/>
                <w:szCs w:val="18"/>
                <w:lang w:val="en-GB"/>
              </w:rPr>
            </w:pPr>
            <w:r w:rsidRPr="00E90963">
              <w:rPr>
                <w:rFonts w:ascii="Arial" w:hAnsi="Arial" w:cs="Arial"/>
                <w:color w:val="000000"/>
                <w:sz w:val="18"/>
                <w:szCs w:val="18"/>
                <w:lang w:val="en-GB"/>
              </w:rPr>
              <w:t>The PBAC noted that AstraZeneca is welcome to make a further application to the PBAC for PBS listing at any time. The PBAC noted that the Department would work with AstraZeneca and the PBAC to expedite any future application, considering the evolution of the pandemic.</w:t>
            </w:r>
          </w:p>
          <w:p w14:paraId="4CAC1E33" w14:textId="54557216" w:rsidR="00FB7190" w:rsidRDefault="00FB7190" w:rsidP="00A25E80">
            <w:pPr>
              <w:spacing w:after="120"/>
              <w:rPr>
                <w:rFonts w:ascii="Arial" w:hAnsi="Arial" w:cs="Arial"/>
                <w:color w:val="000000"/>
                <w:sz w:val="18"/>
                <w:szCs w:val="18"/>
                <w:u w:val="single"/>
              </w:rPr>
            </w:pPr>
            <w:r>
              <w:rPr>
                <w:rFonts w:ascii="Arial" w:hAnsi="Arial" w:cs="Arial"/>
                <w:color w:val="000000"/>
                <w:sz w:val="18"/>
                <w:szCs w:val="18"/>
                <w:u w:val="single"/>
              </w:rPr>
              <w:t>Sponsor Comment:</w:t>
            </w:r>
          </w:p>
          <w:p w14:paraId="5674FA5E" w14:textId="4F3A7617" w:rsidR="00FB7190" w:rsidRPr="00FB7190" w:rsidRDefault="00E90963" w:rsidP="00E90963">
            <w:pPr>
              <w:spacing w:after="120"/>
              <w:rPr>
                <w:rFonts w:ascii="Arial" w:hAnsi="Arial" w:cs="Arial"/>
                <w:color w:val="000000"/>
                <w:sz w:val="18"/>
                <w:szCs w:val="18"/>
                <w:u w:val="single"/>
              </w:rPr>
            </w:pPr>
            <w:r w:rsidRPr="00E90963">
              <w:rPr>
                <w:rFonts w:ascii="Arial" w:hAnsi="Arial" w:cs="Arial"/>
                <w:color w:val="000000"/>
                <w:sz w:val="18"/>
                <w:szCs w:val="18"/>
              </w:rPr>
              <w:t xml:space="preserve">AstraZeneca are committed to addressing the concerns raised by the PBAC and we welcome the opportunity to work with the Department of Health and </w:t>
            </w:r>
            <w:r w:rsidRPr="00E90963">
              <w:rPr>
                <w:rFonts w:ascii="Arial" w:hAnsi="Arial" w:cs="Arial"/>
                <w:color w:val="000000"/>
                <w:sz w:val="18"/>
                <w:szCs w:val="18"/>
              </w:rPr>
              <w:lastRenderedPageBreak/>
              <w:t>Ag</w:t>
            </w:r>
            <w:r>
              <w:rPr>
                <w:rFonts w:ascii="Arial" w:hAnsi="Arial" w:cs="Arial"/>
                <w:color w:val="000000"/>
                <w:sz w:val="18"/>
                <w:szCs w:val="18"/>
              </w:rPr>
              <w:t>ed Care</w:t>
            </w:r>
            <w:r w:rsidRPr="00E90963">
              <w:rPr>
                <w:rFonts w:ascii="Arial" w:hAnsi="Arial" w:cs="Arial"/>
                <w:color w:val="000000"/>
                <w:sz w:val="18"/>
                <w:szCs w:val="18"/>
              </w:rPr>
              <w:t xml:space="preserve"> to ensure a timely reassessment of </w:t>
            </w:r>
            <w:proofErr w:type="spellStart"/>
            <w:r w:rsidRPr="00E90963">
              <w:rPr>
                <w:rFonts w:ascii="Arial" w:hAnsi="Arial" w:cs="Arial"/>
                <w:color w:val="000000"/>
                <w:sz w:val="18"/>
                <w:szCs w:val="18"/>
              </w:rPr>
              <w:t>Evusheld</w:t>
            </w:r>
            <w:proofErr w:type="spellEnd"/>
            <w:r w:rsidRPr="00E90963">
              <w:rPr>
                <w:rFonts w:ascii="Arial" w:hAnsi="Arial" w:cs="Arial"/>
                <w:color w:val="000000"/>
                <w:sz w:val="18"/>
                <w:szCs w:val="18"/>
              </w:rPr>
              <w:t>. AstraZeneca acknowledges the PBAC assessment process requires a high degree of certainty for therapies to be listed on the PBS. We note the status of the updated dosing regimen which is currently under evaluation by the TGA. AstraZeneca will continue to collect data as new variants evolve and work with the PBAC to further define the appropriate patient population.</w:t>
            </w:r>
            <w:r w:rsidRPr="00E90963">
              <w:rPr>
                <w:rFonts w:ascii="Arial" w:hAnsi="Arial" w:cs="Arial"/>
                <w:color w:val="000000"/>
                <w:sz w:val="18"/>
                <w:szCs w:val="18"/>
                <w:lang w:val="en-GB"/>
              </w:rPr>
              <w:t> </w:t>
            </w:r>
          </w:p>
        </w:tc>
      </w:tr>
      <w:tr w:rsidR="003A08F1" w:rsidRPr="00687774" w14:paraId="76E06DD1" w14:textId="77777777" w:rsidTr="00A25E80">
        <w:trPr>
          <w:cantSplit/>
          <w:trHeight w:val="857"/>
        </w:trPr>
        <w:tc>
          <w:tcPr>
            <w:tcW w:w="861" w:type="pct"/>
            <w:tcBorders>
              <w:top w:val="single" w:sz="4" w:space="0" w:color="auto"/>
              <w:left w:val="single" w:sz="4" w:space="0" w:color="auto"/>
              <w:right w:val="nil"/>
            </w:tcBorders>
            <w:shd w:val="clear" w:color="auto" w:fill="auto"/>
            <w:tcMar>
              <w:top w:w="28" w:type="dxa"/>
              <w:bottom w:w="28" w:type="dxa"/>
            </w:tcMar>
            <w:vAlign w:val="center"/>
          </w:tcPr>
          <w:p w14:paraId="5E52FE99" w14:textId="77777777" w:rsidR="00F5188E" w:rsidRPr="00F5188E" w:rsidRDefault="00F5188E" w:rsidP="00F5188E">
            <w:pPr>
              <w:rPr>
                <w:rFonts w:ascii="Arial" w:hAnsi="Arial" w:cs="Arial"/>
                <w:sz w:val="18"/>
                <w:szCs w:val="18"/>
              </w:rPr>
            </w:pPr>
            <w:r w:rsidRPr="00F5188E">
              <w:rPr>
                <w:rFonts w:ascii="Arial" w:hAnsi="Arial" w:cs="Arial"/>
                <w:sz w:val="18"/>
                <w:szCs w:val="18"/>
              </w:rPr>
              <w:lastRenderedPageBreak/>
              <w:t>VOSORITIDE</w:t>
            </w:r>
          </w:p>
          <w:p w14:paraId="5CEA4366" w14:textId="77777777" w:rsidR="00F5188E" w:rsidRDefault="00F5188E" w:rsidP="00F5188E">
            <w:pPr>
              <w:rPr>
                <w:rFonts w:ascii="Arial" w:hAnsi="Arial" w:cs="Arial"/>
                <w:sz w:val="18"/>
                <w:szCs w:val="18"/>
              </w:rPr>
            </w:pPr>
          </w:p>
          <w:p w14:paraId="30FE2420" w14:textId="57B34F31" w:rsidR="00F5188E" w:rsidRPr="00F5188E" w:rsidRDefault="00F5188E" w:rsidP="00F5188E">
            <w:pPr>
              <w:rPr>
                <w:rFonts w:ascii="Arial" w:hAnsi="Arial" w:cs="Arial"/>
                <w:sz w:val="18"/>
                <w:szCs w:val="18"/>
              </w:rPr>
            </w:pPr>
            <w:r w:rsidRPr="00F5188E">
              <w:rPr>
                <w:rFonts w:ascii="Arial" w:hAnsi="Arial" w:cs="Arial"/>
                <w:sz w:val="18"/>
                <w:szCs w:val="18"/>
              </w:rPr>
              <w:t>Powder for injection 0.4 mg</w:t>
            </w:r>
            <w:r>
              <w:rPr>
                <w:rFonts w:ascii="Arial" w:hAnsi="Arial" w:cs="Arial"/>
                <w:sz w:val="18"/>
                <w:szCs w:val="18"/>
              </w:rPr>
              <w:t xml:space="preserve"> </w:t>
            </w:r>
            <w:r w:rsidRPr="00F5188E">
              <w:rPr>
                <w:rFonts w:ascii="Arial" w:hAnsi="Arial" w:cs="Arial"/>
                <w:sz w:val="18"/>
                <w:szCs w:val="18"/>
              </w:rPr>
              <w:t>with diluent</w:t>
            </w:r>
          </w:p>
          <w:p w14:paraId="20BCB2B9" w14:textId="1E42003C" w:rsidR="00F5188E" w:rsidRPr="00F5188E" w:rsidRDefault="00F5188E" w:rsidP="00F5188E">
            <w:pPr>
              <w:rPr>
                <w:rFonts w:ascii="Arial" w:hAnsi="Arial" w:cs="Arial"/>
                <w:sz w:val="18"/>
                <w:szCs w:val="18"/>
              </w:rPr>
            </w:pPr>
            <w:r w:rsidRPr="00F5188E">
              <w:rPr>
                <w:rFonts w:ascii="Arial" w:hAnsi="Arial" w:cs="Arial"/>
                <w:sz w:val="18"/>
                <w:szCs w:val="18"/>
              </w:rPr>
              <w:t>Powder for injection 0.56 mg</w:t>
            </w:r>
            <w:r>
              <w:rPr>
                <w:rFonts w:ascii="Arial" w:hAnsi="Arial" w:cs="Arial"/>
                <w:sz w:val="18"/>
                <w:szCs w:val="18"/>
              </w:rPr>
              <w:t xml:space="preserve"> </w:t>
            </w:r>
            <w:r w:rsidRPr="00F5188E">
              <w:rPr>
                <w:rFonts w:ascii="Arial" w:hAnsi="Arial" w:cs="Arial"/>
                <w:sz w:val="18"/>
                <w:szCs w:val="18"/>
              </w:rPr>
              <w:t>with diluent</w:t>
            </w:r>
          </w:p>
          <w:p w14:paraId="0221278C" w14:textId="2A99E7DB" w:rsidR="00F5188E" w:rsidRPr="00F5188E" w:rsidRDefault="00F5188E" w:rsidP="00F5188E">
            <w:pPr>
              <w:rPr>
                <w:rFonts w:ascii="Arial" w:hAnsi="Arial" w:cs="Arial"/>
                <w:sz w:val="18"/>
                <w:szCs w:val="18"/>
              </w:rPr>
            </w:pPr>
            <w:r w:rsidRPr="00F5188E">
              <w:rPr>
                <w:rFonts w:ascii="Arial" w:hAnsi="Arial" w:cs="Arial"/>
                <w:sz w:val="18"/>
                <w:szCs w:val="18"/>
              </w:rPr>
              <w:t>Powder for injection 1.2 mg</w:t>
            </w:r>
            <w:r>
              <w:rPr>
                <w:rFonts w:ascii="Arial" w:hAnsi="Arial" w:cs="Arial"/>
                <w:sz w:val="18"/>
                <w:szCs w:val="18"/>
              </w:rPr>
              <w:t xml:space="preserve"> </w:t>
            </w:r>
            <w:r w:rsidRPr="00F5188E">
              <w:rPr>
                <w:rFonts w:ascii="Arial" w:hAnsi="Arial" w:cs="Arial"/>
                <w:sz w:val="18"/>
                <w:szCs w:val="18"/>
              </w:rPr>
              <w:t>with diluent</w:t>
            </w:r>
          </w:p>
          <w:p w14:paraId="06D04CBF" w14:textId="77777777" w:rsidR="00F5188E" w:rsidRDefault="00F5188E" w:rsidP="00F5188E">
            <w:pPr>
              <w:rPr>
                <w:rFonts w:ascii="Arial" w:hAnsi="Arial" w:cs="Arial"/>
                <w:sz w:val="18"/>
                <w:szCs w:val="18"/>
              </w:rPr>
            </w:pPr>
          </w:p>
          <w:p w14:paraId="4CF6CC26" w14:textId="22288057" w:rsidR="00F5188E" w:rsidRPr="00F5188E" w:rsidRDefault="00F5188E" w:rsidP="00F5188E">
            <w:pPr>
              <w:rPr>
                <w:rFonts w:ascii="Arial" w:hAnsi="Arial" w:cs="Arial"/>
                <w:sz w:val="18"/>
                <w:szCs w:val="18"/>
              </w:rPr>
            </w:pPr>
            <w:proofErr w:type="spellStart"/>
            <w:r w:rsidRPr="00F5188E">
              <w:rPr>
                <w:rFonts w:ascii="Arial" w:hAnsi="Arial" w:cs="Arial"/>
                <w:sz w:val="18"/>
                <w:szCs w:val="18"/>
              </w:rPr>
              <w:t>Voxzogo</w:t>
            </w:r>
            <w:proofErr w:type="spellEnd"/>
            <w:r w:rsidRPr="00F5188E">
              <w:rPr>
                <w:rFonts w:ascii="Arial" w:hAnsi="Arial" w:cs="Arial"/>
                <w:sz w:val="18"/>
                <w:szCs w:val="18"/>
              </w:rPr>
              <w:t>®</w:t>
            </w:r>
          </w:p>
          <w:p w14:paraId="6F947682" w14:textId="77777777" w:rsidR="00F5188E" w:rsidRDefault="00F5188E" w:rsidP="00F5188E">
            <w:pPr>
              <w:rPr>
                <w:rFonts w:ascii="Arial" w:hAnsi="Arial" w:cs="Arial"/>
                <w:sz w:val="18"/>
                <w:szCs w:val="18"/>
              </w:rPr>
            </w:pPr>
          </w:p>
          <w:p w14:paraId="3302A0AE" w14:textId="001CE547" w:rsidR="00F5188E" w:rsidRPr="00F5188E" w:rsidRDefault="00F5188E" w:rsidP="00F5188E">
            <w:pPr>
              <w:rPr>
                <w:rFonts w:ascii="Arial" w:hAnsi="Arial" w:cs="Arial"/>
                <w:sz w:val="18"/>
                <w:szCs w:val="18"/>
              </w:rPr>
            </w:pPr>
            <w:r w:rsidRPr="00F5188E">
              <w:rPr>
                <w:rFonts w:ascii="Arial" w:hAnsi="Arial" w:cs="Arial"/>
                <w:sz w:val="18"/>
                <w:szCs w:val="18"/>
              </w:rPr>
              <w:t>BioMarin Pharmaceutical Australia Pty Ltd</w:t>
            </w:r>
          </w:p>
          <w:p w14:paraId="0759826D" w14:textId="77777777" w:rsidR="00F5188E" w:rsidRDefault="00F5188E" w:rsidP="00F5188E">
            <w:pPr>
              <w:rPr>
                <w:rFonts w:ascii="Arial" w:hAnsi="Arial" w:cs="Arial"/>
                <w:sz w:val="18"/>
                <w:szCs w:val="18"/>
              </w:rPr>
            </w:pPr>
          </w:p>
          <w:p w14:paraId="18F3DE9C" w14:textId="2BCE961C" w:rsidR="003A08F1" w:rsidRPr="003F0DE3" w:rsidRDefault="00F5188E" w:rsidP="00F5188E">
            <w:pPr>
              <w:rPr>
                <w:rFonts w:ascii="Arial" w:hAnsi="Arial" w:cs="Arial"/>
                <w:sz w:val="18"/>
                <w:szCs w:val="18"/>
              </w:rPr>
            </w:pPr>
            <w:r w:rsidRPr="00F5188E">
              <w:rPr>
                <w:rFonts w:ascii="Arial" w:hAnsi="Arial" w:cs="Arial"/>
                <w:sz w:val="18"/>
                <w:szCs w:val="18"/>
              </w:rPr>
              <w:t xml:space="preserve">(New </w:t>
            </w:r>
            <w:r w:rsidR="00B63504">
              <w:rPr>
                <w:rFonts w:ascii="Arial" w:hAnsi="Arial" w:cs="Arial"/>
                <w:sz w:val="18"/>
                <w:szCs w:val="18"/>
              </w:rPr>
              <w:t xml:space="preserve">PBS </w:t>
            </w:r>
            <w:r w:rsidRPr="00F5188E">
              <w:rPr>
                <w:rFonts w:ascii="Arial" w:hAnsi="Arial" w:cs="Arial"/>
                <w:sz w:val="18"/>
                <w:szCs w:val="18"/>
              </w:rPr>
              <w:t>listing)</w:t>
            </w:r>
          </w:p>
        </w:tc>
        <w:tc>
          <w:tcPr>
            <w:tcW w:w="619" w:type="pct"/>
            <w:tcBorders>
              <w:top w:val="single" w:sz="4" w:space="0" w:color="auto"/>
              <w:left w:val="single" w:sz="4" w:space="0" w:color="auto"/>
              <w:right w:val="single" w:sz="4" w:space="0" w:color="auto"/>
            </w:tcBorders>
            <w:shd w:val="clear" w:color="auto" w:fill="auto"/>
            <w:vAlign w:val="center"/>
          </w:tcPr>
          <w:p w14:paraId="5EAFC6F5" w14:textId="62939B8E" w:rsidR="003A08F1" w:rsidRPr="003A08F1" w:rsidRDefault="00F5188E" w:rsidP="00180894">
            <w:pPr>
              <w:widowControl w:val="0"/>
              <w:jc w:val="center"/>
              <w:rPr>
                <w:rFonts w:ascii="Arial" w:hAnsi="Arial" w:cs="Arial"/>
                <w:snapToGrid w:val="0"/>
                <w:sz w:val="18"/>
                <w:szCs w:val="18"/>
                <w:lang w:eastAsia="en-US"/>
              </w:rPr>
            </w:pPr>
            <w:r w:rsidRPr="00F5188E">
              <w:rPr>
                <w:rFonts w:ascii="Arial" w:hAnsi="Arial" w:cs="Arial"/>
                <w:snapToGrid w:val="0"/>
                <w:sz w:val="18"/>
                <w:szCs w:val="18"/>
                <w:lang w:eastAsia="en-US"/>
              </w:rPr>
              <w:t>Achondroplasia</w:t>
            </w:r>
          </w:p>
        </w:tc>
        <w:tc>
          <w:tcPr>
            <w:tcW w:w="862" w:type="pct"/>
            <w:tcBorders>
              <w:top w:val="single" w:sz="4" w:space="0" w:color="auto"/>
              <w:left w:val="nil"/>
              <w:right w:val="single" w:sz="4" w:space="0" w:color="auto"/>
            </w:tcBorders>
            <w:shd w:val="clear" w:color="auto" w:fill="auto"/>
            <w:tcMar>
              <w:top w:w="28" w:type="dxa"/>
              <w:bottom w:w="28" w:type="dxa"/>
            </w:tcMar>
            <w:vAlign w:val="center"/>
          </w:tcPr>
          <w:p w14:paraId="18709F5D" w14:textId="780A75ED" w:rsidR="003A08F1" w:rsidRPr="003A08F1" w:rsidRDefault="00F5188E" w:rsidP="00F5188E">
            <w:pPr>
              <w:rPr>
                <w:rFonts w:ascii="Arial" w:hAnsi="Arial" w:cs="Arial"/>
                <w:snapToGrid w:val="0"/>
                <w:sz w:val="18"/>
                <w:szCs w:val="18"/>
                <w:lang w:eastAsia="en-US"/>
              </w:rPr>
            </w:pPr>
            <w:r w:rsidRPr="00F5188E">
              <w:rPr>
                <w:rFonts w:ascii="Arial" w:hAnsi="Arial" w:cs="Arial"/>
                <w:snapToGrid w:val="0"/>
                <w:sz w:val="18"/>
                <w:szCs w:val="18"/>
                <w:lang w:eastAsia="en-US"/>
              </w:rPr>
              <w:t>To request a General</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Schedule Authority Required</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listing for the treatment of</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patients with achondroplasia</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whose epiphyses are not</w:t>
            </w:r>
            <w:r>
              <w:rPr>
                <w:rFonts w:ascii="Arial" w:hAnsi="Arial" w:cs="Arial"/>
                <w:snapToGrid w:val="0"/>
                <w:sz w:val="18"/>
                <w:szCs w:val="18"/>
                <w:lang w:eastAsia="en-US"/>
              </w:rPr>
              <w:t xml:space="preserve"> </w:t>
            </w:r>
            <w:r w:rsidRPr="00F5188E">
              <w:rPr>
                <w:rFonts w:ascii="Arial" w:hAnsi="Arial" w:cs="Arial"/>
                <w:snapToGrid w:val="0"/>
                <w:sz w:val="18"/>
                <w:szCs w:val="18"/>
                <w:lang w:eastAsia="en-US"/>
              </w:rPr>
              <w:t>closed.</w:t>
            </w:r>
          </w:p>
        </w:tc>
        <w:tc>
          <w:tcPr>
            <w:tcW w:w="545" w:type="pct"/>
            <w:tcBorders>
              <w:top w:val="single" w:sz="4" w:space="0" w:color="auto"/>
              <w:left w:val="single" w:sz="4" w:space="0" w:color="auto"/>
              <w:right w:val="single" w:sz="4" w:space="0" w:color="auto"/>
            </w:tcBorders>
            <w:shd w:val="clear" w:color="auto" w:fill="auto"/>
            <w:vAlign w:val="center"/>
          </w:tcPr>
          <w:p w14:paraId="339E7E04" w14:textId="38D042B2" w:rsidR="003A08F1" w:rsidRDefault="00A25E80" w:rsidP="00180894">
            <w:pPr>
              <w:pStyle w:val="ListParagraph"/>
              <w:ind w:left="0"/>
              <w:jc w:val="center"/>
              <w:rPr>
                <w:rFonts w:ascii="Arial" w:hAnsi="Arial" w:cs="Arial"/>
                <w:snapToGrid w:val="0"/>
                <w:sz w:val="18"/>
                <w:szCs w:val="18"/>
                <w:lang w:eastAsia="en-US"/>
              </w:rPr>
            </w:pPr>
            <w:r>
              <w:rPr>
                <w:rFonts w:ascii="Arial" w:hAnsi="Arial" w:cs="Arial"/>
                <w:snapToGrid w:val="0"/>
                <w:sz w:val="18"/>
                <w:szCs w:val="18"/>
                <w:lang w:eastAsia="en-US"/>
              </w:rPr>
              <w:t>Deferred</w:t>
            </w:r>
          </w:p>
        </w:tc>
        <w:tc>
          <w:tcPr>
            <w:tcW w:w="2113" w:type="pct"/>
            <w:tcBorders>
              <w:top w:val="single" w:sz="4" w:space="0" w:color="auto"/>
            </w:tcBorders>
            <w:shd w:val="clear" w:color="auto" w:fill="auto"/>
            <w:vAlign w:val="center"/>
          </w:tcPr>
          <w:p w14:paraId="26A39821" w14:textId="75627862" w:rsidR="003A08F1" w:rsidRDefault="00A25E80" w:rsidP="003A08F1">
            <w:pPr>
              <w:spacing w:after="120"/>
              <w:rPr>
                <w:rFonts w:ascii="Arial" w:hAnsi="Arial" w:cs="Arial"/>
                <w:color w:val="000000"/>
                <w:sz w:val="18"/>
                <w:szCs w:val="18"/>
              </w:rPr>
            </w:pPr>
            <w:r w:rsidRPr="00A25E80">
              <w:rPr>
                <w:rFonts w:ascii="Arial" w:hAnsi="Arial" w:cs="Arial"/>
                <w:color w:val="000000"/>
                <w:sz w:val="18"/>
                <w:szCs w:val="18"/>
              </w:rPr>
              <w:t>The PBAC deferred making a recommendation for vosoritide for the treatment of patients with achondroplasia whose epiphyses are not closed to allow for further consultation with the sponsor regarding a cost-effective price. In deciding to defer making a recommendation, the PBAC affirmed its view that there was a high clinical need for effective treatments for achondroplasia, however</w:t>
            </w:r>
            <w:r w:rsidR="00F52BE1">
              <w:rPr>
                <w:rFonts w:ascii="Arial" w:hAnsi="Arial" w:cs="Arial"/>
                <w:color w:val="000000"/>
                <w:sz w:val="18"/>
                <w:szCs w:val="18"/>
              </w:rPr>
              <w:t>,</w:t>
            </w:r>
            <w:r w:rsidRPr="00A25E80">
              <w:rPr>
                <w:rFonts w:ascii="Arial" w:hAnsi="Arial" w:cs="Arial"/>
                <w:color w:val="000000"/>
                <w:sz w:val="18"/>
                <w:szCs w:val="18"/>
              </w:rPr>
              <w:t xml:space="preserve"> the Committee considered that a further price reduction was required to achieve an incremental cost</w:t>
            </w:r>
            <w:r w:rsidR="00E056C5">
              <w:rPr>
                <w:rFonts w:ascii="Arial" w:hAnsi="Arial" w:cs="Arial"/>
                <w:color w:val="000000"/>
                <w:sz w:val="18"/>
                <w:szCs w:val="18"/>
              </w:rPr>
              <w:t>-</w:t>
            </w:r>
            <w:r w:rsidRPr="00A25E80">
              <w:rPr>
                <w:rFonts w:ascii="Arial" w:hAnsi="Arial" w:cs="Arial"/>
                <w:color w:val="000000"/>
                <w:sz w:val="18"/>
                <w:szCs w:val="18"/>
              </w:rPr>
              <w:t>effectiveness ratio within a cost-effective range.</w:t>
            </w:r>
          </w:p>
          <w:p w14:paraId="117A80BC" w14:textId="77777777" w:rsidR="00FB7190" w:rsidRDefault="00FB7190" w:rsidP="003A08F1">
            <w:pPr>
              <w:spacing w:after="120"/>
              <w:rPr>
                <w:rFonts w:ascii="Arial" w:hAnsi="Arial" w:cs="Arial"/>
                <w:color w:val="000000"/>
                <w:sz w:val="18"/>
                <w:szCs w:val="18"/>
                <w:u w:val="single"/>
              </w:rPr>
            </w:pPr>
            <w:r>
              <w:rPr>
                <w:rFonts w:ascii="Arial" w:hAnsi="Arial" w:cs="Arial"/>
                <w:color w:val="000000"/>
                <w:sz w:val="18"/>
                <w:szCs w:val="18"/>
                <w:u w:val="single"/>
              </w:rPr>
              <w:t>Sponsor Comment:</w:t>
            </w:r>
          </w:p>
          <w:p w14:paraId="62552103" w14:textId="0E88C927" w:rsidR="00D53500" w:rsidRPr="00D53500" w:rsidRDefault="00D53500" w:rsidP="003A08F1">
            <w:pPr>
              <w:spacing w:after="120"/>
              <w:rPr>
                <w:rFonts w:ascii="Arial" w:hAnsi="Arial" w:cs="Arial"/>
                <w:color w:val="000000"/>
                <w:sz w:val="18"/>
                <w:szCs w:val="18"/>
              </w:rPr>
            </w:pPr>
            <w:r w:rsidRPr="00D53500">
              <w:rPr>
                <w:rFonts w:ascii="Arial" w:hAnsi="Arial" w:cs="Arial"/>
                <w:color w:val="000000"/>
                <w:sz w:val="18"/>
                <w:szCs w:val="18"/>
              </w:rPr>
              <w:t xml:space="preserve">BioMarin is extremely disappointed that the substantial price reduction offered in the early resolution resubmission was not accepted. We acknowledge the PBAC’s recognition of the high clinical need for </w:t>
            </w:r>
            <w:r w:rsidR="00184CDB">
              <w:rPr>
                <w:rFonts w:ascii="Arial" w:hAnsi="Arial" w:cs="Arial"/>
                <w:color w:val="000000"/>
                <w:sz w:val="18"/>
                <w:szCs w:val="18"/>
              </w:rPr>
              <w:t xml:space="preserve">effective treatments for achondroplasia, such as </w:t>
            </w:r>
            <w:r w:rsidRPr="00D53500">
              <w:rPr>
                <w:rFonts w:ascii="Arial" w:hAnsi="Arial" w:cs="Arial"/>
                <w:color w:val="000000"/>
                <w:sz w:val="18"/>
                <w:szCs w:val="18"/>
              </w:rPr>
              <w:t>vosoritide</w:t>
            </w:r>
            <w:r w:rsidR="00184CDB">
              <w:rPr>
                <w:rFonts w:ascii="Arial" w:hAnsi="Arial" w:cs="Arial"/>
                <w:color w:val="000000"/>
                <w:sz w:val="18"/>
                <w:szCs w:val="18"/>
              </w:rPr>
              <w:t>,</w:t>
            </w:r>
            <w:r w:rsidRPr="00D53500">
              <w:rPr>
                <w:rFonts w:ascii="Arial" w:hAnsi="Arial" w:cs="Arial"/>
                <w:color w:val="000000"/>
                <w:sz w:val="18"/>
                <w:szCs w:val="18"/>
              </w:rPr>
              <w:t xml:space="preserve"> and </w:t>
            </w:r>
            <w:r w:rsidR="00184CDB">
              <w:rPr>
                <w:rFonts w:ascii="Arial" w:hAnsi="Arial" w:cs="Arial"/>
                <w:color w:val="000000"/>
                <w:sz w:val="18"/>
                <w:szCs w:val="18"/>
              </w:rPr>
              <w:t xml:space="preserve">will continue to </w:t>
            </w:r>
            <w:r w:rsidRPr="00D53500">
              <w:rPr>
                <w:rFonts w:ascii="Arial" w:hAnsi="Arial" w:cs="Arial"/>
                <w:color w:val="000000"/>
                <w:sz w:val="18"/>
                <w:szCs w:val="18"/>
              </w:rPr>
              <w:t>seek to gain PBAC recommendation and PBS listing.</w:t>
            </w:r>
          </w:p>
        </w:tc>
      </w:tr>
    </w:tbl>
    <w:p w14:paraId="4081BEC2" w14:textId="635180E2" w:rsidR="00AC2F56" w:rsidRPr="001D4E5E" w:rsidRDefault="00AC2F56">
      <w:pPr>
        <w:rPr>
          <w:rFonts w:asciiTheme="minorHAnsi" w:hAnsiTheme="minorHAnsi" w:cstheme="minorHAnsi"/>
          <w:sz w:val="18"/>
          <w:szCs w:val="18"/>
          <w:lang w:val="en-US"/>
        </w:rPr>
      </w:pPr>
    </w:p>
    <w:p w14:paraId="50C821D7" w14:textId="55F695CA"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3DCF312E" w14:textId="51DED862" w:rsidR="00ED6AE3" w:rsidRDefault="00ED6AE3">
      <w:pPr>
        <w:rPr>
          <w:rFonts w:ascii="Arial" w:hAnsi="Arial" w:cs="Arial"/>
          <w:i/>
          <w:iCs/>
          <w:sz w:val="18"/>
          <w:szCs w:val="18"/>
        </w:rPr>
      </w:pPr>
      <w:r>
        <w:rPr>
          <w:rFonts w:ascii="Arial" w:hAnsi="Arial" w:cs="Arial"/>
          <w:i/>
          <w:iCs/>
          <w:sz w:val="18"/>
          <w:szCs w:val="18"/>
        </w:rPr>
        <w:lastRenderedPageBreak/>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5080" w:type="pct"/>
        <w:tblLayout w:type="fixed"/>
        <w:tblLook w:val="04A0" w:firstRow="1" w:lastRow="0" w:firstColumn="1" w:lastColumn="0" w:noHBand="0" w:noVBand="1"/>
      </w:tblPr>
      <w:tblGrid>
        <w:gridCol w:w="2690"/>
        <w:gridCol w:w="1935"/>
        <w:gridCol w:w="2692"/>
        <w:gridCol w:w="1704"/>
        <w:gridCol w:w="6613"/>
      </w:tblGrid>
      <w:tr w:rsidR="003835EB" w:rsidRPr="00A159CA" w14:paraId="6ADE83BF" w14:textId="77777777" w:rsidTr="00A25E80">
        <w:trPr>
          <w:cantSplit/>
          <w:trHeight w:val="58"/>
          <w:tblHead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E0B65F2" w14:textId="77777777" w:rsidR="003835EB" w:rsidRPr="00A159CA" w:rsidRDefault="003835EB" w:rsidP="000A5A82">
            <w:pPr>
              <w:keepLines/>
              <w:widowControl w:val="0"/>
              <w:spacing w:after="120"/>
              <w:rPr>
                <w:rFonts w:ascii="Arial" w:hAnsi="Arial" w:cs="Arial"/>
                <w:b/>
                <w:sz w:val="18"/>
                <w:szCs w:val="18"/>
              </w:rPr>
            </w:pPr>
            <w:bookmarkStart w:id="1" w:name="_Hlk84500855"/>
            <w:r w:rsidRPr="00A159CA">
              <w:rPr>
                <w:rFonts w:ascii="Arial" w:hAnsi="Arial" w:cs="Arial"/>
                <w:b/>
                <w:sz w:val="18"/>
                <w:szCs w:val="18"/>
              </w:rPr>
              <w:t>DRUG NAME, FORM(S), STRENGTH(S), SPONSOR, TYPE OF SUBMISSION</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328A465" w14:textId="581DD7E1" w:rsidR="003835EB" w:rsidRPr="00A159CA" w:rsidRDefault="003835EB" w:rsidP="00874475">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29379879" w14:textId="77777777" w:rsidR="003835EB" w:rsidRPr="00A159CA" w:rsidRDefault="003835EB" w:rsidP="007648A0">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6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4810" w14:textId="7E2818FB" w:rsidR="003835EB" w:rsidRPr="00A159CA" w:rsidRDefault="003835EB" w:rsidP="007648A0">
            <w:pPr>
              <w:keepLines/>
              <w:spacing w:after="120"/>
              <w:jc w:val="center"/>
              <w:rPr>
                <w:rFonts w:ascii="Arial" w:hAnsi="Arial" w:cs="Arial"/>
                <w:b/>
                <w:sz w:val="18"/>
                <w:szCs w:val="18"/>
              </w:rPr>
            </w:pPr>
            <w:r w:rsidRPr="00A159CA">
              <w:rPr>
                <w:rFonts w:ascii="Arial" w:hAnsi="Arial" w:cs="Arial"/>
                <w:b/>
                <w:sz w:val="18"/>
                <w:szCs w:val="18"/>
              </w:rPr>
              <w:t>PBAC OUTCOME</w:t>
            </w:r>
          </w:p>
        </w:tc>
      </w:tr>
      <w:tr w:rsidR="00205445" w:rsidRPr="00D2401D" w14:paraId="1E4FD751" w14:textId="77777777" w:rsidTr="00A25E80">
        <w:trPr>
          <w:cantSplit/>
          <w:trHeight w:val="58"/>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9CFF4EF" w14:textId="3A1C57AB" w:rsidR="00205445" w:rsidRDefault="002E6781" w:rsidP="00BA0B9A">
            <w:pPr>
              <w:rPr>
                <w:rFonts w:ascii="Arial" w:hAnsi="Arial" w:cs="Arial"/>
                <w:sz w:val="18"/>
                <w:szCs w:val="18"/>
              </w:rPr>
            </w:pPr>
            <w:r>
              <w:rPr>
                <w:rFonts w:ascii="Arial" w:hAnsi="Arial" w:cs="Arial"/>
                <w:sz w:val="18"/>
                <w:szCs w:val="18"/>
              </w:rPr>
              <w:t>RESTRICTION CHANGES TO COVID</w:t>
            </w:r>
            <w:r w:rsidR="00D13E80">
              <w:rPr>
                <w:rFonts w:ascii="Arial" w:hAnsi="Arial" w:cs="Arial"/>
                <w:sz w:val="18"/>
                <w:szCs w:val="18"/>
              </w:rPr>
              <w:t>-19</w:t>
            </w:r>
            <w:r>
              <w:rPr>
                <w:rFonts w:ascii="Arial" w:hAnsi="Arial" w:cs="Arial"/>
                <w:sz w:val="18"/>
                <w:szCs w:val="18"/>
              </w:rPr>
              <w:t xml:space="preserve"> ANTIVIRALS</w:t>
            </w:r>
          </w:p>
          <w:p w14:paraId="3E43ACDE" w14:textId="77777777" w:rsidR="002E6781" w:rsidRDefault="002E6781" w:rsidP="00BA0B9A">
            <w:pPr>
              <w:rPr>
                <w:rFonts w:ascii="Arial" w:hAnsi="Arial" w:cs="Arial"/>
                <w:sz w:val="18"/>
                <w:szCs w:val="18"/>
              </w:rPr>
            </w:pPr>
          </w:p>
          <w:p w14:paraId="3297E890" w14:textId="77777777" w:rsidR="002E6781" w:rsidRDefault="002E6781" w:rsidP="00BA0B9A">
            <w:pPr>
              <w:rPr>
                <w:rFonts w:ascii="Arial" w:hAnsi="Arial" w:cs="Arial"/>
                <w:sz w:val="18"/>
                <w:szCs w:val="18"/>
              </w:rPr>
            </w:pPr>
            <w:r>
              <w:rPr>
                <w:rFonts w:ascii="Arial" w:hAnsi="Arial" w:cs="Arial"/>
                <w:sz w:val="18"/>
                <w:szCs w:val="18"/>
              </w:rPr>
              <w:t>MOLNUPIRAVIR</w:t>
            </w:r>
          </w:p>
          <w:p w14:paraId="0B19A079" w14:textId="77777777" w:rsidR="002E6781" w:rsidRDefault="002E6781" w:rsidP="00BA0B9A">
            <w:pPr>
              <w:rPr>
                <w:rFonts w:ascii="Arial" w:hAnsi="Arial" w:cs="Arial"/>
                <w:sz w:val="18"/>
                <w:szCs w:val="18"/>
              </w:rPr>
            </w:pPr>
          </w:p>
          <w:p w14:paraId="0C4D108D" w14:textId="73E6A363" w:rsidR="002E6781" w:rsidRDefault="002E6781" w:rsidP="00BA0B9A">
            <w:pPr>
              <w:rPr>
                <w:rFonts w:ascii="Arial" w:hAnsi="Arial" w:cs="Arial"/>
                <w:sz w:val="18"/>
                <w:szCs w:val="18"/>
              </w:rPr>
            </w:pPr>
            <w:r>
              <w:rPr>
                <w:rFonts w:ascii="Arial" w:hAnsi="Arial" w:cs="Arial"/>
                <w:sz w:val="18"/>
                <w:szCs w:val="18"/>
              </w:rPr>
              <w:t>Capsule 200 mg</w:t>
            </w:r>
          </w:p>
          <w:p w14:paraId="7216FF87" w14:textId="7755D3E7" w:rsidR="002E6781" w:rsidRDefault="002E6781" w:rsidP="00BA0B9A">
            <w:pPr>
              <w:rPr>
                <w:rFonts w:ascii="Arial" w:hAnsi="Arial" w:cs="Arial"/>
                <w:sz w:val="18"/>
                <w:szCs w:val="18"/>
              </w:rPr>
            </w:pPr>
          </w:p>
          <w:p w14:paraId="32AF3A7B" w14:textId="7BD00269" w:rsidR="002E6781" w:rsidRDefault="009832F0" w:rsidP="00BA0B9A">
            <w:pPr>
              <w:rPr>
                <w:rFonts w:ascii="Arial" w:hAnsi="Arial" w:cs="Arial"/>
                <w:sz w:val="18"/>
                <w:szCs w:val="18"/>
              </w:rPr>
            </w:pPr>
            <w:proofErr w:type="spellStart"/>
            <w:r>
              <w:rPr>
                <w:rFonts w:ascii="Arial" w:hAnsi="Arial" w:cs="Arial"/>
                <w:sz w:val="18"/>
                <w:szCs w:val="18"/>
              </w:rPr>
              <w:t>Lagevrio</w:t>
            </w:r>
            <w:proofErr w:type="spellEnd"/>
            <w:r>
              <w:rPr>
                <w:rFonts w:ascii="Arial" w:hAnsi="Arial" w:cs="Arial"/>
                <w:sz w:val="18"/>
                <w:szCs w:val="18"/>
              </w:rPr>
              <w:t>®</w:t>
            </w:r>
          </w:p>
          <w:p w14:paraId="75F98328" w14:textId="0029900B" w:rsidR="009832F0" w:rsidRDefault="009832F0" w:rsidP="00BA0B9A">
            <w:pPr>
              <w:rPr>
                <w:rFonts w:ascii="Arial" w:hAnsi="Arial" w:cs="Arial"/>
                <w:sz w:val="18"/>
                <w:szCs w:val="18"/>
              </w:rPr>
            </w:pPr>
          </w:p>
          <w:p w14:paraId="5587A8DF" w14:textId="40BA7883" w:rsidR="009832F0" w:rsidRDefault="009832F0" w:rsidP="00BA0B9A">
            <w:pPr>
              <w:rPr>
                <w:rFonts w:ascii="Arial" w:hAnsi="Arial" w:cs="Arial"/>
                <w:sz w:val="18"/>
                <w:szCs w:val="18"/>
              </w:rPr>
            </w:pPr>
            <w:r w:rsidRPr="009832F0">
              <w:rPr>
                <w:rFonts w:ascii="Arial" w:hAnsi="Arial" w:cs="Arial"/>
                <w:sz w:val="18"/>
                <w:szCs w:val="18"/>
              </w:rPr>
              <w:t>Merck Sharp &amp; Dohme (Australia) Pty Ltd</w:t>
            </w:r>
          </w:p>
          <w:p w14:paraId="7B911DCC" w14:textId="77777777" w:rsidR="002E6781" w:rsidRDefault="002E6781" w:rsidP="00BA0B9A">
            <w:pPr>
              <w:rPr>
                <w:rFonts w:ascii="Arial" w:hAnsi="Arial" w:cs="Arial"/>
                <w:sz w:val="18"/>
                <w:szCs w:val="18"/>
              </w:rPr>
            </w:pPr>
          </w:p>
          <w:p w14:paraId="55E37CF2" w14:textId="44F3C101" w:rsidR="002E6781" w:rsidRDefault="002E6781" w:rsidP="00BA0B9A">
            <w:pPr>
              <w:rPr>
                <w:rFonts w:ascii="Arial" w:hAnsi="Arial" w:cs="Arial"/>
                <w:sz w:val="18"/>
                <w:szCs w:val="18"/>
              </w:rPr>
            </w:pPr>
            <w:r>
              <w:rPr>
                <w:rFonts w:ascii="Arial" w:hAnsi="Arial" w:cs="Arial"/>
                <w:sz w:val="18"/>
                <w:szCs w:val="18"/>
              </w:rPr>
              <w:t xml:space="preserve">NIRMATRELVIR </w:t>
            </w:r>
            <w:r w:rsidR="009832F0">
              <w:rPr>
                <w:rFonts w:ascii="Arial" w:hAnsi="Arial" w:cs="Arial"/>
                <w:sz w:val="18"/>
                <w:szCs w:val="18"/>
              </w:rPr>
              <w:t>AND</w:t>
            </w:r>
            <w:r>
              <w:rPr>
                <w:rFonts w:ascii="Arial" w:hAnsi="Arial" w:cs="Arial"/>
                <w:sz w:val="18"/>
                <w:szCs w:val="18"/>
              </w:rPr>
              <w:t xml:space="preserve"> RITONAVIR</w:t>
            </w:r>
          </w:p>
          <w:p w14:paraId="2C3B4581" w14:textId="77777777" w:rsidR="002E6781" w:rsidRDefault="002E6781" w:rsidP="00BA0B9A">
            <w:pPr>
              <w:rPr>
                <w:rFonts w:ascii="Arial" w:hAnsi="Arial" w:cs="Arial"/>
                <w:sz w:val="18"/>
                <w:szCs w:val="18"/>
              </w:rPr>
            </w:pPr>
          </w:p>
          <w:p w14:paraId="709264EA" w14:textId="6A897E96" w:rsidR="002E6781" w:rsidRDefault="009832F0" w:rsidP="00BA0B9A">
            <w:pPr>
              <w:rPr>
                <w:rFonts w:ascii="Arial" w:hAnsi="Arial" w:cs="Arial"/>
                <w:sz w:val="18"/>
                <w:szCs w:val="18"/>
              </w:rPr>
            </w:pPr>
            <w:r>
              <w:rPr>
                <w:rFonts w:ascii="Arial" w:hAnsi="Arial" w:cs="Arial"/>
                <w:sz w:val="18"/>
                <w:szCs w:val="18"/>
              </w:rPr>
              <w:t xml:space="preserve">Pack containing 4 tablets </w:t>
            </w:r>
            <w:proofErr w:type="spellStart"/>
            <w:r>
              <w:rPr>
                <w:rFonts w:ascii="Arial" w:hAnsi="Arial" w:cs="Arial"/>
                <w:sz w:val="18"/>
                <w:szCs w:val="18"/>
              </w:rPr>
              <w:t>nirmatrelvir</w:t>
            </w:r>
            <w:proofErr w:type="spellEnd"/>
            <w:r>
              <w:rPr>
                <w:rFonts w:ascii="Arial" w:hAnsi="Arial" w:cs="Arial"/>
                <w:sz w:val="18"/>
                <w:szCs w:val="18"/>
              </w:rPr>
              <w:t xml:space="preserve"> 150 mg and 2 tablets ritonavir 100 mg, 5</w:t>
            </w:r>
          </w:p>
          <w:p w14:paraId="2C6ECD10" w14:textId="77777777" w:rsidR="009832F0" w:rsidRDefault="009832F0" w:rsidP="00BA0B9A">
            <w:pPr>
              <w:rPr>
                <w:rFonts w:ascii="Arial" w:hAnsi="Arial" w:cs="Arial"/>
                <w:sz w:val="18"/>
                <w:szCs w:val="18"/>
              </w:rPr>
            </w:pPr>
          </w:p>
          <w:p w14:paraId="4BB0D12B" w14:textId="77777777" w:rsidR="009832F0" w:rsidRDefault="009832F0" w:rsidP="00BA0B9A">
            <w:pPr>
              <w:rPr>
                <w:rFonts w:ascii="Arial" w:hAnsi="Arial" w:cs="Arial"/>
                <w:sz w:val="18"/>
                <w:szCs w:val="18"/>
              </w:rPr>
            </w:pPr>
            <w:proofErr w:type="spellStart"/>
            <w:r>
              <w:rPr>
                <w:rFonts w:ascii="Arial" w:hAnsi="Arial" w:cs="Arial"/>
                <w:sz w:val="18"/>
                <w:szCs w:val="18"/>
              </w:rPr>
              <w:t>Paxlovid</w:t>
            </w:r>
            <w:proofErr w:type="spellEnd"/>
            <w:r>
              <w:rPr>
                <w:rFonts w:ascii="Arial" w:hAnsi="Arial" w:cs="Arial"/>
                <w:sz w:val="18"/>
                <w:szCs w:val="18"/>
              </w:rPr>
              <w:t>®</w:t>
            </w:r>
          </w:p>
          <w:p w14:paraId="35277B41" w14:textId="77777777" w:rsidR="009832F0" w:rsidRDefault="009832F0" w:rsidP="00BA0B9A">
            <w:pPr>
              <w:rPr>
                <w:rFonts w:ascii="Arial" w:hAnsi="Arial" w:cs="Arial"/>
                <w:sz w:val="18"/>
                <w:szCs w:val="18"/>
              </w:rPr>
            </w:pPr>
          </w:p>
          <w:p w14:paraId="67A56844" w14:textId="12BD2389" w:rsidR="009832F0" w:rsidRDefault="009832F0" w:rsidP="00BA0B9A">
            <w:pPr>
              <w:rPr>
                <w:rFonts w:ascii="Arial" w:hAnsi="Arial" w:cs="Arial"/>
                <w:sz w:val="18"/>
                <w:szCs w:val="18"/>
              </w:rPr>
            </w:pPr>
            <w:r w:rsidRPr="009832F0">
              <w:rPr>
                <w:rFonts w:ascii="Arial" w:hAnsi="Arial" w:cs="Arial"/>
                <w:sz w:val="18"/>
                <w:szCs w:val="18"/>
              </w:rPr>
              <w:t xml:space="preserve">Department of Health </w:t>
            </w:r>
            <w:r w:rsidR="00C04F52">
              <w:rPr>
                <w:rFonts w:ascii="Arial" w:hAnsi="Arial" w:cs="Arial"/>
                <w:sz w:val="18"/>
                <w:szCs w:val="18"/>
              </w:rPr>
              <w:t>(Commonwealth)</w:t>
            </w:r>
          </w:p>
          <w:p w14:paraId="76469D49" w14:textId="77777777" w:rsidR="009832F0" w:rsidRDefault="009832F0" w:rsidP="00BA0B9A">
            <w:pPr>
              <w:rPr>
                <w:rFonts w:ascii="Arial" w:hAnsi="Arial" w:cs="Arial"/>
                <w:sz w:val="18"/>
                <w:szCs w:val="18"/>
              </w:rPr>
            </w:pPr>
          </w:p>
          <w:p w14:paraId="0E4CDE5D" w14:textId="7182100F" w:rsidR="009832F0" w:rsidRPr="00FF3385" w:rsidRDefault="009832F0" w:rsidP="00BA0B9A">
            <w:pPr>
              <w:rPr>
                <w:rFonts w:ascii="Arial" w:hAnsi="Arial" w:cs="Arial"/>
                <w:sz w:val="18"/>
                <w:szCs w:val="18"/>
              </w:rPr>
            </w:pPr>
            <w:r>
              <w:rPr>
                <w:rFonts w:ascii="Arial" w:hAnsi="Arial" w:cs="Arial"/>
                <w:sz w:val="18"/>
                <w:szCs w:val="18"/>
              </w:rPr>
              <w:t>(Change to PBS listing)</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5FB59E5" w14:textId="37309918" w:rsidR="00205445" w:rsidRPr="00FF3385" w:rsidRDefault="00D2302C" w:rsidP="00952ADE">
            <w:pPr>
              <w:keepLines/>
              <w:widowControl w:val="0"/>
              <w:spacing w:after="120"/>
              <w:jc w:val="center"/>
              <w:rPr>
                <w:rFonts w:ascii="Arial" w:hAnsi="Arial" w:cs="Arial"/>
                <w:sz w:val="18"/>
                <w:szCs w:val="18"/>
              </w:rPr>
            </w:pPr>
            <w:r w:rsidRPr="00D2302C">
              <w:rPr>
                <w:rFonts w:ascii="Arial" w:hAnsi="Arial" w:cs="Arial"/>
                <w:sz w:val="18"/>
                <w:szCs w:val="18"/>
              </w:rPr>
              <w:t xml:space="preserve">Antivirals - treatment of </w:t>
            </w:r>
            <w:r w:rsidR="00B63504" w:rsidRPr="00C75B98">
              <w:rPr>
                <w:rFonts w:ascii="Arial" w:hAnsi="Arial" w:cs="Arial"/>
                <w:color w:val="000000"/>
                <w:sz w:val="18"/>
                <w:szCs w:val="18"/>
              </w:rPr>
              <w:t>severe acute respiratory syndrome coronavirus 2</w:t>
            </w:r>
            <w:r w:rsidR="00B63504" w:rsidRPr="00A25E80">
              <w:rPr>
                <w:rFonts w:ascii="Arial" w:hAnsi="Arial" w:cs="Arial"/>
                <w:color w:val="000000"/>
                <w:sz w:val="18"/>
                <w:szCs w:val="18"/>
              </w:rPr>
              <w:t xml:space="preserve"> </w:t>
            </w:r>
            <w:r w:rsidR="00B63504">
              <w:rPr>
                <w:rFonts w:ascii="Arial" w:hAnsi="Arial" w:cs="Arial"/>
                <w:color w:val="000000"/>
                <w:sz w:val="18"/>
                <w:szCs w:val="18"/>
              </w:rPr>
              <w:t>(</w:t>
            </w:r>
            <w:r w:rsidRPr="00D2302C">
              <w:rPr>
                <w:rFonts w:ascii="Arial" w:hAnsi="Arial" w:cs="Arial"/>
                <w:sz w:val="18"/>
                <w:szCs w:val="18"/>
              </w:rPr>
              <w:t>SARS-CoV-2</w:t>
            </w:r>
            <w:r w:rsidR="00B63504">
              <w:rPr>
                <w:rFonts w:ascii="Arial" w:hAnsi="Arial" w:cs="Arial"/>
                <w:sz w:val="18"/>
                <w:szCs w:val="18"/>
              </w:rPr>
              <w:t>)</w:t>
            </w:r>
            <w:r w:rsidRPr="00D2302C">
              <w:rPr>
                <w:rFonts w:ascii="Arial" w:hAnsi="Arial" w:cs="Arial"/>
                <w:sz w:val="18"/>
                <w:szCs w:val="18"/>
              </w:rPr>
              <w:t xml:space="preserve"> infection</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5BA6B36D" w14:textId="5615EB0A" w:rsidR="00D2302C" w:rsidRPr="00D2302C" w:rsidRDefault="00D2302C" w:rsidP="00D2302C">
            <w:pPr>
              <w:keepLines/>
              <w:widowControl w:val="0"/>
              <w:spacing w:after="120"/>
              <w:rPr>
                <w:rFonts w:ascii="Arial" w:hAnsi="Arial" w:cs="Arial"/>
                <w:snapToGrid w:val="0"/>
                <w:sz w:val="18"/>
                <w:szCs w:val="18"/>
                <w:lang w:eastAsia="en-US"/>
              </w:rPr>
            </w:pPr>
            <w:r w:rsidRPr="00D2302C">
              <w:rPr>
                <w:rFonts w:ascii="Arial" w:hAnsi="Arial" w:cs="Arial"/>
                <w:snapToGrid w:val="0"/>
                <w:sz w:val="18"/>
                <w:szCs w:val="18"/>
                <w:lang w:eastAsia="en-US"/>
              </w:rPr>
              <w:t>To seek PBAC advice on changing the restriction to support use in “unvaccinated” or “</w:t>
            </w:r>
            <w:proofErr w:type="spellStart"/>
            <w:r w:rsidRPr="00D2302C">
              <w:rPr>
                <w:rFonts w:ascii="Arial" w:hAnsi="Arial" w:cs="Arial"/>
                <w:snapToGrid w:val="0"/>
                <w:sz w:val="18"/>
                <w:szCs w:val="18"/>
                <w:lang w:eastAsia="en-US"/>
              </w:rPr>
              <w:t>suboptimally</w:t>
            </w:r>
            <w:proofErr w:type="spellEnd"/>
            <w:r w:rsidRPr="00D2302C">
              <w:rPr>
                <w:rFonts w:ascii="Arial" w:hAnsi="Arial" w:cs="Arial"/>
                <w:snapToGrid w:val="0"/>
                <w:sz w:val="18"/>
                <w:szCs w:val="18"/>
                <w:lang w:eastAsia="en-US"/>
              </w:rPr>
              <w:t xml:space="preserve"> vaccinated” patients. Options include reducing from two conditions to one condition (defining high risk) for people identifying as Aboriginal or Torres Strait </w:t>
            </w:r>
            <w:proofErr w:type="gramStart"/>
            <w:r w:rsidRPr="00D2302C">
              <w:rPr>
                <w:rFonts w:ascii="Arial" w:hAnsi="Arial" w:cs="Arial"/>
                <w:snapToGrid w:val="0"/>
                <w:sz w:val="18"/>
                <w:szCs w:val="18"/>
                <w:lang w:eastAsia="en-US"/>
              </w:rPr>
              <w:t>Islander, or</w:t>
            </w:r>
            <w:proofErr w:type="gramEnd"/>
            <w:r w:rsidRPr="00D2302C">
              <w:rPr>
                <w:rFonts w:ascii="Arial" w:hAnsi="Arial" w:cs="Arial"/>
                <w:snapToGrid w:val="0"/>
                <w:sz w:val="18"/>
                <w:szCs w:val="18"/>
                <w:lang w:eastAsia="en-US"/>
              </w:rPr>
              <w:t xml:space="preserve"> including “unvaccinated” or “</w:t>
            </w:r>
            <w:proofErr w:type="spellStart"/>
            <w:r w:rsidRPr="00D2302C">
              <w:rPr>
                <w:rFonts w:ascii="Arial" w:hAnsi="Arial" w:cs="Arial"/>
                <w:snapToGrid w:val="0"/>
                <w:sz w:val="18"/>
                <w:szCs w:val="18"/>
                <w:lang w:eastAsia="en-US"/>
              </w:rPr>
              <w:t>suboptimally</w:t>
            </w:r>
            <w:proofErr w:type="spellEnd"/>
            <w:r w:rsidRPr="00D2302C">
              <w:rPr>
                <w:rFonts w:ascii="Arial" w:hAnsi="Arial" w:cs="Arial"/>
                <w:snapToGrid w:val="0"/>
                <w:sz w:val="18"/>
                <w:szCs w:val="18"/>
                <w:lang w:eastAsia="en-US"/>
              </w:rPr>
              <w:t xml:space="preserve"> vaccinated” as a condition helping to define high risk (across the whole population).</w:t>
            </w:r>
          </w:p>
          <w:p w14:paraId="06B4844E" w14:textId="416B35E7" w:rsidR="00205445" w:rsidRPr="00FF3385" w:rsidRDefault="00D2302C" w:rsidP="00D2302C">
            <w:pPr>
              <w:keepLines/>
              <w:widowControl w:val="0"/>
              <w:spacing w:after="120"/>
              <w:rPr>
                <w:rFonts w:ascii="Arial" w:hAnsi="Arial" w:cs="Arial"/>
                <w:snapToGrid w:val="0"/>
                <w:sz w:val="18"/>
                <w:szCs w:val="18"/>
                <w:lang w:eastAsia="en-US"/>
              </w:rPr>
            </w:pPr>
            <w:r w:rsidRPr="00D2302C">
              <w:rPr>
                <w:rFonts w:ascii="Arial" w:hAnsi="Arial" w:cs="Arial"/>
                <w:snapToGrid w:val="0"/>
                <w:sz w:val="18"/>
                <w:szCs w:val="18"/>
                <w:lang w:eastAsia="en-US"/>
              </w:rPr>
              <w:t>To seek PBAC advice for listing th</w:t>
            </w:r>
            <w:r w:rsidR="00053C2A">
              <w:rPr>
                <w:rFonts w:ascii="Arial" w:hAnsi="Arial" w:cs="Arial"/>
                <w:snapToGrid w:val="0"/>
                <w:sz w:val="18"/>
                <w:szCs w:val="18"/>
                <w:lang w:eastAsia="en-US"/>
              </w:rPr>
              <w:t>ese</w:t>
            </w:r>
            <w:r w:rsidRPr="00D2302C">
              <w:rPr>
                <w:rFonts w:ascii="Arial" w:hAnsi="Arial" w:cs="Arial"/>
                <w:snapToGrid w:val="0"/>
                <w:sz w:val="18"/>
                <w:szCs w:val="18"/>
                <w:lang w:eastAsia="en-US"/>
              </w:rPr>
              <w:t xml:space="preserve"> medicine</w:t>
            </w:r>
            <w:r w:rsidR="00053C2A">
              <w:rPr>
                <w:rFonts w:ascii="Arial" w:hAnsi="Arial" w:cs="Arial"/>
                <w:snapToGrid w:val="0"/>
                <w:sz w:val="18"/>
                <w:szCs w:val="18"/>
                <w:lang w:eastAsia="en-US"/>
              </w:rPr>
              <w:t>s</w:t>
            </w:r>
            <w:r w:rsidRPr="00D2302C">
              <w:rPr>
                <w:rFonts w:ascii="Arial" w:hAnsi="Arial" w:cs="Arial"/>
                <w:snapToGrid w:val="0"/>
                <w:sz w:val="18"/>
                <w:szCs w:val="18"/>
                <w:lang w:eastAsia="en-US"/>
              </w:rPr>
              <w:t xml:space="preserve"> in the Doctor's Bag Schedule.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6445D35" w14:textId="4FD9CD24" w:rsidR="00205445" w:rsidRDefault="00D2302C" w:rsidP="000A5A82">
            <w:pPr>
              <w:keepLines/>
              <w:spacing w:after="120"/>
              <w:jc w:val="center"/>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14:paraId="1F986401" w14:textId="77777777" w:rsidR="00D2302C" w:rsidRPr="00D2302C" w:rsidRDefault="00D2302C" w:rsidP="00D2302C">
            <w:pPr>
              <w:keepLines/>
              <w:spacing w:after="120"/>
              <w:rPr>
                <w:rFonts w:ascii="Arial" w:hAnsi="Arial" w:cs="Arial"/>
                <w:color w:val="000000"/>
                <w:sz w:val="18"/>
                <w:szCs w:val="21"/>
                <w:shd w:val="clear" w:color="auto" w:fill="FFFFFF"/>
              </w:rPr>
            </w:pPr>
            <w:r w:rsidRPr="00D2302C">
              <w:rPr>
                <w:rFonts w:ascii="Arial" w:hAnsi="Arial" w:cs="Arial"/>
                <w:color w:val="000000"/>
                <w:sz w:val="18"/>
                <w:szCs w:val="21"/>
                <w:shd w:val="clear" w:color="auto" w:fill="FFFFFF"/>
              </w:rPr>
              <w:t xml:space="preserve">The PBAC recommended amending the PBS listings for </w:t>
            </w:r>
            <w:proofErr w:type="spellStart"/>
            <w:r w:rsidRPr="00D2302C">
              <w:rPr>
                <w:rFonts w:ascii="Arial" w:hAnsi="Arial" w:cs="Arial"/>
                <w:color w:val="000000"/>
                <w:sz w:val="18"/>
                <w:szCs w:val="21"/>
                <w:shd w:val="clear" w:color="auto" w:fill="FFFFFF"/>
              </w:rPr>
              <w:t>molnupiravir</w:t>
            </w:r>
            <w:proofErr w:type="spellEnd"/>
            <w:r w:rsidRPr="00D2302C">
              <w:rPr>
                <w:rFonts w:ascii="Arial" w:hAnsi="Arial" w:cs="Arial"/>
                <w:color w:val="000000"/>
                <w:sz w:val="18"/>
                <w:szCs w:val="21"/>
                <w:shd w:val="clear" w:color="auto" w:fill="FFFFFF"/>
              </w:rPr>
              <w:t xml:space="preserve"> and </w:t>
            </w:r>
            <w:proofErr w:type="spellStart"/>
            <w:r w:rsidRPr="00D2302C">
              <w:rPr>
                <w:rFonts w:ascii="Arial" w:hAnsi="Arial" w:cs="Arial"/>
                <w:color w:val="000000"/>
                <w:sz w:val="18"/>
                <w:szCs w:val="21"/>
                <w:shd w:val="clear" w:color="auto" w:fill="FFFFFF"/>
              </w:rPr>
              <w:t>nirmatrelvir</w:t>
            </w:r>
            <w:proofErr w:type="spellEnd"/>
            <w:r w:rsidRPr="00D2302C">
              <w:rPr>
                <w:rFonts w:ascii="Arial" w:hAnsi="Arial" w:cs="Arial"/>
                <w:color w:val="000000"/>
                <w:sz w:val="18"/>
                <w:szCs w:val="21"/>
                <w:shd w:val="clear" w:color="auto" w:fill="FFFFFF"/>
              </w:rPr>
              <w:t xml:space="preserve"> + ritonavir, so that people identifying as Aboriginal or Torres Strait Islander, and 30 years of age or more, require only one condition (from the current list of conditions) to meet the definition of high risk for the purpose of PBS eligibility.</w:t>
            </w:r>
          </w:p>
          <w:p w14:paraId="344133C2" w14:textId="77777777" w:rsidR="00D2302C" w:rsidRPr="00D2302C" w:rsidRDefault="00D2302C" w:rsidP="00D2302C">
            <w:pPr>
              <w:keepLines/>
              <w:spacing w:after="120"/>
              <w:rPr>
                <w:rFonts w:ascii="Arial" w:hAnsi="Arial" w:cs="Arial"/>
                <w:color w:val="000000"/>
                <w:sz w:val="18"/>
                <w:szCs w:val="21"/>
                <w:shd w:val="clear" w:color="auto" w:fill="FFFFFF"/>
              </w:rPr>
            </w:pPr>
          </w:p>
          <w:p w14:paraId="17B88EED" w14:textId="446B7890" w:rsidR="00205445" w:rsidRPr="00FF3385" w:rsidRDefault="00D2302C" w:rsidP="00D2302C">
            <w:pPr>
              <w:keepLines/>
              <w:spacing w:after="120"/>
              <w:rPr>
                <w:rFonts w:ascii="Arial" w:hAnsi="Arial" w:cs="Arial"/>
                <w:color w:val="000000"/>
                <w:sz w:val="18"/>
                <w:szCs w:val="21"/>
                <w:shd w:val="clear" w:color="auto" w:fill="FFFFFF"/>
              </w:rPr>
            </w:pPr>
            <w:r w:rsidRPr="00D2302C">
              <w:rPr>
                <w:rFonts w:ascii="Arial" w:hAnsi="Arial" w:cs="Arial"/>
                <w:color w:val="000000"/>
                <w:sz w:val="18"/>
                <w:szCs w:val="21"/>
                <w:shd w:val="clear" w:color="auto" w:fill="FFFFFF"/>
              </w:rPr>
              <w:t xml:space="preserve">The PBAC recommended that </w:t>
            </w:r>
            <w:proofErr w:type="spellStart"/>
            <w:r w:rsidRPr="00D2302C">
              <w:rPr>
                <w:rFonts w:ascii="Arial" w:hAnsi="Arial" w:cs="Arial"/>
                <w:color w:val="000000"/>
                <w:sz w:val="18"/>
                <w:szCs w:val="21"/>
                <w:shd w:val="clear" w:color="auto" w:fill="FFFFFF"/>
              </w:rPr>
              <w:t>molnupiravir</w:t>
            </w:r>
            <w:proofErr w:type="spellEnd"/>
            <w:r w:rsidRPr="00D2302C">
              <w:rPr>
                <w:rFonts w:ascii="Arial" w:hAnsi="Arial" w:cs="Arial"/>
                <w:color w:val="000000"/>
                <w:sz w:val="18"/>
                <w:szCs w:val="21"/>
                <w:shd w:val="clear" w:color="auto" w:fill="FFFFFF"/>
              </w:rPr>
              <w:t xml:space="preserve"> and </w:t>
            </w:r>
            <w:proofErr w:type="spellStart"/>
            <w:r w:rsidRPr="00D2302C">
              <w:rPr>
                <w:rFonts w:ascii="Arial" w:hAnsi="Arial" w:cs="Arial"/>
                <w:color w:val="000000"/>
                <w:sz w:val="18"/>
                <w:szCs w:val="21"/>
                <w:shd w:val="clear" w:color="auto" w:fill="FFFFFF"/>
              </w:rPr>
              <w:t>nirmatrelvir</w:t>
            </w:r>
            <w:proofErr w:type="spellEnd"/>
            <w:r w:rsidRPr="00D2302C">
              <w:rPr>
                <w:rFonts w:ascii="Arial" w:hAnsi="Arial" w:cs="Arial"/>
                <w:color w:val="000000"/>
                <w:sz w:val="18"/>
                <w:szCs w:val="21"/>
                <w:shd w:val="clear" w:color="auto" w:fill="FFFFFF"/>
              </w:rPr>
              <w:t xml:space="preserve"> + ritonavir both be added to Prescriber’s Bag supplies (Medical Practitioner and Nurse Practitioner), with the quantity being two bottles of </w:t>
            </w:r>
            <w:proofErr w:type="spellStart"/>
            <w:r w:rsidRPr="00D2302C">
              <w:rPr>
                <w:rFonts w:ascii="Arial" w:hAnsi="Arial" w:cs="Arial"/>
                <w:color w:val="000000"/>
                <w:sz w:val="18"/>
                <w:szCs w:val="21"/>
                <w:shd w:val="clear" w:color="auto" w:fill="FFFFFF"/>
              </w:rPr>
              <w:t>molnupiravir</w:t>
            </w:r>
            <w:proofErr w:type="spellEnd"/>
            <w:r w:rsidRPr="00D2302C">
              <w:rPr>
                <w:rFonts w:ascii="Arial" w:hAnsi="Arial" w:cs="Arial"/>
                <w:color w:val="000000"/>
                <w:sz w:val="18"/>
                <w:szCs w:val="21"/>
                <w:shd w:val="clear" w:color="auto" w:fill="FFFFFF"/>
              </w:rPr>
              <w:t xml:space="preserve"> (40 capsules per bottle) and two cartons of </w:t>
            </w:r>
            <w:proofErr w:type="spellStart"/>
            <w:r w:rsidRPr="00D2302C">
              <w:rPr>
                <w:rFonts w:ascii="Arial" w:hAnsi="Arial" w:cs="Arial"/>
                <w:color w:val="000000"/>
                <w:sz w:val="18"/>
                <w:szCs w:val="21"/>
                <w:shd w:val="clear" w:color="auto" w:fill="FFFFFF"/>
              </w:rPr>
              <w:t>nirmatrelvir</w:t>
            </w:r>
            <w:proofErr w:type="spellEnd"/>
            <w:r w:rsidRPr="00D2302C">
              <w:rPr>
                <w:rFonts w:ascii="Arial" w:hAnsi="Arial" w:cs="Arial"/>
                <w:color w:val="000000"/>
                <w:sz w:val="18"/>
                <w:szCs w:val="21"/>
                <w:shd w:val="clear" w:color="auto" w:fill="FFFFFF"/>
              </w:rPr>
              <w:t xml:space="preserve"> + ritonavir (30 tablets divided in 5 daily-dose blister cards, per carton).</w:t>
            </w:r>
          </w:p>
        </w:tc>
      </w:tr>
      <w:tr w:rsidR="00062335" w:rsidRPr="00D2401D" w14:paraId="6933D7F3" w14:textId="77777777" w:rsidTr="00A25E80">
        <w:trPr>
          <w:cantSplit/>
          <w:trHeight w:val="58"/>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166AB02" w14:textId="77777777" w:rsidR="00062335" w:rsidRDefault="00D2302C" w:rsidP="00062335">
            <w:pPr>
              <w:rPr>
                <w:rFonts w:ascii="Arial" w:hAnsi="Arial" w:cs="Arial"/>
                <w:sz w:val="18"/>
                <w:szCs w:val="18"/>
              </w:rPr>
            </w:pPr>
            <w:r>
              <w:rPr>
                <w:rFonts w:ascii="Arial" w:hAnsi="Arial" w:cs="Arial"/>
                <w:sz w:val="18"/>
                <w:szCs w:val="18"/>
              </w:rPr>
              <w:lastRenderedPageBreak/>
              <w:t>RESTRICTION CHANGES TO LEFLUNOMIDE</w:t>
            </w:r>
          </w:p>
          <w:p w14:paraId="1AD93AD6" w14:textId="77777777" w:rsidR="00D2302C" w:rsidRDefault="00D2302C" w:rsidP="00062335">
            <w:pPr>
              <w:rPr>
                <w:rFonts w:ascii="Arial" w:hAnsi="Arial" w:cs="Arial"/>
                <w:sz w:val="18"/>
                <w:szCs w:val="18"/>
              </w:rPr>
            </w:pPr>
          </w:p>
          <w:p w14:paraId="364FB321" w14:textId="77777777" w:rsidR="00D2302C" w:rsidRDefault="00D2302C" w:rsidP="00062335">
            <w:pPr>
              <w:rPr>
                <w:rFonts w:ascii="Arial" w:hAnsi="Arial" w:cs="Arial"/>
                <w:sz w:val="18"/>
                <w:szCs w:val="18"/>
              </w:rPr>
            </w:pPr>
            <w:r>
              <w:rPr>
                <w:rFonts w:ascii="Arial" w:hAnsi="Arial" w:cs="Arial"/>
                <w:sz w:val="18"/>
                <w:szCs w:val="18"/>
              </w:rPr>
              <w:t>LEFLUNOMIDE</w:t>
            </w:r>
          </w:p>
          <w:p w14:paraId="1B71D85B" w14:textId="77777777" w:rsidR="00D2302C" w:rsidRDefault="00D2302C" w:rsidP="00062335">
            <w:pPr>
              <w:rPr>
                <w:rFonts w:ascii="Arial" w:hAnsi="Arial" w:cs="Arial"/>
                <w:sz w:val="18"/>
                <w:szCs w:val="18"/>
              </w:rPr>
            </w:pPr>
          </w:p>
          <w:p w14:paraId="1EFCA365" w14:textId="77777777" w:rsidR="00D2302C" w:rsidRDefault="00D2302C" w:rsidP="00062335">
            <w:pPr>
              <w:rPr>
                <w:rFonts w:ascii="Arial" w:hAnsi="Arial" w:cs="Arial"/>
                <w:sz w:val="18"/>
                <w:szCs w:val="18"/>
              </w:rPr>
            </w:pPr>
            <w:r>
              <w:rPr>
                <w:rFonts w:ascii="Arial" w:hAnsi="Arial" w:cs="Arial"/>
                <w:sz w:val="18"/>
                <w:szCs w:val="18"/>
              </w:rPr>
              <w:t>Tablet 10 mg</w:t>
            </w:r>
          </w:p>
          <w:p w14:paraId="40817B42" w14:textId="77777777" w:rsidR="00D2302C" w:rsidRDefault="00D2302C" w:rsidP="00062335">
            <w:pPr>
              <w:rPr>
                <w:rFonts w:ascii="Arial" w:hAnsi="Arial" w:cs="Arial"/>
                <w:sz w:val="18"/>
                <w:szCs w:val="18"/>
              </w:rPr>
            </w:pPr>
            <w:r>
              <w:rPr>
                <w:rFonts w:ascii="Arial" w:hAnsi="Arial" w:cs="Arial"/>
                <w:sz w:val="18"/>
                <w:szCs w:val="18"/>
              </w:rPr>
              <w:t>Tablet 20 mg</w:t>
            </w:r>
          </w:p>
          <w:p w14:paraId="570EE76A" w14:textId="77777777" w:rsidR="00D2302C" w:rsidRDefault="00D2302C" w:rsidP="00062335">
            <w:pPr>
              <w:rPr>
                <w:rFonts w:ascii="Arial" w:hAnsi="Arial" w:cs="Arial"/>
                <w:sz w:val="18"/>
                <w:szCs w:val="18"/>
              </w:rPr>
            </w:pPr>
          </w:p>
          <w:p w14:paraId="567F0E60" w14:textId="77777777" w:rsidR="00D2302C" w:rsidRDefault="00D2302C" w:rsidP="00062335">
            <w:pPr>
              <w:rPr>
                <w:rFonts w:ascii="Arial" w:hAnsi="Arial" w:cs="Arial"/>
                <w:sz w:val="18"/>
                <w:szCs w:val="18"/>
              </w:rPr>
            </w:pPr>
            <w:r>
              <w:rPr>
                <w:rFonts w:ascii="Arial" w:hAnsi="Arial" w:cs="Arial"/>
                <w:sz w:val="18"/>
                <w:szCs w:val="18"/>
              </w:rPr>
              <w:t>Various brands</w:t>
            </w:r>
          </w:p>
          <w:p w14:paraId="26F634B3" w14:textId="77777777" w:rsidR="00D2302C" w:rsidRDefault="00D2302C" w:rsidP="00062335">
            <w:pPr>
              <w:rPr>
                <w:rFonts w:ascii="Arial" w:hAnsi="Arial" w:cs="Arial"/>
                <w:sz w:val="18"/>
                <w:szCs w:val="18"/>
              </w:rPr>
            </w:pPr>
          </w:p>
          <w:p w14:paraId="16A5BA75" w14:textId="77777777" w:rsidR="00D2302C" w:rsidRDefault="00D2302C" w:rsidP="00062335">
            <w:pPr>
              <w:rPr>
                <w:rFonts w:ascii="Arial" w:hAnsi="Arial" w:cs="Arial"/>
                <w:sz w:val="18"/>
                <w:szCs w:val="18"/>
              </w:rPr>
            </w:pPr>
            <w:r>
              <w:rPr>
                <w:rFonts w:ascii="Arial" w:hAnsi="Arial" w:cs="Arial"/>
                <w:sz w:val="18"/>
                <w:szCs w:val="18"/>
              </w:rPr>
              <w:t>Various sponsors</w:t>
            </w:r>
          </w:p>
          <w:p w14:paraId="5E4EFA97" w14:textId="77777777" w:rsidR="00D2302C" w:rsidRDefault="00D2302C" w:rsidP="00062335">
            <w:pPr>
              <w:rPr>
                <w:rFonts w:ascii="Arial" w:hAnsi="Arial" w:cs="Arial"/>
                <w:sz w:val="18"/>
                <w:szCs w:val="18"/>
              </w:rPr>
            </w:pPr>
          </w:p>
          <w:p w14:paraId="60891A2D" w14:textId="3AE017B7" w:rsidR="00D2302C" w:rsidRDefault="00D2302C" w:rsidP="00062335">
            <w:pPr>
              <w:rPr>
                <w:rFonts w:ascii="Arial" w:hAnsi="Arial" w:cs="Arial"/>
                <w:sz w:val="18"/>
                <w:szCs w:val="18"/>
              </w:rPr>
            </w:pPr>
            <w:r>
              <w:rPr>
                <w:rFonts w:ascii="Arial" w:hAnsi="Arial" w:cs="Arial"/>
                <w:sz w:val="18"/>
                <w:szCs w:val="18"/>
              </w:rPr>
              <w:t>(Change to PBS listing)</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5E665E3" w14:textId="77777777" w:rsidR="00A25E80" w:rsidRPr="00A25E80" w:rsidRDefault="00A25E80" w:rsidP="00A25E80">
            <w:pPr>
              <w:keepLines/>
              <w:widowControl w:val="0"/>
              <w:spacing w:after="120"/>
              <w:jc w:val="center"/>
              <w:rPr>
                <w:rFonts w:ascii="Arial" w:hAnsi="Arial" w:cs="Arial"/>
                <w:sz w:val="18"/>
                <w:szCs w:val="18"/>
              </w:rPr>
            </w:pPr>
            <w:r w:rsidRPr="00A25E80">
              <w:rPr>
                <w:rFonts w:ascii="Arial" w:hAnsi="Arial" w:cs="Arial"/>
                <w:sz w:val="18"/>
                <w:szCs w:val="18"/>
              </w:rPr>
              <w:t>Immunosuppressant</w:t>
            </w:r>
          </w:p>
          <w:p w14:paraId="02DFA4BD" w14:textId="77777777" w:rsidR="00A25E80" w:rsidRPr="00A25E80" w:rsidRDefault="00A25E80" w:rsidP="00A25E80">
            <w:pPr>
              <w:keepLines/>
              <w:widowControl w:val="0"/>
              <w:spacing w:after="120"/>
              <w:jc w:val="center"/>
              <w:rPr>
                <w:rFonts w:ascii="Arial" w:hAnsi="Arial" w:cs="Arial"/>
                <w:sz w:val="18"/>
                <w:szCs w:val="18"/>
              </w:rPr>
            </w:pPr>
            <w:r w:rsidRPr="00A25E80">
              <w:rPr>
                <w:rFonts w:ascii="Arial" w:hAnsi="Arial" w:cs="Arial"/>
                <w:sz w:val="18"/>
                <w:szCs w:val="18"/>
              </w:rPr>
              <w:t>Severe active psoriatic arthritis</w:t>
            </w:r>
          </w:p>
          <w:p w14:paraId="06BE12BB" w14:textId="58BF9005" w:rsidR="00062335" w:rsidRPr="00FF3385" w:rsidRDefault="00A25E80" w:rsidP="00A25E80">
            <w:pPr>
              <w:keepLines/>
              <w:widowControl w:val="0"/>
              <w:spacing w:after="120"/>
              <w:jc w:val="center"/>
              <w:rPr>
                <w:rFonts w:ascii="Arial" w:hAnsi="Arial" w:cs="Arial"/>
                <w:sz w:val="18"/>
                <w:szCs w:val="18"/>
              </w:rPr>
            </w:pPr>
            <w:r w:rsidRPr="00A25E80">
              <w:rPr>
                <w:rFonts w:ascii="Arial" w:hAnsi="Arial" w:cs="Arial"/>
                <w:sz w:val="18"/>
                <w:szCs w:val="18"/>
              </w:rPr>
              <w:t>Severe active rheumatoid arthritis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44E1565E" w14:textId="00AB43F2" w:rsidR="00062335" w:rsidRPr="007F0847" w:rsidRDefault="00A25E80" w:rsidP="00FF3385">
            <w:pPr>
              <w:keepLines/>
              <w:widowControl w:val="0"/>
              <w:spacing w:after="120"/>
              <w:rPr>
                <w:rFonts w:ascii="Arial" w:hAnsi="Arial" w:cs="Arial"/>
                <w:snapToGrid w:val="0"/>
                <w:sz w:val="18"/>
                <w:szCs w:val="18"/>
                <w:lang w:eastAsia="en-US"/>
              </w:rPr>
            </w:pPr>
            <w:r w:rsidRPr="00A25E80">
              <w:rPr>
                <w:rFonts w:ascii="Arial" w:hAnsi="Arial" w:cs="Arial"/>
                <w:snapToGrid w:val="0"/>
                <w:sz w:val="18"/>
                <w:szCs w:val="18"/>
                <w:lang w:eastAsia="en-US"/>
              </w:rPr>
              <w:t>To consider whether leflunomide should be changed to a Restricted Benefit listing on the PBS.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3BB241A" w14:textId="66C567CA" w:rsidR="00062335" w:rsidRDefault="00A25E80" w:rsidP="000A5A82">
            <w:pPr>
              <w:keepLines/>
              <w:spacing w:after="120"/>
              <w:jc w:val="center"/>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14:paraId="0D64A5A8" w14:textId="1DA975A3" w:rsidR="00062335" w:rsidRPr="00062335" w:rsidRDefault="00A25E80" w:rsidP="00FF3385">
            <w:pPr>
              <w:keepLines/>
              <w:spacing w:after="120"/>
              <w:rPr>
                <w:rFonts w:ascii="Arial" w:hAnsi="Arial" w:cs="Arial"/>
                <w:color w:val="000000"/>
                <w:sz w:val="18"/>
                <w:szCs w:val="21"/>
                <w:shd w:val="clear" w:color="auto" w:fill="FFFFFF"/>
              </w:rPr>
            </w:pPr>
            <w:r w:rsidRPr="00A25E80">
              <w:rPr>
                <w:rFonts w:ascii="Arial" w:hAnsi="Arial" w:cs="Arial"/>
                <w:color w:val="000000"/>
                <w:sz w:val="18"/>
                <w:szCs w:val="21"/>
                <w:shd w:val="clear" w:color="auto" w:fill="FFFFFF"/>
              </w:rPr>
              <w:t>The PBAC recommended that the authority level of leflunomide on the PBS be amended from Authority Required (STREAMLINED) to Restricted Benefit for the same indications and clinical criteria as the existing listings. The PBAC noted this would reduce the administrative burden of prescribing these medicines to patients but was not expected to increase the cost to Government.</w:t>
            </w:r>
          </w:p>
        </w:tc>
      </w:tr>
      <w:bookmarkEnd w:id="1"/>
    </w:tbl>
    <w:p w14:paraId="34534BB3" w14:textId="3AF18415" w:rsidR="00952ADE" w:rsidRDefault="00952ADE">
      <w:pPr>
        <w:rPr>
          <w:rFonts w:asciiTheme="minorHAnsi" w:hAnsiTheme="minorHAnsi" w:cstheme="minorHAnsi"/>
          <w:sz w:val="18"/>
          <w:szCs w:val="18"/>
          <w:lang w:val="en-US"/>
        </w:rPr>
      </w:pPr>
    </w:p>
    <w:p w14:paraId="15949D98" w14:textId="77777777" w:rsidR="00E27AB3" w:rsidRDefault="00E27AB3" w:rsidP="00E27AB3">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016E929C" w14:textId="77777777" w:rsidR="00E27AB3" w:rsidRDefault="00E27AB3" w:rsidP="00E27AB3">
      <w:pPr>
        <w:pStyle w:val="ListParagraph"/>
        <w:ind w:left="0"/>
        <w:contextualSpacing w:val="0"/>
        <w:rPr>
          <w:rFonts w:ascii="Arial" w:hAnsi="Arial" w:cs="Arial"/>
          <w:iCs/>
          <w:color w:val="808080" w:themeColor="background1" w:themeShade="80"/>
          <w:sz w:val="16"/>
          <w:szCs w:val="16"/>
          <w:u w:val="single"/>
        </w:rPr>
      </w:pPr>
      <w:r>
        <w:rPr>
          <w:rFonts w:ascii="Arial" w:hAnsi="Arial" w:cs="Arial"/>
          <w:iCs/>
          <w:color w:val="808080" w:themeColor="background1" w:themeShade="80"/>
          <w:sz w:val="16"/>
          <w:szCs w:val="16"/>
          <w:u w:val="single"/>
        </w:rPr>
        <w:t>Items a</w:t>
      </w:r>
      <w:r w:rsidRPr="00F44736">
        <w:rPr>
          <w:rFonts w:ascii="Arial" w:hAnsi="Arial" w:cs="Arial"/>
          <w:iCs/>
          <w:color w:val="808080" w:themeColor="background1" w:themeShade="80"/>
          <w:sz w:val="16"/>
          <w:szCs w:val="16"/>
          <w:u w:val="single"/>
        </w:rPr>
        <w:t>mend</w:t>
      </w:r>
      <w:r>
        <w:rPr>
          <w:rFonts w:ascii="Arial" w:hAnsi="Arial" w:cs="Arial"/>
          <w:iCs/>
          <w:color w:val="808080" w:themeColor="background1" w:themeShade="80"/>
          <w:sz w:val="16"/>
          <w:szCs w:val="16"/>
          <w:u w:val="single"/>
        </w:rPr>
        <w:t>ed</w:t>
      </w:r>
    </w:p>
    <w:p w14:paraId="4E516232" w14:textId="09FB1B9B" w:rsidR="003835EB" w:rsidRDefault="00E27AB3" w:rsidP="00E27AB3">
      <w:pPr>
        <w:rPr>
          <w:rFonts w:asciiTheme="minorHAnsi" w:hAnsiTheme="minorHAnsi" w:cstheme="minorHAnsi"/>
          <w:sz w:val="18"/>
          <w:szCs w:val="18"/>
          <w:lang w:val="en-US"/>
        </w:rPr>
      </w:pPr>
      <w:r>
        <w:rPr>
          <w:rFonts w:ascii="Arial" w:hAnsi="Arial" w:cs="Arial"/>
          <w:iCs/>
          <w:color w:val="808080" w:themeColor="background1" w:themeShade="80"/>
          <w:sz w:val="16"/>
          <w:szCs w:val="16"/>
        </w:rPr>
        <w:t>RUXOLITINIB (</w:t>
      </w:r>
      <w:proofErr w:type="spellStart"/>
      <w:r w:rsidRPr="00A87DEB">
        <w:rPr>
          <w:rFonts w:ascii="Arial" w:hAnsi="Arial" w:cs="Arial"/>
          <w:iCs/>
          <w:color w:val="808080" w:themeColor="background1" w:themeShade="80"/>
          <w:sz w:val="16"/>
          <w:szCs w:val="16"/>
        </w:rPr>
        <w:t>Jakavi</w:t>
      </w:r>
      <w:proofErr w:type="spellEnd"/>
      <w:r w:rsidRPr="00A87DEB">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Purpose of submission for item amended</w:t>
      </w:r>
    </w:p>
    <w:p w14:paraId="662F0672" w14:textId="351735AE" w:rsidR="00952ADE" w:rsidRDefault="00952ADE">
      <w:pPr>
        <w:rPr>
          <w:rFonts w:asciiTheme="minorHAnsi" w:hAnsiTheme="minorHAnsi" w:cstheme="minorHAnsi"/>
          <w:sz w:val="18"/>
          <w:szCs w:val="18"/>
          <w:lang w:val="en-US"/>
        </w:rPr>
      </w:pPr>
    </w:p>
    <w:p w14:paraId="61FCBCC1" w14:textId="37E214A4" w:rsidR="00952ADE" w:rsidRDefault="00952ADE">
      <w:pPr>
        <w:rPr>
          <w:rFonts w:asciiTheme="minorHAnsi" w:hAnsiTheme="minorHAnsi" w:cstheme="minorHAnsi"/>
          <w:sz w:val="18"/>
          <w:szCs w:val="18"/>
          <w:lang w:val="en-US"/>
        </w:rPr>
      </w:pPr>
    </w:p>
    <w:p w14:paraId="44B18B02" w14:textId="6A2E930E" w:rsidR="00952ADE" w:rsidRDefault="00952ADE">
      <w:pPr>
        <w:rPr>
          <w:rFonts w:asciiTheme="minorHAnsi" w:hAnsiTheme="minorHAnsi" w:cstheme="minorHAnsi"/>
          <w:sz w:val="18"/>
          <w:szCs w:val="18"/>
          <w:lang w:val="en-US"/>
        </w:rPr>
      </w:pPr>
    </w:p>
    <w:p w14:paraId="12A4F9AF" w14:textId="2330F347"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6CE3C41E" w14:textId="5E1C6509"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w:t>
            </w:r>
            <w:proofErr w:type="gramStart"/>
            <w:r w:rsidRPr="001D4E5E">
              <w:rPr>
                <w:rFonts w:ascii="Arial" w:hAnsi="Arial" w:cs="Arial"/>
                <w:color w:val="000000"/>
                <w:sz w:val="18"/>
                <w:szCs w:val="18"/>
              </w:rPr>
              <w:t>and also</w:t>
            </w:r>
            <w:proofErr w:type="gramEnd"/>
            <w:r w:rsidRPr="001D4E5E">
              <w:rPr>
                <w:rFonts w:ascii="Arial" w:hAnsi="Arial" w:cs="Arial"/>
                <w:color w:val="000000"/>
                <w:sz w:val="18"/>
                <w:szCs w:val="18"/>
              </w:rPr>
              <w:t xml:space="preserve">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6D5F0B0E"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 xml:space="preserve">An Early Re-entry Pathway may be nominated by the PBAC where the PBAC considers that the remaining issues could be easily </w:t>
            </w:r>
            <w:proofErr w:type="gramStart"/>
            <w:r w:rsidRPr="001D4E5E">
              <w:rPr>
                <w:rFonts w:ascii="Arial" w:hAnsi="Arial" w:cs="Arial"/>
                <w:sz w:val="18"/>
                <w:szCs w:val="18"/>
              </w:rPr>
              <w:t>resolved</w:t>
            </w:r>
            <w:proofErr w:type="gramEnd"/>
            <w:r w:rsidRPr="001D4E5E">
              <w:rPr>
                <w:rFonts w:ascii="Arial" w:hAnsi="Arial" w:cs="Arial"/>
                <w:sz w:val="18"/>
                <w:szCs w:val="18"/>
              </w:rPr>
              <w:t xml:space="preserve"> and the medicine or vaccine does not represent </w:t>
            </w:r>
            <w:r w:rsidR="00D63667" w:rsidRPr="001D4E5E">
              <w:rPr>
                <w:rFonts w:ascii="Arial" w:hAnsi="Arial" w:cs="Arial"/>
                <w:color w:val="000000"/>
                <w:sz w:val="18"/>
                <w:szCs w:val="18"/>
              </w:rPr>
              <w:t xml:space="preserve">High Added Therapeutic Value </w:t>
            </w:r>
            <w:r w:rsidR="00D63667">
              <w:rPr>
                <w:rFonts w:ascii="Arial" w:hAnsi="Arial" w:cs="Arial"/>
                <w:color w:val="000000"/>
                <w:sz w:val="18"/>
                <w:szCs w:val="18"/>
              </w:rPr>
              <w:t>(</w:t>
            </w:r>
            <w:r w:rsidRPr="001D4E5E">
              <w:rPr>
                <w:rFonts w:ascii="Arial" w:hAnsi="Arial" w:cs="Arial"/>
                <w:sz w:val="18"/>
                <w:szCs w:val="18"/>
              </w:rPr>
              <w:t>HATV</w:t>
            </w:r>
            <w:r w:rsidR="00D63667">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5CC3C980"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8AB9" w14:textId="77777777" w:rsidR="00BA0B9A" w:rsidRDefault="00BA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482" w14:textId="77777777" w:rsidR="00BA0B9A" w:rsidRDefault="00BA0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0D50C631" w:rsidR="00762FCA" w:rsidRDefault="00BA0B9A" w:rsidP="00571206">
    <w:pPr>
      <w:pStyle w:val="Header"/>
      <w:jc w:val="center"/>
      <w:rPr>
        <w:rFonts w:ascii="Arial" w:hAnsi="Arial" w:cs="Arial"/>
        <w:b/>
      </w:rPr>
    </w:pPr>
    <w:r>
      <w:rPr>
        <w:rFonts w:ascii="Arial" w:hAnsi="Arial" w:cs="Arial"/>
        <w:b/>
      </w:rPr>
      <w:t>SEPTEMBER</w:t>
    </w:r>
    <w:r w:rsidR="00874475">
      <w:rPr>
        <w:rFonts w:ascii="Arial" w:hAnsi="Arial" w:cs="Arial"/>
        <w:b/>
      </w:rPr>
      <w:t xml:space="preserve"> 2022 </w:t>
    </w:r>
    <w:r w:rsidR="00762FCA">
      <w:rPr>
        <w:rFonts w:ascii="Arial" w:hAnsi="Arial" w:cs="Arial"/>
        <w:b/>
      </w:rPr>
      <w:t>PBAC</w:t>
    </w:r>
    <w:r w:rsidR="00874475">
      <w:rPr>
        <w:rFonts w:ascii="Arial" w:hAnsi="Arial" w:cs="Arial"/>
        <w:b/>
      </w:rPr>
      <w:t xml:space="preserve"> INTRACYCLE</w:t>
    </w:r>
    <w:r w:rsidR="00762FCA">
      <w:rPr>
        <w:rFonts w:ascii="Arial" w:hAnsi="Arial" w:cs="Arial"/>
        <w:b/>
      </w:rPr>
      <w:t xml:space="preserve">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3BCA" w14:textId="77777777" w:rsidR="00BA0B9A" w:rsidRDefault="00BA0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2DC7837"/>
    <w:multiLevelType w:val="hybridMultilevel"/>
    <w:tmpl w:val="489E5A8C"/>
    <w:lvl w:ilvl="0" w:tplc="AD3C8AE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B15B59"/>
    <w:multiLevelType w:val="hybridMultilevel"/>
    <w:tmpl w:val="F7ECA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1"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4"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35"/>
  </w:num>
  <w:num w:numId="4">
    <w:abstractNumId w:val="25"/>
  </w:num>
  <w:num w:numId="5">
    <w:abstractNumId w:val="13"/>
  </w:num>
  <w:num w:numId="6">
    <w:abstractNumId w:val="6"/>
  </w:num>
  <w:num w:numId="7">
    <w:abstractNumId w:val="3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2"/>
  </w:num>
  <w:num w:numId="11">
    <w:abstractNumId w:val="30"/>
  </w:num>
  <w:num w:numId="12">
    <w:abstractNumId w:val="32"/>
  </w:num>
  <w:num w:numId="13">
    <w:abstractNumId w:val="8"/>
  </w:num>
  <w:num w:numId="14">
    <w:abstractNumId w:val="31"/>
  </w:num>
  <w:num w:numId="15">
    <w:abstractNumId w:val="34"/>
  </w:num>
  <w:num w:numId="16">
    <w:abstractNumId w:val="26"/>
  </w:num>
  <w:num w:numId="17">
    <w:abstractNumId w:val="46"/>
  </w:num>
  <w:num w:numId="18">
    <w:abstractNumId w:val="48"/>
  </w:num>
  <w:num w:numId="19">
    <w:abstractNumId w:val="5"/>
  </w:num>
  <w:num w:numId="20">
    <w:abstractNumId w:val="14"/>
  </w:num>
  <w:num w:numId="21">
    <w:abstractNumId w:val="16"/>
  </w:num>
  <w:num w:numId="22">
    <w:abstractNumId w:val="44"/>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7"/>
  </w:num>
  <w:num w:numId="31">
    <w:abstractNumId w:val="17"/>
  </w:num>
  <w:num w:numId="32">
    <w:abstractNumId w:val="40"/>
  </w:num>
  <w:num w:numId="33">
    <w:abstractNumId w:val="45"/>
  </w:num>
  <w:num w:numId="34">
    <w:abstractNumId w:val="43"/>
  </w:num>
  <w:num w:numId="35">
    <w:abstractNumId w:val="3"/>
  </w:num>
  <w:num w:numId="36">
    <w:abstractNumId w:val="41"/>
  </w:num>
  <w:num w:numId="37">
    <w:abstractNumId w:val="2"/>
  </w:num>
  <w:num w:numId="38">
    <w:abstractNumId w:val="18"/>
  </w:num>
  <w:num w:numId="39">
    <w:abstractNumId w:val="1"/>
  </w:num>
  <w:num w:numId="40">
    <w:abstractNumId w:val="28"/>
  </w:num>
  <w:num w:numId="41">
    <w:abstractNumId w:val="7"/>
  </w:num>
  <w:num w:numId="42">
    <w:abstractNumId w:val="33"/>
  </w:num>
  <w:num w:numId="43">
    <w:abstractNumId w:val="29"/>
  </w:num>
  <w:num w:numId="44">
    <w:abstractNumId w:val="39"/>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0D0"/>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1F97"/>
    <w:rsid w:val="00042593"/>
    <w:rsid w:val="00043C1D"/>
    <w:rsid w:val="00044146"/>
    <w:rsid w:val="00044BB4"/>
    <w:rsid w:val="00046725"/>
    <w:rsid w:val="000468C0"/>
    <w:rsid w:val="00046DA2"/>
    <w:rsid w:val="00050762"/>
    <w:rsid w:val="000507B9"/>
    <w:rsid w:val="0005150B"/>
    <w:rsid w:val="00051AF5"/>
    <w:rsid w:val="00053C2A"/>
    <w:rsid w:val="000564EB"/>
    <w:rsid w:val="0005661F"/>
    <w:rsid w:val="000566B7"/>
    <w:rsid w:val="00057006"/>
    <w:rsid w:val="000575B4"/>
    <w:rsid w:val="000601EA"/>
    <w:rsid w:val="000603CB"/>
    <w:rsid w:val="0006084C"/>
    <w:rsid w:val="000608FE"/>
    <w:rsid w:val="000615B0"/>
    <w:rsid w:val="00061E01"/>
    <w:rsid w:val="00062335"/>
    <w:rsid w:val="0006239E"/>
    <w:rsid w:val="0006295A"/>
    <w:rsid w:val="00063CD0"/>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781"/>
    <w:rsid w:val="00081DCD"/>
    <w:rsid w:val="00082053"/>
    <w:rsid w:val="00082507"/>
    <w:rsid w:val="000834C8"/>
    <w:rsid w:val="00083789"/>
    <w:rsid w:val="00083792"/>
    <w:rsid w:val="000839D5"/>
    <w:rsid w:val="00083A63"/>
    <w:rsid w:val="00083BE8"/>
    <w:rsid w:val="00083E6A"/>
    <w:rsid w:val="00084012"/>
    <w:rsid w:val="00084264"/>
    <w:rsid w:val="000842BB"/>
    <w:rsid w:val="00084824"/>
    <w:rsid w:val="00084CED"/>
    <w:rsid w:val="00084D37"/>
    <w:rsid w:val="000855C9"/>
    <w:rsid w:val="00085F9C"/>
    <w:rsid w:val="00086013"/>
    <w:rsid w:val="0008687E"/>
    <w:rsid w:val="000868A3"/>
    <w:rsid w:val="00086D66"/>
    <w:rsid w:val="000872FA"/>
    <w:rsid w:val="00090385"/>
    <w:rsid w:val="0009063A"/>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5A82"/>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8CC"/>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91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2E20"/>
    <w:rsid w:val="0011385A"/>
    <w:rsid w:val="00113C76"/>
    <w:rsid w:val="00114588"/>
    <w:rsid w:val="001149B9"/>
    <w:rsid w:val="00114A58"/>
    <w:rsid w:val="00114D12"/>
    <w:rsid w:val="00115629"/>
    <w:rsid w:val="001158B6"/>
    <w:rsid w:val="00115B67"/>
    <w:rsid w:val="00116F1A"/>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42E"/>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0894"/>
    <w:rsid w:val="001810C8"/>
    <w:rsid w:val="001812AE"/>
    <w:rsid w:val="00182E45"/>
    <w:rsid w:val="00183DEE"/>
    <w:rsid w:val="00184CDB"/>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0F06"/>
    <w:rsid w:val="001B1577"/>
    <w:rsid w:val="001B16C3"/>
    <w:rsid w:val="001B1838"/>
    <w:rsid w:val="001B1C67"/>
    <w:rsid w:val="001B2234"/>
    <w:rsid w:val="001B3984"/>
    <w:rsid w:val="001B3FE9"/>
    <w:rsid w:val="001B46AE"/>
    <w:rsid w:val="001B5009"/>
    <w:rsid w:val="001B54F0"/>
    <w:rsid w:val="001B5950"/>
    <w:rsid w:val="001B5C7A"/>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445"/>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5AD"/>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8CF"/>
    <w:rsid w:val="00246A8F"/>
    <w:rsid w:val="0024727D"/>
    <w:rsid w:val="00247783"/>
    <w:rsid w:val="00250912"/>
    <w:rsid w:val="00250DBA"/>
    <w:rsid w:val="00251087"/>
    <w:rsid w:val="00251174"/>
    <w:rsid w:val="00251294"/>
    <w:rsid w:val="002519D8"/>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7D1"/>
    <w:rsid w:val="002C7D3C"/>
    <w:rsid w:val="002D012B"/>
    <w:rsid w:val="002D04DB"/>
    <w:rsid w:val="002D0DDF"/>
    <w:rsid w:val="002D17A5"/>
    <w:rsid w:val="002D1AC7"/>
    <w:rsid w:val="002D2BCB"/>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46B"/>
    <w:rsid w:val="002E5E0E"/>
    <w:rsid w:val="002E5E2F"/>
    <w:rsid w:val="002E5F1C"/>
    <w:rsid w:val="002E5F3E"/>
    <w:rsid w:val="002E6781"/>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DAA"/>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12C"/>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6153"/>
    <w:rsid w:val="00377224"/>
    <w:rsid w:val="00377360"/>
    <w:rsid w:val="0037737B"/>
    <w:rsid w:val="003777B8"/>
    <w:rsid w:val="00377BAD"/>
    <w:rsid w:val="00381DCB"/>
    <w:rsid w:val="00381F87"/>
    <w:rsid w:val="003821D7"/>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08F1"/>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0DE3"/>
    <w:rsid w:val="003F1283"/>
    <w:rsid w:val="003F13F6"/>
    <w:rsid w:val="003F174E"/>
    <w:rsid w:val="003F1F13"/>
    <w:rsid w:val="003F2DAF"/>
    <w:rsid w:val="003F2ED2"/>
    <w:rsid w:val="003F3772"/>
    <w:rsid w:val="003F3ED2"/>
    <w:rsid w:val="003F4627"/>
    <w:rsid w:val="003F4ABA"/>
    <w:rsid w:val="003F53B6"/>
    <w:rsid w:val="003F6169"/>
    <w:rsid w:val="003F6645"/>
    <w:rsid w:val="003F6F1A"/>
    <w:rsid w:val="003F72D7"/>
    <w:rsid w:val="003F77DA"/>
    <w:rsid w:val="003F7B2D"/>
    <w:rsid w:val="003F7C7A"/>
    <w:rsid w:val="00400D40"/>
    <w:rsid w:val="0040111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3CF6"/>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3FAD"/>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9B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6F5"/>
    <w:rsid w:val="004C33E8"/>
    <w:rsid w:val="004C4A96"/>
    <w:rsid w:val="004C4E5F"/>
    <w:rsid w:val="004C5875"/>
    <w:rsid w:val="004C5F28"/>
    <w:rsid w:val="004C5FC2"/>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18A"/>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8E3"/>
    <w:rsid w:val="00511D75"/>
    <w:rsid w:val="00511FF2"/>
    <w:rsid w:val="00512232"/>
    <w:rsid w:val="00513B7E"/>
    <w:rsid w:val="00514597"/>
    <w:rsid w:val="005150AB"/>
    <w:rsid w:val="0051520F"/>
    <w:rsid w:val="005159F9"/>
    <w:rsid w:val="0051769B"/>
    <w:rsid w:val="0052052F"/>
    <w:rsid w:val="00520571"/>
    <w:rsid w:val="005225F9"/>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134"/>
    <w:rsid w:val="00534668"/>
    <w:rsid w:val="005346BF"/>
    <w:rsid w:val="0053472D"/>
    <w:rsid w:val="0053481E"/>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6020"/>
    <w:rsid w:val="005A74D9"/>
    <w:rsid w:val="005A7E88"/>
    <w:rsid w:val="005B01F4"/>
    <w:rsid w:val="005B05BE"/>
    <w:rsid w:val="005B0692"/>
    <w:rsid w:val="005B07C7"/>
    <w:rsid w:val="005B096C"/>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4264"/>
    <w:rsid w:val="005C5258"/>
    <w:rsid w:val="005C57F7"/>
    <w:rsid w:val="005C76FD"/>
    <w:rsid w:val="005C7A6D"/>
    <w:rsid w:val="005C7DC3"/>
    <w:rsid w:val="005D0DAF"/>
    <w:rsid w:val="005D0E2B"/>
    <w:rsid w:val="005D14A4"/>
    <w:rsid w:val="005D18AB"/>
    <w:rsid w:val="005D1D83"/>
    <w:rsid w:val="005D2E2B"/>
    <w:rsid w:val="005D3D10"/>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D25"/>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9BB"/>
    <w:rsid w:val="00616C7C"/>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3C71"/>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3AB"/>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657E"/>
    <w:rsid w:val="0070718C"/>
    <w:rsid w:val="00711526"/>
    <w:rsid w:val="0071165C"/>
    <w:rsid w:val="00711CAD"/>
    <w:rsid w:val="0071201B"/>
    <w:rsid w:val="007128AF"/>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5F93"/>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CC7"/>
    <w:rsid w:val="00763EE9"/>
    <w:rsid w:val="00764375"/>
    <w:rsid w:val="007648A0"/>
    <w:rsid w:val="007653BF"/>
    <w:rsid w:val="00765630"/>
    <w:rsid w:val="00765919"/>
    <w:rsid w:val="007661BB"/>
    <w:rsid w:val="0076653E"/>
    <w:rsid w:val="00766621"/>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1B21"/>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69EA"/>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4AA"/>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D7C"/>
    <w:rsid w:val="007E5FF3"/>
    <w:rsid w:val="007E65FE"/>
    <w:rsid w:val="007E6782"/>
    <w:rsid w:val="007E6B64"/>
    <w:rsid w:val="007E6F9A"/>
    <w:rsid w:val="007E7679"/>
    <w:rsid w:val="007E79F5"/>
    <w:rsid w:val="007E7AF0"/>
    <w:rsid w:val="007F02BF"/>
    <w:rsid w:val="007F0847"/>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1E91"/>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24"/>
    <w:rsid w:val="00854674"/>
    <w:rsid w:val="00854784"/>
    <w:rsid w:val="00854C8E"/>
    <w:rsid w:val="00856542"/>
    <w:rsid w:val="0085729A"/>
    <w:rsid w:val="008575ED"/>
    <w:rsid w:val="00857F3D"/>
    <w:rsid w:val="00860F08"/>
    <w:rsid w:val="008612F5"/>
    <w:rsid w:val="00861F9D"/>
    <w:rsid w:val="0086307F"/>
    <w:rsid w:val="008639AD"/>
    <w:rsid w:val="00863C1F"/>
    <w:rsid w:val="008646CF"/>
    <w:rsid w:val="00866BCC"/>
    <w:rsid w:val="00870856"/>
    <w:rsid w:val="0087157B"/>
    <w:rsid w:val="00872B3A"/>
    <w:rsid w:val="00873845"/>
    <w:rsid w:val="00874475"/>
    <w:rsid w:val="00875F0B"/>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6709"/>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6B"/>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672E3"/>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2F0"/>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3A36"/>
    <w:rsid w:val="00994F4D"/>
    <w:rsid w:val="0099582B"/>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5EF4"/>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7FA"/>
    <w:rsid w:val="009E3112"/>
    <w:rsid w:val="009E34B7"/>
    <w:rsid w:val="009E434B"/>
    <w:rsid w:val="009E480B"/>
    <w:rsid w:val="009E4C2E"/>
    <w:rsid w:val="009E5BAE"/>
    <w:rsid w:val="009E5BF5"/>
    <w:rsid w:val="009E5D18"/>
    <w:rsid w:val="009E5F8E"/>
    <w:rsid w:val="009E648E"/>
    <w:rsid w:val="009E65CA"/>
    <w:rsid w:val="009E699D"/>
    <w:rsid w:val="009F0A69"/>
    <w:rsid w:val="009F16B9"/>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E80"/>
    <w:rsid w:val="00A25FCF"/>
    <w:rsid w:val="00A269B5"/>
    <w:rsid w:val="00A26A3F"/>
    <w:rsid w:val="00A2726D"/>
    <w:rsid w:val="00A30627"/>
    <w:rsid w:val="00A30B6C"/>
    <w:rsid w:val="00A30FD5"/>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5D27"/>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3D7D"/>
    <w:rsid w:val="00AD64CC"/>
    <w:rsid w:val="00AD68F8"/>
    <w:rsid w:val="00AD692B"/>
    <w:rsid w:val="00AE0B68"/>
    <w:rsid w:val="00AE0CA2"/>
    <w:rsid w:val="00AE1037"/>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6E49"/>
    <w:rsid w:val="00B27255"/>
    <w:rsid w:val="00B2749B"/>
    <w:rsid w:val="00B2763A"/>
    <w:rsid w:val="00B27A0A"/>
    <w:rsid w:val="00B27F78"/>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112"/>
    <w:rsid w:val="00B4097F"/>
    <w:rsid w:val="00B410B3"/>
    <w:rsid w:val="00B4136C"/>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504"/>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B9A"/>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28E8"/>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4F52"/>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27701"/>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5B98"/>
    <w:rsid w:val="00C7675A"/>
    <w:rsid w:val="00C76E9D"/>
    <w:rsid w:val="00C778AB"/>
    <w:rsid w:val="00C80235"/>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CDB"/>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739"/>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0FEB"/>
    <w:rsid w:val="00CE3120"/>
    <w:rsid w:val="00CE3C60"/>
    <w:rsid w:val="00CE42DB"/>
    <w:rsid w:val="00CE4C6F"/>
    <w:rsid w:val="00CE52CC"/>
    <w:rsid w:val="00CE53F4"/>
    <w:rsid w:val="00CE5510"/>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CF7B4C"/>
    <w:rsid w:val="00D005E0"/>
    <w:rsid w:val="00D012FF"/>
    <w:rsid w:val="00D0157B"/>
    <w:rsid w:val="00D01CC4"/>
    <w:rsid w:val="00D01E6B"/>
    <w:rsid w:val="00D02045"/>
    <w:rsid w:val="00D031A1"/>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3E80"/>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02C"/>
    <w:rsid w:val="00D232D8"/>
    <w:rsid w:val="00D233CD"/>
    <w:rsid w:val="00D23500"/>
    <w:rsid w:val="00D23AD3"/>
    <w:rsid w:val="00D23FC0"/>
    <w:rsid w:val="00D23FCE"/>
    <w:rsid w:val="00D24364"/>
    <w:rsid w:val="00D2469E"/>
    <w:rsid w:val="00D25F63"/>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3500"/>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667"/>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2D49"/>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044"/>
    <w:rsid w:val="00DB0312"/>
    <w:rsid w:val="00DB0EDD"/>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7F6"/>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6C5"/>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1B03"/>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AB3"/>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51B6"/>
    <w:rsid w:val="00E454AD"/>
    <w:rsid w:val="00E45F16"/>
    <w:rsid w:val="00E4671A"/>
    <w:rsid w:val="00E474DE"/>
    <w:rsid w:val="00E47920"/>
    <w:rsid w:val="00E50115"/>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01"/>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87DA4"/>
    <w:rsid w:val="00E900A4"/>
    <w:rsid w:val="00E9041B"/>
    <w:rsid w:val="00E90963"/>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0CB"/>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002"/>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6823"/>
    <w:rsid w:val="00F47C6B"/>
    <w:rsid w:val="00F5002C"/>
    <w:rsid w:val="00F503D2"/>
    <w:rsid w:val="00F505AC"/>
    <w:rsid w:val="00F50603"/>
    <w:rsid w:val="00F50C03"/>
    <w:rsid w:val="00F50F47"/>
    <w:rsid w:val="00F5188E"/>
    <w:rsid w:val="00F51899"/>
    <w:rsid w:val="00F51E43"/>
    <w:rsid w:val="00F5253A"/>
    <w:rsid w:val="00F52BE1"/>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190"/>
    <w:rsid w:val="00FB7318"/>
    <w:rsid w:val="00FB77DE"/>
    <w:rsid w:val="00FC0251"/>
    <w:rsid w:val="00FC1102"/>
    <w:rsid w:val="00FC16AD"/>
    <w:rsid w:val="00FC1F94"/>
    <w:rsid w:val="00FC24A5"/>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77C"/>
    <w:rsid w:val="00FF290B"/>
    <w:rsid w:val="00FF320D"/>
    <w:rsid w:val="00FF3385"/>
    <w:rsid w:val="00FF33BD"/>
    <w:rsid w:val="00FF3C13"/>
    <w:rsid w:val="00FF3CEA"/>
    <w:rsid w:val="00FF3F18"/>
    <w:rsid w:val="00FF4169"/>
    <w:rsid w:val="00FF4B56"/>
    <w:rsid w:val="00FF4FD5"/>
    <w:rsid w:val="00FF582B"/>
    <w:rsid w:val="00FF6702"/>
    <w:rsid w:val="00FF6848"/>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character" w:styleId="UnresolvedMention">
    <w:name w:val="Unresolved Mention"/>
    <w:basedOn w:val="DefaultParagraphFont"/>
    <w:uiPriority w:val="99"/>
    <w:semiHidden/>
    <w:unhideWhenUsed/>
    <w:rsid w:val="00FF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1324387">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0628495">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3996059">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14715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2022-11-14T03:57:00Z</dcterms:created>
  <dcterms:modified xsi:type="dcterms:W3CDTF">2022-11-14T03:57:00Z</dcterms:modified>
</cp:coreProperties>
</file>