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0904A" w14:textId="1315957F" w:rsidR="007567D2" w:rsidRPr="00153C15" w:rsidRDefault="007567D2" w:rsidP="007C685F">
      <w:pPr>
        <w:pStyle w:val="Default"/>
        <w:ind w:right="656"/>
        <w:jc w:val="both"/>
        <w:rPr>
          <w:rFonts w:ascii="Arial" w:hAnsi="Arial" w:cs="Arial"/>
          <w:sz w:val="18"/>
          <w:szCs w:val="18"/>
        </w:rPr>
      </w:pPr>
      <w:r w:rsidRPr="00153C15">
        <w:rPr>
          <w:rFonts w:ascii="Arial" w:hAnsi="Arial" w:cs="Arial"/>
          <w:sz w:val="18"/>
          <w:szCs w:val="18"/>
        </w:rPr>
        <w:t xml:space="preserve">The </w:t>
      </w:r>
      <w:r w:rsidR="009E648E" w:rsidRPr="00153C15">
        <w:rPr>
          <w:rFonts w:ascii="Arial" w:hAnsi="Arial" w:cs="Arial"/>
          <w:sz w:val="18"/>
          <w:szCs w:val="18"/>
        </w:rPr>
        <w:t>PBAC outcomes and recommendations are presented</w:t>
      </w:r>
      <w:r w:rsidRPr="00153C15">
        <w:rPr>
          <w:rFonts w:ascii="Arial" w:hAnsi="Arial" w:cs="Arial"/>
          <w:sz w:val="18"/>
          <w:szCs w:val="18"/>
        </w:rPr>
        <w:t xml:space="preserve"> in alphabetical order by drug name.</w:t>
      </w:r>
    </w:p>
    <w:p w14:paraId="498951C4" w14:textId="211A8FF8" w:rsidR="007567D2" w:rsidRPr="00153C15" w:rsidRDefault="007567D2">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8" w:type="dxa"/>
        </w:tblCellMar>
        <w:tblLook w:val="01E0" w:firstRow="1" w:lastRow="1" w:firstColumn="1" w:lastColumn="1" w:noHBand="0" w:noVBand="0"/>
      </w:tblPr>
      <w:tblGrid>
        <w:gridCol w:w="2973"/>
        <w:gridCol w:w="2491"/>
        <w:gridCol w:w="3887"/>
        <w:gridCol w:w="1984"/>
        <w:gridCol w:w="4053"/>
      </w:tblGrid>
      <w:tr w:rsidR="00F374F7" w:rsidRPr="00567D48" w14:paraId="2F780D8A" w14:textId="77777777" w:rsidTr="005E0D53">
        <w:trPr>
          <w:cantSplit/>
          <w:tblHeader/>
        </w:trPr>
        <w:tc>
          <w:tcPr>
            <w:tcW w:w="2973" w:type="dxa"/>
            <w:shd w:val="clear" w:color="auto" w:fill="auto"/>
            <w:tcMar>
              <w:top w:w="28" w:type="dxa"/>
              <w:bottom w:w="28" w:type="dxa"/>
            </w:tcMar>
          </w:tcPr>
          <w:p w14:paraId="58BB41E5" w14:textId="46F847AB" w:rsidR="00F374F7" w:rsidRPr="00567D48" w:rsidRDefault="00F374F7" w:rsidP="00F3265E">
            <w:pPr>
              <w:keepLines/>
              <w:widowControl w:val="0"/>
              <w:spacing w:after="120"/>
              <w:ind w:right="-106"/>
              <w:jc w:val="center"/>
              <w:rPr>
                <w:rFonts w:asciiTheme="minorHAnsi" w:hAnsiTheme="minorHAnsi" w:cs="Arial"/>
                <w:b/>
                <w:sz w:val="18"/>
                <w:szCs w:val="18"/>
              </w:rPr>
            </w:pPr>
            <w:r w:rsidRPr="00567D48">
              <w:rPr>
                <w:rFonts w:asciiTheme="minorHAnsi" w:hAnsiTheme="minorHAnsi" w:cs="Arial"/>
                <w:b/>
                <w:sz w:val="18"/>
                <w:szCs w:val="18"/>
              </w:rPr>
              <w:t>DRUG NAME, FORM(S), STRENGTH(S), SPONSOR, TYPE OF SUBMISSION</w:t>
            </w:r>
          </w:p>
        </w:tc>
        <w:tc>
          <w:tcPr>
            <w:tcW w:w="2491" w:type="dxa"/>
            <w:shd w:val="clear" w:color="auto" w:fill="auto"/>
            <w:tcMar>
              <w:top w:w="28" w:type="dxa"/>
              <w:bottom w:w="28" w:type="dxa"/>
            </w:tcMar>
          </w:tcPr>
          <w:p w14:paraId="22DBCABB" w14:textId="77777777" w:rsidR="00F374F7" w:rsidRPr="00567D48" w:rsidRDefault="00F374F7" w:rsidP="00F3265E">
            <w:pPr>
              <w:keepLines/>
              <w:widowControl w:val="0"/>
              <w:spacing w:after="120"/>
              <w:jc w:val="center"/>
              <w:rPr>
                <w:rFonts w:asciiTheme="minorHAnsi" w:hAnsiTheme="minorHAnsi" w:cs="Arial"/>
                <w:b/>
                <w:snapToGrid w:val="0"/>
                <w:sz w:val="18"/>
                <w:szCs w:val="18"/>
                <w:lang w:eastAsia="en-US"/>
              </w:rPr>
            </w:pPr>
            <w:r w:rsidRPr="00567D48">
              <w:rPr>
                <w:rFonts w:asciiTheme="minorHAnsi" w:hAnsiTheme="minorHAnsi" w:cs="Arial"/>
                <w:b/>
                <w:snapToGrid w:val="0"/>
                <w:sz w:val="18"/>
                <w:szCs w:val="18"/>
                <w:lang w:eastAsia="en-US"/>
              </w:rPr>
              <w:t>DRUG TYPE AND USE</w:t>
            </w:r>
          </w:p>
          <w:p w14:paraId="64FD3362" w14:textId="77777777" w:rsidR="00F374F7" w:rsidRPr="00567D48" w:rsidRDefault="00F374F7" w:rsidP="00F3265E">
            <w:pPr>
              <w:keepLines/>
              <w:widowControl w:val="0"/>
              <w:spacing w:after="120"/>
              <w:jc w:val="center"/>
              <w:rPr>
                <w:rFonts w:asciiTheme="minorHAnsi" w:hAnsiTheme="minorHAnsi" w:cs="Arial"/>
                <w:b/>
                <w:snapToGrid w:val="0"/>
                <w:sz w:val="18"/>
                <w:szCs w:val="18"/>
                <w:lang w:eastAsia="en-US"/>
              </w:rPr>
            </w:pPr>
          </w:p>
        </w:tc>
        <w:tc>
          <w:tcPr>
            <w:tcW w:w="3887" w:type="dxa"/>
            <w:shd w:val="clear" w:color="auto" w:fill="auto"/>
            <w:tcMar>
              <w:top w:w="28" w:type="dxa"/>
              <w:bottom w:w="28" w:type="dxa"/>
            </w:tcMar>
          </w:tcPr>
          <w:p w14:paraId="60A9336E" w14:textId="77777777" w:rsidR="00F374F7" w:rsidRPr="00567D48" w:rsidRDefault="00F374F7" w:rsidP="00F3265E">
            <w:pPr>
              <w:keepLines/>
              <w:widowControl w:val="0"/>
              <w:spacing w:after="120"/>
              <w:jc w:val="center"/>
              <w:rPr>
                <w:rFonts w:asciiTheme="minorHAnsi" w:hAnsiTheme="minorHAnsi" w:cs="Arial"/>
                <w:b/>
                <w:snapToGrid w:val="0"/>
                <w:sz w:val="18"/>
                <w:szCs w:val="18"/>
                <w:lang w:eastAsia="en-US"/>
              </w:rPr>
            </w:pPr>
            <w:r w:rsidRPr="00567D48">
              <w:rPr>
                <w:rFonts w:asciiTheme="minorHAnsi" w:hAnsiTheme="minorHAnsi" w:cs="Arial"/>
                <w:b/>
                <w:snapToGrid w:val="0"/>
                <w:sz w:val="18"/>
                <w:szCs w:val="18"/>
                <w:lang w:eastAsia="en-US"/>
              </w:rPr>
              <w:t>LISTING REQUESTED BY SPONSOR / PURPOSE OF SUBMISSION</w:t>
            </w:r>
          </w:p>
        </w:tc>
        <w:tc>
          <w:tcPr>
            <w:tcW w:w="6037" w:type="dxa"/>
            <w:gridSpan w:val="2"/>
            <w:shd w:val="clear" w:color="auto" w:fill="auto"/>
          </w:tcPr>
          <w:p w14:paraId="5BEF59E0" w14:textId="77777777" w:rsidR="00F374F7" w:rsidRPr="00567D48" w:rsidRDefault="00F374F7" w:rsidP="00F3265E">
            <w:pPr>
              <w:pStyle w:val="Header"/>
              <w:keepLines/>
              <w:spacing w:after="120"/>
              <w:jc w:val="center"/>
              <w:rPr>
                <w:rFonts w:asciiTheme="minorHAnsi" w:hAnsiTheme="minorHAnsi" w:cs="Arial"/>
                <w:b/>
                <w:snapToGrid w:val="0"/>
                <w:sz w:val="18"/>
                <w:szCs w:val="18"/>
                <w:lang w:eastAsia="en-US"/>
              </w:rPr>
            </w:pPr>
            <w:r w:rsidRPr="00567D48">
              <w:rPr>
                <w:rFonts w:asciiTheme="minorHAnsi" w:hAnsiTheme="minorHAnsi" w:cs="Arial"/>
                <w:b/>
                <w:snapToGrid w:val="0"/>
                <w:sz w:val="18"/>
                <w:szCs w:val="18"/>
                <w:lang w:eastAsia="en-US"/>
              </w:rPr>
              <w:t>PBAC OUTCOME</w:t>
            </w:r>
          </w:p>
          <w:p w14:paraId="5626F454" w14:textId="542D2F29" w:rsidR="00F374F7" w:rsidRPr="00567D48" w:rsidRDefault="00F374F7" w:rsidP="00F3265E">
            <w:pPr>
              <w:pStyle w:val="Header"/>
              <w:keepLines/>
              <w:spacing w:after="120"/>
              <w:jc w:val="center"/>
              <w:rPr>
                <w:rFonts w:asciiTheme="minorHAnsi" w:hAnsiTheme="minorHAnsi" w:cs="Arial"/>
                <w:b/>
                <w:snapToGrid w:val="0"/>
                <w:sz w:val="18"/>
                <w:szCs w:val="18"/>
                <w:lang w:eastAsia="en-US"/>
              </w:rPr>
            </w:pPr>
          </w:p>
        </w:tc>
      </w:tr>
      <w:tr w:rsidR="00FF79FE" w:rsidRPr="00567D48" w14:paraId="0B22D8EA" w14:textId="77777777" w:rsidTr="005D09FF">
        <w:trPr>
          <w:trHeight w:val="518"/>
        </w:trPr>
        <w:tc>
          <w:tcPr>
            <w:tcW w:w="2973" w:type="dxa"/>
            <w:shd w:val="clear" w:color="auto" w:fill="auto"/>
            <w:tcMar>
              <w:top w:w="28" w:type="dxa"/>
              <w:bottom w:w="28" w:type="dxa"/>
            </w:tcMar>
            <w:vAlign w:val="center"/>
          </w:tcPr>
          <w:p w14:paraId="46A68F83" w14:textId="772EBC5F" w:rsidR="00FF79FE" w:rsidRPr="004E37C8" w:rsidRDefault="00FF79FE" w:rsidP="00FF79FE">
            <w:pPr>
              <w:keepLines/>
              <w:rPr>
                <w:rFonts w:asciiTheme="minorHAnsi" w:hAnsiTheme="minorHAnsi" w:cstheme="minorHAnsi"/>
                <w:sz w:val="18"/>
                <w:szCs w:val="18"/>
              </w:rPr>
            </w:pPr>
            <w:r w:rsidRPr="004E37C8">
              <w:rPr>
                <w:rFonts w:asciiTheme="minorHAnsi" w:hAnsiTheme="minorHAnsi" w:cstheme="minorHAnsi"/>
                <w:color w:val="000000"/>
                <w:sz w:val="18"/>
                <w:szCs w:val="18"/>
              </w:rPr>
              <w:t>ABEMACICLIB</w:t>
            </w:r>
            <w:r w:rsidRPr="004E37C8">
              <w:rPr>
                <w:rFonts w:asciiTheme="minorHAnsi" w:hAnsiTheme="minorHAnsi" w:cstheme="minorHAnsi"/>
                <w:color w:val="000000"/>
                <w:sz w:val="18"/>
                <w:szCs w:val="18"/>
              </w:rPr>
              <w:br/>
            </w:r>
            <w:r w:rsidRPr="004E37C8">
              <w:rPr>
                <w:rFonts w:asciiTheme="minorHAnsi" w:hAnsiTheme="minorHAnsi" w:cstheme="minorHAnsi"/>
                <w:color w:val="000000"/>
                <w:sz w:val="18"/>
                <w:szCs w:val="18"/>
              </w:rPr>
              <w:br/>
              <w:t>Tablet 50 mg</w:t>
            </w:r>
            <w:r w:rsidRPr="004E37C8">
              <w:rPr>
                <w:rFonts w:asciiTheme="minorHAnsi" w:hAnsiTheme="minorHAnsi" w:cstheme="minorHAnsi"/>
                <w:color w:val="000000"/>
                <w:sz w:val="18"/>
                <w:szCs w:val="18"/>
              </w:rPr>
              <w:br/>
              <w:t>Tablet 100 mg</w:t>
            </w:r>
            <w:r w:rsidRPr="004E37C8">
              <w:rPr>
                <w:rFonts w:asciiTheme="minorHAnsi" w:hAnsiTheme="minorHAnsi" w:cstheme="minorHAnsi"/>
                <w:color w:val="000000"/>
                <w:sz w:val="18"/>
                <w:szCs w:val="18"/>
              </w:rPr>
              <w:br/>
              <w:t>Tablet 150 mg</w:t>
            </w:r>
            <w:r w:rsidRPr="004E37C8">
              <w:rPr>
                <w:rFonts w:asciiTheme="minorHAnsi" w:hAnsiTheme="minorHAnsi" w:cstheme="minorHAnsi"/>
                <w:color w:val="000000"/>
                <w:sz w:val="18"/>
                <w:szCs w:val="18"/>
              </w:rPr>
              <w:br/>
            </w:r>
            <w:r w:rsidRPr="004E37C8">
              <w:rPr>
                <w:rFonts w:asciiTheme="minorHAnsi" w:hAnsiTheme="minorHAnsi" w:cstheme="minorHAnsi"/>
                <w:color w:val="000000"/>
                <w:sz w:val="18"/>
                <w:szCs w:val="18"/>
              </w:rPr>
              <w:br/>
              <w:t>Verzenio™</w:t>
            </w:r>
            <w:r w:rsidRPr="004E37C8">
              <w:rPr>
                <w:rFonts w:asciiTheme="minorHAnsi" w:hAnsiTheme="minorHAnsi" w:cstheme="minorHAnsi"/>
                <w:color w:val="000000"/>
                <w:sz w:val="18"/>
                <w:szCs w:val="18"/>
              </w:rPr>
              <w:br/>
            </w:r>
            <w:r w:rsidRPr="004E37C8">
              <w:rPr>
                <w:rFonts w:asciiTheme="minorHAnsi" w:hAnsiTheme="minorHAnsi" w:cstheme="minorHAnsi"/>
                <w:color w:val="000000"/>
                <w:sz w:val="18"/>
                <w:szCs w:val="18"/>
              </w:rPr>
              <w:br/>
              <w:t xml:space="preserve">Eli Lilly Australia Pty Ltd </w:t>
            </w:r>
            <w:r w:rsidRPr="004E37C8">
              <w:rPr>
                <w:rFonts w:asciiTheme="minorHAnsi" w:hAnsiTheme="minorHAnsi" w:cstheme="minorHAnsi"/>
                <w:color w:val="000000"/>
                <w:sz w:val="18"/>
                <w:szCs w:val="18"/>
              </w:rPr>
              <w:br/>
            </w:r>
            <w:r w:rsidRPr="004E37C8">
              <w:rPr>
                <w:rFonts w:asciiTheme="minorHAnsi" w:hAnsiTheme="minorHAnsi" w:cstheme="minorHAnsi"/>
                <w:color w:val="000000"/>
                <w:sz w:val="18"/>
                <w:szCs w:val="18"/>
              </w:rPr>
              <w:br/>
              <w:t>Category 2 submission</w:t>
            </w:r>
            <w:r w:rsidRPr="004E37C8">
              <w:rPr>
                <w:rFonts w:asciiTheme="minorHAnsi" w:hAnsiTheme="minorHAnsi" w:cstheme="minorHAnsi"/>
                <w:color w:val="000000"/>
                <w:sz w:val="18"/>
                <w:szCs w:val="18"/>
              </w:rPr>
              <w:br/>
              <w:t>(Change to listing)</w:t>
            </w:r>
          </w:p>
        </w:tc>
        <w:tc>
          <w:tcPr>
            <w:tcW w:w="2491" w:type="dxa"/>
            <w:shd w:val="clear" w:color="auto" w:fill="auto"/>
            <w:vAlign w:val="center"/>
          </w:tcPr>
          <w:p w14:paraId="7EDC6C7A" w14:textId="56FD8468" w:rsidR="00FF79FE" w:rsidRPr="004E37C8" w:rsidRDefault="00FF79FE" w:rsidP="00FF79FE">
            <w:pPr>
              <w:keepLines/>
              <w:widowControl w:val="0"/>
              <w:rPr>
                <w:rFonts w:asciiTheme="minorHAnsi" w:hAnsiTheme="minorHAnsi" w:cstheme="minorHAnsi"/>
                <w:snapToGrid w:val="0"/>
                <w:sz w:val="18"/>
                <w:szCs w:val="18"/>
                <w:lang w:eastAsia="en-US"/>
              </w:rPr>
            </w:pPr>
            <w:r w:rsidRPr="004E37C8">
              <w:rPr>
                <w:rFonts w:asciiTheme="minorHAnsi" w:hAnsiTheme="minorHAnsi" w:cstheme="minorHAnsi"/>
                <w:color w:val="000000"/>
                <w:sz w:val="18"/>
                <w:szCs w:val="18"/>
              </w:rPr>
              <w:t>Breast cancer</w:t>
            </w:r>
          </w:p>
        </w:tc>
        <w:tc>
          <w:tcPr>
            <w:tcW w:w="3887" w:type="dxa"/>
            <w:shd w:val="clear" w:color="auto" w:fill="auto"/>
            <w:tcMar>
              <w:top w:w="28" w:type="dxa"/>
              <w:bottom w:w="28" w:type="dxa"/>
            </w:tcMar>
            <w:vAlign w:val="center"/>
          </w:tcPr>
          <w:p w14:paraId="693A86FE" w14:textId="7A9F2319" w:rsidR="00FF79FE" w:rsidRPr="004E37C8" w:rsidRDefault="00FF79FE" w:rsidP="00FF79FE">
            <w:pPr>
              <w:pStyle w:val="ListParagraph"/>
              <w:keepLines/>
              <w:ind w:left="0"/>
              <w:rPr>
                <w:rFonts w:asciiTheme="minorHAnsi" w:hAnsiTheme="minorHAnsi" w:cstheme="minorHAnsi"/>
                <w:snapToGrid w:val="0"/>
                <w:sz w:val="18"/>
                <w:szCs w:val="18"/>
                <w:lang w:eastAsia="en-US"/>
              </w:rPr>
            </w:pPr>
            <w:r w:rsidRPr="004E37C8">
              <w:rPr>
                <w:rFonts w:asciiTheme="minorHAnsi" w:hAnsiTheme="minorHAnsi" w:cstheme="minorHAnsi"/>
                <w:color w:val="000000"/>
                <w:sz w:val="18"/>
                <w:szCs w:val="18"/>
              </w:rPr>
              <w:t>To request a General Schedule Authority Required listing, in combination with adjuvant endocrine therapy, for the treatment of patients with hormone receptor positive (HR+) and human epidermal growth factor receptor 2 negative (HER2-), lymph node-positive, invasive, resected early breast cancer and whose cancer is at high risk of disease recurrence.</w:t>
            </w:r>
          </w:p>
        </w:tc>
        <w:tc>
          <w:tcPr>
            <w:tcW w:w="1984" w:type="dxa"/>
            <w:shd w:val="clear" w:color="auto" w:fill="auto"/>
            <w:vAlign w:val="center"/>
          </w:tcPr>
          <w:p w14:paraId="0559B616" w14:textId="0A61977A" w:rsidR="00FF79FE" w:rsidRPr="004E37C8" w:rsidRDefault="004207B4" w:rsidP="00FF79FE">
            <w:pPr>
              <w:pStyle w:val="ListParagraph"/>
              <w:keepLines/>
              <w:ind w:left="0"/>
              <w:rPr>
                <w:rFonts w:asciiTheme="minorHAnsi" w:hAnsiTheme="minorHAnsi" w:cstheme="minorHAnsi"/>
                <w:snapToGrid w:val="0"/>
                <w:sz w:val="18"/>
                <w:szCs w:val="18"/>
                <w:lang w:eastAsia="en-US"/>
              </w:rPr>
            </w:pPr>
            <w:r w:rsidRPr="004E37C8">
              <w:rPr>
                <w:rFonts w:asciiTheme="minorHAnsi" w:hAnsiTheme="minorHAnsi" w:cstheme="minorHAnsi"/>
                <w:color w:val="000000"/>
                <w:sz w:val="18"/>
                <w:szCs w:val="18"/>
              </w:rPr>
              <w:t>Not Recommended</w:t>
            </w:r>
          </w:p>
        </w:tc>
        <w:tc>
          <w:tcPr>
            <w:tcW w:w="4053" w:type="dxa"/>
            <w:shd w:val="clear" w:color="auto" w:fill="auto"/>
            <w:vAlign w:val="center"/>
          </w:tcPr>
          <w:p w14:paraId="0CD318E9" w14:textId="0E58C526" w:rsidR="009D71D1" w:rsidRPr="004E37C8" w:rsidRDefault="009D71D1" w:rsidP="005D09FF">
            <w:pPr>
              <w:keepLines/>
              <w:rPr>
                <w:rFonts w:asciiTheme="minorHAnsi" w:hAnsiTheme="minorHAnsi" w:cstheme="minorHAnsi"/>
                <w:color w:val="000000"/>
                <w:sz w:val="18"/>
                <w:szCs w:val="18"/>
              </w:rPr>
            </w:pPr>
            <w:r w:rsidRPr="004E37C8">
              <w:rPr>
                <w:rFonts w:asciiTheme="minorHAnsi" w:hAnsiTheme="minorHAnsi" w:cstheme="minorHAnsi"/>
                <w:color w:val="000000"/>
                <w:sz w:val="18"/>
                <w:szCs w:val="18"/>
              </w:rPr>
              <w:t xml:space="preserve">The PBAC did not recommend the listing of abemaciclib in combination with </w:t>
            </w:r>
            <w:r w:rsidR="005D09FF" w:rsidRPr="004E37C8">
              <w:rPr>
                <w:rFonts w:asciiTheme="minorHAnsi" w:hAnsiTheme="minorHAnsi" w:cstheme="minorHAnsi"/>
                <w:color w:val="000000"/>
                <w:sz w:val="18"/>
                <w:szCs w:val="18"/>
              </w:rPr>
              <w:t>endocrine therapy</w:t>
            </w:r>
            <w:r w:rsidRPr="004E37C8">
              <w:rPr>
                <w:rFonts w:asciiTheme="minorHAnsi" w:hAnsiTheme="minorHAnsi" w:cstheme="minorHAnsi"/>
                <w:color w:val="000000"/>
                <w:sz w:val="18"/>
                <w:szCs w:val="18"/>
              </w:rPr>
              <w:t xml:space="preserve"> for the treatment of patients with HR+ and HER2-, lymph node positive, invasive, resected, early breast cancer at high risk of recurrence. The PBAC considered there is high uncertainty </w:t>
            </w:r>
            <w:r w:rsidR="00B25426" w:rsidRPr="004E37C8">
              <w:rPr>
                <w:rFonts w:asciiTheme="minorHAnsi" w:hAnsiTheme="minorHAnsi" w:cstheme="minorHAnsi"/>
                <w:color w:val="000000"/>
                <w:sz w:val="18"/>
                <w:szCs w:val="18"/>
              </w:rPr>
              <w:t xml:space="preserve">regarding </w:t>
            </w:r>
            <w:r w:rsidRPr="004E37C8">
              <w:rPr>
                <w:rFonts w:asciiTheme="minorHAnsi" w:hAnsiTheme="minorHAnsi" w:cstheme="minorHAnsi"/>
                <w:color w:val="000000"/>
                <w:sz w:val="18"/>
                <w:szCs w:val="18"/>
              </w:rPr>
              <w:t>the extent of clinical benefit of abemaciclib due to low patient numbers</w:t>
            </w:r>
            <w:r w:rsidR="00BA249D" w:rsidRPr="004E37C8">
              <w:rPr>
                <w:rFonts w:asciiTheme="minorHAnsi" w:hAnsiTheme="minorHAnsi" w:cstheme="minorHAnsi"/>
                <w:color w:val="000000"/>
                <w:sz w:val="18"/>
                <w:szCs w:val="18"/>
              </w:rPr>
              <w:t xml:space="preserve"> with events</w:t>
            </w:r>
            <w:r w:rsidRPr="004E37C8">
              <w:rPr>
                <w:rFonts w:asciiTheme="minorHAnsi" w:hAnsiTheme="minorHAnsi" w:cstheme="minorHAnsi"/>
                <w:color w:val="000000"/>
                <w:sz w:val="18"/>
                <w:szCs w:val="18"/>
              </w:rPr>
              <w:t xml:space="preserve"> and small absolute risk reduction. However, the PBAC considered that the claim of superior effectiveness was supported in the adjuvant setting where the goal is cure, </w:t>
            </w:r>
            <w:r w:rsidR="004E37C8">
              <w:rPr>
                <w:rFonts w:asciiTheme="minorHAnsi" w:hAnsiTheme="minorHAnsi" w:cstheme="minorHAnsi"/>
                <w:color w:val="000000"/>
                <w:sz w:val="18"/>
                <w:szCs w:val="18"/>
              </w:rPr>
              <w:t>notwithstanding that</w:t>
            </w:r>
            <w:r w:rsidRPr="004E37C8">
              <w:rPr>
                <w:rFonts w:asciiTheme="minorHAnsi" w:hAnsiTheme="minorHAnsi" w:cstheme="minorHAnsi"/>
                <w:color w:val="000000"/>
                <w:sz w:val="18"/>
                <w:szCs w:val="18"/>
              </w:rPr>
              <w:t xml:space="preserve"> the claim of invasive disease-free survival being employed as a surrogate for </w:t>
            </w:r>
            <w:r w:rsidR="007F57D6" w:rsidRPr="004E37C8">
              <w:rPr>
                <w:rFonts w:asciiTheme="minorHAnsi" w:hAnsiTheme="minorHAnsi" w:cstheme="minorHAnsi"/>
                <w:color w:val="000000"/>
                <w:sz w:val="18"/>
                <w:szCs w:val="18"/>
              </w:rPr>
              <w:t>overall survival</w:t>
            </w:r>
            <w:r w:rsidRPr="004E37C8">
              <w:rPr>
                <w:rFonts w:asciiTheme="minorHAnsi" w:hAnsiTheme="minorHAnsi" w:cstheme="minorHAnsi"/>
                <w:color w:val="000000"/>
                <w:sz w:val="18"/>
                <w:szCs w:val="18"/>
              </w:rPr>
              <w:t xml:space="preserve"> was uncertain in the context of the data currently available. The PBAC considered that the inferior but manageable safety claim was reasonable, noting that abemaciclib is an existing therapy with a known safety profile and that adverse events could be monitored and managed with dose modifications. </w:t>
            </w:r>
          </w:p>
          <w:p w14:paraId="196F6B07" w14:textId="77777777" w:rsidR="009D71D1" w:rsidRPr="004E37C8" w:rsidRDefault="009D71D1" w:rsidP="009D71D1">
            <w:pPr>
              <w:pStyle w:val="ListParagraph"/>
              <w:keepLines/>
              <w:rPr>
                <w:rFonts w:asciiTheme="minorHAnsi" w:hAnsiTheme="minorHAnsi" w:cstheme="minorHAnsi"/>
                <w:color w:val="000000"/>
                <w:sz w:val="18"/>
                <w:szCs w:val="18"/>
              </w:rPr>
            </w:pPr>
          </w:p>
          <w:p w14:paraId="6269B0DA" w14:textId="1810414B" w:rsidR="009D71D1" w:rsidRPr="004E37C8" w:rsidRDefault="009D71D1" w:rsidP="005D09FF">
            <w:pPr>
              <w:keepLines/>
              <w:rPr>
                <w:rFonts w:asciiTheme="minorHAnsi" w:hAnsiTheme="minorHAnsi" w:cstheme="minorHAnsi"/>
                <w:color w:val="000000"/>
                <w:sz w:val="18"/>
                <w:szCs w:val="18"/>
              </w:rPr>
            </w:pPr>
            <w:r w:rsidRPr="004E37C8">
              <w:rPr>
                <w:rFonts w:asciiTheme="minorHAnsi" w:hAnsiTheme="minorHAnsi" w:cstheme="minorHAnsi"/>
                <w:color w:val="000000"/>
                <w:sz w:val="18"/>
                <w:szCs w:val="18"/>
              </w:rPr>
              <w:t xml:space="preserve">The PBAC considered that the economic analysis was highly uncertain and that the economic model was not reliable for decision making. </w:t>
            </w:r>
            <w:r w:rsidR="00B25426" w:rsidRPr="004E37C8">
              <w:rPr>
                <w:rFonts w:asciiTheme="minorHAnsi" w:hAnsiTheme="minorHAnsi" w:cstheme="minorHAnsi"/>
                <w:color w:val="000000"/>
                <w:sz w:val="18"/>
                <w:szCs w:val="18"/>
              </w:rPr>
              <w:t xml:space="preserve">The PBAC </w:t>
            </w:r>
            <w:r w:rsidRPr="004E37C8">
              <w:rPr>
                <w:rFonts w:asciiTheme="minorHAnsi" w:hAnsiTheme="minorHAnsi" w:cstheme="minorHAnsi"/>
                <w:color w:val="000000"/>
                <w:sz w:val="18"/>
                <w:szCs w:val="18"/>
              </w:rPr>
              <w:t xml:space="preserve">also considered the assumptions and parameters were not reasonable, particularly time horizon, duration of treatment effect, and modelled implications of avoiding recurrence. </w:t>
            </w:r>
          </w:p>
          <w:p w14:paraId="0BB275B6" w14:textId="77777777" w:rsidR="009D71D1" w:rsidRPr="004E37C8" w:rsidRDefault="009D71D1" w:rsidP="009D71D1">
            <w:pPr>
              <w:pStyle w:val="ListParagraph"/>
              <w:keepLines/>
              <w:rPr>
                <w:rFonts w:asciiTheme="minorHAnsi" w:hAnsiTheme="minorHAnsi" w:cstheme="minorHAnsi"/>
                <w:color w:val="000000"/>
                <w:sz w:val="18"/>
                <w:szCs w:val="18"/>
              </w:rPr>
            </w:pPr>
          </w:p>
          <w:p w14:paraId="585A8AC7" w14:textId="09BDEED3" w:rsidR="009D71D1" w:rsidRPr="004E37C8" w:rsidRDefault="009D71D1" w:rsidP="005D09FF">
            <w:pPr>
              <w:keepLines/>
              <w:rPr>
                <w:rFonts w:asciiTheme="minorHAnsi" w:hAnsiTheme="minorHAnsi" w:cstheme="minorHAnsi"/>
                <w:color w:val="000000"/>
                <w:sz w:val="18"/>
                <w:szCs w:val="18"/>
              </w:rPr>
            </w:pPr>
            <w:r w:rsidRPr="004E37C8">
              <w:rPr>
                <w:rFonts w:asciiTheme="minorHAnsi" w:hAnsiTheme="minorHAnsi" w:cstheme="minorHAnsi"/>
                <w:color w:val="000000"/>
                <w:sz w:val="18"/>
                <w:szCs w:val="18"/>
              </w:rPr>
              <w:t>The PBAC considered that the financial estimates presented in the submission were overestimated and that a reduction to the assumed uptake and compliance rates and duration of therapy should be considered, as well as a review of the costs used for metastatic recurrence and adverse events.</w:t>
            </w:r>
          </w:p>
          <w:p w14:paraId="567FCBF3" w14:textId="5E580A70" w:rsidR="005D09FF" w:rsidRPr="004E37C8" w:rsidRDefault="005D09FF" w:rsidP="005D09FF">
            <w:pPr>
              <w:keepLines/>
              <w:rPr>
                <w:rFonts w:asciiTheme="minorHAnsi" w:hAnsiTheme="minorHAnsi" w:cstheme="minorHAnsi"/>
                <w:color w:val="000000"/>
                <w:sz w:val="18"/>
                <w:szCs w:val="18"/>
              </w:rPr>
            </w:pPr>
          </w:p>
          <w:p w14:paraId="70197C5E" w14:textId="77777777" w:rsidR="001B344B" w:rsidRDefault="005D09FF" w:rsidP="005D09FF">
            <w:pPr>
              <w:keepLines/>
              <w:rPr>
                <w:rFonts w:asciiTheme="minorHAnsi" w:hAnsiTheme="minorHAnsi" w:cstheme="minorHAnsi"/>
                <w:color w:val="000000"/>
                <w:sz w:val="18"/>
                <w:szCs w:val="18"/>
                <w:u w:val="single"/>
              </w:rPr>
            </w:pPr>
            <w:r w:rsidRPr="004E37C8">
              <w:rPr>
                <w:rFonts w:asciiTheme="minorHAnsi" w:hAnsiTheme="minorHAnsi" w:cstheme="minorHAnsi"/>
                <w:color w:val="000000"/>
                <w:sz w:val="18"/>
                <w:szCs w:val="18"/>
                <w:u w:val="single"/>
              </w:rPr>
              <w:t>Sponsor Comment:</w:t>
            </w:r>
          </w:p>
          <w:p w14:paraId="5DAB2E7A" w14:textId="6977C4B2" w:rsidR="006401D2" w:rsidRPr="002E13B3" w:rsidRDefault="002E13B3" w:rsidP="005D09FF">
            <w:pPr>
              <w:keepLines/>
              <w:rPr>
                <w:rFonts w:asciiTheme="minorHAnsi" w:hAnsiTheme="minorHAnsi" w:cstheme="minorHAnsi"/>
                <w:color w:val="000000"/>
                <w:sz w:val="18"/>
                <w:szCs w:val="18"/>
              </w:rPr>
            </w:pPr>
            <w:r w:rsidRPr="002E13B3">
              <w:rPr>
                <w:rFonts w:asciiTheme="minorHAnsi" w:hAnsiTheme="minorHAnsi" w:cstheme="minorHAnsi"/>
                <w:color w:val="000000"/>
                <w:sz w:val="18"/>
                <w:szCs w:val="18"/>
              </w:rPr>
              <w:t xml:space="preserve">Eli Lilly is disappointed with the outcome given the genuine unmet need for a new treatment option in the </w:t>
            </w:r>
            <w:r w:rsidRPr="00FA2D57">
              <w:rPr>
                <w:rFonts w:asciiTheme="minorHAnsi" w:hAnsiTheme="minorHAnsi" w:cstheme="minorHAnsi"/>
                <w:color w:val="000000"/>
                <w:sz w:val="18"/>
                <w:szCs w:val="18"/>
              </w:rPr>
              <w:t>adjuvant early breast cancer setting. Abemaciclib for the adjuvant treatment of adult patients with early breast cancer at high risk of recurrence was scored the highest grade ‘A’ on the ESMO-MCBS scale, categorising abemaciclib as a treatment with substantial benefit in the curative setting, and was considered by MOGA to be a therapy of highest priority for PBS listing.</w:t>
            </w:r>
            <w:r w:rsidRPr="002E13B3">
              <w:rPr>
                <w:rFonts w:asciiTheme="minorHAnsi" w:hAnsiTheme="minorHAnsi" w:cstheme="minorHAnsi"/>
                <w:color w:val="000000"/>
                <w:sz w:val="18"/>
                <w:szCs w:val="18"/>
              </w:rPr>
              <w:br/>
              <w:t>Eli Lilly is committed to work towards a PBS listing for patients with high-risk early breast cancer.</w:t>
            </w:r>
          </w:p>
        </w:tc>
      </w:tr>
      <w:tr w:rsidR="004207B4" w:rsidRPr="00567D48" w14:paraId="649CE2B1" w14:textId="77777777" w:rsidTr="007128F7">
        <w:trPr>
          <w:cantSplit/>
          <w:trHeight w:val="2948"/>
        </w:trPr>
        <w:tc>
          <w:tcPr>
            <w:tcW w:w="2973" w:type="dxa"/>
            <w:shd w:val="clear" w:color="auto" w:fill="auto"/>
            <w:tcMar>
              <w:top w:w="28" w:type="dxa"/>
              <w:bottom w:w="28" w:type="dxa"/>
            </w:tcMar>
            <w:vAlign w:val="center"/>
          </w:tcPr>
          <w:p w14:paraId="5BC502B7" w14:textId="358B05BE" w:rsidR="004207B4" w:rsidRPr="005D09FF" w:rsidRDefault="004207B4" w:rsidP="004207B4">
            <w:pPr>
              <w:keepLines/>
              <w:rPr>
                <w:rFonts w:asciiTheme="minorHAnsi" w:hAnsiTheme="minorHAnsi" w:cstheme="minorHAnsi"/>
                <w:sz w:val="18"/>
                <w:szCs w:val="18"/>
                <w:highlight w:val="yellow"/>
              </w:rPr>
            </w:pPr>
            <w:r w:rsidRPr="00575F52">
              <w:rPr>
                <w:rFonts w:asciiTheme="minorHAnsi" w:hAnsiTheme="minorHAnsi" w:cstheme="minorHAnsi"/>
                <w:color w:val="000000"/>
                <w:sz w:val="18"/>
                <w:szCs w:val="18"/>
              </w:rPr>
              <w:lastRenderedPageBreak/>
              <w:t>ABIRATERONE with METHY</w:t>
            </w:r>
            <w:r w:rsidR="008C18D1" w:rsidRPr="005D09FF">
              <w:rPr>
                <w:rFonts w:asciiTheme="minorHAnsi" w:hAnsiTheme="minorHAnsi" w:cstheme="minorHAnsi"/>
                <w:color w:val="000000"/>
                <w:sz w:val="18"/>
                <w:szCs w:val="18"/>
              </w:rPr>
              <w:t>L</w:t>
            </w:r>
            <w:r w:rsidRPr="00575F52">
              <w:rPr>
                <w:rFonts w:asciiTheme="minorHAnsi" w:hAnsiTheme="minorHAnsi" w:cstheme="minorHAnsi"/>
                <w:color w:val="000000"/>
                <w:sz w:val="18"/>
                <w:szCs w:val="18"/>
              </w:rPr>
              <w:t>PREDNISOLONE</w:t>
            </w:r>
            <w:r w:rsidRPr="005D09FF">
              <w:rPr>
                <w:rFonts w:asciiTheme="minorHAnsi" w:hAnsiTheme="minorHAnsi" w:cstheme="minorHAnsi"/>
                <w:color w:val="000000"/>
                <w:sz w:val="18"/>
                <w:szCs w:val="18"/>
                <w:highlight w:val="yellow"/>
              </w:rPr>
              <w:br/>
            </w:r>
            <w:r w:rsidRPr="00575F52">
              <w:rPr>
                <w:rFonts w:asciiTheme="minorHAnsi" w:hAnsiTheme="minorHAnsi" w:cstheme="minorHAnsi"/>
                <w:color w:val="000000"/>
                <w:sz w:val="18"/>
                <w:szCs w:val="18"/>
              </w:rPr>
              <w:br/>
              <w:t>Pack containing 120 tablets abiraterone (as acetate) 125 mg and 60 tablets methylprednisolone 4 mg</w:t>
            </w:r>
            <w:r w:rsidRPr="005D09FF">
              <w:rPr>
                <w:rFonts w:asciiTheme="minorHAnsi" w:hAnsiTheme="minorHAnsi" w:cstheme="minorHAnsi"/>
                <w:color w:val="000000"/>
                <w:sz w:val="18"/>
                <w:szCs w:val="18"/>
                <w:highlight w:val="yellow"/>
              </w:rPr>
              <w:br/>
            </w:r>
            <w:r w:rsidRPr="005D09FF">
              <w:rPr>
                <w:rFonts w:asciiTheme="minorHAnsi" w:hAnsiTheme="minorHAnsi" w:cstheme="minorHAnsi"/>
                <w:color w:val="000000"/>
                <w:sz w:val="18"/>
                <w:szCs w:val="18"/>
                <w:highlight w:val="yellow"/>
              </w:rPr>
              <w:br/>
            </w:r>
            <w:r w:rsidRPr="00575F52">
              <w:rPr>
                <w:rFonts w:asciiTheme="minorHAnsi" w:hAnsiTheme="minorHAnsi" w:cstheme="minorHAnsi"/>
                <w:color w:val="000000"/>
                <w:sz w:val="18"/>
                <w:szCs w:val="18"/>
              </w:rPr>
              <w:t>Yonsa® MPRED</w:t>
            </w:r>
            <w:r w:rsidRPr="00575F52">
              <w:rPr>
                <w:rFonts w:asciiTheme="minorHAnsi" w:hAnsiTheme="minorHAnsi" w:cstheme="minorHAnsi"/>
                <w:color w:val="000000"/>
                <w:sz w:val="18"/>
                <w:szCs w:val="18"/>
              </w:rPr>
              <w:br/>
            </w:r>
            <w:r w:rsidRPr="00575F52">
              <w:rPr>
                <w:rFonts w:asciiTheme="minorHAnsi" w:hAnsiTheme="minorHAnsi" w:cstheme="minorHAnsi"/>
                <w:color w:val="000000"/>
                <w:sz w:val="18"/>
                <w:szCs w:val="18"/>
              </w:rPr>
              <w:br/>
              <w:t>Sun Pharma ANZ Pty Ltd</w:t>
            </w:r>
            <w:r w:rsidRPr="005D09FF">
              <w:rPr>
                <w:rFonts w:asciiTheme="minorHAnsi" w:hAnsiTheme="minorHAnsi" w:cstheme="minorHAnsi"/>
                <w:color w:val="000000"/>
                <w:sz w:val="18"/>
                <w:szCs w:val="18"/>
                <w:highlight w:val="yellow"/>
              </w:rPr>
              <w:br/>
            </w:r>
            <w:r w:rsidRPr="005D09FF">
              <w:rPr>
                <w:rFonts w:asciiTheme="minorHAnsi" w:hAnsiTheme="minorHAnsi" w:cstheme="minorHAnsi"/>
                <w:color w:val="000000"/>
                <w:sz w:val="18"/>
                <w:szCs w:val="18"/>
                <w:highlight w:val="yellow"/>
              </w:rPr>
              <w:br/>
            </w:r>
            <w:r w:rsidRPr="00575F52">
              <w:rPr>
                <w:rFonts w:asciiTheme="minorHAnsi" w:hAnsiTheme="minorHAnsi" w:cstheme="minorHAnsi"/>
                <w:color w:val="000000"/>
                <w:sz w:val="18"/>
                <w:szCs w:val="18"/>
              </w:rPr>
              <w:t>Category 2 submission</w:t>
            </w:r>
            <w:r w:rsidRPr="00575F52">
              <w:rPr>
                <w:rFonts w:asciiTheme="minorHAnsi" w:hAnsiTheme="minorHAnsi" w:cstheme="minorHAnsi"/>
                <w:color w:val="000000"/>
                <w:sz w:val="18"/>
                <w:szCs w:val="18"/>
              </w:rPr>
              <w:br/>
              <w:t>(New PBS listing)</w:t>
            </w:r>
          </w:p>
        </w:tc>
        <w:tc>
          <w:tcPr>
            <w:tcW w:w="2491" w:type="dxa"/>
            <w:shd w:val="clear" w:color="auto" w:fill="auto"/>
            <w:vAlign w:val="center"/>
          </w:tcPr>
          <w:p w14:paraId="300613E1" w14:textId="4676F1AB" w:rsidR="004207B4" w:rsidRPr="005D09FF" w:rsidRDefault="004207B4" w:rsidP="004207B4">
            <w:pPr>
              <w:keepLines/>
              <w:widowControl w:val="0"/>
              <w:rPr>
                <w:rFonts w:asciiTheme="minorHAnsi" w:hAnsiTheme="minorHAnsi" w:cstheme="minorHAnsi"/>
                <w:snapToGrid w:val="0"/>
                <w:sz w:val="18"/>
                <w:szCs w:val="18"/>
                <w:highlight w:val="yellow"/>
                <w:lang w:eastAsia="en-US"/>
              </w:rPr>
            </w:pPr>
            <w:r w:rsidRPr="00575F52">
              <w:rPr>
                <w:rFonts w:asciiTheme="minorHAnsi" w:hAnsiTheme="minorHAnsi" w:cstheme="minorHAnsi"/>
                <w:color w:val="000000"/>
                <w:sz w:val="18"/>
                <w:szCs w:val="18"/>
              </w:rPr>
              <w:t>Castration resistant metastatic carcinoma of the prostate</w:t>
            </w:r>
          </w:p>
        </w:tc>
        <w:tc>
          <w:tcPr>
            <w:tcW w:w="3887" w:type="dxa"/>
            <w:shd w:val="clear" w:color="auto" w:fill="auto"/>
            <w:tcMar>
              <w:top w:w="28" w:type="dxa"/>
              <w:bottom w:w="28" w:type="dxa"/>
            </w:tcMar>
            <w:vAlign w:val="center"/>
          </w:tcPr>
          <w:p w14:paraId="743559B4" w14:textId="7B306EAE" w:rsidR="004207B4" w:rsidRPr="005D09FF" w:rsidRDefault="004207B4" w:rsidP="004207B4">
            <w:pPr>
              <w:pStyle w:val="ListParagraph"/>
              <w:keepLines/>
              <w:ind w:left="0"/>
              <w:rPr>
                <w:rFonts w:asciiTheme="minorHAnsi" w:hAnsiTheme="minorHAnsi" w:cstheme="minorHAnsi"/>
                <w:snapToGrid w:val="0"/>
                <w:sz w:val="18"/>
                <w:szCs w:val="18"/>
                <w:highlight w:val="yellow"/>
                <w:lang w:eastAsia="en-US"/>
              </w:rPr>
            </w:pPr>
            <w:r w:rsidRPr="00575F52">
              <w:rPr>
                <w:rFonts w:asciiTheme="minorHAnsi" w:hAnsiTheme="minorHAnsi" w:cstheme="minorHAnsi"/>
                <w:color w:val="000000"/>
                <w:sz w:val="18"/>
                <w:szCs w:val="18"/>
              </w:rPr>
              <w:t xml:space="preserve">To request a General Schedule Authority Required (STREAMLINED) listing of a composite pack for the treatment of castration resistant metastatic carcinoma of the prostate. </w:t>
            </w:r>
          </w:p>
        </w:tc>
        <w:tc>
          <w:tcPr>
            <w:tcW w:w="1984" w:type="dxa"/>
            <w:shd w:val="clear" w:color="auto" w:fill="auto"/>
            <w:vAlign w:val="center"/>
          </w:tcPr>
          <w:p w14:paraId="3DBF4CB8" w14:textId="2129D4C4" w:rsidR="004207B4" w:rsidRPr="005D09FF" w:rsidRDefault="004207B4" w:rsidP="004207B4">
            <w:pPr>
              <w:pStyle w:val="ListParagraph"/>
              <w:keepLines/>
              <w:ind w:left="0"/>
              <w:rPr>
                <w:rFonts w:asciiTheme="minorHAnsi" w:hAnsiTheme="minorHAnsi" w:cstheme="minorHAnsi"/>
                <w:snapToGrid w:val="0"/>
                <w:sz w:val="18"/>
                <w:szCs w:val="18"/>
                <w:highlight w:val="yellow"/>
                <w:lang w:eastAsia="en-US"/>
              </w:rPr>
            </w:pPr>
            <w:r w:rsidRPr="00575F52">
              <w:rPr>
                <w:rFonts w:asciiTheme="minorHAnsi" w:hAnsiTheme="minorHAnsi" w:cstheme="minorHAnsi"/>
                <w:color w:val="000000"/>
                <w:sz w:val="18"/>
                <w:szCs w:val="18"/>
              </w:rPr>
              <w:t>Not Recommended</w:t>
            </w:r>
          </w:p>
        </w:tc>
        <w:tc>
          <w:tcPr>
            <w:tcW w:w="4053" w:type="dxa"/>
            <w:shd w:val="clear" w:color="auto" w:fill="auto"/>
            <w:vAlign w:val="center"/>
          </w:tcPr>
          <w:p w14:paraId="4BE3290E" w14:textId="48CF0E2D" w:rsidR="001B344B" w:rsidRPr="008E52DB" w:rsidRDefault="0082711A" w:rsidP="001B344B">
            <w:pPr>
              <w:pStyle w:val="ListParagraph"/>
              <w:keepLines/>
              <w:ind w:left="0"/>
              <w:rPr>
                <w:rFonts w:asciiTheme="minorHAnsi" w:hAnsiTheme="minorHAnsi" w:cstheme="minorHAnsi"/>
                <w:color w:val="000000"/>
                <w:sz w:val="18"/>
                <w:szCs w:val="18"/>
              </w:rPr>
            </w:pPr>
            <w:r w:rsidRPr="008E52DB">
              <w:rPr>
                <w:rFonts w:asciiTheme="minorHAnsi" w:hAnsiTheme="minorHAnsi" w:cstheme="minorHAnsi"/>
                <w:color w:val="000000"/>
                <w:sz w:val="18"/>
                <w:szCs w:val="18"/>
              </w:rPr>
              <w:t>The PBAC did not recommend the listing of a composite pack (co-pack) comprising abiraterone acetate tablets in a fine particle formulation (SAA) and oral methylprednisolone (MPRED) tablets for the treatment of patients with metastatic castration resistant prostate cancer</w:t>
            </w:r>
            <w:r w:rsidR="00C417F1">
              <w:rPr>
                <w:rFonts w:asciiTheme="minorHAnsi" w:hAnsiTheme="minorHAnsi" w:cstheme="minorHAnsi"/>
                <w:color w:val="000000"/>
                <w:sz w:val="18"/>
                <w:szCs w:val="18"/>
              </w:rPr>
              <w:t xml:space="preserve"> (mCRPC)</w:t>
            </w:r>
            <w:r w:rsidRPr="008E52DB">
              <w:rPr>
                <w:rFonts w:asciiTheme="minorHAnsi" w:hAnsiTheme="minorHAnsi" w:cstheme="minorHAnsi"/>
                <w:color w:val="000000"/>
                <w:sz w:val="18"/>
                <w:szCs w:val="18"/>
              </w:rPr>
              <w:t>. The PBAC raised concerns regarding the quality use of the co-pack in practice, noting there would be a risk of confusion among patients due to differences in dosing of SAA and MPRED compared to the currently listed form of abiraterone and prednisolone. The PBAC considered further information from the sponsor would be required to clarify how these risks would be mitigated.</w:t>
            </w:r>
          </w:p>
          <w:p w14:paraId="688983F4" w14:textId="77777777" w:rsidR="0082711A" w:rsidRPr="008E52DB" w:rsidRDefault="0082711A" w:rsidP="001B344B">
            <w:pPr>
              <w:pStyle w:val="ListParagraph"/>
              <w:keepLines/>
              <w:ind w:left="0"/>
              <w:rPr>
                <w:rFonts w:asciiTheme="minorHAnsi" w:hAnsiTheme="minorHAnsi" w:cstheme="minorHAnsi"/>
                <w:color w:val="000000"/>
                <w:sz w:val="18"/>
                <w:szCs w:val="18"/>
              </w:rPr>
            </w:pPr>
          </w:p>
          <w:p w14:paraId="68675601" w14:textId="77777777" w:rsidR="004207B4" w:rsidRDefault="001B344B" w:rsidP="001B344B">
            <w:pPr>
              <w:pStyle w:val="ListParagraph"/>
              <w:keepLines/>
              <w:ind w:left="0"/>
              <w:rPr>
                <w:rFonts w:asciiTheme="minorHAnsi" w:hAnsiTheme="minorHAnsi" w:cstheme="minorHAnsi"/>
                <w:color w:val="000000"/>
                <w:sz w:val="18"/>
                <w:szCs w:val="18"/>
                <w:u w:val="single"/>
              </w:rPr>
            </w:pPr>
            <w:r w:rsidRPr="008E52DB">
              <w:rPr>
                <w:rFonts w:asciiTheme="minorHAnsi" w:hAnsiTheme="minorHAnsi" w:cstheme="minorHAnsi"/>
                <w:color w:val="000000"/>
                <w:sz w:val="18"/>
                <w:szCs w:val="18"/>
                <w:u w:val="single"/>
              </w:rPr>
              <w:t>Sponsor Comment:</w:t>
            </w:r>
          </w:p>
          <w:p w14:paraId="6EEF1245" w14:textId="5CE82B64" w:rsidR="00DD3217" w:rsidRPr="007E1720" w:rsidRDefault="00DD3217" w:rsidP="001B344B">
            <w:pPr>
              <w:pStyle w:val="ListParagraph"/>
              <w:keepLines/>
              <w:ind w:left="0"/>
              <w:rPr>
                <w:rFonts w:asciiTheme="minorHAnsi" w:hAnsiTheme="minorHAnsi" w:cstheme="minorHAnsi"/>
                <w:color w:val="000000"/>
                <w:sz w:val="18"/>
                <w:szCs w:val="18"/>
                <w:highlight w:val="yellow"/>
              </w:rPr>
            </w:pPr>
            <w:r w:rsidRPr="00DD3217">
              <w:rPr>
                <w:rFonts w:asciiTheme="minorHAnsi" w:hAnsiTheme="minorHAnsi" w:cstheme="minorHAnsi"/>
                <w:color w:val="000000"/>
                <w:sz w:val="18"/>
                <w:szCs w:val="18"/>
              </w:rPr>
              <w:t>SUN is committed to working with the PBAC to make SAA+MPRED available to patients with mCRPC.</w:t>
            </w:r>
          </w:p>
        </w:tc>
      </w:tr>
      <w:tr w:rsidR="004207B4" w:rsidRPr="00567D48" w14:paraId="4D4C9647" w14:textId="77777777" w:rsidTr="007128F7">
        <w:trPr>
          <w:cantSplit/>
          <w:trHeight w:val="2948"/>
        </w:trPr>
        <w:tc>
          <w:tcPr>
            <w:tcW w:w="2973" w:type="dxa"/>
            <w:shd w:val="clear" w:color="auto" w:fill="auto"/>
            <w:tcMar>
              <w:top w:w="28" w:type="dxa"/>
              <w:bottom w:w="28" w:type="dxa"/>
            </w:tcMar>
            <w:vAlign w:val="center"/>
          </w:tcPr>
          <w:p w14:paraId="513D59BA" w14:textId="7B607450" w:rsidR="004207B4" w:rsidRPr="005D09FF" w:rsidRDefault="004207B4" w:rsidP="004207B4">
            <w:pPr>
              <w:keepLines/>
              <w:rPr>
                <w:rFonts w:asciiTheme="minorHAnsi" w:hAnsiTheme="minorHAnsi" w:cstheme="minorHAnsi"/>
                <w:sz w:val="18"/>
                <w:szCs w:val="18"/>
                <w:highlight w:val="yellow"/>
              </w:rPr>
            </w:pPr>
            <w:r w:rsidRPr="005D09FF">
              <w:rPr>
                <w:rFonts w:asciiTheme="minorHAnsi" w:hAnsiTheme="minorHAnsi" w:cstheme="minorHAnsi"/>
                <w:color w:val="000000"/>
                <w:sz w:val="18"/>
                <w:szCs w:val="18"/>
              </w:rPr>
              <w:lastRenderedPageBreak/>
              <w:t>AMIFAMPRIDINE</w:t>
            </w:r>
            <w:r w:rsidRPr="005D09FF">
              <w:rPr>
                <w:rFonts w:asciiTheme="minorHAnsi" w:hAnsiTheme="minorHAnsi" w:cstheme="minorHAnsi"/>
                <w:color w:val="000000"/>
                <w:sz w:val="18"/>
                <w:szCs w:val="18"/>
                <w:highlight w:val="yellow"/>
              </w:rPr>
              <w:br/>
            </w:r>
            <w:r w:rsidRPr="005D09FF">
              <w:rPr>
                <w:rFonts w:asciiTheme="minorHAnsi" w:hAnsiTheme="minorHAnsi" w:cstheme="minorHAnsi"/>
                <w:color w:val="000000"/>
                <w:sz w:val="18"/>
                <w:szCs w:val="18"/>
                <w:highlight w:val="yellow"/>
              </w:rPr>
              <w:br/>
            </w:r>
            <w:r w:rsidRPr="005D09FF">
              <w:rPr>
                <w:rFonts w:asciiTheme="minorHAnsi" w:hAnsiTheme="minorHAnsi" w:cstheme="minorHAnsi"/>
                <w:color w:val="000000"/>
                <w:sz w:val="18"/>
                <w:szCs w:val="18"/>
              </w:rPr>
              <w:t>Tablet 10 mg</w:t>
            </w:r>
            <w:r w:rsidRPr="005D09FF">
              <w:rPr>
                <w:rFonts w:asciiTheme="minorHAnsi" w:hAnsiTheme="minorHAnsi" w:cstheme="minorHAnsi"/>
                <w:color w:val="000000"/>
                <w:sz w:val="18"/>
                <w:szCs w:val="18"/>
              </w:rPr>
              <w:br/>
            </w:r>
            <w:r w:rsidRPr="005D09FF">
              <w:rPr>
                <w:rFonts w:asciiTheme="minorHAnsi" w:hAnsiTheme="minorHAnsi" w:cstheme="minorHAnsi"/>
                <w:color w:val="000000"/>
                <w:sz w:val="18"/>
                <w:szCs w:val="18"/>
              </w:rPr>
              <w:br/>
            </w:r>
            <w:proofErr w:type="spellStart"/>
            <w:r w:rsidRPr="005D09FF">
              <w:rPr>
                <w:rFonts w:asciiTheme="minorHAnsi" w:hAnsiTheme="minorHAnsi" w:cstheme="minorHAnsi"/>
                <w:color w:val="000000"/>
                <w:sz w:val="18"/>
                <w:szCs w:val="18"/>
              </w:rPr>
              <w:t>Ruzurgi</w:t>
            </w:r>
            <w:proofErr w:type="spellEnd"/>
            <w:r w:rsidRPr="005D09FF">
              <w:rPr>
                <w:rFonts w:asciiTheme="minorHAnsi" w:hAnsiTheme="minorHAnsi" w:cstheme="minorHAnsi"/>
                <w:color w:val="000000"/>
                <w:sz w:val="18"/>
                <w:szCs w:val="18"/>
              </w:rPr>
              <w:t>®</w:t>
            </w:r>
            <w:r w:rsidRPr="005D09FF">
              <w:rPr>
                <w:rFonts w:asciiTheme="minorHAnsi" w:hAnsiTheme="minorHAnsi" w:cstheme="minorHAnsi"/>
                <w:color w:val="000000"/>
                <w:sz w:val="18"/>
                <w:szCs w:val="18"/>
                <w:highlight w:val="yellow"/>
              </w:rPr>
              <w:br/>
            </w:r>
            <w:r w:rsidRPr="005D09FF">
              <w:rPr>
                <w:rFonts w:asciiTheme="minorHAnsi" w:hAnsiTheme="minorHAnsi" w:cstheme="minorHAnsi"/>
                <w:color w:val="000000"/>
                <w:sz w:val="18"/>
                <w:szCs w:val="18"/>
                <w:highlight w:val="yellow"/>
              </w:rPr>
              <w:br/>
            </w:r>
            <w:r w:rsidRPr="005D09FF">
              <w:rPr>
                <w:rFonts w:asciiTheme="minorHAnsi" w:hAnsiTheme="minorHAnsi" w:cstheme="minorHAnsi"/>
                <w:color w:val="000000"/>
                <w:sz w:val="18"/>
                <w:szCs w:val="18"/>
              </w:rPr>
              <w:t xml:space="preserve">The Trustee For </w:t>
            </w:r>
            <w:proofErr w:type="spellStart"/>
            <w:r w:rsidRPr="005D09FF">
              <w:rPr>
                <w:rFonts w:asciiTheme="minorHAnsi" w:hAnsiTheme="minorHAnsi" w:cstheme="minorHAnsi"/>
                <w:color w:val="000000"/>
                <w:sz w:val="18"/>
                <w:szCs w:val="18"/>
              </w:rPr>
              <w:t>Orspec</w:t>
            </w:r>
            <w:proofErr w:type="spellEnd"/>
            <w:r w:rsidRPr="005D09FF">
              <w:rPr>
                <w:rFonts w:asciiTheme="minorHAnsi" w:hAnsiTheme="minorHAnsi" w:cstheme="minorHAnsi"/>
                <w:color w:val="000000"/>
                <w:sz w:val="18"/>
                <w:szCs w:val="18"/>
              </w:rPr>
              <w:t xml:space="preserve"> Pharma Unit Trust</w:t>
            </w:r>
            <w:r w:rsidRPr="005D09FF">
              <w:rPr>
                <w:rFonts w:asciiTheme="minorHAnsi" w:hAnsiTheme="minorHAnsi" w:cstheme="minorHAnsi"/>
                <w:color w:val="000000"/>
                <w:sz w:val="18"/>
                <w:szCs w:val="18"/>
                <w:highlight w:val="yellow"/>
              </w:rPr>
              <w:br/>
            </w:r>
            <w:r w:rsidRPr="005D09FF">
              <w:rPr>
                <w:rFonts w:asciiTheme="minorHAnsi" w:hAnsiTheme="minorHAnsi" w:cstheme="minorHAnsi"/>
                <w:color w:val="000000"/>
                <w:sz w:val="18"/>
                <w:szCs w:val="18"/>
                <w:highlight w:val="yellow"/>
              </w:rPr>
              <w:br/>
            </w:r>
            <w:r w:rsidRPr="005D09FF">
              <w:rPr>
                <w:rFonts w:asciiTheme="minorHAnsi" w:hAnsiTheme="minorHAnsi" w:cstheme="minorHAnsi"/>
                <w:color w:val="000000"/>
                <w:sz w:val="18"/>
                <w:szCs w:val="18"/>
              </w:rPr>
              <w:t>Early re-entry</w:t>
            </w:r>
            <w:r w:rsidR="00F652AD" w:rsidRPr="005D09FF">
              <w:rPr>
                <w:rFonts w:asciiTheme="minorHAnsi" w:hAnsiTheme="minorHAnsi" w:cstheme="minorHAnsi"/>
                <w:color w:val="000000"/>
                <w:sz w:val="18"/>
                <w:szCs w:val="18"/>
              </w:rPr>
              <w:t xml:space="preserve"> submission</w:t>
            </w:r>
            <w:r w:rsidRPr="005D09FF">
              <w:rPr>
                <w:rFonts w:asciiTheme="minorHAnsi" w:hAnsiTheme="minorHAnsi" w:cstheme="minorHAnsi"/>
                <w:color w:val="000000"/>
                <w:sz w:val="18"/>
                <w:szCs w:val="18"/>
                <w:highlight w:val="yellow"/>
              </w:rPr>
              <w:br/>
            </w:r>
            <w:r w:rsidRPr="005D09FF">
              <w:rPr>
                <w:rFonts w:asciiTheme="minorHAnsi" w:hAnsiTheme="minorHAnsi" w:cstheme="minorHAnsi"/>
                <w:color w:val="000000"/>
                <w:sz w:val="18"/>
                <w:szCs w:val="18"/>
              </w:rPr>
              <w:t>(New PBS Listing)</w:t>
            </w:r>
          </w:p>
        </w:tc>
        <w:tc>
          <w:tcPr>
            <w:tcW w:w="2491" w:type="dxa"/>
            <w:shd w:val="clear" w:color="auto" w:fill="auto"/>
            <w:vAlign w:val="center"/>
          </w:tcPr>
          <w:p w14:paraId="39A82484" w14:textId="43120A19" w:rsidR="004207B4" w:rsidRPr="005D09FF" w:rsidRDefault="004207B4" w:rsidP="004207B4">
            <w:pPr>
              <w:keepLines/>
              <w:widowControl w:val="0"/>
              <w:rPr>
                <w:rFonts w:asciiTheme="minorHAnsi" w:hAnsiTheme="minorHAnsi" w:cstheme="minorHAnsi"/>
                <w:snapToGrid w:val="0"/>
                <w:sz w:val="18"/>
                <w:szCs w:val="18"/>
                <w:highlight w:val="yellow"/>
                <w:lang w:eastAsia="en-US"/>
              </w:rPr>
            </w:pPr>
            <w:r w:rsidRPr="005D09FF">
              <w:rPr>
                <w:rFonts w:asciiTheme="minorHAnsi" w:hAnsiTheme="minorHAnsi" w:cstheme="minorHAnsi"/>
                <w:color w:val="000000"/>
                <w:sz w:val="18"/>
                <w:szCs w:val="18"/>
              </w:rPr>
              <w:t>Lambert-Eaton myasthenic syndrome</w:t>
            </w:r>
          </w:p>
        </w:tc>
        <w:tc>
          <w:tcPr>
            <w:tcW w:w="3887" w:type="dxa"/>
            <w:shd w:val="clear" w:color="auto" w:fill="auto"/>
            <w:tcMar>
              <w:top w:w="28" w:type="dxa"/>
              <w:bottom w:w="28" w:type="dxa"/>
            </w:tcMar>
            <w:vAlign w:val="center"/>
          </w:tcPr>
          <w:p w14:paraId="028D9DAB" w14:textId="261A3E38" w:rsidR="004207B4" w:rsidRPr="005D09FF" w:rsidRDefault="004207B4" w:rsidP="004207B4">
            <w:pPr>
              <w:pStyle w:val="ListParagraph"/>
              <w:keepLines/>
              <w:ind w:left="0"/>
              <w:rPr>
                <w:rFonts w:asciiTheme="minorHAnsi" w:hAnsiTheme="minorHAnsi" w:cstheme="minorHAnsi"/>
                <w:snapToGrid w:val="0"/>
                <w:sz w:val="18"/>
                <w:szCs w:val="18"/>
                <w:highlight w:val="yellow"/>
                <w:lang w:eastAsia="en-US"/>
              </w:rPr>
            </w:pPr>
            <w:r w:rsidRPr="005D09FF">
              <w:rPr>
                <w:rFonts w:asciiTheme="minorHAnsi" w:hAnsiTheme="minorHAnsi" w:cstheme="minorHAnsi"/>
                <w:color w:val="000000"/>
                <w:sz w:val="18"/>
                <w:szCs w:val="18"/>
              </w:rPr>
              <w:t>Resubmission to request a General Schedule Authority Required listing for the treatment of Lambert-Eaton myasthenic syndrome in adults and children aged six years and above.</w:t>
            </w:r>
          </w:p>
        </w:tc>
        <w:tc>
          <w:tcPr>
            <w:tcW w:w="1984" w:type="dxa"/>
            <w:shd w:val="clear" w:color="auto" w:fill="auto"/>
            <w:vAlign w:val="center"/>
          </w:tcPr>
          <w:p w14:paraId="0DE66810" w14:textId="57D1BBB7" w:rsidR="004207B4" w:rsidRPr="005D09FF" w:rsidRDefault="004207B4" w:rsidP="004207B4">
            <w:pPr>
              <w:pStyle w:val="ListParagraph"/>
              <w:keepLines/>
              <w:ind w:left="0"/>
              <w:rPr>
                <w:rFonts w:asciiTheme="minorHAnsi" w:hAnsiTheme="minorHAnsi" w:cstheme="minorHAnsi"/>
                <w:snapToGrid w:val="0"/>
                <w:sz w:val="18"/>
                <w:szCs w:val="18"/>
                <w:highlight w:val="yellow"/>
                <w:lang w:eastAsia="en-US"/>
              </w:rPr>
            </w:pPr>
            <w:r w:rsidRPr="005D09FF">
              <w:rPr>
                <w:rFonts w:asciiTheme="minorHAnsi" w:hAnsiTheme="minorHAnsi" w:cstheme="minorHAnsi"/>
                <w:color w:val="000000"/>
                <w:sz w:val="18"/>
                <w:szCs w:val="18"/>
              </w:rPr>
              <w:t>Recommended</w:t>
            </w:r>
          </w:p>
        </w:tc>
        <w:tc>
          <w:tcPr>
            <w:tcW w:w="4053" w:type="dxa"/>
            <w:shd w:val="clear" w:color="auto" w:fill="auto"/>
            <w:vAlign w:val="center"/>
          </w:tcPr>
          <w:p w14:paraId="5B32F778" w14:textId="14C59B48" w:rsidR="004207B4" w:rsidRPr="005D09FF" w:rsidRDefault="004207B4" w:rsidP="004207B4">
            <w:pPr>
              <w:pStyle w:val="ListParagraph"/>
              <w:keepLines/>
              <w:ind w:left="0"/>
              <w:rPr>
                <w:rFonts w:asciiTheme="minorHAnsi" w:hAnsiTheme="minorHAnsi" w:cstheme="minorHAnsi"/>
                <w:color w:val="000000"/>
                <w:sz w:val="18"/>
                <w:szCs w:val="18"/>
                <w:highlight w:val="yellow"/>
              </w:rPr>
            </w:pPr>
            <w:r w:rsidRPr="005D09FF">
              <w:rPr>
                <w:rFonts w:asciiTheme="minorHAnsi" w:hAnsiTheme="minorHAnsi" w:cstheme="minorHAnsi"/>
                <w:color w:val="000000"/>
                <w:sz w:val="18"/>
                <w:szCs w:val="18"/>
              </w:rPr>
              <w:t>The PBAC recommended the listing of amifampridine for the treatment of Lambert-Eaton myasthenic syndrome (LEMS). The resubmission provided a revised economic model and financial estimates in response to previous concerns raised by the PBAC at the November 2021 meeting. The PBAC considered that the incremental cost-effectiveness ratio was acceptable in the context of LEMS being a rare condition with an unmet need for effective treatment. The PBAC noted that the financial estimates had been recalculated, consistent with previous advice.</w:t>
            </w:r>
          </w:p>
        </w:tc>
      </w:tr>
      <w:tr w:rsidR="004207B4" w:rsidRPr="00567D48" w14:paraId="486B5D5B" w14:textId="77777777" w:rsidTr="007128F7">
        <w:trPr>
          <w:cantSplit/>
          <w:trHeight w:val="2948"/>
        </w:trPr>
        <w:tc>
          <w:tcPr>
            <w:tcW w:w="2973" w:type="dxa"/>
            <w:shd w:val="clear" w:color="auto" w:fill="auto"/>
            <w:tcMar>
              <w:top w:w="28" w:type="dxa"/>
              <w:bottom w:w="28" w:type="dxa"/>
            </w:tcMar>
            <w:vAlign w:val="center"/>
          </w:tcPr>
          <w:p w14:paraId="618F1349" w14:textId="054C098B" w:rsidR="004207B4" w:rsidRPr="005D09FF" w:rsidRDefault="004207B4" w:rsidP="004207B4">
            <w:pPr>
              <w:keepLines/>
              <w:rPr>
                <w:rFonts w:asciiTheme="minorHAnsi" w:hAnsiTheme="minorHAnsi" w:cstheme="minorHAnsi"/>
                <w:sz w:val="18"/>
                <w:szCs w:val="18"/>
                <w:highlight w:val="yellow"/>
              </w:rPr>
            </w:pPr>
            <w:r w:rsidRPr="00575F52">
              <w:rPr>
                <w:rFonts w:asciiTheme="minorHAnsi" w:hAnsiTheme="minorHAnsi" w:cstheme="minorHAnsi"/>
                <w:color w:val="000000"/>
                <w:sz w:val="18"/>
                <w:szCs w:val="18"/>
              </w:rPr>
              <w:t xml:space="preserve">APREMILAST </w:t>
            </w:r>
            <w:r w:rsidRPr="00575F52">
              <w:rPr>
                <w:rFonts w:asciiTheme="minorHAnsi" w:hAnsiTheme="minorHAnsi" w:cstheme="minorHAnsi"/>
                <w:color w:val="000000"/>
                <w:sz w:val="18"/>
                <w:szCs w:val="18"/>
              </w:rPr>
              <w:br/>
            </w:r>
            <w:r w:rsidRPr="00575F52">
              <w:rPr>
                <w:rFonts w:asciiTheme="minorHAnsi" w:hAnsiTheme="minorHAnsi" w:cstheme="minorHAnsi"/>
                <w:color w:val="000000"/>
                <w:sz w:val="18"/>
                <w:szCs w:val="18"/>
              </w:rPr>
              <w:br/>
              <w:t xml:space="preserve">Tablet 30 mg </w:t>
            </w:r>
            <w:r w:rsidRPr="00575F52">
              <w:rPr>
                <w:rFonts w:asciiTheme="minorHAnsi" w:hAnsiTheme="minorHAnsi" w:cstheme="minorHAnsi"/>
                <w:color w:val="000000"/>
                <w:sz w:val="18"/>
                <w:szCs w:val="18"/>
              </w:rPr>
              <w:br/>
              <w:t xml:space="preserve">Pack containing 4 tablets 10 mg, </w:t>
            </w:r>
            <w:r w:rsidR="005C34D5" w:rsidRPr="00575F52">
              <w:rPr>
                <w:rFonts w:asciiTheme="minorHAnsi" w:hAnsiTheme="minorHAnsi" w:cstheme="minorHAnsi"/>
                <w:color w:val="000000"/>
                <w:sz w:val="18"/>
                <w:szCs w:val="18"/>
              </w:rPr>
              <w:t>4 </w:t>
            </w:r>
            <w:r w:rsidRPr="00575F52">
              <w:rPr>
                <w:rFonts w:asciiTheme="minorHAnsi" w:hAnsiTheme="minorHAnsi" w:cstheme="minorHAnsi"/>
                <w:color w:val="000000"/>
                <w:sz w:val="18"/>
                <w:szCs w:val="18"/>
              </w:rPr>
              <w:t>tablets 20 mg and 19 tablets 30 mg</w:t>
            </w:r>
            <w:r w:rsidRPr="00575F52">
              <w:rPr>
                <w:rFonts w:asciiTheme="minorHAnsi" w:hAnsiTheme="minorHAnsi" w:cstheme="minorHAnsi"/>
                <w:color w:val="000000"/>
                <w:sz w:val="18"/>
                <w:szCs w:val="18"/>
              </w:rPr>
              <w:br/>
            </w:r>
            <w:r w:rsidRPr="00575F52">
              <w:rPr>
                <w:rFonts w:asciiTheme="minorHAnsi" w:hAnsiTheme="minorHAnsi" w:cstheme="minorHAnsi"/>
                <w:color w:val="000000"/>
                <w:sz w:val="18"/>
                <w:szCs w:val="18"/>
              </w:rPr>
              <w:br/>
              <w:t>Otezla®</w:t>
            </w:r>
            <w:r w:rsidRPr="00575F52">
              <w:rPr>
                <w:rFonts w:asciiTheme="minorHAnsi" w:hAnsiTheme="minorHAnsi" w:cstheme="minorHAnsi"/>
                <w:color w:val="000000"/>
                <w:sz w:val="18"/>
                <w:szCs w:val="18"/>
              </w:rPr>
              <w:br/>
            </w:r>
            <w:r w:rsidRPr="00575F52">
              <w:rPr>
                <w:rFonts w:asciiTheme="minorHAnsi" w:hAnsiTheme="minorHAnsi" w:cstheme="minorHAnsi"/>
                <w:color w:val="000000"/>
                <w:sz w:val="18"/>
                <w:szCs w:val="18"/>
              </w:rPr>
              <w:br/>
              <w:t>Amgen Australia Pty Limited</w:t>
            </w:r>
            <w:r w:rsidRPr="005D09FF">
              <w:rPr>
                <w:rFonts w:asciiTheme="minorHAnsi" w:hAnsiTheme="minorHAnsi" w:cstheme="minorHAnsi"/>
                <w:color w:val="000000"/>
                <w:sz w:val="18"/>
                <w:szCs w:val="18"/>
                <w:highlight w:val="yellow"/>
              </w:rPr>
              <w:br/>
            </w:r>
            <w:r w:rsidRPr="005D09FF">
              <w:rPr>
                <w:rFonts w:asciiTheme="minorHAnsi" w:hAnsiTheme="minorHAnsi" w:cstheme="minorHAnsi"/>
                <w:color w:val="000000"/>
                <w:sz w:val="18"/>
                <w:szCs w:val="18"/>
                <w:highlight w:val="yellow"/>
              </w:rPr>
              <w:br/>
            </w:r>
            <w:r w:rsidRPr="00575F52">
              <w:rPr>
                <w:rFonts w:asciiTheme="minorHAnsi" w:hAnsiTheme="minorHAnsi" w:cstheme="minorHAnsi"/>
                <w:color w:val="000000"/>
                <w:sz w:val="18"/>
                <w:szCs w:val="18"/>
              </w:rPr>
              <w:t>Category 3 submission</w:t>
            </w:r>
            <w:r w:rsidRPr="00575F52">
              <w:rPr>
                <w:rFonts w:asciiTheme="minorHAnsi" w:hAnsiTheme="minorHAnsi" w:cstheme="minorHAnsi"/>
                <w:color w:val="000000"/>
                <w:sz w:val="18"/>
                <w:szCs w:val="18"/>
              </w:rPr>
              <w:br/>
              <w:t>(Change to PBS listing)</w:t>
            </w:r>
          </w:p>
        </w:tc>
        <w:tc>
          <w:tcPr>
            <w:tcW w:w="2491" w:type="dxa"/>
            <w:shd w:val="clear" w:color="auto" w:fill="auto"/>
            <w:vAlign w:val="center"/>
          </w:tcPr>
          <w:p w14:paraId="48E3CFEE" w14:textId="02E8A2CE" w:rsidR="004207B4" w:rsidRPr="005D09FF" w:rsidRDefault="004207B4" w:rsidP="004207B4">
            <w:pPr>
              <w:keepLines/>
              <w:widowControl w:val="0"/>
              <w:rPr>
                <w:rFonts w:asciiTheme="minorHAnsi" w:hAnsiTheme="minorHAnsi" w:cstheme="minorHAnsi"/>
                <w:snapToGrid w:val="0"/>
                <w:sz w:val="18"/>
                <w:szCs w:val="18"/>
                <w:highlight w:val="yellow"/>
                <w:lang w:eastAsia="en-US"/>
              </w:rPr>
            </w:pPr>
            <w:r w:rsidRPr="00575F52">
              <w:rPr>
                <w:rFonts w:asciiTheme="minorHAnsi" w:hAnsiTheme="minorHAnsi" w:cstheme="minorHAnsi"/>
                <w:color w:val="000000"/>
                <w:sz w:val="18"/>
                <w:szCs w:val="18"/>
              </w:rPr>
              <w:t>Severe chronic plaque psoriasis</w:t>
            </w:r>
          </w:p>
        </w:tc>
        <w:tc>
          <w:tcPr>
            <w:tcW w:w="3887" w:type="dxa"/>
            <w:shd w:val="clear" w:color="auto" w:fill="auto"/>
            <w:tcMar>
              <w:top w:w="28" w:type="dxa"/>
              <w:bottom w:w="28" w:type="dxa"/>
            </w:tcMar>
            <w:vAlign w:val="center"/>
          </w:tcPr>
          <w:p w14:paraId="66ACB354" w14:textId="65142BEA" w:rsidR="004207B4" w:rsidRPr="00575F52" w:rsidRDefault="004207B4" w:rsidP="004207B4">
            <w:pPr>
              <w:pStyle w:val="ListParagraph"/>
              <w:keepLines/>
              <w:ind w:left="0"/>
              <w:rPr>
                <w:rFonts w:asciiTheme="minorHAnsi" w:hAnsiTheme="minorHAnsi" w:cstheme="minorHAnsi"/>
                <w:snapToGrid w:val="0"/>
                <w:sz w:val="18"/>
                <w:szCs w:val="18"/>
                <w:lang w:eastAsia="en-US"/>
              </w:rPr>
            </w:pPr>
            <w:r w:rsidRPr="00575F52">
              <w:rPr>
                <w:rFonts w:asciiTheme="minorHAnsi" w:hAnsiTheme="minorHAnsi" w:cstheme="minorHAnsi"/>
                <w:color w:val="000000"/>
                <w:sz w:val="18"/>
                <w:szCs w:val="18"/>
              </w:rPr>
              <w:t>To request changing the treatment criteria to allow accredited dermatology registrars to initiate treatment in consultation with a dermatologist</w:t>
            </w:r>
            <w:r w:rsidR="00EF4E97" w:rsidRPr="005D09FF">
              <w:rPr>
                <w:rFonts w:asciiTheme="minorHAnsi" w:hAnsiTheme="minorHAnsi" w:cstheme="minorHAnsi"/>
                <w:color w:val="000000"/>
                <w:sz w:val="18"/>
                <w:szCs w:val="18"/>
              </w:rPr>
              <w:t>;</w:t>
            </w:r>
            <w:r w:rsidRPr="00575F52">
              <w:rPr>
                <w:rFonts w:asciiTheme="minorHAnsi" w:hAnsiTheme="minorHAnsi" w:cstheme="minorHAnsi"/>
                <w:color w:val="000000"/>
                <w:sz w:val="18"/>
                <w:szCs w:val="18"/>
              </w:rPr>
              <w:t xml:space="preserve"> and to allow general practitioners to prescribe maintenance treatment. </w:t>
            </w:r>
          </w:p>
        </w:tc>
        <w:tc>
          <w:tcPr>
            <w:tcW w:w="1984" w:type="dxa"/>
            <w:shd w:val="clear" w:color="auto" w:fill="auto"/>
            <w:vAlign w:val="center"/>
          </w:tcPr>
          <w:p w14:paraId="0A687D81" w14:textId="5755D0AF" w:rsidR="004207B4" w:rsidRPr="005D09FF" w:rsidRDefault="004207B4" w:rsidP="004207B4">
            <w:pPr>
              <w:pStyle w:val="ListParagraph"/>
              <w:keepLines/>
              <w:ind w:left="0"/>
              <w:rPr>
                <w:rFonts w:asciiTheme="minorHAnsi" w:hAnsiTheme="minorHAnsi" w:cstheme="minorHAnsi"/>
                <w:snapToGrid w:val="0"/>
                <w:sz w:val="18"/>
                <w:szCs w:val="18"/>
                <w:highlight w:val="yellow"/>
                <w:lang w:eastAsia="en-US"/>
              </w:rPr>
            </w:pPr>
            <w:r w:rsidRPr="00575F52">
              <w:rPr>
                <w:rFonts w:asciiTheme="minorHAnsi" w:hAnsiTheme="minorHAnsi" w:cstheme="minorHAnsi"/>
                <w:color w:val="000000"/>
                <w:sz w:val="18"/>
                <w:szCs w:val="18"/>
              </w:rPr>
              <w:t>Recommended</w:t>
            </w:r>
          </w:p>
        </w:tc>
        <w:tc>
          <w:tcPr>
            <w:tcW w:w="4053" w:type="dxa"/>
            <w:shd w:val="clear" w:color="auto" w:fill="auto"/>
            <w:vAlign w:val="center"/>
          </w:tcPr>
          <w:p w14:paraId="65A36520" w14:textId="0257EB82" w:rsidR="004207B4" w:rsidRPr="005D09FF" w:rsidRDefault="00C55F5F" w:rsidP="004207B4">
            <w:pPr>
              <w:pStyle w:val="ListParagraph"/>
              <w:keepLines/>
              <w:ind w:left="0"/>
              <w:rPr>
                <w:rFonts w:asciiTheme="minorHAnsi" w:hAnsiTheme="minorHAnsi" w:cstheme="minorHAnsi"/>
                <w:color w:val="000000"/>
                <w:sz w:val="18"/>
                <w:szCs w:val="18"/>
                <w:highlight w:val="yellow"/>
              </w:rPr>
            </w:pPr>
            <w:r>
              <w:rPr>
                <w:rFonts w:asciiTheme="minorHAnsi" w:hAnsiTheme="minorHAnsi" w:cstheme="minorHAnsi"/>
                <w:color w:val="000000"/>
                <w:sz w:val="18"/>
                <w:szCs w:val="18"/>
              </w:rPr>
              <w:t>For further details please see the outcomes of the May 2022 PBAC meeting.</w:t>
            </w:r>
            <w:r w:rsidR="004207B4" w:rsidRPr="00575F52">
              <w:rPr>
                <w:rFonts w:asciiTheme="minorHAnsi" w:hAnsiTheme="minorHAnsi" w:cstheme="minorHAnsi"/>
                <w:color w:val="000000"/>
                <w:sz w:val="18"/>
                <w:szCs w:val="18"/>
              </w:rPr>
              <w:t xml:space="preserve"> </w:t>
            </w:r>
          </w:p>
        </w:tc>
      </w:tr>
      <w:tr w:rsidR="004207B4" w:rsidRPr="00567D48" w14:paraId="2E3F990E" w14:textId="77777777" w:rsidTr="007128F7">
        <w:trPr>
          <w:cantSplit/>
          <w:trHeight w:val="2948"/>
        </w:trPr>
        <w:tc>
          <w:tcPr>
            <w:tcW w:w="2973" w:type="dxa"/>
            <w:shd w:val="clear" w:color="auto" w:fill="auto"/>
            <w:tcMar>
              <w:top w:w="28" w:type="dxa"/>
              <w:bottom w:w="28" w:type="dxa"/>
            </w:tcMar>
            <w:vAlign w:val="center"/>
          </w:tcPr>
          <w:p w14:paraId="56B716DB" w14:textId="34EBAF9D" w:rsidR="001B1D5D" w:rsidRDefault="004207B4" w:rsidP="001B1D5D">
            <w:pPr>
              <w:keepLines/>
              <w:rPr>
                <w:rFonts w:asciiTheme="minorHAnsi" w:hAnsiTheme="minorHAnsi" w:cstheme="minorHAnsi"/>
                <w:color w:val="000000"/>
                <w:sz w:val="18"/>
                <w:szCs w:val="18"/>
              </w:rPr>
            </w:pPr>
            <w:r w:rsidRPr="00575F52">
              <w:rPr>
                <w:rFonts w:asciiTheme="minorHAnsi" w:hAnsiTheme="minorHAnsi" w:cstheme="minorHAnsi"/>
                <w:color w:val="000000"/>
                <w:sz w:val="18"/>
                <w:szCs w:val="18"/>
              </w:rPr>
              <w:lastRenderedPageBreak/>
              <w:t xml:space="preserve">AVELUMAB </w:t>
            </w:r>
            <w:r w:rsidRPr="00575F52">
              <w:rPr>
                <w:rFonts w:asciiTheme="minorHAnsi" w:hAnsiTheme="minorHAnsi" w:cstheme="minorHAnsi"/>
                <w:color w:val="000000"/>
                <w:sz w:val="18"/>
                <w:szCs w:val="18"/>
              </w:rPr>
              <w:br/>
            </w:r>
            <w:r w:rsidRPr="00575F52">
              <w:rPr>
                <w:rFonts w:asciiTheme="minorHAnsi" w:hAnsiTheme="minorHAnsi" w:cstheme="minorHAnsi"/>
                <w:color w:val="000000"/>
                <w:sz w:val="18"/>
                <w:szCs w:val="18"/>
              </w:rPr>
              <w:br/>
              <w:t>Solution concentrate for I.V. infusion 200 mg in 10 mL</w:t>
            </w:r>
            <w:r w:rsidRPr="00575F52">
              <w:rPr>
                <w:rFonts w:asciiTheme="minorHAnsi" w:hAnsiTheme="minorHAnsi" w:cstheme="minorHAnsi"/>
                <w:color w:val="000000"/>
                <w:sz w:val="18"/>
                <w:szCs w:val="18"/>
              </w:rPr>
              <w:br/>
            </w:r>
            <w:r w:rsidRPr="00575F52">
              <w:rPr>
                <w:rFonts w:asciiTheme="minorHAnsi" w:hAnsiTheme="minorHAnsi" w:cstheme="minorHAnsi"/>
                <w:color w:val="000000"/>
                <w:sz w:val="18"/>
                <w:szCs w:val="18"/>
              </w:rPr>
              <w:br/>
              <w:t>Bavencio®</w:t>
            </w:r>
            <w:r w:rsidRPr="00575F52">
              <w:rPr>
                <w:rFonts w:asciiTheme="minorHAnsi" w:hAnsiTheme="minorHAnsi" w:cstheme="minorHAnsi"/>
                <w:color w:val="000000"/>
                <w:sz w:val="18"/>
                <w:szCs w:val="18"/>
              </w:rPr>
              <w:br/>
            </w:r>
            <w:r w:rsidRPr="00575F52">
              <w:rPr>
                <w:rFonts w:asciiTheme="minorHAnsi" w:hAnsiTheme="minorHAnsi" w:cstheme="minorHAnsi"/>
                <w:color w:val="000000"/>
                <w:sz w:val="18"/>
                <w:szCs w:val="18"/>
              </w:rPr>
              <w:br/>
              <w:t xml:space="preserve">Merck Healthcare Pty Ltd </w:t>
            </w:r>
            <w:r w:rsidRPr="005D09FF">
              <w:rPr>
                <w:rFonts w:asciiTheme="minorHAnsi" w:hAnsiTheme="minorHAnsi" w:cstheme="minorHAnsi"/>
                <w:color w:val="000000"/>
                <w:sz w:val="18"/>
                <w:szCs w:val="18"/>
                <w:highlight w:val="yellow"/>
              </w:rPr>
              <w:br/>
            </w:r>
            <w:r w:rsidRPr="005D09FF">
              <w:rPr>
                <w:rFonts w:asciiTheme="minorHAnsi" w:hAnsiTheme="minorHAnsi" w:cstheme="minorHAnsi"/>
                <w:color w:val="000000"/>
                <w:sz w:val="18"/>
                <w:szCs w:val="18"/>
                <w:highlight w:val="yellow"/>
              </w:rPr>
              <w:br/>
            </w:r>
            <w:r w:rsidR="001B1D5D">
              <w:rPr>
                <w:rFonts w:asciiTheme="minorHAnsi" w:hAnsiTheme="minorHAnsi" w:cstheme="minorHAnsi"/>
                <w:color w:val="000000"/>
                <w:sz w:val="18"/>
                <w:szCs w:val="18"/>
              </w:rPr>
              <w:t xml:space="preserve">Matters </w:t>
            </w:r>
            <w:r w:rsidR="00A56DF0">
              <w:rPr>
                <w:rFonts w:asciiTheme="minorHAnsi" w:hAnsiTheme="minorHAnsi" w:cstheme="minorHAnsi"/>
                <w:color w:val="000000"/>
                <w:sz w:val="18"/>
                <w:szCs w:val="18"/>
              </w:rPr>
              <w:t>A</w:t>
            </w:r>
            <w:r w:rsidR="001B1D5D">
              <w:rPr>
                <w:rFonts w:asciiTheme="minorHAnsi" w:hAnsiTheme="minorHAnsi" w:cstheme="minorHAnsi"/>
                <w:color w:val="000000"/>
                <w:sz w:val="18"/>
                <w:szCs w:val="18"/>
              </w:rPr>
              <w:t>rising</w:t>
            </w:r>
          </w:p>
          <w:p w14:paraId="347A2878" w14:textId="10B01EEC" w:rsidR="004207B4" w:rsidRPr="005D09FF" w:rsidRDefault="004207B4" w:rsidP="001B1D5D">
            <w:pPr>
              <w:keepLines/>
              <w:rPr>
                <w:rFonts w:asciiTheme="minorHAnsi" w:hAnsiTheme="minorHAnsi" w:cstheme="minorHAnsi"/>
                <w:sz w:val="18"/>
                <w:szCs w:val="18"/>
                <w:highlight w:val="yellow"/>
              </w:rPr>
            </w:pPr>
            <w:r w:rsidRPr="005D09FF">
              <w:rPr>
                <w:rFonts w:asciiTheme="minorHAnsi" w:hAnsiTheme="minorHAnsi" w:cstheme="minorHAnsi"/>
                <w:color w:val="000000"/>
                <w:sz w:val="18"/>
                <w:szCs w:val="18"/>
              </w:rPr>
              <w:t>(Change to PBS listing)</w:t>
            </w:r>
          </w:p>
        </w:tc>
        <w:tc>
          <w:tcPr>
            <w:tcW w:w="2491" w:type="dxa"/>
            <w:shd w:val="clear" w:color="auto" w:fill="auto"/>
            <w:vAlign w:val="center"/>
          </w:tcPr>
          <w:p w14:paraId="4D6F63E0" w14:textId="7E6F9C3C" w:rsidR="004207B4" w:rsidRPr="005D09FF" w:rsidRDefault="004207B4" w:rsidP="004207B4">
            <w:pPr>
              <w:keepLines/>
              <w:widowControl w:val="0"/>
              <w:rPr>
                <w:rFonts w:asciiTheme="minorHAnsi" w:hAnsiTheme="minorHAnsi" w:cstheme="minorHAnsi"/>
                <w:snapToGrid w:val="0"/>
                <w:sz w:val="18"/>
                <w:szCs w:val="18"/>
                <w:highlight w:val="yellow"/>
                <w:lang w:eastAsia="en-US"/>
              </w:rPr>
            </w:pPr>
            <w:r w:rsidRPr="00575F52">
              <w:rPr>
                <w:rFonts w:asciiTheme="minorHAnsi" w:hAnsiTheme="minorHAnsi" w:cstheme="minorHAnsi"/>
                <w:color w:val="000000"/>
                <w:sz w:val="18"/>
                <w:szCs w:val="18"/>
              </w:rPr>
              <w:t>Urothelial</w:t>
            </w:r>
            <w:r w:rsidR="00D73BE7" w:rsidRPr="00575F52">
              <w:rPr>
                <w:rFonts w:asciiTheme="minorHAnsi" w:hAnsiTheme="minorHAnsi" w:cstheme="minorHAnsi"/>
                <w:color w:val="000000"/>
                <w:sz w:val="18"/>
                <w:szCs w:val="18"/>
              </w:rPr>
              <w:t xml:space="preserve"> </w:t>
            </w:r>
            <w:r w:rsidRPr="00575F52">
              <w:rPr>
                <w:rFonts w:asciiTheme="minorHAnsi" w:hAnsiTheme="minorHAnsi" w:cstheme="minorHAnsi"/>
                <w:color w:val="000000"/>
                <w:sz w:val="18"/>
                <w:szCs w:val="18"/>
              </w:rPr>
              <w:t>carcinoma</w:t>
            </w:r>
          </w:p>
        </w:tc>
        <w:tc>
          <w:tcPr>
            <w:tcW w:w="3887" w:type="dxa"/>
            <w:shd w:val="clear" w:color="auto" w:fill="auto"/>
            <w:tcMar>
              <w:top w:w="28" w:type="dxa"/>
              <w:bottom w:w="28" w:type="dxa"/>
            </w:tcMar>
            <w:vAlign w:val="center"/>
          </w:tcPr>
          <w:p w14:paraId="455771E0" w14:textId="4296132B" w:rsidR="004207B4" w:rsidRPr="005D09FF" w:rsidRDefault="004207B4" w:rsidP="004207B4">
            <w:pPr>
              <w:pStyle w:val="ListParagraph"/>
              <w:keepLines/>
              <w:ind w:left="0"/>
              <w:rPr>
                <w:rFonts w:asciiTheme="minorHAnsi" w:hAnsiTheme="minorHAnsi" w:cstheme="minorHAnsi"/>
                <w:snapToGrid w:val="0"/>
                <w:sz w:val="18"/>
                <w:szCs w:val="18"/>
                <w:highlight w:val="yellow"/>
                <w:lang w:eastAsia="en-US"/>
              </w:rPr>
            </w:pPr>
            <w:r w:rsidRPr="00575F52">
              <w:rPr>
                <w:rFonts w:asciiTheme="minorHAnsi" w:hAnsiTheme="minorHAnsi" w:cstheme="minorHAnsi"/>
                <w:color w:val="000000"/>
                <w:sz w:val="18"/>
                <w:szCs w:val="18"/>
              </w:rPr>
              <w:t>To request that the PBAC review a revised proposal following the March 2021 recommendation for avelumab for the first-line maintenance treatment of locally advanced (Stage III) or metastatic (Stage IV) urothelial carcinoma.</w:t>
            </w:r>
          </w:p>
        </w:tc>
        <w:tc>
          <w:tcPr>
            <w:tcW w:w="1984" w:type="dxa"/>
            <w:shd w:val="clear" w:color="auto" w:fill="auto"/>
            <w:vAlign w:val="center"/>
          </w:tcPr>
          <w:p w14:paraId="46B86EA0" w14:textId="6CDC632D" w:rsidR="004207B4" w:rsidRPr="005D09FF" w:rsidRDefault="004207B4" w:rsidP="004207B4">
            <w:pPr>
              <w:pStyle w:val="ListParagraph"/>
              <w:keepLines/>
              <w:ind w:left="0"/>
              <w:rPr>
                <w:rFonts w:asciiTheme="minorHAnsi" w:hAnsiTheme="minorHAnsi" w:cstheme="minorHAnsi"/>
                <w:snapToGrid w:val="0"/>
                <w:sz w:val="18"/>
                <w:szCs w:val="18"/>
                <w:highlight w:val="yellow"/>
                <w:lang w:eastAsia="en-US"/>
              </w:rPr>
            </w:pPr>
            <w:r w:rsidRPr="00575F52">
              <w:rPr>
                <w:rFonts w:asciiTheme="minorHAnsi" w:hAnsiTheme="minorHAnsi" w:cstheme="minorHAnsi"/>
                <w:color w:val="000000"/>
                <w:sz w:val="18"/>
                <w:szCs w:val="18"/>
              </w:rPr>
              <w:t>Advice Provided</w:t>
            </w:r>
          </w:p>
        </w:tc>
        <w:tc>
          <w:tcPr>
            <w:tcW w:w="4053" w:type="dxa"/>
            <w:shd w:val="clear" w:color="auto" w:fill="auto"/>
            <w:vAlign w:val="center"/>
          </w:tcPr>
          <w:p w14:paraId="2C78B835" w14:textId="5BDC69D7" w:rsidR="001B344B" w:rsidRPr="005D09FF" w:rsidRDefault="004207B4" w:rsidP="001B344B">
            <w:pPr>
              <w:pStyle w:val="ListParagraph"/>
              <w:keepLines/>
              <w:ind w:left="0"/>
              <w:rPr>
                <w:rFonts w:asciiTheme="minorHAnsi" w:hAnsiTheme="minorHAnsi" w:cstheme="minorHAnsi"/>
                <w:color w:val="000000"/>
                <w:sz w:val="18"/>
                <w:szCs w:val="18"/>
                <w:highlight w:val="yellow"/>
              </w:rPr>
            </w:pPr>
            <w:r w:rsidRPr="00575F52">
              <w:rPr>
                <w:rFonts w:asciiTheme="minorHAnsi" w:hAnsiTheme="minorHAnsi" w:cstheme="minorHAnsi"/>
                <w:sz w:val="18"/>
                <w:szCs w:val="18"/>
              </w:rPr>
              <w:t xml:space="preserve">The PBAC provided further advice </w:t>
            </w:r>
            <w:proofErr w:type="gramStart"/>
            <w:r w:rsidRPr="00575F52">
              <w:rPr>
                <w:rFonts w:asciiTheme="minorHAnsi" w:hAnsiTheme="minorHAnsi" w:cstheme="minorHAnsi"/>
                <w:sz w:val="18"/>
                <w:szCs w:val="18"/>
              </w:rPr>
              <w:t>in regard to</w:t>
            </w:r>
            <w:proofErr w:type="gramEnd"/>
            <w:r w:rsidRPr="00575F52">
              <w:rPr>
                <w:rFonts w:asciiTheme="minorHAnsi" w:hAnsiTheme="minorHAnsi" w:cstheme="minorHAnsi"/>
                <w:sz w:val="18"/>
                <w:szCs w:val="18"/>
              </w:rPr>
              <w:t xml:space="preserve"> its March 2021 recommendation for the listing of avelumab, for the maintenance treatment of locally advanced or metastatic urothelial carcinoma, and the sponsor’s subsequent listing proposal which included modifications to the economic model. The PBAC advised that avelumab would be cost-effective at the price proposed by the sponsor together with a risk sharing arrangement. </w:t>
            </w:r>
          </w:p>
        </w:tc>
      </w:tr>
      <w:tr w:rsidR="004207B4" w:rsidRPr="00567D48" w14:paraId="5EE63AD6" w14:textId="77777777" w:rsidTr="007128F7">
        <w:trPr>
          <w:cantSplit/>
          <w:trHeight w:val="2948"/>
        </w:trPr>
        <w:tc>
          <w:tcPr>
            <w:tcW w:w="2973" w:type="dxa"/>
            <w:shd w:val="clear" w:color="auto" w:fill="auto"/>
            <w:tcMar>
              <w:top w:w="28" w:type="dxa"/>
              <w:bottom w:w="28" w:type="dxa"/>
            </w:tcMar>
            <w:vAlign w:val="center"/>
          </w:tcPr>
          <w:p w14:paraId="7444914F" w14:textId="200C1CC6" w:rsidR="004207B4" w:rsidRPr="00FA5642" w:rsidRDefault="004207B4" w:rsidP="004207B4">
            <w:pPr>
              <w:keepLines/>
              <w:rPr>
                <w:rFonts w:asciiTheme="minorHAnsi" w:hAnsiTheme="minorHAnsi" w:cstheme="minorHAnsi"/>
                <w:sz w:val="18"/>
                <w:szCs w:val="18"/>
                <w:highlight w:val="yellow"/>
              </w:rPr>
            </w:pPr>
            <w:r w:rsidRPr="00575F52">
              <w:rPr>
                <w:rFonts w:asciiTheme="minorHAnsi" w:hAnsiTheme="minorHAnsi" w:cstheme="minorHAnsi"/>
                <w:color w:val="000000"/>
                <w:sz w:val="18"/>
                <w:szCs w:val="18"/>
              </w:rPr>
              <w:t>BECLOMETASONE WITH FORM</w:t>
            </w:r>
            <w:r w:rsidR="00496996" w:rsidRPr="00517D26">
              <w:rPr>
                <w:rFonts w:asciiTheme="minorHAnsi" w:hAnsiTheme="minorHAnsi" w:cstheme="minorHAnsi"/>
                <w:color w:val="000000"/>
                <w:sz w:val="18"/>
                <w:szCs w:val="18"/>
              </w:rPr>
              <w:t>O</w:t>
            </w:r>
            <w:r w:rsidRPr="00575F52">
              <w:rPr>
                <w:rFonts w:asciiTheme="minorHAnsi" w:hAnsiTheme="minorHAnsi" w:cstheme="minorHAnsi"/>
                <w:color w:val="000000"/>
                <w:sz w:val="18"/>
                <w:szCs w:val="18"/>
              </w:rPr>
              <w:t>TEROL</w:t>
            </w:r>
            <w:r w:rsidRPr="00575F52">
              <w:rPr>
                <w:rFonts w:asciiTheme="minorHAnsi" w:hAnsiTheme="minorHAnsi" w:cstheme="minorHAnsi"/>
                <w:color w:val="000000"/>
                <w:sz w:val="18"/>
                <w:szCs w:val="18"/>
              </w:rPr>
              <w:br/>
            </w:r>
            <w:r w:rsidRPr="00575F52">
              <w:rPr>
                <w:rFonts w:asciiTheme="minorHAnsi" w:hAnsiTheme="minorHAnsi" w:cstheme="minorHAnsi"/>
                <w:color w:val="000000"/>
                <w:sz w:val="18"/>
                <w:szCs w:val="18"/>
              </w:rPr>
              <w:br/>
              <w:t xml:space="preserve">Pressurised inhalation containing beclometasone dipropionate </w:t>
            </w:r>
            <w:r w:rsidR="005C34D5" w:rsidRPr="00575F52">
              <w:rPr>
                <w:rFonts w:asciiTheme="minorHAnsi" w:hAnsiTheme="minorHAnsi" w:cstheme="minorHAnsi"/>
                <w:color w:val="000000"/>
                <w:sz w:val="18"/>
                <w:szCs w:val="18"/>
              </w:rPr>
              <w:t>100 </w:t>
            </w:r>
            <w:r w:rsidRPr="00575F52">
              <w:rPr>
                <w:rFonts w:asciiTheme="minorHAnsi" w:hAnsiTheme="minorHAnsi" w:cstheme="minorHAnsi"/>
                <w:color w:val="000000"/>
                <w:sz w:val="18"/>
                <w:szCs w:val="18"/>
              </w:rPr>
              <w:t>micrograms and formoterol fumarate dihydrate 6 micrograms per dose, 120 dose</w:t>
            </w:r>
            <w:r w:rsidRPr="00575F52">
              <w:rPr>
                <w:rFonts w:asciiTheme="minorHAnsi" w:hAnsiTheme="minorHAnsi" w:cstheme="minorHAnsi"/>
                <w:color w:val="000000"/>
                <w:sz w:val="18"/>
                <w:szCs w:val="18"/>
              </w:rPr>
              <w:br/>
            </w:r>
            <w:r w:rsidRPr="00575F52">
              <w:rPr>
                <w:rFonts w:asciiTheme="minorHAnsi" w:hAnsiTheme="minorHAnsi" w:cstheme="minorHAnsi"/>
                <w:color w:val="000000"/>
                <w:sz w:val="18"/>
                <w:szCs w:val="18"/>
              </w:rPr>
              <w:br/>
              <w:t>Fostair®</w:t>
            </w:r>
            <w:r w:rsidRPr="00575F52">
              <w:rPr>
                <w:rFonts w:asciiTheme="minorHAnsi" w:hAnsiTheme="minorHAnsi" w:cstheme="minorHAnsi"/>
                <w:color w:val="000000"/>
                <w:sz w:val="18"/>
                <w:szCs w:val="18"/>
              </w:rPr>
              <w:br/>
            </w:r>
            <w:r w:rsidRPr="00575F52">
              <w:rPr>
                <w:rFonts w:asciiTheme="minorHAnsi" w:hAnsiTheme="minorHAnsi" w:cstheme="minorHAnsi"/>
                <w:color w:val="000000"/>
                <w:sz w:val="18"/>
                <w:szCs w:val="18"/>
              </w:rPr>
              <w:br/>
              <w:t>Chiesi Australia Pty Ltd</w:t>
            </w:r>
            <w:r w:rsidRPr="00517D26">
              <w:rPr>
                <w:rFonts w:asciiTheme="minorHAnsi" w:hAnsiTheme="minorHAnsi" w:cstheme="minorHAnsi"/>
                <w:color w:val="000000"/>
                <w:sz w:val="18"/>
                <w:szCs w:val="18"/>
                <w:highlight w:val="yellow"/>
              </w:rPr>
              <w:br/>
            </w:r>
            <w:r w:rsidRPr="00575F52">
              <w:rPr>
                <w:rFonts w:asciiTheme="minorHAnsi" w:hAnsiTheme="minorHAnsi" w:cstheme="minorHAnsi"/>
                <w:color w:val="000000"/>
                <w:sz w:val="18"/>
                <w:szCs w:val="18"/>
              </w:rPr>
              <w:br/>
              <w:t>Category 2 submission</w:t>
            </w:r>
            <w:r w:rsidRPr="00575F52">
              <w:rPr>
                <w:rFonts w:asciiTheme="minorHAnsi" w:hAnsiTheme="minorHAnsi" w:cstheme="minorHAnsi"/>
                <w:color w:val="000000"/>
                <w:sz w:val="18"/>
                <w:szCs w:val="18"/>
              </w:rPr>
              <w:br/>
              <w:t>(Change to PBS listing)</w:t>
            </w:r>
          </w:p>
        </w:tc>
        <w:tc>
          <w:tcPr>
            <w:tcW w:w="2491" w:type="dxa"/>
            <w:shd w:val="clear" w:color="auto" w:fill="auto"/>
            <w:vAlign w:val="center"/>
          </w:tcPr>
          <w:p w14:paraId="0587772B" w14:textId="59080A63" w:rsidR="004207B4" w:rsidRPr="00FA5642" w:rsidRDefault="004207B4" w:rsidP="004207B4">
            <w:pPr>
              <w:keepLines/>
              <w:widowControl w:val="0"/>
              <w:rPr>
                <w:rFonts w:asciiTheme="minorHAnsi" w:hAnsiTheme="minorHAnsi" w:cstheme="minorHAnsi"/>
                <w:snapToGrid w:val="0"/>
                <w:sz w:val="18"/>
                <w:szCs w:val="18"/>
                <w:highlight w:val="yellow"/>
                <w:lang w:eastAsia="en-US"/>
              </w:rPr>
            </w:pPr>
            <w:r w:rsidRPr="00575F52">
              <w:rPr>
                <w:rFonts w:asciiTheme="minorHAnsi" w:hAnsiTheme="minorHAnsi" w:cstheme="minorHAnsi"/>
                <w:color w:val="000000"/>
                <w:sz w:val="18"/>
                <w:szCs w:val="18"/>
              </w:rPr>
              <w:t>Chronic obstructive pulmonary disease</w:t>
            </w:r>
            <w:r w:rsidR="00517D26">
              <w:rPr>
                <w:rFonts w:asciiTheme="minorHAnsi" w:hAnsiTheme="minorHAnsi" w:cstheme="minorHAnsi"/>
                <w:color w:val="000000"/>
                <w:sz w:val="18"/>
                <w:szCs w:val="18"/>
              </w:rPr>
              <w:t xml:space="preserve"> (COPD)</w:t>
            </w:r>
          </w:p>
        </w:tc>
        <w:tc>
          <w:tcPr>
            <w:tcW w:w="3887" w:type="dxa"/>
            <w:shd w:val="clear" w:color="auto" w:fill="auto"/>
            <w:tcMar>
              <w:top w:w="28" w:type="dxa"/>
              <w:bottom w:w="28" w:type="dxa"/>
            </w:tcMar>
            <w:vAlign w:val="center"/>
          </w:tcPr>
          <w:p w14:paraId="38F35CA7" w14:textId="39E79F11" w:rsidR="004207B4" w:rsidRPr="00FA5642" w:rsidRDefault="004207B4" w:rsidP="00077533">
            <w:pPr>
              <w:pStyle w:val="ListParagraph"/>
              <w:keepLines/>
              <w:ind w:left="0"/>
              <w:rPr>
                <w:rFonts w:asciiTheme="minorHAnsi" w:hAnsiTheme="minorHAnsi" w:cstheme="minorHAnsi"/>
                <w:snapToGrid w:val="0"/>
                <w:sz w:val="18"/>
                <w:szCs w:val="18"/>
                <w:highlight w:val="yellow"/>
                <w:lang w:eastAsia="en-US"/>
              </w:rPr>
            </w:pPr>
            <w:r w:rsidRPr="00575F52">
              <w:rPr>
                <w:rFonts w:asciiTheme="minorHAnsi" w:hAnsiTheme="minorHAnsi" w:cstheme="minorHAnsi"/>
                <w:color w:val="000000"/>
                <w:sz w:val="18"/>
                <w:szCs w:val="18"/>
              </w:rPr>
              <w:t xml:space="preserve">To request a General Schedule Authority Required (STREAMLINED) listing for the symptomatic treatment of adults with severe </w:t>
            </w:r>
            <w:r w:rsidR="00517D26">
              <w:rPr>
                <w:rFonts w:asciiTheme="minorHAnsi" w:hAnsiTheme="minorHAnsi" w:cstheme="minorHAnsi"/>
                <w:color w:val="000000"/>
                <w:sz w:val="18"/>
                <w:szCs w:val="18"/>
              </w:rPr>
              <w:t>COPD</w:t>
            </w:r>
            <w:r w:rsidR="0081303A">
              <w:rPr>
                <w:rFonts w:asciiTheme="minorHAnsi" w:hAnsiTheme="minorHAnsi" w:cstheme="minorHAnsi"/>
                <w:color w:val="000000"/>
                <w:sz w:val="18"/>
                <w:szCs w:val="18"/>
              </w:rPr>
              <w:t xml:space="preserve"> </w:t>
            </w:r>
            <w:r w:rsidR="009B2D5B">
              <w:rPr>
                <w:rFonts w:asciiTheme="minorHAnsi" w:hAnsiTheme="minorHAnsi" w:cstheme="minorHAnsi"/>
                <w:color w:val="000000"/>
                <w:sz w:val="18"/>
                <w:szCs w:val="18"/>
              </w:rPr>
              <w:t>(</w:t>
            </w:r>
            <w:r w:rsidRPr="00575F52">
              <w:rPr>
                <w:rFonts w:asciiTheme="minorHAnsi" w:hAnsiTheme="minorHAnsi" w:cstheme="minorHAnsi"/>
                <w:color w:val="000000"/>
                <w:sz w:val="18"/>
                <w:szCs w:val="18"/>
              </w:rPr>
              <w:t>FEV1 &lt;50% predicted normal) and a history of repeated exacerbations, who have significant symptoms despite regular therapy with long-acting bronchodilators.</w:t>
            </w:r>
          </w:p>
        </w:tc>
        <w:tc>
          <w:tcPr>
            <w:tcW w:w="1984" w:type="dxa"/>
            <w:shd w:val="clear" w:color="auto" w:fill="auto"/>
            <w:vAlign w:val="center"/>
          </w:tcPr>
          <w:p w14:paraId="6B3636B3" w14:textId="0C8C4BF2" w:rsidR="004207B4" w:rsidRPr="00FA5642" w:rsidRDefault="004207B4" w:rsidP="004207B4">
            <w:pPr>
              <w:pStyle w:val="ListParagraph"/>
              <w:keepLines/>
              <w:ind w:left="0"/>
              <w:rPr>
                <w:rFonts w:asciiTheme="minorHAnsi" w:hAnsiTheme="minorHAnsi" w:cstheme="minorHAnsi"/>
                <w:snapToGrid w:val="0"/>
                <w:sz w:val="18"/>
                <w:szCs w:val="18"/>
                <w:highlight w:val="yellow"/>
                <w:lang w:eastAsia="en-US"/>
              </w:rPr>
            </w:pPr>
            <w:r w:rsidRPr="00575F52">
              <w:rPr>
                <w:rFonts w:asciiTheme="minorHAnsi" w:hAnsiTheme="minorHAnsi" w:cstheme="minorHAnsi"/>
                <w:color w:val="000000"/>
                <w:sz w:val="18"/>
                <w:szCs w:val="18"/>
              </w:rPr>
              <w:t>Recommended</w:t>
            </w:r>
          </w:p>
        </w:tc>
        <w:tc>
          <w:tcPr>
            <w:tcW w:w="4053" w:type="dxa"/>
            <w:shd w:val="clear" w:color="auto" w:fill="auto"/>
            <w:vAlign w:val="center"/>
          </w:tcPr>
          <w:p w14:paraId="19DD6E89" w14:textId="7BDBCA7F" w:rsidR="004207B4" w:rsidRPr="00FA5642" w:rsidRDefault="004207B4" w:rsidP="004207B4">
            <w:pPr>
              <w:pStyle w:val="ListParagraph"/>
              <w:keepLines/>
              <w:ind w:left="0"/>
              <w:rPr>
                <w:rFonts w:asciiTheme="minorHAnsi" w:hAnsiTheme="minorHAnsi" w:cstheme="minorHAnsi"/>
                <w:color w:val="000000"/>
                <w:sz w:val="18"/>
                <w:szCs w:val="18"/>
                <w:highlight w:val="yellow"/>
              </w:rPr>
            </w:pPr>
            <w:r w:rsidRPr="00575F52">
              <w:rPr>
                <w:rFonts w:asciiTheme="minorHAnsi" w:hAnsiTheme="minorHAnsi" w:cstheme="minorHAnsi"/>
                <w:color w:val="000000"/>
                <w:sz w:val="18"/>
                <w:szCs w:val="18"/>
              </w:rPr>
              <w:t xml:space="preserve">The PBAC recommended the Authority Required (STREAMLINED) listing of the fixed-dose combination (FDC) of beclomethasone (BEC) with formoterol (FOR) for the treatment of COPD. The PBAC considered the claim of non-inferior effectiveness and safety to the FDC of fluticasone propionate (FP) 250 µg with salmeterol (SAL) 25 µg was reasonable. However, the PBAC considered for purposes of satisfying Section 101(3B) of the </w:t>
            </w:r>
            <w:r w:rsidRPr="00575F52">
              <w:rPr>
                <w:rFonts w:asciiTheme="minorHAnsi" w:hAnsiTheme="minorHAnsi" w:cstheme="minorHAnsi"/>
                <w:i/>
                <w:iCs/>
                <w:color w:val="000000"/>
                <w:sz w:val="18"/>
                <w:szCs w:val="18"/>
              </w:rPr>
              <w:t>National Health Act 1953</w:t>
            </w:r>
            <w:r w:rsidRPr="00575F52">
              <w:rPr>
                <w:rFonts w:asciiTheme="minorHAnsi" w:hAnsiTheme="minorHAnsi" w:cstheme="minorHAnsi"/>
                <w:color w:val="000000"/>
                <w:sz w:val="18"/>
                <w:szCs w:val="18"/>
              </w:rPr>
              <w:t xml:space="preserve">, any high dose inhaled corticosteroid (ICS) with long-acting beta2-agonist (LABA) FDC are relevant alternative therapies. The PBAC’s recommendation was therefore, among other matters, based on its assessment that the cost of BEC/FOR should be no greater than the lowest price combination of the PBS listed components of ICS/LABA therapy that are available for COPD at comparable doses. Flow-on restriction changes to the administrative advice of the current BEC/FOR listing for asthma were also recommended. </w:t>
            </w:r>
          </w:p>
        </w:tc>
      </w:tr>
      <w:tr w:rsidR="00B377BE" w:rsidRPr="00567D48" w14:paraId="21433199" w14:textId="77777777" w:rsidTr="007128F7">
        <w:trPr>
          <w:cantSplit/>
          <w:trHeight w:val="2948"/>
        </w:trPr>
        <w:tc>
          <w:tcPr>
            <w:tcW w:w="2973" w:type="dxa"/>
            <w:shd w:val="clear" w:color="auto" w:fill="auto"/>
            <w:tcMar>
              <w:top w:w="28" w:type="dxa"/>
              <w:bottom w:w="28" w:type="dxa"/>
            </w:tcMar>
            <w:vAlign w:val="center"/>
          </w:tcPr>
          <w:p w14:paraId="215845BB" w14:textId="6A8D4391" w:rsidR="00B377BE" w:rsidRPr="00FA5642" w:rsidRDefault="00B377BE" w:rsidP="00B377BE">
            <w:pPr>
              <w:keepLines/>
              <w:rPr>
                <w:rFonts w:asciiTheme="minorHAnsi" w:hAnsiTheme="minorHAnsi" w:cstheme="minorHAnsi"/>
                <w:color w:val="000000"/>
                <w:sz w:val="18"/>
                <w:szCs w:val="18"/>
              </w:rPr>
            </w:pPr>
            <w:bookmarkStart w:id="0" w:name="_Hlk104299943"/>
            <w:r w:rsidRPr="00FA5642">
              <w:rPr>
                <w:rFonts w:asciiTheme="minorHAnsi" w:hAnsiTheme="minorHAnsi" w:cstheme="minorHAnsi"/>
                <w:color w:val="000000"/>
                <w:sz w:val="18"/>
                <w:szCs w:val="18"/>
              </w:rPr>
              <w:lastRenderedPageBreak/>
              <w:t>BECLOMETASONE WITH FORMOTEROL AND GLYCOPYRRONIUM</w:t>
            </w:r>
            <w:bookmarkEnd w:id="0"/>
            <w:r w:rsidRPr="00FA5642">
              <w:rPr>
                <w:rFonts w:asciiTheme="minorHAnsi" w:hAnsiTheme="minorHAnsi" w:cstheme="minorHAnsi"/>
                <w:color w:val="000000"/>
                <w:sz w:val="18"/>
                <w:szCs w:val="18"/>
              </w:rPr>
              <w:br/>
            </w:r>
            <w:r w:rsidRPr="00FA5642">
              <w:rPr>
                <w:rFonts w:asciiTheme="minorHAnsi" w:hAnsiTheme="minorHAnsi" w:cstheme="minorHAnsi"/>
                <w:color w:val="000000"/>
                <w:sz w:val="18"/>
                <w:szCs w:val="18"/>
              </w:rPr>
              <w:br/>
              <w:t>Pressurised inhalation containing beclometasone dipropionate 100 micrograms with formoterol fumarate dihydrate 6 micrograms and glycopyrronium 10 micrograms (as bromide) per dose, 120 doses</w:t>
            </w:r>
            <w:r w:rsidRPr="00FA5642">
              <w:rPr>
                <w:rFonts w:asciiTheme="minorHAnsi" w:hAnsiTheme="minorHAnsi" w:cstheme="minorHAnsi"/>
                <w:color w:val="000000"/>
                <w:sz w:val="18"/>
                <w:szCs w:val="18"/>
              </w:rPr>
              <w:br/>
            </w:r>
          </w:p>
          <w:p w14:paraId="362E85ED" w14:textId="63F0AEA6" w:rsidR="00B377BE" w:rsidRPr="00FA5642" w:rsidRDefault="00B377BE" w:rsidP="00B377BE">
            <w:pPr>
              <w:keepLines/>
              <w:rPr>
                <w:rFonts w:asciiTheme="minorHAnsi" w:hAnsiTheme="minorHAnsi" w:cstheme="minorHAnsi"/>
                <w:sz w:val="18"/>
                <w:szCs w:val="18"/>
                <w:highlight w:val="yellow"/>
              </w:rPr>
            </w:pPr>
            <w:r w:rsidRPr="00FA5642">
              <w:rPr>
                <w:rFonts w:asciiTheme="minorHAnsi" w:hAnsiTheme="minorHAnsi" w:cstheme="minorHAnsi"/>
                <w:color w:val="000000"/>
                <w:sz w:val="18"/>
                <w:szCs w:val="18"/>
              </w:rPr>
              <w:t>Pressurised inhalation containing beclometasone dipropionate 200 micrograms with formoterol fumarate dihydrate 6 micrograms and glycopyrronium 10 micrograms (as bromide) per dose, 120 doses</w:t>
            </w:r>
            <w:r w:rsidRPr="00FA5642">
              <w:rPr>
                <w:rFonts w:asciiTheme="minorHAnsi" w:hAnsiTheme="minorHAnsi" w:cstheme="minorHAnsi"/>
                <w:color w:val="000000"/>
                <w:sz w:val="18"/>
                <w:szCs w:val="18"/>
              </w:rPr>
              <w:br/>
            </w:r>
            <w:r w:rsidRPr="00FA5642">
              <w:rPr>
                <w:rFonts w:asciiTheme="minorHAnsi" w:hAnsiTheme="minorHAnsi" w:cstheme="minorHAnsi"/>
                <w:color w:val="000000"/>
                <w:sz w:val="18"/>
                <w:szCs w:val="18"/>
              </w:rPr>
              <w:br/>
            </w:r>
            <w:proofErr w:type="spellStart"/>
            <w:r w:rsidRPr="00FA5642">
              <w:rPr>
                <w:rFonts w:asciiTheme="minorHAnsi" w:hAnsiTheme="minorHAnsi" w:cstheme="minorHAnsi"/>
                <w:color w:val="000000"/>
                <w:sz w:val="18"/>
                <w:szCs w:val="18"/>
              </w:rPr>
              <w:t>Trimbow</w:t>
            </w:r>
            <w:proofErr w:type="spellEnd"/>
            <w:r w:rsidRPr="00FA5642">
              <w:rPr>
                <w:rFonts w:asciiTheme="minorHAnsi" w:hAnsiTheme="minorHAnsi" w:cstheme="minorHAnsi"/>
                <w:color w:val="000000"/>
                <w:sz w:val="18"/>
                <w:szCs w:val="18"/>
              </w:rPr>
              <w:t>®</w:t>
            </w:r>
            <w:r w:rsidRPr="00FA5642">
              <w:rPr>
                <w:rFonts w:asciiTheme="minorHAnsi" w:hAnsiTheme="minorHAnsi" w:cstheme="minorHAnsi"/>
                <w:color w:val="000000"/>
                <w:sz w:val="18"/>
                <w:szCs w:val="18"/>
              </w:rPr>
              <w:br/>
            </w:r>
            <w:r w:rsidRPr="00FA5642">
              <w:rPr>
                <w:rFonts w:asciiTheme="minorHAnsi" w:hAnsiTheme="minorHAnsi" w:cstheme="minorHAnsi"/>
                <w:color w:val="000000"/>
                <w:sz w:val="18"/>
                <w:szCs w:val="18"/>
              </w:rPr>
              <w:br/>
              <w:t>Chiesi Australia Pty Ltd</w:t>
            </w:r>
            <w:r w:rsidRPr="00FA5642">
              <w:rPr>
                <w:rFonts w:asciiTheme="minorHAnsi" w:hAnsiTheme="minorHAnsi" w:cstheme="minorHAnsi"/>
                <w:color w:val="000000"/>
                <w:sz w:val="18"/>
                <w:szCs w:val="18"/>
              </w:rPr>
              <w:br/>
            </w:r>
            <w:r w:rsidRPr="00FA5642">
              <w:rPr>
                <w:rFonts w:asciiTheme="minorHAnsi" w:hAnsiTheme="minorHAnsi" w:cstheme="minorHAnsi"/>
                <w:color w:val="000000"/>
                <w:sz w:val="18"/>
                <w:szCs w:val="18"/>
              </w:rPr>
              <w:br/>
              <w:t>Category 2 submission</w:t>
            </w:r>
            <w:r w:rsidRPr="00FA5642">
              <w:rPr>
                <w:rFonts w:asciiTheme="minorHAnsi" w:hAnsiTheme="minorHAnsi" w:cstheme="minorHAnsi"/>
                <w:color w:val="000000"/>
                <w:sz w:val="18"/>
                <w:szCs w:val="18"/>
              </w:rPr>
              <w:br/>
              <w:t>(New PBS listing)</w:t>
            </w:r>
          </w:p>
        </w:tc>
        <w:tc>
          <w:tcPr>
            <w:tcW w:w="2491" w:type="dxa"/>
            <w:shd w:val="clear" w:color="auto" w:fill="auto"/>
            <w:vAlign w:val="center"/>
          </w:tcPr>
          <w:p w14:paraId="31D498FC" w14:textId="695316BF" w:rsidR="00B377BE" w:rsidRPr="00FA5642" w:rsidRDefault="00B377BE" w:rsidP="00B377BE">
            <w:pPr>
              <w:keepLines/>
              <w:widowControl w:val="0"/>
              <w:rPr>
                <w:rFonts w:asciiTheme="minorHAnsi" w:hAnsiTheme="minorHAnsi" w:cstheme="minorHAnsi"/>
                <w:snapToGrid w:val="0"/>
                <w:sz w:val="18"/>
                <w:szCs w:val="18"/>
                <w:highlight w:val="yellow"/>
                <w:lang w:eastAsia="en-US"/>
              </w:rPr>
            </w:pPr>
            <w:r w:rsidRPr="00FA5642">
              <w:rPr>
                <w:rFonts w:asciiTheme="minorHAnsi" w:hAnsiTheme="minorHAnsi" w:cstheme="minorHAnsi"/>
                <w:color w:val="000000"/>
                <w:sz w:val="18"/>
                <w:szCs w:val="18"/>
              </w:rPr>
              <w:t>Asthma</w:t>
            </w:r>
          </w:p>
        </w:tc>
        <w:tc>
          <w:tcPr>
            <w:tcW w:w="3887" w:type="dxa"/>
            <w:shd w:val="clear" w:color="auto" w:fill="auto"/>
            <w:tcMar>
              <w:top w:w="28" w:type="dxa"/>
              <w:bottom w:w="28" w:type="dxa"/>
            </w:tcMar>
            <w:vAlign w:val="center"/>
          </w:tcPr>
          <w:p w14:paraId="43FDC4C0" w14:textId="5D5023AB" w:rsidR="00B377BE" w:rsidRPr="00FA5642" w:rsidRDefault="00B377BE" w:rsidP="00B377BE">
            <w:pPr>
              <w:pStyle w:val="ListParagraph"/>
              <w:keepLines/>
              <w:ind w:left="0"/>
              <w:rPr>
                <w:rFonts w:asciiTheme="minorHAnsi" w:hAnsiTheme="minorHAnsi" w:cstheme="minorHAnsi"/>
                <w:snapToGrid w:val="0"/>
                <w:sz w:val="18"/>
                <w:szCs w:val="18"/>
                <w:highlight w:val="yellow"/>
                <w:lang w:eastAsia="en-US"/>
              </w:rPr>
            </w:pPr>
            <w:r w:rsidRPr="00FA5642">
              <w:rPr>
                <w:rFonts w:asciiTheme="minorHAnsi" w:hAnsiTheme="minorHAnsi" w:cstheme="minorHAnsi"/>
                <w:color w:val="000000"/>
                <w:sz w:val="18"/>
                <w:szCs w:val="18"/>
              </w:rPr>
              <w:t>To request a General Schedule Authority Required (STREAMLINED) listing for the maintenance treatment of asthma in adult patients not adequately controlled with a maintenance combination of a long-acting beta2-agonist and an inhaled corticosteroid who experienced one or more asthma exacerbations in the previous year.</w:t>
            </w:r>
          </w:p>
        </w:tc>
        <w:tc>
          <w:tcPr>
            <w:tcW w:w="1984" w:type="dxa"/>
            <w:shd w:val="clear" w:color="auto" w:fill="auto"/>
            <w:vAlign w:val="center"/>
          </w:tcPr>
          <w:p w14:paraId="7971E558" w14:textId="6E16CACC" w:rsidR="00B377BE" w:rsidRPr="00FA5642" w:rsidRDefault="00B377BE" w:rsidP="00B377BE">
            <w:pPr>
              <w:pStyle w:val="ListParagraph"/>
              <w:keepLines/>
              <w:ind w:left="0"/>
              <w:rPr>
                <w:rFonts w:asciiTheme="minorHAnsi" w:hAnsiTheme="minorHAnsi" w:cstheme="minorHAnsi"/>
                <w:snapToGrid w:val="0"/>
                <w:sz w:val="18"/>
                <w:szCs w:val="18"/>
                <w:highlight w:val="yellow"/>
                <w:lang w:eastAsia="en-US"/>
              </w:rPr>
            </w:pPr>
            <w:r w:rsidRPr="00FA5642">
              <w:rPr>
                <w:rFonts w:asciiTheme="minorHAnsi" w:hAnsiTheme="minorHAnsi" w:cstheme="minorHAnsi"/>
                <w:color w:val="000000"/>
                <w:sz w:val="18"/>
                <w:szCs w:val="18"/>
              </w:rPr>
              <w:t>Deferred</w:t>
            </w:r>
          </w:p>
        </w:tc>
        <w:tc>
          <w:tcPr>
            <w:tcW w:w="4053" w:type="dxa"/>
            <w:shd w:val="clear" w:color="auto" w:fill="auto"/>
            <w:vAlign w:val="center"/>
          </w:tcPr>
          <w:p w14:paraId="6788F64C" w14:textId="77777777" w:rsidR="00B377BE" w:rsidRPr="00FA5642" w:rsidRDefault="00B377BE" w:rsidP="00B377BE">
            <w:pPr>
              <w:pStyle w:val="ListParagraph"/>
              <w:keepLines/>
              <w:ind w:left="0"/>
              <w:rPr>
                <w:rFonts w:asciiTheme="minorHAnsi" w:hAnsiTheme="minorHAnsi" w:cstheme="minorHAnsi"/>
                <w:color w:val="000000"/>
                <w:sz w:val="18"/>
                <w:szCs w:val="18"/>
              </w:rPr>
            </w:pPr>
            <w:r w:rsidRPr="00FA5642">
              <w:rPr>
                <w:rFonts w:asciiTheme="minorHAnsi" w:hAnsiTheme="minorHAnsi" w:cstheme="minorHAnsi"/>
                <w:color w:val="000000"/>
                <w:sz w:val="18"/>
                <w:szCs w:val="18"/>
              </w:rPr>
              <w:t xml:space="preserve">The PBAC deferred making a recommendation for the Authority Required listing for a fixed dose combination (FDC) of beclometasone (BEC) with formoterol (FOR) and glycopyrronium (GLY) for the maintenance therapy of severe asthma as the TGA Delegate’s Overview was not available at the time of consideration. However, the PBAC was of a mind to recommend listing BEC/FOR/GLY for this indication based on its assessment that the cost of BEC/FOR/GLY should be no greater than the lowest price combination of the PBS listed components of triple therapy that are available for asthma at comparable doses. </w:t>
            </w:r>
          </w:p>
          <w:p w14:paraId="0C5DAFD5" w14:textId="77777777" w:rsidR="00B377BE" w:rsidRPr="005471C3" w:rsidRDefault="00B377BE" w:rsidP="00B377BE">
            <w:pPr>
              <w:pStyle w:val="ListParagraph"/>
              <w:keepLines/>
              <w:ind w:left="0"/>
              <w:rPr>
                <w:rFonts w:asciiTheme="minorHAnsi" w:hAnsiTheme="minorHAnsi" w:cstheme="minorHAnsi"/>
                <w:color w:val="000000"/>
                <w:sz w:val="18"/>
                <w:szCs w:val="18"/>
              </w:rPr>
            </w:pPr>
          </w:p>
          <w:p w14:paraId="3A515400" w14:textId="77777777" w:rsidR="00B377BE" w:rsidRDefault="00B377BE" w:rsidP="00B377BE">
            <w:pPr>
              <w:pStyle w:val="ListParagraph"/>
              <w:keepLines/>
              <w:ind w:left="0"/>
              <w:rPr>
                <w:rFonts w:asciiTheme="minorHAnsi" w:hAnsiTheme="minorHAnsi" w:cstheme="minorHAnsi"/>
                <w:color w:val="000000"/>
                <w:sz w:val="18"/>
                <w:szCs w:val="18"/>
                <w:u w:val="single"/>
              </w:rPr>
            </w:pPr>
            <w:r w:rsidRPr="005471C3">
              <w:rPr>
                <w:rFonts w:asciiTheme="minorHAnsi" w:hAnsiTheme="minorHAnsi" w:cstheme="minorHAnsi"/>
                <w:color w:val="000000"/>
                <w:sz w:val="18"/>
                <w:szCs w:val="18"/>
                <w:u w:val="single"/>
              </w:rPr>
              <w:t>Sponsor Comment:</w:t>
            </w:r>
          </w:p>
          <w:p w14:paraId="21785AE1" w14:textId="66249478" w:rsidR="00B377BE" w:rsidRPr="00B377BE" w:rsidRDefault="00B377BE" w:rsidP="00B377BE">
            <w:pPr>
              <w:pStyle w:val="ListParagraph"/>
              <w:keepLines/>
              <w:ind w:left="0"/>
              <w:rPr>
                <w:rFonts w:asciiTheme="minorHAnsi" w:hAnsiTheme="minorHAnsi" w:cstheme="minorHAnsi"/>
                <w:color w:val="000000"/>
                <w:sz w:val="18"/>
                <w:szCs w:val="18"/>
                <w:u w:val="single"/>
              </w:rPr>
            </w:pPr>
            <w:r w:rsidRPr="00D90B2A">
              <w:rPr>
                <w:rFonts w:asciiTheme="minorHAnsi" w:hAnsiTheme="minorHAnsi" w:cstheme="minorHAnsi"/>
                <w:color w:val="000000"/>
                <w:sz w:val="18"/>
                <w:szCs w:val="18"/>
              </w:rPr>
              <w:t>The sponsor had no comment.</w:t>
            </w:r>
          </w:p>
        </w:tc>
      </w:tr>
      <w:tr w:rsidR="008D2EFD" w:rsidRPr="00567D48" w14:paraId="0E1C8DD4" w14:textId="77777777" w:rsidTr="007128F7">
        <w:trPr>
          <w:cantSplit/>
          <w:trHeight w:val="2948"/>
        </w:trPr>
        <w:tc>
          <w:tcPr>
            <w:tcW w:w="2973" w:type="dxa"/>
            <w:shd w:val="clear" w:color="auto" w:fill="auto"/>
            <w:tcMar>
              <w:top w:w="28" w:type="dxa"/>
              <w:bottom w:w="28" w:type="dxa"/>
            </w:tcMar>
            <w:vAlign w:val="center"/>
          </w:tcPr>
          <w:p w14:paraId="48564AE2" w14:textId="59F4FAE3" w:rsidR="008D2EFD" w:rsidRPr="00B55939" w:rsidRDefault="008D2EFD" w:rsidP="008D2EFD">
            <w:pPr>
              <w:keepLines/>
              <w:rPr>
                <w:rFonts w:asciiTheme="minorHAnsi" w:hAnsiTheme="minorHAnsi" w:cstheme="minorHAnsi"/>
                <w:sz w:val="18"/>
                <w:szCs w:val="18"/>
                <w:highlight w:val="yellow"/>
              </w:rPr>
            </w:pPr>
            <w:r w:rsidRPr="00B55939">
              <w:rPr>
                <w:rFonts w:asciiTheme="minorHAnsi" w:hAnsiTheme="minorHAnsi" w:cstheme="minorHAnsi"/>
                <w:color w:val="000000"/>
                <w:sz w:val="18"/>
                <w:szCs w:val="18"/>
              </w:rPr>
              <w:lastRenderedPageBreak/>
              <w:t xml:space="preserve">BEVACIZUMAB </w:t>
            </w:r>
            <w:r w:rsidRPr="00B55939">
              <w:rPr>
                <w:rFonts w:asciiTheme="minorHAnsi" w:hAnsiTheme="minorHAnsi" w:cstheme="minorHAnsi"/>
                <w:color w:val="000000"/>
                <w:sz w:val="18"/>
                <w:szCs w:val="18"/>
              </w:rPr>
              <w:br/>
            </w:r>
            <w:r w:rsidRPr="00B55939">
              <w:rPr>
                <w:rFonts w:asciiTheme="minorHAnsi" w:hAnsiTheme="minorHAnsi" w:cstheme="minorHAnsi"/>
                <w:color w:val="000000"/>
                <w:sz w:val="18"/>
                <w:szCs w:val="18"/>
              </w:rPr>
              <w:br/>
              <w:t xml:space="preserve">Solution for I.V. infusion 100 mg in </w:t>
            </w:r>
            <w:r w:rsidR="005C34D5" w:rsidRPr="00B55939">
              <w:rPr>
                <w:rFonts w:asciiTheme="minorHAnsi" w:hAnsiTheme="minorHAnsi" w:cstheme="minorHAnsi"/>
                <w:color w:val="000000"/>
                <w:sz w:val="18"/>
                <w:szCs w:val="18"/>
              </w:rPr>
              <w:t>4 </w:t>
            </w:r>
            <w:r w:rsidRPr="00B55939">
              <w:rPr>
                <w:rFonts w:asciiTheme="minorHAnsi" w:hAnsiTheme="minorHAnsi" w:cstheme="minorHAnsi"/>
                <w:color w:val="000000"/>
                <w:sz w:val="18"/>
                <w:szCs w:val="18"/>
              </w:rPr>
              <w:t>mL</w:t>
            </w:r>
            <w:r w:rsidRPr="00B55939">
              <w:rPr>
                <w:rFonts w:asciiTheme="minorHAnsi" w:hAnsiTheme="minorHAnsi" w:cstheme="minorHAnsi"/>
                <w:color w:val="000000"/>
                <w:sz w:val="18"/>
                <w:szCs w:val="18"/>
              </w:rPr>
              <w:br/>
              <w:t xml:space="preserve">Solution for I.V. infusion 400 mg in </w:t>
            </w:r>
            <w:r w:rsidR="005C34D5" w:rsidRPr="00B55939">
              <w:rPr>
                <w:rFonts w:asciiTheme="minorHAnsi" w:hAnsiTheme="minorHAnsi" w:cstheme="minorHAnsi"/>
                <w:color w:val="000000"/>
                <w:sz w:val="18"/>
                <w:szCs w:val="18"/>
              </w:rPr>
              <w:t>16 </w:t>
            </w:r>
            <w:r w:rsidRPr="00B55939">
              <w:rPr>
                <w:rFonts w:asciiTheme="minorHAnsi" w:hAnsiTheme="minorHAnsi" w:cstheme="minorHAnsi"/>
                <w:color w:val="000000"/>
                <w:sz w:val="18"/>
                <w:szCs w:val="18"/>
              </w:rPr>
              <w:t>mL</w:t>
            </w:r>
            <w:r w:rsidRPr="00B55939">
              <w:rPr>
                <w:rFonts w:asciiTheme="minorHAnsi" w:hAnsiTheme="minorHAnsi" w:cstheme="minorHAnsi"/>
                <w:color w:val="000000"/>
                <w:sz w:val="18"/>
                <w:szCs w:val="18"/>
              </w:rPr>
              <w:br/>
            </w:r>
            <w:r w:rsidRPr="00B55939">
              <w:rPr>
                <w:rFonts w:asciiTheme="minorHAnsi" w:hAnsiTheme="minorHAnsi" w:cstheme="minorHAnsi"/>
                <w:color w:val="000000"/>
                <w:sz w:val="18"/>
                <w:szCs w:val="18"/>
              </w:rPr>
              <w:br/>
            </w:r>
            <w:proofErr w:type="spellStart"/>
            <w:r w:rsidRPr="00B55939">
              <w:rPr>
                <w:rFonts w:asciiTheme="minorHAnsi" w:hAnsiTheme="minorHAnsi" w:cstheme="minorHAnsi"/>
                <w:color w:val="000000"/>
                <w:sz w:val="18"/>
                <w:szCs w:val="18"/>
              </w:rPr>
              <w:t>Bevaciptin</w:t>
            </w:r>
            <w:proofErr w:type="spellEnd"/>
            <w:r w:rsidRPr="00B55939">
              <w:rPr>
                <w:rFonts w:asciiTheme="minorHAnsi" w:hAnsiTheme="minorHAnsi" w:cstheme="minorHAnsi"/>
                <w:color w:val="000000"/>
                <w:sz w:val="18"/>
                <w:szCs w:val="18"/>
              </w:rPr>
              <w:t>®</w:t>
            </w:r>
            <w:r w:rsidRPr="00B55939">
              <w:rPr>
                <w:rFonts w:asciiTheme="minorHAnsi" w:hAnsiTheme="minorHAnsi" w:cstheme="minorHAnsi"/>
                <w:color w:val="000000"/>
                <w:sz w:val="18"/>
                <w:szCs w:val="18"/>
              </w:rPr>
              <w:br/>
            </w:r>
            <w:r w:rsidRPr="00B55939">
              <w:rPr>
                <w:rFonts w:asciiTheme="minorHAnsi" w:hAnsiTheme="minorHAnsi" w:cstheme="minorHAnsi"/>
                <w:color w:val="000000"/>
                <w:sz w:val="18"/>
                <w:szCs w:val="18"/>
              </w:rPr>
              <w:br/>
              <w:t>Cipla Australia Pty Ltd</w:t>
            </w:r>
            <w:r w:rsidRPr="00B55939">
              <w:rPr>
                <w:rFonts w:asciiTheme="minorHAnsi" w:hAnsiTheme="minorHAnsi" w:cstheme="minorHAnsi"/>
                <w:color w:val="000000"/>
                <w:sz w:val="18"/>
                <w:szCs w:val="18"/>
              </w:rPr>
              <w:br/>
            </w:r>
            <w:r w:rsidRPr="00B55939">
              <w:rPr>
                <w:rFonts w:asciiTheme="minorHAnsi" w:hAnsiTheme="minorHAnsi" w:cstheme="minorHAnsi"/>
                <w:color w:val="000000"/>
                <w:sz w:val="18"/>
                <w:szCs w:val="18"/>
              </w:rPr>
              <w:br/>
              <w:t>Category 3 submission</w:t>
            </w:r>
            <w:r w:rsidRPr="00B55939">
              <w:rPr>
                <w:rFonts w:asciiTheme="minorHAnsi" w:hAnsiTheme="minorHAnsi" w:cstheme="minorHAnsi"/>
                <w:color w:val="000000"/>
                <w:sz w:val="18"/>
                <w:szCs w:val="18"/>
              </w:rPr>
              <w:br/>
              <w:t>(New PBS listing)</w:t>
            </w:r>
          </w:p>
        </w:tc>
        <w:tc>
          <w:tcPr>
            <w:tcW w:w="2491" w:type="dxa"/>
            <w:shd w:val="clear" w:color="auto" w:fill="auto"/>
            <w:vAlign w:val="center"/>
          </w:tcPr>
          <w:p w14:paraId="318397C5" w14:textId="46D2E459" w:rsidR="008D2EFD" w:rsidRPr="00B55939" w:rsidRDefault="008D2EFD" w:rsidP="008D2EFD">
            <w:pPr>
              <w:keepLines/>
              <w:widowControl w:val="0"/>
              <w:rPr>
                <w:rFonts w:asciiTheme="minorHAnsi" w:hAnsiTheme="minorHAnsi" w:cstheme="minorHAnsi"/>
                <w:snapToGrid w:val="0"/>
                <w:sz w:val="18"/>
                <w:szCs w:val="18"/>
                <w:highlight w:val="yellow"/>
                <w:lang w:eastAsia="en-US"/>
              </w:rPr>
            </w:pPr>
            <w:r w:rsidRPr="00B55939">
              <w:rPr>
                <w:rFonts w:asciiTheme="minorHAnsi" w:hAnsiTheme="minorHAnsi" w:cstheme="minorHAnsi"/>
                <w:color w:val="000000"/>
                <w:sz w:val="18"/>
                <w:szCs w:val="18"/>
              </w:rPr>
              <w:t>Cancers</w:t>
            </w:r>
          </w:p>
        </w:tc>
        <w:tc>
          <w:tcPr>
            <w:tcW w:w="3887" w:type="dxa"/>
            <w:shd w:val="clear" w:color="auto" w:fill="auto"/>
            <w:tcMar>
              <w:top w:w="28" w:type="dxa"/>
              <w:bottom w:w="28" w:type="dxa"/>
            </w:tcMar>
            <w:vAlign w:val="center"/>
          </w:tcPr>
          <w:p w14:paraId="206227FA" w14:textId="238F0C91" w:rsidR="008D2EFD" w:rsidRPr="00B55939" w:rsidRDefault="008D2EFD" w:rsidP="008D2EFD">
            <w:pPr>
              <w:pStyle w:val="ListParagraph"/>
              <w:keepLines/>
              <w:ind w:left="0"/>
              <w:rPr>
                <w:rFonts w:asciiTheme="minorHAnsi" w:hAnsiTheme="minorHAnsi" w:cstheme="minorHAnsi"/>
                <w:snapToGrid w:val="0"/>
                <w:sz w:val="18"/>
                <w:szCs w:val="18"/>
                <w:highlight w:val="yellow"/>
                <w:lang w:eastAsia="en-US"/>
              </w:rPr>
            </w:pPr>
            <w:r w:rsidRPr="00B55939">
              <w:rPr>
                <w:rFonts w:asciiTheme="minorHAnsi" w:hAnsiTheme="minorHAnsi" w:cstheme="minorHAnsi"/>
                <w:color w:val="000000"/>
                <w:sz w:val="18"/>
                <w:szCs w:val="18"/>
              </w:rPr>
              <w:t>To request a Section 100 (Efficient Funding of Chemotherapy Program) Unrestricted Benefit listing of bevacizumab biosimilar under the same conditions as the PBS-listed bevacizumab biosimilar.</w:t>
            </w:r>
          </w:p>
        </w:tc>
        <w:tc>
          <w:tcPr>
            <w:tcW w:w="1984" w:type="dxa"/>
            <w:shd w:val="clear" w:color="auto" w:fill="auto"/>
            <w:vAlign w:val="center"/>
          </w:tcPr>
          <w:p w14:paraId="70A45944" w14:textId="41E1CF2C" w:rsidR="008D2EFD" w:rsidRPr="00B55939" w:rsidRDefault="008D2EFD" w:rsidP="008D2EFD">
            <w:pPr>
              <w:pStyle w:val="ListParagraph"/>
              <w:keepLines/>
              <w:ind w:left="0"/>
              <w:rPr>
                <w:rFonts w:asciiTheme="minorHAnsi" w:hAnsiTheme="minorHAnsi" w:cstheme="minorHAnsi"/>
                <w:snapToGrid w:val="0"/>
                <w:sz w:val="18"/>
                <w:szCs w:val="18"/>
                <w:highlight w:val="yellow"/>
                <w:lang w:eastAsia="en-US"/>
              </w:rPr>
            </w:pPr>
            <w:r w:rsidRPr="00B55939">
              <w:rPr>
                <w:rFonts w:asciiTheme="minorHAnsi" w:hAnsiTheme="minorHAnsi" w:cstheme="minorHAnsi"/>
                <w:color w:val="000000"/>
                <w:sz w:val="18"/>
                <w:szCs w:val="18"/>
              </w:rPr>
              <w:t>Recommended</w:t>
            </w:r>
          </w:p>
        </w:tc>
        <w:tc>
          <w:tcPr>
            <w:tcW w:w="4053" w:type="dxa"/>
            <w:shd w:val="clear" w:color="auto" w:fill="auto"/>
            <w:vAlign w:val="center"/>
          </w:tcPr>
          <w:p w14:paraId="6C016F6D" w14:textId="22046879" w:rsidR="008D2EFD" w:rsidRPr="00B55939" w:rsidRDefault="008D2EFD" w:rsidP="008D2EFD">
            <w:pPr>
              <w:pStyle w:val="ListParagraph"/>
              <w:keepLines/>
              <w:ind w:left="0"/>
              <w:rPr>
                <w:rFonts w:asciiTheme="minorHAnsi" w:hAnsiTheme="minorHAnsi" w:cstheme="minorHAnsi"/>
                <w:color w:val="000000"/>
                <w:sz w:val="18"/>
                <w:szCs w:val="18"/>
                <w:highlight w:val="yellow"/>
              </w:rPr>
            </w:pPr>
            <w:r w:rsidRPr="00B55939">
              <w:rPr>
                <w:rFonts w:asciiTheme="minorHAnsi" w:hAnsiTheme="minorHAnsi" w:cstheme="minorHAnsi"/>
                <w:color w:val="000000"/>
                <w:sz w:val="18"/>
                <w:szCs w:val="18"/>
              </w:rPr>
              <w:t xml:space="preserve">The PBAC recommended listing a new biosimilar brand of bevacizumab, </w:t>
            </w:r>
            <w:proofErr w:type="spellStart"/>
            <w:r w:rsidRPr="00B55939">
              <w:rPr>
                <w:rFonts w:asciiTheme="minorHAnsi" w:hAnsiTheme="minorHAnsi" w:cstheme="minorHAnsi"/>
                <w:color w:val="000000"/>
                <w:sz w:val="18"/>
                <w:szCs w:val="18"/>
              </w:rPr>
              <w:t>Bevaciptin</w:t>
            </w:r>
            <w:proofErr w:type="spellEnd"/>
            <w:r w:rsidRPr="00B55939">
              <w:rPr>
                <w:rFonts w:asciiTheme="minorHAnsi" w:hAnsiTheme="minorHAnsi" w:cstheme="minorHAnsi"/>
                <w:color w:val="000000"/>
                <w:sz w:val="18"/>
                <w:szCs w:val="18"/>
              </w:rPr>
              <w:t xml:space="preserve">, under the Section 100 </w:t>
            </w:r>
            <w:r w:rsidR="00774913">
              <w:rPr>
                <w:rFonts w:asciiTheme="minorHAnsi" w:hAnsiTheme="minorHAnsi" w:cstheme="minorHAnsi"/>
                <w:color w:val="000000"/>
                <w:sz w:val="18"/>
                <w:szCs w:val="18"/>
              </w:rPr>
              <w:t>(</w:t>
            </w:r>
            <w:r w:rsidRPr="00B55939">
              <w:rPr>
                <w:rFonts w:asciiTheme="minorHAnsi" w:hAnsiTheme="minorHAnsi" w:cstheme="minorHAnsi"/>
                <w:color w:val="000000"/>
                <w:sz w:val="18"/>
                <w:szCs w:val="18"/>
              </w:rPr>
              <w:t>Efficient Funding of Chemotherapy Program</w:t>
            </w:r>
            <w:r w:rsidR="00774913">
              <w:rPr>
                <w:rFonts w:asciiTheme="minorHAnsi" w:hAnsiTheme="minorHAnsi" w:cstheme="minorHAnsi"/>
                <w:color w:val="000000"/>
                <w:sz w:val="18"/>
                <w:szCs w:val="18"/>
              </w:rPr>
              <w:t>)</w:t>
            </w:r>
            <w:r w:rsidRPr="00B55939">
              <w:rPr>
                <w:rFonts w:asciiTheme="minorHAnsi" w:hAnsiTheme="minorHAnsi" w:cstheme="minorHAnsi"/>
                <w:color w:val="000000"/>
                <w:sz w:val="18"/>
                <w:szCs w:val="18"/>
              </w:rPr>
              <w:t xml:space="preserve">, under the same conditions as the PBS-listed bevacizumab biosimilar </w:t>
            </w:r>
            <w:proofErr w:type="spellStart"/>
            <w:r w:rsidRPr="00B55939">
              <w:rPr>
                <w:rFonts w:asciiTheme="minorHAnsi" w:hAnsiTheme="minorHAnsi" w:cstheme="minorHAnsi"/>
                <w:color w:val="000000"/>
                <w:sz w:val="18"/>
                <w:szCs w:val="18"/>
              </w:rPr>
              <w:t>Mvasi</w:t>
            </w:r>
            <w:proofErr w:type="spellEnd"/>
            <w:r w:rsidRPr="00B55939">
              <w:rPr>
                <w:rFonts w:asciiTheme="minorHAnsi" w:hAnsiTheme="minorHAnsi" w:cstheme="minorHAnsi"/>
                <w:color w:val="000000"/>
                <w:sz w:val="18"/>
                <w:szCs w:val="18"/>
              </w:rPr>
              <w:t xml:space="preserve">®. The PBAC considered the equi-effective doses of </w:t>
            </w:r>
            <w:proofErr w:type="spellStart"/>
            <w:r w:rsidRPr="00B55939">
              <w:rPr>
                <w:rFonts w:asciiTheme="minorHAnsi" w:hAnsiTheme="minorHAnsi" w:cstheme="minorHAnsi"/>
                <w:color w:val="000000"/>
                <w:sz w:val="18"/>
                <w:szCs w:val="18"/>
              </w:rPr>
              <w:t>Bevaciptin</w:t>
            </w:r>
            <w:proofErr w:type="spellEnd"/>
            <w:r w:rsidRPr="00B55939">
              <w:rPr>
                <w:rFonts w:asciiTheme="minorHAnsi" w:hAnsiTheme="minorHAnsi" w:cstheme="minorHAnsi"/>
                <w:color w:val="000000"/>
                <w:sz w:val="18"/>
                <w:szCs w:val="18"/>
              </w:rPr>
              <w:t xml:space="preserve"> and </w:t>
            </w:r>
            <w:proofErr w:type="spellStart"/>
            <w:r w:rsidRPr="00B55939">
              <w:rPr>
                <w:rFonts w:asciiTheme="minorHAnsi" w:hAnsiTheme="minorHAnsi" w:cstheme="minorHAnsi"/>
                <w:color w:val="000000"/>
                <w:sz w:val="18"/>
                <w:szCs w:val="18"/>
              </w:rPr>
              <w:t>Mvasi</w:t>
            </w:r>
            <w:proofErr w:type="spellEnd"/>
            <w:r w:rsidRPr="00B55939">
              <w:rPr>
                <w:rFonts w:asciiTheme="minorHAnsi" w:hAnsiTheme="minorHAnsi" w:cstheme="minorHAnsi"/>
                <w:color w:val="000000"/>
                <w:sz w:val="18"/>
                <w:szCs w:val="18"/>
              </w:rPr>
              <w:t xml:space="preserve"> to be: 100 mg of </w:t>
            </w:r>
            <w:proofErr w:type="spellStart"/>
            <w:r w:rsidRPr="00B55939">
              <w:rPr>
                <w:rFonts w:asciiTheme="minorHAnsi" w:hAnsiTheme="minorHAnsi" w:cstheme="minorHAnsi"/>
                <w:color w:val="000000"/>
                <w:sz w:val="18"/>
                <w:szCs w:val="18"/>
              </w:rPr>
              <w:t>Bevaciptin</w:t>
            </w:r>
            <w:proofErr w:type="spellEnd"/>
            <w:r w:rsidRPr="00B55939">
              <w:rPr>
                <w:rFonts w:asciiTheme="minorHAnsi" w:hAnsiTheme="minorHAnsi" w:cstheme="minorHAnsi"/>
                <w:color w:val="000000"/>
                <w:sz w:val="18"/>
                <w:szCs w:val="18"/>
              </w:rPr>
              <w:t xml:space="preserve"> = 100 mg of </w:t>
            </w:r>
            <w:proofErr w:type="spellStart"/>
            <w:r w:rsidRPr="00B55939">
              <w:rPr>
                <w:rFonts w:asciiTheme="minorHAnsi" w:hAnsiTheme="minorHAnsi" w:cstheme="minorHAnsi"/>
                <w:color w:val="000000"/>
                <w:sz w:val="18"/>
                <w:szCs w:val="18"/>
              </w:rPr>
              <w:t>Mvasi</w:t>
            </w:r>
            <w:proofErr w:type="spellEnd"/>
            <w:r w:rsidRPr="00B55939">
              <w:rPr>
                <w:rFonts w:asciiTheme="minorHAnsi" w:hAnsiTheme="minorHAnsi" w:cstheme="minorHAnsi"/>
                <w:color w:val="000000"/>
                <w:sz w:val="18"/>
                <w:szCs w:val="18"/>
              </w:rPr>
              <w:t xml:space="preserve"> and 400 mg of </w:t>
            </w:r>
            <w:proofErr w:type="spellStart"/>
            <w:r w:rsidRPr="00B55939">
              <w:rPr>
                <w:rFonts w:asciiTheme="minorHAnsi" w:hAnsiTheme="minorHAnsi" w:cstheme="minorHAnsi"/>
                <w:color w:val="000000"/>
                <w:sz w:val="18"/>
                <w:szCs w:val="18"/>
              </w:rPr>
              <w:t>Bevaciptin</w:t>
            </w:r>
            <w:proofErr w:type="spellEnd"/>
            <w:r w:rsidRPr="00B55939">
              <w:rPr>
                <w:rFonts w:asciiTheme="minorHAnsi" w:hAnsiTheme="minorHAnsi" w:cstheme="minorHAnsi"/>
                <w:color w:val="000000"/>
                <w:sz w:val="18"/>
                <w:szCs w:val="18"/>
              </w:rPr>
              <w:t xml:space="preserve"> = 400 mg of </w:t>
            </w:r>
            <w:proofErr w:type="spellStart"/>
            <w:r w:rsidRPr="00B55939">
              <w:rPr>
                <w:rFonts w:asciiTheme="minorHAnsi" w:hAnsiTheme="minorHAnsi" w:cstheme="minorHAnsi"/>
                <w:color w:val="000000"/>
                <w:sz w:val="18"/>
                <w:szCs w:val="18"/>
              </w:rPr>
              <w:t>Mvasi</w:t>
            </w:r>
            <w:proofErr w:type="spellEnd"/>
            <w:r w:rsidRPr="00B55939">
              <w:rPr>
                <w:rFonts w:asciiTheme="minorHAnsi" w:hAnsiTheme="minorHAnsi" w:cstheme="minorHAnsi"/>
                <w:color w:val="000000"/>
                <w:sz w:val="18"/>
                <w:szCs w:val="18"/>
              </w:rPr>
              <w:t xml:space="preserve">. The PBAC noted that the listing of </w:t>
            </w:r>
            <w:proofErr w:type="spellStart"/>
            <w:r w:rsidRPr="00B55939">
              <w:rPr>
                <w:rFonts w:asciiTheme="minorHAnsi" w:hAnsiTheme="minorHAnsi" w:cstheme="minorHAnsi"/>
                <w:color w:val="000000"/>
                <w:sz w:val="18"/>
                <w:szCs w:val="18"/>
              </w:rPr>
              <w:t>Bevaciptin</w:t>
            </w:r>
            <w:proofErr w:type="spellEnd"/>
            <w:r w:rsidRPr="00B55939">
              <w:rPr>
                <w:rFonts w:asciiTheme="minorHAnsi" w:hAnsiTheme="minorHAnsi" w:cstheme="minorHAnsi"/>
                <w:color w:val="000000"/>
                <w:sz w:val="18"/>
                <w:szCs w:val="18"/>
              </w:rPr>
              <w:t xml:space="preserve"> on the PBS is expected to be cost neutral and its listing is not expected to increase the overall use of bevacizumab on the PBS.</w:t>
            </w:r>
          </w:p>
        </w:tc>
      </w:tr>
      <w:tr w:rsidR="008D2EFD" w:rsidRPr="00567D48" w14:paraId="69DB0AF7" w14:textId="77777777" w:rsidTr="007128F7">
        <w:trPr>
          <w:cantSplit/>
          <w:trHeight w:val="2948"/>
        </w:trPr>
        <w:tc>
          <w:tcPr>
            <w:tcW w:w="2973" w:type="dxa"/>
            <w:shd w:val="clear" w:color="auto" w:fill="auto"/>
            <w:tcMar>
              <w:top w:w="28" w:type="dxa"/>
              <w:bottom w:w="28" w:type="dxa"/>
            </w:tcMar>
            <w:vAlign w:val="center"/>
          </w:tcPr>
          <w:p w14:paraId="76EEDECC" w14:textId="34E1C72C" w:rsidR="008D2EFD" w:rsidRPr="000F0297" w:rsidRDefault="008D2EFD" w:rsidP="008D2EFD">
            <w:pPr>
              <w:keepLines/>
              <w:rPr>
                <w:rFonts w:asciiTheme="minorHAnsi" w:hAnsiTheme="minorHAnsi" w:cstheme="minorHAnsi"/>
                <w:sz w:val="18"/>
                <w:szCs w:val="18"/>
              </w:rPr>
            </w:pPr>
            <w:r w:rsidRPr="00B55939">
              <w:rPr>
                <w:rFonts w:asciiTheme="minorHAnsi" w:hAnsiTheme="minorHAnsi" w:cstheme="minorHAnsi"/>
                <w:color w:val="000000"/>
                <w:sz w:val="18"/>
                <w:szCs w:val="18"/>
              </w:rPr>
              <w:lastRenderedPageBreak/>
              <w:t xml:space="preserve">BIMEKIZUMAB </w:t>
            </w:r>
            <w:r w:rsidRPr="00B55939">
              <w:rPr>
                <w:rFonts w:asciiTheme="minorHAnsi" w:hAnsiTheme="minorHAnsi" w:cstheme="minorHAnsi"/>
                <w:color w:val="000000"/>
                <w:sz w:val="18"/>
                <w:szCs w:val="18"/>
              </w:rPr>
              <w:br/>
            </w:r>
            <w:r w:rsidRPr="00B55939">
              <w:rPr>
                <w:rFonts w:asciiTheme="minorHAnsi" w:hAnsiTheme="minorHAnsi" w:cstheme="minorHAnsi"/>
                <w:color w:val="000000"/>
                <w:sz w:val="18"/>
                <w:szCs w:val="18"/>
              </w:rPr>
              <w:br/>
              <w:t>Solution for injection 160 mg in 1 mL pre-filled pen</w:t>
            </w:r>
            <w:r w:rsidRPr="00B55939">
              <w:rPr>
                <w:rFonts w:asciiTheme="minorHAnsi" w:hAnsiTheme="minorHAnsi" w:cstheme="minorHAnsi"/>
                <w:color w:val="000000"/>
                <w:sz w:val="18"/>
                <w:szCs w:val="18"/>
              </w:rPr>
              <w:br/>
              <w:t>Solution for injection 160 mg in 1 mL pre-filled syringe</w:t>
            </w:r>
            <w:r w:rsidRPr="00B55939">
              <w:rPr>
                <w:rFonts w:asciiTheme="minorHAnsi" w:hAnsiTheme="minorHAnsi" w:cstheme="minorHAnsi"/>
                <w:color w:val="000000"/>
                <w:sz w:val="18"/>
                <w:szCs w:val="18"/>
              </w:rPr>
              <w:br/>
            </w:r>
            <w:r w:rsidRPr="00B55939">
              <w:rPr>
                <w:rFonts w:asciiTheme="minorHAnsi" w:hAnsiTheme="minorHAnsi" w:cstheme="minorHAnsi"/>
                <w:color w:val="000000"/>
                <w:sz w:val="18"/>
                <w:szCs w:val="18"/>
              </w:rPr>
              <w:br/>
              <w:t>Bimzelx®</w:t>
            </w:r>
            <w:r w:rsidRPr="00B55939">
              <w:rPr>
                <w:rFonts w:asciiTheme="minorHAnsi" w:hAnsiTheme="minorHAnsi" w:cstheme="minorHAnsi"/>
                <w:color w:val="000000"/>
                <w:sz w:val="18"/>
                <w:szCs w:val="18"/>
              </w:rPr>
              <w:br/>
            </w:r>
            <w:r w:rsidRPr="00B55939">
              <w:rPr>
                <w:rFonts w:asciiTheme="minorHAnsi" w:hAnsiTheme="minorHAnsi" w:cstheme="minorHAnsi"/>
                <w:color w:val="000000"/>
                <w:sz w:val="18"/>
                <w:szCs w:val="18"/>
              </w:rPr>
              <w:br/>
              <w:t>UCB Australia Proprietary Limited</w:t>
            </w:r>
            <w:r w:rsidRPr="00B55939">
              <w:rPr>
                <w:rFonts w:asciiTheme="minorHAnsi" w:hAnsiTheme="minorHAnsi" w:cstheme="minorHAnsi"/>
                <w:color w:val="000000"/>
                <w:sz w:val="18"/>
                <w:szCs w:val="18"/>
              </w:rPr>
              <w:br/>
            </w:r>
            <w:r w:rsidRPr="00B55939">
              <w:rPr>
                <w:rFonts w:asciiTheme="minorHAnsi" w:hAnsiTheme="minorHAnsi" w:cstheme="minorHAnsi"/>
                <w:color w:val="000000"/>
                <w:sz w:val="18"/>
                <w:szCs w:val="18"/>
              </w:rPr>
              <w:br/>
              <w:t>Category 2 submission</w:t>
            </w:r>
            <w:r w:rsidRPr="00B55939">
              <w:rPr>
                <w:rFonts w:asciiTheme="minorHAnsi" w:hAnsiTheme="minorHAnsi" w:cstheme="minorHAnsi"/>
                <w:color w:val="000000"/>
                <w:sz w:val="18"/>
                <w:szCs w:val="18"/>
              </w:rPr>
              <w:br/>
              <w:t>(New PBS listing)</w:t>
            </w:r>
          </w:p>
        </w:tc>
        <w:tc>
          <w:tcPr>
            <w:tcW w:w="2491" w:type="dxa"/>
            <w:shd w:val="clear" w:color="auto" w:fill="auto"/>
            <w:vAlign w:val="center"/>
          </w:tcPr>
          <w:p w14:paraId="44E62042" w14:textId="54A2A3F2" w:rsidR="008D2EFD" w:rsidRPr="000F0297" w:rsidRDefault="008D2EFD" w:rsidP="008D2EFD">
            <w:pPr>
              <w:keepLines/>
              <w:widowControl w:val="0"/>
              <w:rPr>
                <w:rFonts w:asciiTheme="minorHAnsi" w:hAnsiTheme="minorHAnsi" w:cstheme="minorHAnsi"/>
                <w:snapToGrid w:val="0"/>
                <w:sz w:val="18"/>
                <w:szCs w:val="18"/>
                <w:lang w:eastAsia="en-US"/>
              </w:rPr>
            </w:pPr>
            <w:r w:rsidRPr="00B55939">
              <w:rPr>
                <w:rFonts w:asciiTheme="minorHAnsi" w:hAnsiTheme="minorHAnsi" w:cstheme="minorHAnsi"/>
                <w:color w:val="000000"/>
                <w:sz w:val="18"/>
                <w:szCs w:val="18"/>
              </w:rPr>
              <w:t>Plaque psoriasis</w:t>
            </w:r>
          </w:p>
        </w:tc>
        <w:tc>
          <w:tcPr>
            <w:tcW w:w="3887" w:type="dxa"/>
            <w:shd w:val="clear" w:color="auto" w:fill="auto"/>
            <w:tcMar>
              <w:top w:w="28" w:type="dxa"/>
              <w:bottom w:w="28" w:type="dxa"/>
            </w:tcMar>
            <w:vAlign w:val="center"/>
          </w:tcPr>
          <w:p w14:paraId="4B707066" w14:textId="2C68B15A" w:rsidR="008D2EFD" w:rsidRPr="000F0297" w:rsidRDefault="008D2EFD" w:rsidP="008D2EFD">
            <w:pPr>
              <w:pStyle w:val="ListParagraph"/>
              <w:keepLines/>
              <w:ind w:left="0"/>
              <w:rPr>
                <w:rFonts w:asciiTheme="minorHAnsi" w:hAnsiTheme="minorHAnsi" w:cstheme="minorHAnsi"/>
                <w:snapToGrid w:val="0"/>
                <w:sz w:val="18"/>
                <w:szCs w:val="18"/>
                <w:lang w:eastAsia="en-US"/>
              </w:rPr>
            </w:pPr>
            <w:r w:rsidRPr="00B55939">
              <w:rPr>
                <w:rFonts w:ascii="Calibri" w:hAnsi="Calibri" w:cs="Calibri"/>
                <w:color w:val="000000"/>
                <w:sz w:val="18"/>
                <w:szCs w:val="18"/>
              </w:rPr>
              <w:t>To request a General Schedule Authority Required (Written) listing for the treatment of adults with severe plaque psoriasis.</w:t>
            </w:r>
          </w:p>
        </w:tc>
        <w:tc>
          <w:tcPr>
            <w:tcW w:w="1984" w:type="dxa"/>
            <w:shd w:val="clear" w:color="auto" w:fill="auto"/>
            <w:vAlign w:val="center"/>
          </w:tcPr>
          <w:p w14:paraId="3394CC87" w14:textId="6C1E41D7" w:rsidR="008D2EFD" w:rsidRPr="000F0297" w:rsidRDefault="008D2EFD" w:rsidP="008D2EFD">
            <w:pPr>
              <w:pStyle w:val="ListParagraph"/>
              <w:keepLines/>
              <w:ind w:left="0"/>
              <w:rPr>
                <w:rFonts w:asciiTheme="minorHAnsi" w:hAnsiTheme="minorHAnsi" w:cstheme="minorHAnsi"/>
                <w:snapToGrid w:val="0"/>
                <w:sz w:val="18"/>
                <w:szCs w:val="18"/>
                <w:lang w:eastAsia="en-US"/>
              </w:rPr>
            </w:pPr>
            <w:r w:rsidRPr="00B55939">
              <w:rPr>
                <w:rFonts w:asciiTheme="minorHAnsi" w:hAnsiTheme="minorHAnsi" w:cstheme="minorHAnsi"/>
                <w:color w:val="000000"/>
                <w:sz w:val="18"/>
                <w:szCs w:val="18"/>
              </w:rPr>
              <w:t>Recommended</w:t>
            </w:r>
          </w:p>
        </w:tc>
        <w:tc>
          <w:tcPr>
            <w:tcW w:w="4053" w:type="dxa"/>
            <w:shd w:val="clear" w:color="auto" w:fill="auto"/>
            <w:vAlign w:val="center"/>
          </w:tcPr>
          <w:p w14:paraId="6E7717DA" w14:textId="46DDC75B" w:rsidR="008D2EFD" w:rsidRPr="00B55939" w:rsidRDefault="008D2EFD" w:rsidP="00E850D4">
            <w:pPr>
              <w:pStyle w:val="ListParagraph"/>
              <w:keepLines/>
              <w:ind w:left="0"/>
              <w:rPr>
                <w:rFonts w:asciiTheme="minorHAnsi" w:hAnsiTheme="minorHAnsi" w:cstheme="minorHAnsi"/>
                <w:color w:val="000000"/>
                <w:sz w:val="18"/>
                <w:szCs w:val="18"/>
                <w:highlight w:val="yellow"/>
              </w:rPr>
            </w:pPr>
            <w:r w:rsidRPr="00B55939">
              <w:rPr>
                <w:rFonts w:asciiTheme="minorHAnsi" w:hAnsiTheme="minorHAnsi" w:cstheme="minorHAnsi"/>
                <w:color w:val="000000"/>
                <w:sz w:val="18"/>
                <w:szCs w:val="18"/>
              </w:rPr>
              <w:t xml:space="preserve">The PBAC recommended the Authority Required listing of bimekizumab (BKZ) for the treatment of severe chronic plaque psoriasis (CPP). The PBAC considered that, based on the evidence presented in the submission, BKZ was likely to be superior to adalimumab, tildrakizumab and ustekinumab and non-inferior to guselkumab, ixekizumab, secukinumab and risankizumab in terms of achieving </w:t>
            </w:r>
            <w:r w:rsidR="009B2D5B" w:rsidRPr="009B2D5B">
              <w:rPr>
                <w:rFonts w:asciiTheme="minorHAnsi" w:hAnsiTheme="minorHAnsi" w:cstheme="minorHAnsi"/>
                <w:color w:val="000000"/>
                <w:sz w:val="18"/>
                <w:szCs w:val="18"/>
              </w:rPr>
              <w:t>Psoriasis Area and Severity Index</w:t>
            </w:r>
            <w:r w:rsidR="009B2D5B">
              <w:rPr>
                <w:rFonts w:asciiTheme="minorHAnsi" w:hAnsiTheme="minorHAnsi" w:cstheme="minorHAnsi"/>
                <w:color w:val="000000"/>
                <w:sz w:val="18"/>
                <w:szCs w:val="18"/>
              </w:rPr>
              <w:t xml:space="preserve"> (</w:t>
            </w:r>
            <w:r w:rsidRPr="00B55939">
              <w:rPr>
                <w:rFonts w:asciiTheme="minorHAnsi" w:hAnsiTheme="minorHAnsi" w:cstheme="minorHAnsi"/>
                <w:color w:val="000000"/>
                <w:sz w:val="18"/>
                <w:szCs w:val="18"/>
              </w:rPr>
              <w:t>PASI</w:t>
            </w:r>
            <w:r w:rsidR="009B2D5B">
              <w:rPr>
                <w:rFonts w:asciiTheme="minorHAnsi" w:hAnsiTheme="minorHAnsi" w:cstheme="minorHAnsi"/>
                <w:color w:val="000000"/>
                <w:sz w:val="18"/>
                <w:szCs w:val="18"/>
              </w:rPr>
              <w:t>)</w:t>
            </w:r>
            <w:r w:rsidR="00706DF0">
              <w:rPr>
                <w:rFonts w:asciiTheme="minorHAnsi" w:hAnsiTheme="minorHAnsi" w:cstheme="minorHAnsi"/>
                <w:color w:val="000000"/>
                <w:sz w:val="18"/>
                <w:szCs w:val="18"/>
              </w:rPr>
              <w:t> </w:t>
            </w:r>
            <w:r w:rsidRPr="00B55939">
              <w:rPr>
                <w:rFonts w:asciiTheme="minorHAnsi" w:hAnsiTheme="minorHAnsi" w:cstheme="minorHAnsi"/>
                <w:color w:val="000000"/>
                <w:sz w:val="18"/>
                <w:szCs w:val="18"/>
              </w:rPr>
              <w:t>75 and PASI 90 responses at 12</w:t>
            </w:r>
            <w:r w:rsidR="00010EF9">
              <w:rPr>
                <w:rFonts w:asciiTheme="minorHAnsi" w:hAnsiTheme="minorHAnsi" w:cstheme="minorHAnsi"/>
                <w:color w:val="000000"/>
                <w:sz w:val="18"/>
                <w:szCs w:val="18"/>
              </w:rPr>
              <w:t xml:space="preserve"> and</w:t>
            </w:r>
            <w:r w:rsidR="0063210D">
              <w:rPr>
                <w:rFonts w:asciiTheme="minorHAnsi" w:hAnsiTheme="minorHAnsi" w:cstheme="minorHAnsi"/>
                <w:color w:val="000000"/>
                <w:sz w:val="18"/>
                <w:szCs w:val="18"/>
              </w:rPr>
              <w:t xml:space="preserve"> </w:t>
            </w:r>
            <w:r w:rsidRPr="00B55939">
              <w:rPr>
                <w:rFonts w:asciiTheme="minorHAnsi" w:hAnsiTheme="minorHAnsi" w:cstheme="minorHAnsi"/>
                <w:color w:val="000000"/>
                <w:sz w:val="18"/>
                <w:szCs w:val="18"/>
              </w:rPr>
              <w:t>16 weeks</w:t>
            </w:r>
            <w:r w:rsidR="0063210D">
              <w:rPr>
                <w:rFonts w:asciiTheme="minorHAnsi" w:hAnsiTheme="minorHAnsi" w:cstheme="minorHAnsi"/>
                <w:color w:val="000000"/>
                <w:sz w:val="18"/>
                <w:szCs w:val="18"/>
              </w:rPr>
              <w:t xml:space="preserve"> respectively</w:t>
            </w:r>
            <w:r w:rsidRPr="00B55939">
              <w:rPr>
                <w:rFonts w:asciiTheme="minorHAnsi" w:hAnsiTheme="minorHAnsi" w:cstheme="minorHAnsi"/>
                <w:color w:val="000000"/>
                <w:sz w:val="18"/>
                <w:szCs w:val="18"/>
              </w:rPr>
              <w:t>. The PBAC noted comparisons versus infliximab, one of the more effective treatments for severe CPP, were not presented in the submission. The PBAC further noted the long-term impact of the differences observed in PASI 75 and 90 at 12</w:t>
            </w:r>
            <w:r w:rsidR="0063210D">
              <w:rPr>
                <w:rFonts w:asciiTheme="minorHAnsi" w:hAnsiTheme="minorHAnsi" w:cstheme="minorHAnsi"/>
                <w:color w:val="000000"/>
                <w:sz w:val="18"/>
                <w:szCs w:val="18"/>
              </w:rPr>
              <w:t xml:space="preserve"> and </w:t>
            </w:r>
            <w:r w:rsidRPr="00B55939">
              <w:rPr>
                <w:rFonts w:asciiTheme="minorHAnsi" w:hAnsiTheme="minorHAnsi" w:cstheme="minorHAnsi"/>
                <w:color w:val="000000"/>
                <w:sz w:val="18"/>
                <w:szCs w:val="18"/>
              </w:rPr>
              <w:t xml:space="preserve">16 weeks is unknown. The PBAC recalled that guselkumab, ixekizumab and risankizumab were listed for CPP </w:t>
            </w:r>
            <w:proofErr w:type="gramStart"/>
            <w:r w:rsidRPr="00B55939">
              <w:rPr>
                <w:rFonts w:asciiTheme="minorHAnsi" w:hAnsiTheme="minorHAnsi" w:cstheme="minorHAnsi"/>
                <w:color w:val="000000"/>
                <w:sz w:val="18"/>
                <w:szCs w:val="18"/>
              </w:rPr>
              <w:t>on the basis of</w:t>
            </w:r>
            <w:proofErr w:type="gramEnd"/>
            <w:r w:rsidRPr="00B55939">
              <w:rPr>
                <w:rFonts w:asciiTheme="minorHAnsi" w:hAnsiTheme="minorHAnsi" w:cstheme="minorHAnsi"/>
                <w:color w:val="000000"/>
                <w:sz w:val="18"/>
                <w:szCs w:val="18"/>
              </w:rPr>
              <w:t xml:space="preserve"> cost-minimisation to the least costly alternative</w:t>
            </w:r>
            <w:r w:rsidR="005C34D5" w:rsidRPr="00B55939">
              <w:rPr>
                <w:rFonts w:asciiTheme="minorHAnsi" w:hAnsiTheme="minorHAnsi" w:cstheme="minorHAnsi"/>
                <w:color w:val="000000"/>
                <w:sz w:val="18"/>
                <w:szCs w:val="18"/>
              </w:rPr>
              <w:t xml:space="preserve"> biological disease-modifying antirheumatic drug</w:t>
            </w:r>
            <w:r w:rsidRPr="00B55939">
              <w:rPr>
                <w:rFonts w:asciiTheme="minorHAnsi" w:hAnsiTheme="minorHAnsi" w:cstheme="minorHAnsi"/>
                <w:color w:val="000000"/>
                <w:sz w:val="18"/>
                <w:szCs w:val="18"/>
              </w:rPr>
              <w:t xml:space="preserve"> </w:t>
            </w:r>
            <w:r w:rsidR="005C34D5" w:rsidRPr="00B55939">
              <w:rPr>
                <w:rFonts w:asciiTheme="minorHAnsi" w:hAnsiTheme="minorHAnsi" w:cstheme="minorHAnsi"/>
                <w:color w:val="000000"/>
                <w:sz w:val="18"/>
                <w:szCs w:val="18"/>
              </w:rPr>
              <w:t>(</w:t>
            </w:r>
            <w:r w:rsidRPr="00B55939">
              <w:rPr>
                <w:rFonts w:asciiTheme="minorHAnsi" w:hAnsiTheme="minorHAnsi" w:cstheme="minorHAnsi"/>
                <w:color w:val="000000"/>
                <w:sz w:val="18"/>
                <w:szCs w:val="18"/>
              </w:rPr>
              <w:t>bDMARD</w:t>
            </w:r>
            <w:r w:rsidR="005C34D5" w:rsidRPr="00B55939">
              <w:rPr>
                <w:rFonts w:asciiTheme="minorHAnsi" w:hAnsiTheme="minorHAnsi" w:cstheme="minorHAnsi"/>
                <w:color w:val="000000"/>
                <w:sz w:val="18"/>
                <w:szCs w:val="18"/>
              </w:rPr>
              <w:t>)</w:t>
            </w:r>
            <w:r w:rsidRPr="00B55939">
              <w:rPr>
                <w:rFonts w:asciiTheme="minorHAnsi" w:hAnsiTheme="minorHAnsi" w:cstheme="minorHAnsi"/>
                <w:color w:val="000000"/>
                <w:sz w:val="18"/>
                <w:szCs w:val="18"/>
              </w:rPr>
              <w:t xml:space="preserve"> and, given the PBAC considered BKZ was likely to be non-inferior to these medicines, it was appropriate to list BKZ on the same basis</w:t>
            </w:r>
            <w:r w:rsidR="005C34D5" w:rsidRPr="00B55939">
              <w:rPr>
                <w:rFonts w:asciiTheme="minorHAnsi" w:hAnsiTheme="minorHAnsi" w:cstheme="minorHAnsi"/>
                <w:color w:val="000000"/>
                <w:sz w:val="18"/>
                <w:szCs w:val="18"/>
              </w:rPr>
              <w:t>.</w:t>
            </w:r>
            <w:r w:rsidRPr="00B55939">
              <w:rPr>
                <w:rFonts w:asciiTheme="minorHAnsi" w:hAnsiTheme="minorHAnsi" w:cstheme="minorHAnsi"/>
                <w:color w:val="000000"/>
                <w:sz w:val="18"/>
                <w:szCs w:val="18"/>
              </w:rPr>
              <w:t xml:space="preserve"> The PBAC noted flow</w:t>
            </w:r>
            <w:r w:rsidR="00331B79" w:rsidRPr="00B55939">
              <w:rPr>
                <w:rFonts w:asciiTheme="minorHAnsi" w:hAnsiTheme="minorHAnsi" w:cstheme="minorHAnsi"/>
                <w:color w:val="000000"/>
                <w:sz w:val="18"/>
                <w:szCs w:val="18"/>
              </w:rPr>
              <w:t>-</w:t>
            </w:r>
            <w:r w:rsidRPr="00B55939">
              <w:rPr>
                <w:rFonts w:asciiTheme="minorHAnsi" w:hAnsiTheme="minorHAnsi" w:cstheme="minorHAnsi"/>
                <w:color w:val="000000"/>
                <w:sz w:val="18"/>
                <w:szCs w:val="18"/>
              </w:rPr>
              <w:t xml:space="preserve">on changes to the currently listed bDMARDs will be required to include BKZ in the list of eligible treatments as part of a treatment cycle. </w:t>
            </w:r>
          </w:p>
        </w:tc>
      </w:tr>
      <w:tr w:rsidR="008D2EFD" w:rsidRPr="00567D48" w14:paraId="050D22AD" w14:textId="77777777" w:rsidTr="007128F7">
        <w:trPr>
          <w:cantSplit/>
          <w:trHeight w:val="2948"/>
        </w:trPr>
        <w:tc>
          <w:tcPr>
            <w:tcW w:w="2973" w:type="dxa"/>
            <w:shd w:val="clear" w:color="auto" w:fill="auto"/>
            <w:tcMar>
              <w:top w:w="28" w:type="dxa"/>
              <w:bottom w:w="28" w:type="dxa"/>
            </w:tcMar>
            <w:vAlign w:val="center"/>
          </w:tcPr>
          <w:p w14:paraId="29CF7A14" w14:textId="75BDC944" w:rsidR="008D2EFD" w:rsidRPr="00B55939" w:rsidRDefault="008D2EFD" w:rsidP="008D2EFD">
            <w:pPr>
              <w:keepLines/>
              <w:rPr>
                <w:rFonts w:asciiTheme="minorHAnsi" w:hAnsiTheme="minorHAnsi" w:cstheme="minorHAnsi"/>
                <w:sz w:val="18"/>
                <w:szCs w:val="18"/>
                <w:highlight w:val="yellow"/>
              </w:rPr>
            </w:pPr>
            <w:r w:rsidRPr="00B55939">
              <w:rPr>
                <w:rFonts w:asciiTheme="minorHAnsi" w:hAnsiTheme="minorHAnsi" w:cstheme="minorHAnsi"/>
                <w:color w:val="000000"/>
                <w:sz w:val="18"/>
                <w:szCs w:val="18"/>
              </w:rPr>
              <w:lastRenderedPageBreak/>
              <w:t xml:space="preserve">BORTEZOMIB </w:t>
            </w:r>
            <w:r w:rsidRPr="00B55939">
              <w:rPr>
                <w:rFonts w:asciiTheme="minorHAnsi" w:hAnsiTheme="minorHAnsi" w:cstheme="minorHAnsi"/>
                <w:color w:val="000000"/>
                <w:sz w:val="18"/>
                <w:szCs w:val="18"/>
              </w:rPr>
              <w:br/>
            </w:r>
            <w:r w:rsidRPr="00B55939">
              <w:rPr>
                <w:rFonts w:asciiTheme="minorHAnsi" w:hAnsiTheme="minorHAnsi" w:cstheme="minorHAnsi"/>
                <w:color w:val="000000"/>
                <w:sz w:val="18"/>
                <w:szCs w:val="18"/>
              </w:rPr>
              <w:br/>
              <w:t>Solution for injection 2.5 mg</w:t>
            </w:r>
            <w:r w:rsidRPr="00B55939">
              <w:rPr>
                <w:rFonts w:asciiTheme="minorHAnsi" w:hAnsiTheme="minorHAnsi" w:cstheme="minorHAnsi"/>
                <w:color w:val="000000"/>
                <w:sz w:val="18"/>
                <w:szCs w:val="18"/>
              </w:rPr>
              <w:br/>
              <w:t>Solution for injection 3.5 mg</w:t>
            </w:r>
            <w:r w:rsidRPr="00B55939">
              <w:rPr>
                <w:rFonts w:asciiTheme="minorHAnsi" w:hAnsiTheme="minorHAnsi" w:cstheme="minorHAnsi"/>
                <w:color w:val="000000"/>
                <w:sz w:val="18"/>
                <w:szCs w:val="18"/>
              </w:rPr>
              <w:br/>
            </w:r>
            <w:r w:rsidRPr="00B55939">
              <w:rPr>
                <w:rFonts w:asciiTheme="minorHAnsi" w:hAnsiTheme="minorHAnsi" w:cstheme="minorHAnsi"/>
                <w:color w:val="000000"/>
                <w:sz w:val="18"/>
                <w:szCs w:val="18"/>
              </w:rPr>
              <w:br/>
              <w:t>Bortezomib Ever Pharma®</w:t>
            </w:r>
            <w:r w:rsidRPr="00B55939">
              <w:rPr>
                <w:rFonts w:asciiTheme="minorHAnsi" w:hAnsiTheme="minorHAnsi" w:cstheme="minorHAnsi"/>
                <w:color w:val="000000"/>
                <w:sz w:val="18"/>
                <w:szCs w:val="18"/>
              </w:rPr>
              <w:br/>
            </w:r>
            <w:r w:rsidRPr="00B55939">
              <w:rPr>
                <w:rFonts w:asciiTheme="minorHAnsi" w:hAnsiTheme="minorHAnsi" w:cstheme="minorHAnsi"/>
                <w:color w:val="000000"/>
                <w:sz w:val="18"/>
                <w:szCs w:val="18"/>
              </w:rPr>
              <w:br/>
            </w:r>
            <w:proofErr w:type="spellStart"/>
            <w:r w:rsidRPr="00B55939">
              <w:rPr>
                <w:rFonts w:asciiTheme="minorHAnsi" w:hAnsiTheme="minorHAnsi" w:cstheme="minorHAnsi"/>
                <w:color w:val="000000"/>
                <w:sz w:val="18"/>
                <w:szCs w:val="18"/>
              </w:rPr>
              <w:t>Interpharma</w:t>
            </w:r>
            <w:proofErr w:type="spellEnd"/>
            <w:r w:rsidRPr="00B55939">
              <w:rPr>
                <w:rFonts w:asciiTheme="minorHAnsi" w:hAnsiTheme="minorHAnsi" w:cstheme="minorHAnsi"/>
                <w:color w:val="000000"/>
                <w:sz w:val="18"/>
                <w:szCs w:val="18"/>
              </w:rPr>
              <w:t xml:space="preserve"> Pty Ltd</w:t>
            </w:r>
            <w:r w:rsidRPr="00B55939">
              <w:rPr>
                <w:rFonts w:asciiTheme="minorHAnsi" w:hAnsiTheme="minorHAnsi" w:cstheme="minorHAnsi"/>
                <w:color w:val="000000"/>
                <w:sz w:val="18"/>
                <w:szCs w:val="18"/>
              </w:rPr>
              <w:br/>
            </w:r>
            <w:r w:rsidRPr="00B55939">
              <w:rPr>
                <w:rFonts w:asciiTheme="minorHAnsi" w:hAnsiTheme="minorHAnsi" w:cstheme="minorHAnsi"/>
                <w:color w:val="000000"/>
                <w:sz w:val="18"/>
                <w:szCs w:val="18"/>
              </w:rPr>
              <w:br/>
              <w:t>Committee secretariat</w:t>
            </w:r>
            <w:r w:rsidR="00FF4D79" w:rsidRPr="00B55939">
              <w:rPr>
                <w:rFonts w:asciiTheme="minorHAnsi" w:hAnsiTheme="minorHAnsi" w:cstheme="minorHAnsi"/>
                <w:color w:val="000000"/>
                <w:sz w:val="18"/>
                <w:szCs w:val="18"/>
              </w:rPr>
              <w:t xml:space="preserve"> submission</w:t>
            </w:r>
            <w:r w:rsidRPr="00B55939">
              <w:rPr>
                <w:rFonts w:asciiTheme="minorHAnsi" w:hAnsiTheme="minorHAnsi" w:cstheme="minorHAnsi"/>
                <w:color w:val="000000"/>
                <w:sz w:val="18"/>
                <w:szCs w:val="18"/>
              </w:rPr>
              <w:br/>
              <w:t>(New PBS listing)</w:t>
            </w:r>
          </w:p>
        </w:tc>
        <w:tc>
          <w:tcPr>
            <w:tcW w:w="2491" w:type="dxa"/>
            <w:shd w:val="clear" w:color="auto" w:fill="auto"/>
            <w:vAlign w:val="center"/>
          </w:tcPr>
          <w:p w14:paraId="178B148E" w14:textId="2EC43D2B" w:rsidR="008D2EFD" w:rsidRPr="00B55939" w:rsidRDefault="008D2EFD" w:rsidP="008D2EFD">
            <w:pPr>
              <w:keepLines/>
              <w:widowControl w:val="0"/>
              <w:rPr>
                <w:rFonts w:asciiTheme="minorHAnsi" w:hAnsiTheme="minorHAnsi" w:cstheme="minorHAnsi"/>
                <w:snapToGrid w:val="0"/>
                <w:sz w:val="18"/>
                <w:szCs w:val="18"/>
                <w:highlight w:val="yellow"/>
                <w:lang w:eastAsia="en-US"/>
              </w:rPr>
            </w:pPr>
            <w:r w:rsidRPr="00B55939">
              <w:rPr>
                <w:rFonts w:asciiTheme="minorHAnsi" w:hAnsiTheme="minorHAnsi" w:cstheme="minorHAnsi"/>
                <w:color w:val="000000"/>
                <w:sz w:val="18"/>
                <w:szCs w:val="18"/>
              </w:rPr>
              <w:t xml:space="preserve">Multiple Myeloma </w:t>
            </w:r>
          </w:p>
        </w:tc>
        <w:tc>
          <w:tcPr>
            <w:tcW w:w="3887" w:type="dxa"/>
            <w:shd w:val="clear" w:color="auto" w:fill="auto"/>
            <w:tcMar>
              <w:top w:w="28" w:type="dxa"/>
              <w:bottom w:w="28" w:type="dxa"/>
            </w:tcMar>
            <w:vAlign w:val="center"/>
          </w:tcPr>
          <w:p w14:paraId="4DA04368" w14:textId="396B6FAA" w:rsidR="008D2EFD" w:rsidRPr="000F0297" w:rsidRDefault="008D2EFD" w:rsidP="008D2EFD">
            <w:pPr>
              <w:pStyle w:val="ListParagraph"/>
              <w:keepLines/>
              <w:ind w:left="0"/>
              <w:rPr>
                <w:rFonts w:asciiTheme="minorHAnsi" w:hAnsiTheme="minorHAnsi" w:cstheme="minorHAnsi"/>
                <w:snapToGrid w:val="0"/>
                <w:sz w:val="18"/>
                <w:szCs w:val="18"/>
                <w:lang w:eastAsia="en-US"/>
              </w:rPr>
            </w:pPr>
            <w:r w:rsidRPr="00B55939">
              <w:rPr>
                <w:rFonts w:asciiTheme="minorHAnsi" w:hAnsiTheme="minorHAnsi" w:cstheme="minorHAnsi"/>
                <w:color w:val="000000"/>
                <w:sz w:val="18"/>
                <w:szCs w:val="18"/>
              </w:rPr>
              <w:t xml:space="preserve">To request a Section 100 (Efficient Funding of Chemotherapy Program) listing of a new form under the same conditions as the currently listed brands of bortezomib. </w:t>
            </w:r>
          </w:p>
        </w:tc>
        <w:tc>
          <w:tcPr>
            <w:tcW w:w="1984" w:type="dxa"/>
            <w:shd w:val="clear" w:color="auto" w:fill="auto"/>
            <w:vAlign w:val="center"/>
          </w:tcPr>
          <w:p w14:paraId="1846D2FC" w14:textId="69A7ACD0" w:rsidR="008D2EFD" w:rsidRPr="000F0297" w:rsidRDefault="008D2EFD" w:rsidP="008D2EFD">
            <w:pPr>
              <w:pStyle w:val="ListParagraph"/>
              <w:keepLines/>
              <w:ind w:left="0"/>
              <w:rPr>
                <w:rFonts w:asciiTheme="minorHAnsi" w:hAnsiTheme="minorHAnsi" w:cstheme="minorHAnsi"/>
                <w:snapToGrid w:val="0"/>
                <w:sz w:val="18"/>
                <w:szCs w:val="18"/>
                <w:lang w:eastAsia="en-US"/>
              </w:rPr>
            </w:pPr>
            <w:r w:rsidRPr="00B55939">
              <w:rPr>
                <w:rFonts w:asciiTheme="minorHAnsi" w:hAnsiTheme="minorHAnsi" w:cstheme="minorHAnsi"/>
                <w:color w:val="000000"/>
                <w:sz w:val="18"/>
                <w:szCs w:val="18"/>
              </w:rPr>
              <w:t>Recommended</w:t>
            </w:r>
          </w:p>
        </w:tc>
        <w:tc>
          <w:tcPr>
            <w:tcW w:w="4053" w:type="dxa"/>
            <w:shd w:val="clear" w:color="auto" w:fill="auto"/>
            <w:vAlign w:val="center"/>
          </w:tcPr>
          <w:p w14:paraId="7018DE18" w14:textId="7C31411E" w:rsidR="008D2EFD" w:rsidRPr="00B55939" w:rsidRDefault="008D2EFD" w:rsidP="008D2EFD">
            <w:pPr>
              <w:pStyle w:val="ListParagraph"/>
              <w:keepLines/>
              <w:ind w:left="0"/>
              <w:rPr>
                <w:rFonts w:asciiTheme="minorHAnsi" w:hAnsiTheme="minorHAnsi" w:cstheme="minorHAnsi"/>
                <w:color w:val="000000"/>
                <w:sz w:val="18"/>
                <w:szCs w:val="18"/>
                <w:highlight w:val="yellow"/>
              </w:rPr>
            </w:pPr>
            <w:r w:rsidRPr="00B55939">
              <w:rPr>
                <w:rFonts w:asciiTheme="minorHAnsi" w:hAnsiTheme="minorHAnsi" w:cstheme="minorHAnsi"/>
                <w:color w:val="000000"/>
                <w:sz w:val="18"/>
                <w:szCs w:val="18"/>
              </w:rPr>
              <w:t xml:space="preserve">The PBAC recommended the Section 100 </w:t>
            </w:r>
            <w:r w:rsidR="00774913">
              <w:rPr>
                <w:rFonts w:asciiTheme="minorHAnsi" w:hAnsiTheme="minorHAnsi" w:cstheme="minorHAnsi"/>
                <w:color w:val="000000"/>
                <w:sz w:val="18"/>
                <w:szCs w:val="18"/>
              </w:rPr>
              <w:t>(</w:t>
            </w:r>
            <w:r w:rsidRPr="00B55939">
              <w:rPr>
                <w:rFonts w:asciiTheme="minorHAnsi" w:hAnsiTheme="minorHAnsi" w:cstheme="minorHAnsi"/>
                <w:color w:val="000000"/>
                <w:sz w:val="18"/>
                <w:szCs w:val="18"/>
              </w:rPr>
              <w:t>Efficient Funding of Chemotherapy Program</w:t>
            </w:r>
            <w:r w:rsidR="00774913">
              <w:rPr>
                <w:rFonts w:asciiTheme="minorHAnsi" w:hAnsiTheme="minorHAnsi" w:cstheme="minorHAnsi"/>
                <w:color w:val="000000"/>
                <w:sz w:val="18"/>
                <w:szCs w:val="18"/>
              </w:rPr>
              <w:t>)</w:t>
            </w:r>
            <w:r w:rsidRPr="00B55939">
              <w:rPr>
                <w:rFonts w:asciiTheme="minorHAnsi" w:hAnsiTheme="minorHAnsi" w:cstheme="minorHAnsi"/>
                <w:color w:val="000000"/>
                <w:sz w:val="18"/>
                <w:szCs w:val="18"/>
              </w:rPr>
              <w:t xml:space="preserve"> listing of two new forms of bortezomib (Bortezomib Ever Pharma) 2.5 mg/mL and 3.5 mg/1.4 mL solutions for injection under the same circumstances as the currently listed brands of bortezomib. The PBAC noted that the derived price of the new forms is consistent with the other strengths of bortezomib and that the proposed listing is expected to </w:t>
            </w:r>
            <w:r w:rsidR="0063210D">
              <w:rPr>
                <w:rFonts w:asciiTheme="minorHAnsi" w:hAnsiTheme="minorHAnsi" w:cstheme="minorHAnsi"/>
                <w:color w:val="000000"/>
                <w:sz w:val="18"/>
                <w:szCs w:val="18"/>
              </w:rPr>
              <w:t>be cost neutral</w:t>
            </w:r>
            <w:r w:rsidR="00896E93">
              <w:rPr>
                <w:rFonts w:asciiTheme="minorHAnsi" w:hAnsiTheme="minorHAnsi" w:cstheme="minorHAnsi"/>
                <w:color w:val="000000"/>
                <w:sz w:val="18"/>
                <w:szCs w:val="18"/>
              </w:rPr>
              <w:t xml:space="preserve"> to Government</w:t>
            </w:r>
            <w:r w:rsidRPr="00B55939">
              <w:rPr>
                <w:rFonts w:asciiTheme="minorHAnsi" w:hAnsiTheme="minorHAnsi" w:cstheme="minorHAnsi"/>
                <w:color w:val="000000"/>
                <w:sz w:val="18"/>
                <w:szCs w:val="18"/>
              </w:rPr>
              <w:t xml:space="preserve">. </w:t>
            </w:r>
          </w:p>
        </w:tc>
      </w:tr>
      <w:tr w:rsidR="00575F52" w:rsidRPr="00567D48" w14:paraId="39A1B111" w14:textId="77777777" w:rsidTr="00B55939">
        <w:trPr>
          <w:trHeight w:val="2948"/>
        </w:trPr>
        <w:tc>
          <w:tcPr>
            <w:tcW w:w="2973" w:type="dxa"/>
            <w:shd w:val="clear" w:color="auto" w:fill="auto"/>
            <w:tcMar>
              <w:top w:w="28" w:type="dxa"/>
              <w:bottom w:w="28" w:type="dxa"/>
            </w:tcMar>
            <w:vAlign w:val="center"/>
          </w:tcPr>
          <w:p w14:paraId="7D1778DF" w14:textId="3B5D311F" w:rsidR="00575F52" w:rsidRPr="00B55939" w:rsidRDefault="00575F52" w:rsidP="00575F52">
            <w:pPr>
              <w:keepLines/>
              <w:rPr>
                <w:rFonts w:asciiTheme="minorHAnsi" w:hAnsiTheme="minorHAnsi" w:cstheme="minorHAnsi"/>
                <w:sz w:val="18"/>
                <w:szCs w:val="18"/>
                <w:highlight w:val="yellow"/>
              </w:rPr>
            </w:pPr>
            <w:r w:rsidRPr="00B55939">
              <w:rPr>
                <w:rFonts w:asciiTheme="minorHAnsi" w:hAnsiTheme="minorHAnsi" w:cstheme="minorHAnsi"/>
                <w:color w:val="000000"/>
                <w:sz w:val="18"/>
                <w:szCs w:val="18"/>
              </w:rPr>
              <w:t xml:space="preserve">BUROSUMAB </w:t>
            </w:r>
            <w:r w:rsidRPr="00B55939">
              <w:rPr>
                <w:rFonts w:asciiTheme="minorHAnsi" w:hAnsiTheme="minorHAnsi" w:cstheme="minorHAnsi"/>
                <w:color w:val="000000"/>
                <w:sz w:val="18"/>
                <w:szCs w:val="18"/>
              </w:rPr>
              <w:br/>
            </w:r>
            <w:r w:rsidRPr="00B55939">
              <w:rPr>
                <w:rFonts w:asciiTheme="minorHAnsi" w:hAnsiTheme="minorHAnsi" w:cstheme="minorHAnsi"/>
                <w:color w:val="000000"/>
                <w:sz w:val="18"/>
                <w:szCs w:val="18"/>
              </w:rPr>
              <w:br/>
              <w:t>Injection 10 mg in 1 mL</w:t>
            </w:r>
            <w:r w:rsidRPr="00B55939">
              <w:rPr>
                <w:rFonts w:asciiTheme="minorHAnsi" w:hAnsiTheme="minorHAnsi" w:cstheme="minorHAnsi"/>
                <w:color w:val="000000"/>
                <w:sz w:val="18"/>
                <w:szCs w:val="18"/>
              </w:rPr>
              <w:br/>
              <w:t>Injection 20 mg in 1 mL</w:t>
            </w:r>
            <w:r w:rsidRPr="00B55939">
              <w:rPr>
                <w:rFonts w:asciiTheme="minorHAnsi" w:hAnsiTheme="minorHAnsi" w:cstheme="minorHAnsi"/>
                <w:color w:val="000000"/>
                <w:sz w:val="18"/>
                <w:szCs w:val="18"/>
              </w:rPr>
              <w:br/>
              <w:t>Injection 30 mg in 1 mL</w:t>
            </w:r>
            <w:r w:rsidRPr="00B55939">
              <w:rPr>
                <w:rFonts w:asciiTheme="minorHAnsi" w:hAnsiTheme="minorHAnsi" w:cstheme="minorHAnsi"/>
                <w:color w:val="000000"/>
                <w:sz w:val="18"/>
                <w:szCs w:val="18"/>
                <w:highlight w:val="yellow"/>
              </w:rPr>
              <w:br/>
            </w:r>
            <w:r w:rsidRPr="00B55939">
              <w:rPr>
                <w:rFonts w:asciiTheme="minorHAnsi" w:hAnsiTheme="minorHAnsi" w:cstheme="minorHAnsi"/>
                <w:color w:val="000000"/>
                <w:sz w:val="18"/>
                <w:szCs w:val="18"/>
                <w:highlight w:val="yellow"/>
              </w:rPr>
              <w:br/>
            </w:r>
            <w:proofErr w:type="spellStart"/>
            <w:r w:rsidRPr="00B55939">
              <w:rPr>
                <w:rFonts w:asciiTheme="minorHAnsi" w:hAnsiTheme="minorHAnsi" w:cstheme="minorHAnsi"/>
                <w:color w:val="000000"/>
                <w:sz w:val="18"/>
                <w:szCs w:val="18"/>
              </w:rPr>
              <w:t>Crysvita</w:t>
            </w:r>
            <w:proofErr w:type="spellEnd"/>
            <w:r w:rsidRPr="00B55939">
              <w:rPr>
                <w:rFonts w:asciiTheme="minorHAnsi" w:hAnsiTheme="minorHAnsi" w:cstheme="minorHAnsi"/>
                <w:color w:val="000000"/>
                <w:sz w:val="18"/>
                <w:szCs w:val="18"/>
              </w:rPr>
              <w:t>®</w:t>
            </w:r>
            <w:r w:rsidRPr="00B55939">
              <w:rPr>
                <w:rFonts w:asciiTheme="minorHAnsi" w:hAnsiTheme="minorHAnsi" w:cstheme="minorHAnsi"/>
                <w:color w:val="000000"/>
                <w:sz w:val="18"/>
                <w:szCs w:val="18"/>
                <w:highlight w:val="yellow"/>
              </w:rPr>
              <w:br/>
            </w:r>
            <w:r w:rsidRPr="00B55939">
              <w:rPr>
                <w:rFonts w:asciiTheme="minorHAnsi" w:hAnsiTheme="minorHAnsi" w:cstheme="minorHAnsi"/>
                <w:color w:val="000000"/>
                <w:sz w:val="18"/>
                <w:szCs w:val="18"/>
                <w:highlight w:val="yellow"/>
              </w:rPr>
              <w:br/>
            </w:r>
            <w:r w:rsidRPr="00B55939">
              <w:rPr>
                <w:rFonts w:asciiTheme="minorHAnsi" w:hAnsiTheme="minorHAnsi" w:cstheme="minorHAnsi"/>
                <w:color w:val="000000"/>
                <w:sz w:val="18"/>
                <w:szCs w:val="18"/>
              </w:rPr>
              <w:t>Kyowa Kirin Australia Pty Ltd</w:t>
            </w:r>
            <w:r w:rsidRPr="00B55939">
              <w:rPr>
                <w:rFonts w:asciiTheme="minorHAnsi" w:hAnsiTheme="minorHAnsi" w:cstheme="minorHAnsi"/>
                <w:color w:val="000000"/>
                <w:sz w:val="18"/>
                <w:szCs w:val="18"/>
                <w:highlight w:val="yellow"/>
              </w:rPr>
              <w:br/>
            </w:r>
            <w:r w:rsidRPr="00B55939">
              <w:rPr>
                <w:rFonts w:asciiTheme="minorHAnsi" w:hAnsiTheme="minorHAnsi" w:cstheme="minorHAnsi"/>
                <w:color w:val="000000"/>
                <w:sz w:val="18"/>
                <w:szCs w:val="18"/>
                <w:highlight w:val="yellow"/>
              </w:rPr>
              <w:br/>
            </w:r>
            <w:r w:rsidRPr="00B55939">
              <w:rPr>
                <w:rFonts w:asciiTheme="minorHAnsi" w:hAnsiTheme="minorHAnsi" w:cstheme="minorHAnsi"/>
                <w:color w:val="000000"/>
                <w:sz w:val="18"/>
                <w:szCs w:val="18"/>
              </w:rPr>
              <w:t>Standard re-entry submission</w:t>
            </w:r>
            <w:r w:rsidRPr="00B55939">
              <w:rPr>
                <w:rFonts w:asciiTheme="minorHAnsi" w:hAnsiTheme="minorHAnsi" w:cstheme="minorHAnsi"/>
                <w:color w:val="000000"/>
                <w:sz w:val="18"/>
                <w:szCs w:val="18"/>
                <w:highlight w:val="yellow"/>
              </w:rPr>
              <w:br/>
            </w:r>
            <w:r w:rsidRPr="00B55939">
              <w:rPr>
                <w:rFonts w:asciiTheme="minorHAnsi" w:hAnsiTheme="minorHAnsi" w:cstheme="minorHAnsi"/>
                <w:color w:val="000000"/>
                <w:sz w:val="18"/>
                <w:szCs w:val="18"/>
              </w:rPr>
              <w:t>(New PBS listing)</w:t>
            </w:r>
          </w:p>
        </w:tc>
        <w:tc>
          <w:tcPr>
            <w:tcW w:w="2491" w:type="dxa"/>
            <w:shd w:val="clear" w:color="auto" w:fill="auto"/>
            <w:vAlign w:val="center"/>
          </w:tcPr>
          <w:p w14:paraId="08850311" w14:textId="6E74056A" w:rsidR="00575F52" w:rsidRPr="000F0297" w:rsidRDefault="00575F52" w:rsidP="00575F52">
            <w:pPr>
              <w:keepLines/>
              <w:widowControl w:val="0"/>
              <w:rPr>
                <w:rFonts w:asciiTheme="minorHAnsi" w:hAnsiTheme="minorHAnsi" w:cstheme="minorHAnsi"/>
                <w:snapToGrid w:val="0"/>
                <w:sz w:val="18"/>
                <w:szCs w:val="18"/>
                <w:lang w:eastAsia="en-US"/>
              </w:rPr>
            </w:pPr>
            <w:r w:rsidRPr="00B55939">
              <w:rPr>
                <w:rFonts w:asciiTheme="minorHAnsi" w:hAnsiTheme="minorHAnsi" w:cstheme="minorHAnsi"/>
                <w:color w:val="000000"/>
                <w:sz w:val="18"/>
                <w:szCs w:val="18"/>
              </w:rPr>
              <w:t xml:space="preserve">X-linked </w:t>
            </w:r>
            <w:proofErr w:type="spellStart"/>
            <w:r w:rsidRPr="00B55939">
              <w:rPr>
                <w:rFonts w:asciiTheme="minorHAnsi" w:hAnsiTheme="minorHAnsi" w:cstheme="minorHAnsi"/>
                <w:color w:val="000000"/>
                <w:sz w:val="18"/>
                <w:szCs w:val="18"/>
              </w:rPr>
              <w:t>hypophosphataemia</w:t>
            </w:r>
            <w:proofErr w:type="spellEnd"/>
            <w:r w:rsidRPr="00B55939">
              <w:rPr>
                <w:rFonts w:asciiTheme="minorHAnsi" w:hAnsiTheme="minorHAnsi" w:cstheme="minorHAnsi"/>
                <w:color w:val="000000"/>
                <w:sz w:val="18"/>
                <w:szCs w:val="18"/>
              </w:rPr>
              <w:t xml:space="preserve"> </w:t>
            </w:r>
          </w:p>
        </w:tc>
        <w:tc>
          <w:tcPr>
            <w:tcW w:w="3887" w:type="dxa"/>
            <w:shd w:val="clear" w:color="auto" w:fill="auto"/>
            <w:tcMar>
              <w:top w:w="28" w:type="dxa"/>
              <w:bottom w:w="28" w:type="dxa"/>
            </w:tcMar>
            <w:vAlign w:val="center"/>
          </w:tcPr>
          <w:p w14:paraId="71D366FC" w14:textId="5DCE03B7" w:rsidR="00575F52" w:rsidRPr="00B55939" w:rsidRDefault="00575F52" w:rsidP="00575F52">
            <w:pPr>
              <w:pStyle w:val="ListParagraph"/>
              <w:keepLines/>
              <w:ind w:left="0"/>
              <w:rPr>
                <w:rFonts w:asciiTheme="minorHAnsi" w:hAnsiTheme="minorHAnsi" w:cstheme="minorHAnsi"/>
                <w:snapToGrid w:val="0"/>
                <w:sz w:val="18"/>
                <w:szCs w:val="18"/>
                <w:highlight w:val="yellow"/>
                <w:lang w:eastAsia="en-US"/>
              </w:rPr>
            </w:pPr>
            <w:r w:rsidRPr="00B55939">
              <w:rPr>
                <w:rFonts w:asciiTheme="minorHAnsi" w:hAnsiTheme="minorHAnsi" w:cstheme="minorHAnsi"/>
                <w:color w:val="000000"/>
                <w:sz w:val="18"/>
                <w:szCs w:val="18"/>
              </w:rPr>
              <w:t xml:space="preserve">Resubmission to request a Section 100 (Highly Specialised Drugs Program) Authority Required (Written) listing for the treatment of X-linked </w:t>
            </w:r>
            <w:proofErr w:type="spellStart"/>
            <w:r w:rsidRPr="00B55939">
              <w:rPr>
                <w:rFonts w:asciiTheme="minorHAnsi" w:hAnsiTheme="minorHAnsi" w:cstheme="minorHAnsi"/>
                <w:color w:val="000000"/>
                <w:sz w:val="18"/>
                <w:szCs w:val="18"/>
              </w:rPr>
              <w:t>hypophosphataemia</w:t>
            </w:r>
            <w:proofErr w:type="spellEnd"/>
            <w:r w:rsidRPr="00B55939">
              <w:rPr>
                <w:rFonts w:asciiTheme="minorHAnsi" w:hAnsiTheme="minorHAnsi" w:cstheme="minorHAnsi"/>
                <w:color w:val="000000"/>
                <w:sz w:val="18"/>
                <w:szCs w:val="18"/>
              </w:rPr>
              <w:t>.</w:t>
            </w:r>
          </w:p>
        </w:tc>
        <w:tc>
          <w:tcPr>
            <w:tcW w:w="1984" w:type="dxa"/>
            <w:shd w:val="clear" w:color="auto" w:fill="auto"/>
            <w:vAlign w:val="center"/>
          </w:tcPr>
          <w:p w14:paraId="5622BA25" w14:textId="5A0F3E08" w:rsidR="00575F52" w:rsidRPr="00B55939" w:rsidRDefault="00575F52" w:rsidP="00575F52">
            <w:pPr>
              <w:pStyle w:val="ListParagraph"/>
              <w:keepLines/>
              <w:ind w:left="0"/>
              <w:rPr>
                <w:rFonts w:asciiTheme="minorHAnsi" w:hAnsiTheme="minorHAnsi" w:cstheme="minorHAnsi"/>
                <w:snapToGrid w:val="0"/>
                <w:sz w:val="18"/>
                <w:szCs w:val="18"/>
                <w:highlight w:val="yellow"/>
                <w:lang w:eastAsia="en-US"/>
              </w:rPr>
            </w:pPr>
            <w:r w:rsidRPr="00B55939">
              <w:rPr>
                <w:rFonts w:asciiTheme="minorHAnsi" w:hAnsiTheme="minorHAnsi" w:cstheme="minorHAnsi"/>
                <w:color w:val="000000"/>
                <w:sz w:val="18"/>
                <w:szCs w:val="18"/>
              </w:rPr>
              <w:t>Not Recommended</w:t>
            </w:r>
          </w:p>
        </w:tc>
        <w:tc>
          <w:tcPr>
            <w:tcW w:w="4053" w:type="dxa"/>
            <w:shd w:val="clear" w:color="auto" w:fill="auto"/>
            <w:vAlign w:val="bottom"/>
          </w:tcPr>
          <w:p w14:paraId="0FD13A8C" w14:textId="75A1B710" w:rsidR="00575F52" w:rsidRPr="00B55939" w:rsidRDefault="00575F52" w:rsidP="00575F52">
            <w:pPr>
              <w:widowControl w:val="0"/>
              <w:spacing w:after="120"/>
              <w:rPr>
                <w:rFonts w:asciiTheme="minorHAnsi" w:hAnsiTheme="minorHAnsi" w:cstheme="minorHAnsi"/>
                <w:snapToGrid w:val="0"/>
                <w:sz w:val="18"/>
                <w:szCs w:val="18"/>
                <w:lang w:val="en-GB"/>
              </w:rPr>
            </w:pPr>
            <w:r w:rsidRPr="00B55939">
              <w:rPr>
                <w:rFonts w:asciiTheme="minorHAnsi" w:hAnsiTheme="minorHAnsi" w:cstheme="minorHAnsi"/>
                <w:sz w:val="18"/>
                <w:szCs w:val="18"/>
              </w:rPr>
              <w:t xml:space="preserve">The PBAC </w:t>
            </w:r>
            <w:r w:rsidRPr="00B55939">
              <w:rPr>
                <w:rFonts w:asciiTheme="minorHAnsi" w:hAnsiTheme="minorHAnsi" w:cstheme="minorHAnsi"/>
                <w:bCs/>
                <w:sz w:val="18"/>
                <w:szCs w:val="18"/>
              </w:rPr>
              <w:t>did not recommend</w:t>
            </w:r>
            <w:r w:rsidRPr="00B55939">
              <w:rPr>
                <w:rFonts w:asciiTheme="minorHAnsi" w:hAnsiTheme="minorHAnsi" w:cstheme="minorHAnsi"/>
                <w:sz w:val="18"/>
                <w:szCs w:val="18"/>
              </w:rPr>
              <w:t xml:space="preserve"> </w:t>
            </w:r>
            <w:proofErr w:type="spellStart"/>
            <w:r w:rsidRPr="00B55939">
              <w:rPr>
                <w:rFonts w:asciiTheme="minorHAnsi" w:hAnsiTheme="minorHAnsi" w:cstheme="minorHAnsi"/>
                <w:sz w:val="18"/>
                <w:szCs w:val="18"/>
              </w:rPr>
              <w:t>burosumab</w:t>
            </w:r>
            <w:proofErr w:type="spellEnd"/>
            <w:r w:rsidRPr="00B55939">
              <w:rPr>
                <w:rFonts w:asciiTheme="minorHAnsi" w:hAnsiTheme="minorHAnsi" w:cstheme="minorHAnsi"/>
                <w:sz w:val="18"/>
                <w:szCs w:val="18"/>
              </w:rPr>
              <w:t xml:space="preserve"> for the treatment of paediatric and adult patients with X-linked </w:t>
            </w:r>
            <w:proofErr w:type="spellStart"/>
            <w:r w:rsidRPr="00B55939">
              <w:rPr>
                <w:rFonts w:asciiTheme="minorHAnsi" w:hAnsiTheme="minorHAnsi" w:cstheme="minorHAnsi"/>
                <w:sz w:val="18"/>
                <w:szCs w:val="18"/>
              </w:rPr>
              <w:t>hypophosphataemia</w:t>
            </w:r>
            <w:proofErr w:type="spellEnd"/>
            <w:r w:rsidRPr="00B55939">
              <w:rPr>
                <w:rFonts w:asciiTheme="minorHAnsi" w:hAnsiTheme="minorHAnsi" w:cstheme="minorHAnsi"/>
                <w:sz w:val="18"/>
                <w:szCs w:val="18"/>
              </w:rPr>
              <w:t xml:space="preserve"> (XLH). The PBAC noted the high clinical need and strong consumer support for treatments for this condition. However, the PBAC considered that the incremental cost-effectiveness ratio </w:t>
            </w:r>
            <w:r w:rsidR="00E850D4" w:rsidRPr="00B55939">
              <w:rPr>
                <w:rFonts w:asciiTheme="minorHAnsi" w:hAnsiTheme="minorHAnsi" w:cstheme="minorHAnsi"/>
                <w:sz w:val="18"/>
                <w:szCs w:val="18"/>
              </w:rPr>
              <w:t xml:space="preserve">(ICER) </w:t>
            </w:r>
            <w:r w:rsidRPr="00B55939">
              <w:rPr>
                <w:rFonts w:asciiTheme="minorHAnsi" w:hAnsiTheme="minorHAnsi" w:cstheme="minorHAnsi"/>
                <w:sz w:val="18"/>
                <w:szCs w:val="18"/>
              </w:rPr>
              <w:t>was unacceptably high at the proposed price. The PBAC considered a risk sharing arrangement (RSA) was needed to manage the financial impact, including the financial impact associated with use of higher doses.</w:t>
            </w:r>
          </w:p>
          <w:p w14:paraId="68BFB9BD" w14:textId="77777777" w:rsidR="00575F52" w:rsidRPr="00B55939" w:rsidRDefault="00575F52" w:rsidP="00317FE3">
            <w:pPr>
              <w:pStyle w:val="ExecSumBodyText"/>
              <w:numPr>
                <w:ilvl w:val="0"/>
                <w:numId w:val="0"/>
              </w:numPr>
              <w:jc w:val="left"/>
              <w:rPr>
                <w:rFonts w:cstheme="minorHAnsi"/>
                <w:sz w:val="18"/>
                <w:szCs w:val="18"/>
                <w:lang w:val="en-GB" w:eastAsia="en-US"/>
              </w:rPr>
            </w:pPr>
            <w:r w:rsidRPr="00B55939">
              <w:rPr>
                <w:rFonts w:cstheme="minorHAnsi"/>
                <w:sz w:val="18"/>
                <w:szCs w:val="18"/>
                <w:lang w:val="en-GB" w:eastAsia="en-US"/>
              </w:rPr>
              <w:t xml:space="preserve">The previous submission was considered in March 2021. </w:t>
            </w:r>
          </w:p>
          <w:p w14:paraId="1E45804C" w14:textId="77777777" w:rsidR="00575F52" w:rsidRPr="00B55939" w:rsidRDefault="00575F52" w:rsidP="00317FE3">
            <w:pPr>
              <w:pStyle w:val="ExecSumBodyText"/>
              <w:numPr>
                <w:ilvl w:val="0"/>
                <w:numId w:val="0"/>
              </w:numPr>
              <w:jc w:val="left"/>
              <w:rPr>
                <w:rFonts w:cstheme="minorHAnsi"/>
                <w:sz w:val="18"/>
                <w:szCs w:val="18"/>
                <w:lang w:val="en-GB" w:eastAsia="en-US"/>
              </w:rPr>
            </w:pPr>
            <w:r w:rsidRPr="00B55939">
              <w:rPr>
                <w:rFonts w:cstheme="minorHAnsi"/>
                <w:sz w:val="18"/>
                <w:szCs w:val="18"/>
                <w:lang w:val="en-GB" w:eastAsia="en-US"/>
              </w:rPr>
              <w:t>The PBAC nominated the Early Resolution resubmission pathway for this item.</w:t>
            </w:r>
          </w:p>
          <w:p w14:paraId="6B57A804" w14:textId="77777777" w:rsidR="00575F52" w:rsidRPr="00B55939" w:rsidRDefault="00575F52" w:rsidP="00317FE3">
            <w:pPr>
              <w:pStyle w:val="ExecSumBodyText"/>
              <w:numPr>
                <w:ilvl w:val="0"/>
                <w:numId w:val="0"/>
              </w:numPr>
              <w:jc w:val="left"/>
              <w:rPr>
                <w:rFonts w:cstheme="minorHAnsi"/>
                <w:sz w:val="18"/>
                <w:szCs w:val="18"/>
                <w:u w:val="single"/>
                <w:lang w:val="en-GB" w:eastAsia="en-US"/>
              </w:rPr>
            </w:pPr>
            <w:r w:rsidRPr="00B55939">
              <w:rPr>
                <w:rFonts w:cstheme="minorHAnsi"/>
                <w:sz w:val="18"/>
                <w:szCs w:val="18"/>
                <w:u w:val="single"/>
                <w:lang w:val="en-GB" w:eastAsia="en-US"/>
              </w:rPr>
              <w:t>Comparator: conventional therapy consisting or oral phosphorus and calcitriol</w:t>
            </w:r>
          </w:p>
          <w:p w14:paraId="1CD59B70" w14:textId="77777777" w:rsidR="00575F52" w:rsidRPr="00B55939" w:rsidRDefault="00575F52" w:rsidP="00317FE3">
            <w:pPr>
              <w:pStyle w:val="ExecSumBodyText"/>
              <w:numPr>
                <w:ilvl w:val="0"/>
                <w:numId w:val="0"/>
              </w:numPr>
              <w:jc w:val="left"/>
              <w:rPr>
                <w:rFonts w:cstheme="minorHAnsi"/>
                <w:sz w:val="18"/>
                <w:szCs w:val="18"/>
                <w:lang w:val="en-GB" w:eastAsia="en-US"/>
              </w:rPr>
            </w:pPr>
            <w:r w:rsidRPr="00B55939">
              <w:rPr>
                <w:rFonts w:cstheme="minorHAnsi"/>
                <w:sz w:val="18"/>
                <w:szCs w:val="18"/>
                <w:lang w:val="en-GB" w:eastAsia="en-US"/>
              </w:rPr>
              <w:t xml:space="preserve">The PBAC considered that the nominated comparator was appropriate for both the paediatric and adult populations. </w:t>
            </w:r>
          </w:p>
          <w:p w14:paraId="49B8E670" w14:textId="1D258C92" w:rsidR="00575F52" w:rsidRPr="00B55939" w:rsidRDefault="00575F52" w:rsidP="00317FE3">
            <w:pPr>
              <w:pStyle w:val="ExecSumBodyText"/>
              <w:numPr>
                <w:ilvl w:val="0"/>
                <w:numId w:val="0"/>
              </w:numPr>
              <w:jc w:val="left"/>
              <w:rPr>
                <w:rFonts w:cstheme="minorHAnsi"/>
                <w:sz w:val="18"/>
                <w:szCs w:val="18"/>
                <w:u w:val="single"/>
                <w:lang w:val="en-GB" w:eastAsia="en-US"/>
              </w:rPr>
            </w:pPr>
            <w:r w:rsidRPr="00B55939">
              <w:rPr>
                <w:rFonts w:cstheme="minorHAnsi"/>
                <w:sz w:val="18"/>
                <w:szCs w:val="18"/>
                <w:u w:val="single"/>
                <w:lang w:val="en-GB" w:eastAsia="en-US"/>
              </w:rPr>
              <w:lastRenderedPageBreak/>
              <w:t>Paediatric population</w:t>
            </w:r>
            <w:r w:rsidR="00E850D4" w:rsidRPr="00B55939">
              <w:rPr>
                <w:rFonts w:cstheme="minorHAnsi"/>
                <w:sz w:val="18"/>
                <w:szCs w:val="18"/>
                <w:u w:val="single"/>
                <w:lang w:val="en-GB" w:eastAsia="en-US"/>
              </w:rPr>
              <w:t>:</w:t>
            </w:r>
          </w:p>
          <w:p w14:paraId="556D2CDB" w14:textId="77777777" w:rsidR="00575F52" w:rsidRPr="00B55939" w:rsidRDefault="00575F52" w:rsidP="00317FE3">
            <w:pPr>
              <w:pStyle w:val="ExecSumBodyText"/>
              <w:numPr>
                <w:ilvl w:val="0"/>
                <w:numId w:val="0"/>
              </w:numPr>
              <w:jc w:val="left"/>
              <w:rPr>
                <w:rFonts w:cstheme="minorHAnsi"/>
                <w:sz w:val="18"/>
                <w:szCs w:val="18"/>
                <w:u w:val="single"/>
                <w:lang w:val="en-GB" w:eastAsia="en-US"/>
              </w:rPr>
            </w:pPr>
            <w:r w:rsidRPr="00B55939">
              <w:rPr>
                <w:rFonts w:cstheme="minorHAnsi"/>
                <w:sz w:val="18"/>
                <w:szCs w:val="18"/>
                <w:u w:val="single"/>
                <w:lang w:val="en-GB" w:eastAsia="en-US"/>
              </w:rPr>
              <w:t xml:space="preserve">Clinical claim: superior effectiveness and safety compared with conventional </w:t>
            </w:r>
            <w:proofErr w:type="gramStart"/>
            <w:r w:rsidRPr="00B55939">
              <w:rPr>
                <w:rFonts w:cstheme="minorHAnsi"/>
                <w:sz w:val="18"/>
                <w:szCs w:val="18"/>
                <w:u w:val="single"/>
                <w:lang w:val="en-GB" w:eastAsia="en-US"/>
              </w:rPr>
              <w:t>therapy</w:t>
            </w:r>
            <w:proofErr w:type="gramEnd"/>
          </w:p>
          <w:p w14:paraId="585EA30D" w14:textId="77777777" w:rsidR="00575F52" w:rsidRPr="00B55939" w:rsidRDefault="00575F52" w:rsidP="00317FE3">
            <w:pPr>
              <w:pStyle w:val="ExecSumBodyText"/>
              <w:numPr>
                <w:ilvl w:val="0"/>
                <w:numId w:val="0"/>
              </w:numPr>
              <w:jc w:val="left"/>
              <w:rPr>
                <w:rFonts w:cstheme="minorHAnsi"/>
                <w:sz w:val="18"/>
                <w:szCs w:val="18"/>
                <w:lang w:val="en-GB" w:eastAsia="en-US"/>
              </w:rPr>
            </w:pPr>
            <w:r w:rsidRPr="00B55939">
              <w:rPr>
                <w:rFonts w:cstheme="minorHAnsi"/>
                <w:sz w:val="18"/>
                <w:szCs w:val="18"/>
                <w:lang w:val="en-GB" w:eastAsia="en-US"/>
              </w:rPr>
              <w:t xml:space="preserve">The clinical claim was based on one randomised controlled trial (CL301) comparing </w:t>
            </w:r>
            <w:proofErr w:type="spellStart"/>
            <w:r w:rsidRPr="00B55939">
              <w:rPr>
                <w:rFonts w:cstheme="minorHAnsi"/>
                <w:sz w:val="18"/>
                <w:szCs w:val="18"/>
                <w:lang w:val="en-GB" w:eastAsia="en-US"/>
              </w:rPr>
              <w:t>burosumab</w:t>
            </w:r>
            <w:proofErr w:type="spellEnd"/>
            <w:r w:rsidRPr="00B55939">
              <w:rPr>
                <w:rFonts w:cstheme="minorHAnsi"/>
                <w:sz w:val="18"/>
                <w:szCs w:val="18"/>
                <w:lang w:val="en-GB" w:eastAsia="en-US"/>
              </w:rPr>
              <w:t xml:space="preserve"> with conventional therapy and three non-comparative studies (CL201, CL205 and KRN23-003).</w:t>
            </w:r>
          </w:p>
          <w:p w14:paraId="41A20D3A" w14:textId="77777777" w:rsidR="00575F52" w:rsidRPr="00B55939" w:rsidRDefault="00575F52" w:rsidP="00317FE3">
            <w:pPr>
              <w:pStyle w:val="ExecSumBodyText"/>
              <w:numPr>
                <w:ilvl w:val="0"/>
                <w:numId w:val="0"/>
              </w:numPr>
              <w:jc w:val="left"/>
              <w:rPr>
                <w:rFonts w:cstheme="minorHAnsi"/>
                <w:sz w:val="18"/>
                <w:szCs w:val="18"/>
                <w:lang w:val="en-GB" w:eastAsia="en-US"/>
              </w:rPr>
            </w:pPr>
            <w:r w:rsidRPr="00B55939">
              <w:rPr>
                <w:rFonts w:cstheme="minorHAnsi"/>
                <w:sz w:val="18"/>
                <w:szCs w:val="18"/>
                <w:lang w:val="en-GB" w:eastAsia="en-US"/>
              </w:rPr>
              <w:t xml:space="preserve">The PBAC considered that the claim of superior effectiveness was supported, noting that no data were presented for children aged 13-18 years and the lack of </w:t>
            </w:r>
            <w:proofErr w:type="gramStart"/>
            <w:r w:rsidRPr="00B55939">
              <w:rPr>
                <w:rFonts w:cstheme="minorHAnsi"/>
                <w:sz w:val="18"/>
                <w:szCs w:val="18"/>
                <w:lang w:val="en-GB" w:eastAsia="en-US"/>
              </w:rPr>
              <w:t>long term</w:t>
            </w:r>
            <w:proofErr w:type="gramEnd"/>
            <w:r w:rsidRPr="00B55939">
              <w:rPr>
                <w:rFonts w:cstheme="minorHAnsi"/>
                <w:sz w:val="18"/>
                <w:szCs w:val="18"/>
                <w:lang w:val="en-GB" w:eastAsia="en-US"/>
              </w:rPr>
              <w:t xml:space="preserve"> follow-up data. </w:t>
            </w:r>
          </w:p>
          <w:p w14:paraId="00E24C4E" w14:textId="77777777" w:rsidR="00575F52" w:rsidRPr="00B55939" w:rsidRDefault="00575F52" w:rsidP="00317FE3">
            <w:pPr>
              <w:pStyle w:val="ExecSumBodyText"/>
              <w:numPr>
                <w:ilvl w:val="0"/>
                <w:numId w:val="0"/>
              </w:numPr>
              <w:jc w:val="left"/>
              <w:rPr>
                <w:rFonts w:cstheme="minorHAnsi"/>
                <w:sz w:val="18"/>
                <w:szCs w:val="18"/>
                <w:lang w:val="en-GB" w:eastAsia="en-US"/>
              </w:rPr>
            </w:pPr>
            <w:r w:rsidRPr="00B55939">
              <w:rPr>
                <w:rFonts w:cstheme="minorHAnsi"/>
                <w:sz w:val="18"/>
                <w:szCs w:val="18"/>
                <w:lang w:val="en-GB" w:eastAsia="en-US"/>
              </w:rPr>
              <w:t xml:space="preserve">The PBAC considered that claim of superior safety was not supported. The PBAC considered that </w:t>
            </w:r>
            <w:proofErr w:type="spellStart"/>
            <w:r w:rsidRPr="00B55939">
              <w:rPr>
                <w:rFonts w:cstheme="minorHAnsi"/>
                <w:sz w:val="18"/>
                <w:szCs w:val="18"/>
                <w:lang w:val="en-GB" w:eastAsia="en-US"/>
              </w:rPr>
              <w:t>burosumab</w:t>
            </w:r>
            <w:proofErr w:type="spellEnd"/>
            <w:r w:rsidRPr="00B55939">
              <w:rPr>
                <w:rFonts w:cstheme="minorHAnsi"/>
                <w:sz w:val="18"/>
                <w:szCs w:val="18"/>
                <w:lang w:val="en-GB" w:eastAsia="en-US"/>
              </w:rPr>
              <w:t xml:space="preserve"> had a different safety profile compared to conventional therapy. </w:t>
            </w:r>
          </w:p>
          <w:p w14:paraId="049604D6" w14:textId="77777777" w:rsidR="00575F52" w:rsidRPr="00B55939" w:rsidRDefault="00575F52" w:rsidP="00317FE3">
            <w:pPr>
              <w:pStyle w:val="ExecSumBodyText"/>
              <w:numPr>
                <w:ilvl w:val="0"/>
                <w:numId w:val="0"/>
              </w:numPr>
              <w:jc w:val="left"/>
              <w:rPr>
                <w:rFonts w:cstheme="minorHAnsi"/>
                <w:sz w:val="18"/>
                <w:szCs w:val="18"/>
                <w:u w:val="single"/>
                <w:lang w:val="en-GB" w:eastAsia="en-US"/>
              </w:rPr>
            </w:pPr>
            <w:r w:rsidRPr="00B55939">
              <w:rPr>
                <w:rFonts w:cstheme="minorHAnsi"/>
                <w:sz w:val="18"/>
                <w:szCs w:val="18"/>
                <w:u w:val="single"/>
                <w:lang w:val="en-GB" w:eastAsia="en-US"/>
              </w:rPr>
              <w:t>Economic claim: cost-utility versus conventional therapy</w:t>
            </w:r>
          </w:p>
          <w:p w14:paraId="0A443793" w14:textId="14AF1B96" w:rsidR="00575F52" w:rsidRPr="00B55939" w:rsidRDefault="00575F52" w:rsidP="00575F52">
            <w:pPr>
              <w:widowControl w:val="0"/>
              <w:spacing w:after="120"/>
              <w:rPr>
                <w:rFonts w:asciiTheme="minorHAnsi" w:hAnsiTheme="minorHAnsi" w:cstheme="minorHAnsi"/>
                <w:snapToGrid w:val="0"/>
                <w:sz w:val="18"/>
                <w:szCs w:val="18"/>
                <w:lang w:val="en-GB"/>
              </w:rPr>
            </w:pPr>
            <w:r w:rsidRPr="00B55939">
              <w:rPr>
                <w:rFonts w:asciiTheme="minorHAnsi" w:hAnsiTheme="minorHAnsi" w:cstheme="minorHAnsi"/>
                <w:snapToGrid w:val="0"/>
                <w:sz w:val="18"/>
                <w:szCs w:val="18"/>
                <w:lang w:val="en-GB"/>
              </w:rPr>
              <w:t xml:space="preserve">The economic analysis remained uncertain and the </w:t>
            </w:r>
            <w:r w:rsidR="00E850D4" w:rsidRPr="00B55939">
              <w:rPr>
                <w:rFonts w:asciiTheme="minorHAnsi" w:hAnsiTheme="minorHAnsi" w:cstheme="minorHAnsi"/>
                <w:snapToGrid w:val="0"/>
                <w:sz w:val="18"/>
                <w:szCs w:val="18"/>
                <w:lang w:val="en-GB"/>
              </w:rPr>
              <w:t>ICER</w:t>
            </w:r>
            <w:r w:rsidRPr="00B55939">
              <w:rPr>
                <w:rFonts w:asciiTheme="minorHAnsi" w:hAnsiTheme="minorHAnsi" w:cstheme="minorHAnsi"/>
                <w:snapToGrid w:val="0"/>
                <w:sz w:val="18"/>
                <w:szCs w:val="18"/>
                <w:lang w:val="en-GB"/>
              </w:rPr>
              <w:t xml:space="preserve"> was very high and was likely underestimated. </w:t>
            </w:r>
          </w:p>
          <w:p w14:paraId="7614B95B" w14:textId="65174A61" w:rsidR="00575F52" w:rsidRPr="00B55939" w:rsidRDefault="00575F52" w:rsidP="00575F52">
            <w:pPr>
              <w:widowControl w:val="0"/>
              <w:spacing w:after="120"/>
              <w:rPr>
                <w:rFonts w:asciiTheme="minorHAnsi" w:hAnsiTheme="minorHAnsi" w:cstheme="minorHAnsi"/>
                <w:snapToGrid w:val="0"/>
                <w:sz w:val="18"/>
                <w:szCs w:val="18"/>
                <w:u w:val="single"/>
                <w:lang w:val="en-GB"/>
              </w:rPr>
            </w:pPr>
            <w:r w:rsidRPr="00B55939">
              <w:rPr>
                <w:rFonts w:asciiTheme="minorHAnsi" w:hAnsiTheme="minorHAnsi" w:cstheme="minorHAnsi"/>
                <w:snapToGrid w:val="0"/>
                <w:sz w:val="18"/>
                <w:szCs w:val="18"/>
                <w:u w:val="single"/>
                <w:lang w:val="en-GB"/>
              </w:rPr>
              <w:t>Adult population</w:t>
            </w:r>
            <w:r w:rsidR="00E850D4" w:rsidRPr="00B55939">
              <w:rPr>
                <w:rFonts w:asciiTheme="minorHAnsi" w:hAnsiTheme="minorHAnsi" w:cstheme="minorHAnsi"/>
                <w:snapToGrid w:val="0"/>
                <w:sz w:val="18"/>
                <w:szCs w:val="18"/>
                <w:u w:val="single"/>
                <w:lang w:val="en-GB"/>
              </w:rPr>
              <w:t>:</w:t>
            </w:r>
          </w:p>
          <w:p w14:paraId="1417C66A" w14:textId="77777777" w:rsidR="00575F52" w:rsidRPr="00B55939" w:rsidRDefault="00575F52" w:rsidP="00317FE3">
            <w:pPr>
              <w:pStyle w:val="ExecSumBodyText"/>
              <w:numPr>
                <w:ilvl w:val="0"/>
                <w:numId w:val="0"/>
              </w:numPr>
              <w:jc w:val="left"/>
              <w:rPr>
                <w:rFonts w:cstheme="minorHAnsi"/>
                <w:sz w:val="18"/>
                <w:szCs w:val="18"/>
                <w:u w:val="single"/>
                <w:lang w:val="en-GB" w:eastAsia="en-US"/>
              </w:rPr>
            </w:pPr>
            <w:r w:rsidRPr="00B55939">
              <w:rPr>
                <w:rFonts w:cstheme="minorHAnsi"/>
                <w:sz w:val="18"/>
                <w:szCs w:val="18"/>
                <w:u w:val="single"/>
                <w:lang w:val="en-GB" w:eastAsia="en-US"/>
              </w:rPr>
              <w:t xml:space="preserve">Clinical claim: superior effectiveness and inferior (and acceptable) safety compared with </w:t>
            </w:r>
            <w:proofErr w:type="gramStart"/>
            <w:r w:rsidRPr="00B55939">
              <w:rPr>
                <w:rFonts w:cstheme="minorHAnsi"/>
                <w:sz w:val="18"/>
                <w:szCs w:val="18"/>
                <w:u w:val="single"/>
                <w:lang w:val="en-GB" w:eastAsia="en-US"/>
              </w:rPr>
              <w:t>placebo</w:t>
            </w:r>
            <w:proofErr w:type="gramEnd"/>
          </w:p>
          <w:p w14:paraId="6F237AD7" w14:textId="77777777" w:rsidR="00575F52" w:rsidRPr="00B55939" w:rsidRDefault="00575F52" w:rsidP="00317FE3">
            <w:pPr>
              <w:pStyle w:val="ExecSumBodyText"/>
              <w:numPr>
                <w:ilvl w:val="0"/>
                <w:numId w:val="0"/>
              </w:numPr>
              <w:jc w:val="left"/>
              <w:rPr>
                <w:rFonts w:cstheme="minorHAnsi"/>
                <w:sz w:val="18"/>
                <w:szCs w:val="18"/>
                <w:lang w:val="en-GB" w:eastAsia="en-US"/>
              </w:rPr>
            </w:pPr>
            <w:r w:rsidRPr="00B55939">
              <w:rPr>
                <w:rFonts w:cstheme="minorHAnsi"/>
                <w:sz w:val="18"/>
                <w:szCs w:val="18"/>
                <w:lang w:val="en-GB" w:eastAsia="en-US"/>
              </w:rPr>
              <w:t xml:space="preserve">The clinical claim was based on one randomised controlled trial (CL303) comparing </w:t>
            </w:r>
            <w:proofErr w:type="spellStart"/>
            <w:r w:rsidRPr="00B55939">
              <w:rPr>
                <w:rFonts w:cstheme="minorHAnsi"/>
                <w:sz w:val="18"/>
                <w:szCs w:val="18"/>
                <w:lang w:val="en-GB" w:eastAsia="en-US"/>
              </w:rPr>
              <w:t>burosumab</w:t>
            </w:r>
            <w:proofErr w:type="spellEnd"/>
            <w:r w:rsidRPr="00B55939">
              <w:rPr>
                <w:rFonts w:cstheme="minorHAnsi"/>
                <w:sz w:val="18"/>
                <w:szCs w:val="18"/>
                <w:lang w:val="en-GB" w:eastAsia="en-US"/>
              </w:rPr>
              <w:t xml:space="preserve"> with placebo and six non-comparative studies (BUR02, CL304, KRN-INT-001, KRN-INT-002, KRN-US-02 and CL203).</w:t>
            </w:r>
          </w:p>
          <w:p w14:paraId="3F2C7BFF" w14:textId="77777777" w:rsidR="00575F52" w:rsidRPr="00B55939" w:rsidRDefault="00575F52" w:rsidP="00317FE3">
            <w:pPr>
              <w:pStyle w:val="ExecSumBodyText"/>
              <w:numPr>
                <w:ilvl w:val="0"/>
                <w:numId w:val="0"/>
              </w:numPr>
              <w:jc w:val="left"/>
              <w:rPr>
                <w:rFonts w:cstheme="minorHAnsi"/>
                <w:sz w:val="18"/>
                <w:szCs w:val="18"/>
                <w:lang w:val="en-GB" w:eastAsia="en-US"/>
              </w:rPr>
            </w:pPr>
            <w:r w:rsidRPr="00B55939">
              <w:rPr>
                <w:rFonts w:cstheme="minorHAnsi"/>
                <w:sz w:val="18"/>
                <w:szCs w:val="18"/>
                <w:lang w:val="en-GB" w:eastAsia="en-US"/>
              </w:rPr>
              <w:t xml:space="preserve">The PBAC considered that the claim of superior effectiveness was supported, noting the lack of </w:t>
            </w:r>
            <w:proofErr w:type="gramStart"/>
            <w:r w:rsidRPr="00B55939">
              <w:rPr>
                <w:rFonts w:cstheme="minorHAnsi"/>
                <w:sz w:val="18"/>
                <w:szCs w:val="18"/>
                <w:lang w:val="en-GB" w:eastAsia="en-US"/>
              </w:rPr>
              <w:t>long term</w:t>
            </w:r>
            <w:proofErr w:type="gramEnd"/>
            <w:r w:rsidRPr="00B55939">
              <w:rPr>
                <w:rFonts w:cstheme="minorHAnsi"/>
                <w:sz w:val="18"/>
                <w:szCs w:val="18"/>
                <w:lang w:val="en-GB" w:eastAsia="en-US"/>
              </w:rPr>
              <w:t xml:space="preserve"> follow-up data and comparative evidence </w:t>
            </w:r>
            <w:r w:rsidRPr="00B55939">
              <w:rPr>
                <w:rFonts w:cstheme="minorHAnsi"/>
                <w:sz w:val="18"/>
                <w:szCs w:val="18"/>
                <w:lang w:val="en-GB" w:eastAsia="en-US"/>
              </w:rPr>
              <w:lastRenderedPageBreak/>
              <w:t xml:space="preserve">comparing </w:t>
            </w:r>
            <w:proofErr w:type="spellStart"/>
            <w:r w:rsidRPr="00B55939">
              <w:rPr>
                <w:rFonts w:cstheme="minorHAnsi"/>
                <w:sz w:val="18"/>
                <w:szCs w:val="18"/>
                <w:lang w:val="en-GB" w:eastAsia="en-US"/>
              </w:rPr>
              <w:t>burosumab</w:t>
            </w:r>
            <w:proofErr w:type="spellEnd"/>
            <w:r w:rsidRPr="00B55939">
              <w:rPr>
                <w:rFonts w:cstheme="minorHAnsi"/>
                <w:sz w:val="18"/>
                <w:szCs w:val="18"/>
                <w:lang w:val="en-GB" w:eastAsia="en-US"/>
              </w:rPr>
              <w:t xml:space="preserve"> with the nominated comparator. </w:t>
            </w:r>
          </w:p>
          <w:p w14:paraId="289DC313" w14:textId="6F24DCB9" w:rsidR="00575F52" w:rsidRPr="00B55939" w:rsidRDefault="00575F52" w:rsidP="00317FE3">
            <w:pPr>
              <w:pStyle w:val="ExecSumBodyText"/>
              <w:numPr>
                <w:ilvl w:val="0"/>
                <w:numId w:val="0"/>
              </w:numPr>
              <w:jc w:val="left"/>
              <w:rPr>
                <w:rFonts w:cstheme="minorHAnsi"/>
                <w:sz w:val="18"/>
                <w:szCs w:val="18"/>
                <w:lang w:val="en-GB" w:eastAsia="en-US"/>
              </w:rPr>
            </w:pPr>
            <w:r w:rsidRPr="00B55939">
              <w:rPr>
                <w:rFonts w:cstheme="minorHAnsi"/>
                <w:sz w:val="18"/>
                <w:szCs w:val="18"/>
                <w:lang w:val="en-GB" w:eastAsia="en-US"/>
              </w:rPr>
              <w:t>The PBAC considered that claim of inferior (and acceptable) safety was supported.</w:t>
            </w:r>
          </w:p>
          <w:p w14:paraId="475176C9" w14:textId="77777777" w:rsidR="00575F52" w:rsidRPr="00B55939" w:rsidRDefault="00575F52" w:rsidP="00317FE3">
            <w:pPr>
              <w:pStyle w:val="ExecSumBodyText"/>
              <w:numPr>
                <w:ilvl w:val="0"/>
                <w:numId w:val="0"/>
              </w:numPr>
              <w:jc w:val="left"/>
              <w:rPr>
                <w:rFonts w:cstheme="minorHAnsi"/>
                <w:sz w:val="18"/>
                <w:szCs w:val="18"/>
                <w:u w:val="single"/>
                <w:lang w:val="en-GB" w:eastAsia="en-US"/>
              </w:rPr>
            </w:pPr>
            <w:r w:rsidRPr="00B55939">
              <w:rPr>
                <w:rFonts w:cstheme="minorHAnsi"/>
                <w:sz w:val="18"/>
                <w:szCs w:val="18"/>
                <w:u w:val="single"/>
                <w:lang w:val="en-GB" w:eastAsia="en-US"/>
              </w:rPr>
              <w:t>Economic claim: cost-utility versus conventional therapy</w:t>
            </w:r>
          </w:p>
          <w:p w14:paraId="36E7F4BA" w14:textId="165F50D6" w:rsidR="00575F52" w:rsidRPr="00B55939" w:rsidRDefault="00575F52" w:rsidP="00575F52">
            <w:pPr>
              <w:keepLines/>
              <w:rPr>
                <w:rFonts w:asciiTheme="minorHAnsi" w:eastAsia="SimSun" w:hAnsiTheme="minorHAnsi" w:cstheme="minorHAnsi"/>
                <w:snapToGrid w:val="0"/>
                <w:color w:val="000000"/>
                <w:sz w:val="18"/>
                <w:szCs w:val="18"/>
                <w:lang w:val="en-GB"/>
              </w:rPr>
            </w:pPr>
            <w:r w:rsidRPr="00B55939">
              <w:rPr>
                <w:rFonts w:asciiTheme="minorHAnsi" w:eastAsia="SimSun" w:hAnsiTheme="minorHAnsi" w:cstheme="minorHAnsi"/>
                <w:snapToGrid w:val="0"/>
                <w:sz w:val="18"/>
                <w:szCs w:val="18"/>
                <w:lang w:val="en-GB"/>
              </w:rPr>
              <w:t xml:space="preserve">The economic analysis was uncertain and the </w:t>
            </w:r>
            <w:r w:rsidR="00E850D4" w:rsidRPr="00B55939">
              <w:rPr>
                <w:rFonts w:asciiTheme="minorHAnsi" w:eastAsia="SimSun" w:hAnsiTheme="minorHAnsi" w:cstheme="minorHAnsi"/>
                <w:snapToGrid w:val="0"/>
                <w:sz w:val="18"/>
                <w:szCs w:val="18"/>
                <w:lang w:val="en-GB"/>
              </w:rPr>
              <w:t>ICER</w:t>
            </w:r>
            <w:r w:rsidRPr="00B55939">
              <w:rPr>
                <w:rFonts w:asciiTheme="minorHAnsi" w:eastAsia="SimSun" w:hAnsiTheme="minorHAnsi" w:cstheme="minorHAnsi"/>
                <w:snapToGrid w:val="0"/>
                <w:sz w:val="18"/>
                <w:szCs w:val="18"/>
                <w:lang w:val="en-GB"/>
              </w:rPr>
              <w:t xml:space="preserve"> was very high and was likely underestimated. </w:t>
            </w:r>
          </w:p>
          <w:p w14:paraId="693C125C" w14:textId="77777777" w:rsidR="00575F52" w:rsidRPr="00E850D4" w:rsidRDefault="00575F52" w:rsidP="00575F52">
            <w:pPr>
              <w:keepLines/>
              <w:rPr>
                <w:rFonts w:asciiTheme="minorHAnsi" w:hAnsiTheme="minorHAnsi" w:cstheme="minorHAnsi"/>
                <w:color w:val="000000"/>
                <w:sz w:val="18"/>
                <w:szCs w:val="18"/>
              </w:rPr>
            </w:pPr>
          </w:p>
          <w:p w14:paraId="7B2D1C17" w14:textId="77777777" w:rsidR="00575F52" w:rsidRDefault="00575F52" w:rsidP="00575F52">
            <w:pPr>
              <w:pStyle w:val="ListParagraph"/>
              <w:keepLines/>
              <w:ind w:left="0"/>
              <w:rPr>
                <w:rFonts w:asciiTheme="minorHAnsi" w:eastAsia="Times New Roman" w:hAnsiTheme="minorHAnsi" w:cstheme="minorHAnsi"/>
                <w:color w:val="000000"/>
                <w:sz w:val="18"/>
                <w:szCs w:val="18"/>
                <w:u w:val="single"/>
              </w:rPr>
            </w:pPr>
            <w:r w:rsidRPr="00B55939">
              <w:rPr>
                <w:rFonts w:asciiTheme="minorHAnsi" w:eastAsia="Times New Roman" w:hAnsiTheme="minorHAnsi" w:cstheme="minorHAnsi"/>
                <w:color w:val="000000"/>
                <w:sz w:val="18"/>
                <w:szCs w:val="18"/>
                <w:u w:val="single"/>
              </w:rPr>
              <w:t>Sponsor Comment:</w:t>
            </w:r>
          </w:p>
          <w:p w14:paraId="0D4C0D2A" w14:textId="6B7E991B" w:rsidR="00164D3D" w:rsidRPr="00E850D4" w:rsidRDefault="00164D3D" w:rsidP="00575F52">
            <w:pPr>
              <w:pStyle w:val="ListParagraph"/>
              <w:keepLines/>
              <w:ind w:left="0"/>
              <w:rPr>
                <w:rFonts w:asciiTheme="minorHAnsi" w:hAnsiTheme="minorHAnsi" w:cstheme="minorHAnsi"/>
                <w:color w:val="000000"/>
                <w:sz w:val="18"/>
                <w:szCs w:val="18"/>
              </w:rPr>
            </w:pPr>
            <w:r w:rsidRPr="00164D3D">
              <w:rPr>
                <w:rFonts w:asciiTheme="minorHAnsi" w:hAnsiTheme="minorHAnsi" w:cstheme="minorHAnsi"/>
                <w:color w:val="000000"/>
                <w:sz w:val="18"/>
                <w:szCs w:val="18"/>
              </w:rPr>
              <w:t xml:space="preserve">While disappointed by the decision of the PBAC not to recommend the reimbursement of </w:t>
            </w:r>
            <w:proofErr w:type="spellStart"/>
            <w:r w:rsidRPr="00164D3D">
              <w:rPr>
                <w:rFonts w:asciiTheme="minorHAnsi" w:hAnsiTheme="minorHAnsi" w:cstheme="minorHAnsi"/>
                <w:color w:val="000000"/>
                <w:sz w:val="18"/>
                <w:szCs w:val="18"/>
              </w:rPr>
              <w:t>Crysvita</w:t>
            </w:r>
            <w:proofErr w:type="spellEnd"/>
            <w:r w:rsidRPr="00164D3D">
              <w:rPr>
                <w:rFonts w:asciiTheme="minorHAnsi" w:hAnsiTheme="minorHAnsi" w:cstheme="minorHAnsi"/>
                <w:color w:val="000000"/>
                <w:sz w:val="18"/>
                <w:szCs w:val="18"/>
              </w:rPr>
              <w:t>® (</w:t>
            </w:r>
            <w:proofErr w:type="spellStart"/>
            <w:r w:rsidRPr="00164D3D">
              <w:rPr>
                <w:rFonts w:asciiTheme="minorHAnsi" w:hAnsiTheme="minorHAnsi" w:cstheme="minorHAnsi"/>
                <w:color w:val="000000"/>
                <w:sz w:val="18"/>
                <w:szCs w:val="18"/>
              </w:rPr>
              <w:t>burosumab</w:t>
            </w:r>
            <w:proofErr w:type="spellEnd"/>
            <w:r w:rsidRPr="00164D3D">
              <w:rPr>
                <w:rFonts w:asciiTheme="minorHAnsi" w:hAnsiTheme="minorHAnsi" w:cstheme="minorHAnsi"/>
                <w:color w:val="000000"/>
                <w:sz w:val="18"/>
                <w:szCs w:val="18"/>
              </w:rPr>
              <w:t xml:space="preserve">) for the treatment of children and adults with X-linked </w:t>
            </w:r>
            <w:proofErr w:type="spellStart"/>
            <w:r w:rsidRPr="00164D3D">
              <w:rPr>
                <w:rFonts w:asciiTheme="minorHAnsi" w:hAnsiTheme="minorHAnsi" w:cstheme="minorHAnsi"/>
                <w:color w:val="000000"/>
                <w:sz w:val="18"/>
                <w:szCs w:val="18"/>
              </w:rPr>
              <w:t>hypophosphataemia</w:t>
            </w:r>
            <w:proofErr w:type="spellEnd"/>
            <w:r w:rsidRPr="00164D3D">
              <w:rPr>
                <w:rFonts w:asciiTheme="minorHAnsi" w:hAnsiTheme="minorHAnsi" w:cstheme="minorHAnsi"/>
                <w:color w:val="000000"/>
                <w:sz w:val="18"/>
                <w:szCs w:val="18"/>
              </w:rPr>
              <w:t xml:space="preserve"> (XLH), Kyowa Kirin considers the offer of an early resolution pathway to be a positive step forward.</w:t>
            </w:r>
          </w:p>
        </w:tc>
      </w:tr>
      <w:tr w:rsidR="00575F52" w:rsidRPr="00567D48" w14:paraId="18B2104A" w14:textId="77777777" w:rsidTr="007128F7">
        <w:trPr>
          <w:cantSplit/>
          <w:trHeight w:val="2948"/>
        </w:trPr>
        <w:tc>
          <w:tcPr>
            <w:tcW w:w="2973" w:type="dxa"/>
            <w:shd w:val="clear" w:color="auto" w:fill="auto"/>
            <w:tcMar>
              <w:top w:w="28" w:type="dxa"/>
              <w:bottom w:w="28" w:type="dxa"/>
            </w:tcMar>
            <w:vAlign w:val="center"/>
          </w:tcPr>
          <w:p w14:paraId="2C5BEBDC" w14:textId="7A1B876D" w:rsidR="00575F52" w:rsidRPr="00B55939" w:rsidRDefault="00575F52" w:rsidP="00575F52">
            <w:pPr>
              <w:keepLines/>
              <w:rPr>
                <w:rFonts w:asciiTheme="minorHAnsi" w:hAnsiTheme="minorHAnsi" w:cstheme="minorHAnsi"/>
                <w:sz w:val="18"/>
                <w:szCs w:val="18"/>
                <w:highlight w:val="yellow"/>
              </w:rPr>
            </w:pPr>
            <w:r w:rsidRPr="00B55939">
              <w:rPr>
                <w:rFonts w:asciiTheme="minorHAnsi" w:hAnsiTheme="minorHAnsi" w:cstheme="minorHAnsi"/>
                <w:color w:val="000000"/>
                <w:sz w:val="18"/>
                <w:szCs w:val="18"/>
              </w:rPr>
              <w:lastRenderedPageBreak/>
              <w:t xml:space="preserve">CABAZITAXEL </w:t>
            </w:r>
            <w:r w:rsidRPr="00B55939">
              <w:rPr>
                <w:rFonts w:asciiTheme="minorHAnsi" w:hAnsiTheme="minorHAnsi" w:cstheme="minorHAnsi"/>
                <w:color w:val="000000"/>
                <w:sz w:val="18"/>
                <w:szCs w:val="18"/>
              </w:rPr>
              <w:br/>
            </w:r>
            <w:r w:rsidRPr="00B55939">
              <w:rPr>
                <w:rFonts w:asciiTheme="minorHAnsi" w:hAnsiTheme="minorHAnsi" w:cstheme="minorHAnsi"/>
                <w:color w:val="000000"/>
                <w:sz w:val="18"/>
                <w:szCs w:val="18"/>
              </w:rPr>
              <w:br/>
              <w:t>Solution concentrate for I.V. infusion 60 mg in 3 mL</w:t>
            </w:r>
            <w:r w:rsidRPr="00B55939">
              <w:rPr>
                <w:rFonts w:asciiTheme="minorHAnsi" w:hAnsiTheme="minorHAnsi" w:cstheme="minorHAnsi"/>
                <w:color w:val="000000"/>
                <w:sz w:val="18"/>
                <w:szCs w:val="18"/>
                <w:highlight w:val="yellow"/>
              </w:rPr>
              <w:br/>
            </w:r>
            <w:r w:rsidRPr="00B55939">
              <w:rPr>
                <w:rFonts w:asciiTheme="minorHAnsi" w:hAnsiTheme="minorHAnsi" w:cstheme="minorHAnsi"/>
                <w:color w:val="000000"/>
                <w:sz w:val="18"/>
                <w:szCs w:val="18"/>
                <w:highlight w:val="yellow"/>
              </w:rPr>
              <w:br/>
            </w:r>
            <w:r w:rsidRPr="00B55939">
              <w:rPr>
                <w:rFonts w:asciiTheme="minorHAnsi" w:hAnsiTheme="minorHAnsi" w:cstheme="minorHAnsi"/>
                <w:color w:val="000000"/>
                <w:sz w:val="18"/>
                <w:szCs w:val="18"/>
              </w:rPr>
              <w:t>Cabazitaxel Accord®</w:t>
            </w:r>
            <w:r w:rsidRPr="00B55939">
              <w:rPr>
                <w:rFonts w:asciiTheme="minorHAnsi" w:hAnsiTheme="minorHAnsi" w:cstheme="minorHAnsi"/>
                <w:color w:val="000000"/>
                <w:sz w:val="18"/>
                <w:szCs w:val="18"/>
              </w:rPr>
              <w:br/>
            </w:r>
            <w:r w:rsidRPr="00B55939">
              <w:rPr>
                <w:rFonts w:asciiTheme="minorHAnsi" w:hAnsiTheme="minorHAnsi" w:cstheme="minorHAnsi"/>
                <w:color w:val="000000"/>
                <w:sz w:val="18"/>
                <w:szCs w:val="18"/>
              </w:rPr>
              <w:br/>
            </w:r>
            <w:proofErr w:type="spellStart"/>
            <w:r w:rsidRPr="00B55939">
              <w:rPr>
                <w:rFonts w:asciiTheme="minorHAnsi" w:hAnsiTheme="minorHAnsi" w:cstheme="minorHAnsi"/>
                <w:color w:val="000000"/>
                <w:sz w:val="18"/>
                <w:szCs w:val="18"/>
              </w:rPr>
              <w:t>Accord</w:t>
            </w:r>
            <w:proofErr w:type="spellEnd"/>
            <w:r w:rsidRPr="00B55939">
              <w:rPr>
                <w:rFonts w:asciiTheme="minorHAnsi" w:hAnsiTheme="minorHAnsi" w:cstheme="minorHAnsi"/>
                <w:color w:val="000000"/>
                <w:sz w:val="18"/>
                <w:szCs w:val="18"/>
              </w:rPr>
              <w:t xml:space="preserve"> Healthcare Pty. Ltd.</w:t>
            </w:r>
            <w:r w:rsidRPr="00B55939">
              <w:rPr>
                <w:rFonts w:asciiTheme="minorHAnsi" w:hAnsiTheme="minorHAnsi" w:cstheme="minorHAnsi"/>
                <w:color w:val="000000"/>
                <w:sz w:val="18"/>
                <w:szCs w:val="18"/>
                <w:highlight w:val="yellow"/>
              </w:rPr>
              <w:br/>
            </w:r>
            <w:r w:rsidRPr="00B55939">
              <w:rPr>
                <w:rFonts w:asciiTheme="minorHAnsi" w:hAnsiTheme="minorHAnsi" w:cstheme="minorHAnsi"/>
                <w:color w:val="000000"/>
                <w:sz w:val="18"/>
                <w:szCs w:val="18"/>
                <w:highlight w:val="yellow"/>
              </w:rPr>
              <w:br/>
            </w:r>
            <w:r w:rsidRPr="00B55939">
              <w:rPr>
                <w:rFonts w:asciiTheme="minorHAnsi" w:hAnsiTheme="minorHAnsi" w:cstheme="minorHAnsi"/>
                <w:color w:val="000000"/>
                <w:sz w:val="18"/>
                <w:szCs w:val="18"/>
              </w:rPr>
              <w:t>Committee secretariat submission</w:t>
            </w:r>
            <w:r w:rsidRPr="00B55939">
              <w:rPr>
                <w:rFonts w:asciiTheme="minorHAnsi" w:hAnsiTheme="minorHAnsi" w:cstheme="minorHAnsi"/>
                <w:color w:val="000000"/>
                <w:sz w:val="18"/>
                <w:szCs w:val="18"/>
              </w:rPr>
              <w:br/>
              <w:t>(New PBS listing)</w:t>
            </w:r>
          </w:p>
        </w:tc>
        <w:tc>
          <w:tcPr>
            <w:tcW w:w="2491" w:type="dxa"/>
            <w:shd w:val="clear" w:color="auto" w:fill="auto"/>
            <w:vAlign w:val="center"/>
          </w:tcPr>
          <w:p w14:paraId="5D7425AC" w14:textId="413ED33A" w:rsidR="00575F52" w:rsidRPr="000F0297" w:rsidRDefault="00575F52" w:rsidP="00575F52">
            <w:pPr>
              <w:keepLines/>
              <w:widowControl w:val="0"/>
              <w:rPr>
                <w:rFonts w:asciiTheme="minorHAnsi" w:hAnsiTheme="minorHAnsi" w:cstheme="minorHAnsi"/>
                <w:snapToGrid w:val="0"/>
                <w:sz w:val="18"/>
                <w:szCs w:val="18"/>
                <w:lang w:eastAsia="en-US"/>
              </w:rPr>
            </w:pPr>
            <w:r w:rsidRPr="00B55939">
              <w:rPr>
                <w:rFonts w:asciiTheme="minorHAnsi" w:hAnsiTheme="minorHAnsi" w:cstheme="minorHAnsi"/>
                <w:color w:val="000000"/>
                <w:sz w:val="18"/>
                <w:szCs w:val="18"/>
              </w:rPr>
              <w:t>Prostate cancer</w:t>
            </w:r>
          </w:p>
        </w:tc>
        <w:tc>
          <w:tcPr>
            <w:tcW w:w="3887" w:type="dxa"/>
            <w:shd w:val="clear" w:color="auto" w:fill="auto"/>
            <w:tcMar>
              <w:top w:w="28" w:type="dxa"/>
              <w:bottom w:w="28" w:type="dxa"/>
            </w:tcMar>
            <w:vAlign w:val="center"/>
          </w:tcPr>
          <w:p w14:paraId="4BD60DA7" w14:textId="223A2E2A"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B55939">
              <w:rPr>
                <w:rFonts w:asciiTheme="minorHAnsi" w:hAnsiTheme="minorHAnsi" w:cstheme="minorHAnsi"/>
                <w:color w:val="000000"/>
                <w:sz w:val="18"/>
                <w:szCs w:val="18"/>
              </w:rPr>
              <w:t xml:space="preserve">To request a Section 100 (Efficient Funding of Chemotherapy Program) listing of a new form under the same conditions as the currently listed brands of cabazitaxel. </w:t>
            </w:r>
          </w:p>
        </w:tc>
        <w:tc>
          <w:tcPr>
            <w:tcW w:w="1984" w:type="dxa"/>
            <w:shd w:val="clear" w:color="auto" w:fill="auto"/>
            <w:vAlign w:val="center"/>
          </w:tcPr>
          <w:p w14:paraId="6DD69529" w14:textId="2D09CFC9" w:rsidR="00575F52" w:rsidRPr="00B55939" w:rsidRDefault="00575F52" w:rsidP="00575F52">
            <w:pPr>
              <w:pStyle w:val="ListParagraph"/>
              <w:keepLines/>
              <w:ind w:left="0"/>
              <w:rPr>
                <w:rFonts w:asciiTheme="minorHAnsi" w:hAnsiTheme="minorHAnsi" w:cstheme="minorHAnsi"/>
                <w:snapToGrid w:val="0"/>
                <w:sz w:val="18"/>
                <w:szCs w:val="18"/>
                <w:highlight w:val="yellow"/>
                <w:lang w:eastAsia="en-US"/>
              </w:rPr>
            </w:pPr>
            <w:r w:rsidRPr="00B55939">
              <w:rPr>
                <w:rFonts w:asciiTheme="minorHAnsi" w:hAnsiTheme="minorHAnsi" w:cstheme="minorHAnsi"/>
                <w:color w:val="000000"/>
                <w:sz w:val="18"/>
                <w:szCs w:val="18"/>
              </w:rPr>
              <w:t>Recommended</w:t>
            </w:r>
          </w:p>
        </w:tc>
        <w:tc>
          <w:tcPr>
            <w:tcW w:w="4053" w:type="dxa"/>
            <w:shd w:val="clear" w:color="auto" w:fill="auto"/>
            <w:vAlign w:val="center"/>
          </w:tcPr>
          <w:p w14:paraId="5C252966" w14:textId="6C316394" w:rsidR="00575F52" w:rsidRPr="00B55939" w:rsidRDefault="00575F52" w:rsidP="00575F52">
            <w:pPr>
              <w:pStyle w:val="ListParagraph"/>
              <w:keepLines/>
              <w:ind w:left="0"/>
              <w:rPr>
                <w:rFonts w:asciiTheme="minorHAnsi" w:hAnsiTheme="minorHAnsi" w:cstheme="minorHAnsi"/>
                <w:color w:val="000000"/>
                <w:sz w:val="18"/>
                <w:szCs w:val="18"/>
                <w:highlight w:val="yellow"/>
              </w:rPr>
            </w:pPr>
            <w:r w:rsidRPr="00B55939">
              <w:rPr>
                <w:rFonts w:asciiTheme="minorHAnsi" w:hAnsiTheme="minorHAnsi" w:cstheme="minorHAnsi"/>
                <w:color w:val="000000"/>
                <w:sz w:val="18"/>
                <w:szCs w:val="18"/>
              </w:rPr>
              <w:t xml:space="preserve">The PBAC recommended the Section 100 (Efficient Funding of Chemotherapy) listing of a new form of cabazitaxel (Cabazitaxel Accord) under the same circumstances as the currently listed brands of cabazitaxel for treatment of castration resistant metastatic carcinoma of the prostate. </w:t>
            </w:r>
          </w:p>
        </w:tc>
      </w:tr>
      <w:tr w:rsidR="00575F52" w:rsidRPr="00567D48" w14:paraId="07439961" w14:textId="77777777" w:rsidTr="00251E7D">
        <w:trPr>
          <w:cantSplit/>
          <w:trHeight w:val="1368"/>
        </w:trPr>
        <w:tc>
          <w:tcPr>
            <w:tcW w:w="2973" w:type="dxa"/>
            <w:shd w:val="clear" w:color="auto" w:fill="auto"/>
            <w:tcMar>
              <w:top w:w="28" w:type="dxa"/>
              <w:bottom w:w="28" w:type="dxa"/>
            </w:tcMar>
            <w:vAlign w:val="center"/>
          </w:tcPr>
          <w:p w14:paraId="691DEB57" w14:textId="322C0824" w:rsidR="00575F52" w:rsidRPr="00B55939" w:rsidRDefault="00575F52" w:rsidP="00251E7D">
            <w:pPr>
              <w:keepLines/>
              <w:rPr>
                <w:rFonts w:asciiTheme="minorHAnsi" w:hAnsiTheme="minorHAnsi" w:cstheme="minorHAnsi"/>
                <w:sz w:val="18"/>
                <w:szCs w:val="18"/>
                <w:highlight w:val="yellow"/>
              </w:rPr>
            </w:pPr>
            <w:r w:rsidRPr="00B55939">
              <w:rPr>
                <w:rFonts w:asciiTheme="minorHAnsi" w:hAnsiTheme="minorHAnsi" w:cstheme="minorHAnsi"/>
                <w:color w:val="000000"/>
                <w:sz w:val="18"/>
                <w:szCs w:val="18"/>
              </w:rPr>
              <w:lastRenderedPageBreak/>
              <w:t xml:space="preserve">CANNABIDIOL </w:t>
            </w:r>
            <w:r w:rsidRPr="00B55939">
              <w:rPr>
                <w:rFonts w:asciiTheme="minorHAnsi" w:hAnsiTheme="minorHAnsi" w:cstheme="minorHAnsi"/>
                <w:color w:val="000000"/>
                <w:sz w:val="18"/>
                <w:szCs w:val="18"/>
              </w:rPr>
              <w:br/>
            </w:r>
            <w:r w:rsidRPr="00B55939">
              <w:rPr>
                <w:rFonts w:asciiTheme="minorHAnsi" w:hAnsiTheme="minorHAnsi" w:cstheme="minorHAnsi"/>
                <w:color w:val="000000"/>
                <w:sz w:val="18"/>
                <w:szCs w:val="18"/>
              </w:rPr>
              <w:br/>
              <w:t>Oral liquid 100 mg per mL, 100 mL</w:t>
            </w:r>
            <w:r w:rsidRPr="00B55939">
              <w:rPr>
                <w:rFonts w:asciiTheme="minorHAnsi" w:hAnsiTheme="minorHAnsi" w:cstheme="minorHAnsi"/>
                <w:color w:val="000000"/>
                <w:sz w:val="18"/>
                <w:szCs w:val="18"/>
              </w:rPr>
              <w:br/>
            </w:r>
            <w:r w:rsidRPr="00B55939">
              <w:rPr>
                <w:rFonts w:asciiTheme="minorHAnsi" w:hAnsiTheme="minorHAnsi" w:cstheme="minorHAnsi"/>
                <w:color w:val="000000"/>
                <w:sz w:val="18"/>
                <w:szCs w:val="18"/>
              </w:rPr>
              <w:br/>
            </w:r>
            <w:proofErr w:type="spellStart"/>
            <w:r w:rsidRPr="00B55939">
              <w:rPr>
                <w:rFonts w:asciiTheme="minorHAnsi" w:hAnsiTheme="minorHAnsi" w:cstheme="minorHAnsi"/>
                <w:color w:val="000000"/>
                <w:sz w:val="18"/>
                <w:szCs w:val="18"/>
              </w:rPr>
              <w:t>Epidyolex</w:t>
            </w:r>
            <w:proofErr w:type="spellEnd"/>
            <w:r w:rsidRPr="00B55939">
              <w:rPr>
                <w:rFonts w:asciiTheme="minorHAnsi" w:hAnsiTheme="minorHAnsi" w:cstheme="minorHAnsi"/>
                <w:color w:val="000000"/>
                <w:sz w:val="18"/>
                <w:szCs w:val="18"/>
              </w:rPr>
              <w:t>®</w:t>
            </w:r>
            <w:r w:rsidRPr="00B55939">
              <w:rPr>
                <w:rFonts w:asciiTheme="minorHAnsi" w:hAnsiTheme="minorHAnsi" w:cstheme="minorHAnsi"/>
                <w:color w:val="000000"/>
                <w:sz w:val="18"/>
                <w:szCs w:val="18"/>
              </w:rPr>
              <w:br/>
            </w:r>
            <w:r w:rsidRPr="00B55939">
              <w:rPr>
                <w:rFonts w:asciiTheme="minorHAnsi" w:hAnsiTheme="minorHAnsi" w:cstheme="minorHAnsi"/>
                <w:color w:val="000000"/>
                <w:sz w:val="18"/>
                <w:szCs w:val="18"/>
              </w:rPr>
              <w:br/>
              <w:t>Chiesi Australia Pty Ltd</w:t>
            </w:r>
            <w:r w:rsidRPr="00B55939">
              <w:rPr>
                <w:rFonts w:asciiTheme="minorHAnsi" w:hAnsiTheme="minorHAnsi" w:cstheme="minorHAnsi"/>
                <w:color w:val="000000"/>
                <w:sz w:val="18"/>
                <w:szCs w:val="18"/>
                <w:highlight w:val="yellow"/>
              </w:rPr>
              <w:br/>
            </w:r>
            <w:r w:rsidRPr="00B55939">
              <w:rPr>
                <w:rFonts w:asciiTheme="minorHAnsi" w:hAnsiTheme="minorHAnsi" w:cstheme="minorHAnsi"/>
                <w:color w:val="000000"/>
                <w:sz w:val="18"/>
                <w:szCs w:val="18"/>
                <w:highlight w:val="yellow"/>
              </w:rPr>
              <w:br/>
            </w:r>
            <w:r w:rsidR="006F3C48">
              <w:rPr>
                <w:rFonts w:asciiTheme="minorHAnsi" w:hAnsiTheme="minorHAnsi" w:cstheme="minorHAnsi"/>
                <w:color w:val="000000"/>
                <w:sz w:val="18"/>
                <w:szCs w:val="18"/>
              </w:rPr>
              <w:t xml:space="preserve">Standard </w:t>
            </w:r>
            <w:r w:rsidR="00251E7D">
              <w:rPr>
                <w:rFonts w:asciiTheme="minorHAnsi" w:hAnsiTheme="minorHAnsi" w:cstheme="minorHAnsi"/>
                <w:color w:val="000000"/>
                <w:sz w:val="18"/>
                <w:szCs w:val="18"/>
              </w:rPr>
              <w:t>re-entry</w:t>
            </w:r>
            <w:r w:rsidRPr="00B55939">
              <w:rPr>
                <w:rFonts w:asciiTheme="minorHAnsi" w:hAnsiTheme="minorHAnsi" w:cstheme="minorHAnsi"/>
                <w:color w:val="000000"/>
                <w:sz w:val="18"/>
                <w:szCs w:val="18"/>
              </w:rPr>
              <w:t xml:space="preserve"> submission</w:t>
            </w:r>
            <w:r w:rsidRPr="00B55939">
              <w:rPr>
                <w:rFonts w:asciiTheme="minorHAnsi" w:hAnsiTheme="minorHAnsi" w:cstheme="minorHAnsi"/>
                <w:color w:val="000000"/>
                <w:sz w:val="18"/>
                <w:szCs w:val="18"/>
                <w:highlight w:val="yellow"/>
              </w:rPr>
              <w:br/>
            </w:r>
            <w:r w:rsidRPr="00B55939">
              <w:rPr>
                <w:rFonts w:asciiTheme="minorHAnsi" w:hAnsiTheme="minorHAnsi" w:cstheme="minorHAnsi"/>
                <w:color w:val="000000"/>
                <w:sz w:val="18"/>
                <w:szCs w:val="18"/>
              </w:rPr>
              <w:t>(Change to PBS listing)</w:t>
            </w:r>
          </w:p>
        </w:tc>
        <w:tc>
          <w:tcPr>
            <w:tcW w:w="2491" w:type="dxa"/>
            <w:shd w:val="clear" w:color="auto" w:fill="auto"/>
            <w:vAlign w:val="center"/>
          </w:tcPr>
          <w:p w14:paraId="3BDA53D4" w14:textId="3A21BC9F" w:rsidR="00575F52" w:rsidRPr="00B55939" w:rsidRDefault="00575F52" w:rsidP="00575F52">
            <w:pPr>
              <w:keepLines/>
              <w:widowControl w:val="0"/>
              <w:rPr>
                <w:rFonts w:asciiTheme="minorHAnsi" w:hAnsiTheme="minorHAnsi" w:cstheme="minorHAnsi"/>
                <w:snapToGrid w:val="0"/>
                <w:sz w:val="18"/>
                <w:szCs w:val="18"/>
                <w:highlight w:val="yellow"/>
                <w:lang w:eastAsia="en-US"/>
              </w:rPr>
            </w:pPr>
            <w:r w:rsidRPr="00B55939">
              <w:rPr>
                <w:rFonts w:asciiTheme="minorHAnsi" w:hAnsiTheme="minorHAnsi" w:cstheme="minorHAnsi"/>
                <w:color w:val="000000"/>
                <w:sz w:val="18"/>
                <w:szCs w:val="18"/>
              </w:rPr>
              <w:t>Lennox-</w:t>
            </w:r>
            <w:proofErr w:type="spellStart"/>
            <w:r w:rsidRPr="00B55939">
              <w:rPr>
                <w:rFonts w:asciiTheme="minorHAnsi" w:hAnsiTheme="minorHAnsi" w:cstheme="minorHAnsi"/>
                <w:color w:val="000000"/>
                <w:sz w:val="18"/>
                <w:szCs w:val="18"/>
              </w:rPr>
              <w:t>Gastaut</w:t>
            </w:r>
            <w:proofErr w:type="spellEnd"/>
            <w:r w:rsidRPr="00B55939">
              <w:rPr>
                <w:rFonts w:asciiTheme="minorHAnsi" w:hAnsiTheme="minorHAnsi" w:cstheme="minorHAnsi"/>
                <w:color w:val="000000"/>
                <w:sz w:val="18"/>
                <w:szCs w:val="18"/>
              </w:rPr>
              <w:t xml:space="preserve"> syndrome</w:t>
            </w:r>
          </w:p>
        </w:tc>
        <w:tc>
          <w:tcPr>
            <w:tcW w:w="3887" w:type="dxa"/>
            <w:shd w:val="clear" w:color="auto" w:fill="auto"/>
            <w:tcMar>
              <w:top w:w="28" w:type="dxa"/>
              <w:bottom w:w="28" w:type="dxa"/>
            </w:tcMar>
            <w:vAlign w:val="center"/>
          </w:tcPr>
          <w:p w14:paraId="41CEC315" w14:textId="18ECA104" w:rsidR="00575F52" w:rsidRPr="00B55939" w:rsidRDefault="00575F52" w:rsidP="00575F52">
            <w:pPr>
              <w:pStyle w:val="ListParagraph"/>
              <w:keepLines/>
              <w:ind w:left="0"/>
              <w:rPr>
                <w:rFonts w:asciiTheme="minorHAnsi" w:hAnsiTheme="minorHAnsi" w:cstheme="minorHAnsi"/>
                <w:snapToGrid w:val="0"/>
                <w:sz w:val="18"/>
                <w:szCs w:val="18"/>
                <w:highlight w:val="yellow"/>
                <w:lang w:eastAsia="en-US"/>
              </w:rPr>
            </w:pPr>
            <w:r w:rsidRPr="00B55939">
              <w:rPr>
                <w:rFonts w:asciiTheme="minorHAnsi" w:hAnsiTheme="minorHAnsi" w:cstheme="minorHAnsi"/>
                <w:color w:val="000000"/>
                <w:sz w:val="18"/>
                <w:szCs w:val="18"/>
              </w:rPr>
              <w:t>To request that the PBAC reconsider a General Schedule Authority Required listing for the adjunctive treatment of seizures in patients with Lennox-</w:t>
            </w:r>
            <w:proofErr w:type="spellStart"/>
            <w:r w:rsidRPr="00B55939">
              <w:rPr>
                <w:rFonts w:asciiTheme="minorHAnsi" w:hAnsiTheme="minorHAnsi" w:cstheme="minorHAnsi"/>
                <w:color w:val="000000"/>
                <w:sz w:val="18"/>
                <w:szCs w:val="18"/>
              </w:rPr>
              <w:t>Gastaut</w:t>
            </w:r>
            <w:proofErr w:type="spellEnd"/>
            <w:r w:rsidRPr="00B55939">
              <w:rPr>
                <w:rFonts w:asciiTheme="minorHAnsi" w:hAnsiTheme="minorHAnsi" w:cstheme="minorHAnsi"/>
                <w:color w:val="000000"/>
                <w:sz w:val="18"/>
                <w:szCs w:val="18"/>
              </w:rPr>
              <w:t xml:space="preserve"> syndrome (LGS) aged 2 years and older.</w:t>
            </w:r>
          </w:p>
        </w:tc>
        <w:tc>
          <w:tcPr>
            <w:tcW w:w="1984" w:type="dxa"/>
            <w:shd w:val="clear" w:color="auto" w:fill="auto"/>
            <w:vAlign w:val="center"/>
          </w:tcPr>
          <w:p w14:paraId="341ED904" w14:textId="389B840F" w:rsidR="00575F52" w:rsidRPr="00B55939" w:rsidRDefault="00575F52" w:rsidP="00575F52">
            <w:pPr>
              <w:pStyle w:val="ListParagraph"/>
              <w:keepLines/>
              <w:ind w:left="0"/>
              <w:rPr>
                <w:rFonts w:asciiTheme="minorHAnsi" w:hAnsiTheme="minorHAnsi" w:cstheme="minorHAnsi"/>
                <w:snapToGrid w:val="0"/>
                <w:sz w:val="18"/>
                <w:szCs w:val="18"/>
                <w:highlight w:val="yellow"/>
                <w:lang w:eastAsia="en-US"/>
              </w:rPr>
            </w:pPr>
            <w:r w:rsidRPr="00B55939">
              <w:rPr>
                <w:rFonts w:asciiTheme="minorHAnsi" w:hAnsiTheme="minorHAnsi" w:cstheme="minorHAnsi"/>
                <w:color w:val="000000"/>
                <w:sz w:val="18"/>
                <w:szCs w:val="18"/>
              </w:rPr>
              <w:t>Not Recommended</w:t>
            </w:r>
          </w:p>
        </w:tc>
        <w:tc>
          <w:tcPr>
            <w:tcW w:w="4053" w:type="dxa"/>
            <w:shd w:val="clear" w:color="auto" w:fill="auto"/>
            <w:vAlign w:val="center"/>
          </w:tcPr>
          <w:p w14:paraId="57941151" w14:textId="77777777" w:rsidR="001242F1" w:rsidRPr="00B55939" w:rsidRDefault="001242F1" w:rsidP="001242F1">
            <w:pPr>
              <w:rPr>
                <w:rFonts w:asciiTheme="minorHAnsi" w:hAnsiTheme="minorHAnsi" w:cstheme="minorHAnsi"/>
                <w:sz w:val="18"/>
                <w:szCs w:val="18"/>
              </w:rPr>
            </w:pPr>
            <w:r w:rsidRPr="00B55939">
              <w:rPr>
                <w:rFonts w:asciiTheme="minorHAnsi" w:hAnsiTheme="minorHAnsi" w:cstheme="minorHAnsi"/>
                <w:sz w:val="18"/>
                <w:szCs w:val="18"/>
              </w:rPr>
              <w:t>The PBAC did not recommend the listing of cannabidiol for the treatment of LGS in patients who have not achieved adequate seizure control with at least two other anti-epileptic drugs (AEDs), as the incremental cost effectiveness ratio (ICER) was high and uncertain at the requested price.</w:t>
            </w:r>
          </w:p>
          <w:p w14:paraId="66693E58" w14:textId="57203FD5" w:rsidR="001242F1" w:rsidRDefault="001242F1" w:rsidP="001242F1">
            <w:pPr>
              <w:rPr>
                <w:rFonts w:asciiTheme="minorHAnsi" w:hAnsiTheme="minorHAnsi" w:cstheme="minorHAnsi"/>
                <w:color w:val="000000"/>
                <w:sz w:val="18"/>
                <w:szCs w:val="18"/>
              </w:rPr>
            </w:pPr>
          </w:p>
          <w:p w14:paraId="2A881A29" w14:textId="6269D252" w:rsidR="00251E7D" w:rsidRPr="00251E7D" w:rsidRDefault="00251E7D" w:rsidP="00251E7D">
            <w:pPr>
              <w:pStyle w:val="ExecSumBodyText"/>
              <w:numPr>
                <w:ilvl w:val="0"/>
                <w:numId w:val="0"/>
              </w:numPr>
              <w:jc w:val="left"/>
              <w:rPr>
                <w:rFonts w:cstheme="minorHAnsi"/>
                <w:sz w:val="18"/>
                <w:szCs w:val="18"/>
                <w:lang w:eastAsia="en-US"/>
              </w:rPr>
            </w:pPr>
            <w:r w:rsidRPr="00251E7D">
              <w:rPr>
                <w:rFonts w:cstheme="minorHAnsi"/>
                <w:sz w:val="18"/>
                <w:szCs w:val="18"/>
                <w:lang w:eastAsia="en-US"/>
              </w:rPr>
              <w:t xml:space="preserve">The previous submission was considered in </w:t>
            </w:r>
            <w:r w:rsidR="00F64E0F">
              <w:rPr>
                <w:rFonts w:cstheme="minorHAnsi"/>
                <w:sz w:val="18"/>
                <w:szCs w:val="18"/>
                <w:lang w:eastAsia="en-US"/>
              </w:rPr>
              <w:t xml:space="preserve">July 2020 and </w:t>
            </w:r>
            <w:r w:rsidRPr="00251E7D">
              <w:rPr>
                <w:rFonts w:cstheme="minorHAnsi"/>
                <w:sz w:val="18"/>
                <w:szCs w:val="18"/>
                <w:lang w:eastAsia="en-US"/>
              </w:rPr>
              <w:t xml:space="preserve">November 2020. </w:t>
            </w:r>
          </w:p>
          <w:p w14:paraId="564C34FF" w14:textId="77777777" w:rsidR="00251E7D" w:rsidRPr="00B55939" w:rsidRDefault="00251E7D" w:rsidP="001242F1">
            <w:pPr>
              <w:rPr>
                <w:rFonts w:asciiTheme="minorHAnsi" w:hAnsiTheme="minorHAnsi" w:cstheme="minorHAnsi"/>
                <w:color w:val="000000"/>
                <w:sz w:val="18"/>
                <w:szCs w:val="18"/>
              </w:rPr>
            </w:pPr>
          </w:p>
          <w:p w14:paraId="6E89A1B7" w14:textId="4C07F226" w:rsidR="001242F1" w:rsidRPr="00B55939" w:rsidRDefault="001242F1" w:rsidP="001242F1">
            <w:pPr>
              <w:rPr>
                <w:rFonts w:asciiTheme="minorHAnsi" w:hAnsiTheme="minorHAnsi" w:cstheme="minorHAnsi"/>
                <w:sz w:val="18"/>
                <w:szCs w:val="18"/>
              </w:rPr>
            </w:pPr>
            <w:r w:rsidRPr="00B55939">
              <w:rPr>
                <w:rFonts w:asciiTheme="minorHAnsi" w:hAnsiTheme="minorHAnsi" w:cstheme="minorHAnsi"/>
                <w:sz w:val="18"/>
                <w:szCs w:val="18"/>
                <w:u w:val="single"/>
              </w:rPr>
              <w:t>Comparator: Standard care</w:t>
            </w:r>
            <w:r w:rsidRPr="00B55939">
              <w:rPr>
                <w:rFonts w:asciiTheme="minorHAnsi" w:hAnsiTheme="minorHAnsi" w:cstheme="minorHAnsi"/>
                <w:color w:val="000000"/>
                <w:sz w:val="18"/>
                <w:szCs w:val="18"/>
                <w:u w:val="single"/>
              </w:rPr>
              <w:t xml:space="preserve"> (</w:t>
            </w:r>
            <w:r w:rsidRPr="00B55939">
              <w:rPr>
                <w:rFonts w:asciiTheme="minorHAnsi" w:hAnsiTheme="minorHAnsi" w:cstheme="minorHAnsi"/>
                <w:sz w:val="18"/>
                <w:szCs w:val="18"/>
                <w:u w:val="single"/>
              </w:rPr>
              <w:t>unchanged from previous submission</w:t>
            </w:r>
            <w:r w:rsidR="00706DF0">
              <w:rPr>
                <w:rFonts w:asciiTheme="minorHAnsi" w:hAnsiTheme="minorHAnsi" w:cstheme="minorHAnsi"/>
                <w:sz w:val="18"/>
                <w:szCs w:val="18"/>
                <w:u w:val="single"/>
              </w:rPr>
              <w:t>)</w:t>
            </w:r>
            <w:r w:rsidRPr="00B55939">
              <w:rPr>
                <w:rFonts w:asciiTheme="minorHAnsi" w:hAnsiTheme="minorHAnsi" w:cstheme="minorHAnsi"/>
                <w:sz w:val="18"/>
                <w:szCs w:val="18"/>
                <w:u w:val="single"/>
              </w:rPr>
              <w:t>.</w:t>
            </w:r>
            <w:r w:rsidRPr="00B55939">
              <w:rPr>
                <w:rFonts w:asciiTheme="minorHAnsi" w:hAnsiTheme="minorHAnsi" w:cstheme="minorHAnsi"/>
                <w:sz w:val="18"/>
                <w:szCs w:val="18"/>
              </w:rPr>
              <w:t xml:space="preserve"> </w:t>
            </w:r>
          </w:p>
          <w:p w14:paraId="310DCAF7" w14:textId="77777777" w:rsidR="001242F1" w:rsidRPr="00B55939" w:rsidRDefault="001242F1" w:rsidP="00251E7D">
            <w:pPr>
              <w:spacing w:before="120"/>
              <w:rPr>
                <w:rFonts w:asciiTheme="minorHAnsi" w:hAnsiTheme="minorHAnsi" w:cstheme="minorHAnsi"/>
                <w:color w:val="000000"/>
                <w:sz w:val="18"/>
                <w:szCs w:val="18"/>
                <w:u w:val="single"/>
              </w:rPr>
            </w:pPr>
            <w:r w:rsidRPr="00B55939">
              <w:rPr>
                <w:rFonts w:asciiTheme="minorHAnsi" w:hAnsiTheme="minorHAnsi" w:cstheme="minorHAnsi"/>
                <w:sz w:val="18"/>
                <w:szCs w:val="18"/>
              </w:rPr>
              <w:t>The PBAC reaffirmed this was reasonable.</w:t>
            </w:r>
          </w:p>
          <w:p w14:paraId="79302557" w14:textId="77777777" w:rsidR="001242F1" w:rsidRPr="00B55939" w:rsidRDefault="001242F1" w:rsidP="001242F1">
            <w:pPr>
              <w:rPr>
                <w:rFonts w:asciiTheme="minorHAnsi" w:hAnsiTheme="minorHAnsi" w:cstheme="minorHAnsi"/>
                <w:color w:val="000000"/>
                <w:sz w:val="18"/>
                <w:szCs w:val="18"/>
              </w:rPr>
            </w:pPr>
          </w:p>
          <w:p w14:paraId="471582FA" w14:textId="77777777" w:rsidR="001242F1" w:rsidRPr="00B55939" w:rsidRDefault="001242F1" w:rsidP="001242F1">
            <w:pPr>
              <w:rPr>
                <w:rFonts w:asciiTheme="minorHAnsi" w:hAnsiTheme="minorHAnsi" w:cstheme="minorHAnsi"/>
                <w:sz w:val="18"/>
                <w:szCs w:val="18"/>
                <w:u w:val="single"/>
              </w:rPr>
            </w:pPr>
            <w:r w:rsidRPr="00B55939">
              <w:rPr>
                <w:rFonts w:asciiTheme="minorHAnsi" w:hAnsiTheme="minorHAnsi" w:cstheme="minorHAnsi"/>
                <w:sz w:val="18"/>
                <w:szCs w:val="18"/>
                <w:u w:val="single"/>
              </w:rPr>
              <w:t xml:space="preserve">Clinical claim: Cannabidiol plus standard care is superior in terms of comparative effectiveness and inferior comparative safety to placebo plus standard care (unchanged from previous submission). </w:t>
            </w:r>
          </w:p>
          <w:p w14:paraId="1F4E7AC7" w14:textId="77777777" w:rsidR="001242F1" w:rsidRPr="00B55939" w:rsidRDefault="001242F1" w:rsidP="00251E7D">
            <w:pPr>
              <w:spacing w:before="120"/>
              <w:rPr>
                <w:rFonts w:asciiTheme="minorHAnsi" w:hAnsiTheme="minorHAnsi" w:cstheme="minorHAnsi"/>
                <w:sz w:val="18"/>
                <w:szCs w:val="18"/>
              </w:rPr>
            </w:pPr>
            <w:r w:rsidRPr="00B55939">
              <w:rPr>
                <w:rFonts w:asciiTheme="minorHAnsi" w:hAnsiTheme="minorHAnsi" w:cstheme="minorHAnsi"/>
                <w:sz w:val="18"/>
                <w:szCs w:val="18"/>
              </w:rPr>
              <w:t xml:space="preserve">The PBAC reaffirmed its previous advice that cannabidiol appears to be effective for the treatment of seizures in LGS. </w:t>
            </w:r>
          </w:p>
          <w:p w14:paraId="20C8E27C" w14:textId="77777777" w:rsidR="001242F1" w:rsidRPr="00B55939" w:rsidRDefault="001242F1" w:rsidP="001242F1">
            <w:pPr>
              <w:rPr>
                <w:rFonts w:asciiTheme="minorHAnsi" w:hAnsiTheme="minorHAnsi" w:cstheme="minorHAnsi"/>
                <w:sz w:val="18"/>
                <w:szCs w:val="18"/>
              </w:rPr>
            </w:pPr>
          </w:p>
          <w:p w14:paraId="55A57FBE" w14:textId="77777777" w:rsidR="001242F1" w:rsidRPr="00B55939" w:rsidRDefault="001242F1" w:rsidP="001242F1">
            <w:pPr>
              <w:rPr>
                <w:rFonts w:asciiTheme="minorHAnsi" w:hAnsiTheme="minorHAnsi" w:cstheme="minorHAnsi"/>
                <w:sz w:val="18"/>
                <w:szCs w:val="18"/>
              </w:rPr>
            </w:pPr>
            <w:r w:rsidRPr="00B55939">
              <w:rPr>
                <w:rFonts w:asciiTheme="minorHAnsi" w:hAnsiTheme="minorHAnsi" w:cstheme="minorHAnsi"/>
                <w:sz w:val="18"/>
                <w:szCs w:val="18"/>
              </w:rPr>
              <w:t>The PBAC reaffirmed its previous advice that cannabidiol was of inferior comparative safety to placebo.</w:t>
            </w:r>
          </w:p>
          <w:p w14:paraId="49228DEA" w14:textId="77777777" w:rsidR="001242F1" w:rsidRPr="00B55939" w:rsidRDefault="001242F1" w:rsidP="001242F1">
            <w:pPr>
              <w:rPr>
                <w:rFonts w:asciiTheme="minorHAnsi" w:hAnsiTheme="minorHAnsi" w:cstheme="minorHAnsi"/>
                <w:color w:val="000000"/>
                <w:sz w:val="18"/>
                <w:szCs w:val="18"/>
              </w:rPr>
            </w:pPr>
          </w:p>
          <w:p w14:paraId="4DAB2771" w14:textId="77777777" w:rsidR="001242F1" w:rsidRPr="00B55939" w:rsidRDefault="001242F1" w:rsidP="001242F1">
            <w:pPr>
              <w:rPr>
                <w:rFonts w:asciiTheme="minorHAnsi" w:hAnsiTheme="minorHAnsi" w:cstheme="minorHAnsi"/>
                <w:sz w:val="18"/>
                <w:szCs w:val="18"/>
                <w:u w:val="single"/>
                <w:lang w:eastAsia="en-US"/>
              </w:rPr>
            </w:pPr>
            <w:r w:rsidRPr="00B55939">
              <w:rPr>
                <w:rFonts w:asciiTheme="minorHAnsi" w:hAnsiTheme="minorHAnsi" w:cstheme="minorHAnsi"/>
                <w:sz w:val="18"/>
                <w:szCs w:val="18"/>
                <w:u w:val="single"/>
                <w:lang w:eastAsia="en-US"/>
              </w:rPr>
              <w:t xml:space="preserve">Economic claim: Cost utility analysis of cannabidiol plus standard care versus placebo plus standard care.  </w:t>
            </w:r>
          </w:p>
          <w:p w14:paraId="3A15074C" w14:textId="1BF4E358" w:rsidR="001242F1" w:rsidRPr="00B55939" w:rsidRDefault="001242F1" w:rsidP="00251E7D">
            <w:pPr>
              <w:spacing w:before="120"/>
              <w:rPr>
                <w:rFonts w:asciiTheme="minorHAnsi" w:hAnsiTheme="minorHAnsi" w:cstheme="minorHAnsi"/>
                <w:sz w:val="18"/>
                <w:szCs w:val="18"/>
                <w:lang w:eastAsia="en-US"/>
              </w:rPr>
            </w:pPr>
            <w:r w:rsidRPr="00B55939">
              <w:rPr>
                <w:rFonts w:asciiTheme="minorHAnsi" w:hAnsiTheme="minorHAnsi" w:cstheme="minorHAnsi"/>
                <w:sz w:val="18"/>
                <w:szCs w:val="18"/>
                <w:lang w:eastAsia="en-US"/>
              </w:rPr>
              <w:t xml:space="preserve">The PBAC considered that the ICER of cannabidiol under its preferred scenario was unacceptably high ($75,000 to &lt; $95,000 per </w:t>
            </w:r>
            <w:r w:rsidR="0081303A">
              <w:rPr>
                <w:rFonts w:asciiTheme="minorHAnsi" w:hAnsiTheme="minorHAnsi" w:cstheme="minorHAnsi"/>
                <w:sz w:val="18"/>
                <w:szCs w:val="18"/>
                <w:lang w:eastAsia="en-US"/>
              </w:rPr>
              <w:t>q</w:t>
            </w:r>
            <w:r w:rsidR="00706DF0">
              <w:rPr>
                <w:rFonts w:asciiTheme="minorHAnsi" w:hAnsiTheme="minorHAnsi" w:cstheme="minorHAnsi"/>
                <w:sz w:val="18"/>
                <w:szCs w:val="18"/>
                <w:lang w:eastAsia="en-US"/>
              </w:rPr>
              <w:t xml:space="preserve">uality </w:t>
            </w:r>
            <w:r w:rsidR="0081303A">
              <w:rPr>
                <w:rFonts w:asciiTheme="minorHAnsi" w:hAnsiTheme="minorHAnsi" w:cstheme="minorHAnsi"/>
                <w:sz w:val="18"/>
                <w:szCs w:val="18"/>
                <w:lang w:eastAsia="en-US"/>
              </w:rPr>
              <w:t>a</w:t>
            </w:r>
            <w:r w:rsidR="00706DF0">
              <w:rPr>
                <w:rFonts w:asciiTheme="minorHAnsi" w:hAnsiTheme="minorHAnsi" w:cstheme="minorHAnsi"/>
                <w:sz w:val="18"/>
                <w:szCs w:val="18"/>
                <w:lang w:eastAsia="en-US"/>
              </w:rPr>
              <w:t xml:space="preserve">djusted </w:t>
            </w:r>
            <w:r w:rsidR="0081303A">
              <w:rPr>
                <w:rFonts w:asciiTheme="minorHAnsi" w:hAnsiTheme="minorHAnsi" w:cstheme="minorHAnsi"/>
                <w:sz w:val="18"/>
                <w:szCs w:val="18"/>
                <w:lang w:eastAsia="en-US"/>
              </w:rPr>
              <w:t>l</w:t>
            </w:r>
            <w:r w:rsidR="00706DF0">
              <w:rPr>
                <w:rFonts w:asciiTheme="minorHAnsi" w:hAnsiTheme="minorHAnsi" w:cstheme="minorHAnsi"/>
                <w:sz w:val="18"/>
                <w:szCs w:val="18"/>
                <w:lang w:eastAsia="en-US"/>
              </w:rPr>
              <w:t xml:space="preserve">ife </w:t>
            </w:r>
            <w:r w:rsidR="0081303A">
              <w:rPr>
                <w:rFonts w:asciiTheme="minorHAnsi" w:hAnsiTheme="minorHAnsi" w:cstheme="minorHAnsi"/>
                <w:sz w:val="18"/>
                <w:szCs w:val="18"/>
                <w:lang w:eastAsia="en-US"/>
              </w:rPr>
              <w:t>y</w:t>
            </w:r>
            <w:r w:rsidR="00706DF0">
              <w:rPr>
                <w:rFonts w:asciiTheme="minorHAnsi" w:hAnsiTheme="minorHAnsi" w:cstheme="minorHAnsi"/>
                <w:sz w:val="18"/>
                <w:szCs w:val="18"/>
                <w:lang w:eastAsia="en-US"/>
              </w:rPr>
              <w:t>ear</w:t>
            </w:r>
            <w:r w:rsidRPr="00B55939">
              <w:rPr>
                <w:rFonts w:asciiTheme="minorHAnsi" w:hAnsiTheme="minorHAnsi" w:cstheme="minorHAnsi"/>
                <w:sz w:val="18"/>
                <w:szCs w:val="18"/>
                <w:lang w:eastAsia="en-US"/>
              </w:rPr>
              <w:t>) at the requested price. On that basis, the PBAC considered a price reduction to achieve an acceptable ICER would be required to achieve a cost-effective listing for cannabidiol in LGS.</w:t>
            </w:r>
          </w:p>
          <w:p w14:paraId="53C5C201" w14:textId="77777777" w:rsidR="001242F1" w:rsidRPr="00B55939" w:rsidRDefault="001242F1" w:rsidP="001242F1">
            <w:pPr>
              <w:rPr>
                <w:rFonts w:asciiTheme="minorHAnsi" w:hAnsiTheme="minorHAnsi" w:cstheme="minorHAnsi"/>
                <w:sz w:val="18"/>
                <w:szCs w:val="18"/>
                <w:lang w:eastAsia="en-US"/>
              </w:rPr>
            </w:pPr>
          </w:p>
          <w:p w14:paraId="1724B798" w14:textId="2955939A" w:rsidR="00575F52" w:rsidRPr="00B55939" w:rsidRDefault="001242F1" w:rsidP="001242F1">
            <w:pPr>
              <w:rPr>
                <w:rFonts w:asciiTheme="minorHAnsi" w:hAnsiTheme="minorHAnsi" w:cstheme="minorHAnsi"/>
                <w:color w:val="000000"/>
                <w:sz w:val="18"/>
                <w:szCs w:val="18"/>
              </w:rPr>
            </w:pPr>
            <w:r w:rsidRPr="00B55939">
              <w:rPr>
                <w:rFonts w:asciiTheme="minorHAnsi" w:hAnsiTheme="minorHAnsi" w:cstheme="minorHAnsi"/>
                <w:sz w:val="18"/>
                <w:szCs w:val="18"/>
                <w:lang w:eastAsia="en-US"/>
              </w:rPr>
              <w:lastRenderedPageBreak/>
              <w:t>The PBAC nominated the early re-entry re-submission pathway for this item.</w:t>
            </w:r>
          </w:p>
          <w:p w14:paraId="1F99386C" w14:textId="77777777" w:rsidR="00575F52" w:rsidRPr="00B55939" w:rsidRDefault="00575F52" w:rsidP="00575F52">
            <w:pPr>
              <w:pStyle w:val="ListParagraph"/>
              <w:keepLines/>
              <w:ind w:left="0"/>
              <w:rPr>
                <w:rFonts w:asciiTheme="minorHAnsi" w:hAnsiTheme="minorHAnsi" w:cs="Arial"/>
                <w:color w:val="000000"/>
                <w:sz w:val="18"/>
                <w:szCs w:val="18"/>
              </w:rPr>
            </w:pPr>
          </w:p>
          <w:p w14:paraId="04DE82FE" w14:textId="77777777" w:rsidR="00575F52" w:rsidRDefault="00575F52" w:rsidP="00575F52">
            <w:pPr>
              <w:pStyle w:val="ListParagraph"/>
              <w:keepLines/>
              <w:ind w:left="0"/>
              <w:rPr>
                <w:rFonts w:asciiTheme="minorHAnsi" w:hAnsiTheme="minorHAnsi" w:cs="Arial"/>
                <w:color w:val="000000"/>
                <w:sz w:val="18"/>
                <w:szCs w:val="18"/>
                <w:u w:val="single"/>
              </w:rPr>
            </w:pPr>
            <w:r w:rsidRPr="00B55939">
              <w:rPr>
                <w:rFonts w:asciiTheme="minorHAnsi" w:hAnsiTheme="minorHAnsi" w:cs="Arial"/>
                <w:color w:val="000000"/>
                <w:sz w:val="18"/>
                <w:szCs w:val="18"/>
                <w:u w:val="single"/>
              </w:rPr>
              <w:t>Sponsor Comment:</w:t>
            </w:r>
          </w:p>
          <w:p w14:paraId="1E7846DF" w14:textId="6F5470DA" w:rsidR="00DD3217" w:rsidRPr="007E1720" w:rsidRDefault="00DD3217" w:rsidP="00284142">
            <w:pPr>
              <w:keepLines/>
              <w:rPr>
                <w:rFonts w:asciiTheme="minorHAnsi" w:hAnsiTheme="minorHAnsi" w:cs="Arial"/>
                <w:color w:val="000000"/>
                <w:sz w:val="18"/>
                <w:szCs w:val="18"/>
              </w:rPr>
            </w:pPr>
            <w:r w:rsidRPr="00F922F2">
              <w:rPr>
                <w:rFonts w:asciiTheme="minorHAnsi" w:hAnsiTheme="minorHAnsi" w:cs="Arial"/>
                <w:color w:val="000000"/>
                <w:sz w:val="18"/>
                <w:szCs w:val="18"/>
              </w:rPr>
              <w:t>The sponsor is disappointed at the PBAC’s decision.</w:t>
            </w:r>
            <w:r w:rsidR="00284142">
              <w:rPr>
                <w:rFonts w:asciiTheme="minorHAnsi" w:hAnsiTheme="minorHAnsi" w:cs="Arial"/>
                <w:color w:val="000000"/>
                <w:sz w:val="18"/>
                <w:szCs w:val="18"/>
              </w:rPr>
              <w:t xml:space="preserve"> </w:t>
            </w:r>
            <w:r w:rsidRPr="00DD3217">
              <w:rPr>
                <w:rFonts w:asciiTheme="minorHAnsi" w:hAnsiTheme="minorHAnsi" w:cs="Arial"/>
                <w:color w:val="000000"/>
                <w:sz w:val="18"/>
                <w:szCs w:val="18"/>
              </w:rPr>
              <w:t xml:space="preserve">The sponsor has very limited room to offer price reductions to achieve an ICER acceptable to the PBAC. Listing </w:t>
            </w:r>
            <w:proofErr w:type="spellStart"/>
            <w:r w:rsidRPr="00DD3217">
              <w:rPr>
                <w:rFonts w:asciiTheme="minorHAnsi" w:hAnsiTheme="minorHAnsi" w:cs="Arial"/>
                <w:color w:val="000000"/>
                <w:sz w:val="18"/>
                <w:szCs w:val="18"/>
              </w:rPr>
              <w:t>Epidyolex</w:t>
            </w:r>
            <w:proofErr w:type="spellEnd"/>
            <w:r w:rsidRPr="00DD3217">
              <w:rPr>
                <w:rFonts w:asciiTheme="minorHAnsi" w:hAnsiTheme="minorHAnsi" w:cs="Arial"/>
                <w:color w:val="000000"/>
                <w:sz w:val="18"/>
                <w:szCs w:val="18"/>
              </w:rPr>
              <w:t xml:space="preserve"> on the PBAC will require flexibility on both sides to make </w:t>
            </w:r>
            <w:proofErr w:type="spellStart"/>
            <w:r w:rsidRPr="00DD3217">
              <w:rPr>
                <w:rFonts w:asciiTheme="minorHAnsi" w:hAnsiTheme="minorHAnsi" w:cs="Arial"/>
                <w:color w:val="000000"/>
                <w:sz w:val="18"/>
                <w:szCs w:val="18"/>
              </w:rPr>
              <w:t>Epidyolex</w:t>
            </w:r>
            <w:proofErr w:type="spellEnd"/>
            <w:r w:rsidRPr="00DD3217">
              <w:rPr>
                <w:rFonts w:asciiTheme="minorHAnsi" w:hAnsiTheme="minorHAnsi" w:cs="Arial"/>
                <w:color w:val="000000"/>
                <w:sz w:val="18"/>
                <w:szCs w:val="18"/>
              </w:rPr>
              <w:t xml:space="preserve"> available on the PBS for patients with LGS.</w:t>
            </w:r>
          </w:p>
        </w:tc>
      </w:tr>
      <w:tr w:rsidR="00575F52" w:rsidRPr="00567D48" w14:paraId="26F1A4E1" w14:textId="77777777" w:rsidTr="007128F7">
        <w:trPr>
          <w:cantSplit/>
          <w:trHeight w:val="2948"/>
        </w:trPr>
        <w:tc>
          <w:tcPr>
            <w:tcW w:w="2973" w:type="dxa"/>
            <w:shd w:val="clear" w:color="auto" w:fill="auto"/>
            <w:tcMar>
              <w:top w:w="28" w:type="dxa"/>
              <w:bottom w:w="28" w:type="dxa"/>
            </w:tcMar>
            <w:vAlign w:val="center"/>
          </w:tcPr>
          <w:p w14:paraId="0E736B06" w14:textId="56D8D888" w:rsidR="00575F52" w:rsidRPr="00D5001E" w:rsidRDefault="00575F52" w:rsidP="00575F52">
            <w:pPr>
              <w:keepLines/>
              <w:rPr>
                <w:rFonts w:asciiTheme="minorHAnsi" w:hAnsiTheme="minorHAnsi" w:cstheme="minorHAnsi"/>
                <w:sz w:val="18"/>
                <w:szCs w:val="18"/>
                <w:highlight w:val="yellow"/>
              </w:rPr>
            </w:pPr>
            <w:r w:rsidRPr="00D5001E">
              <w:rPr>
                <w:rFonts w:asciiTheme="minorHAnsi" w:hAnsiTheme="minorHAnsi" w:cstheme="minorHAnsi"/>
                <w:color w:val="000000"/>
                <w:sz w:val="18"/>
                <w:szCs w:val="18"/>
              </w:rPr>
              <w:lastRenderedPageBreak/>
              <w:t xml:space="preserve">CARFILZOMIB </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Powder for injection 10 mg</w:t>
            </w:r>
            <w:r w:rsidRPr="00D5001E">
              <w:rPr>
                <w:rFonts w:asciiTheme="minorHAnsi" w:hAnsiTheme="minorHAnsi" w:cstheme="minorHAnsi"/>
                <w:color w:val="000000"/>
                <w:sz w:val="18"/>
                <w:szCs w:val="18"/>
              </w:rPr>
              <w:br/>
              <w:t>Powder for injection 30 mg</w:t>
            </w:r>
            <w:r w:rsidRPr="00D5001E">
              <w:rPr>
                <w:rFonts w:asciiTheme="minorHAnsi" w:hAnsiTheme="minorHAnsi" w:cstheme="minorHAnsi"/>
                <w:color w:val="000000"/>
                <w:sz w:val="18"/>
                <w:szCs w:val="18"/>
              </w:rPr>
              <w:br/>
              <w:t>Powder for injection 60 mg</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r>
            <w:proofErr w:type="spellStart"/>
            <w:r w:rsidRPr="00D5001E">
              <w:rPr>
                <w:rFonts w:asciiTheme="minorHAnsi" w:hAnsiTheme="minorHAnsi" w:cstheme="minorHAnsi"/>
                <w:color w:val="000000"/>
                <w:sz w:val="18"/>
                <w:szCs w:val="18"/>
              </w:rPr>
              <w:t>Kyprolis</w:t>
            </w:r>
            <w:proofErr w:type="spellEnd"/>
            <w:r w:rsidRPr="00D5001E">
              <w:rPr>
                <w:rFonts w:asciiTheme="minorHAnsi" w:hAnsiTheme="minorHAnsi" w:cstheme="minorHAnsi"/>
                <w:color w:val="000000"/>
                <w:sz w:val="18"/>
                <w:szCs w:val="18"/>
              </w:rPr>
              <w:t>®</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Amgen Australia Pty Limited</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Standard re-entry submission</w:t>
            </w:r>
            <w:r w:rsidRPr="00D5001E">
              <w:rPr>
                <w:rFonts w:asciiTheme="minorHAnsi" w:hAnsiTheme="minorHAnsi" w:cstheme="minorHAnsi"/>
                <w:color w:val="000000"/>
                <w:sz w:val="18"/>
                <w:szCs w:val="18"/>
              </w:rPr>
              <w:br/>
              <w:t>(Change to PBS listing)</w:t>
            </w:r>
          </w:p>
        </w:tc>
        <w:tc>
          <w:tcPr>
            <w:tcW w:w="2491" w:type="dxa"/>
            <w:shd w:val="clear" w:color="auto" w:fill="auto"/>
            <w:vAlign w:val="center"/>
          </w:tcPr>
          <w:p w14:paraId="7CDD756E" w14:textId="6ADE8CCE" w:rsidR="00575F52" w:rsidRPr="00D5001E" w:rsidRDefault="00575F52" w:rsidP="00575F52">
            <w:pPr>
              <w:keepLines/>
              <w:widowControl w:val="0"/>
              <w:rPr>
                <w:rFonts w:asciiTheme="minorHAnsi" w:hAnsiTheme="minorHAnsi" w:cstheme="minorHAnsi"/>
                <w:snapToGrid w:val="0"/>
                <w:sz w:val="18"/>
                <w:szCs w:val="18"/>
                <w:highlight w:val="yellow"/>
                <w:lang w:eastAsia="en-US"/>
              </w:rPr>
            </w:pPr>
            <w:r w:rsidRPr="00D5001E">
              <w:rPr>
                <w:rFonts w:asciiTheme="minorHAnsi" w:hAnsiTheme="minorHAnsi" w:cstheme="minorHAnsi"/>
                <w:color w:val="000000"/>
                <w:sz w:val="18"/>
                <w:szCs w:val="18"/>
              </w:rPr>
              <w:t>Multiple myeloma</w:t>
            </w:r>
          </w:p>
        </w:tc>
        <w:tc>
          <w:tcPr>
            <w:tcW w:w="3887" w:type="dxa"/>
            <w:shd w:val="clear" w:color="auto" w:fill="auto"/>
            <w:tcMar>
              <w:top w:w="28" w:type="dxa"/>
              <w:bottom w:w="28" w:type="dxa"/>
            </w:tcMar>
            <w:vAlign w:val="center"/>
          </w:tcPr>
          <w:p w14:paraId="56EEFC43" w14:textId="2877FAD7"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Resubmission to request a Section 100 (Efficient Funding of Chemotherapy Program) Authority Required (STREAMLINED) listing, for use in combination with lenalidomide and dexamethasone, for the treatment of relapsed refractory multiple myeloma.</w:t>
            </w:r>
          </w:p>
        </w:tc>
        <w:tc>
          <w:tcPr>
            <w:tcW w:w="1984" w:type="dxa"/>
            <w:shd w:val="clear" w:color="auto" w:fill="auto"/>
            <w:vAlign w:val="center"/>
          </w:tcPr>
          <w:p w14:paraId="2950878F" w14:textId="235C0C8F" w:rsidR="00575F52" w:rsidRPr="00D5001E" w:rsidRDefault="00575F52" w:rsidP="00575F52">
            <w:pPr>
              <w:pStyle w:val="ListParagraph"/>
              <w:keepLines/>
              <w:ind w:left="0"/>
              <w:rPr>
                <w:rFonts w:asciiTheme="minorHAnsi" w:hAnsiTheme="minorHAnsi" w:cstheme="minorHAnsi"/>
                <w:snapToGrid w:val="0"/>
                <w:sz w:val="18"/>
                <w:szCs w:val="18"/>
                <w:highlight w:val="yellow"/>
                <w:lang w:eastAsia="en-US"/>
              </w:rPr>
            </w:pPr>
            <w:r w:rsidRPr="00D5001E">
              <w:rPr>
                <w:rFonts w:asciiTheme="minorHAnsi" w:hAnsiTheme="minorHAnsi" w:cstheme="minorHAnsi"/>
                <w:color w:val="000000"/>
                <w:sz w:val="18"/>
                <w:szCs w:val="18"/>
              </w:rPr>
              <w:t>Recommended</w:t>
            </w:r>
          </w:p>
        </w:tc>
        <w:tc>
          <w:tcPr>
            <w:tcW w:w="4053" w:type="dxa"/>
            <w:shd w:val="clear" w:color="auto" w:fill="auto"/>
            <w:vAlign w:val="center"/>
          </w:tcPr>
          <w:p w14:paraId="116D3E09" w14:textId="47983A40" w:rsidR="00575F52" w:rsidRPr="00D5001E" w:rsidRDefault="00575F52" w:rsidP="00575F52">
            <w:pPr>
              <w:pStyle w:val="ListParagraph"/>
              <w:keepLines/>
              <w:ind w:left="0"/>
              <w:rPr>
                <w:rFonts w:asciiTheme="minorHAnsi" w:hAnsiTheme="minorHAnsi" w:cstheme="minorHAnsi"/>
                <w:color w:val="000000"/>
                <w:sz w:val="18"/>
                <w:szCs w:val="18"/>
                <w:highlight w:val="yellow"/>
              </w:rPr>
            </w:pPr>
            <w:r w:rsidRPr="00D5001E">
              <w:rPr>
                <w:rFonts w:asciiTheme="minorHAnsi" w:hAnsiTheme="minorHAnsi" w:cstheme="minorHAnsi"/>
                <w:color w:val="000000"/>
                <w:sz w:val="18"/>
                <w:szCs w:val="18"/>
              </w:rPr>
              <w:t xml:space="preserve">The PBAC recommended the listing of carfilzomib in combination with lenalidomide and dexamethasone (CLd) for the treatment of relapsed or refractory multiple myeloma. Listing was recommended </w:t>
            </w:r>
            <w:proofErr w:type="gramStart"/>
            <w:r w:rsidRPr="00D5001E">
              <w:rPr>
                <w:rFonts w:asciiTheme="minorHAnsi" w:hAnsiTheme="minorHAnsi" w:cstheme="minorHAnsi"/>
                <w:color w:val="000000"/>
                <w:sz w:val="18"/>
                <w:szCs w:val="18"/>
              </w:rPr>
              <w:t>on the basis of</w:t>
            </w:r>
            <w:proofErr w:type="gramEnd"/>
            <w:r w:rsidRPr="00D5001E">
              <w:rPr>
                <w:rFonts w:asciiTheme="minorHAnsi" w:hAnsiTheme="minorHAnsi" w:cstheme="minorHAnsi"/>
                <w:color w:val="000000"/>
                <w:sz w:val="18"/>
                <w:szCs w:val="18"/>
              </w:rPr>
              <w:t xml:space="preserve"> a cost-minimisation approach versus carfilzomib in </w:t>
            </w:r>
            <w:r w:rsidRPr="00251E7D">
              <w:rPr>
                <w:rFonts w:asciiTheme="minorHAnsi" w:hAnsiTheme="minorHAnsi" w:cstheme="minorHAnsi"/>
                <w:color w:val="000000"/>
                <w:sz w:val="18"/>
                <w:szCs w:val="18"/>
              </w:rPr>
              <w:t xml:space="preserve">combination with dexamethasone, and inclusion in the existing carfilzomib </w:t>
            </w:r>
            <w:r w:rsidRPr="00D5001E">
              <w:rPr>
                <w:rFonts w:asciiTheme="minorHAnsi" w:hAnsiTheme="minorHAnsi" w:cstheme="minorHAnsi"/>
                <w:color w:val="000000"/>
                <w:sz w:val="18"/>
                <w:szCs w:val="18"/>
              </w:rPr>
              <w:t xml:space="preserve">risk sharing arrangement (RSA) without an increase in the expenditure caps. The PBAC noted that flow-on restriction changes would be required to create a separate lenalidomide listing to enable its use in </w:t>
            </w:r>
            <w:proofErr w:type="spellStart"/>
            <w:r w:rsidRPr="00D5001E">
              <w:rPr>
                <w:rFonts w:asciiTheme="minorHAnsi" w:hAnsiTheme="minorHAnsi" w:cstheme="minorHAnsi"/>
                <w:color w:val="000000"/>
                <w:sz w:val="18"/>
                <w:szCs w:val="18"/>
              </w:rPr>
              <w:t>CLd.</w:t>
            </w:r>
            <w:proofErr w:type="spellEnd"/>
            <w:r w:rsidRPr="00D5001E">
              <w:rPr>
                <w:rFonts w:asciiTheme="minorHAnsi" w:hAnsiTheme="minorHAnsi" w:cstheme="minorHAnsi"/>
                <w:color w:val="000000"/>
                <w:sz w:val="18"/>
                <w:szCs w:val="18"/>
              </w:rPr>
              <w:t xml:space="preserve"> The PBAC noted the resubmission also requested an increase in the expenditure caps established in the Deed of Agreement in place since carfilzomib was PBS listed in January 2018. The PBAC considered the estimates included in the resubmission were not a reliable basis on which to revise the existing RSA expenditure caps. However, the PBAC acknowledged that future revision to the caps may be appropriate given the changing treatment algorithm for multiple myeloma with the availability of multiple new therapies.</w:t>
            </w:r>
          </w:p>
        </w:tc>
      </w:tr>
      <w:tr w:rsidR="00575F52" w:rsidRPr="00567D48" w14:paraId="2548894E" w14:textId="77777777" w:rsidTr="007128F7">
        <w:trPr>
          <w:cantSplit/>
          <w:trHeight w:val="2948"/>
        </w:trPr>
        <w:tc>
          <w:tcPr>
            <w:tcW w:w="2973" w:type="dxa"/>
            <w:shd w:val="clear" w:color="auto" w:fill="auto"/>
            <w:tcMar>
              <w:top w:w="28" w:type="dxa"/>
              <w:bottom w:w="28" w:type="dxa"/>
            </w:tcMar>
            <w:vAlign w:val="center"/>
          </w:tcPr>
          <w:p w14:paraId="0B7E3248" w14:textId="329F7904" w:rsidR="00575F52" w:rsidRPr="00D5001E" w:rsidRDefault="00575F52" w:rsidP="00575F52">
            <w:pPr>
              <w:keepLines/>
              <w:rPr>
                <w:rFonts w:asciiTheme="minorHAnsi" w:hAnsiTheme="minorHAnsi" w:cstheme="minorHAnsi"/>
                <w:sz w:val="18"/>
                <w:szCs w:val="18"/>
                <w:highlight w:val="yellow"/>
              </w:rPr>
            </w:pPr>
            <w:r w:rsidRPr="00D5001E">
              <w:rPr>
                <w:rFonts w:asciiTheme="minorHAnsi" w:hAnsiTheme="minorHAnsi" w:cstheme="minorHAnsi"/>
                <w:color w:val="000000"/>
                <w:sz w:val="18"/>
                <w:szCs w:val="18"/>
              </w:rPr>
              <w:lastRenderedPageBreak/>
              <w:t>CEMIPLIMAB</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r>
            <w:r w:rsidRPr="00A859F5">
              <w:rPr>
                <w:rFonts w:asciiTheme="minorHAnsi" w:hAnsiTheme="minorHAnsi" w:cstheme="minorHAnsi"/>
                <w:color w:val="000000"/>
                <w:sz w:val="18"/>
                <w:szCs w:val="18"/>
              </w:rPr>
              <w:t>Solution for I.V. infusion 350 mg in 7 mL</w:t>
            </w:r>
            <w:r w:rsidRPr="00A859F5">
              <w:rPr>
                <w:rFonts w:asciiTheme="minorHAnsi" w:hAnsiTheme="minorHAnsi" w:cstheme="minorHAnsi"/>
                <w:color w:val="000000"/>
                <w:sz w:val="18"/>
                <w:szCs w:val="18"/>
              </w:rPr>
              <w:br/>
            </w:r>
            <w:r w:rsidRPr="00A859F5">
              <w:rPr>
                <w:rFonts w:asciiTheme="minorHAnsi" w:hAnsiTheme="minorHAnsi" w:cstheme="minorHAnsi"/>
                <w:color w:val="000000"/>
                <w:sz w:val="18"/>
                <w:szCs w:val="18"/>
              </w:rPr>
              <w:br/>
            </w:r>
            <w:proofErr w:type="spellStart"/>
            <w:r w:rsidRPr="00A859F5">
              <w:rPr>
                <w:rFonts w:asciiTheme="minorHAnsi" w:hAnsiTheme="minorHAnsi" w:cstheme="minorHAnsi"/>
                <w:color w:val="000000"/>
                <w:sz w:val="18"/>
                <w:szCs w:val="18"/>
              </w:rPr>
              <w:t>Libtayo</w:t>
            </w:r>
            <w:proofErr w:type="spellEnd"/>
            <w:r w:rsidRPr="00A859F5">
              <w:rPr>
                <w:rFonts w:asciiTheme="minorHAnsi" w:hAnsiTheme="minorHAnsi" w:cstheme="minorHAnsi"/>
                <w:color w:val="000000"/>
                <w:sz w:val="18"/>
                <w:szCs w:val="18"/>
              </w:rPr>
              <w:t>®</w:t>
            </w:r>
            <w:r w:rsidRPr="00A859F5">
              <w:rPr>
                <w:rFonts w:asciiTheme="minorHAnsi" w:hAnsiTheme="minorHAnsi" w:cstheme="minorHAnsi"/>
                <w:color w:val="000000"/>
                <w:sz w:val="18"/>
                <w:szCs w:val="18"/>
              </w:rPr>
              <w:br/>
            </w:r>
            <w:r w:rsidRPr="00A859F5">
              <w:rPr>
                <w:rFonts w:asciiTheme="minorHAnsi" w:hAnsiTheme="minorHAnsi" w:cstheme="minorHAnsi"/>
                <w:color w:val="000000"/>
                <w:sz w:val="18"/>
                <w:szCs w:val="18"/>
              </w:rPr>
              <w:br/>
              <w:t>Sanofi-Aventis Australia Pty Ltd</w:t>
            </w:r>
            <w:r w:rsidRPr="00A859F5">
              <w:rPr>
                <w:rFonts w:asciiTheme="minorHAnsi" w:hAnsiTheme="minorHAnsi" w:cstheme="minorHAnsi"/>
                <w:color w:val="000000"/>
                <w:sz w:val="18"/>
                <w:szCs w:val="18"/>
                <w:highlight w:val="yellow"/>
              </w:rPr>
              <w:br/>
            </w:r>
            <w:r w:rsidRPr="00A859F5">
              <w:rPr>
                <w:rFonts w:asciiTheme="minorHAnsi" w:hAnsiTheme="minorHAnsi" w:cstheme="minorHAnsi"/>
                <w:color w:val="000000"/>
                <w:sz w:val="18"/>
                <w:szCs w:val="18"/>
                <w:highlight w:val="yellow"/>
              </w:rPr>
              <w:br/>
            </w:r>
            <w:r w:rsidRPr="00A859F5">
              <w:rPr>
                <w:rFonts w:asciiTheme="minorHAnsi" w:hAnsiTheme="minorHAnsi" w:cstheme="minorHAnsi"/>
                <w:color w:val="000000"/>
                <w:sz w:val="18"/>
                <w:szCs w:val="18"/>
              </w:rPr>
              <w:t>Standard re-entry submission</w:t>
            </w:r>
            <w:r w:rsidRPr="00D5001E">
              <w:rPr>
                <w:rFonts w:asciiTheme="minorHAnsi" w:hAnsiTheme="minorHAnsi" w:cstheme="minorHAnsi"/>
                <w:color w:val="000000"/>
                <w:sz w:val="18"/>
                <w:szCs w:val="18"/>
                <w:highlight w:val="yellow"/>
              </w:rPr>
              <w:br/>
            </w:r>
            <w:r w:rsidRPr="00D5001E">
              <w:rPr>
                <w:rFonts w:asciiTheme="minorHAnsi" w:hAnsiTheme="minorHAnsi" w:cstheme="minorHAnsi"/>
                <w:color w:val="000000"/>
                <w:sz w:val="18"/>
                <w:szCs w:val="18"/>
              </w:rPr>
              <w:t>(New PBS listing)</w:t>
            </w:r>
          </w:p>
        </w:tc>
        <w:tc>
          <w:tcPr>
            <w:tcW w:w="2491" w:type="dxa"/>
            <w:shd w:val="clear" w:color="auto" w:fill="auto"/>
            <w:vAlign w:val="center"/>
          </w:tcPr>
          <w:p w14:paraId="035BAAF8" w14:textId="739A3154" w:rsidR="00575F52" w:rsidRPr="00D5001E" w:rsidRDefault="00575F52" w:rsidP="00575F52">
            <w:pPr>
              <w:keepLines/>
              <w:widowControl w:val="0"/>
              <w:rPr>
                <w:rFonts w:asciiTheme="minorHAnsi" w:hAnsiTheme="minorHAnsi" w:cstheme="minorHAnsi"/>
                <w:snapToGrid w:val="0"/>
                <w:sz w:val="18"/>
                <w:szCs w:val="18"/>
                <w:highlight w:val="yellow"/>
                <w:lang w:eastAsia="en-US"/>
              </w:rPr>
            </w:pPr>
            <w:r w:rsidRPr="00D5001E">
              <w:rPr>
                <w:rFonts w:asciiTheme="minorHAnsi" w:hAnsiTheme="minorHAnsi" w:cstheme="minorHAnsi"/>
                <w:color w:val="000000"/>
                <w:sz w:val="18"/>
                <w:szCs w:val="18"/>
              </w:rPr>
              <w:t>Squamous cell carcinoma</w:t>
            </w:r>
          </w:p>
        </w:tc>
        <w:tc>
          <w:tcPr>
            <w:tcW w:w="3887" w:type="dxa"/>
            <w:shd w:val="clear" w:color="auto" w:fill="auto"/>
            <w:tcMar>
              <w:top w:w="28" w:type="dxa"/>
              <w:bottom w:w="28" w:type="dxa"/>
            </w:tcMar>
            <w:vAlign w:val="center"/>
          </w:tcPr>
          <w:p w14:paraId="6EBA99A6" w14:textId="1A24F9F4" w:rsidR="00575F52" w:rsidRPr="00D5001E" w:rsidRDefault="00575F52" w:rsidP="00575F52">
            <w:pPr>
              <w:pStyle w:val="ListParagraph"/>
              <w:keepLines/>
              <w:ind w:left="0"/>
              <w:rPr>
                <w:rFonts w:asciiTheme="minorHAnsi" w:hAnsiTheme="minorHAnsi" w:cstheme="minorHAnsi"/>
                <w:snapToGrid w:val="0"/>
                <w:sz w:val="18"/>
                <w:szCs w:val="18"/>
                <w:highlight w:val="yellow"/>
                <w:lang w:eastAsia="en-US"/>
              </w:rPr>
            </w:pPr>
            <w:r w:rsidRPr="00D5001E">
              <w:rPr>
                <w:rFonts w:asciiTheme="minorHAnsi" w:hAnsiTheme="minorHAnsi" w:cstheme="minorHAnsi"/>
                <w:color w:val="000000"/>
                <w:sz w:val="18"/>
                <w:szCs w:val="18"/>
              </w:rPr>
              <w:t xml:space="preserve">Resubmission to request a Section 100 (Efficient Funding of Chemotherapy Program) Authority Required (STREAMLINED) listing for the treatment of metastatic or locally advanced cutaneous squamous cell carcinoma, in patients who are not candidates for curative surgery or curative radiation. </w:t>
            </w:r>
          </w:p>
        </w:tc>
        <w:tc>
          <w:tcPr>
            <w:tcW w:w="1984" w:type="dxa"/>
            <w:shd w:val="clear" w:color="auto" w:fill="auto"/>
            <w:vAlign w:val="center"/>
          </w:tcPr>
          <w:p w14:paraId="07A55FEE" w14:textId="66C4D4BB" w:rsidR="00575F52" w:rsidRPr="00D5001E" w:rsidRDefault="00575F52" w:rsidP="00575F52">
            <w:pPr>
              <w:pStyle w:val="ListParagraph"/>
              <w:keepLines/>
              <w:ind w:left="0"/>
              <w:rPr>
                <w:rFonts w:asciiTheme="minorHAnsi" w:hAnsiTheme="minorHAnsi" w:cstheme="minorHAnsi"/>
                <w:snapToGrid w:val="0"/>
                <w:sz w:val="18"/>
                <w:szCs w:val="18"/>
                <w:highlight w:val="yellow"/>
                <w:lang w:eastAsia="en-US"/>
              </w:rPr>
            </w:pPr>
            <w:r w:rsidRPr="00D5001E">
              <w:rPr>
                <w:rFonts w:asciiTheme="minorHAnsi" w:hAnsiTheme="minorHAnsi" w:cstheme="minorHAnsi"/>
                <w:color w:val="000000"/>
                <w:sz w:val="18"/>
                <w:szCs w:val="18"/>
              </w:rPr>
              <w:t>Recommended</w:t>
            </w:r>
          </w:p>
        </w:tc>
        <w:tc>
          <w:tcPr>
            <w:tcW w:w="4053" w:type="dxa"/>
            <w:shd w:val="clear" w:color="auto" w:fill="auto"/>
            <w:vAlign w:val="center"/>
          </w:tcPr>
          <w:p w14:paraId="6E5DF337" w14:textId="6B6D25D0" w:rsidR="00575F52" w:rsidRPr="00D5001E" w:rsidRDefault="00575F52" w:rsidP="00575F52">
            <w:pPr>
              <w:pStyle w:val="ListParagraph"/>
              <w:keepLines/>
              <w:ind w:left="0"/>
              <w:rPr>
                <w:rFonts w:asciiTheme="minorHAnsi" w:hAnsiTheme="minorHAnsi" w:cstheme="minorHAnsi"/>
                <w:color w:val="000000"/>
                <w:sz w:val="18"/>
                <w:szCs w:val="18"/>
                <w:highlight w:val="yellow"/>
              </w:rPr>
            </w:pPr>
            <w:r w:rsidRPr="00D5001E">
              <w:rPr>
                <w:rFonts w:asciiTheme="minorHAnsi" w:hAnsiTheme="minorHAnsi" w:cstheme="minorHAnsi"/>
                <w:color w:val="000000"/>
                <w:sz w:val="18"/>
                <w:szCs w:val="18"/>
              </w:rPr>
              <w:t xml:space="preserve">The PBAC recommended the Authority Required (telephone/online PBS Authorities system) listing of </w:t>
            </w:r>
            <w:proofErr w:type="spellStart"/>
            <w:r w:rsidRPr="00D5001E">
              <w:rPr>
                <w:rFonts w:asciiTheme="minorHAnsi" w:hAnsiTheme="minorHAnsi" w:cstheme="minorHAnsi"/>
                <w:color w:val="000000"/>
                <w:sz w:val="18"/>
                <w:szCs w:val="18"/>
              </w:rPr>
              <w:t>cemiplimab</w:t>
            </w:r>
            <w:proofErr w:type="spellEnd"/>
            <w:r w:rsidRPr="00D5001E">
              <w:rPr>
                <w:rFonts w:asciiTheme="minorHAnsi" w:hAnsiTheme="minorHAnsi" w:cstheme="minorHAnsi"/>
                <w:color w:val="000000"/>
                <w:sz w:val="18"/>
                <w:szCs w:val="18"/>
              </w:rPr>
              <w:t xml:space="preserve"> for the treatment of patients with metastatic or locally advanced cutaneous squamous cell carcinoma, on the basis that it should be available only under special arrangements under Section 100 </w:t>
            </w:r>
            <w:r w:rsidR="002B7E81">
              <w:rPr>
                <w:rFonts w:asciiTheme="minorHAnsi" w:hAnsiTheme="minorHAnsi" w:cstheme="minorHAnsi"/>
                <w:color w:val="000000"/>
                <w:sz w:val="18"/>
                <w:szCs w:val="18"/>
              </w:rPr>
              <w:t>(</w:t>
            </w:r>
            <w:r w:rsidRPr="00D5001E">
              <w:rPr>
                <w:rFonts w:asciiTheme="minorHAnsi" w:hAnsiTheme="minorHAnsi" w:cstheme="minorHAnsi"/>
                <w:color w:val="000000"/>
                <w:sz w:val="18"/>
                <w:szCs w:val="18"/>
              </w:rPr>
              <w:t>Efficient Funding of Chemotherapy</w:t>
            </w:r>
            <w:r w:rsidR="002B7E81">
              <w:rPr>
                <w:rFonts w:asciiTheme="minorHAnsi" w:hAnsiTheme="minorHAnsi" w:cstheme="minorHAnsi"/>
                <w:color w:val="000000"/>
                <w:sz w:val="18"/>
                <w:szCs w:val="18"/>
              </w:rPr>
              <w:t>)</w:t>
            </w:r>
            <w:r w:rsidRPr="00D5001E">
              <w:rPr>
                <w:rFonts w:asciiTheme="minorHAnsi" w:hAnsiTheme="minorHAnsi" w:cstheme="minorHAnsi"/>
                <w:color w:val="000000"/>
                <w:sz w:val="18"/>
                <w:szCs w:val="18"/>
              </w:rPr>
              <w:t xml:space="preserve">. The PBAC was satisfied that </w:t>
            </w:r>
            <w:proofErr w:type="spellStart"/>
            <w:r w:rsidRPr="00D5001E">
              <w:rPr>
                <w:rFonts w:asciiTheme="minorHAnsi" w:hAnsiTheme="minorHAnsi" w:cstheme="minorHAnsi"/>
                <w:color w:val="000000"/>
                <w:sz w:val="18"/>
                <w:szCs w:val="18"/>
              </w:rPr>
              <w:t>cemiplimab</w:t>
            </w:r>
            <w:proofErr w:type="spellEnd"/>
            <w:r w:rsidRPr="00D5001E">
              <w:rPr>
                <w:rFonts w:asciiTheme="minorHAnsi" w:hAnsiTheme="minorHAnsi" w:cstheme="minorHAnsi"/>
                <w:color w:val="000000"/>
                <w:sz w:val="18"/>
                <w:szCs w:val="18"/>
              </w:rPr>
              <w:t xml:space="preserve"> provides, for some patients, improvement in efficacy over best supportive care</w:t>
            </w:r>
            <w:r w:rsidR="006F3C48">
              <w:rPr>
                <w:rFonts w:asciiTheme="minorHAnsi" w:hAnsiTheme="minorHAnsi" w:cstheme="minorHAnsi"/>
                <w:color w:val="000000"/>
                <w:sz w:val="18"/>
                <w:szCs w:val="18"/>
              </w:rPr>
              <w:t xml:space="preserve"> with or without</w:t>
            </w:r>
            <w:r w:rsidRPr="00D5001E">
              <w:rPr>
                <w:rFonts w:asciiTheme="minorHAnsi" w:hAnsiTheme="minorHAnsi" w:cstheme="minorHAnsi"/>
                <w:color w:val="000000"/>
                <w:sz w:val="18"/>
                <w:szCs w:val="18"/>
              </w:rPr>
              <w:t xml:space="preserve"> chemotherapy. The PBAC considered that, while the magnitude of difference in effectiveness of </w:t>
            </w:r>
            <w:proofErr w:type="spellStart"/>
            <w:r w:rsidRPr="00D5001E">
              <w:rPr>
                <w:rFonts w:asciiTheme="minorHAnsi" w:hAnsiTheme="minorHAnsi" w:cstheme="minorHAnsi"/>
                <w:color w:val="000000"/>
                <w:sz w:val="18"/>
                <w:szCs w:val="18"/>
              </w:rPr>
              <w:t>cemiplimab</w:t>
            </w:r>
            <w:proofErr w:type="spellEnd"/>
            <w:r w:rsidRPr="00D5001E">
              <w:rPr>
                <w:rFonts w:asciiTheme="minorHAnsi" w:hAnsiTheme="minorHAnsi" w:cstheme="minorHAnsi"/>
                <w:color w:val="000000"/>
                <w:sz w:val="18"/>
                <w:szCs w:val="18"/>
              </w:rPr>
              <w:t xml:space="preserve"> remains uncertain, there is a high unmet clinical need in this population with potential for quality of life benefits not encompassed in the available data. The PBAC’s recommendation for listing was based on, among other matters, its assessment that the subsequent uncertainty in the incremental cost-effectiveness ratio (ICER) could be addressed through a lower ICER threshold and resulting price reduction. The PBAC considered the exclusion of patients with an Eastern Cooperative Oncology Group (EC</w:t>
            </w:r>
            <w:r w:rsidRPr="00A859F5">
              <w:rPr>
                <w:rFonts w:asciiTheme="minorHAnsi" w:hAnsiTheme="minorHAnsi" w:cstheme="minorHAnsi"/>
                <w:color w:val="000000"/>
                <w:sz w:val="18"/>
                <w:szCs w:val="18"/>
              </w:rPr>
              <w:t xml:space="preserve">OG) </w:t>
            </w:r>
            <w:r w:rsidRPr="00D5001E">
              <w:rPr>
                <w:rFonts w:asciiTheme="minorHAnsi" w:hAnsiTheme="minorHAnsi" w:cstheme="minorHAnsi"/>
                <w:color w:val="000000"/>
                <w:sz w:val="18"/>
                <w:szCs w:val="18"/>
              </w:rPr>
              <w:t>performance status of 2 or more appropriate and considered the financial estimates should be amended accordingly. In addition, the PBAC considered a risk sharing arrangement appropriate to manage the risk of use beyond the restriction.</w:t>
            </w:r>
          </w:p>
        </w:tc>
      </w:tr>
      <w:tr w:rsidR="00575F52" w:rsidRPr="00567D48" w14:paraId="03F13613" w14:textId="77777777" w:rsidTr="007128F7">
        <w:trPr>
          <w:cantSplit/>
          <w:trHeight w:val="2948"/>
        </w:trPr>
        <w:tc>
          <w:tcPr>
            <w:tcW w:w="2973" w:type="dxa"/>
            <w:shd w:val="clear" w:color="auto" w:fill="auto"/>
            <w:tcMar>
              <w:top w:w="28" w:type="dxa"/>
              <w:bottom w:w="28" w:type="dxa"/>
            </w:tcMar>
            <w:vAlign w:val="center"/>
          </w:tcPr>
          <w:p w14:paraId="6A63A88C" w14:textId="3C8FB687" w:rsidR="00575F52" w:rsidRPr="00D5001E" w:rsidRDefault="00575F52" w:rsidP="00575F52">
            <w:pPr>
              <w:keepLines/>
              <w:rPr>
                <w:rFonts w:asciiTheme="minorHAnsi" w:hAnsiTheme="minorHAnsi" w:cstheme="minorHAnsi"/>
                <w:sz w:val="18"/>
                <w:szCs w:val="18"/>
                <w:highlight w:val="yellow"/>
              </w:rPr>
            </w:pPr>
            <w:r w:rsidRPr="00D5001E">
              <w:rPr>
                <w:rFonts w:asciiTheme="minorHAnsi" w:hAnsiTheme="minorHAnsi" w:cstheme="minorHAnsi"/>
                <w:color w:val="000000"/>
                <w:sz w:val="18"/>
                <w:szCs w:val="18"/>
              </w:rPr>
              <w:lastRenderedPageBreak/>
              <w:t>CICLOSPORIN</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Eye drops 900 micrograms per mL, single dose units, 0.25 mL, 60</w:t>
            </w:r>
            <w:r w:rsidRPr="00D5001E">
              <w:rPr>
                <w:rFonts w:asciiTheme="minorHAnsi" w:hAnsiTheme="minorHAnsi" w:cstheme="minorHAnsi"/>
                <w:color w:val="000000"/>
                <w:sz w:val="18"/>
                <w:szCs w:val="18"/>
                <w:highlight w:val="yellow"/>
              </w:rPr>
              <w:br/>
            </w:r>
            <w:r w:rsidRPr="00D5001E">
              <w:rPr>
                <w:rFonts w:asciiTheme="minorHAnsi" w:hAnsiTheme="minorHAnsi" w:cstheme="minorHAnsi"/>
                <w:color w:val="000000"/>
                <w:sz w:val="18"/>
                <w:szCs w:val="18"/>
                <w:highlight w:val="yellow"/>
              </w:rPr>
              <w:br/>
            </w:r>
            <w:proofErr w:type="spellStart"/>
            <w:r w:rsidRPr="00D5001E">
              <w:rPr>
                <w:rFonts w:asciiTheme="minorHAnsi" w:hAnsiTheme="minorHAnsi" w:cstheme="minorHAnsi"/>
                <w:color w:val="000000"/>
                <w:sz w:val="18"/>
                <w:szCs w:val="18"/>
              </w:rPr>
              <w:t>Cequa</w:t>
            </w:r>
            <w:proofErr w:type="spellEnd"/>
            <w:r w:rsidRPr="00D5001E">
              <w:rPr>
                <w:rFonts w:asciiTheme="minorHAnsi" w:hAnsiTheme="minorHAnsi" w:cstheme="minorHAnsi"/>
                <w:color w:val="000000"/>
                <w:sz w:val="18"/>
                <w:szCs w:val="18"/>
              </w:rPr>
              <w:t>®</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Sun Pharma ANZ Pty Ltd</w:t>
            </w:r>
            <w:r w:rsidRPr="00D5001E">
              <w:rPr>
                <w:rFonts w:asciiTheme="minorHAnsi" w:hAnsiTheme="minorHAnsi" w:cstheme="minorHAnsi"/>
                <w:color w:val="000000"/>
                <w:sz w:val="18"/>
                <w:szCs w:val="18"/>
                <w:highlight w:val="yellow"/>
              </w:rPr>
              <w:br/>
            </w:r>
            <w:r w:rsidRPr="00D5001E">
              <w:rPr>
                <w:rFonts w:asciiTheme="minorHAnsi" w:hAnsiTheme="minorHAnsi" w:cstheme="minorHAnsi"/>
                <w:color w:val="000000"/>
                <w:sz w:val="18"/>
                <w:szCs w:val="18"/>
                <w:highlight w:val="yellow"/>
              </w:rPr>
              <w:br/>
            </w:r>
            <w:r w:rsidRPr="00D5001E">
              <w:rPr>
                <w:rFonts w:asciiTheme="minorHAnsi" w:hAnsiTheme="minorHAnsi" w:cstheme="minorHAnsi"/>
                <w:color w:val="000000"/>
                <w:sz w:val="18"/>
                <w:szCs w:val="18"/>
              </w:rPr>
              <w:t>Category 2 submission</w:t>
            </w:r>
            <w:r w:rsidRPr="00D5001E">
              <w:rPr>
                <w:rFonts w:asciiTheme="minorHAnsi" w:hAnsiTheme="minorHAnsi" w:cstheme="minorHAnsi"/>
                <w:color w:val="000000"/>
                <w:sz w:val="18"/>
                <w:szCs w:val="18"/>
                <w:highlight w:val="yellow"/>
              </w:rPr>
              <w:br/>
            </w:r>
            <w:r w:rsidRPr="00D5001E">
              <w:rPr>
                <w:rFonts w:asciiTheme="minorHAnsi" w:hAnsiTheme="minorHAnsi" w:cstheme="minorHAnsi"/>
                <w:color w:val="000000"/>
                <w:sz w:val="18"/>
                <w:szCs w:val="18"/>
              </w:rPr>
              <w:t>(New PBS listing)</w:t>
            </w:r>
          </w:p>
        </w:tc>
        <w:tc>
          <w:tcPr>
            <w:tcW w:w="2491" w:type="dxa"/>
            <w:shd w:val="clear" w:color="auto" w:fill="auto"/>
            <w:vAlign w:val="center"/>
          </w:tcPr>
          <w:p w14:paraId="0C45F115" w14:textId="705A1CDA" w:rsidR="00575F52" w:rsidRPr="000F0297" w:rsidRDefault="00575F52" w:rsidP="00575F52">
            <w:pPr>
              <w:keepLines/>
              <w:widowControl w:val="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Chronic severe dry eye disease with keratitis</w:t>
            </w:r>
          </w:p>
        </w:tc>
        <w:tc>
          <w:tcPr>
            <w:tcW w:w="3887" w:type="dxa"/>
            <w:shd w:val="clear" w:color="auto" w:fill="auto"/>
            <w:tcMar>
              <w:top w:w="28" w:type="dxa"/>
              <w:bottom w:w="28" w:type="dxa"/>
            </w:tcMar>
            <w:vAlign w:val="center"/>
          </w:tcPr>
          <w:p w14:paraId="723E6D85" w14:textId="4C11BFCB"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To request a General Schedule Authority Required listing for the treatment of chronic severe dry eye disease with keratitis under the same restrictions as the currently listed ciclosporin eye drops.</w:t>
            </w:r>
          </w:p>
        </w:tc>
        <w:tc>
          <w:tcPr>
            <w:tcW w:w="1984" w:type="dxa"/>
            <w:shd w:val="clear" w:color="auto" w:fill="auto"/>
            <w:vAlign w:val="center"/>
          </w:tcPr>
          <w:p w14:paraId="5FFC7EAD" w14:textId="5FF7BE76" w:rsidR="00575F52" w:rsidRPr="00D5001E" w:rsidRDefault="00575F52" w:rsidP="00575F52">
            <w:pPr>
              <w:pStyle w:val="ListParagraph"/>
              <w:keepLines/>
              <w:ind w:left="0"/>
              <w:rPr>
                <w:rFonts w:asciiTheme="minorHAnsi" w:hAnsiTheme="minorHAnsi" w:cstheme="minorHAnsi"/>
                <w:snapToGrid w:val="0"/>
                <w:sz w:val="18"/>
                <w:szCs w:val="18"/>
                <w:highlight w:val="yellow"/>
                <w:lang w:eastAsia="en-US"/>
              </w:rPr>
            </w:pPr>
            <w:r w:rsidRPr="00D5001E">
              <w:rPr>
                <w:rFonts w:asciiTheme="minorHAnsi" w:hAnsiTheme="minorHAnsi" w:cstheme="minorHAnsi"/>
                <w:color w:val="000000"/>
                <w:sz w:val="18"/>
                <w:szCs w:val="18"/>
              </w:rPr>
              <w:t>Recommended</w:t>
            </w:r>
          </w:p>
        </w:tc>
        <w:tc>
          <w:tcPr>
            <w:tcW w:w="4053" w:type="dxa"/>
            <w:shd w:val="clear" w:color="auto" w:fill="auto"/>
            <w:vAlign w:val="center"/>
          </w:tcPr>
          <w:p w14:paraId="74949A52" w14:textId="5C8DDC00" w:rsidR="00575F52" w:rsidRPr="00D5001E" w:rsidRDefault="00575F52" w:rsidP="00251E7D">
            <w:pPr>
              <w:keepLines/>
              <w:rPr>
                <w:rFonts w:asciiTheme="minorHAnsi" w:hAnsiTheme="minorHAnsi" w:cstheme="minorHAnsi"/>
                <w:color w:val="000000"/>
                <w:sz w:val="18"/>
                <w:szCs w:val="18"/>
                <w:highlight w:val="yellow"/>
              </w:rPr>
            </w:pPr>
            <w:r w:rsidRPr="00D5001E">
              <w:rPr>
                <w:rFonts w:asciiTheme="minorHAnsi" w:hAnsiTheme="minorHAnsi" w:cstheme="minorHAnsi"/>
                <w:color w:val="000000"/>
                <w:sz w:val="18"/>
                <w:szCs w:val="18"/>
              </w:rPr>
              <w:t xml:space="preserve">The PBAC recommended the listing of </w:t>
            </w:r>
            <w:r w:rsidR="006715DC">
              <w:rPr>
                <w:rFonts w:asciiTheme="minorHAnsi" w:hAnsiTheme="minorHAnsi" w:cstheme="minorHAnsi"/>
                <w:color w:val="000000"/>
                <w:sz w:val="18"/>
                <w:szCs w:val="18"/>
              </w:rPr>
              <w:t xml:space="preserve">ciclosporin </w:t>
            </w:r>
            <w:r w:rsidRPr="00D5001E">
              <w:rPr>
                <w:rFonts w:asciiTheme="minorHAnsi" w:hAnsiTheme="minorHAnsi" w:cstheme="minorHAnsi"/>
                <w:color w:val="000000"/>
                <w:sz w:val="18"/>
                <w:szCs w:val="18"/>
              </w:rPr>
              <w:t>0.09%</w:t>
            </w:r>
            <w:r w:rsidR="006715DC">
              <w:rPr>
                <w:rFonts w:asciiTheme="minorHAnsi" w:hAnsiTheme="minorHAnsi" w:cstheme="minorHAnsi"/>
                <w:color w:val="000000"/>
                <w:sz w:val="18"/>
                <w:szCs w:val="18"/>
              </w:rPr>
              <w:t xml:space="preserve"> eye drops</w:t>
            </w:r>
            <w:r w:rsidRPr="00D5001E">
              <w:rPr>
                <w:rFonts w:asciiTheme="minorHAnsi" w:hAnsiTheme="minorHAnsi" w:cstheme="minorHAnsi"/>
                <w:color w:val="000000"/>
                <w:sz w:val="18"/>
                <w:szCs w:val="18"/>
              </w:rPr>
              <w:t xml:space="preserve"> for the </w:t>
            </w:r>
            <w:r w:rsidRPr="000F0297">
              <w:rPr>
                <w:rFonts w:asciiTheme="minorHAnsi" w:hAnsiTheme="minorHAnsi" w:cstheme="minorHAnsi"/>
                <w:color w:val="000000"/>
                <w:sz w:val="18"/>
                <w:szCs w:val="18"/>
              </w:rPr>
              <w:t>treatment of chronic severe dry eye disease with keratitis. The PBAC’s recommendation for listing was based on, among other matter</w:t>
            </w:r>
            <w:r w:rsidRPr="00B25426">
              <w:rPr>
                <w:rFonts w:asciiTheme="minorHAnsi" w:hAnsiTheme="minorHAnsi" w:cstheme="minorHAnsi"/>
                <w:color w:val="000000"/>
                <w:sz w:val="18"/>
                <w:szCs w:val="18"/>
              </w:rPr>
              <w:t xml:space="preserve">s, its assessment that the cost-effectiveness of </w:t>
            </w:r>
            <w:r w:rsidR="006715DC" w:rsidRPr="00B25426">
              <w:rPr>
                <w:rFonts w:asciiTheme="minorHAnsi" w:hAnsiTheme="minorHAnsi" w:cstheme="minorHAnsi"/>
                <w:color w:val="000000"/>
                <w:sz w:val="18"/>
                <w:szCs w:val="18"/>
              </w:rPr>
              <w:t xml:space="preserve">ciclosporin </w:t>
            </w:r>
            <w:r w:rsidRPr="00B25426">
              <w:rPr>
                <w:rFonts w:asciiTheme="minorHAnsi" w:hAnsiTheme="minorHAnsi" w:cstheme="minorHAnsi"/>
                <w:color w:val="000000"/>
                <w:sz w:val="18"/>
                <w:szCs w:val="18"/>
              </w:rPr>
              <w:t xml:space="preserve">0.09% </w:t>
            </w:r>
            <w:r w:rsidR="00230BA9">
              <w:rPr>
                <w:rFonts w:asciiTheme="minorHAnsi" w:hAnsiTheme="minorHAnsi" w:cstheme="minorHAnsi"/>
                <w:color w:val="000000"/>
                <w:sz w:val="18"/>
                <w:szCs w:val="18"/>
              </w:rPr>
              <w:t xml:space="preserve">eye drops </w:t>
            </w:r>
            <w:r w:rsidRPr="00B25426">
              <w:rPr>
                <w:rFonts w:asciiTheme="minorHAnsi" w:hAnsiTheme="minorHAnsi" w:cstheme="minorHAnsi"/>
                <w:color w:val="000000"/>
                <w:sz w:val="18"/>
                <w:szCs w:val="18"/>
              </w:rPr>
              <w:t xml:space="preserve">would be acceptable if it were cost-minimised against </w:t>
            </w:r>
            <w:r w:rsidR="006715DC" w:rsidRPr="00B25426">
              <w:rPr>
                <w:rFonts w:asciiTheme="minorHAnsi" w:hAnsiTheme="minorHAnsi" w:cstheme="minorHAnsi"/>
                <w:color w:val="000000"/>
                <w:sz w:val="18"/>
                <w:szCs w:val="18"/>
              </w:rPr>
              <w:t>ciclosporin</w:t>
            </w:r>
            <w:r w:rsidR="006715DC">
              <w:rPr>
                <w:rFonts w:asciiTheme="minorHAnsi" w:hAnsiTheme="minorHAnsi" w:cstheme="minorHAnsi"/>
                <w:color w:val="000000"/>
                <w:sz w:val="18"/>
                <w:szCs w:val="18"/>
              </w:rPr>
              <w:t xml:space="preserve"> </w:t>
            </w:r>
            <w:r w:rsidRPr="00B25426">
              <w:rPr>
                <w:rFonts w:asciiTheme="minorHAnsi" w:hAnsiTheme="minorHAnsi" w:cstheme="minorHAnsi"/>
                <w:color w:val="000000"/>
                <w:sz w:val="18"/>
                <w:szCs w:val="18"/>
              </w:rPr>
              <w:t xml:space="preserve">0.1% </w:t>
            </w:r>
            <w:r w:rsidR="00230BA9">
              <w:rPr>
                <w:rFonts w:asciiTheme="minorHAnsi" w:hAnsiTheme="minorHAnsi" w:cstheme="minorHAnsi"/>
                <w:color w:val="000000"/>
                <w:sz w:val="18"/>
                <w:szCs w:val="18"/>
              </w:rPr>
              <w:t>eye drops</w:t>
            </w:r>
            <w:r w:rsidRPr="00B25426">
              <w:rPr>
                <w:rFonts w:asciiTheme="minorHAnsi" w:hAnsiTheme="minorHAnsi" w:cstheme="minorHAnsi"/>
                <w:color w:val="000000"/>
                <w:sz w:val="18"/>
                <w:szCs w:val="18"/>
              </w:rPr>
              <w:t>. The PBAC considered it would be useful to have an additional formulation of ciclosporin eye</w:t>
            </w:r>
            <w:r w:rsidR="00230BA9">
              <w:rPr>
                <w:rFonts w:asciiTheme="minorHAnsi" w:hAnsiTheme="minorHAnsi" w:cstheme="minorHAnsi"/>
                <w:color w:val="000000"/>
                <w:sz w:val="18"/>
                <w:szCs w:val="18"/>
              </w:rPr>
              <w:t xml:space="preserve"> </w:t>
            </w:r>
            <w:r w:rsidRPr="00B25426">
              <w:rPr>
                <w:rFonts w:asciiTheme="minorHAnsi" w:hAnsiTheme="minorHAnsi" w:cstheme="minorHAnsi"/>
                <w:color w:val="000000"/>
                <w:sz w:val="18"/>
                <w:szCs w:val="18"/>
              </w:rPr>
              <w:t xml:space="preserve">drops with a different vehicle to the currently listed </w:t>
            </w:r>
            <w:r w:rsidR="006715DC" w:rsidRPr="00B25426">
              <w:rPr>
                <w:rFonts w:asciiTheme="minorHAnsi" w:hAnsiTheme="minorHAnsi" w:cstheme="minorHAnsi"/>
                <w:color w:val="000000"/>
                <w:sz w:val="18"/>
                <w:szCs w:val="18"/>
              </w:rPr>
              <w:t>ciclosporin</w:t>
            </w:r>
            <w:r w:rsidR="006715DC">
              <w:rPr>
                <w:rFonts w:asciiTheme="minorHAnsi" w:hAnsiTheme="minorHAnsi" w:cstheme="minorHAnsi"/>
                <w:color w:val="000000"/>
                <w:sz w:val="18"/>
                <w:szCs w:val="18"/>
              </w:rPr>
              <w:t xml:space="preserve"> </w:t>
            </w:r>
            <w:r w:rsidRPr="00B25426">
              <w:rPr>
                <w:rFonts w:asciiTheme="minorHAnsi" w:hAnsiTheme="minorHAnsi" w:cstheme="minorHAnsi"/>
                <w:color w:val="000000"/>
                <w:sz w:val="18"/>
                <w:szCs w:val="18"/>
              </w:rPr>
              <w:t xml:space="preserve">0.1% </w:t>
            </w:r>
            <w:r w:rsidR="00230BA9">
              <w:rPr>
                <w:rFonts w:asciiTheme="minorHAnsi" w:hAnsiTheme="minorHAnsi" w:cstheme="minorHAnsi"/>
                <w:color w:val="000000"/>
                <w:sz w:val="18"/>
                <w:szCs w:val="18"/>
              </w:rPr>
              <w:t>eye drops</w:t>
            </w:r>
            <w:r w:rsidRPr="00B25426">
              <w:rPr>
                <w:rFonts w:asciiTheme="minorHAnsi" w:hAnsiTheme="minorHAnsi" w:cstheme="minorHAnsi"/>
                <w:color w:val="000000"/>
                <w:sz w:val="18"/>
                <w:szCs w:val="18"/>
              </w:rPr>
              <w:t xml:space="preserve"> which would provide an alternative for patients who may not tolerate this formulation. The PBAC considered it was appropriate for </w:t>
            </w:r>
            <w:r w:rsidR="006715DC" w:rsidRPr="00B25426">
              <w:rPr>
                <w:rFonts w:asciiTheme="minorHAnsi" w:hAnsiTheme="minorHAnsi" w:cstheme="minorHAnsi"/>
                <w:color w:val="000000"/>
                <w:sz w:val="18"/>
                <w:szCs w:val="18"/>
              </w:rPr>
              <w:t xml:space="preserve">ciclosporin </w:t>
            </w:r>
            <w:r w:rsidRPr="00B25426">
              <w:rPr>
                <w:rFonts w:asciiTheme="minorHAnsi" w:hAnsiTheme="minorHAnsi" w:cstheme="minorHAnsi"/>
                <w:color w:val="000000"/>
                <w:sz w:val="18"/>
                <w:szCs w:val="18"/>
              </w:rPr>
              <w:t xml:space="preserve">0.09% </w:t>
            </w:r>
            <w:r w:rsidR="00230BA9">
              <w:rPr>
                <w:rFonts w:asciiTheme="minorHAnsi" w:hAnsiTheme="minorHAnsi" w:cstheme="minorHAnsi"/>
                <w:color w:val="000000"/>
                <w:sz w:val="18"/>
                <w:szCs w:val="18"/>
              </w:rPr>
              <w:t xml:space="preserve">eye drops </w:t>
            </w:r>
            <w:r w:rsidRPr="00B25426">
              <w:rPr>
                <w:rFonts w:asciiTheme="minorHAnsi" w:hAnsiTheme="minorHAnsi" w:cstheme="minorHAnsi"/>
                <w:color w:val="000000"/>
                <w:sz w:val="18"/>
                <w:szCs w:val="18"/>
              </w:rPr>
              <w:t xml:space="preserve">to join the existing risk sharing arrangement currently in place for </w:t>
            </w:r>
            <w:r w:rsidR="006715DC" w:rsidRPr="00B25426">
              <w:rPr>
                <w:rFonts w:asciiTheme="minorHAnsi" w:hAnsiTheme="minorHAnsi" w:cstheme="minorHAnsi"/>
                <w:color w:val="000000"/>
                <w:sz w:val="18"/>
                <w:szCs w:val="18"/>
              </w:rPr>
              <w:t>ciclosporin</w:t>
            </w:r>
            <w:r w:rsidR="006715DC">
              <w:rPr>
                <w:rFonts w:asciiTheme="minorHAnsi" w:hAnsiTheme="minorHAnsi" w:cstheme="minorHAnsi"/>
                <w:color w:val="000000"/>
                <w:sz w:val="18"/>
                <w:szCs w:val="18"/>
              </w:rPr>
              <w:t xml:space="preserve"> </w:t>
            </w:r>
            <w:r w:rsidRPr="00B25426">
              <w:rPr>
                <w:rFonts w:asciiTheme="minorHAnsi" w:hAnsiTheme="minorHAnsi" w:cstheme="minorHAnsi"/>
                <w:color w:val="000000"/>
                <w:sz w:val="18"/>
                <w:szCs w:val="18"/>
              </w:rPr>
              <w:t xml:space="preserve">0.1% </w:t>
            </w:r>
            <w:r w:rsidR="00230BA9">
              <w:rPr>
                <w:rFonts w:asciiTheme="minorHAnsi" w:hAnsiTheme="minorHAnsi" w:cstheme="minorHAnsi"/>
                <w:color w:val="000000"/>
                <w:sz w:val="18"/>
                <w:szCs w:val="18"/>
              </w:rPr>
              <w:t>eye drops</w:t>
            </w:r>
            <w:r w:rsidRPr="00B25426">
              <w:rPr>
                <w:rFonts w:asciiTheme="minorHAnsi" w:hAnsiTheme="minorHAnsi" w:cstheme="minorHAnsi"/>
                <w:color w:val="000000"/>
                <w:sz w:val="18"/>
                <w:szCs w:val="18"/>
              </w:rPr>
              <w:t>. The PBAC recommended potential flow</w:t>
            </w:r>
            <w:r w:rsidRPr="00D5001E">
              <w:rPr>
                <w:rFonts w:asciiTheme="minorHAnsi" w:hAnsiTheme="minorHAnsi" w:cstheme="minorHAnsi"/>
                <w:color w:val="000000"/>
                <w:sz w:val="18"/>
                <w:szCs w:val="18"/>
              </w:rPr>
              <w:t>-</w:t>
            </w:r>
            <w:r w:rsidRPr="000F0297">
              <w:rPr>
                <w:rFonts w:asciiTheme="minorHAnsi" w:hAnsiTheme="minorHAnsi" w:cstheme="minorHAnsi"/>
                <w:color w:val="000000"/>
                <w:sz w:val="18"/>
                <w:szCs w:val="18"/>
              </w:rPr>
              <w:t xml:space="preserve">on changes to 0.1% ciclosporin </w:t>
            </w:r>
            <w:r w:rsidR="00230BA9">
              <w:rPr>
                <w:rFonts w:asciiTheme="minorHAnsi" w:hAnsiTheme="minorHAnsi" w:cstheme="minorHAnsi"/>
                <w:color w:val="000000"/>
                <w:sz w:val="18"/>
                <w:szCs w:val="18"/>
              </w:rPr>
              <w:t xml:space="preserve">eye drops </w:t>
            </w:r>
            <w:r w:rsidRPr="000F0297">
              <w:rPr>
                <w:rFonts w:asciiTheme="minorHAnsi" w:hAnsiTheme="minorHAnsi" w:cstheme="minorHAnsi"/>
                <w:color w:val="000000"/>
                <w:sz w:val="18"/>
                <w:szCs w:val="18"/>
              </w:rPr>
              <w:t xml:space="preserve">PBS restriction to prevent concomitant use with </w:t>
            </w:r>
            <w:r w:rsidR="006715DC" w:rsidRPr="000F0297">
              <w:rPr>
                <w:rFonts w:asciiTheme="minorHAnsi" w:hAnsiTheme="minorHAnsi" w:cstheme="minorHAnsi"/>
                <w:color w:val="000000"/>
                <w:sz w:val="18"/>
                <w:szCs w:val="18"/>
              </w:rPr>
              <w:t>ciclosporin</w:t>
            </w:r>
            <w:r w:rsidR="006715DC">
              <w:rPr>
                <w:rFonts w:asciiTheme="minorHAnsi" w:hAnsiTheme="minorHAnsi" w:cstheme="minorHAnsi"/>
                <w:color w:val="000000"/>
                <w:sz w:val="18"/>
                <w:szCs w:val="18"/>
              </w:rPr>
              <w:t xml:space="preserve"> </w:t>
            </w:r>
            <w:r w:rsidRPr="000F0297">
              <w:rPr>
                <w:rFonts w:asciiTheme="minorHAnsi" w:hAnsiTheme="minorHAnsi" w:cstheme="minorHAnsi"/>
                <w:color w:val="000000"/>
                <w:sz w:val="18"/>
                <w:szCs w:val="18"/>
              </w:rPr>
              <w:t xml:space="preserve">0.09% </w:t>
            </w:r>
            <w:r w:rsidR="00230BA9">
              <w:rPr>
                <w:rFonts w:asciiTheme="minorHAnsi" w:hAnsiTheme="minorHAnsi" w:cstheme="minorHAnsi"/>
                <w:color w:val="000000"/>
                <w:sz w:val="18"/>
                <w:szCs w:val="18"/>
              </w:rPr>
              <w:t>eye drops</w:t>
            </w:r>
            <w:r w:rsidRPr="000F0297">
              <w:rPr>
                <w:rFonts w:asciiTheme="minorHAnsi" w:hAnsiTheme="minorHAnsi" w:cstheme="minorHAnsi"/>
                <w:color w:val="000000"/>
                <w:sz w:val="18"/>
                <w:szCs w:val="18"/>
              </w:rPr>
              <w:t>.</w:t>
            </w:r>
          </w:p>
        </w:tc>
      </w:tr>
      <w:tr w:rsidR="00575F52" w:rsidRPr="00567D48" w14:paraId="2748A100" w14:textId="77777777" w:rsidTr="007128F7">
        <w:trPr>
          <w:cantSplit/>
          <w:trHeight w:val="2948"/>
        </w:trPr>
        <w:tc>
          <w:tcPr>
            <w:tcW w:w="2973" w:type="dxa"/>
            <w:shd w:val="clear" w:color="auto" w:fill="auto"/>
            <w:tcMar>
              <w:top w:w="28" w:type="dxa"/>
              <w:bottom w:w="28" w:type="dxa"/>
            </w:tcMar>
            <w:vAlign w:val="center"/>
          </w:tcPr>
          <w:p w14:paraId="26AEF7DA" w14:textId="35D27066" w:rsidR="00575F52" w:rsidRPr="00D5001E" w:rsidRDefault="00575F52" w:rsidP="00575F52">
            <w:pPr>
              <w:keepLines/>
              <w:rPr>
                <w:rFonts w:asciiTheme="minorHAnsi" w:hAnsiTheme="minorHAnsi" w:cstheme="minorHAnsi"/>
                <w:sz w:val="18"/>
                <w:szCs w:val="18"/>
                <w:highlight w:val="yellow"/>
              </w:rPr>
            </w:pPr>
            <w:r w:rsidRPr="00D5001E">
              <w:rPr>
                <w:rFonts w:asciiTheme="minorHAnsi" w:hAnsiTheme="minorHAnsi" w:cstheme="minorHAnsi"/>
                <w:color w:val="000000"/>
                <w:sz w:val="18"/>
                <w:szCs w:val="18"/>
              </w:rPr>
              <w:t>DAPAGLIFLOZIN</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Tablet 10 mg</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Forxiga®</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AstraZeneca Pty Ltd</w:t>
            </w:r>
            <w:r w:rsidRPr="00D5001E">
              <w:rPr>
                <w:rFonts w:asciiTheme="minorHAnsi" w:hAnsiTheme="minorHAnsi" w:cstheme="minorHAnsi"/>
                <w:color w:val="000000"/>
                <w:sz w:val="18"/>
                <w:szCs w:val="18"/>
                <w:highlight w:val="yellow"/>
              </w:rPr>
              <w:br/>
            </w:r>
            <w:r w:rsidRPr="00D5001E">
              <w:rPr>
                <w:rFonts w:asciiTheme="minorHAnsi" w:hAnsiTheme="minorHAnsi" w:cstheme="minorHAnsi"/>
                <w:color w:val="000000"/>
                <w:sz w:val="18"/>
                <w:szCs w:val="18"/>
                <w:highlight w:val="yellow"/>
              </w:rPr>
              <w:br/>
            </w:r>
            <w:r w:rsidRPr="00D5001E">
              <w:rPr>
                <w:rFonts w:asciiTheme="minorHAnsi" w:hAnsiTheme="minorHAnsi" w:cstheme="minorHAnsi"/>
                <w:color w:val="000000"/>
                <w:sz w:val="18"/>
                <w:szCs w:val="18"/>
              </w:rPr>
              <w:t>Early re-entry submission</w:t>
            </w:r>
            <w:r w:rsidRPr="00D5001E">
              <w:rPr>
                <w:rFonts w:asciiTheme="minorHAnsi" w:hAnsiTheme="minorHAnsi" w:cstheme="minorHAnsi"/>
                <w:color w:val="000000"/>
                <w:sz w:val="18"/>
                <w:szCs w:val="18"/>
                <w:highlight w:val="yellow"/>
              </w:rPr>
              <w:br/>
            </w:r>
            <w:r w:rsidRPr="00D5001E">
              <w:rPr>
                <w:rFonts w:asciiTheme="minorHAnsi" w:hAnsiTheme="minorHAnsi" w:cstheme="minorHAnsi"/>
                <w:color w:val="000000"/>
                <w:sz w:val="18"/>
                <w:szCs w:val="18"/>
              </w:rPr>
              <w:t>(Change to PBS listing)</w:t>
            </w:r>
          </w:p>
        </w:tc>
        <w:tc>
          <w:tcPr>
            <w:tcW w:w="2491" w:type="dxa"/>
            <w:shd w:val="clear" w:color="auto" w:fill="auto"/>
            <w:vAlign w:val="center"/>
          </w:tcPr>
          <w:p w14:paraId="21671E52" w14:textId="1BEACF00" w:rsidR="00575F52" w:rsidRPr="00D5001E" w:rsidRDefault="00575F52" w:rsidP="00575F52">
            <w:pPr>
              <w:keepLines/>
              <w:widowControl w:val="0"/>
              <w:rPr>
                <w:rFonts w:asciiTheme="minorHAnsi" w:hAnsiTheme="minorHAnsi" w:cstheme="minorHAnsi"/>
                <w:snapToGrid w:val="0"/>
                <w:sz w:val="18"/>
                <w:szCs w:val="18"/>
                <w:highlight w:val="yellow"/>
                <w:lang w:eastAsia="en-US"/>
              </w:rPr>
            </w:pPr>
            <w:r w:rsidRPr="00D5001E">
              <w:rPr>
                <w:rFonts w:asciiTheme="minorHAnsi" w:hAnsiTheme="minorHAnsi" w:cstheme="minorHAnsi"/>
                <w:color w:val="000000"/>
                <w:sz w:val="18"/>
                <w:szCs w:val="18"/>
              </w:rPr>
              <w:t>Chronic kidney disease</w:t>
            </w:r>
          </w:p>
        </w:tc>
        <w:tc>
          <w:tcPr>
            <w:tcW w:w="3887" w:type="dxa"/>
            <w:shd w:val="clear" w:color="auto" w:fill="auto"/>
            <w:tcMar>
              <w:top w:w="28" w:type="dxa"/>
              <w:bottom w:w="28" w:type="dxa"/>
            </w:tcMar>
            <w:vAlign w:val="center"/>
          </w:tcPr>
          <w:p w14:paraId="0C02E524" w14:textId="53861F94"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Resubmission to request a General Schedule Authority Required (STREAMLINED) listing for the treatment of chronic kidney disease.</w:t>
            </w:r>
          </w:p>
        </w:tc>
        <w:tc>
          <w:tcPr>
            <w:tcW w:w="1984" w:type="dxa"/>
            <w:shd w:val="clear" w:color="auto" w:fill="auto"/>
            <w:vAlign w:val="center"/>
          </w:tcPr>
          <w:p w14:paraId="661D5624" w14:textId="09D0D8BC"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Recommended</w:t>
            </w:r>
          </w:p>
        </w:tc>
        <w:tc>
          <w:tcPr>
            <w:tcW w:w="4053" w:type="dxa"/>
            <w:shd w:val="clear" w:color="auto" w:fill="auto"/>
            <w:vAlign w:val="center"/>
          </w:tcPr>
          <w:p w14:paraId="0E7E8889" w14:textId="6F8FC989" w:rsidR="00575F52" w:rsidRPr="00D5001E" w:rsidRDefault="00575F52" w:rsidP="00575F52">
            <w:pPr>
              <w:pStyle w:val="ListParagraph"/>
              <w:keepLines/>
              <w:ind w:left="0"/>
              <w:rPr>
                <w:rFonts w:asciiTheme="minorHAnsi" w:hAnsiTheme="minorHAnsi" w:cstheme="minorHAnsi"/>
                <w:color w:val="000000"/>
                <w:sz w:val="18"/>
                <w:szCs w:val="18"/>
                <w:highlight w:val="yellow"/>
              </w:rPr>
            </w:pPr>
            <w:r w:rsidRPr="00D5001E">
              <w:rPr>
                <w:rFonts w:asciiTheme="minorHAnsi" w:hAnsiTheme="minorHAnsi" w:cstheme="minorHAnsi"/>
                <w:color w:val="000000"/>
                <w:sz w:val="18"/>
                <w:szCs w:val="18"/>
              </w:rPr>
              <w:t xml:space="preserve">The </w:t>
            </w:r>
            <w:r w:rsidRPr="00251E7D">
              <w:rPr>
                <w:rFonts w:asciiTheme="minorHAnsi" w:hAnsiTheme="minorHAnsi" w:cstheme="minorHAnsi"/>
                <w:color w:val="000000"/>
                <w:sz w:val="18"/>
                <w:szCs w:val="18"/>
              </w:rPr>
              <w:t>PBAC recommended the l</w:t>
            </w:r>
            <w:r w:rsidR="00251E7D">
              <w:rPr>
                <w:rFonts w:asciiTheme="minorHAnsi" w:hAnsiTheme="minorHAnsi" w:cstheme="minorHAnsi"/>
                <w:color w:val="000000"/>
                <w:sz w:val="18"/>
                <w:szCs w:val="18"/>
              </w:rPr>
              <w:t xml:space="preserve">isting of dapagliflozin </w:t>
            </w:r>
            <w:r w:rsidRPr="00251E7D">
              <w:rPr>
                <w:rFonts w:asciiTheme="minorHAnsi" w:hAnsiTheme="minorHAnsi" w:cstheme="minorHAnsi"/>
                <w:color w:val="000000"/>
                <w:sz w:val="18"/>
                <w:szCs w:val="18"/>
              </w:rPr>
              <w:t xml:space="preserve">for the treatment of chronic kidney disease. The PBAC was satisfied that dapagliflozin added to standard care provides, for some patients, a significant improvement in efficacy over standard care alone. The PBAC considered that the listing would be cost-effective at the price proposed in the pre-PBAC response from July 2021. The PBAC considered the financial estimates were uncertain and advised that a risk sharing arrangement would be required. </w:t>
            </w:r>
          </w:p>
        </w:tc>
      </w:tr>
      <w:tr w:rsidR="00575F52" w:rsidRPr="00567D48" w14:paraId="3BD2C0F7" w14:textId="77777777" w:rsidTr="007128F7">
        <w:trPr>
          <w:cantSplit/>
          <w:trHeight w:val="2948"/>
        </w:trPr>
        <w:tc>
          <w:tcPr>
            <w:tcW w:w="2973" w:type="dxa"/>
            <w:shd w:val="clear" w:color="auto" w:fill="auto"/>
            <w:tcMar>
              <w:top w:w="28" w:type="dxa"/>
              <w:bottom w:w="28" w:type="dxa"/>
            </w:tcMar>
            <w:vAlign w:val="center"/>
          </w:tcPr>
          <w:p w14:paraId="1DDD84A3" w14:textId="59F2B357" w:rsidR="00575F52" w:rsidRPr="00251E7D" w:rsidRDefault="00575F52" w:rsidP="00575F52">
            <w:pPr>
              <w:keepLines/>
              <w:rPr>
                <w:rFonts w:asciiTheme="minorHAnsi" w:hAnsiTheme="minorHAnsi" w:cstheme="minorHAnsi"/>
                <w:sz w:val="18"/>
                <w:szCs w:val="18"/>
                <w:highlight w:val="yellow"/>
              </w:rPr>
            </w:pPr>
            <w:r w:rsidRPr="00251E7D">
              <w:rPr>
                <w:rFonts w:asciiTheme="minorHAnsi" w:hAnsiTheme="minorHAnsi" w:cstheme="minorHAnsi"/>
                <w:color w:val="000000"/>
                <w:sz w:val="18"/>
                <w:szCs w:val="18"/>
              </w:rPr>
              <w:lastRenderedPageBreak/>
              <w:t>DIPHTHERIA, TETANUS, PERTUSSIS, HEPATITIS B, POLIOMYELITIS AND HAEMOPHILUS INFLUENZAE TYPE B CONJUGATE VACCINE (</w:t>
            </w:r>
            <w:proofErr w:type="spellStart"/>
            <w:r w:rsidRPr="00251E7D">
              <w:rPr>
                <w:rFonts w:asciiTheme="minorHAnsi" w:hAnsiTheme="minorHAnsi" w:cstheme="minorHAnsi"/>
                <w:color w:val="000000"/>
                <w:sz w:val="18"/>
                <w:szCs w:val="18"/>
              </w:rPr>
              <w:t>DTP</w:t>
            </w:r>
            <w:r w:rsidR="008539DF">
              <w:rPr>
                <w:rFonts w:asciiTheme="minorHAnsi" w:hAnsiTheme="minorHAnsi" w:cstheme="minorHAnsi"/>
                <w:color w:val="000000"/>
                <w:sz w:val="18"/>
                <w:szCs w:val="18"/>
              </w:rPr>
              <w:t>a</w:t>
            </w:r>
            <w:proofErr w:type="spellEnd"/>
            <w:r w:rsidRPr="00251E7D">
              <w:rPr>
                <w:rFonts w:asciiTheme="minorHAnsi" w:hAnsiTheme="minorHAnsi" w:cstheme="minorHAnsi"/>
                <w:color w:val="000000"/>
                <w:sz w:val="18"/>
                <w:szCs w:val="18"/>
              </w:rPr>
              <w:t xml:space="preserve">-HB-IPV-Hib) </w:t>
            </w:r>
            <w:r w:rsidRPr="00251E7D">
              <w:rPr>
                <w:rFonts w:asciiTheme="minorHAnsi" w:hAnsiTheme="minorHAnsi" w:cstheme="minorHAnsi"/>
                <w:color w:val="000000"/>
                <w:sz w:val="18"/>
                <w:szCs w:val="18"/>
              </w:rPr>
              <w:br/>
            </w:r>
            <w:r w:rsidRPr="00251E7D">
              <w:rPr>
                <w:rFonts w:asciiTheme="minorHAnsi" w:hAnsiTheme="minorHAnsi" w:cstheme="minorHAnsi"/>
                <w:color w:val="000000"/>
                <w:sz w:val="18"/>
                <w:szCs w:val="18"/>
              </w:rPr>
              <w:br/>
              <w:t>0.5 mL pre-filled syringe</w:t>
            </w:r>
            <w:r w:rsidRPr="00251E7D">
              <w:rPr>
                <w:rFonts w:asciiTheme="minorHAnsi" w:hAnsiTheme="minorHAnsi" w:cstheme="minorHAnsi"/>
                <w:color w:val="000000"/>
                <w:sz w:val="18"/>
                <w:szCs w:val="18"/>
              </w:rPr>
              <w:br/>
            </w:r>
            <w:r w:rsidRPr="00251E7D">
              <w:rPr>
                <w:rFonts w:asciiTheme="minorHAnsi" w:hAnsiTheme="minorHAnsi" w:cstheme="minorHAnsi"/>
                <w:color w:val="000000"/>
                <w:sz w:val="18"/>
                <w:szCs w:val="18"/>
              </w:rPr>
              <w:br/>
            </w:r>
            <w:proofErr w:type="spellStart"/>
            <w:r w:rsidRPr="00251E7D">
              <w:rPr>
                <w:rFonts w:asciiTheme="minorHAnsi" w:hAnsiTheme="minorHAnsi" w:cstheme="minorHAnsi"/>
                <w:color w:val="000000"/>
                <w:sz w:val="18"/>
                <w:szCs w:val="18"/>
              </w:rPr>
              <w:t>Vaxelis</w:t>
            </w:r>
            <w:proofErr w:type="spellEnd"/>
            <w:r w:rsidRPr="00251E7D">
              <w:rPr>
                <w:rFonts w:asciiTheme="minorHAnsi" w:hAnsiTheme="minorHAnsi" w:cstheme="minorHAnsi"/>
                <w:color w:val="000000"/>
                <w:sz w:val="18"/>
                <w:szCs w:val="18"/>
              </w:rPr>
              <w:t>®</w:t>
            </w:r>
            <w:r w:rsidRPr="00251E7D">
              <w:rPr>
                <w:rFonts w:asciiTheme="minorHAnsi" w:hAnsiTheme="minorHAnsi" w:cstheme="minorHAnsi"/>
                <w:color w:val="000000"/>
                <w:sz w:val="18"/>
                <w:szCs w:val="18"/>
              </w:rPr>
              <w:br/>
            </w:r>
            <w:r w:rsidRPr="00251E7D">
              <w:rPr>
                <w:rFonts w:asciiTheme="minorHAnsi" w:hAnsiTheme="minorHAnsi" w:cstheme="minorHAnsi"/>
                <w:color w:val="000000"/>
                <w:sz w:val="18"/>
                <w:szCs w:val="18"/>
              </w:rPr>
              <w:br/>
              <w:t>Sanofi-Aventis Australia Pty Ltd</w:t>
            </w:r>
            <w:r w:rsidRPr="00251E7D">
              <w:rPr>
                <w:rFonts w:asciiTheme="minorHAnsi" w:hAnsiTheme="minorHAnsi" w:cstheme="minorHAnsi"/>
                <w:color w:val="000000"/>
                <w:sz w:val="18"/>
                <w:szCs w:val="18"/>
                <w:highlight w:val="yellow"/>
              </w:rPr>
              <w:br/>
            </w:r>
            <w:r w:rsidRPr="00251E7D">
              <w:rPr>
                <w:rFonts w:asciiTheme="minorHAnsi" w:hAnsiTheme="minorHAnsi" w:cstheme="minorHAnsi"/>
                <w:color w:val="000000"/>
                <w:sz w:val="18"/>
                <w:szCs w:val="18"/>
                <w:highlight w:val="yellow"/>
              </w:rPr>
              <w:br/>
            </w:r>
            <w:r w:rsidRPr="00251E7D">
              <w:rPr>
                <w:rFonts w:asciiTheme="minorHAnsi" w:hAnsiTheme="minorHAnsi" w:cstheme="minorHAnsi"/>
                <w:color w:val="000000"/>
                <w:sz w:val="18"/>
                <w:szCs w:val="18"/>
              </w:rPr>
              <w:t>Category 2 submission</w:t>
            </w:r>
            <w:r w:rsidRPr="00251E7D">
              <w:rPr>
                <w:rFonts w:asciiTheme="minorHAnsi" w:hAnsiTheme="minorHAnsi" w:cstheme="minorHAnsi"/>
                <w:color w:val="000000"/>
                <w:sz w:val="18"/>
                <w:szCs w:val="18"/>
              </w:rPr>
              <w:br/>
              <w:t>(New listing)</w:t>
            </w:r>
          </w:p>
        </w:tc>
        <w:tc>
          <w:tcPr>
            <w:tcW w:w="2491" w:type="dxa"/>
            <w:shd w:val="clear" w:color="auto" w:fill="auto"/>
            <w:vAlign w:val="center"/>
          </w:tcPr>
          <w:p w14:paraId="563628C5" w14:textId="41774A70" w:rsidR="00575F52" w:rsidRPr="000F0297" w:rsidRDefault="00575F52" w:rsidP="00575F52">
            <w:pPr>
              <w:keepLines/>
              <w:widowControl w:val="0"/>
              <w:rPr>
                <w:rFonts w:asciiTheme="minorHAnsi" w:hAnsiTheme="minorHAnsi" w:cstheme="minorHAnsi"/>
                <w:snapToGrid w:val="0"/>
                <w:sz w:val="18"/>
                <w:szCs w:val="18"/>
                <w:lang w:eastAsia="en-US"/>
              </w:rPr>
            </w:pPr>
            <w:r w:rsidRPr="00251E7D">
              <w:rPr>
                <w:rFonts w:asciiTheme="minorHAnsi" w:hAnsiTheme="minorHAnsi" w:cstheme="minorHAnsi"/>
                <w:color w:val="000000"/>
                <w:sz w:val="18"/>
                <w:szCs w:val="18"/>
              </w:rPr>
              <w:t>Dip</w:t>
            </w:r>
            <w:r w:rsidRPr="00D5001E">
              <w:rPr>
                <w:rFonts w:asciiTheme="minorHAnsi" w:hAnsiTheme="minorHAnsi" w:cstheme="minorHAnsi"/>
                <w:color w:val="000000"/>
                <w:sz w:val="18"/>
                <w:szCs w:val="18"/>
              </w:rPr>
              <w:t>h</w:t>
            </w:r>
            <w:r w:rsidRPr="00251E7D">
              <w:rPr>
                <w:rFonts w:asciiTheme="minorHAnsi" w:hAnsiTheme="minorHAnsi" w:cstheme="minorHAnsi"/>
                <w:color w:val="000000"/>
                <w:sz w:val="18"/>
                <w:szCs w:val="18"/>
              </w:rPr>
              <w:t xml:space="preserve">theria, tetanus, pertussis, hepatitis B, </w:t>
            </w:r>
            <w:proofErr w:type="gramStart"/>
            <w:r w:rsidRPr="00251E7D">
              <w:rPr>
                <w:rFonts w:asciiTheme="minorHAnsi" w:hAnsiTheme="minorHAnsi" w:cstheme="minorHAnsi"/>
                <w:color w:val="000000"/>
                <w:sz w:val="18"/>
                <w:szCs w:val="18"/>
              </w:rPr>
              <w:t>poliomyelitis</w:t>
            </w:r>
            <w:proofErr w:type="gramEnd"/>
            <w:r w:rsidRPr="00251E7D">
              <w:rPr>
                <w:rFonts w:asciiTheme="minorHAnsi" w:hAnsiTheme="minorHAnsi" w:cstheme="minorHAnsi"/>
                <w:color w:val="000000"/>
                <w:sz w:val="18"/>
                <w:szCs w:val="18"/>
              </w:rPr>
              <w:t xml:space="preserve"> and Haemophilus influenzae type b</w:t>
            </w:r>
          </w:p>
        </w:tc>
        <w:tc>
          <w:tcPr>
            <w:tcW w:w="3887" w:type="dxa"/>
            <w:shd w:val="clear" w:color="auto" w:fill="auto"/>
            <w:tcMar>
              <w:top w:w="28" w:type="dxa"/>
              <w:bottom w:w="28" w:type="dxa"/>
            </w:tcMar>
            <w:vAlign w:val="center"/>
          </w:tcPr>
          <w:p w14:paraId="76C6F94F" w14:textId="1236351E"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251E7D">
              <w:rPr>
                <w:rFonts w:asciiTheme="minorHAnsi" w:hAnsiTheme="minorHAnsi" w:cstheme="minorHAnsi"/>
                <w:color w:val="000000"/>
                <w:sz w:val="18"/>
                <w:szCs w:val="18"/>
              </w:rPr>
              <w:t>To request National Immunisation Program listing for the prevention of dip</w:t>
            </w:r>
            <w:r w:rsidRPr="00D5001E">
              <w:rPr>
                <w:rFonts w:asciiTheme="minorHAnsi" w:hAnsiTheme="minorHAnsi" w:cstheme="minorHAnsi"/>
                <w:color w:val="000000"/>
                <w:sz w:val="18"/>
                <w:szCs w:val="18"/>
              </w:rPr>
              <w:t>h</w:t>
            </w:r>
            <w:r w:rsidRPr="00251E7D">
              <w:rPr>
                <w:rFonts w:asciiTheme="minorHAnsi" w:hAnsiTheme="minorHAnsi" w:cstheme="minorHAnsi"/>
                <w:color w:val="000000"/>
                <w:sz w:val="18"/>
                <w:szCs w:val="18"/>
              </w:rPr>
              <w:t xml:space="preserve">theria, tetanus, pertussis, hepatitis B, </w:t>
            </w:r>
            <w:proofErr w:type="gramStart"/>
            <w:r w:rsidRPr="00251E7D">
              <w:rPr>
                <w:rFonts w:asciiTheme="minorHAnsi" w:hAnsiTheme="minorHAnsi" w:cstheme="minorHAnsi"/>
                <w:color w:val="000000"/>
                <w:sz w:val="18"/>
                <w:szCs w:val="18"/>
              </w:rPr>
              <w:t>poliomyelitis</w:t>
            </w:r>
            <w:proofErr w:type="gramEnd"/>
            <w:r w:rsidRPr="00251E7D">
              <w:rPr>
                <w:rFonts w:asciiTheme="minorHAnsi" w:hAnsiTheme="minorHAnsi" w:cstheme="minorHAnsi"/>
                <w:color w:val="000000"/>
                <w:sz w:val="18"/>
                <w:szCs w:val="18"/>
              </w:rPr>
              <w:t xml:space="preserve"> and Haemophilus influenzae type b.</w:t>
            </w:r>
          </w:p>
        </w:tc>
        <w:tc>
          <w:tcPr>
            <w:tcW w:w="1984" w:type="dxa"/>
            <w:shd w:val="clear" w:color="auto" w:fill="auto"/>
            <w:vAlign w:val="center"/>
          </w:tcPr>
          <w:p w14:paraId="4A57538B" w14:textId="3FBF21E4"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251E7D">
              <w:rPr>
                <w:rFonts w:asciiTheme="minorHAnsi" w:hAnsiTheme="minorHAnsi" w:cstheme="minorHAnsi"/>
                <w:color w:val="000000"/>
                <w:sz w:val="18"/>
                <w:szCs w:val="18"/>
              </w:rPr>
              <w:t>Recommended</w:t>
            </w:r>
          </w:p>
        </w:tc>
        <w:tc>
          <w:tcPr>
            <w:tcW w:w="4053" w:type="dxa"/>
            <w:shd w:val="clear" w:color="auto" w:fill="auto"/>
            <w:vAlign w:val="center"/>
          </w:tcPr>
          <w:p w14:paraId="132CE17A" w14:textId="507345EE" w:rsidR="00575F52" w:rsidRPr="000F0297" w:rsidRDefault="00575F52" w:rsidP="00575F52">
            <w:pPr>
              <w:pStyle w:val="ListParagraph"/>
              <w:keepLines/>
              <w:ind w:left="0"/>
              <w:rPr>
                <w:rFonts w:asciiTheme="minorHAnsi" w:hAnsiTheme="minorHAnsi" w:cstheme="minorHAnsi"/>
                <w:color w:val="000000"/>
                <w:sz w:val="18"/>
                <w:szCs w:val="18"/>
              </w:rPr>
            </w:pPr>
            <w:r w:rsidRPr="00251E7D">
              <w:rPr>
                <w:rFonts w:asciiTheme="minorHAnsi" w:hAnsiTheme="minorHAnsi" w:cstheme="minorHAnsi"/>
                <w:color w:val="000000"/>
                <w:sz w:val="18"/>
                <w:szCs w:val="18"/>
              </w:rPr>
              <w:t>The PBAC recommended that dip</w:t>
            </w:r>
            <w:r w:rsidRPr="00D5001E">
              <w:rPr>
                <w:rFonts w:asciiTheme="minorHAnsi" w:hAnsiTheme="minorHAnsi" w:cstheme="minorHAnsi"/>
                <w:color w:val="000000"/>
                <w:sz w:val="18"/>
                <w:szCs w:val="18"/>
              </w:rPr>
              <w:t xml:space="preserve">htheria, tetanus, pertussis, hepatitis </w:t>
            </w:r>
            <w:r w:rsidRPr="00251E7D">
              <w:rPr>
                <w:rFonts w:asciiTheme="minorHAnsi" w:hAnsiTheme="minorHAnsi" w:cstheme="minorHAnsi"/>
                <w:color w:val="000000"/>
                <w:sz w:val="18"/>
                <w:szCs w:val="18"/>
              </w:rPr>
              <w:t xml:space="preserve">B, </w:t>
            </w:r>
            <w:proofErr w:type="gramStart"/>
            <w:r w:rsidRPr="00251E7D">
              <w:rPr>
                <w:rFonts w:asciiTheme="minorHAnsi" w:hAnsiTheme="minorHAnsi" w:cstheme="minorHAnsi"/>
                <w:color w:val="000000"/>
                <w:sz w:val="18"/>
                <w:szCs w:val="18"/>
              </w:rPr>
              <w:t>poliomyelitis</w:t>
            </w:r>
            <w:proofErr w:type="gramEnd"/>
            <w:r w:rsidRPr="00251E7D">
              <w:rPr>
                <w:rFonts w:asciiTheme="minorHAnsi" w:hAnsiTheme="minorHAnsi" w:cstheme="minorHAnsi"/>
                <w:color w:val="000000"/>
                <w:sz w:val="18"/>
                <w:szCs w:val="18"/>
              </w:rPr>
              <w:t xml:space="preserve"> and Haemophilus influenzae type b conjugate vaccine (</w:t>
            </w:r>
            <w:proofErr w:type="spellStart"/>
            <w:r w:rsidRPr="00251E7D">
              <w:rPr>
                <w:rFonts w:asciiTheme="minorHAnsi" w:hAnsiTheme="minorHAnsi" w:cstheme="minorHAnsi"/>
                <w:color w:val="000000"/>
                <w:sz w:val="18"/>
                <w:szCs w:val="18"/>
              </w:rPr>
              <w:t>DTPa</w:t>
            </w:r>
            <w:proofErr w:type="spellEnd"/>
            <w:r w:rsidRPr="00251E7D">
              <w:rPr>
                <w:rFonts w:asciiTheme="minorHAnsi" w:hAnsiTheme="minorHAnsi" w:cstheme="minorHAnsi"/>
                <w:color w:val="000000"/>
                <w:sz w:val="18"/>
                <w:szCs w:val="18"/>
              </w:rPr>
              <w:t xml:space="preserve">-HB-IPV-Hib, </w:t>
            </w:r>
            <w:proofErr w:type="spellStart"/>
            <w:r w:rsidRPr="00251E7D">
              <w:rPr>
                <w:rFonts w:asciiTheme="minorHAnsi" w:hAnsiTheme="minorHAnsi" w:cstheme="minorHAnsi"/>
                <w:color w:val="000000"/>
                <w:sz w:val="18"/>
                <w:szCs w:val="18"/>
              </w:rPr>
              <w:t>Vaxelis</w:t>
            </w:r>
            <w:proofErr w:type="spellEnd"/>
            <w:r w:rsidRPr="00251E7D">
              <w:rPr>
                <w:rFonts w:asciiTheme="minorHAnsi" w:hAnsiTheme="minorHAnsi" w:cstheme="minorHAnsi"/>
                <w:color w:val="000000"/>
                <w:sz w:val="18"/>
                <w:szCs w:val="18"/>
              </w:rPr>
              <w:t xml:space="preserve">) be a designated vaccine for the purposes of the </w:t>
            </w:r>
            <w:r w:rsidRPr="00251E7D">
              <w:rPr>
                <w:rFonts w:asciiTheme="minorHAnsi" w:hAnsiTheme="minorHAnsi" w:cstheme="minorHAnsi"/>
                <w:i/>
                <w:iCs/>
                <w:color w:val="000000"/>
                <w:sz w:val="18"/>
                <w:szCs w:val="18"/>
              </w:rPr>
              <w:t>National Health Act 1953</w:t>
            </w:r>
            <w:r w:rsidRPr="00251E7D">
              <w:rPr>
                <w:rFonts w:asciiTheme="minorHAnsi" w:hAnsiTheme="minorHAnsi" w:cstheme="minorHAnsi"/>
                <w:color w:val="000000"/>
                <w:sz w:val="18"/>
                <w:szCs w:val="18"/>
              </w:rPr>
              <w:t xml:space="preserve">, for the primary vaccination series against diphtheria, tetanus, pertussis, hepatitis B, poliomyelitis and invasive infections caused by Haemophilus influenzae type b at 2, 4 and 6 months of age. The PBAC also considered </w:t>
            </w:r>
            <w:proofErr w:type="spellStart"/>
            <w:r w:rsidRPr="00251E7D">
              <w:rPr>
                <w:rFonts w:asciiTheme="minorHAnsi" w:hAnsiTheme="minorHAnsi" w:cstheme="minorHAnsi"/>
                <w:color w:val="000000"/>
                <w:sz w:val="18"/>
                <w:szCs w:val="18"/>
              </w:rPr>
              <w:t>Vaxelis</w:t>
            </w:r>
            <w:proofErr w:type="spellEnd"/>
            <w:r w:rsidRPr="00251E7D">
              <w:rPr>
                <w:rFonts w:asciiTheme="minorHAnsi" w:hAnsiTheme="minorHAnsi" w:cstheme="minorHAnsi"/>
                <w:color w:val="000000"/>
                <w:sz w:val="18"/>
                <w:szCs w:val="18"/>
              </w:rPr>
              <w:t xml:space="preserve"> to be suitable for catch-up for children under 10 years of age. The PBAC’s recommendation for listing was based on, among other matters, its assessment that the cost-effectiveness of </w:t>
            </w:r>
            <w:proofErr w:type="spellStart"/>
            <w:r w:rsidRPr="00251E7D">
              <w:rPr>
                <w:rFonts w:asciiTheme="minorHAnsi" w:hAnsiTheme="minorHAnsi" w:cstheme="minorHAnsi"/>
                <w:color w:val="000000"/>
                <w:sz w:val="18"/>
                <w:szCs w:val="18"/>
              </w:rPr>
              <w:t>Vaxelis</w:t>
            </w:r>
            <w:proofErr w:type="spellEnd"/>
            <w:r w:rsidRPr="00251E7D">
              <w:rPr>
                <w:rFonts w:asciiTheme="minorHAnsi" w:hAnsiTheme="minorHAnsi" w:cstheme="minorHAnsi"/>
                <w:color w:val="000000"/>
                <w:sz w:val="18"/>
                <w:szCs w:val="18"/>
              </w:rPr>
              <w:t xml:space="preserve"> would be acceptable if it were cost-minimised against the nominated comparator, Infanrix </w:t>
            </w:r>
            <w:proofErr w:type="spellStart"/>
            <w:r w:rsidRPr="00251E7D">
              <w:rPr>
                <w:rFonts w:asciiTheme="minorHAnsi" w:hAnsiTheme="minorHAnsi" w:cstheme="minorHAnsi"/>
                <w:color w:val="000000"/>
                <w:sz w:val="18"/>
                <w:szCs w:val="18"/>
              </w:rPr>
              <w:t>Hexa</w:t>
            </w:r>
            <w:proofErr w:type="spellEnd"/>
            <w:r w:rsidRPr="00251E7D">
              <w:rPr>
                <w:rFonts w:asciiTheme="minorHAnsi" w:hAnsiTheme="minorHAnsi" w:cstheme="minorHAnsi"/>
                <w:color w:val="000000"/>
                <w:sz w:val="18"/>
                <w:szCs w:val="18"/>
              </w:rPr>
              <w:t xml:space="preserve">® (the </w:t>
            </w:r>
            <w:proofErr w:type="spellStart"/>
            <w:r w:rsidRPr="00D5001E">
              <w:rPr>
                <w:rFonts w:asciiTheme="minorHAnsi" w:hAnsiTheme="minorHAnsi" w:cstheme="minorHAnsi"/>
                <w:color w:val="000000"/>
                <w:sz w:val="18"/>
                <w:szCs w:val="18"/>
              </w:rPr>
              <w:t>DTPa</w:t>
            </w:r>
            <w:proofErr w:type="spellEnd"/>
            <w:r w:rsidRPr="00D5001E">
              <w:rPr>
                <w:rFonts w:asciiTheme="minorHAnsi" w:hAnsiTheme="minorHAnsi" w:cstheme="minorHAnsi"/>
                <w:color w:val="000000"/>
                <w:sz w:val="18"/>
                <w:szCs w:val="18"/>
              </w:rPr>
              <w:t xml:space="preserve">-HB-IPV-Hib vaccine currently listed on the National Immunisation Program). </w:t>
            </w:r>
          </w:p>
        </w:tc>
      </w:tr>
      <w:tr w:rsidR="00575F52" w:rsidRPr="00567D48" w14:paraId="5E1AC7F0" w14:textId="77777777" w:rsidTr="007128F7">
        <w:trPr>
          <w:cantSplit/>
          <w:trHeight w:val="2948"/>
        </w:trPr>
        <w:tc>
          <w:tcPr>
            <w:tcW w:w="2973" w:type="dxa"/>
            <w:shd w:val="clear" w:color="auto" w:fill="auto"/>
            <w:tcMar>
              <w:top w:w="28" w:type="dxa"/>
              <w:bottom w:w="28" w:type="dxa"/>
            </w:tcMar>
            <w:vAlign w:val="center"/>
          </w:tcPr>
          <w:p w14:paraId="20459B10" w14:textId="3A698F83" w:rsidR="00575F52" w:rsidRPr="00D5001E" w:rsidRDefault="00575F52" w:rsidP="00575F52">
            <w:pPr>
              <w:keepLines/>
              <w:rPr>
                <w:rFonts w:asciiTheme="minorHAnsi" w:hAnsiTheme="minorHAnsi" w:cstheme="minorHAnsi"/>
                <w:sz w:val="18"/>
                <w:szCs w:val="18"/>
                <w:highlight w:val="yellow"/>
              </w:rPr>
            </w:pPr>
            <w:r w:rsidRPr="00D5001E">
              <w:rPr>
                <w:rFonts w:asciiTheme="minorHAnsi" w:hAnsiTheme="minorHAnsi" w:cstheme="minorHAnsi"/>
                <w:color w:val="000000"/>
                <w:sz w:val="18"/>
                <w:szCs w:val="18"/>
              </w:rPr>
              <w:t>DIROXIMEL FUMARATE</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Capsule 231 mg</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r>
            <w:proofErr w:type="spellStart"/>
            <w:r w:rsidRPr="00D5001E">
              <w:rPr>
                <w:rFonts w:asciiTheme="minorHAnsi" w:hAnsiTheme="minorHAnsi" w:cstheme="minorHAnsi"/>
                <w:color w:val="000000"/>
                <w:sz w:val="18"/>
                <w:szCs w:val="18"/>
              </w:rPr>
              <w:t>Vumerity</w:t>
            </w:r>
            <w:proofErr w:type="spellEnd"/>
            <w:r w:rsidRPr="00D5001E">
              <w:rPr>
                <w:rFonts w:asciiTheme="minorHAnsi" w:hAnsiTheme="minorHAnsi" w:cstheme="minorHAnsi"/>
                <w:color w:val="000000"/>
                <w:sz w:val="18"/>
                <w:szCs w:val="18"/>
              </w:rPr>
              <w:t>®</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Biogen Australia Pty Ltd</w:t>
            </w:r>
            <w:r w:rsidRPr="00D5001E">
              <w:rPr>
                <w:rFonts w:asciiTheme="minorHAnsi" w:hAnsiTheme="minorHAnsi" w:cstheme="minorHAnsi"/>
                <w:color w:val="000000"/>
                <w:sz w:val="18"/>
                <w:szCs w:val="18"/>
                <w:highlight w:val="yellow"/>
              </w:rPr>
              <w:br/>
            </w:r>
            <w:r w:rsidRPr="00D5001E">
              <w:rPr>
                <w:rFonts w:asciiTheme="minorHAnsi" w:hAnsiTheme="minorHAnsi" w:cstheme="minorHAnsi"/>
                <w:color w:val="000000"/>
                <w:sz w:val="18"/>
                <w:szCs w:val="18"/>
                <w:highlight w:val="yellow"/>
              </w:rPr>
              <w:br/>
            </w:r>
            <w:r w:rsidRPr="00D5001E">
              <w:rPr>
                <w:rFonts w:asciiTheme="minorHAnsi" w:hAnsiTheme="minorHAnsi" w:cstheme="minorHAnsi"/>
                <w:color w:val="000000"/>
                <w:sz w:val="18"/>
                <w:szCs w:val="18"/>
              </w:rPr>
              <w:t>Category 2 submission</w:t>
            </w:r>
            <w:r w:rsidRPr="00D5001E">
              <w:rPr>
                <w:rFonts w:asciiTheme="minorHAnsi" w:hAnsiTheme="minorHAnsi" w:cstheme="minorHAnsi"/>
                <w:color w:val="000000"/>
                <w:sz w:val="18"/>
                <w:szCs w:val="18"/>
                <w:highlight w:val="yellow"/>
              </w:rPr>
              <w:br/>
            </w:r>
            <w:r w:rsidRPr="00D5001E">
              <w:rPr>
                <w:rFonts w:asciiTheme="minorHAnsi" w:hAnsiTheme="minorHAnsi" w:cstheme="minorHAnsi"/>
                <w:color w:val="000000"/>
                <w:sz w:val="18"/>
                <w:szCs w:val="18"/>
              </w:rPr>
              <w:t>(New PBS listing)</w:t>
            </w:r>
          </w:p>
        </w:tc>
        <w:tc>
          <w:tcPr>
            <w:tcW w:w="2491" w:type="dxa"/>
            <w:shd w:val="clear" w:color="auto" w:fill="auto"/>
            <w:vAlign w:val="center"/>
          </w:tcPr>
          <w:p w14:paraId="295A73D4" w14:textId="7EB374CB" w:rsidR="00575F52" w:rsidRPr="00D5001E" w:rsidRDefault="00575F52" w:rsidP="00575F52">
            <w:pPr>
              <w:keepLines/>
              <w:widowControl w:val="0"/>
              <w:rPr>
                <w:rFonts w:asciiTheme="minorHAnsi" w:hAnsiTheme="minorHAnsi" w:cstheme="minorHAnsi"/>
                <w:snapToGrid w:val="0"/>
                <w:sz w:val="18"/>
                <w:szCs w:val="18"/>
                <w:highlight w:val="yellow"/>
                <w:lang w:eastAsia="en-US"/>
              </w:rPr>
            </w:pPr>
            <w:r w:rsidRPr="00D5001E">
              <w:rPr>
                <w:rFonts w:asciiTheme="minorHAnsi" w:hAnsiTheme="minorHAnsi" w:cstheme="minorHAnsi"/>
                <w:color w:val="000000"/>
                <w:sz w:val="18"/>
                <w:szCs w:val="18"/>
              </w:rPr>
              <w:t>Multiple sclerosis</w:t>
            </w:r>
          </w:p>
        </w:tc>
        <w:tc>
          <w:tcPr>
            <w:tcW w:w="3887" w:type="dxa"/>
            <w:shd w:val="clear" w:color="auto" w:fill="auto"/>
            <w:tcMar>
              <w:top w:w="28" w:type="dxa"/>
              <w:bottom w:w="28" w:type="dxa"/>
            </w:tcMar>
            <w:vAlign w:val="center"/>
          </w:tcPr>
          <w:p w14:paraId="0E1A5CA4" w14:textId="1E645540" w:rsidR="00575F52" w:rsidRPr="00D5001E" w:rsidRDefault="00575F52" w:rsidP="00575F52">
            <w:pPr>
              <w:pStyle w:val="ListParagraph"/>
              <w:keepLines/>
              <w:ind w:left="0"/>
              <w:rPr>
                <w:rFonts w:asciiTheme="minorHAnsi" w:hAnsiTheme="minorHAnsi" w:cstheme="minorHAnsi"/>
                <w:snapToGrid w:val="0"/>
                <w:sz w:val="18"/>
                <w:szCs w:val="18"/>
                <w:highlight w:val="yellow"/>
                <w:lang w:eastAsia="en-US"/>
              </w:rPr>
            </w:pPr>
            <w:r w:rsidRPr="00D5001E">
              <w:rPr>
                <w:rFonts w:asciiTheme="minorHAnsi" w:hAnsiTheme="minorHAnsi" w:cstheme="minorHAnsi"/>
                <w:color w:val="000000"/>
                <w:sz w:val="18"/>
                <w:szCs w:val="18"/>
              </w:rPr>
              <w:t>To request a General Schedule Authority Required (STREAMLINED) listing for the treatment of relapsing-remitting multiple sclerosis.</w:t>
            </w:r>
          </w:p>
        </w:tc>
        <w:tc>
          <w:tcPr>
            <w:tcW w:w="1984" w:type="dxa"/>
            <w:shd w:val="clear" w:color="auto" w:fill="auto"/>
            <w:vAlign w:val="center"/>
          </w:tcPr>
          <w:p w14:paraId="2460C424" w14:textId="70B0A005" w:rsidR="00575F52" w:rsidRPr="00D5001E" w:rsidRDefault="00575F52" w:rsidP="00575F52">
            <w:pPr>
              <w:pStyle w:val="ListParagraph"/>
              <w:keepLines/>
              <w:ind w:left="0"/>
              <w:rPr>
                <w:rFonts w:asciiTheme="minorHAnsi" w:hAnsiTheme="minorHAnsi" w:cstheme="minorHAnsi"/>
                <w:snapToGrid w:val="0"/>
                <w:sz w:val="18"/>
                <w:szCs w:val="18"/>
                <w:highlight w:val="yellow"/>
                <w:lang w:eastAsia="en-US"/>
              </w:rPr>
            </w:pPr>
            <w:r w:rsidRPr="00D5001E">
              <w:rPr>
                <w:rFonts w:asciiTheme="minorHAnsi" w:hAnsiTheme="minorHAnsi" w:cstheme="minorHAnsi"/>
                <w:color w:val="000000"/>
                <w:sz w:val="18"/>
                <w:szCs w:val="18"/>
              </w:rPr>
              <w:t>Recommended</w:t>
            </w:r>
          </w:p>
        </w:tc>
        <w:tc>
          <w:tcPr>
            <w:tcW w:w="4053" w:type="dxa"/>
            <w:shd w:val="clear" w:color="auto" w:fill="auto"/>
            <w:vAlign w:val="center"/>
          </w:tcPr>
          <w:p w14:paraId="2F515446" w14:textId="5403AE7A" w:rsidR="00575F52" w:rsidRPr="00D5001E" w:rsidRDefault="00575F52" w:rsidP="00575F52">
            <w:pPr>
              <w:pStyle w:val="ListParagraph"/>
              <w:keepLines/>
              <w:ind w:left="0"/>
              <w:rPr>
                <w:rFonts w:asciiTheme="minorHAnsi" w:hAnsiTheme="minorHAnsi" w:cstheme="minorHAnsi"/>
                <w:color w:val="000000"/>
                <w:sz w:val="18"/>
                <w:szCs w:val="18"/>
                <w:highlight w:val="yellow"/>
              </w:rPr>
            </w:pPr>
            <w:r w:rsidRPr="00D5001E">
              <w:rPr>
                <w:rFonts w:asciiTheme="minorHAnsi" w:hAnsiTheme="minorHAnsi" w:cstheme="minorHAnsi"/>
                <w:color w:val="000000"/>
                <w:sz w:val="18"/>
                <w:szCs w:val="18"/>
              </w:rPr>
              <w:t xml:space="preserve">The PBAC recommended the Authority Required (STREAMLINED) listing of diroximel fumarate for the treatment of relapsing-remitting multiple sclerosis. The PBAC considered the claim of non-inferior effectiveness and safety to dimethyl fumarate was reasonable. However, the PBAC considered for purposes of satisfying Section 101(3B) of the </w:t>
            </w:r>
            <w:r w:rsidRPr="00D5001E">
              <w:rPr>
                <w:rFonts w:asciiTheme="minorHAnsi" w:hAnsiTheme="minorHAnsi" w:cstheme="minorHAnsi"/>
                <w:i/>
                <w:iCs/>
                <w:color w:val="000000"/>
                <w:sz w:val="18"/>
                <w:szCs w:val="18"/>
              </w:rPr>
              <w:t>National Health Act 1953</w:t>
            </w:r>
            <w:r w:rsidRPr="00D5001E">
              <w:rPr>
                <w:rFonts w:asciiTheme="minorHAnsi" w:hAnsiTheme="minorHAnsi" w:cstheme="minorHAnsi"/>
                <w:color w:val="000000"/>
                <w:sz w:val="18"/>
                <w:szCs w:val="18"/>
              </w:rPr>
              <w:t>, glatiramer acetate, interferon beta-1a (both subcutaneous and intramuscular forms), interferon beta-1b and peg-interferon beta-1a are relevant alternative therapies. The PBAC’s recommendation was therefore, among other matters, based on its assessment that the cost of diroximel fumarate should be no greater than the cost of dimethyl fumarate or the alternative therapies at comparable daily doses.</w:t>
            </w:r>
          </w:p>
        </w:tc>
      </w:tr>
      <w:tr w:rsidR="00575F52" w:rsidRPr="00567D48" w14:paraId="469BDF78" w14:textId="77777777" w:rsidTr="007128F7">
        <w:trPr>
          <w:cantSplit/>
          <w:trHeight w:val="2948"/>
        </w:trPr>
        <w:tc>
          <w:tcPr>
            <w:tcW w:w="2973" w:type="dxa"/>
            <w:shd w:val="clear" w:color="auto" w:fill="auto"/>
            <w:tcMar>
              <w:top w:w="28" w:type="dxa"/>
              <w:bottom w:w="28" w:type="dxa"/>
            </w:tcMar>
            <w:vAlign w:val="center"/>
          </w:tcPr>
          <w:p w14:paraId="0A89DA23" w14:textId="28724543" w:rsidR="00575F52" w:rsidRPr="00D5001E" w:rsidRDefault="00575F52" w:rsidP="00575F52">
            <w:pPr>
              <w:keepLines/>
              <w:rPr>
                <w:rFonts w:asciiTheme="minorHAnsi" w:hAnsiTheme="minorHAnsi" w:cstheme="minorHAnsi"/>
                <w:sz w:val="18"/>
                <w:szCs w:val="18"/>
                <w:highlight w:val="yellow"/>
              </w:rPr>
            </w:pPr>
            <w:r w:rsidRPr="00D5001E">
              <w:rPr>
                <w:rFonts w:asciiTheme="minorHAnsi" w:hAnsiTheme="minorHAnsi" w:cstheme="minorHAnsi"/>
                <w:color w:val="000000"/>
                <w:sz w:val="18"/>
                <w:szCs w:val="18"/>
              </w:rPr>
              <w:lastRenderedPageBreak/>
              <w:t>DORZOLAMIDE WITH TIMOLOL</w:t>
            </w:r>
            <w:r w:rsidRPr="00D5001E">
              <w:rPr>
                <w:rFonts w:asciiTheme="minorHAnsi" w:hAnsiTheme="minorHAnsi" w:cstheme="minorHAnsi"/>
                <w:color w:val="000000"/>
                <w:sz w:val="18"/>
                <w:szCs w:val="18"/>
              </w:rPr>
              <w:br/>
            </w:r>
            <w:r w:rsidRPr="00251E7D">
              <w:rPr>
                <w:rFonts w:asciiTheme="minorHAnsi" w:hAnsiTheme="minorHAnsi" w:cstheme="minorHAnsi"/>
                <w:color w:val="000000"/>
                <w:sz w:val="18"/>
                <w:szCs w:val="18"/>
              </w:rPr>
              <w:br/>
              <w:t>Eye drops containing dorzolamide 20 mg (as hydrochloride) with timolol 5 mg (as maleate) per mL, 5 mL</w:t>
            </w:r>
            <w:r w:rsidRPr="00251E7D">
              <w:rPr>
                <w:rFonts w:asciiTheme="minorHAnsi" w:hAnsiTheme="minorHAnsi" w:cstheme="minorHAnsi"/>
                <w:color w:val="000000"/>
                <w:sz w:val="18"/>
                <w:szCs w:val="18"/>
              </w:rPr>
              <w:br/>
            </w:r>
            <w:r w:rsidRPr="00251E7D">
              <w:rPr>
                <w:rFonts w:asciiTheme="minorHAnsi" w:hAnsiTheme="minorHAnsi" w:cstheme="minorHAnsi"/>
                <w:color w:val="000000"/>
                <w:sz w:val="18"/>
                <w:szCs w:val="18"/>
              </w:rPr>
              <w:br/>
            </w:r>
            <w:proofErr w:type="spellStart"/>
            <w:r w:rsidRPr="00251E7D">
              <w:rPr>
                <w:rFonts w:asciiTheme="minorHAnsi" w:hAnsiTheme="minorHAnsi" w:cstheme="minorHAnsi"/>
                <w:color w:val="000000"/>
                <w:sz w:val="18"/>
                <w:szCs w:val="18"/>
              </w:rPr>
              <w:t>VIzo</w:t>
            </w:r>
            <w:proofErr w:type="spellEnd"/>
            <w:r w:rsidRPr="00251E7D">
              <w:rPr>
                <w:rFonts w:asciiTheme="minorHAnsi" w:hAnsiTheme="minorHAnsi" w:cstheme="minorHAnsi"/>
                <w:color w:val="000000"/>
                <w:sz w:val="18"/>
                <w:szCs w:val="18"/>
              </w:rPr>
              <w:t xml:space="preserve">-PF </w:t>
            </w:r>
            <w:proofErr w:type="spellStart"/>
            <w:r w:rsidRPr="00251E7D">
              <w:rPr>
                <w:rFonts w:asciiTheme="minorHAnsi" w:hAnsiTheme="minorHAnsi" w:cstheme="minorHAnsi"/>
                <w:color w:val="000000"/>
                <w:sz w:val="18"/>
                <w:szCs w:val="18"/>
              </w:rPr>
              <w:t>Dorzolatim</w:t>
            </w:r>
            <w:proofErr w:type="spellEnd"/>
            <w:r w:rsidRPr="00251E7D">
              <w:rPr>
                <w:rFonts w:asciiTheme="minorHAnsi" w:hAnsiTheme="minorHAnsi" w:cstheme="minorHAnsi"/>
                <w:color w:val="000000"/>
                <w:sz w:val="18"/>
                <w:szCs w:val="18"/>
              </w:rPr>
              <w:t>®</w:t>
            </w:r>
            <w:r w:rsidRPr="00251E7D">
              <w:rPr>
                <w:rFonts w:asciiTheme="minorHAnsi" w:hAnsiTheme="minorHAnsi" w:cstheme="minorHAnsi"/>
                <w:color w:val="000000"/>
                <w:sz w:val="18"/>
                <w:szCs w:val="18"/>
              </w:rPr>
              <w:br/>
            </w:r>
            <w:r w:rsidRPr="00251E7D">
              <w:rPr>
                <w:rFonts w:asciiTheme="minorHAnsi" w:hAnsiTheme="minorHAnsi" w:cstheme="minorHAnsi"/>
                <w:color w:val="000000"/>
                <w:sz w:val="18"/>
                <w:szCs w:val="18"/>
              </w:rPr>
              <w:br/>
              <w:t>Aft Pharmaceuticals (AU) Pty Ltd</w:t>
            </w:r>
            <w:r w:rsidRPr="00251E7D">
              <w:rPr>
                <w:rFonts w:asciiTheme="minorHAnsi" w:hAnsiTheme="minorHAnsi" w:cstheme="minorHAnsi"/>
                <w:color w:val="000000"/>
                <w:sz w:val="18"/>
                <w:szCs w:val="18"/>
                <w:highlight w:val="yellow"/>
              </w:rPr>
              <w:br/>
            </w:r>
            <w:r w:rsidRPr="00251E7D">
              <w:rPr>
                <w:rFonts w:asciiTheme="minorHAnsi" w:hAnsiTheme="minorHAnsi" w:cstheme="minorHAnsi"/>
                <w:color w:val="000000"/>
                <w:sz w:val="18"/>
                <w:szCs w:val="18"/>
              </w:rPr>
              <w:br/>
              <w:t>Committee secretariat submission</w:t>
            </w:r>
            <w:r w:rsidRPr="00251E7D">
              <w:rPr>
                <w:rFonts w:asciiTheme="minorHAnsi" w:hAnsiTheme="minorHAnsi" w:cstheme="minorHAnsi"/>
                <w:color w:val="000000"/>
                <w:sz w:val="18"/>
                <w:szCs w:val="18"/>
                <w:highlight w:val="yellow"/>
              </w:rPr>
              <w:br/>
            </w:r>
            <w:r w:rsidRPr="00251E7D">
              <w:rPr>
                <w:rFonts w:asciiTheme="minorHAnsi" w:hAnsiTheme="minorHAnsi" w:cstheme="minorHAnsi"/>
                <w:color w:val="000000"/>
                <w:sz w:val="18"/>
                <w:szCs w:val="18"/>
              </w:rPr>
              <w:t>(New PBS listing)</w:t>
            </w:r>
          </w:p>
        </w:tc>
        <w:tc>
          <w:tcPr>
            <w:tcW w:w="2491" w:type="dxa"/>
            <w:shd w:val="clear" w:color="auto" w:fill="auto"/>
            <w:vAlign w:val="center"/>
          </w:tcPr>
          <w:p w14:paraId="65822EE7" w14:textId="789C3FD4" w:rsidR="00575F52" w:rsidRPr="000F0297" w:rsidRDefault="00575F52" w:rsidP="00575F52">
            <w:pPr>
              <w:keepLines/>
              <w:widowControl w:val="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Elevated intra-ocular pressure</w:t>
            </w:r>
          </w:p>
        </w:tc>
        <w:tc>
          <w:tcPr>
            <w:tcW w:w="3887" w:type="dxa"/>
            <w:shd w:val="clear" w:color="auto" w:fill="auto"/>
            <w:tcMar>
              <w:top w:w="28" w:type="dxa"/>
              <w:bottom w:w="28" w:type="dxa"/>
            </w:tcMar>
            <w:vAlign w:val="center"/>
          </w:tcPr>
          <w:p w14:paraId="4E4E4AFA" w14:textId="1D49A945"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 xml:space="preserve">To request a General Schedule Restricted Benefit listing of a new form in a preservative-free multi-dose bottle under the same conditions as the currently listed brands of dorzolamide with timolol.  </w:t>
            </w:r>
          </w:p>
        </w:tc>
        <w:tc>
          <w:tcPr>
            <w:tcW w:w="1984" w:type="dxa"/>
            <w:shd w:val="clear" w:color="auto" w:fill="auto"/>
            <w:vAlign w:val="center"/>
          </w:tcPr>
          <w:p w14:paraId="2C9F4AB6" w14:textId="2DEF7C48"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Recommended</w:t>
            </w:r>
          </w:p>
        </w:tc>
        <w:tc>
          <w:tcPr>
            <w:tcW w:w="4053" w:type="dxa"/>
            <w:shd w:val="clear" w:color="auto" w:fill="auto"/>
            <w:vAlign w:val="center"/>
          </w:tcPr>
          <w:p w14:paraId="7602058D" w14:textId="5F2C18D8" w:rsidR="00575F52" w:rsidRPr="000F0297" w:rsidRDefault="00575F52" w:rsidP="00575F52">
            <w:pPr>
              <w:pStyle w:val="ListParagraph"/>
              <w:keepLines/>
              <w:ind w:left="0"/>
              <w:rPr>
                <w:rFonts w:asciiTheme="minorHAnsi" w:hAnsiTheme="minorHAnsi" w:cstheme="minorHAnsi"/>
                <w:color w:val="000000"/>
                <w:sz w:val="18"/>
                <w:szCs w:val="18"/>
              </w:rPr>
            </w:pPr>
            <w:r w:rsidRPr="00D5001E">
              <w:rPr>
                <w:rFonts w:asciiTheme="minorHAnsi" w:hAnsiTheme="minorHAnsi" w:cstheme="minorHAnsi"/>
                <w:color w:val="000000"/>
                <w:sz w:val="18"/>
                <w:szCs w:val="18"/>
              </w:rPr>
              <w:t xml:space="preserve">The PBAC recommended the listing of a new ophthalmic eye drop </w:t>
            </w:r>
            <w:r w:rsidRPr="00251E7D">
              <w:rPr>
                <w:rFonts w:asciiTheme="minorHAnsi" w:hAnsiTheme="minorHAnsi" w:cstheme="minorHAnsi"/>
                <w:color w:val="000000"/>
                <w:sz w:val="18"/>
                <w:szCs w:val="18"/>
              </w:rPr>
              <w:t xml:space="preserve">solution in a preservative-free multi-dose bottle, </w:t>
            </w:r>
            <w:proofErr w:type="spellStart"/>
            <w:r w:rsidRPr="00251E7D">
              <w:rPr>
                <w:rFonts w:asciiTheme="minorHAnsi" w:hAnsiTheme="minorHAnsi" w:cstheme="minorHAnsi"/>
                <w:color w:val="000000"/>
                <w:sz w:val="18"/>
                <w:szCs w:val="18"/>
              </w:rPr>
              <w:t>Vizo</w:t>
            </w:r>
            <w:proofErr w:type="spellEnd"/>
            <w:r w:rsidRPr="00251E7D">
              <w:rPr>
                <w:rFonts w:asciiTheme="minorHAnsi" w:hAnsiTheme="minorHAnsi" w:cstheme="minorHAnsi"/>
                <w:color w:val="000000"/>
                <w:sz w:val="18"/>
                <w:szCs w:val="18"/>
              </w:rPr>
              <w:t xml:space="preserve">-PF </w:t>
            </w:r>
            <w:proofErr w:type="spellStart"/>
            <w:r w:rsidRPr="00251E7D">
              <w:rPr>
                <w:rFonts w:asciiTheme="minorHAnsi" w:hAnsiTheme="minorHAnsi" w:cstheme="minorHAnsi"/>
                <w:color w:val="000000"/>
                <w:sz w:val="18"/>
                <w:szCs w:val="18"/>
              </w:rPr>
              <w:t>Dorzolatim</w:t>
            </w:r>
            <w:proofErr w:type="spellEnd"/>
            <w:r w:rsidR="00E16633">
              <w:rPr>
                <w:rFonts w:asciiTheme="minorHAnsi" w:hAnsiTheme="minorHAnsi" w:cstheme="minorHAnsi"/>
                <w:color w:val="000000"/>
                <w:sz w:val="18"/>
                <w:szCs w:val="18"/>
              </w:rPr>
              <w:t>®</w:t>
            </w:r>
            <w:r w:rsidRPr="00251E7D">
              <w:rPr>
                <w:rFonts w:asciiTheme="minorHAnsi" w:hAnsiTheme="minorHAnsi" w:cstheme="minorHAnsi"/>
                <w:color w:val="000000"/>
                <w:sz w:val="18"/>
                <w:szCs w:val="18"/>
              </w:rPr>
              <w:t>, under the same circumstances as the currently listed brands of dorzolamide + timolol eye drops (</w:t>
            </w:r>
            <w:proofErr w:type="spellStart"/>
            <w:r w:rsidRPr="00251E7D">
              <w:rPr>
                <w:rFonts w:asciiTheme="minorHAnsi" w:hAnsiTheme="minorHAnsi" w:cstheme="minorHAnsi"/>
                <w:color w:val="000000"/>
                <w:sz w:val="18"/>
                <w:szCs w:val="18"/>
              </w:rPr>
              <w:t>Cosopt</w:t>
            </w:r>
            <w:proofErr w:type="spellEnd"/>
            <w:r w:rsidRPr="00251E7D">
              <w:rPr>
                <w:rFonts w:asciiTheme="minorHAnsi" w:hAnsiTheme="minorHAnsi" w:cstheme="minorHAnsi"/>
                <w:color w:val="000000"/>
                <w:sz w:val="18"/>
                <w:szCs w:val="18"/>
              </w:rPr>
              <w:t xml:space="preserve">® and </w:t>
            </w:r>
            <w:proofErr w:type="spellStart"/>
            <w:r w:rsidRPr="00251E7D">
              <w:rPr>
                <w:rFonts w:asciiTheme="minorHAnsi" w:hAnsiTheme="minorHAnsi" w:cstheme="minorHAnsi"/>
                <w:color w:val="000000"/>
                <w:sz w:val="18"/>
                <w:szCs w:val="18"/>
              </w:rPr>
              <w:t>Cosdor</w:t>
            </w:r>
            <w:proofErr w:type="spellEnd"/>
            <w:r w:rsidRPr="00251E7D">
              <w:rPr>
                <w:rFonts w:asciiTheme="minorHAnsi" w:hAnsiTheme="minorHAnsi" w:cstheme="minorHAnsi"/>
                <w:color w:val="000000"/>
                <w:sz w:val="18"/>
                <w:szCs w:val="18"/>
              </w:rPr>
              <w:t xml:space="preserve">®), for the treatment of elevated intraocular pressure in patients with ocular hypertension or open-angle glaucoma when concomitant therapy is appropriate. The PBAC advised, under Section 101 (4AACD) of the </w:t>
            </w:r>
            <w:r w:rsidRPr="00251E7D">
              <w:rPr>
                <w:rFonts w:asciiTheme="minorHAnsi" w:hAnsiTheme="minorHAnsi" w:cstheme="minorHAnsi"/>
                <w:i/>
                <w:iCs/>
                <w:color w:val="000000"/>
                <w:sz w:val="18"/>
                <w:szCs w:val="18"/>
              </w:rPr>
              <w:t>National Health Act 1953</w:t>
            </w:r>
            <w:r w:rsidRPr="00251E7D">
              <w:rPr>
                <w:rFonts w:asciiTheme="minorHAnsi" w:hAnsiTheme="minorHAnsi" w:cstheme="minorHAnsi"/>
                <w:color w:val="000000"/>
                <w:sz w:val="18"/>
                <w:szCs w:val="18"/>
              </w:rPr>
              <w:t xml:space="preserve">, that the </w:t>
            </w:r>
            <w:proofErr w:type="spellStart"/>
            <w:r w:rsidRPr="00251E7D">
              <w:rPr>
                <w:rFonts w:asciiTheme="minorHAnsi" w:hAnsiTheme="minorHAnsi" w:cstheme="minorHAnsi"/>
                <w:color w:val="000000"/>
                <w:sz w:val="18"/>
                <w:szCs w:val="18"/>
              </w:rPr>
              <w:t>Vizo</w:t>
            </w:r>
            <w:proofErr w:type="spellEnd"/>
            <w:r w:rsidRPr="00251E7D">
              <w:rPr>
                <w:rFonts w:asciiTheme="minorHAnsi" w:hAnsiTheme="minorHAnsi" w:cstheme="minorHAnsi"/>
                <w:color w:val="000000"/>
                <w:sz w:val="18"/>
                <w:szCs w:val="18"/>
              </w:rPr>
              <w:t xml:space="preserve">-PF </w:t>
            </w:r>
            <w:proofErr w:type="spellStart"/>
            <w:r w:rsidRPr="00251E7D">
              <w:rPr>
                <w:rFonts w:asciiTheme="minorHAnsi" w:hAnsiTheme="minorHAnsi" w:cstheme="minorHAnsi"/>
                <w:color w:val="000000"/>
                <w:sz w:val="18"/>
                <w:szCs w:val="18"/>
              </w:rPr>
              <w:t>Dorzolatim</w:t>
            </w:r>
            <w:proofErr w:type="spellEnd"/>
            <w:r w:rsidR="00E16633">
              <w:rPr>
                <w:rFonts w:asciiTheme="minorHAnsi" w:hAnsiTheme="minorHAnsi" w:cstheme="minorHAnsi"/>
                <w:color w:val="000000"/>
                <w:sz w:val="18"/>
                <w:szCs w:val="18"/>
              </w:rPr>
              <w:t>®</w:t>
            </w:r>
            <w:r w:rsidRPr="00251E7D">
              <w:rPr>
                <w:rFonts w:asciiTheme="minorHAnsi" w:hAnsiTheme="minorHAnsi" w:cstheme="minorHAnsi"/>
                <w:color w:val="000000"/>
                <w:sz w:val="18"/>
                <w:szCs w:val="18"/>
              </w:rPr>
              <w:t xml:space="preserve">, </w:t>
            </w:r>
            <w:proofErr w:type="spellStart"/>
            <w:r w:rsidRPr="00251E7D">
              <w:rPr>
                <w:rFonts w:asciiTheme="minorHAnsi" w:hAnsiTheme="minorHAnsi" w:cstheme="minorHAnsi"/>
                <w:color w:val="000000"/>
                <w:sz w:val="18"/>
                <w:szCs w:val="18"/>
              </w:rPr>
              <w:t>Cosopt</w:t>
            </w:r>
            <w:proofErr w:type="spellEnd"/>
            <w:r w:rsidR="00E16633">
              <w:rPr>
                <w:rFonts w:asciiTheme="minorHAnsi" w:hAnsiTheme="minorHAnsi" w:cstheme="minorHAnsi"/>
                <w:color w:val="000000"/>
                <w:sz w:val="18"/>
                <w:szCs w:val="18"/>
              </w:rPr>
              <w:t>®</w:t>
            </w:r>
            <w:r w:rsidRPr="00251E7D">
              <w:rPr>
                <w:rFonts w:asciiTheme="minorHAnsi" w:hAnsiTheme="minorHAnsi" w:cstheme="minorHAnsi"/>
                <w:color w:val="000000"/>
                <w:sz w:val="18"/>
                <w:szCs w:val="18"/>
              </w:rPr>
              <w:t xml:space="preserve"> and </w:t>
            </w:r>
            <w:proofErr w:type="spellStart"/>
            <w:r w:rsidRPr="00251E7D">
              <w:rPr>
                <w:rFonts w:asciiTheme="minorHAnsi" w:hAnsiTheme="minorHAnsi" w:cstheme="minorHAnsi"/>
                <w:color w:val="000000"/>
                <w:sz w:val="18"/>
                <w:szCs w:val="18"/>
              </w:rPr>
              <w:t>Cosdor</w:t>
            </w:r>
            <w:proofErr w:type="spellEnd"/>
            <w:r w:rsidR="00E16633">
              <w:rPr>
                <w:rFonts w:asciiTheme="minorHAnsi" w:hAnsiTheme="minorHAnsi" w:cstheme="minorHAnsi"/>
                <w:color w:val="000000"/>
                <w:sz w:val="18"/>
                <w:szCs w:val="18"/>
              </w:rPr>
              <w:t>®</w:t>
            </w:r>
            <w:r w:rsidRPr="00251E7D">
              <w:rPr>
                <w:rFonts w:asciiTheme="minorHAnsi" w:hAnsiTheme="minorHAnsi" w:cstheme="minorHAnsi"/>
                <w:color w:val="000000"/>
                <w:sz w:val="18"/>
                <w:szCs w:val="18"/>
              </w:rPr>
              <w:t xml:space="preserve"> brands of dorzolamide + timolol eye drops should be considered equivalent for the purposes of substitution.</w:t>
            </w:r>
          </w:p>
        </w:tc>
      </w:tr>
      <w:tr w:rsidR="00575F52" w:rsidRPr="00567D48" w14:paraId="5EC245EB" w14:textId="77777777" w:rsidTr="007128F7">
        <w:trPr>
          <w:cantSplit/>
          <w:trHeight w:val="2948"/>
        </w:trPr>
        <w:tc>
          <w:tcPr>
            <w:tcW w:w="2973" w:type="dxa"/>
            <w:shd w:val="clear" w:color="auto" w:fill="auto"/>
            <w:tcMar>
              <w:top w:w="28" w:type="dxa"/>
              <w:bottom w:w="28" w:type="dxa"/>
            </w:tcMar>
            <w:vAlign w:val="center"/>
          </w:tcPr>
          <w:p w14:paraId="70384D83" w14:textId="56A4116C" w:rsidR="00575F52" w:rsidRPr="00D5001E" w:rsidRDefault="00575F52" w:rsidP="00575F52">
            <w:pPr>
              <w:keepLines/>
              <w:rPr>
                <w:rFonts w:asciiTheme="minorHAnsi" w:hAnsiTheme="minorHAnsi" w:cstheme="minorHAnsi"/>
                <w:sz w:val="18"/>
                <w:szCs w:val="18"/>
                <w:highlight w:val="yellow"/>
              </w:rPr>
            </w:pPr>
            <w:r w:rsidRPr="00D5001E">
              <w:rPr>
                <w:rFonts w:asciiTheme="minorHAnsi" w:hAnsiTheme="minorHAnsi" w:cstheme="minorHAnsi"/>
                <w:color w:val="000000"/>
                <w:sz w:val="18"/>
                <w:szCs w:val="18"/>
              </w:rPr>
              <w:lastRenderedPageBreak/>
              <w:t xml:space="preserve">DOSTARLIMAB </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Solution concentrate for I.V. infusion 500 mg in 10 mL</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Jemperli®</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GlaxoSmithKline Australia Pty Ltd</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Category 1 submission</w:t>
            </w:r>
            <w:r w:rsidRPr="00D5001E">
              <w:rPr>
                <w:rFonts w:asciiTheme="minorHAnsi" w:hAnsiTheme="minorHAnsi" w:cstheme="minorHAnsi"/>
                <w:color w:val="000000"/>
                <w:sz w:val="18"/>
                <w:szCs w:val="18"/>
              </w:rPr>
              <w:br/>
              <w:t>(New PBS listing)</w:t>
            </w:r>
          </w:p>
        </w:tc>
        <w:tc>
          <w:tcPr>
            <w:tcW w:w="2491" w:type="dxa"/>
            <w:shd w:val="clear" w:color="auto" w:fill="auto"/>
            <w:vAlign w:val="center"/>
          </w:tcPr>
          <w:p w14:paraId="3B029E50" w14:textId="6F3D43C8" w:rsidR="00575F52" w:rsidRPr="00D5001E" w:rsidRDefault="00575F52" w:rsidP="00575F52">
            <w:pPr>
              <w:keepLines/>
              <w:widowControl w:val="0"/>
              <w:rPr>
                <w:rFonts w:asciiTheme="minorHAnsi" w:hAnsiTheme="minorHAnsi" w:cstheme="minorHAnsi"/>
                <w:snapToGrid w:val="0"/>
                <w:sz w:val="18"/>
                <w:szCs w:val="18"/>
                <w:highlight w:val="yellow"/>
                <w:lang w:eastAsia="en-US"/>
              </w:rPr>
            </w:pPr>
            <w:r w:rsidRPr="00D5001E">
              <w:rPr>
                <w:rFonts w:asciiTheme="minorHAnsi" w:hAnsiTheme="minorHAnsi" w:cstheme="minorHAnsi"/>
                <w:color w:val="000000"/>
                <w:sz w:val="18"/>
                <w:szCs w:val="18"/>
              </w:rPr>
              <w:t>Endometrial cancer</w:t>
            </w:r>
          </w:p>
        </w:tc>
        <w:tc>
          <w:tcPr>
            <w:tcW w:w="3887" w:type="dxa"/>
            <w:shd w:val="clear" w:color="auto" w:fill="auto"/>
            <w:tcMar>
              <w:top w:w="28" w:type="dxa"/>
              <w:bottom w:w="28" w:type="dxa"/>
            </w:tcMar>
            <w:vAlign w:val="center"/>
          </w:tcPr>
          <w:p w14:paraId="6E80497D" w14:textId="4202F7A0"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To request a Section 100 (Efficient Funding of Chemotherapy Program) Authority Required (STREAMLINED) listing for the treatment of recurrent or advanced mismatch repair deficient endometrial cancer that has progressed on or following prior treatment with a platinum-containing regimen.</w:t>
            </w:r>
          </w:p>
        </w:tc>
        <w:tc>
          <w:tcPr>
            <w:tcW w:w="1984" w:type="dxa"/>
            <w:shd w:val="clear" w:color="auto" w:fill="auto"/>
            <w:vAlign w:val="center"/>
          </w:tcPr>
          <w:p w14:paraId="4A9025DD" w14:textId="6952BADB"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Not Recommended</w:t>
            </w:r>
          </w:p>
        </w:tc>
        <w:tc>
          <w:tcPr>
            <w:tcW w:w="4053" w:type="dxa"/>
            <w:shd w:val="clear" w:color="auto" w:fill="auto"/>
            <w:vAlign w:val="center"/>
          </w:tcPr>
          <w:p w14:paraId="586FC6EF" w14:textId="5D999D1A" w:rsidR="00575F52" w:rsidRPr="00251E7D" w:rsidRDefault="00575F52" w:rsidP="00575F52">
            <w:pPr>
              <w:pStyle w:val="ListParagraph"/>
              <w:keepLines/>
              <w:ind w:left="0"/>
              <w:rPr>
                <w:rFonts w:asciiTheme="minorHAnsi" w:hAnsiTheme="minorHAnsi" w:cstheme="minorHAnsi"/>
                <w:color w:val="000000"/>
                <w:sz w:val="18"/>
                <w:szCs w:val="18"/>
              </w:rPr>
            </w:pPr>
            <w:r w:rsidRPr="00C65728">
              <w:rPr>
                <w:rFonts w:asciiTheme="minorHAnsi" w:hAnsiTheme="minorHAnsi" w:cstheme="minorHAnsi"/>
                <w:color w:val="000000"/>
                <w:sz w:val="18"/>
                <w:szCs w:val="18"/>
              </w:rPr>
              <w:t xml:space="preserve">The PBAC did not recommend the listing of dostarlimab for the treatment of patients with </w:t>
            </w:r>
            <w:r w:rsidR="009205FD" w:rsidRPr="00C972A5">
              <w:rPr>
                <w:rFonts w:asciiTheme="minorHAnsi" w:hAnsiTheme="minorHAnsi" w:cstheme="minorHAnsi"/>
                <w:color w:val="000000"/>
                <w:sz w:val="18"/>
                <w:szCs w:val="18"/>
              </w:rPr>
              <w:t xml:space="preserve">recurrent or </w:t>
            </w:r>
            <w:r w:rsidRPr="00C972A5">
              <w:rPr>
                <w:rFonts w:asciiTheme="minorHAnsi" w:hAnsiTheme="minorHAnsi" w:cstheme="minorHAnsi"/>
                <w:color w:val="000000"/>
                <w:sz w:val="18"/>
                <w:szCs w:val="18"/>
              </w:rPr>
              <w:t>advanced</w:t>
            </w:r>
            <w:r w:rsidRPr="00C65728">
              <w:rPr>
                <w:rFonts w:asciiTheme="minorHAnsi" w:hAnsiTheme="minorHAnsi" w:cstheme="minorHAnsi"/>
                <w:color w:val="000000"/>
                <w:sz w:val="18"/>
                <w:szCs w:val="18"/>
              </w:rPr>
              <w:t xml:space="preserve"> mismatch repair deficient endometrial cancer who have disease progression following prior systemic therapy. The PBAC noted that the evidence submitted for dostarlimab was based on a relatively small single arm study with immature follow-up and considered there were key transitivity and methodological issues with the indirect comparisons presented in the submission. Overall, the PBAC considered that the magnitude of benefit for dostarlimab over chemotherapy was uncertain and the incremental cost</w:t>
            </w:r>
            <w:r w:rsidRPr="00C65728">
              <w:rPr>
                <w:rFonts w:ascii="Cambria Math" w:hAnsi="Cambria Math" w:cs="Cambria Math"/>
                <w:color w:val="000000"/>
                <w:sz w:val="18"/>
                <w:szCs w:val="18"/>
              </w:rPr>
              <w:t>‑</w:t>
            </w:r>
            <w:r w:rsidRPr="00C65728">
              <w:rPr>
                <w:rFonts w:asciiTheme="minorHAnsi" w:hAnsiTheme="minorHAnsi" w:cstheme="minorHAnsi"/>
                <w:color w:val="000000"/>
                <w:sz w:val="18"/>
                <w:szCs w:val="18"/>
              </w:rPr>
              <w:t>effectiveness ratio was highly uncertain because the modelled survival benefit was not adequately supported by the available data.</w:t>
            </w:r>
          </w:p>
          <w:p w14:paraId="05015D22" w14:textId="77777777" w:rsidR="00575F52" w:rsidRPr="00C65728" w:rsidRDefault="00575F52" w:rsidP="00575F52">
            <w:pPr>
              <w:pStyle w:val="ListParagraph"/>
              <w:keepLines/>
              <w:ind w:left="0"/>
              <w:rPr>
                <w:rFonts w:asciiTheme="minorHAnsi" w:hAnsiTheme="minorHAnsi" w:cstheme="minorHAnsi"/>
                <w:color w:val="000000"/>
                <w:sz w:val="18"/>
                <w:szCs w:val="18"/>
              </w:rPr>
            </w:pPr>
          </w:p>
          <w:p w14:paraId="1FD9F29D" w14:textId="77777777" w:rsidR="00E90F41" w:rsidRDefault="00575F52" w:rsidP="00575F52">
            <w:pPr>
              <w:pStyle w:val="ListParagraph"/>
              <w:keepLines/>
              <w:ind w:left="0"/>
              <w:rPr>
                <w:rFonts w:asciiTheme="minorHAnsi" w:hAnsiTheme="minorHAnsi" w:cstheme="minorHAnsi"/>
                <w:color w:val="000000"/>
                <w:sz w:val="18"/>
                <w:szCs w:val="18"/>
              </w:rPr>
            </w:pPr>
            <w:r w:rsidRPr="00C65728">
              <w:rPr>
                <w:rFonts w:asciiTheme="minorHAnsi" w:hAnsiTheme="minorHAnsi" w:cstheme="minorHAnsi"/>
                <w:color w:val="000000"/>
                <w:sz w:val="18"/>
                <w:szCs w:val="18"/>
                <w:u w:val="single"/>
              </w:rPr>
              <w:t>Sponsor Comment</w:t>
            </w:r>
            <w:r w:rsidRPr="009205FD">
              <w:rPr>
                <w:rFonts w:asciiTheme="minorHAnsi" w:hAnsiTheme="minorHAnsi" w:cstheme="minorHAnsi"/>
                <w:color w:val="000000"/>
                <w:sz w:val="18"/>
                <w:szCs w:val="18"/>
                <w:u w:val="single"/>
              </w:rPr>
              <w:t>:</w:t>
            </w:r>
            <w:r w:rsidR="009205FD" w:rsidRPr="00F922F2">
              <w:rPr>
                <w:rFonts w:asciiTheme="minorHAnsi" w:hAnsiTheme="minorHAnsi" w:cstheme="minorHAnsi"/>
                <w:color w:val="000000"/>
                <w:sz w:val="18"/>
                <w:szCs w:val="18"/>
              </w:rPr>
              <w:t xml:space="preserve"> </w:t>
            </w:r>
          </w:p>
          <w:p w14:paraId="17096707" w14:textId="3B4A843C" w:rsidR="00575F52" w:rsidRPr="009205FD" w:rsidRDefault="009205FD" w:rsidP="00575F52">
            <w:pPr>
              <w:pStyle w:val="ListParagraph"/>
              <w:keepLines/>
              <w:ind w:left="0"/>
              <w:rPr>
                <w:rFonts w:asciiTheme="minorHAnsi" w:hAnsiTheme="minorHAnsi" w:cstheme="minorHAnsi"/>
                <w:color w:val="000000"/>
                <w:sz w:val="18"/>
                <w:szCs w:val="18"/>
                <w:highlight w:val="yellow"/>
              </w:rPr>
            </w:pPr>
            <w:r w:rsidRPr="00F922F2">
              <w:rPr>
                <w:rFonts w:asciiTheme="minorHAnsi" w:hAnsiTheme="minorHAnsi" w:cstheme="minorHAnsi"/>
                <w:color w:val="000000"/>
                <w:sz w:val="18"/>
                <w:szCs w:val="18"/>
              </w:rPr>
              <w:t>GSK is disappointed by the PBAC’s decision not to recommend dostarlimab (Jemperli</w:t>
            </w:r>
            <w:r w:rsidR="007B482A" w:rsidRPr="00D5001E">
              <w:rPr>
                <w:rFonts w:asciiTheme="minorHAnsi" w:hAnsiTheme="minorHAnsi" w:cstheme="minorHAnsi"/>
                <w:color w:val="000000"/>
                <w:sz w:val="18"/>
                <w:szCs w:val="18"/>
              </w:rPr>
              <w:t>®</w:t>
            </w:r>
            <w:r w:rsidRPr="00F922F2">
              <w:rPr>
                <w:rFonts w:asciiTheme="minorHAnsi" w:hAnsiTheme="minorHAnsi" w:cstheme="minorHAnsi"/>
                <w:color w:val="000000"/>
                <w:sz w:val="18"/>
                <w:szCs w:val="18"/>
              </w:rPr>
              <w:t>) for the treatment of patients with recurrent or advanced mismatch repair deficient endometrial cancer that has progressed on or following prior treatment with a platinum-containing regimen. However, we remain committed to working with the PBAC to ensure Australian women with endometrial cancer have timely access to Jemperli</w:t>
            </w:r>
            <w:r w:rsidR="007B482A" w:rsidRPr="00D5001E">
              <w:rPr>
                <w:rFonts w:asciiTheme="minorHAnsi" w:hAnsiTheme="minorHAnsi" w:cstheme="minorHAnsi"/>
                <w:color w:val="000000"/>
                <w:sz w:val="18"/>
                <w:szCs w:val="18"/>
              </w:rPr>
              <w:t>®</w:t>
            </w:r>
            <w:r w:rsidRPr="00F922F2">
              <w:rPr>
                <w:rFonts w:asciiTheme="minorHAnsi" w:hAnsiTheme="minorHAnsi" w:cstheme="minorHAnsi"/>
                <w:color w:val="000000"/>
                <w:sz w:val="18"/>
                <w:szCs w:val="18"/>
              </w:rPr>
              <w:t>.</w:t>
            </w:r>
          </w:p>
        </w:tc>
      </w:tr>
      <w:tr w:rsidR="00575F52" w:rsidRPr="00567D48" w14:paraId="654C8FE5" w14:textId="77777777" w:rsidTr="007128F7">
        <w:trPr>
          <w:cantSplit/>
          <w:trHeight w:val="2948"/>
        </w:trPr>
        <w:tc>
          <w:tcPr>
            <w:tcW w:w="2973" w:type="dxa"/>
            <w:shd w:val="clear" w:color="auto" w:fill="auto"/>
            <w:tcMar>
              <w:top w:w="28" w:type="dxa"/>
              <w:bottom w:w="28" w:type="dxa"/>
            </w:tcMar>
            <w:vAlign w:val="center"/>
          </w:tcPr>
          <w:p w14:paraId="0DB62D14" w14:textId="25D756F3" w:rsidR="00575F52" w:rsidRPr="00D5001E" w:rsidRDefault="00575F52" w:rsidP="00575F52">
            <w:pPr>
              <w:keepLines/>
              <w:rPr>
                <w:rFonts w:asciiTheme="minorHAnsi" w:hAnsiTheme="minorHAnsi" w:cstheme="minorHAnsi"/>
                <w:sz w:val="18"/>
                <w:szCs w:val="18"/>
                <w:highlight w:val="yellow"/>
              </w:rPr>
            </w:pPr>
            <w:r w:rsidRPr="00D5001E">
              <w:rPr>
                <w:rFonts w:asciiTheme="minorHAnsi" w:hAnsiTheme="minorHAnsi" w:cstheme="minorHAnsi"/>
                <w:color w:val="000000"/>
                <w:sz w:val="18"/>
                <w:szCs w:val="18"/>
              </w:rPr>
              <w:lastRenderedPageBreak/>
              <w:t>DULAGLUTIDE</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Injection 3 mg in 0.5 mL single dose pre-filled pen</w:t>
            </w:r>
            <w:r w:rsidRPr="00D5001E">
              <w:rPr>
                <w:rFonts w:asciiTheme="minorHAnsi" w:hAnsiTheme="minorHAnsi" w:cstheme="minorHAnsi"/>
                <w:color w:val="000000"/>
                <w:sz w:val="18"/>
                <w:szCs w:val="18"/>
              </w:rPr>
              <w:br/>
              <w:t>Injection 4.5 mg in 0.5 mL single dose pre-filled pen</w:t>
            </w:r>
            <w:r w:rsidRPr="00D5001E">
              <w:rPr>
                <w:rFonts w:asciiTheme="minorHAnsi" w:hAnsiTheme="minorHAnsi" w:cstheme="minorHAnsi"/>
                <w:color w:val="000000"/>
                <w:sz w:val="18"/>
                <w:szCs w:val="18"/>
                <w:highlight w:val="yellow"/>
              </w:rPr>
              <w:br/>
            </w:r>
            <w:r w:rsidRPr="00D5001E">
              <w:rPr>
                <w:rFonts w:asciiTheme="minorHAnsi" w:hAnsiTheme="minorHAnsi" w:cstheme="minorHAnsi"/>
                <w:color w:val="000000"/>
                <w:sz w:val="18"/>
                <w:szCs w:val="18"/>
                <w:highlight w:val="yellow"/>
              </w:rPr>
              <w:br/>
            </w:r>
            <w:r w:rsidRPr="00D5001E">
              <w:rPr>
                <w:rFonts w:asciiTheme="minorHAnsi" w:hAnsiTheme="minorHAnsi" w:cstheme="minorHAnsi"/>
                <w:color w:val="000000"/>
                <w:sz w:val="18"/>
                <w:szCs w:val="18"/>
              </w:rPr>
              <w:t>Trulicity®</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Eli Lilly Australia Pty Ltd</w:t>
            </w:r>
            <w:r w:rsidRPr="00D5001E">
              <w:rPr>
                <w:rFonts w:asciiTheme="minorHAnsi" w:hAnsiTheme="minorHAnsi" w:cstheme="minorHAnsi"/>
                <w:color w:val="000000"/>
                <w:sz w:val="18"/>
                <w:szCs w:val="18"/>
                <w:highlight w:val="yellow"/>
              </w:rPr>
              <w:br/>
            </w:r>
            <w:r w:rsidRPr="00D5001E">
              <w:rPr>
                <w:rFonts w:asciiTheme="minorHAnsi" w:hAnsiTheme="minorHAnsi" w:cstheme="minorHAnsi"/>
                <w:color w:val="000000"/>
                <w:sz w:val="18"/>
                <w:szCs w:val="18"/>
                <w:highlight w:val="yellow"/>
              </w:rPr>
              <w:br/>
            </w:r>
            <w:r w:rsidRPr="00D5001E">
              <w:rPr>
                <w:rFonts w:asciiTheme="minorHAnsi" w:hAnsiTheme="minorHAnsi" w:cstheme="minorHAnsi"/>
                <w:color w:val="000000"/>
                <w:sz w:val="18"/>
                <w:szCs w:val="18"/>
              </w:rPr>
              <w:t>Category 2 submission</w:t>
            </w:r>
            <w:r w:rsidRPr="00D5001E">
              <w:rPr>
                <w:rFonts w:asciiTheme="minorHAnsi" w:hAnsiTheme="minorHAnsi" w:cstheme="minorHAnsi"/>
                <w:color w:val="000000"/>
                <w:sz w:val="18"/>
                <w:szCs w:val="18"/>
                <w:highlight w:val="yellow"/>
              </w:rPr>
              <w:br/>
            </w:r>
            <w:r w:rsidRPr="00D5001E">
              <w:rPr>
                <w:rFonts w:asciiTheme="minorHAnsi" w:hAnsiTheme="minorHAnsi" w:cstheme="minorHAnsi"/>
                <w:color w:val="000000"/>
                <w:sz w:val="18"/>
                <w:szCs w:val="18"/>
              </w:rPr>
              <w:t>(New PBS listing)</w:t>
            </w:r>
          </w:p>
        </w:tc>
        <w:tc>
          <w:tcPr>
            <w:tcW w:w="2491" w:type="dxa"/>
            <w:shd w:val="clear" w:color="auto" w:fill="auto"/>
            <w:vAlign w:val="center"/>
          </w:tcPr>
          <w:p w14:paraId="20EC0F6A" w14:textId="512F77A0" w:rsidR="00575F52" w:rsidRPr="000F0297" w:rsidRDefault="00575F52" w:rsidP="00575F52">
            <w:pPr>
              <w:keepLines/>
              <w:widowControl w:val="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Type 2 diabetes mellitus</w:t>
            </w:r>
          </w:p>
        </w:tc>
        <w:tc>
          <w:tcPr>
            <w:tcW w:w="3887" w:type="dxa"/>
            <w:shd w:val="clear" w:color="auto" w:fill="auto"/>
            <w:tcMar>
              <w:top w:w="28" w:type="dxa"/>
              <w:bottom w:w="28" w:type="dxa"/>
            </w:tcMar>
            <w:vAlign w:val="center"/>
          </w:tcPr>
          <w:p w14:paraId="1B18235C" w14:textId="091010EA"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To request General Schedule Authority Required (STREAMLINED) listings of two new forms for the treatment of patients with Type 2 diabetes mellitus who require treatment intensification to achieve glycaemic targets, as dual therapy in combination with metformin.</w:t>
            </w:r>
          </w:p>
        </w:tc>
        <w:tc>
          <w:tcPr>
            <w:tcW w:w="1984" w:type="dxa"/>
            <w:shd w:val="clear" w:color="auto" w:fill="auto"/>
            <w:vAlign w:val="center"/>
          </w:tcPr>
          <w:p w14:paraId="08114FB3" w14:textId="0311F3BD" w:rsidR="00575F52" w:rsidRPr="00D8261C"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Deferred</w:t>
            </w:r>
          </w:p>
        </w:tc>
        <w:tc>
          <w:tcPr>
            <w:tcW w:w="4053" w:type="dxa"/>
            <w:shd w:val="clear" w:color="auto" w:fill="auto"/>
            <w:vAlign w:val="center"/>
          </w:tcPr>
          <w:p w14:paraId="67F455E8" w14:textId="7DAD3A09" w:rsidR="00575F52" w:rsidRPr="00D8261C" w:rsidRDefault="000F0297" w:rsidP="00575F52">
            <w:pPr>
              <w:pStyle w:val="ListParagraph"/>
              <w:keepLines/>
              <w:ind w:left="0"/>
              <w:rPr>
                <w:rFonts w:asciiTheme="minorHAnsi" w:hAnsiTheme="minorHAnsi" w:cstheme="minorHAnsi"/>
                <w:color w:val="000000"/>
                <w:sz w:val="18"/>
                <w:szCs w:val="18"/>
              </w:rPr>
            </w:pPr>
            <w:r w:rsidRPr="00D8261C">
              <w:rPr>
                <w:rFonts w:asciiTheme="minorHAnsi" w:hAnsiTheme="minorHAnsi" w:cstheme="minorHAnsi"/>
                <w:color w:val="000000"/>
                <w:sz w:val="18"/>
                <w:szCs w:val="18"/>
              </w:rPr>
              <w:t xml:space="preserve">The PBAC deferred making its decision on whether to recommend the listing of dulaglutide 3 mg and 4.5 mg for the treatment of Type </w:t>
            </w:r>
            <w:r w:rsidR="00D8261C" w:rsidRPr="00251E7D">
              <w:rPr>
                <w:rFonts w:asciiTheme="minorHAnsi" w:hAnsiTheme="minorHAnsi" w:cstheme="minorHAnsi"/>
                <w:color w:val="000000"/>
                <w:sz w:val="18"/>
                <w:szCs w:val="18"/>
              </w:rPr>
              <w:t>2</w:t>
            </w:r>
            <w:r w:rsidRPr="00D8261C">
              <w:rPr>
                <w:rFonts w:asciiTheme="minorHAnsi" w:hAnsiTheme="minorHAnsi" w:cstheme="minorHAnsi"/>
                <w:color w:val="000000"/>
                <w:sz w:val="18"/>
                <w:szCs w:val="18"/>
              </w:rPr>
              <w:t xml:space="preserve"> </w:t>
            </w:r>
            <w:r w:rsidR="00D8261C" w:rsidRPr="00251E7D">
              <w:rPr>
                <w:rFonts w:asciiTheme="minorHAnsi" w:hAnsiTheme="minorHAnsi" w:cstheme="minorHAnsi"/>
                <w:color w:val="000000"/>
                <w:sz w:val="18"/>
                <w:szCs w:val="18"/>
              </w:rPr>
              <w:t>d</w:t>
            </w:r>
            <w:r w:rsidRPr="00D8261C">
              <w:rPr>
                <w:rFonts w:asciiTheme="minorHAnsi" w:hAnsiTheme="minorHAnsi" w:cstheme="minorHAnsi"/>
                <w:color w:val="000000"/>
                <w:sz w:val="18"/>
                <w:szCs w:val="18"/>
              </w:rPr>
              <w:t xml:space="preserve">iabetes </w:t>
            </w:r>
            <w:r w:rsidR="00D8261C" w:rsidRPr="00251E7D">
              <w:rPr>
                <w:rFonts w:asciiTheme="minorHAnsi" w:hAnsiTheme="minorHAnsi" w:cstheme="minorHAnsi"/>
                <w:color w:val="000000"/>
                <w:sz w:val="18"/>
                <w:szCs w:val="18"/>
              </w:rPr>
              <w:t>m</w:t>
            </w:r>
            <w:r w:rsidRPr="00D8261C">
              <w:rPr>
                <w:rFonts w:asciiTheme="minorHAnsi" w:hAnsiTheme="minorHAnsi" w:cstheme="minorHAnsi"/>
                <w:color w:val="000000"/>
                <w:sz w:val="18"/>
                <w:szCs w:val="18"/>
              </w:rPr>
              <w:t>ellitus in combination with metformin</w:t>
            </w:r>
            <w:r w:rsidR="00E16633">
              <w:rPr>
                <w:rFonts w:asciiTheme="minorHAnsi" w:hAnsiTheme="minorHAnsi" w:cstheme="minorHAnsi"/>
                <w:color w:val="000000"/>
                <w:sz w:val="18"/>
                <w:szCs w:val="18"/>
              </w:rPr>
              <w:t>,</w:t>
            </w:r>
            <w:r w:rsidRPr="00D8261C">
              <w:rPr>
                <w:rFonts w:asciiTheme="minorHAnsi" w:hAnsiTheme="minorHAnsi" w:cstheme="minorHAnsi"/>
                <w:color w:val="000000"/>
                <w:sz w:val="18"/>
                <w:szCs w:val="18"/>
              </w:rPr>
              <w:t xml:space="preserve"> as a TGA Delegate's Overview was not available at the time of PBAC consideration. The PBAC was of a mind to recommend dulaglutide 3 mg and 4.5 mg on a cost-minimisation basis compared to dulaglutide 1.5 mg</w:t>
            </w:r>
            <w:r w:rsidR="00E16633">
              <w:rPr>
                <w:rFonts w:asciiTheme="minorHAnsi" w:hAnsiTheme="minorHAnsi" w:cstheme="minorHAnsi"/>
                <w:color w:val="000000"/>
                <w:sz w:val="18"/>
                <w:szCs w:val="18"/>
              </w:rPr>
              <w:t>,</w:t>
            </w:r>
            <w:r w:rsidRPr="00D8261C">
              <w:rPr>
                <w:rFonts w:asciiTheme="minorHAnsi" w:hAnsiTheme="minorHAnsi" w:cstheme="minorHAnsi"/>
                <w:color w:val="000000"/>
                <w:sz w:val="18"/>
                <w:szCs w:val="18"/>
              </w:rPr>
              <w:t xml:space="preserve"> pending receipt of a positive TGA Delegate's Overview.</w:t>
            </w:r>
          </w:p>
          <w:p w14:paraId="3257457C" w14:textId="77777777" w:rsidR="000F0297" w:rsidRPr="00D8261C" w:rsidRDefault="000F0297" w:rsidP="00575F52">
            <w:pPr>
              <w:pStyle w:val="ListParagraph"/>
              <w:keepLines/>
              <w:ind w:left="0"/>
              <w:rPr>
                <w:rFonts w:asciiTheme="minorHAnsi" w:hAnsiTheme="minorHAnsi" w:cstheme="minorHAnsi"/>
                <w:color w:val="000000"/>
                <w:sz w:val="18"/>
                <w:szCs w:val="18"/>
              </w:rPr>
            </w:pPr>
          </w:p>
          <w:p w14:paraId="5F712AE0" w14:textId="77777777" w:rsidR="00575F52" w:rsidRDefault="00575F52" w:rsidP="00575F52">
            <w:pPr>
              <w:pStyle w:val="ListParagraph"/>
              <w:keepLines/>
              <w:ind w:left="0"/>
              <w:rPr>
                <w:rFonts w:asciiTheme="minorHAnsi" w:hAnsiTheme="minorHAnsi" w:cstheme="minorHAnsi"/>
                <w:color w:val="000000"/>
                <w:sz w:val="18"/>
                <w:szCs w:val="18"/>
                <w:u w:val="single"/>
              </w:rPr>
            </w:pPr>
            <w:r w:rsidRPr="00D8261C">
              <w:rPr>
                <w:rFonts w:asciiTheme="minorHAnsi" w:hAnsiTheme="minorHAnsi" w:cstheme="minorHAnsi"/>
                <w:color w:val="000000"/>
                <w:sz w:val="18"/>
                <w:szCs w:val="18"/>
                <w:u w:val="single"/>
              </w:rPr>
              <w:t>Sponsor Comment:</w:t>
            </w:r>
          </w:p>
          <w:p w14:paraId="1B2B4040" w14:textId="1386B6CF" w:rsidR="006401D2" w:rsidRPr="00D8261C" w:rsidRDefault="006401D2" w:rsidP="00575F52">
            <w:pPr>
              <w:pStyle w:val="ListParagraph"/>
              <w:keepLines/>
              <w:ind w:left="0"/>
              <w:rPr>
                <w:rFonts w:asciiTheme="minorHAnsi" w:hAnsiTheme="minorHAnsi" w:cstheme="minorHAnsi"/>
                <w:color w:val="000000"/>
                <w:sz w:val="18"/>
                <w:szCs w:val="18"/>
              </w:rPr>
            </w:pPr>
            <w:r w:rsidRPr="00D90B2A">
              <w:rPr>
                <w:rFonts w:asciiTheme="minorHAnsi" w:hAnsiTheme="minorHAnsi" w:cstheme="minorHAnsi"/>
                <w:color w:val="000000"/>
                <w:sz w:val="18"/>
                <w:szCs w:val="18"/>
              </w:rPr>
              <w:t>The sponsor had no comment.</w:t>
            </w:r>
          </w:p>
        </w:tc>
      </w:tr>
      <w:tr w:rsidR="00575F52" w:rsidRPr="00567D48" w14:paraId="22373921" w14:textId="77777777" w:rsidTr="007128F7">
        <w:trPr>
          <w:cantSplit/>
          <w:trHeight w:val="2948"/>
        </w:trPr>
        <w:tc>
          <w:tcPr>
            <w:tcW w:w="2973" w:type="dxa"/>
            <w:shd w:val="clear" w:color="auto" w:fill="auto"/>
            <w:tcMar>
              <w:top w:w="28" w:type="dxa"/>
              <w:bottom w:w="28" w:type="dxa"/>
            </w:tcMar>
            <w:vAlign w:val="center"/>
          </w:tcPr>
          <w:p w14:paraId="383D7F11" w14:textId="22602FD9" w:rsidR="00575F52" w:rsidRPr="00D5001E" w:rsidRDefault="00575F52" w:rsidP="00575F52">
            <w:pPr>
              <w:keepLines/>
              <w:rPr>
                <w:rFonts w:asciiTheme="minorHAnsi" w:hAnsiTheme="minorHAnsi" w:cstheme="minorHAnsi"/>
                <w:sz w:val="18"/>
                <w:szCs w:val="18"/>
                <w:highlight w:val="yellow"/>
              </w:rPr>
            </w:pPr>
            <w:r w:rsidRPr="00D5001E">
              <w:rPr>
                <w:rFonts w:asciiTheme="minorHAnsi" w:hAnsiTheme="minorHAnsi" w:cstheme="minorHAnsi"/>
                <w:color w:val="000000"/>
                <w:sz w:val="18"/>
                <w:szCs w:val="18"/>
              </w:rPr>
              <w:t xml:space="preserve">DUPILUMAB </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Injection 200 mg in 1.14 mL single dose pre-filled syringe</w:t>
            </w:r>
            <w:r w:rsidRPr="00D5001E">
              <w:rPr>
                <w:rFonts w:asciiTheme="minorHAnsi" w:hAnsiTheme="minorHAnsi" w:cstheme="minorHAnsi"/>
                <w:color w:val="000000"/>
                <w:sz w:val="18"/>
                <w:szCs w:val="18"/>
              </w:rPr>
              <w:br/>
              <w:t xml:space="preserve">Injection </w:t>
            </w:r>
            <w:r w:rsidRPr="00251E7D">
              <w:rPr>
                <w:rFonts w:asciiTheme="minorHAnsi" w:hAnsiTheme="minorHAnsi" w:cstheme="minorHAnsi"/>
                <w:color w:val="000000"/>
                <w:sz w:val="18"/>
                <w:szCs w:val="18"/>
              </w:rPr>
              <w:t>300 mg in 2 mL single dose pre-filled syringe</w:t>
            </w:r>
            <w:r w:rsidRPr="00251E7D">
              <w:rPr>
                <w:rFonts w:asciiTheme="minorHAnsi" w:hAnsiTheme="minorHAnsi" w:cstheme="minorHAnsi"/>
                <w:color w:val="000000"/>
                <w:sz w:val="18"/>
                <w:szCs w:val="18"/>
              </w:rPr>
              <w:br/>
            </w:r>
            <w:r w:rsidRPr="00251E7D">
              <w:rPr>
                <w:rFonts w:asciiTheme="minorHAnsi" w:hAnsiTheme="minorHAnsi" w:cstheme="minorHAnsi"/>
                <w:color w:val="000000"/>
                <w:sz w:val="18"/>
                <w:szCs w:val="18"/>
              </w:rPr>
              <w:br/>
              <w:t>Dupixent®</w:t>
            </w:r>
            <w:r w:rsidRPr="00251E7D">
              <w:rPr>
                <w:rFonts w:asciiTheme="minorHAnsi" w:hAnsiTheme="minorHAnsi" w:cstheme="minorHAnsi"/>
                <w:color w:val="000000"/>
                <w:sz w:val="18"/>
                <w:szCs w:val="18"/>
                <w:highlight w:val="yellow"/>
              </w:rPr>
              <w:br/>
            </w:r>
            <w:r w:rsidRPr="00251E7D">
              <w:rPr>
                <w:rFonts w:asciiTheme="minorHAnsi" w:hAnsiTheme="minorHAnsi" w:cstheme="minorHAnsi"/>
                <w:color w:val="000000"/>
                <w:sz w:val="18"/>
                <w:szCs w:val="18"/>
                <w:highlight w:val="yellow"/>
              </w:rPr>
              <w:br/>
            </w:r>
            <w:r w:rsidRPr="00251E7D">
              <w:rPr>
                <w:rFonts w:asciiTheme="minorHAnsi" w:hAnsiTheme="minorHAnsi" w:cstheme="minorHAnsi"/>
                <w:color w:val="000000"/>
                <w:sz w:val="18"/>
                <w:szCs w:val="18"/>
              </w:rPr>
              <w:t>Sanofi-Aventis Australia Pty Ltd</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Category 2 submission</w:t>
            </w:r>
            <w:r w:rsidRPr="00D5001E">
              <w:rPr>
                <w:rFonts w:asciiTheme="minorHAnsi" w:hAnsiTheme="minorHAnsi" w:cstheme="minorHAnsi"/>
                <w:color w:val="000000"/>
                <w:sz w:val="18"/>
                <w:szCs w:val="18"/>
              </w:rPr>
              <w:br/>
              <w:t>(Change to PBS listing)</w:t>
            </w:r>
          </w:p>
        </w:tc>
        <w:tc>
          <w:tcPr>
            <w:tcW w:w="2491" w:type="dxa"/>
            <w:shd w:val="clear" w:color="auto" w:fill="auto"/>
            <w:vAlign w:val="center"/>
          </w:tcPr>
          <w:p w14:paraId="2A40905C" w14:textId="0841D389" w:rsidR="00575F52" w:rsidRPr="00D5001E" w:rsidRDefault="00575F52" w:rsidP="00575F52">
            <w:pPr>
              <w:keepLines/>
              <w:widowControl w:val="0"/>
              <w:rPr>
                <w:rFonts w:asciiTheme="minorHAnsi" w:hAnsiTheme="minorHAnsi" w:cstheme="minorHAnsi"/>
                <w:snapToGrid w:val="0"/>
                <w:sz w:val="18"/>
                <w:szCs w:val="18"/>
                <w:highlight w:val="yellow"/>
                <w:lang w:eastAsia="en-US"/>
              </w:rPr>
            </w:pPr>
            <w:r w:rsidRPr="00D5001E">
              <w:rPr>
                <w:rFonts w:asciiTheme="minorHAnsi" w:hAnsiTheme="minorHAnsi" w:cstheme="minorHAnsi"/>
                <w:color w:val="000000"/>
                <w:sz w:val="18"/>
                <w:szCs w:val="18"/>
              </w:rPr>
              <w:t>Atopic dermatitis</w:t>
            </w:r>
          </w:p>
        </w:tc>
        <w:tc>
          <w:tcPr>
            <w:tcW w:w="3887" w:type="dxa"/>
            <w:shd w:val="clear" w:color="auto" w:fill="auto"/>
            <w:tcMar>
              <w:top w:w="28" w:type="dxa"/>
              <w:bottom w:w="28" w:type="dxa"/>
            </w:tcMar>
            <w:vAlign w:val="center"/>
          </w:tcPr>
          <w:p w14:paraId="09EEE374" w14:textId="605CF2E1" w:rsidR="00575F52" w:rsidRPr="00D5001E" w:rsidRDefault="00575F52" w:rsidP="00575F52">
            <w:pPr>
              <w:pStyle w:val="ListParagraph"/>
              <w:keepLines/>
              <w:ind w:left="0"/>
              <w:rPr>
                <w:rFonts w:asciiTheme="minorHAnsi" w:hAnsiTheme="minorHAnsi" w:cstheme="minorHAnsi"/>
                <w:snapToGrid w:val="0"/>
                <w:sz w:val="18"/>
                <w:szCs w:val="18"/>
                <w:highlight w:val="yellow"/>
                <w:lang w:eastAsia="en-US"/>
              </w:rPr>
            </w:pPr>
            <w:r w:rsidRPr="00D5001E">
              <w:rPr>
                <w:rFonts w:asciiTheme="minorHAnsi" w:hAnsiTheme="minorHAnsi" w:cstheme="minorHAnsi"/>
                <w:color w:val="000000"/>
                <w:sz w:val="18"/>
                <w:szCs w:val="18"/>
              </w:rPr>
              <w:t>To request a General Schedule Authority Required listing for the treatment of severe atopic dermatitis in patients aged 6 to 11 years.</w:t>
            </w:r>
          </w:p>
        </w:tc>
        <w:tc>
          <w:tcPr>
            <w:tcW w:w="1984" w:type="dxa"/>
            <w:shd w:val="clear" w:color="auto" w:fill="auto"/>
            <w:vAlign w:val="center"/>
          </w:tcPr>
          <w:p w14:paraId="2C989E4D" w14:textId="68DE7FD9"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Recommended</w:t>
            </w:r>
          </w:p>
        </w:tc>
        <w:tc>
          <w:tcPr>
            <w:tcW w:w="4053" w:type="dxa"/>
            <w:shd w:val="clear" w:color="auto" w:fill="auto"/>
            <w:vAlign w:val="center"/>
          </w:tcPr>
          <w:p w14:paraId="75FDBC8C" w14:textId="3ADB8711" w:rsidR="00575F52" w:rsidRPr="000F0297" w:rsidRDefault="00575F52" w:rsidP="00575F52">
            <w:pPr>
              <w:pStyle w:val="ListParagraph"/>
              <w:keepLines/>
              <w:ind w:left="0"/>
              <w:rPr>
                <w:rFonts w:asciiTheme="minorHAnsi" w:hAnsiTheme="minorHAnsi" w:cstheme="minorHAnsi"/>
                <w:color w:val="000000"/>
                <w:sz w:val="18"/>
                <w:szCs w:val="18"/>
              </w:rPr>
            </w:pPr>
            <w:r w:rsidRPr="00D5001E">
              <w:rPr>
                <w:rFonts w:asciiTheme="minorHAnsi" w:hAnsiTheme="minorHAnsi" w:cstheme="minorHAnsi"/>
                <w:color w:val="000000"/>
                <w:sz w:val="18"/>
                <w:szCs w:val="18"/>
              </w:rPr>
              <w:t xml:space="preserve">The PBAC recommended extending the listing of dupilumab to include patients aged less than 12 years with severe atopic dermatitis. The PBAC noted the substantial clinical need for effective treatments for these patients and was satisfied that dupilumab provides, for some patients, a significant improvement in efficacy over standard care. The PBAC considered that the clinical evidence suggests the magnitude of benefit in children is </w:t>
            </w:r>
            <w:proofErr w:type="gramStart"/>
            <w:r w:rsidRPr="00D5001E">
              <w:rPr>
                <w:rFonts w:asciiTheme="minorHAnsi" w:hAnsiTheme="minorHAnsi" w:cstheme="minorHAnsi"/>
                <w:color w:val="000000"/>
                <w:sz w:val="18"/>
                <w:szCs w:val="18"/>
              </w:rPr>
              <w:t>similar to</w:t>
            </w:r>
            <w:proofErr w:type="gramEnd"/>
            <w:r w:rsidRPr="00D5001E">
              <w:rPr>
                <w:rFonts w:asciiTheme="minorHAnsi" w:hAnsiTheme="minorHAnsi" w:cstheme="minorHAnsi"/>
                <w:color w:val="000000"/>
                <w:sz w:val="18"/>
                <w:szCs w:val="18"/>
              </w:rPr>
              <w:t xml:space="preserve"> that in the adult/adolescent population and the cost-effectiveness was acceptable at the same price per month as for the adult/adolescent population. </w:t>
            </w:r>
          </w:p>
        </w:tc>
      </w:tr>
      <w:tr w:rsidR="00575F52" w:rsidRPr="00567D48" w14:paraId="11F15CDD" w14:textId="77777777" w:rsidTr="007128F7">
        <w:trPr>
          <w:cantSplit/>
          <w:trHeight w:val="2948"/>
        </w:trPr>
        <w:tc>
          <w:tcPr>
            <w:tcW w:w="2973" w:type="dxa"/>
            <w:shd w:val="clear" w:color="auto" w:fill="auto"/>
            <w:tcMar>
              <w:top w:w="28" w:type="dxa"/>
              <w:bottom w:w="28" w:type="dxa"/>
            </w:tcMar>
            <w:vAlign w:val="center"/>
          </w:tcPr>
          <w:p w14:paraId="73989EFC" w14:textId="12D96BD9" w:rsidR="00575F52" w:rsidRPr="000F0297" w:rsidRDefault="00575F52" w:rsidP="00575F52">
            <w:pPr>
              <w:keepLines/>
              <w:rPr>
                <w:rFonts w:asciiTheme="minorHAnsi" w:hAnsiTheme="minorHAnsi" w:cstheme="minorHAnsi"/>
                <w:sz w:val="18"/>
                <w:szCs w:val="18"/>
              </w:rPr>
            </w:pPr>
            <w:r w:rsidRPr="00D5001E">
              <w:rPr>
                <w:rFonts w:asciiTheme="minorHAnsi" w:hAnsiTheme="minorHAnsi" w:cstheme="minorHAnsi"/>
                <w:color w:val="000000"/>
                <w:sz w:val="18"/>
                <w:szCs w:val="18"/>
              </w:rPr>
              <w:lastRenderedPageBreak/>
              <w:t xml:space="preserve">DURVALUMAB </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Solution concentrate for I.V. infusion 500 mg in 10 mL</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Imfinzi®</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AstraZeneca Pty Ltd</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Category 3 submission</w:t>
            </w:r>
            <w:r w:rsidRPr="00D5001E">
              <w:rPr>
                <w:rFonts w:asciiTheme="minorHAnsi" w:hAnsiTheme="minorHAnsi" w:cstheme="minorHAnsi"/>
                <w:color w:val="000000"/>
                <w:sz w:val="18"/>
                <w:szCs w:val="18"/>
              </w:rPr>
              <w:br/>
              <w:t>(Change to PBS listing)</w:t>
            </w:r>
          </w:p>
        </w:tc>
        <w:tc>
          <w:tcPr>
            <w:tcW w:w="2491" w:type="dxa"/>
            <w:shd w:val="clear" w:color="auto" w:fill="auto"/>
            <w:vAlign w:val="center"/>
          </w:tcPr>
          <w:p w14:paraId="41180E2D" w14:textId="3A0B210D" w:rsidR="00575F52" w:rsidRPr="000F0297" w:rsidRDefault="00575F52" w:rsidP="00575F52">
            <w:pPr>
              <w:keepLines/>
              <w:widowControl w:val="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 xml:space="preserve">Unresectable Stage III, non-small cell lung cancer </w:t>
            </w:r>
          </w:p>
        </w:tc>
        <w:tc>
          <w:tcPr>
            <w:tcW w:w="3887" w:type="dxa"/>
            <w:shd w:val="clear" w:color="auto" w:fill="auto"/>
            <w:tcMar>
              <w:top w:w="28" w:type="dxa"/>
              <w:bottom w:w="28" w:type="dxa"/>
            </w:tcMar>
            <w:vAlign w:val="center"/>
          </w:tcPr>
          <w:p w14:paraId="52E4AC16" w14:textId="59DB4476" w:rsidR="00575F52" w:rsidRPr="00D5001E" w:rsidRDefault="00575F52" w:rsidP="00575F52">
            <w:pPr>
              <w:pStyle w:val="ListParagraph"/>
              <w:keepLines/>
              <w:ind w:left="0"/>
              <w:rPr>
                <w:rFonts w:asciiTheme="minorHAnsi" w:hAnsiTheme="minorHAnsi" w:cstheme="minorHAnsi"/>
                <w:snapToGrid w:val="0"/>
                <w:sz w:val="18"/>
                <w:szCs w:val="18"/>
                <w:highlight w:val="yellow"/>
                <w:lang w:eastAsia="en-US"/>
              </w:rPr>
            </w:pPr>
            <w:r w:rsidRPr="00D5001E">
              <w:rPr>
                <w:rFonts w:asciiTheme="minorHAnsi" w:hAnsiTheme="minorHAnsi" w:cstheme="minorHAnsi"/>
                <w:color w:val="000000"/>
                <w:sz w:val="18"/>
                <w:szCs w:val="18"/>
              </w:rPr>
              <w:t xml:space="preserve">To request a Section 100 (Efficient Funding of Chemotherapy Program) Authority Required (STREAMLINED) listing of a new maximum amount of 1500 mg with four repeats to allow an additional dosing regimen of durvalumab to allow a fixed-dose 1500 mg every 4 weeks. </w:t>
            </w:r>
          </w:p>
        </w:tc>
        <w:tc>
          <w:tcPr>
            <w:tcW w:w="1984" w:type="dxa"/>
            <w:shd w:val="clear" w:color="auto" w:fill="auto"/>
            <w:vAlign w:val="center"/>
          </w:tcPr>
          <w:p w14:paraId="29AABCBB" w14:textId="0771F2B1"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Recommended</w:t>
            </w:r>
          </w:p>
        </w:tc>
        <w:tc>
          <w:tcPr>
            <w:tcW w:w="4053" w:type="dxa"/>
            <w:shd w:val="clear" w:color="auto" w:fill="auto"/>
            <w:vAlign w:val="center"/>
          </w:tcPr>
          <w:p w14:paraId="406F4F3D" w14:textId="77777777" w:rsidR="00575F52" w:rsidRPr="00251E7D" w:rsidRDefault="00575F52" w:rsidP="00575F52">
            <w:pPr>
              <w:keepLines/>
              <w:rPr>
                <w:rFonts w:asciiTheme="minorHAnsi" w:hAnsiTheme="minorHAnsi" w:cstheme="minorHAnsi"/>
                <w:color w:val="000000"/>
                <w:sz w:val="18"/>
                <w:szCs w:val="18"/>
              </w:rPr>
            </w:pPr>
            <w:r w:rsidRPr="00D5001E">
              <w:rPr>
                <w:rFonts w:asciiTheme="minorHAnsi" w:hAnsiTheme="minorHAnsi" w:cstheme="minorHAnsi"/>
                <w:color w:val="000000"/>
                <w:sz w:val="18"/>
                <w:szCs w:val="18"/>
              </w:rPr>
              <w:t xml:space="preserve">The PBAC recommended an amendment to the listing of the durvalumab on the PBS to provide clinicians with the option of a flat dosing regimen of 1500 mg every four weeks, in addition to the existing weight-based dosing regimen, for the treatment of non-small cell lung cancer. The PBAC recommended the </w:t>
            </w:r>
            <w:r w:rsidRPr="00251E7D">
              <w:rPr>
                <w:rFonts w:asciiTheme="minorHAnsi" w:hAnsiTheme="minorHAnsi" w:cstheme="minorHAnsi"/>
                <w:color w:val="000000"/>
                <w:sz w:val="18"/>
                <w:szCs w:val="18"/>
              </w:rPr>
              <w:t>following amendments be made to the existing listing to achieve this:</w:t>
            </w:r>
          </w:p>
          <w:p w14:paraId="6EB5321E" w14:textId="0053BE40" w:rsidR="00575F52" w:rsidRPr="00251E7D" w:rsidRDefault="00575F52" w:rsidP="00251E7D">
            <w:pPr>
              <w:pStyle w:val="ListParagraph"/>
              <w:keepLines/>
              <w:numPr>
                <w:ilvl w:val="0"/>
                <w:numId w:val="15"/>
              </w:numPr>
              <w:ind w:left="180" w:hanging="142"/>
              <w:rPr>
                <w:rFonts w:asciiTheme="minorHAnsi" w:hAnsiTheme="minorHAnsi" w:cstheme="minorHAnsi"/>
                <w:color w:val="000000"/>
                <w:sz w:val="18"/>
                <w:szCs w:val="18"/>
              </w:rPr>
            </w:pPr>
            <w:r w:rsidRPr="00251E7D">
              <w:rPr>
                <w:rFonts w:asciiTheme="minorHAnsi" w:hAnsiTheme="minorHAnsi" w:cstheme="minorHAnsi"/>
                <w:color w:val="000000"/>
                <w:sz w:val="18"/>
                <w:szCs w:val="18"/>
              </w:rPr>
              <w:t>increase the maximum amount from 1200 mg to 1500 mg.</w:t>
            </w:r>
          </w:p>
          <w:p w14:paraId="54918C7B" w14:textId="7BDEE91E" w:rsidR="00575F52" w:rsidRPr="00251E7D" w:rsidRDefault="00575F52" w:rsidP="00251E7D">
            <w:pPr>
              <w:pStyle w:val="ListParagraph"/>
              <w:keepLines/>
              <w:numPr>
                <w:ilvl w:val="0"/>
                <w:numId w:val="15"/>
              </w:numPr>
              <w:ind w:left="180" w:hanging="142"/>
              <w:rPr>
                <w:rFonts w:asciiTheme="minorHAnsi" w:hAnsiTheme="minorHAnsi" w:cstheme="minorHAnsi"/>
                <w:color w:val="000000"/>
                <w:sz w:val="18"/>
                <w:szCs w:val="18"/>
              </w:rPr>
            </w:pPr>
            <w:r w:rsidRPr="00251E7D">
              <w:rPr>
                <w:rFonts w:asciiTheme="minorHAnsi" w:hAnsiTheme="minorHAnsi" w:cstheme="minorHAnsi"/>
                <w:color w:val="000000"/>
                <w:sz w:val="18"/>
                <w:szCs w:val="18"/>
              </w:rPr>
              <w:t>reduce the number of repeats from 8 to 4.</w:t>
            </w:r>
          </w:p>
          <w:p w14:paraId="16172BA0" w14:textId="3A6D50DA" w:rsidR="00575F52" w:rsidRPr="000F0297" w:rsidRDefault="00575F52" w:rsidP="00251E7D">
            <w:pPr>
              <w:pStyle w:val="ListParagraph"/>
              <w:keepLines/>
              <w:numPr>
                <w:ilvl w:val="0"/>
                <w:numId w:val="14"/>
              </w:numPr>
              <w:ind w:left="180" w:hanging="142"/>
              <w:rPr>
                <w:rFonts w:asciiTheme="minorHAnsi" w:hAnsiTheme="minorHAnsi" w:cstheme="minorHAnsi"/>
                <w:color w:val="000000"/>
                <w:sz w:val="18"/>
                <w:szCs w:val="18"/>
              </w:rPr>
            </w:pPr>
            <w:r w:rsidRPr="00251E7D">
              <w:rPr>
                <w:rFonts w:asciiTheme="minorHAnsi" w:hAnsiTheme="minorHAnsi" w:cstheme="minorHAnsi"/>
                <w:color w:val="000000"/>
                <w:sz w:val="18"/>
                <w:szCs w:val="18"/>
              </w:rPr>
              <w:t>remove the administrative advice: ‘No increase in the maximum number of repeats may be authorised’.</w:t>
            </w:r>
          </w:p>
        </w:tc>
      </w:tr>
      <w:tr w:rsidR="00575F52" w:rsidRPr="00567D48" w14:paraId="4F6B80D5" w14:textId="77777777" w:rsidTr="007128F7">
        <w:trPr>
          <w:cantSplit/>
          <w:trHeight w:val="2948"/>
        </w:trPr>
        <w:tc>
          <w:tcPr>
            <w:tcW w:w="2973" w:type="dxa"/>
            <w:shd w:val="clear" w:color="auto" w:fill="auto"/>
            <w:tcMar>
              <w:top w:w="28" w:type="dxa"/>
              <w:bottom w:w="28" w:type="dxa"/>
            </w:tcMar>
            <w:vAlign w:val="center"/>
          </w:tcPr>
          <w:p w14:paraId="59D22535" w14:textId="7B962E90" w:rsidR="00575F52" w:rsidRPr="00D5001E" w:rsidRDefault="00575F52" w:rsidP="00575F52">
            <w:pPr>
              <w:keepLines/>
              <w:rPr>
                <w:rFonts w:asciiTheme="minorHAnsi" w:hAnsiTheme="minorHAnsi" w:cstheme="minorHAnsi"/>
                <w:sz w:val="18"/>
                <w:szCs w:val="18"/>
                <w:highlight w:val="yellow"/>
              </w:rPr>
            </w:pPr>
            <w:r w:rsidRPr="00D5001E">
              <w:rPr>
                <w:rFonts w:asciiTheme="minorHAnsi" w:hAnsiTheme="minorHAnsi" w:cstheme="minorHAnsi"/>
                <w:color w:val="000000"/>
                <w:sz w:val="18"/>
                <w:szCs w:val="18"/>
              </w:rPr>
              <w:lastRenderedPageBreak/>
              <w:t>ENFORTUMAB VEDOTIN</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Powder for I.V. infusion 20 mg</w:t>
            </w:r>
            <w:r w:rsidRPr="00D5001E">
              <w:rPr>
                <w:rFonts w:asciiTheme="minorHAnsi" w:hAnsiTheme="minorHAnsi" w:cstheme="minorHAnsi"/>
                <w:color w:val="000000"/>
                <w:sz w:val="18"/>
                <w:szCs w:val="18"/>
              </w:rPr>
              <w:br/>
              <w:t>Powder for I.V. infusion 30 mg</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Padcev®</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Astellas Pharma Australia Pty Ltd</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Category 1 submission</w:t>
            </w:r>
            <w:r w:rsidRPr="00D5001E">
              <w:rPr>
                <w:rFonts w:asciiTheme="minorHAnsi" w:hAnsiTheme="minorHAnsi" w:cstheme="minorHAnsi"/>
                <w:color w:val="000000"/>
                <w:sz w:val="18"/>
                <w:szCs w:val="18"/>
              </w:rPr>
              <w:br/>
              <w:t>(New PBS listing)</w:t>
            </w:r>
          </w:p>
        </w:tc>
        <w:tc>
          <w:tcPr>
            <w:tcW w:w="2491" w:type="dxa"/>
            <w:shd w:val="clear" w:color="auto" w:fill="auto"/>
            <w:vAlign w:val="center"/>
          </w:tcPr>
          <w:p w14:paraId="6DEA3F16" w14:textId="4B854CEA" w:rsidR="00575F52" w:rsidRPr="00D5001E" w:rsidRDefault="00575F52" w:rsidP="00575F52">
            <w:pPr>
              <w:keepLines/>
              <w:widowControl w:val="0"/>
              <w:rPr>
                <w:rFonts w:asciiTheme="minorHAnsi" w:hAnsiTheme="minorHAnsi" w:cstheme="minorHAnsi"/>
                <w:snapToGrid w:val="0"/>
                <w:sz w:val="18"/>
                <w:szCs w:val="18"/>
                <w:highlight w:val="yellow"/>
                <w:lang w:eastAsia="en-US"/>
              </w:rPr>
            </w:pPr>
            <w:r w:rsidRPr="00D5001E">
              <w:rPr>
                <w:rFonts w:asciiTheme="minorHAnsi" w:hAnsiTheme="minorHAnsi" w:cstheme="minorHAnsi"/>
                <w:color w:val="000000"/>
                <w:sz w:val="18"/>
                <w:szCs w:val="18"/>
              </w:rPr>
              <w:t>Urothelial cancer</w:t>
            </w:r>
          </w:p>
        </w:tc>
        <w:tc>
          <w:tcPr>
            <w:tcW w:w="3887" w:type="dxa"/>
            <w:shd w:val="clear" w:color="auto" w:fill="auto"/>
            <w:tcMar>
              <w:top w:w="28" w:type="dxa"/>
              <w:bottom w:w="28" w:type="dxa"/>
            </w:tcMar>
            <w:vAlign w:val="center"/>
          </w:tcPr>
          <w:p w14:paraId="4E833138" w14:textId="208995AD" w:rsidR="00575F52" w:rsidRPr="00D5001E" w:rsidRDefault="00575F52" w:rsidP="00575F52">
            <w:pPr>
              <w:pStyle w:val="ListParagraph"/>
              <w:keepLines/>
              <w:ind w:left="0"/>
              <w:rPr>
                <w:rFonts w:asciiTheme="minorHAnsi" w:hAnsiTheme="minorHAnsi" w:cstheme="minorHAnsi"/>
                <w:snapToGrid w:val="0"/>
                <w:sz w:val="18"/>
                <w:szCs w:val="18"/>
                <w:highlight w:val="yellow"/>
                <w:lang w:eastAsia="en-US"/>
              </w:rPr>
            </w:pPr>
            <w:r w:rsidRPr="00D5001E">
              <w:rPr>
                <w:rFonts w:asciiTheme="minorHAnsi" w:hAnsiTheme="minorHAnsi" w:cstheme="minorHAnsi"/>
                <w:color w:val="000000"/>
                <w:sz w:val="18"/>
                <w:szCs w:val="18"/>
              </w:rPr>
              <w:t xml:space="preserve">To request a Section 100 (Efficient Funding of Chemotherapy Program) Authority Required (STREAMLINED) listing for the treatment of locally advanced (Stage III) or </w:t>
            </w:r>
            <w:r w:rsidRPr="00251E7D">
              <w:rPr>
                <w:rFonts w:asciiTheme="minorHAnsi" w:hAnsiTheme="minorHAnsi" w:cstheme="minorHAnsi"/>
                <w:color w:val="000000"/>
                <w:sz w:val="18"/>
                <w:szCs w:val="18"/>
              </w:rPr>
              <w:t xml:space="preserve">metastatic (Stage IV) urothelial cancer in patients with a World Health Organisation (WHO) performance status of 0 or 1 and who have progressed on or after </w:t>
            </w:r>
            <w:r w:rsidRPr="00D5001E">
              <w:rPr>
                <w:rFonts w:asciiTheme="minorHAnsi" w:hAnsiTheme="minorHAnsi" w:cstheme="minorHAnsi"/>
                <w:color w:val="000000"/>
                <w:sz w:val="18"/>
                <w:szCs w:val="18"/>
              </w:rPr>
              <w:t>treatment with a platinum-containing chemotherapy regimen and either a programmed cell death-1 (PD-1) inhibitor or a programmed cell death ligand-1 (PD-L1) inhibitor.</w:t>
            </w:r>
          </w:p>
        </w:tc>
        <w:tc>
          <w:tcPr>
            <w:tcW w:w="1984" w:type="dxa"/>
            <w:shd w:val="clear" w:color="auto" w:fill="auto"/>
            <w:vAlign w:val="center"/>
          </w:tcPr>
          <w:p w14:paraId="1A03FF7F" w14:textId="7ECB9EE2" w:rsidR="00575F52" w:rsidRPr="00D5001E" w:rsidRDefault="00575F52" w:rsidP="00575F52">
            <w:pPr>
              <w:pStyle w:val="ListParagraph"/>
              <w:keepLines/>
              <w:ind w:left="0"/>
              <w:rPr>
                <w:rFonts w:asciiTheme="minorHAnsi" w:hAnsiTheme="minorHAnsi" w:cstheme="minorHAnsi"/>
                <w:snapToGrid w:val="0"/>
                <w:sz w:val="18"/>
                <w:szCs w:val="18"/>
                <w:highlight w:val="yellow"/>
                <w:lang w:eastAsia="en-US"/>
              </w:rPr>
            </w:pPr>
            <w:r w:rsidRPr="00D5001E">
              <w:rPr>
                <w:rFonts w:asciiTheme="minorHAnsi" w:hAnsiTheme="minorHAnsi" w:cstheme="minorHAnsi"/>
                <w:color w:val="000000"/>
                <w:sz w:val="18"/>
                <w:szCs w:val="18"/>
              </w:rPr>
              <w:t>Not Recommended</w:t>
            </w:r>
          </w:p>
        </w:tc>
        <w:tc>
          <w:tcPr>
            <w:tcW w:w="4053" w:type="dxa"/>
            <w:shd w:val="clear" w:color="auto" w:fill="auto"/>
            <w:vAlign w:val="center"/>
          </w:tcPr>
          <w:p w14:paraId="0D03BDA8" w14:textId="77777777" w:rsidR="009E4986" w:rsidRPr="00D5001E" w:rsidRDefault="0082711A" w:rsidP="00575F52">
            <w:pPr>
              <w:pStyle w:val="ListParagraph"/>
              <w:keepLines/>
              <w:ind w:left="0"/>
              <w:rPr>
                <w:rFonts w:asciiTheme="minorHAnsi" w:hAnsiTheme="minorHAnsi" w:cstheme="minorHAnsi"/>
                <w:color w:val="000000"/>
                <w:sz w:val="18"/>
                <w:szCs w:val="18"/>
              </w:rPr>
            </w:pPr>
            <w:r w:rsidRPr="009E4986">
              <w:rPr>
                <w:rFonts w:asciiTheme="minorHAnsi" w:hAnsiTheme="minorHAnsi" w:cstheme="minorHAnsi"/>
                <w:color w:val="000000"/>
                <w:sz w:val="18"/>
                <w:szCs w:val="18"/>
              </w:rPr>
              <w:t xml:space="preserve">The PBAC did not recommend enfortumab vedotin for the treatment of patients with locally advanced (Stage III) or metastatic (Stage IV) urothelial cancer who have progressed on or after a platinum-containing chemotherapy regimen and either a programmed cell death-1 (PD-1) inhibitor or a programmed cell death ligand-1 (PD-L1) inhibitor. The PBAC considered data from the key trial EV-301 supported a moderate overall survival benefit. In addition, the PBAC considered the evidence presented suggested that enfortumab vedotin had an acceptable safety profile. However, the PBAC considered the incremental cost-effectiveness ratio (ICER) proposed in the submission was uncertain and the respecified ICERs were high at the proposed price. </w:t>
            </w:r>
          </w:p>
          <w:p w14:paraId="61851850" w14:textId="77777777" w:rsidR="009E4986" w:rsidRPr="00D5001E" w:rsidRDefault="009E4986" w:rsidP="00575F52">
            <w:pPr>
              <w:pStyle w:val="ListParagraph"/>
              <w:keepLines/>
              <w:ind w:left="0"/>
              <w:rPr>
                <w:rFonts w:asciiTheme="minorHAnsi" w:hAnsiTheme="minorHAnsi" w:cstheme="minorHAnsi"/>
                <w:color w:val="000000"/>
                <w:sz w:val="18"/>
                <w:szCs w:val="18"/>
              </w:rPr>
            </w:pPr>
          </w:p>
          <w:p w14:paraId="0EC39483" w14:textId="443FE01A" w:rsidR="00575F52" w:rsidRPr="00D5001E" w:rsidRDefault="0082711A" w:rsidP="00575F52">
            <w:pPr>
              <w:pStyle w:val="ListParagraph"/>
              <w:keepLines/>
              <w:ind w:left="0"/>
              <w:rPr>
                <w:rFonts w:asciiTheme="minorHAnsi" w:hAnsiTheme="minorHAnsi" w:cstheme="minorHAnsi"/>
                <w:color w:val="000000"/>
                <w:sz w:val="18"/>
                <w:szCs w:val="18"/>
              </w:rPr>
            </w:pPr>
            <w:r w:rsidRPr="009E4986">
              <w:rPr>
                <w:rFonts w:asciiTheme="minorHAnsi" w:hAnsiTheme="minorHAnsi" w:cstheme="minorHAnsi"/>
                <w:color w:val="000000"/>
                <w:sz w:val="18"/>
                <w:szCs w:val="18"/>
              </w:rPr>
              <w:t>The PBAC nominated the Early Re-entry re-submission pathway for this item.</w:t>
            </w:r>
          </w:p>
          <w:p w14:paraId="2A270A38" w14:textId="77777777" w:rsidR="0082711A" w:rsidRPr="009E4986" w:rsidRDefault="0082711A" w:rsidP="00575F52">
            <w:pPr>
              <w:pStyle w:val="ListParagraph"/>
              <w:keepLines/>
              <w:ind w:left="0"/>
              <w:rPr>
                <w:rFonts w:asciiTheme="minorHAnsi" w:hAnsiTheme="minorHAnsi" w:cstheme="minorHAnsi"/>
                <w:color w:val="000000"/>
                <w:sz w:val="18"/>
                <w:szCs w:val="18"/>
              </w:rPr>
            </w:pPr>
          </w:p>
          <w:p w14:paraId="08ADBC83" w14:textId="77777777" w:rsidR="00575F52" w:rsidRDefault="00575F52" w:rsidP="00575F52">
            <w:pPr>
              <w:pStyle w:val="ListParagraph"/>
              <w:keepLines/>
              <w:ind w:left="0"/>
              <w:rPr>
                <w:rFonts w:asciiTheme="minorHAnsi" w:hAnsiTheme="minorHAnsi" w:cstheme="minorHAnsi"/>
                <w:color w:val="000000"/>
                <w:sz w:val="18"/>
                <w:szCs w:val="18"/>
                <w:u w:val="single"/>
              </w:rPr>
            </w:pPr>
            <w:r w:rsidRPr="009E4986">
              <w:rPr>
                <w:rFonts w:asciiTheme="minorHAnsi" w:hAnsiTheme="minorHAnsi" w:cstheme="minorHAnsi"/>
                <w:color w:val="000000"/>
                <w:sz w:val="18"/>
                <w:szCs w:val="18"/>
                <w:u w:val="single"/>
              </w:rPr>
              <w:t>Sponsor Comment:</w:t>
            </w:r>
          </w:p>
          <w:p w14:paraId="266D6FEC" w14:textId="7592FB0B" w:rsidR="000D3BC0" w:rsidRPr="007E1720" w:rsidRDefault="000D3BC0" w:rsidP="00575F52">
            <w:pPr>
              <w:pStyle w:val="ListParagraph"/>
              <w:keepLines/>
              <w:ind w:left="0"/>
              <w:rPr>
                <w:rFonts w:asciiTheme="minorHAnsi" w:hAnsiTheme="minorHAnsi" w:cstheme="minorHAnsi"/>
                <w:color w:val="000000"/>
                <w:sz w:val="18"/>
                <w:szCs w:val="18"/>
                <w:highlight w:val="yellow"/>
              </w:rPr>
            </w:pPr>
            <w:r w:rsidRPr="000D3BC0">
              <w:rPr>
                <w:rFonts w:asciiTheme="minorHAnsi" w:hAnsiTheme="minorHAnsi" w:cstheme="minorHAnsi"/>
                <w:color w:val="000000"/>
                <w:sz w:val="18"/>
                <w:szCs w:val="18"/>
              </w:rPr>
              <w:t xml:space="preserve">Astellas Pharma Australia will continue to work with the PBAC to seek to resolve the outstanding issues so patients in Australia with locally advanced (Stage III) or metastatic (Stage IV) urothelial cancer can benefit from </w:t>
            </w:r>
            <w:r w:rsidR="00DD3217" w:rsidRPr="000D3BC0">
              <w:rPr>
                <w:rFonts w:asciiTheme="minorHAnsi" w:hAnsiTheme="minorHAnsi" w:cstheme="minorHAnsi"/>
                <w:color w:val="000000"/>
                <w:sz w:val="18"/>
                <w:szCs w:val="18"/>
              </w:rPr>
              <w:t>enfortumab vedotin</w:t>
            </w:r>
            <w:r w:rsidRPr="000D3BC0">
              <w:rPr>
                <w:rFonts w:asciiTheme="minorHAnsi" w:hAnsiTheme="minorHAnsi" w:cstheme="minorHAnsi"/>
                <w:color w:val="000000"/>
                <w:sz w:val="18"/>
                <w:szCs w:val="18"/>
              </w:rPr>
              <w:t xml:space="preserve"> being available through the PBS.</w:t>
            </w:r>
          </w:p>
        </w:tc>
      </w:tr>
      <w:tr w:rsidR="00575F52" w:rsidRPr="00567D48" w14:paraId="06F068C3" w14:textId="77777777" w:rsidTr="007128F7">
        <w:trPr>
          <w:cantSplit/>
          <w:trHeight w:val="2948"/>
        </w:trPr>
        <w:tc>
          <w:tcPr>
            <w:tcW w:w="2973" w:type="dxa"/>
            <w:shd w:val="clear" w:color="auto" w:fill="auto"/>
            <w:tcMar>
              <w:top w:w="28" w:type="dxa"/>
              <w:bottom w:w="28" w:type="dxa"/>
            </w:tcMar>
            <w:vAlign w:val="center"/>
          </w:tcPr>
          <w:p w14:paraId="6FC06C85" w14:textId="649B408E" w:rsidR="00575F52" w:rsidRPr="00251E7D" w:rsidRDefault="00575F52" w:rsidP="00575F52">
            <w:pPr>
              <w:keepLines/>
              <w:rPr>
                <w:rFonts w:asciiTheme="minorHAnsi" w:hAnsiTheme="minorHAnsi" w:cstheme="minorHAnsi"/>
                <w:sz w:val="18"/>
                <w:szCs w:val="18"/>
                <w:highlight w:val="yellow"/>
              </w:rPr>
            </w:pPr>
            <w:r w:rsidRPr="00251E7D">
              <w:rPr>
                <w:rFonts w:asciiTheme="minorHAnsi" w:hAnsiTheme="minorHAnsi" w:cstheme="minorHAnsi"/>
                <w:color w:val="000000"/>
                <w:sz w:val="18"/>
                <w:szCs w:val="18"/>
              </w:rPr>
              <w:lastRenderedPageBreak/>
              <w:t xml:space="preserve">ENZALUTAMIDE </w:t>
            </w:r>
            <w:r w:rsidRPr="00251E7D">
              <w:rPr>
                <w:rFonts w:asciiTheme="minorHAnsi" w:hAnsiTheme="minorHAnsi" w:cstheme="minorHAnsi"/>
                <w:color w:val="000000"/>
                <w:sz w:val="18"/>
                <w:szCs w:val="18"/>
              </w:rPr>
              <w:br/>
            </w:r>
            <w:r w:rsidRPr="00251E7D">
              <w:rPr>
                <w:rFonts w:asciiTheme="minorHAnsi" w:hAnsiTheme="minorHAnsi" w:cstheme="minorHAnsi"/>
                <w:color w:val="000000"/>
                <w:sz w:val="18"/>
                <w:szCs w:val="18"/>
              </w:rPr>
              <w:br/>
              <w:t>Capsule 40 mg</w:t>
            </w:r>
            <w:r w:rsidRPr="00251E7D">
              <w:rPr>
                <w:rFonts w:asciiTheme="minorHAnsi" w:hAnsiTheme="minorHAnsi" w:cstheme="minorHAnsi"/>
                <w:color w:val="000000"/>
                <w:sz w:val="18"/>
                <w:szCs w:val="18"/>
              </w:rPr>
              <w:br/>
            </w:r>
            <w:r w:rsidRPr="00251E7D">
              <w:rPr>
                <w:rFonts w:asciiTheme="minorHAnsi" w:hAnsiTheme="minorHAnsi" w:cstheme="minorHAnsi"/>
                <w:color w:val="000000"/>
                <w:sz w:val="18"/>
                <w:szCs w:val="18"/>
              </w:rPr>
              <w:br/>
              <w:t>Xtandi®</w:t>
            </w:r>
            <w:r w:rsidRPr="00251E7D">
              <w:rPr>
                <w:rFonts w:asciiTheme="minorHAnsi" w:hAnsiTheme="minorHAnsi" w:cstheme="minorHAnsi"/>
                <w:color w:val="000000"/>
                <w:sz w:val="18"/>
                <w:szCs w:val="18"/>
              </w:rPr>
              <w:br/>
            </w:r>
            <w:r w:rsidRPr="00251E7D">
              <w:rPr>
                <w:rFonts w:asciiTheme="minorHAnsi" w:hAnsiTheme="minorHAnsi" w:cstheme="minorHAnsi"/>
                <w:color w:val="000000"/>
                <w:sz w:val="18"/>
                <w:szCs w:val="18"/>
              </w:rPr>
              <w:br/>
              <w:t>Astellas Pharma Australia Pty Ltd</w:t>
            </w:r>
            <w:r w:rsidRPr="00251E7D">
              <w:rPr>
                <w:rFonts w:asciiTheme="minorHAnsi" w:hAnsiTheme="minorHAnsi" w:cstheme="minorHAnsi"/>
                <w:color w:val="000000"/>
                <w:sz w:val="18"/>
                <w:szCs w:val="18"/>
                <w:highlight w:val="yellow"/>
              </w:rPr>
              <w:br/>
            </w:r>
            <w:r w:rsidRPr="00251E7D">
              <w:rPr>
                <w:rFonts w:asciiTheme="minorHAnsi" w:hAnsiTheme="minorHAnsi" w:cstheme="minorHAnsi"/>
                <w:color w:val="000000"/>
                <w:sz w:val="18"/>
                <w:szCs w:val="18"/>
                <w:highlight w:val="yellow"/>
              </w:rPr>
              <w:br/>
            </w:r>
            <w:r w:rsidRPr="00251E7D">
              <w:rPr>
                <w:rFonts w:asciiTheme="minorHAnsi" w:hAnsiTheme="minorHAnsi" w:cstheme="minorHAnsi"/>
                <w:color w:val="000000"/>
                <w:sz w:val="18"/>
                <w:szCs w:val="18"/>
              </w:rPr>
              <w:t>Category 2 submission</w:t>
            </w:r>
            <w:r w:rsidRPr="00251E7D">
              <w:rPr>
                <w:rFonts w:asciiTheme="minorHAnsi" w:hAnsiTheme="minorHAnsi" w:cstheme="minorHAnsi"/>
                <w:color w:val="000000"/>
                <w:sz w:val="18"/>
                <w:szCs w:val="18"/>
                <w:highlight w:val="yellow"/>
              </w:rPr>
              <w:br/>
            </w:r>
            <w:r w:rsidRPr="00251E7D">
              <w:rPr>
                <w:rFonts w:asciiTheme="minorHAnsi" w:hAnsiTheme="minorHAnsi" w:cstheme="minorHAnsi"/>
                <w:color w:val="000000"/>
                <w:sz w:val="18"/>
                <w:szCs w:val="18"/>
              </w:rPr>
              <w:t>(Change to PBS listing)</w:t>
            </w:r>
          </w:p>
        </w:tc>
        <w:tc>
          <w:tcPr>
            <w:tcW w:w="2491" w:type="dxa"/>
            <w:shd w:val="clear" w:color="auto" w:fill="auto"/>
            <w:vAlign w:val="center"/>
          </w:tcPr>
          <w:p w14:paraId="44101876" w14:textId="33087C8D" w:rsidR="00575F52" w:rsidRPr="000F0297" w:rsidRDefault="00575F52" w:rsidP="00575F52">
            <w:pPr>
              <w:keepLines/>
              <w:widowControl w:val="0"/>
              <w:rPr>
                <w:rFonts w:asciiTheme="minorHAnsi" w:hAnsiTheme="minorHAnsi" w:cstheme="minorHAnsi"/>
                <w:snapToGrid w:val="0"/>
                <w:sz w:val="18"/>
                <w:szCs w:val="18"/>
                <w:lang w:eastAsia="en-US"/>
              </w:rPr>
            </w:pPr>
            <w:r w:rsidRPr="00251E7D">
              <w:rPr>
                <w:rFonts w:asciiTheme="minorHAnsi" w:hAnsiTheme="minorHAnsi" w:cstheme="minorHAnsi"/>
                <w:color w:val="000000"/>
                <w:sz w:val="18"/>
                <w:szCs w:val="18"/>
              </w:rPr>
              <w:t>Prostate cancer</w:t>
            </w:r>
          </w:p>
        </w:tc>
        <w:tc>
          <w:tcPr>
            <w:tcW w:w="3887" w:type="dxa"/>
            <w:shd w:val="clear" w:color="auto" w:fill="auto"/>
            <w:tcMar>
              <w:top w:w="28" w:type="dxa"/>
              <w:bottom w:w="28" w:type="dxa"/>
            </w:tcMar>
            <w:vAlign w:val="center"/>
          </w:tcPr>
          <w:p w14:paraId="3887414E" w14:textId="39954BCF"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251E7D">
              <w:rPr>
                <w:rFonts w:asciiTheme="minorHAnsi" w:hAnsiTheme="minorHAnsi" w:cstheme="minorHAnsi"/>
                <w:color w:val="000000"/>
                <w:sz w:val="18"/>
                <w:szCs w:val="18"/>
              </w:rPr>
              <w:t>To request a General Schedule Authority Required listing, in combination with ongoing androgen-deprivation therapy, for the treatment of non-metastatic castration-resistant prostate cancer (m0CRPC).</w:t>
            </w:r>
          </w:p>
        </w:tc>
        <w:tc>
          <w:tcPr>
            <w:tcW w:w="1984" w:type="dxa"/>
            <w:shd w:val="clear" w:color="auto" w:fill="auto"/>
            <w:vAlign w:val="center"/>
          </w:tcPr>
          <w:p w14:paraId="37E13064" w14:textId="583B40E0" w:rsidR="00575F52" w:rsidRPr="00251E7D" w:rsidRDefault="00575F52" w:rsidP="00575F52">
            <w:pPr>
              <w:pStyle w:val="ListParagraph"/>
              <w:keepLines/>
              <w:ind w:left="0"/>
              <w:rPr>
                <w:rFonts w:asciiTheme="minorHAnsi" w:hAnsiTheme="minorHAnsi" w:cstheme="minorHAnsi"/>
                <w:snapToGrid w:val="0"/>
                <w:sz w:val="18"/>
                <w:szCs w:val="18"/>
                <w:highlight w:val="yellow"/>
                <w:lang w:eastAsia="en-US"/>
              </w:rPr>
            </w:pPr>
            <w:r w:rsidRPr="00251E7D">
              <w:rPr>
                <w:rFonts w:asciiTheme="minorHAnsi" w:hAnsiTheme="minorHAnsi" w:cstheme="minorHAnsi"/>
                <w:color w:val="000000"/>
                <w:sz w:val="18"/>
                <w:szCs w:val="18"/>
              </w:rPr>
              <w:t>Recommended</w:t>
            </w:r>
          </w:p>
        </w:tc>
        <w:tc>
          <w:tcPr>
            <w:tcW w:w="4053" w:type="dxa"/>
            <w:shd w:val="clear" w:color="auto" w:fill="auto"/>
            <w:vAlign w:val="center"/>
          </w:tcPr>
          <w:p w14:paraId="550A4B1D" w14:textId="7D7C3611" w:rsidR="00575F52" w:rsidRPr="00D5001E" w:rsidRDefault="00575F52" w:rsidP="00575F52">
            <w:pPr>
              <w:pStyle w:val="ListParagraph"/>
              <w:keepLines/>
              <w:ind w:left="0"/>
              <w:rPr>
                <w:rFonts w:asciiTheme="minorHAnsi" w:hAnsiTheme="minorHAnsi" w:cstheme="minorHAnsi"/>
                <w:color w:val="000000"/>
                <w:sz w:val="18"/>
                <w:szCs w:val="18"/>
                <w:highlight w:val="yellow"/>
              </w:rPr>
            </w:pPr>
            <w:r w:rsidRPr="00251E7D">
              <w:rPr>
                <w:rFonts w:asciiTheme="minorHAnsi" w:hAnsiTheme="minorHAnsi" w:cstheme="minorHAnsi"/>
                <w:color w:val="000000"/>
                <w:sz w:val="18"/>
                <w:szCs w:val="18"/>
              </w:rPr>
              <w:t>The PBAC recommended the listing of enzalutamide for the treatment of patients with m0CRPC. The PBAC was satisfied that enzalutamide was non-inferior in terms of efficacy and safety compared to darolutamide, the primary comparator. The PBAC’s recommendation for listing was based on, among other matters, its assessment that the cost</w:t>
            </w:r>
            <w:r w:rsidRPr="00D5001E">
              <w:rPr>
                <w:rFonts w:asciiTheme="minorHAnsi" w:hAnsiTheme="minorHAnsi" w:cstheme="minorHAnsi"/>
                <w:color w:val="000000"/>
                <w:sz w:val="18"/>
                <w:szCs w:val="18"/>
              </w:rPr>
              <w:t>-</w:t>
            </w:r>
            <w:r w:rsidRPr="00251E7D">
              <w:rPr>
                <w:rFonts w:asciiTheme="minorHAnsi" w:hAnsiTheme="minorHAnsi" w:cstheme="minorHAnsi"/>
                <w:color w:val="000000"/>
                <w:sz w:val="18"/>
                <w:szCs w:val="18"/>
              </w:rPr>
              <w:t>minimisation approach between enzalutamide and darolutamide was acceptable and that the listing would be cost</w:t>
            </w:r>
            <w:r w:rsidRPr="00D5001E">
              <w:rPr>
                <w:rFonts w:asciiTheme="minorHAnsi" w:hAnsiTheme="minorHAnsi" w:cstheme="minorHAnsi"/>
                <w:color w:val="000000"/>
                <w:sz w:val="18"/>
                <w:szCs w:val="18"/>
              </w:rPr>
              <w:t>-</w:t>
            </w:r>
            <w:r w:rsidRPr="00251E7D">
              <w:rPr>
                <w:rFonts w:asciiTheme="minorHAnsi" w:hAnsiTheme="minorHAnsi" w:cstheme="minorHAnsi"/>
                <w:color w:val="000000"/>
                <w:sz w:val="18"/>
                <w:szCs w:val="18"/>
              </w:rPr>
              <w:t>neutral to Government. The PBAC recommended potential flow</w:t>
            </w:r>
            <w:r w:rsidRPr="00D5001E">
              <w:rPr>
                <w:rFonts w:asciiTheme="minorHAnsi" w:hAnsiTheme="minorHAnsi" w:cstheme="minorHAnsi"/>
                <w:color w:val="000000"/>
                <w:sz w:val="18"/>
                <w:szCs w:val="18"/>
              </w:rPr>
              <w:t>-</w:t>
            </w:r>
            <w:r w:rsidRPr="00251E7D">
              <w:rPr>
                <w:rFonts w:asciiTheme="minorHAnsi" w:hAnsiTheme="minorHAnsi" w:cstheme="minorHAnsi"/>
                <w:color w:val="000000"/>
                <w:sz w:val="18"/>
                <w:szCs w:val="18"/>
              </w:rPr>
              <w:t xml:space="preserve">on changes to the PBS restrictions for abiraterone and enzalutamide in the metastatic CRPC setting to prevent their use </w:t>
            </w:r>
            <w:proofErr w:type="gramStart"/>
            <w:r w:rsidRPr="00251E7D">
              <w:rPr>
                <w:rFonts w:asciiTheme="minorHAnsi" w:hAnsiTheme="minorHAnsi" w:cstheme="minorHAnsi"/>
                <w:color w:val="000000"/>
                <w:sz w:val="18"/>
                <w:szCs w:val="18"/>
              </w:rPr>
              <w:t>subsequent to</w:t>
            </w:r>
            <w:proofErr w:type="gramEnd"/>
            <w:r w:rsidRPr="00251E7D">
              <w:rPr>
                <w:rFonts w:asciiTheme="minorHAnsi" w:hAnsiTheme="minorHAnsi" w:cstheme="minorHAnsi"/>
                <w:color w:val="000000"/>
                <w:sz w:val="18"/>
                <w:szCs w:val="18"/>
              </w:rPr>
              <w:t xml:space="preserve"> enzalutamide in the m0CRPC setting.</w:t>
            </w:r>
          </w:p>
        </w:tc>
      </w:tr>
      <w:tr w:rsidR="00575F52" w:rsidRPr="00567D48" w14:paraId="2EC70EBE" w14:textId="77777777" w:rsidTr="007128F7">
        <w:trPr>
          <w:cantSplit/>
          <w:trHeight w:val="2948"/>
        </w:trPr>
        <w:tc>
          <w:tcPr>
            <w:tcW w:w="2973" w:type="dxa"/>
            <w:shd w:val="clear" w:color="auto" w:fill="auto"/>
            <w:tcMar>
              <w:top w:w="28" w:type="dxa"/>
              <w:bottom w:w="28" w:type="dxa"/>
            </w:tcMar>
            <w:vAlign w:val="center"/>
          </w:tcPr>
          <w:p w14:paraId="51F9C8DB" w14:textId="1E4F81D2" w:rsidR="00575F52" w:rsidRPr="00D5001E" w:rsidRDefault="00575F52" w:rsidP="00575F52">
            <w:pPr>
              <w:keepLines/>
              <w:rPr>
                <w:rFonts w:asciiTheme="minorHAnsi" w:hAnsiTheme="minorHAnsi" w:cstheme="minorHAnsi"/>
                <w:sz w:val="18"/>
                <w:szCs w:val="18"/>
                <w:highlight w:val="yellow"/>
              </w:rPr>
            </w:pPr>
            <w:r w:rsidRPr="00251E7D">
              <w:rPr>
                <w:rFonts w:asciiTheme="minorHAnsi" w:hAnsiTheme="minorHAnsi" w:cstheme="minorHAnsi"/>
                <w:color w:val="000000"/>
                <w:sz w:val="18"/>
                <w:szCs w:val="18"/>
              </w:rPr>
              <w:t xml:space="preserve">FREMANEZUMAB </w:t>
            </w:r>
            <w:r w:rsidRPr="00251E7D">
              <w:rPr>
                <w:rFonts w:asciiTheme="minorHAnsi" w:hAnsiTheme="minorHAnsi" w:cstheme="minorHAnsi"/>
                <w:color w:val="000000"/>
                <w:sz w:val="18"/>
                <w:szCs w:val="18"/>
              </w:rPr>
              <w:br/>
            </w:r>
            <w:r w:rsidRPr="00251E7D">
              <w:rPr>
                <w:rFonts w:asciiTheme="minorHAnsi" w:hAnsiTheme="minorHAnsi" w:cstheme="minorHAnsi"/>
                <w:color w:val="000000"/>
                <w:sz w:val="18"/>
                <w:szCs w:val="18"/>
              </w:rPr>
              <w:br/>
              <w:t>Solution for injection 225 mg in 1.5 mL single dose auto-injector</w:t>
            </w:r>
            <w:r w:rsidRPr="00251E7D">
              <w:rPr>
                <w:rFonts w:asciiTheme="minorHAnsi" w:hAnsiTheme="minorHAnsi" w:cstheme="minorHAnsi"/>
                <w:color w:val="000000"/>
                <w:sz w:val="18"/>
                <w:szCs w:val="18"/>
              </w:rPr>
              <w:br/>
            </w:r>
            <w:r w:rsidRPr="00251E7D">
              <w:rPr>
                <w:rFonts w:asciiTheme="minorHAnsi" w:hAnsiTheme="minorHAnsi" w:cstheme="minorHAnsi"/>
                <w:color w:val="000000"/>
                <w:sz w:val="18"/>
                <w:szCs w:val="18"/>
              </w:rPr>
              <w:br/>
              <w:t>Ajovy®</w:t>
            </w:r>
            <w:r w:rsidRPr="00251E7D">
              <w:rPr>
                <w:rFonts w:asciiTheme="minorHAnsi" w:hAnsiTheme="minorHAnsi" w:cstheme="minorHAnsi"/>
                <w:color w:val="000000"/>
                <w:sz w:val="18"/>
                <w:szCs w:val="18"/>
              </w:rPr>
              <w:br/>
            </w:r>
            <w:r w:rsidRPr="00251E7D">
              <w:rPr>
                <w:rFonts w:asciiTheme="minorHAnsi" w:hAnsiTheme="minorHAnsi" w:cstheme="minorHAnsi"/>
                <w:color w:val="000000"/>
                <w:sz w:val="18"/>
                <w:szCs w:val="18"/>
              </w:rPr>
              <w:br/>
              <w:t>Teva Pharma Australia Pty Ltd</w:t>
            </w:r>
            <w:r w:rsidRPr="00251E7D">
              <w:rPr>
                <w:rFonts w:asciiTheme="minorHAnsi" w:hAnsiTheme="minorHAnsi" w:cstheme="minorHAnsi"/>
                <w:color w:val="000000"/>
                <w:sz w:val="18"/>
                <w:szCs w:val="18"/>
                <w:highlight w:val="yellow"/>
              </w:rPr>
              <w:br/>
            </w:r>
            <w:r w:rsidRPr="00251E7D">
              <w:rPr>
                <w:rFonts w:asciiTheme="minorHAnsi" w:hAnsiTheme="minorHAnsi" w:cstheme="minorHAnsi"/>
                <w:color w:val="000000"/>
                <w:sz w:val="18"/>
                <w:szCs w:val="18"/>
                <w:highlight w:val="yellow"/>
              </w:rPr>
              <w:br/>
            </w:r>
            <w:r w:rsidRPr="00251E7D">
              <w:rPr>
                <w:rFonts w:asciiTheme="minorHAnsi" w:hAnsiTheme="minorHAnsi" w:cstheme="minorHAnsi"/>
                <w:color w:val="000000"/>
                <w:sz w:val="18"/>
                <w:szCs w:val="18"/>
              </w:rPr>
              <w:t>Committee secretariat</w:t>
            </w:r>
            <w:r w:rsidRPr="00D5001E">
              <w:rPr>
                <w:rFonts w:asciiTheme="minorHAnsi" w:hAnsiTheme="minorHAnsi" w:cstheme="minorHAnsi"/>
                <w:color w:val="000000"/>
                <w:sz w:val="18"/>
                <w:szCs w:val="18"/>
              </w:rPr>
              <w:t xml:space="preserve"> submission</w:t>
            </w:r>
            <w:r w:rsidRPr="00251E7D">
              <w:rPr>
                <w:rFonts w:asciiTheme="minorHAnsi" w:hAnsiTheme="minorHAnsi" w:cstheme="minorHAnsi"/>
                <w:color w:val="000000"/>
                <w:sz w:val="18"/>
                <w:szCs w:val="18"/>
                <w:highlight w:val="yellow"/>
              </w:rPr>
              <w:br/>
            </w:r>
            <w:r w:rsidRPr="00D5001E">
              <w:rPr>
                <w:rFonts w:asciiTheme="minorHAnsi" w:hAnsiTheme="minorHAnsi" w:cstheme="minorHAnsi"/>
                <w:color w:val="000000"/>
                <w:sz w:val="18"/>
                <w:szCs w:val="18"/>
              </w:rPr>
              <w:t>(New PBS listing)</w:t>
            </w:r>
          </w:p>
        </w:tc>
        <w:tc>
          <w:tcPr>
            <w:tcW w:w="2491" w:type="dxa"/>
            <w:shd w:val="clear" w:color="auto" w:fill="auto"/>
            <w:vAlign w:val="center"/>
          </w:tcPr>
          <w:p w14:paraId="769B6C1F" w14:textId="1D01861A" w:rsidR="00575F52" w:rsidRPr="00D5001E" w:rsidRDefault="00575F52" w:rsidP="00575F52">
            <w:pPr>
              <w:keepLines/>
              <w:widowControl w:val="0"/>
              <w:rPr>
                <w:rFonts w:asciiTheme="minorHAnsi" w:hAnsiTheme="minorHAnsi" w:cstheme="minorHAnsi"/>
                <w:snapToGrid w:val="0"/>
                <w:sz w:val="18"/>
                <w:szCs w:val="18"/>
                <w:highlight w:val="yellow"/>
                <w:lang w:eastAsia="en-US"/>
              </w:rPr>
            </w:pPr>
            <w:r w:rsidRPr="00D5001E">
              <w:rPr>
                <w:rFonts w:asciiTheme="minorHAnsi" w:hAnsiTheme="minorHAnsi" w:cstheme="minorHAnsi"/>
                <w:color w:val="000000"/>
                <w:sz w:val="18"/>
                <w:szCs w:val="18"/>
              </w:rPr>
              <w:t>Chronic migraine</w:t>
            </w:r>
          </w:p>
        </w:tc>
        <w:tc>
          <w:tcPr>
            <w:tcW w:w="3887" w:type="dxa"/>
            <w:shd w:val="clear" w:color="auto" w:fill="auto"/>
            <w:tcMar>
              <w:top w:w="28" w:type="dxa"/>
              <w:bottom w:w="28" w:type="dxa"/>
            </w:tcMar>
            <w:vAlign w:val="center"/>
          </w:tcPr>
          <w:p w14:paraId="438FD70D" w14:textId="7E0FCA6F"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 xml:space="preserve">To request General Schedule Authority Required (STREAMLINED) listing of a new form under the same conditions as the PBS-listed fremanezumab pre-filled syringes. </w:t>
            </w:r>
          </w:p>
        </w:tc>
        <w:tc>
          <w:tcPr>
            <w:tcW w:w="1984" w:type="dxa"/>
            <w:shd w:val="clear" w:color="auto" w:fill="auto"/>
            <w:vAlign w:val="center"/>
          </w:tcPr>
          <w:p w14:paraId="0039D5E2" w14:textId="472F7A2C"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Recommended</w:t>
            </w:r>
          </w:p>
        </w:tc>
        <w:tc>
          <w:tcPr>
            <w:tcW w:w="4053" w:type="dxa"/>
            <w:shd w:val="clear" w:color="auto" w:fill="auto"/>
            <w:vAlign w:val="center"/>
          </w:tcPr>
          <w:p w14:paraId="45CEEF81" w14:textId="00E8EF6E" w:rsidR="00575F52" w:rsidRPr="000F0297" w:rsidRDefault="00575F52" w:rsidP="00575F52">
            <w:pPr>
              <w:pStyle w:val="ListParagraph"/>
              <w:keepLines/>
              <w:ind w:left="0"/>
              <w:rPr>
                <w:rFonts w:asciiTheme="minorHAnsi" w:hAnsiTheme="minorHAnsi" w:cstheme="minorHAnsi"/>
                <w:color w:val="000000"/>
                <w:sz w:val="18"/>
                <w:szCs w:val="18"/>
              </w:rPr>
            </w:pPr>
            <w:r w:rsidRPr="00D5001E">
              <w:rPr>
                <w:rFonts w:asciiTheme="minorHAnsi" w:hAnsiTheme="minorHAnsi" w:cstheme="minorHAnsi"/>
                <w:color w:val="000000"/>
                <w:sz w:val="18"/>
                <w:szCs w:val="18"/>
              </w:rPr>
              <w:t xml:space="preserve">The PBAC recommended the </w:t>
            </w:r>
            <w:r w:rsidRPr="00251E7D">
              <w:rPr>
                <w:rFonts w:asciiTheme="minorHAnsi" w:hAnsiTheme="minorHAnsi" w:cstheme="minorHAnsi"/>
                <w:color w:val="000000"/>
                <w:sz w:val="18"/>
                <w:szCs w:val="18"/>
              </w:rPr>
              <w:t xml:space="preserve">Authority Required (STREAMLINED) listing of fremanezumab (Ajovy) 225 mg in 1.5 mL auto-injector under the same circumstances as the PBS-listed fremanezumab (Ajovy) 225 mg in 1.5 mL pre-filled syringe. The PBAC advised that, under section 101(4AACD) of the </w:t>
            </w:r>
            <w:r w:rsidRPr="00251E7D">
              <w:rPr>
                <w:rFonts w:asciiTheme="minorHAnsi" w:hAnsiTheme="minorHAnsi" w:cstheme="minorHAnsi"/>
                <w:i/>
                <w:iCs/>
                <w:color w:val="000000"/>
                <w:sz w:val="18"/>
                <w:szCs w:val="18"/>
              </w:rPr>
              <w:t>National Health Act 1953</w:t>
            </w:r>
            <w:r w:rsidRPr="00251E7D">
              <w:rPr>
                <w:rFonts w:asciiTheme="minorHAnsi" w:hAnsiTheme="minorHAnsi" w:cstheme="minorHAnsi"/>
                <w:color w:val="000000"/>
                <w:sz w:val="18"/>
                <w:szCs w:val="18"/>
              </w:rPr>
              <w:t>, in the Schedule of Pharmaceutical Benefits, fremanezumab auto-injector and fremanezumab pre-filled syringe should be treated as equivalent (‘a’</w:t>
            </w:r>
            <w:r w:rsidRPr="00251E7D">
              <w:rPr>
                <w:rFonts w:asciiTheme="minorHAnsi" w:hAnsiTheme="minorHAnsi" w:cstheme="minorHAnsi"/>
                <w:color w:val="000000"/>
                <w:sz w:val="18"/>
                <w:szCs w:val="18"/>
              </w:rPr>
              <w:noBreakHyphen/>
              <w:t>flagged) to each other for the purposes of substitution.</w:t>
            </w:r>
          </w:p>
        </w:tc>
      </w:tr>
      <w:tr w:rsidR="00575F52" w:rsidRPr="00567D48" w14:paraId="01B90FB2" w14:textId="77777777" w:rsidTr="007128F7">
        <w:trPr>
          <w:cantSplit/>
          <w:trHeight w:val="2948"/>
        </w:trPr>
        <w:tc>
          <w:tcPr>
            <w:tcW w:w="2973" w:type="dxa"/>
            <w:shd w:val="clear" w:color="auto" w:fill="auto"/>
            <w:tcMar>
              <w:top w:w="28" w:type="dxa"/>
              <w:bottom w:w="28" w:type="dxa"/>
            </w:tcMar>
            <w:vAlign w:val="center"/>
          </w:tcPr>
          <w:p w14:paraId="643FCAB8" w14:textId="3E39E6AA" w:rsidR="00575F52" w:rsidRPr="00251E7D" w:rsidRDefault="00575F52" w:rsidP="00575F52">
            <w:pPr>
              <w:keepLines/>
              <w:rPr>
                <w:rFonts w:asciiTheme="minorHAnsi" w:hAnsiTheme="minorHAnsi" w:cstheme="minorHAnsi"/>
                <w:sz w:val="18"/>
                <w:szCs w:val="18"/>
                <w:highlight w:val="yellow"/>
              </w:rPr>
            </w:pPr>
            <w:r w:rsidRPr="00251E7D">
              <w:rPr>
                <w:rFonts w:asciiTheme="minorHAnsi" w:hAnsiTheme="minorHAnsi" w:cstheme="minorHAnsi"/>
                <w:color w:val="000000"/>
                <w:sz w:val="18"/>
                <w:szCs w:val="18"/>
              </w:rPr>
              <w:lastRenderedPageBreak/>
              <w:t xml:space="preserve">FREMANEZUMAB </w:t>
            </w:r>
            <w:r w:rsidRPr="00251E7D">
              <w:rPr>
                <w:rFonts w:asciiTheme="minorHAnsi" w:hAnsiTheme="minorHAnsi" w:cstheme="minorHAnsi"/>
                <w:color w:val="000000"/>
                <w:sz w:val="18"/>
                <w:szCs w:val="18"/>
              </w:rPr>
              <w:br/>
            </w:r>
            <w:r w:rsidRPr="00251E7D">
              <w:rPr>
                <w:rFonts w:asciiTheme="minorHAnsi" w:hAnsiTheme="minorHAnsi" w:cstheme="minorHAnsi"/>
                <w:color w:val="000000"/>
                <w:sz w:val="18"/>
                <w:szCs w:val="18"/>
              </w:rPr>
              <w:br/>
              <w:t>Solution for injection 225 mg in 1.5 mL single dose pre-filled syringe</w:t>
            </w:r>
            <w:r w:rsidRPr="00251E7D">
              <w:rPr>
                <w:rFonts w:asciiTheme="minorHAnsi" w:hAnsiTheme="minorHAnsi" w:cstheme="minorHAnsi"/>
                <w:color w:val="000000"/>
                <w:sz w:val="18"/>
                <w:szCs w:val="18"/>
              </w:rPr>
              <w:br/>
              <w:t>Solution for injection 225 mg in 1.5 mL single dose auto-injector</w:t>
            </w:r>
            <w:r w:rsidRPr="00251E7D">
              <w:rPr>
                <w:rFonts w:asciiTheme="minorHAnsi" w:hAnsiTheme="minorHAnsi" w:cstheme="minorHAnsi"/>
                <w:color w:val="000000"/>
                <w:sz w:val="18"/>
                <w:szCs w:val="18"/>
              </w:rPr>
              <w:br/>
            </w:r>
            <w:r w:rsidRPr="00251E7D">
              <w:rPr>
                <w:rFonts w:asciiTheme="minorHAnsi" w:hAnsiTheme="minorHAnsi" w:cstheme="minorHAnsi"/>
                <w:color w:val="000000"/>
                <w:sz w:val="18"/>
                <w:szCs w:val="18"/>
              </w:rPr>
              <w:br/>
              <w:t>Ajovy®</w:t>
            </w:r>
            <w:r w:rsidRPr="00251E7D">
              <w:rPr>
                <w:rFonts w:asciiTheme="minorHAnsi" w:hAnsiTheme="minorHAnsi" w:cstheme="minorHAnsi"/>
                <w:color w:val="000000"/>
                <w:sz w:val="18"/>
                <w:szCs w:val="18"/>
              </w:rPr>
              <w:br/>
            </w:r>
            <w:r w:rsidRPr="00251E7D">
              <w:rPr>
                <w:rFonts w:asciiTheme="minorHAnsi" w:hAnsiTheme="minorHAnsi" w:cstheme="minorHAnsi"/>
                <w:color w:val="000000"/>
                <w:sz w:val="18"/>
                <w:szCs w:val="18"/>
              </w:rPr>
              <w:br/>
              <w:t>Teva Pharma Australia Pty Ltd</w:t>
            </w:r>
            <w:r w:rsidRPr="00251E7D">
              <w:rPr>
                <w:rFonts w:asciiTheme="minorHAnsi" w:hAnsiTheme="minorHAnsi" w:cstheme="minorHAnsi"/>
                <w:color w:val="000000"/>
                <w:sz w:val="18"/>
                <w:szCs w:val="18"/>
              </w:rPr>
              <w:br/>
            </w:r>
            <w:r w:rsidRPr="00251E7D">
              <w:rPr>
                <w:rFonts w:asciiTheme="minorHAnsi" w:hAnsiTheme="minorHAnsi" w:cstheme="minorHAnsi"/>
                <w:color w:val="000000"/>
                <w:sz w:val="18"/>
                <w:szCs w:val="18"/>
              </w:rPr>
              <w:br/>
              <w:t>Category 4 submission</w:t>
            </w:r>
            <w:r w:rsidRPr="00251E7D">
              <w:rPr>
                <w:rFonts w:asciiTheme="minorHAnsi" w:hAnsiTheme="minorHAnsi" w:cstheme="minorHAnsi"/>
                <w:color w:val="000000"/>
                <w:sz w:val="18"/>
                <w:szCs w:val="18"/>
              </w:rPr>
              <w:br/>
              <w:t>(Change to PBS listing)</w:t>
            </w:r>
          </w:p>
        </w:tc>
        <w:tc>
          <w:tcPr>
            <w:tcW w:w="2491" w:type="dxa"/>
            <w:shd w:val="clear" w:color="auto" w:fill="auto"/>
            <w:vAlign w:val="center"/>
          </w:tcPr>
          <w:p w14:paraId="7E50F09F" w14:textId="4C6E3198" w:rsidR="00575F52" w:rsidRPr="00D5001E" w:rsidRDefault="00575F52" w:rsidP="00575F52">
            <w:pPr>
              <w:keepLines/>
              <w:widowControl w:val="0"/>
              <w:rPr>
                <w:rFonts w:asciiTheme="minorHAnsi" w:hAnsiTheme="minorHAnsi" w:cstheme="minorHAnsi"/>
                <w:snapToGrid w:val="0"/>
                <w:sz w:val="18"/>
                <w:szCs w:val="18"/>
                <w:highlight w:val="yellow"/>
                <w:lang w:eastAsia="en-US"/>
              </w:rPr>
            </w:pPr>
            <w:r w:rsidRPr="00251E7D">
              <w:rPr>
                <w:rFonts w:asciiTheme="minorHAnsi" w:hAnsiTheme="minorHAnsi" w:cstheme="minorHAnsi"/>
                <w:color w:val="000000"/>
                <w:sz w:val="18"/>
                <w:szCs w:val="18"/>
              </w:rPr>
              <w:t>Chronic migraine</w:t>
            </w:r>
          </w:p>
        </w:tc>
        <w:tc>
          <w:tcPr>
            <w:tcW w:w="3887" w:type="dxa"/>
            <w:shd w:val="clear" w:color="auto" w:fill="auto"/>
            <w:tcMar>
              <w:top w:w="28" w:type="dxa"/>
              <w:bottom w:w="28" w:type="dxa"/>
            </w:tcMar>
            <w:vAlign w:val="center"/>
          </w:tcPr>
          <w:p w14:paraId="022C06AA" w14:textId="035752A2" w:rsidR="00575F52" w:rsidRPr="00D5001E" w:rsidRDefault="00575F52" w:rsidP="00575F52">
            <w:pPr>
              <w:pStyle w:val="ListParagraph"/>
              <w:keepLines/>
              <w:ind w:left="0"/>
              <w:rPr>
                <w:rFonts w:asciiTheme="minorHAnsi" w:hAnsiTheme="minorHAnsi" w:cstheme="minorHAnsi"/>
                <w:snapToGrid w:val="0"/>
                <w:sz w:val="18"/>
                <w:szCs w:val="18"/>
                <w:highlight w:val="yellow"/>
                <w:lang w:eastAsia="en-US"/>
              </w:rPr>
            </w:pPr>
            <w:r w:rsidRPr="00D5001E">
              <w:rPr>
                <w:rFonts w:asciiTheme="minorHAnsi" w:hAnsiTheme="minorHAnsi" w:cstheme="minorHAnsi"/>
                <w:color w:val="000000"/>
                <w:sz w:val="18"/>
                <w:szCs w:val="18"/>
              </w:rPr>
              <w:t xml:space="preserve">To request General Schedule Authority Required (STREAMLINED) listing with maximum quantity of three and one repeat to allow quarterly dosing in addition to the existing monthly dosing. </w:t>
            </w:r>
          </w:p>
        </w:tc>
        <w:tc>
          <w:tcPr>
            <w:tcW w:w="1984" w:type="dxa"/>
            <w:shd w:val="clear" w:color="auto" w:fill="auto"/>
            <w:vAlign w:val="center"/>
          </w:tcPr>
          <w:p w14:paraId="6E0867D2" w14:textId="2DCE7928" w:rsidR="00575F52" w:rsidRPr="00D5001E" w:rsidRDefault="00575F52" w:rsidP="00575F52">
            <w:pPr>
              <w:pStyle w:val="ListParagraph"/>
              <w:keepLines/>
              <w:ind w:left="0"/>
              <w:rPr>
                <w:rFonts w:asciiTheme="minorHAnsi" w:hAnsiTheme="minorHAnsi" w:cstheme="minorHAnsi"/>
                <w:snapToGrid w:val="0"/>
                <w:sz w:val="18"/>
                <w:szCs w:val="18"/>
                <w:highlight w:val="yellow"/>
                <w:lang w:eastAsia="en-US"/>
              </w:rPr>
            </w:pPr>
            <w:r w:rsidRPr="00D5001E">
              <w:rPr>
                <w:rFonts w:asciiTheme="minorHAnsi" w:hAnsiTheme="minorHAnsi" w:cstheme="minorHAnsi"/>
                <w:color w:val="000000"/>
                <w:sz w:val="18"/>
                <w:szCs w:val="18"/>
              </w:rPr>
              <w:t>Recommended</w:t>
            </w:r>
          </w:p>
        </w:tc>
        <w:tc>
          <w:tcPr>
            <w:tcW w:w="4053" w:type="dxa"/>
            <w:shd w:val="clear" w:color="auto" w:fill="auto"/>
            <w:vAlign w:val="center"/>
          </w:tcPr>
          <w:p w14:paraId="5383C8BE" w14:textId="1742BABB" w:rsidR="00575F52" w:rsidRPr="00D5001E" w:rsidRDefault="00575F52" w:rsidP="00575F52">
            <w:pPr>
              <w:pStyle w:val="ListParagraph"/>
              <w:keepLines/>
              <w:ind w:left="0"/>
              <w:rPr>
                <w:rFonts w:asciiTheme="minorHAnsi" w:hAnsiTheme="minorHAnsi" w:cstheme="minorHAnsi"/>
                <w:color w:val="000000"/>
                <w:sz w:val="18"/>
                <w:szCs w:val="18"/>
                <w:highlight w:val="yellow"/>
              </w:rPr>
            </w:pPr>
            <w:r w:rsidRPr="00D5001E">
              <w:rPr>
                <w:rFonts w:asciiTheme="minorHAnsi" w:hAnsiTheme="minorHAnsi" w:cstheme="minorHAnsi"/>
                <w:color w:val="000000"/>
                <w:sz w:val="18"/>
                <w:szCs w:val="18"/>
              </w:rPr>
              <w:t>The PBAC recommended amending the existing listing of fremanezumab (</w:t>
            </w:r>
            <w:r w:rsidRPr="00251E7D">
              <w:rPr>
                <w:rFonts w:asciiTheme="minorHAnsi" w:hAnsiTheme="minorHAnsi" w:cstheme="minorHAnsi"/>
                <w:color w:val="000000"/>
                <w:sz w:val="18"/>
                <w:szCs w:val="18"/>
              </w:rPr>
              <w:t>Ajovy) pre-filled syringe for the continuing treatment of chronic migraine to provide patients with options of both monthly dosing and quarterly dosing by increasing the maximum quantity from 1 to 3 and reducing the number of repeats from 5 to 1. The PBAC recommended these restriction changes to be flowed on to the auto</w:t>
            </w:r>
            <w:r w:rsidRPr="00D5001E">
              <w:rPr>
                <w:rFonts w:asciiTheme="minorHAnsi" w:hAnsiTheme="minorHAnsi" w:cstheme="minorHAnsi"/>
                <w:color w:val="000000"/>
                <w:sz w:val="18"/>
                <w:szCs w:val="18"/>
              </w:rPr>
              <w:t>-injector form.</w:t>
            </w:r>
          </w:p>
        </w:tc>
      </w:tr>
      <w:tr w:rsidR="00575F52" w:rsidRPr="00567D48" w14:paraId="40E4BB59" w14:textId="77777777" w:rsidTr="007128F7">
        <w:trPr>
          <w:cantSplit/>
          <w:trHeight w:val="2948"/>
        </w:trPr>
        <w:tc>
          <w:tcPr>
            <w:tcW w:w="2973" w:type="dxa"/>
            <w:shd w:val="clear" w:color="auto" w:fill="auto"/>
            <w:tcMar>
              <w:top w:w="28" w:type="dxa"/>
              <w:bottom w:w="28" w:type="dxa"/>
            </w:tcMar>
            <w:vAlign w:val="center"/>
          </w:tcPr>
          <w:p w14:paraId="1EDB5AE9" w14:textId="76F6F1E5" w:rsidR="00575F52" w:rsidRPr="00D5001E" w:rsidRDefault="00575F52" w:rsidP="00575F52">
            <w:pPr>
              <w:keepLines/>
              <w:rPr>
                <w:rFonts w:asciiTheme="minorHAnsi" w:hAnsiTheme="minorHAnsi" w:cstheme="minorHAnsi"/>
                <w:sz w:val="18"/>
                <w:szCs w:val="18"/>
                <w:highlight w:val="yellow"/>
              </w:rPr>
            </w:pPr>
            <w:r w:rsidRPr="00D5001E">
              <w:rPr>
                <w:rFonts w:asciiTheme="minorHAnsi" w:hAnsiTheme="minorHAnsi" w:cstheme="minorHAnsi"/>
                <w:color w:val="000000"/>
                <w:sz w:val="18"/>
                <w:szCs w:val="18"/>
              </w:rPr>
              <w:t xml:space="preserve">GALCANEZUMAB </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Injection 120 mg in 1 mL pre-filled pen</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r>
            <w:proofErr w:type="spellStart"/>
            <w:r w:rsidRPr="00D5001E">
              <w:rPr>
                <w:rFonts w:asciiTheme="minorHAnsi" w:hAnsiTheme="minorHAnsi" w:cstheme="minorHAnsi"/>
                <w:color w:val="000000"/>
                <w:sz w:val="18"/>
                <w:szCs w:val="18"/>
              </w:rPr>
              <w:t>Emgality</w:t>
            </w:r>
            <w:proofErr w:type="spellEnd"/>
            <w:r w:rsidRPr="00D5001E">
              <w:rPr>
                <w:rFonts w:asciiTheme="minorHAnsi" w:hAnsiTheme="minorHAnsi" w:cstheme="minorHAnsi"/>
                <w:color w:val="000000"/>
                <w:sz w:val="18"/>
                <w:szCs w:val="18"/>
              </w:rPr>
              <w:t>®</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Eli Lilly Australia Pty Ltd</w:t>
            </w:r>
            <w:r w:rsidRPr="00D5001E">
              <w:rPr>
                <w:rFonts w:asciiTheme="minorHAnsi" w:hAnsiTheme="minorHAnsi" w:cstheme="minorHAnsi"/>
                <w:color w:val="000000"/>
                <w:sz w:val="18"/>
                <w:szCs w:val="18"/>
                <w:highlight w:val="yellow"/>
              </w:rPr>
              <w:br/>
            </w:r>
            <w:r w:rsidRPr="00D5001E">
              <w:rPr>
                <w:rFonts w:asciiTheme="minorHAnsi" w:hAnsiTheme="minorHAnsi" w:cstheme="minorHAnsi"/>
                <w:color w:val="000000"/>
                <w:sz w:val="18"/>
                <w:szCs w:val="18"/>
              </w:rPr>
              <w:br/>
              <w:t>Standard re-entry submission</w:t>
            </w:r>
            <w:r w:rsidRPr="00D5001E">
              <w:rPr>
                <w:rFonts w:asciiTheme="minorHAnsi" w:hAnsiTheme="minorHAnsi" w:cstheme="minorHAnsi"/>
                <w:color w:val="000000"/>
                <w:sz w:val="18"/>
                <w:szCs w:val="18"/>
              </w:rPr>
              <w:br/>
              <w:t>(Change to PBS listing)</w:t>
            </w:r>
          </w:p>
        </w:tc>
        <w:tc>
          <w:tcPr>
            <w:tcW w:w="2491" w:type="dxa"/>
            <w:shd w:val="clear" w:color="auto" w:fill="auto"/>
            <w:vAlign w:val="center"/>
          </w:tcPr>
          <w:p w14:paraId="603B53A4" w14:textId="77720DCB" w:rsidR="00575F52" w:rsidRPr="00D5001E" w:rsidRDefault="00575F52" w:rsidP="00575F52">
            <w:pPr>
              <w:keepLines/>
              <w:widowControl w:val="0"/>
              <w:rPr>
                <w:rFonts w:asciiTheme="minorHAnsi" w:hAnsiTheme="minorHAnsi" w:cstheme="minorHAnsi"/>
                <w:snapToGrid w:val="0"/>
                <w:sz w:val="18"/>
                <w:szCs w:val="18"/>
                <w:highlight w:val="yellow"/>
                <w:lang w:eastAsia="en-US"/>
              </w:rPr>
            </w:pPr>
            <w:r w:rsidRPr="00D5001E">
              <w:rPr>
                <w:rFonts w:asciiTheme="minorHAnsi" w:hAnsiTheme="minorHAnsi" w:cstheme="minorHAnsi"/>
                <w:color w:val="000000"/>
                <w:sz w:val="18"/>
                <w:szCs w:val="18"/>
              </w:rPr>
              <w:t>Migraine</w:t>
            </w:r>
          </w:p>
        </w:tc>
        <w:tc>
          <w:tcPr>
            <w:tcW w:w="3887" w:type="dxa"/>
            <w:shd w:val="clear" w:color="auto" w:fill="auto"/>
            <w:tcMar>
              <w:top w:w="28" w:type="dxa"/>
              <w:bottom w:w="28" w:type="dxa"/>
            </w:tcMar>
            <w:vAlign w:val="center"/>
          </w:tcPr>
          <w:p w14:paraId="5F04A0DB" w14:textId="10978E76" w:rsidR="00575F52" w:rsidRPr="00D5001E" w:rsidRDefault="00575F52" w:rsidP="00575F52">
            <w:pPr>
              <w:pStyle w:val="ListParagraph"/>
              <w:keepLines/>
              <w:ind w:left="0"/>
              <w:rPr>
                <w:rFonts w:asciiTheme="minorHAnsi" w:hAnsiTheme="minorHAnsi" w:cstheme="minorHAnsi"/>
                <w:snapToGrid w:val="0"/>
                <w:sz w:val="18"/>
                <w:szCs w:val="18"/>
                <w:highlight w:val="yellow"/>
                <w:lang w:eastAsia="en-US"/>
              </w:rPr>
            </w:pPr>
            <w:r w:rsidRPr="00D5001E">
              <w:rPr>
                <w:rFonts w:asciiTheme="minorHAnsi" w:hAnsiTheme="minorHAnsi" w:cstheme="minorHAnsi"/>
                <w:color w:val="000000"/>
                <w:sz w:val="18"/>
                <w:szCs w:val="18"/>
              </w:rPr>
              <w:t>Resubmission to extend the current General Schedule Authority Required (STREAMLINED) listing to include treatment-resistant high frequency episodic migraine.</w:t>
            </w:r>
          </w:p>
        </w:tc>
        <w:tc>
          <w:tcPr>
            <w:tcW w:w="1984" w:type="dxa"/>
            <w:shd w:val="clear" w:color="auto" w:fill="auto"/>
            <w:vAlign w:val="center"/>
          </w:tcPr>
          <w:p w14:paraId="4F9BC913" w14:textId="18DF088B" w:rsidR="00575F52" w:rsidRPr="00D5001E" w:rsidRDefault="00575F52" w:rsidP="00575F52">
            <w:pPr>
              <w:pStyle w:val="ListParagraph"/>
              <w:keepLines/>
              <w:ind w:left="0"/>
              <w:rPr>
                <w:rFonts w:asciiTheme="minorHAnsi" w:hAnsiTheme="minorHAnsi" w:cstheme="minorHAnsi"/>
                <w:snapToGrid w:val="0"/>
                <w:sz w:val="18"/>
                <w:szCs w:val="18"/>
                <w:highlight w:val="yellow"/>
                <w:lang w:eastAsia="en-US"/>
              </w:rPr>
            </w:pPr>
            <w:r w:rsidRPr="00D5001E">
              <w:rPr>
                <w:rFonts w:asciiTheme="minorHAnsi" w:hAnsiTheme="minorHAnsi" w:cstheme="minorHAnsi"/>
                <w:color w:val="000000"/>
                <w:sz w:val="18"/>
                <w:szCs w:val="18"/>
              </w:rPr>
              <w:t>Recommended</w:t>
            </w:r>
          </w:p>
        </w:tc>
        <w:tc>
          <w:tcPr>
            <w:tcW w:w="4053" w:type="dxa"/>
            <w:shd w:val="clear" w:color="auto" w:fill="auto"/>
            <w:vAlign w:val="center"/>
          </w:tcPr>
          <w:p w14:paraId="267DBDBD" w14:textId="0DD7DAFC" w:rsidR="00575F52" w:rsidRPr="000F0297" w:rsidRDefault="00575F52" w:rsidP="00575F52">
            <w:pPr>
              <w:pStyle w:val="ListParagraph"/>
              <w:keepLines/>
              <w:ind w:left="0"/>
              <w:rPr>
                <w:rFonts w:asciiTheme="minorHAnsi" w:hAnsiTheme="minorHAnsi" w:cstheme="minorHAnsi"/>
                <w:color w:val="000000"/>
                <w:sz w:val="18"/>
                <w:szCs w:val="18"/>
              </w:rPr>
            </w:pPr>
            <w:r w:rsidRPr="00D5001E">
              <w:rPr>
                <w:rFonts w:asciiTheme="minorHAnsi" w:hAnsiTheme="minorHAnsi" w:cstheme="minorHAnsi"/>
                <w:color w:val="000000"/>
                <w:sz w:val="18"/>
                <w:szCs w:val="18"/>
              </w:rPr>
              <w:t xml:space="preserve">The PBAC recommended amending the current PBS listing of galcanezumab for chronic migraine to include the </w:t>
            </w:r>
            <w:r w:rsidRPr="00251E7D">
              <w:rPr>
                <w:rFonts w:asciiTheme="minorHAnsi" w:hAnsiTheme="minorHAnsi" w:cstheme="minorHAnsi"/>
                <w:color w:val="000000"/>
                <w:sz w:val="18"/>
                <w:szCs w:val="18"/>
              </w:rPr>
              <w:t>treatment of patients with high frequency episodic migraine by removing the criteria for patients to have an average of 15 or more headache days per month. The resulting PBS listing for galcanezumab is for the treatment of patients who have an inadequate response, intolerance, or a contraindication to at least three prophylactic migraine medications, with 8 or more migraine headache days per month. The PBAC considered galcanezumab would be cost effective for the high frequency episodic migraine patient population at a price no higher than the price for patients with chronic migraine. The PBAC considered the new patient population should be included in the chronic migraine risk sharing arrangement with an increase in expenditure caps. Minor flow-on changes to the fremanezumab restriction criteria will be required to address an inconsistency between the current initial and continuing restriction criteria for chronic migraine.</w:t>
            </w:r>
          </w:p>
        </w:tc>
      </w:tr>
      <w:tr w:rsidR="00575F52" w:rsidRPr="00567D48" w14:paraId="67FF131F" w14:textId="77777777" w:rsidTr="007128F7">
        <w:trPr>
          <w:cantSplit/>
          <w:trHeight w:val="2948"/>
        </w:trPr>
        <w:tc>
          <w:tcPr>
            <w:tcW w:w="2973" w:type="dxa"/>
            <w:shd w:val="clear" w:color="auto" w:fill="auto"/>
            <w:tcMar>
              <w:top w:w="28" w:type="dxa"/>
              <w:bottom w:w="28" w:type="dxa"/>
            </w:tcMar>
            <w:vAlign w:val="center"/>
          </w:tcPr>
          <w:p w14:paraId="0FD9EBD8" w14:textId="223D4A78" w:rsidR="00575F52" w:rsidRPr="00D5001E" w:rsidRDefault="00575F52" w:rsidP="00575F52">
            <w:pPr>
              <w:keepLines/>
              <w:rPr>
                <w:rFonts w:asciiTheme="minorHAnsi" w:hAnsiTheme="minorHAnsi" w:cstheme="minorHAnsi"/>
                <w:sz w:val="18"/>
                <w:szCs w:val="18"/>
                <w:highlight w:val="yellow"/>
              </w:rPr>
            </w:pPr>
            <w:r w:rsidRPr="00D5001E">
              <w:rPr>
                <w:rFonts w:asciiTheme="minorHAnsi" w:hAnsiTheme="minorHAnsi" w:cstheme="minorHAnsi"/>
                <w:color w:val="000000"/>
                <w:sz w:val="18"/>
                <w:szCs w:val="18"/>
              </w:rPr>
              <w:lastRenderedPageBreak/>
              <w:t>GILTERITINIB</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Tablet 40 mg (as fumarate)</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r>
            <w:proofErr w:type="spellStart"/>
            <w:r w:rsidRPr="00D5001E">
              <w:rPr>
                <w:rFonts w:asciiTheme="minorHAnsi" w:hAnsiTheme="minorHAnsi" w:cstheme="minorHAnsi"/>
                <w:color w:val="000000"/>
                <w:sz w:val="18"/>
                <w:szCs w:val="18"/>
              </w:rPr>
              <w:t>Xospata</w:t>
            </w:r>
            <w:proofErr w:type="spellEnd"/>
            <w:r w:rsidRPr="00D5001E">
              <w:rPr>
                <w:rFonts w:asciiTheme="minorHAnsi" w:hAnsiTheme="minorHAnsi" w:cstheme="minorHAnsi"/>
                <w:color w:val="000000"/>
                <w:sz w:val="18"/>
                <w:szCs w:val="18"/>
              </w:rPr>
              <w:t>®</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Astellas Pharma Australia Pty Ltd</w:t>
            </w:r>
            <w:r w:rsidRPr="00D5001E">
              <w:rPr>
                <w:rFonts w:asciiTheme="minorHAnsi" w:hAnsiTheme="minorHAnsi" w:cstheme="minorHAnsi"/>
                <w:color w:val="000000"/>
                <w:sz w:val="18"/>
                <w:szCs w:val="18"/>
                <w:highlight w:val="yellow"/>
              </w:rPr>
              <w:br/>
            </w:r>
            <w:r w:rsidRPr="00D5001E">
              <w:rPr>
                <w:rFonts w:asciiTheme="minorHAnsi" w:hAnsiTheme="minorHAnsi" w:cstheme="minorHAnsi"/>
                <w:color w:val="000000"/>
                <w:sz w:val="18"/>
                <w:szCs w:val="18"/>
                <w:highlight w:val="yellow"/>
              </w:rPr>
              <w:br/>
            </w:r>
            <w:r w:rsidRPr="00D5001E">
              <w:rPr>
                <w:rFonts w:asciiTheme="minorHAnsi" w:hAnsiTheme="minorHAnsi" w:cstheme="minorHAnsi"/>
                <w:color w:val="000000"/>
                <w:sz w:val="18"/>
                <w:szCs w:val="18"/>
              </w:rPr>
              <w:t>Early re-entry submission</w:t>
            </w:r>
            <w:r w:rsidRPr="00D5001E">
              <w:rPr>
                <w:rFonts w:asciiTheme="minorHAnsi" w:hAnsiTheme="minorHAnsi" w:cstheme="minorHAnsi"/>
                <w:color w:val="000000"/>
                <w:sz w:val="18"/>
                <w:szCs w:val="18"/>
              </w:rPr>
              <w:br/>
              <w:t>(New PBS listing)</w:t>
            </w:r>
          </w:p>
        </w:tc>
        <w:tc>
          <w:tcPr>
            <w:tcW w:w="2491" w:type="dxa"/>
            <w:shd w:val="clear" w:color="auto" w:fill="auto"/>
            <w:vAlign w:val="center"/>
          </w:tcPr>
          <w:p w14:paraId="363972BE" w14:textId="435847A4" w:rsidR="00575F52" w:rsidRPr="000F0297" w:rsidRDefault="00575F52" w:rsidP="00575F52">
            <w:pPr>
              <w:keepLines/>
              <w:widowControl w:val="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Acute myeloid leukaemia</w:t>
            </w:r>
          </w:p>
        </w:tc>
        <w:tc>
          <w:tcPr>
            <w:tcW w:w="3887" w:type="dxa"/>
            <w:shd w:val="clear" w:color="auto" w:fill="auto"/>
            <w:tcMar>
              <w:top w:w="28" w:type="dxa"/>
              <w:bottom w:w="28" w:type="dxa"/>
            </w:tcMar>
            <w:vAlign w:val="center"/>
          </w:tcPr>
          <w:p w14:paraId="54F3C27B" w14:textId="2CC13798"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Resubmission to request a General Schedule Authority Required listing for the treatment of relapsed or refractory FMS-like tyrosine kinase 3 (FLT3) mutation-positive acute myeloid leukaemia.</w:t>
            </w:r>
          </w:p>
        </w:tc>
        <w:tc>
          <w:tcPr>
            <w:tcW w:w="1984" w:type="dxa"/>
            <w:shd w:val="clear" w:color="auto" w:fill="auto"/>
            <w:vAlign w:val="center"/>
          </w:tcPr>
          <w:p w14:paraId="2678D242" w14:textId="0B7E93F8"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Recommended</w:t>
            </w:r>
          </w:p>
        </w:tc>
        <w:tc>
          <w:tcPr>
            <w:tcW w:w="4053" w:type="dxa"/>
            <w:shd w:val="clear" w:color="auto" w:fill="auto"/>
            <w:vAlign w:val="center"/>
          </w:tcPr>
          <w:p w14:paraId="04270532" w14:textId="0016FD12" w:rsidR="00575F52" w:rsidRPr="000F0297" w:rsidRDefault="00575F52" w:rsidP="00575F52">
            <w:pPr>
              <w:pStyle w:val="ListParagraph"/>
              <w:keepLines/>
              <w:ind w:left="0"/>
              <w:rPr>
                <w:rFonts w:asciiTheme="minorHAnsi" w:hAnsiTheme="minorHAnsi" w:cstheme="minorHAnsi"/>
                <w:color w:val="000000"/>
                <w:sz w:val="18"/>
                <w:szCs w:val="18"/>
              </w:rPr>
            </w:pPr>
            <w:r w:rsidRPr="00D5001E">
              <w:rPr>
                <w:rFonts w:asciiTheme="minorHAnsi" w:hAnsiTheme="minorHAnsi" w:cstheme="minorHAnsi"/>
                <w:color w:val="000000"/>
                <w:sz w:val="18"/>
                <w:szCs w:val="18"/>
              </w:rPr>
              <w:t xml:space="preserve">The PBAC recommended the Authority Required listing of gilteritinib for the treatment of patients with relapsed or refractory acute myeloid leukaemia (AML) with an FLT3 mutation. </w:t>
            </w:r>
            <w:r w:rsidRPr="00251E7D">
              <w:rPr>
                <w:rFonts w:asciiTheme="minorHAnsi" w:hAnsiTheme="minorHAnsi" w:cstheme="minorHAnsi"/>
                <w:color w:val="000000"/>
                <w:sz w:val="18"/>
                <w:szCs w:val="18"/>
              </w:rPr>
              <w:t xml:space="preserve">The PBAC was </w:t>
            </w:r>
            <w:r w:rsidRPr="00D5001E">
              <w:rPr>
                <w:rFonts w:asciiTheme="minorHAnsi" w:hAnsiTheme="minorHAnsi" w:cstheme="minorHAnsi"/>
                <w:color w:val="000000"/>
                <w:sz w:val="18"/>
                <w:szCs w:val="18"/>
              </w:rPr>
              <w:t xml:space="preserve">satisfied that gilteritinib provides, for some patients, a significant improvement in efficacy over salvage chemotherapy. The PBAC considered that the resubmission had addressed the outstanding issues identified at the November 2021 PBAC meeting via its respecified economic model and revised financial estimates, which aligned with the PBAC’s previous advice. At the reduced price offered, the listing was expected to be cost-effective in comparison with salvage chemotherapy. </w:t>
            </w:r>
          </w:p>
        </w:tc>
      </w:tr>
      <w:tr w:rsidR="00575F52" w:rsidRPr="00567D48" w14:paraId="00CF02DB" w14:textId="77777777" w:rsidTr="007128F7">
        <w:trPr>
          <w:cantSplit/>
          <w:trHeight w:val="2948"/>
        </w:trPr>
        <w:tc>
          <w:tcPr>
            <w:tcW w:w="2973" w:type="dxa"/>
            <w:shd w:val="clear" w:color="auto" w:fill="auto"/>
            <w:tcMar>
              <w:top w:w="28" w:type="dxa"/>
              <w:bottom w:w="28" w:type="dxa"/>
            </w:tcMar>
            <w:vAlign w:val="center"/>
          </w:tcPr>
          <w:p w14:paraId="5AE8AC3E" w14:textId="09F07B77" w:rsidR="00575F52" w:rsidRPr="00D5001E" w:rsidRDefault="00575F52" w:rsidP="00575F52">
            <w:pPr>
              <w:keepLines/>
              <w:rPr>
                <w:rFonts w:asciiTheme="minorHAnsi" w:hAnsiTheme="minorHAnsi" w:cstheme="minorHAnsi"/>
                <w:sz w:val="18"/>
                <w:szCs w:val="18"/>
                <w:highlight w:val="yellow"/>
              </w:rPr>
            </w:pPr>
            <w:r w:rsidRPr="00D5001E">
              <w:rPr>
                <w:rFonts w:asciiTheme="minorHAnsi" w:hAnsiTheme="minorHAnsi" w:cstheme="minorHAnsi"/>
                <w:color w:val="000000"/>
                <w:sz w:val="18"/>
                <w:szCs w:val="18"/>
              </w:rPr>
              <w:t xml:space="preserve">GLATIRAMER </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Injection containing glatiramer acetate 40 mg in 1 mL single dose pre-filled pen</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Copaxone®</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Teva Pharma Australia Pty Ltd</w:t>
            </w:r>
            <w:r w:rsidRPr="00D5001E">
              <w:rPr>
                <w:rFonts w:asciiTheme="minorHAnsi" w:hAnsiTheme="minorHAnsi" w:cstheme="minorHAnsi"/>
                <w:color w:val="000000"/>
                <w:sz w:val="18"/>
                <w:szCs w:val="18"/>
                <w:highlight w:val="yellow"/>
              </w:rPr>
              <w:br/>
            </w:r>
            <w:r w:rsidRPr="00D5001E">
              <w:rPr>
                <w:rFonts w:asciiTheme="minorHAnsi" w:hAnsiTheme="minorHAnsi" w:cstheme="minorHAnsi"/>
                <w:color w:val="000000"/>
                <w:sz w:val="18"/>
                <w:szCs w:val="18"/>
                <w:highlight w:val="yellow"/>
              </w:rPr>
              <w:br/>
            </w:r>
            <w:r w:rsidRPr="00D5001E">
              <w:rPr>
                <w:rFonts w:asciiTheme="minorHAnsi" w:hAnsiTheme="minorHAnsi" w:cstheme="minorHAnsi"/>
                <w:color w:val="000000"/>
                <w:sz w:val="18"/>
                <w:szCs w:val="18"/>
              </w:rPr>
              <w:t>Committee secretariat</w:t>
            </w:r>
            <w:r w:rsidRPr="00D5001E">
              <w:rPr>
                <w:rFonts w:asciiTheme="minorHAnsi" w:hAnsiTheme="minorHAnsi" w:cstheme="minorHAnsi"/>
                <w:color w:val="000000"/>
                <w:sz w:val="18"/>
                <w:szCs w:val="18"/>
              </w:rPr>
              <w:br/>
              <w:t>(New PBS listing)</w:t>
            </w:r>
          </w:p>
        </w:tc>
        <w:tc>
          <w:tcPr>
            <w:tcW w:w="2491" w:type="dxa"/>
            <w:shd w:val="clear" w:color="auto" w:fill="auto"/>
            <w:vAlign w:val="center"/>
          </w:tcPr>
          <w:p w14:paraId="2B249BF1" w14:textId="69BD29FE" w:rsidR="00575F52" w:rsidRPr="000F0297" w:rsidRDefault="00575F52" w:rsidP="00575F52">
            <w:pPr>
              <w:keepLines/>
              <w:widowControl w:val="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Multiple sclerosis</w:t>
            </w:r>
          </w:p>
        </w:tc>
        <w:tc>
          <w:tcPr>
            <w:tcW w:w="3887" w:type="dxa"/>
            <w:shd w:val="clear" w:color="auto" w:fill="auto"/>
            <w:tcMar>
              <w:top w:w="28" w:type="dxa"/>
              <w:bottom w:w="28" w:type="dxa"/>
            </w:tcMar>
            <w:vAlign w:val="center"/>
          </w:tcPr>
          <w:p w14:paraId="367F4917" w14:textId="7AF96CDF"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 xml:space="preserve">To request a General Schedule Authority Required (STREAMLINED) listing of a new form under the same conditions as the PBS-listed glatiramer pre-filled syringe. </w:t>
            </w:r>
          </w:p>
        </w:tc>
        <w:tc>
          <w:tcPr>
            <w:tcW w:w="1984" w:type="dxa"/>
            <w:shd w:val="clear" w:color="auto" w:fill="auto"/>
            <w:vAlign w:val="center"/>
          </w:tcPr>
          <w:p w14:paraId="4C23B758" w14:textId="523B38FF" w:rsidR="00575F52" w:rsidRPr="00D5001E" w:rsidRDefault="00575F52" w:rsidP="00575F52">
            <w:pPr>
              <w:pStyle w:val="ListParagraph"/>
              <w:keepLines/>
              <w:ind w:left="0"/>
              <w:rPr>
                <w:rFonts w:asciiTheme="minorHAnsi" w:hAnsiTheme="minorHAnsi" w:cstheme="minorHAnsi"/>
                <w:snapToGrid w:val="0"/>
                <w:sz w:val="18"/>
                <w:szCs w:val="18"/>
                <w:highlight w:val="yellow"/>
                <w:lang w:eastAsia="en-US"/>
              </w:rPr>
            </w:pPr>
            <w:r w:rsidRPr="00D5001E">
              <w:rPr>
                <w:rFonts w:asciiTheme="minorHAnsi" w:hAnsiTheme="minorHAnsi" w:cstheme="minorHAnsi"/>
                <w:color w:val="000000"/>
                <w:sz w:val="18"/>
                <w:szCs w:val="18"/>
              </w:rPr>
              <w:t>Recommended</w:t>
            </w:r>
          </w:p>
        </w:tc>
        <w:tc>
          <w:tcPr>
            <w:tcW w:w="4053" w:type="dxa"/>
            <w:shd w:val="clear" w:color="auto" w:fill="auto"/>
            <w:vAlign w:val="center"/>
          </w:tcPr>
          <w:p w14:paraId="113D8975" w14:textId="4300E200" w:rsidR="00575F52" w:rsidRPr="00D5001E" w:rsidRDefault="00575F52" w:rsidP="002B7E81">
            <w:pPr>
              <w:pStyle w:val="ListParagraph"/>
              <w:keepLines/>
              <w:ind w:left="0"/>
              <w:rPr>
                <w:rFonts w:asciiTheme="minorHAnsi" w:hAnsiTheme="minorHAnsi" w:cstheme="minorHAnsi"/>
                <w:color w:val="000000"/>
                <w:sz w:val="18"/>
                <w:szCs w:val="18"/>
                <w:highlight w:val="yellow"/>
              </w:rPr>
            </w:pPr>
            <w:r w:rsidRPr="00D5001E">
              <w:rPr>
                <w:rFonts w:asciiTheme="minorHAnsi" w:hAnsiTheme="minorHAnsi" w:cstheme="minorHAnsi"/>
                <w:color w:val="000000"/>
                <w:sz w:val="18"/>
                <w:szCs w:val="18"/>
              </w:rPr>
              <w:t xml:space="preserve">The PBAC recommended the listing of a new form of 40 mg glatiramer </w:t>
            </w:r>
            <w:r w:rsidRPr="00251E7D">
              <w:rPr>
                <w:rFonts w:asciiTheme="minorHAnsi" w:hAnsiTheme="minorHAnsi" w:cstheme="minorHAnsi"/>
                <w:color w:val="000000"/>
                <w:sz w:val="18"/>
                <w:szCs w:val="18"/>
              </w:rPr>
              <w:t>acetate pre-filled pen under the same circumstances as the PBS-listed 40 mg glatiramer pre-filled syringe for the treatment of multiple sclerosis</w:t>
            </w:r>
            <w:r w:rsidR="002B7E81">
              <w:rPr>
                <w:rFonts w:asciiTheme="minorHAnsi" w:hAnsiTheme="minorHAnsi" w:cstheme="minorHAnsi"/>
                <w:color w:val="000000"/>
                <w:sz w:val="18"/>
                <w:szCs w:val="18"/>
              </w:rPr>
              <w:t>.</w:t>
            </w:r>
            <w:r w:rsidR="002B7E81">
              <w:rPr>
                <w:rFonts w:ascii="Segoe UI" w:hAnsi="Segoe UI" w:cs="Segoe UI"/>
                <w:color w:val="000000"/>
                <w:sz w:val="21"/>
                <w:szCs w:val="21"/>
                <w:shd w:val="clear" w:color="auto" w:fill="FFFFFF"/>
              </w:rPr>
              <w:t xml:space="preserve"> </w:t>
            </w:r>
            <w:r w:rsidR="002B7E81" w:rsidRPr="002B7E81">
              <w:rPr>
                <w:rFonts w:asciiTheme="minorHAnsi" w:hAnsiTheme="minorHAnsi" w:cstheme="minorHAnsi"/>
                <w:color w:val="000000"/>
                <w:sz w:val="18"/>
                <w:szCs w:val="18"/>
              </w:rPr>
              <w:t xml:space="preserve">The PBAC also decided to advise that the 40 mg glatiramer acetate pre-filled pen form should be treated as equivalent to the </w:t>
            </w:r>
            <w:r w:rsidR="007B482A" w:rsidRPr="002B7E81">
              <w:rPr>
                <w:rFonts w:asciiTheme="minorHAnsi" w:hAnsiTheme="minorHAnsi" w:cstheme="minorHAnsi"/>
                <w:color w:val="000000"/>
                <w:sz w:val="18"/>
                <w:szCs w:val="18"/>
              </w:rPr>
              <w:t>40</w:t>
            </w:r>
            <w:r w:rsidR="007B482A">
              <w:rPr>
                <w:rFonts w:asciiTheme="minorHAnsi" w:hAnsiTheme="minorHAnsi" w:cstheme="minorHAnsi"/>
                <w:color w:val="000000"/>
                <w:sz w:val="18"/>
                <w:szCs w:val="18"/>
              </w:rPr>
              <w:t> </w:t>
            </w:r>
            <w:r w:rsidR="002B7E81" w:rsidRPr="002B7E81">
              <w:rPr>
                <w:rFonts w:asciiTheme="minorHAnsi" w:hAnsiTheme="minorHAnsi" w:cstheme="minorHAnsi"/>
                <w:color w:val="000000"/>
                <w:sz w:val="18"/>
                <w:szCs w:val="18"/>
              </w:rPr>
              <w:t>mg glatiramer acetate pre-filled syringe form</w:t>
            </w:r>
            <w:r w:rsidR="002B7E81">
              <w:rPr>
                <w:rFonts w:asciiTheme="minorHAnsi" w:hAnsiTheme="minorHAnsi" w:cstheme="minorHAnsi"/>
                <w:color w:val="000000"/>
                <w:sz w:val="18"/>
                <w:szCs w:val="18"/>
              </w:rPr>
              <w:t xml:space="preserve"> </w:t>
            </w:r>
            <w:r w:rsidR="002B7E81" w:rsidRPr="002B7E81">
              <w:rPr>
                <w:rFonts w:asciiTheme="minorHAnsi" w:hAnsiTheme="minorHAnsi" w:cstheme="minorHAnsi"/>
                <w:color w:val="000000"/>
                <w:sz w:val="18"/>
                <w:szCs w:val="18"/>
              </w:rPr>
              <w:t>for the purpose of substitution (i.e. 'a'-flagged in the Schedule)</w:t>
            </w:r>
          </w:p>
        </w:tc>
      </w:tr>
      <w:tr w:rsidR="00575F52" w:rsidRPr="00567D48" w14:paraId="2942BBFA" w14:textId="77777777" w:rsidTr="007128F7">
        <w:trPr>
          <w:cantSplit/>
          <w:trHeight w:val="2948"/>
        </w:trPr>
        <w:tc>
          <w:tcPr>
            <w:tcW w:w="2973" w:type="dxa"/>
            <w:shd w:val="clear" w:color="auto" w:fill="auto"/>
            <w:tcMar>
              <w:top w:w="28" w:type="dxa"/>
              <w:bottom w:w="28" w:type="dxa"/>
            </w:tcMar>
            <w:vAlign w:val="center"/>
          </w:tcPr>
          <w:p w14:paraId="36875BAE" w14:textId="0F16D138" w:rsidR="00575F52" w:rsidRPr="00D5001E" w:rsidRDefault="00575F52" w:rsidP="00575F52">
            <w:pPr>
              <w:keepLines/>
              <w:rPr>
                <w:rFonts w:asciiTheme="minorHAnsi" w:hAnsiTheme="minorHAnsi" w:cstheme="minorHAnsi"/>
                <w:sz w:val="18"/>
                <w:szCs w:val="18"/>
                <w:highlight w:val="yellow"/>
              </w:rPr>
            </w:pPr>
            <w:r w:rsidRPr="00D5001E">
              <w:rPr>
                <w:rFonts w:asciiTheme="minorHAnsi" w:hAnsiTheme="minorHAnsi" w:cstheme="minorHAnsi"/>
                <w:color w:val="000000"/>
                <w:sz w:val="18"/>
                <w:szCs w:val="18"/>
              </w:rPr>
              <w:lastRenderedPageBreak/>
              <w:t>GLYCOMACROPEPTIDE FORMULA WITH AMINO ACIDS, CARBOHYDRATES, MINERALS AND LOW PHENYLALANINE</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 xml:space="preserve">Sachets containing </w:t>
            </w:r>
            <w:r w:rsidRPr="00251E7D">
              <w:rPr>
                <w:rFonts w:asciiTheme="minorHAnsi" w:hAnsiTheme="minorHAnsi" w:cstheme="minorHAnsi"/>
                <w:color w:val="000000"/>
                <w:sz w:val="18"/>
                <w:szCs w:val="18"/>
              </w:rPr>
              <w:t xml:space="preserve">oral powder 12.5 g, 30 (PKU </w:t>
            </w:r>
            <w:proofErr w:type="spellStart"/>
            <w:r w:rsidRPr="00251E7D">
              <w:rPr>
                <w:rFonts w:asciiTheme="minorHAnsi" w:hAnsiTheme="minorHAnsi" w:cstheme="minorHAnsi"/>
                <w:color w:val="000000"/>
                <w:sz w:val="18"/>
                <w:szCs w:val="18"/>
              </w:rPr>
              <w:t>GMPro</w:t>
            </w:r>
            <w:proofErr w:type="spellEnd"/>
            <w:r w:rsidRPr="00251E7D">
              <w:rPr>
                <w:rFonts w:asciiTheme="minorHAnsi" w:hAnsiTheme="minorHAnsi" w:cstheme="minorHAnsi"/>
                <w:color w:val="000000"/>
                <w:sz w:val="18"/>
                <w:szCs w:val="18"/>
              </w:rPr>
              <w:t xml:space="preserve"> Mix-</w:t>
            </w:r>
            <w:proofErr w:type="spellStart"/>
            <w:r w:rsidRPr="00251E7D">
              <w:rPr>
                <w:rFonts w:asciiTheme="minorHAnsi" w:hAnsiTheme="minorHAnsi" w:cstheme="minorHAnsi"/>
                <w:color w:val="000000"/>
                <w:sz w:val="18"/>
                <w:szCs w:val="18"/>
              </w:rPr>
              <w:t>In</w:t>
            </w:r>
            <w:proofErr w:type="spellEnd"/>
            <w:r w:rsidRPr="00251E7D">
              <w:rPr>
                <w:rFonts w:asciiTheme="minorHAnsi" w:hAnsiTheme="minorHAnsi" w:cstheme="minorHAnsi"/>
                <w:color w:val="000000"/>
                <w:sz w:val="18"/>
                <w:szCs w:val="18"/>
              </w:rPr>
              <w:t>)</w:t>
            </w:r>
            <w:r w:rsidRPr="00251E7D">
              <w:rPr>
                <w:rFonts w:asciiTheme="minorHAnsi" w:hAnsiTheme="minorHAnsi" w:cstheme="minorHAnsi"/>
                <w:color w:val="000000"/>
                <w:sz w:val="18"/>
                <w:szCs w:val="18"/>
              </w:rPr>
              <w:br/>
            </w:r>
            <w:r w:rsidRPr="00251E7D">
              <w:rPr>
                <w:rFonts w:asciiTheme="minorHAnsi" w:hAnsiTheme="minorHAnsi" w:cstheme="minorHAnsi"/>
                <w:color w:val="000000"/>
                <w:sz w:val="18"/>
                <w:szCs w:val="18"/>
              </w:rPr>
              <w:br/>
              <w:t xml:space="preserve">PKU </w:t>
            </w:r>
            <w:proofErr w:type="spellStart"/>
            <w:r w:rsidRPr="00251E7D">
              <w:rPr>
                <w:rFonts w:asciiTheme="minorHAnsi" w:hAnsiTheme="minorHAnsi" w:cstheme="minorHAnsi"/>
                <w:color w:val="000000"/>
                <w:sz w:val="18"/>
                <w:szCs w:val="18"/>
              </w:rPr>
              <w:t>GMPro</w:t>
            </w:r>
            <w:proofErr w:type="spellEnd"/>
            <w:r w:rsidRPr="00251E7D">
              <w:rPr>
                <w:rFonts w:asciiTheme="minorHAnsi" w:hAnsiTheme="minorHAnsi" w:cstheme="minorHAnsi"/>
                <w:color w:val="000000"/>
                <w:sz w:val="18"/>
                <w:szCs w:val="18"/>
              </w:rPr>
              <w:t xml:space="preserve"> MIX-IN®</w:t>
            </w:r>
            <w:r w:rsidRPr="00251E7D">
              <w:rPr>
                <w:rFonts w:asciiTheme="minorHAnsi" w:hAnsiTheme="minorHAnsi" w:cstheme="minorHAnsi"/>
                <w:color w:val="000000"/>
                <w:sz w:val="18"/>
                <w:szCs w:val="18"/>
              </w:rPr>
              <w:br/>
            </w:r>
            <w:r w:rsidRPr="00251E7D">
              <w:rPr>
                <w:rFonts w:asciiTheme="minorHAnsi" w:hAnsiTheme="minorHAnsi" w:cstheme="minorHAnsi"/>
                <w:color w:val="000000"/>
                <w:sz w:val="18"/>
                <w:szCs w:val="18"/>
              </w:rPr>
              <w:br/>
              <w:t>Nutricia Australia Pty Limited</w:t>
            </w:r>
            <w:r w:rsidRPr="00251E7D">
              <w:rPr>
                <w:rFonts w:asciiTheme="minorHAnsi" w:hAnsiTheme="minorHAnsi" w:cstheme="minorHAnsi"/>
                <w:color w:val="000000"/>
                <w:sz w:val="18"/>
                <w:szCs w:val="18"/>
              </w:rPr>
              <w:br/>
            </w:r>
            <w:r w:rsidRPr="00251E7D">
              <w:rPr>
                <w:rFonts w:asciiTheme="minorHAnsi" w:hAnsiTheme="minorHAnsi" w:cstheme="minorHAnsi"/>
                <w:color w:val="000000"/>
                <w:sz w:val="18"/>
                <w:szCs w:val="18"/>
              </w:rPr>
              <w:br/>
              <w:t>Category 3 submission</w:t>
            </w:r>
            <w:r w:rsidRPr="00251E7D">
              <w:rPr>
                <w:rFonts w:asciiTheme="minorHAnsi" w:hAnsiTheme="minorHAnsi" w:cstheme="minorHAnsi"/>
                <w:color w:val="000000"/>
                <w:sz w:val="18"/>
                <w:szCs w:val="18"/>
              </w:rPr>
              <w:br/>
              <w:t>(New PBS listing)</w:t>
            </w:r>
          </w:p>
        </w:tc>
        <w:tc>
          <w:tcPr>
            <w:tcW w:w="2491" w:type="dxa"/>
            <w:shd w:val="clear" w:color="auto" w:fill="auto"/>
            <w:vAlign w:val="center"/>
          </w:tcPr>
          <w:p w14:paraId="01D4F22A" w14:textId="475D9FB1" w:rsidR="00575F52" w:rsidRPr="000F0297" w:rsidRDefault="00575F52" w:rsidP="00575F52">
            <w:pPr>
              <w:keepLines/>
              <w:widowControl w:val="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Phenylketonuria</w:t>
            </w:r>
          </w:p>
        </w:tc>
        <w:tc>
          <w:tcPr>
            <w:tcW w:w="3887" w:type="dxa"/>
            <w:shd w:val="clear" w:color="auto" w:fill="auto"/>
            <w:tcMar>
              <w:top w:w="28" w:type="dxa"/>
              <w:bottom w:w="28" w:type="dxa"/>
            </w:tcMar>
            <w:vAlign w:val="center"/>
          </w:tcPr>
          <w:p w14:paraId="615AE177" w14:textId="6DC42CA7"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 xml:space="preserve">To request a General Schedule Restricted Benefit listing for treatment of phenylketonuria in patients older than 3 years of age. </w:t>
            </w:r>
          </w:p>
        </w:tc>
        <w:tc>
          <w:tcPr>
            <w:tcW w:w="1984" w:type="dxa"/>
            <w:shd w:val="clear" w:color="auto" w:fill="auto"/>
            <w:vAlign w:val="center"/>
          </w:tcPr>
          <w:p w14:paraId="76887283" w14:textId="19F1FD54"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Recommended</w:t>
            </w:r>
          </w:p>
        </w:tc>
        <w:tc>
          <w:tcPr>
            <w:tcW w:w="4053" w:type="dxa"/>
            <w:shd w:val="clear" w:color="auto" w:fill="auto"/>
            <w:vAlign w:val="center"/>
          </w:tcPr>
          <w:p w14:paraId="6B9E0C17" w14:textId="1D857408" w:rsidR="00575F52" w:rsidRPr="000F0297" w:rsidRDefault="00575F52" w:rsidP="00575F52">
            <w:pPr>
              <w:pStyle w:val="ListParagraph"/>
              <w:keepLines/>
              <w:ind w:left="0"/>
              <w:rPr>
                <w:rFonts w:asciiTheme="minorHAnsi" w:hAnsiTheme="minorHAnsi" w:cstheme="minorHAnsi"/>
                <w:color w:val="000000"/>
                <w:sz w:val="18"/>
                <w:szCs w:val="18"/>
              </w:rPr>
            </w:pPr>
            <w:r w:rsidRPr="00D5001E">
              <w:rPr>
                <w:rFonts w:asciiTheme="minorHAnsi" w:hAnsiTheme="minorHAnsi" w:cstheme="minorHAnsi"/>
                <w:color w:val="000000"/>
                <w:sz w:val="18"/>
                <w:szCs w:val="18"/>
              </w:rPr>
              <w:t xml:space="preserve">The PBAC recommended the General Schedule Restricted Benefit listing of glycomacropeptide formula with amino acids and low phenylalanine (PKU </w:t>
            </w:r>
            <w:proofErr w:type="spellStart"/>
            <w:r w:rsidRPr="00D5001E">
              <w:rPr>
                <w:rFonts w:asciiTheme="minorHAnsi" w:hAnsiTheme="minorHAnsi" w:cstheme="minorHAnsi"/>
                <w:color w:val="000000"/>
                <w:sz w:val="18"/>
                <w:szCs w:val="18"/>
              </w:rPr>
              <w:t>GMPro</w:t>
            </w:r>
            <w:proofErr w:type="spellEnd"/>
            <w:r w:rsidRPr="00D5001E">
              <w:rPr>
                <w:rFonts w:asciiTheme="minorHAnsi" w:hAnsiTheme="minorHAnsi" w:cstheme="minorHAnsi"/>
                <w:color w:val="000000"/>
                <w:sz w:val="18"/>
                <w:szCs w:val="18"/>
              </w:rPr>
              <w:t xml:space="preserve"> MIX-IN</w:t>
            </w:r>
            <w:r w:rsidR="000E18FB">
              <w:rPr>
                <w:rFonts w:asciiTheme="minorHAnsi" w:hAnsiTheme="minorHAnsi" w:cstheme="minorHAnsi"/>
                <w:color w:val="000000"/>
                <w:sz w:val="18"/>
                <w:szCs w:val="18"/>
              </w:rPr>
              <w:t>®</w:t>
            </w:r>
            <w:r w:rsidRPr="00D5001E">
              <w:rPr>
                <w:rFonts w:asciiTheme="minorHAnsi" w:hAnsiTheme="minorHAnsi" w:cstheme="minorHAnsi"/>
                <w:color w:val="000000"/>
                <w:sz w:val="18"/>
                <w:szCs w:val="18"/>
              </w:rPr>
              <w:t>) for the treatment of phenylketonuria.</w:t>
            </w:r>
          </w:p>
        </w:tc>
      </w:tr>
      <w:tr w:rsidR="00575F52" w:rsidRPr="00567D48" w14:paraId="3C61E7DA" w14:textId="77777777" w:rsidTr="007128F7">
        <w:trPr>
          <w:cantSplit/>
          <w:trHeight w:val="2948"/>
        </w:trPr>
        <w:tc>
          <w:tcPr>
            <w:tcW w:w="2973" w:type="dxa"/>
            <w:shd w:val="clear" w:color="auto" w:fill="auto"/>
            <w:tcMar>
              <w:top w:w="28" w:type="dxa"/>
              <w:bottom w:w="28" w:type="dxa"/>
            </w:tcMar>
            <w:vAlign w:val="center"/>
          </w:tcPr>
          <w:p w14:paraId="0093EBD3" w14:textId="191831BA" w:rsidR="00575F52" w:rsidRPr="00251E7D" w:rsidRDefault="00575F52" w:rsidP="00575F52">
            <w:pPr>
              <w:keepLines/>
              <w:rPr>
                <w:rFonts w:asciiTheme="minorHAnsi" w:hAnsiTheme="minorHAnsi" w:cstheme="minorHAnsi"/>
                <w:sz w:val="18"/>
                <w:szCs w:val="18"/>
                <w:highlight w:val="yellow"/>
              </w:rPr>
            </w:pPr>
            <w:r w:rsidRPr="00251E7D">
              <w:rPr>
                <w:rFonts w:asciiTheme="minorHAnsi" w:hAnsiTheme="minorHAnsi" w:cstheme="minorHAnsi"/>
                <w:color w:val="000000"/>
                <w:sz w:val="18"/>
                <w:szCs w:val="18"/>
              </w:rPr>
              <w:t>GLYCOMACROPEPTIDE FORMULA WITH AMINO ACIDS, VITAMINS, MINERALS, TRACE ELEMENTS, CARBOHYDRATE, FAT AND LOW PHENYLALANINE</w:t>
            </w:r>
            <w:r w:rsidRPr="00251E7D">
              <w:rPr>
                <w:rFonts w:asciiTheme="minorHAnsi" w:hAnsiTheme="minorHAnsi" w:cstheme="minorHAnsi"/>
                <w:color w:val="000000"/>
                <w:sz w:val="18"/>
                <w:szCs w:val="18"/>
              </w:rPr>
              <w:br/>
            </w:r>
            <w:r w:rsidRPr="00251E7D">
              <w:rPr>
                <w:rFonts w:asciiTheme="minorHAnsi" w:hAnsiTheme="minorHAnsi" w:cstheme="minorHAnsi"/>
                <w:color w:val="000000"/>
                <w:sz w:val="18"/>
                <w:szCs w:val="18"/>
              </w:rPr>
              <w:br/>
              <w:t xml:space="preserve">Sachets containing oral powder 33.4 g, 30 (PKU </w:t>
            </w:r>
            <w:proofErr w:type="spellStart"/>
            <w:r w:rsidRPr="00251E7D">
              <w:rPr>
                <w:rFonts w:asciiTheme="minorHAnsi" w:hAnsiTheme="minorHAnsi" w:cstheme="minorHAnsi"/>
                <w:color w:val="000000"/>
                <w:sz w:val="18"/>
                <w:szCs w:val="18"/>
              </w:rPr>
              <w:t>GMPro</w:t>
            </w:r>
            <w:proofErr w:type="spellEnd"/>
            <w:r w:rsidRPr="00251E7D">
              <w:rPr>
                <w:rFonts w:asciiTheme="minorHAnsi" w:hAnsiTheme="minorHAnsi" w:cstheme="minorHAnsi"/>
                <w:color w:val="000000"/>
                <w:sz w:val="18"/>
                <w:szCs w:val="18"/>
              </w:rPr>
              <w:t xml:space="preserve"> ULTRA)</w:t>
            </w:r>
            <w:r w:rsidRPr="00251E7D">
              <w:rPr>
                <w:rFonts w:asciiTheme="minorHAnsi" w:hAnsiTheme="minorHAnsi" w:cstheme="minorHAnsi"/>
                <w:color w:val="000000"/>
                <w:sz w:val="18"/>
                <w:szCs w:val="18"/>
              </w:rPr>
              <w:br/>
            </w:r>
            <w:r w:rsidRPr="00251E7D">
              <w:rPr>
                <w:rFonts w:asciiTheme="minorHAnsi" w:hAnsiTheme="minorHAnsi" w:cstheme="minorHAnsi"/>
                <w:color w:val="000000"/>
                <w:sz w:val="18"/>
                <w:szCs w:val="18"/>
              </w:rPr>
              <w:br/>
              <w:t xml:space="preserve">PKU </w:t>
            </w:r>
            <w:proofErr w:type="spellStart"/>
            <w:r w:rsidRPr="00251E7D">
              <w:rPr>
                <w:rFonts w:asciiTheme="minorHAnsi" w:hAnsiTheme="minorHAnsi" w:cstheme="minorHAnsi"/>
                <w:color w:val="000000"/>
                <w:sz w:val="18"/>
                <w:szCs w:val="18"/>
              </w:rPr>
              <w:t>GMPro</w:t>
            </w:r>
            <w:proofErr w:type="spellEnd"/>
            <w:r w:rsidRPr="00251E7D">
              <w:rPr>
                <w:rFonts w:asciiTheme="minorHAnsi" w:hAnsiTheme="minorHAnsi" w:cstheme="minorHAnsi"/>
                <w:color w:val="000000"/>
                <w:sz w:val="18"/>
                <w:szCs w:val="18"/>
              </w:rPr>
              <w:t xml:space="preserve"> ULTRA®</w:t>
            </w:r>
            <w:r w:rsidRPr="00251E7D">
              <w:rPr>
                <w:rFonts w:asciiTheme="minorHAnsi" w:hAnsiTheme="minorHAnsi" w:cstheme="minorHAnsi"/>
                <w:color w:val="000000"/>
                <w:sz w:val="18"/>
                <w:szCs w:val="18"/>
              </w:rPr>
              <w:br/>
            </w:r>
            <w:r w:rsidRPr="00251E7D">
              <w:rPr>
                <w:rFonts w:asciiTheme="minorHAnsi" w:hAnsiTheme="minorHAnsi" w:cstheme="minorHAnsi"/>
                <w:color w:val="000000"/>
                <w:sz w:val="18"/>
                <w:szCs w:val="18"/>
              </w:rPr>
              <w:br/>
              <w:t>Nutricia Australia Pty Limited</w:t>
            </w:r>
            <w:r w:rsidRPr="00251E7D">
              <w:rPr>
                <w:rFonts w:asciiTheme="minorHAnsi" w:hAnsiTheme="minorHAnsi" w:cstheme="minorHAnsi"/>
                <w:color w:val="000000"/>
                <w:sz w:val="18"/>
                <w:szCs w:val="18"/>
              </w:rPr>
              <w:br/>
            </w:r>
            <w:r w:rsidRPr="00251E7D">
              <w:rPr>
                <w:rFonts w:asciiTheme="minorHAnsi" w:hAnsiTheme="minorHAnsi" w:cstheme="minorHAnsi"/>
                <w:color w:val="000000"/>
                <w:sz w:val="18"/>
                <w:szCs w:val="18"/>
              </w:rPr>
              <w:br/>
              <w:t>Category 3 submission</w:t>
            </w:r>
            <w:r w:rsidRPr="00251E7D">
              <w:rPr>
                <w:rFonts w:asciiTheme="minorHAnsi" w:hAnsiTheme="minorHAnsi" w:cstheme="minorHAnsi"/>
                <w:color w:val="000000"/>
                <w:sz w:val="18"/>
                <w:szCs w:val="18"/>
              </w:rPr>
              <w:br/>
              <w:t>(New PBS listing)</w:t>
            </w:r>
          </w:p>
        </w:tc>
        <w:tc>
          <w:tcPr>
            <w:tcW w:w="2491" w:type="dxa"/>
            <w:shd w:val="clear" w:color="auto" w:fill="auto"/>
            <w:vAlign w:val="center"/>
          </w:tcPr>
          <w:p w14:paraId="45CAA24B" w14:textId="3629BCD8" w:rsidR="00575F52" w:rsidRPr="00251E7D" w:rsidRDefault="00575F52" w:rsidP="00575F52">
            <w:pPr>
              <w:keepLines/>
              <w:widowControl w:val="0"/>
              <w:rPr>
                <w:rFonts w:asciiTheme="minorHAnsi" w:hAnsiTheme="minorHAnsi" w:cstheme="minorHAnsi"/>
                <w:snapToGrid w:val="0"/>
                <w:sz w:val="18"/>
                <w:szCs w:val="18"/>
                <w:highlight w:val="yellow"/>
                <w:lang w:eastAsia="en-US"/>
              </w:rPr>
            </w:pPr>
            <w:r w:rsidRPr="00251E7D">
              <w:rPr>
                <w:rFonts w:asciiTheme="minorHAnsi" w:hAnsiTheme="minorHAnsi" w:cstheme="minorHAnsi"/>
                <w:color w:val="000000"/>
                <w:sz w:val="18"/>
                <w:szCs w:val="18"/>
              </w:rPr>
              <w:t xml:space="preserve">Phenylketonuria </w:t>
            </w:r>
          </w:p>
        </w:tc>
        <w:tc>
          <w:tcPr>
            <w:tcW w:w="3887" w:type="dxa"/>
            <w:shd w:val="clear" w:color="auto" w:fill="auto"/>
            <w:tcMar>
              <w:top w:w="28" w:type="dxa"/>
              <w:bottom w:w="28" w:type="dxa"/>
            </w:tcMar>
            <w:vAlign w:val="center"/>
          </w:tcPr>
          <w:p w14:paraId="09C0EA45" w14:textId="7A3E6EA7"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251E7D">
              <w:rPr>
                <w:rFonts w:asciiTheme="minorHAnsi" w:hAnsiTheme="minorHAnsi" w:cstheme="minorHAnsi"/>
                <w:color w:val="000000"/>
                <w:sz w:val="18"/>
                <w:szCs w:val="18"/>
              </w:rPr>
              <w:t xml:space="preserve">To request a General Schedule Restricted Benefit listing for treatment of phenylketonuria in patients older than 3 years of age. </w:t>
            </w:r>
          </w:p>
        </w:tc>
        <w:tc>
          <w:tcPr>
            <w:tcW w:w="1984" w:type="dxa"/>
            <w:shd w:val="clear" w:color="auto" w:fill="auto"/>
            <w:vAlign w:val="center"/>
          </w:tcPr>
          <w:p w14:paraId="48E821E6" w14:textId="4827EF88"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251E7D">
              <w:rPr>
                <w:rFonts w:asciiTheme="minorHAnsi" w:hAnsiTheme="minorHAnsi" w:cstheme="minorHAnsi"/>
                <w:color w:val="000000"/>
                <w:sz w:val="18"/>
                <w:szCs w:val="18"/>
              </w:rPr>
              <w:t>Recommended</w:t>
            </w:r>
          </w:p>
        </w:tc>
        <w:tc>
          <w:tcPr>
            <w:tcW w:w="4053" w:type="dxa"/>
            <w:shd w:val="clear" w:color="auto" w:fill="auto"/>
            <w:vAlign w:val="center"/>
          </w:tcPr>
          <w:p w14:paraId="0C693D50" w14:textId="0B289CA8" w:rsidR="00575F52" w:rsidRPr="000F0297" w:rsidRDefault="00575F52" w:rsidP="00575F52">
            <w:pPr>
              <w:pStyle w:val="ListParagraph"/>
              <w:keepLines/>
              <w:ind w:left="0"/>
              <w:rPr>
                <w:rFonts w:asciiTheme="minorHAnsi" w:hAnsiTheme="minorHAnsi" w:cstheme="minorHAnsi"/>
                <w:color w:val="000000"/>
                <w:sz w:val="18"/>
                <w:szCs w:val="18"/>
              </w:rPr>
            </w:pPr>
            <w:r w:rsidRPr="00251E7D">
              <w:rPr>
                <w:rFonts w:asciiTheme="minorHAnsi" w:hAnsiTheme="minorHAnsi" w:cstheme="minorHAnsi"/>
                <w:color w:val="000000"/>
                <w:sz w:val="18"/>
                <w:szCs w:val="18"/>
              </w:rPr>
              <w:t xml:space="preserve">The PBAC recommended the General Schedule Restricted Benefit listing of glycomacropeptide formula with amino acids, vitamins, minerals, trace elements, carbohydrate, </w:t>
            </w:r>
            <w:proofErr w:type="gramStart"/>
            <w:r w:rsidRPr="00251E7D">
              <w:rPr>
                <w:rFonts w:asciiTheme="minorHAnsi" w:hAnsiTheme="minorHAnsi" w:cstheme="minorHAnsi"/>
                <w:color w:val="000000"/>
                <w:sz w:val="18"/>
                <w:szCs w:val="18"/>
              </w:rPr>
              <w:t>fat</w:t>
            </w:r>
            <w:proofErr w:type="gramEnd"/>
            <w:r w:rsidRPr="00251E7D">
              <w:rPr>
                <w:rFonts w:asciiTheme="minorHAnsi" w:hAnsiTheme="minorHAnsi" w:cstheme="minorHAnsi"/>
                <w:color w:val="000000"/>
                <w:sz w:val="18"/>
                <w:szCs w:val="18"/>
              </w:rPr>
              <w:t xml:space="preserve"> and low phenylalanine (PKU </w:t>
            </w:r>
            <w:proofErr w:type="spellStart"/>
            <w:r w:rsidRPr="00251E7D">
              <w:rPr>
                <w:rFonts w:asciiTheme="minorHAnsi" w:hAnsiTheme="minorHAnsi" w:cstheme="minorHAnsi"/>
                <w:color w:val="000000"/>
                <w:sz w:val="18"/>
                <w:szCs w:val="18"/>
              </w:rPr>
              <w:t>GMPro</w:t>
            </w:r>
            <w:proofErr w:type="spellEnd"/>
            <w:r w:rsidRPr="00251E7D">
              <w:rPr>
                <w:rFonts w:asciiTheme="minorHAnsi" w:hAnsiTheme="minorHAnsi" w:cstheme="minorHAnsi"/>
                <w:color w:val="000000"/>
                <w:sz w:val="18"/>
                <w:szCs w:val="18"/>
              </w:rPr>
              <w:t xml:space="preserve"> ULTRA</w:t>
            </w:r>
            <w:r w:rsidR="000E18FB">
              <w:rPr>
                <w:rFonts w:asciiTheme="minorHAnsi" w:hAnsiTheme="minorHAnsi" w:cstheme="minorHAnsi"/>
                <w:color w:val="000000"/>
                <w:sz w:val="18"/>
                <w:szCs w:val="18"/>
              </w:rPr>
              <w:t>®</w:t>
            </w:r>
            <w:r w:rsidRPr="00251E7D">
              <w:rPr>
                <w:rFonts w:asciiTheme="minorHAnsi" w:hAnsiTheme="minorHAnsi" w:cstheme="minorHAnsi"/>
                <w:color w:val="000000"/>
                <w:sz w:val="18"/>
                <w:szCs w:val="18"/>
              </w:rPr>
              <w:t xml:space="preserve">) for the treatment of phenylketonuria. </w:t>
            </w:r>
          </w:p>
        </w:tc>
      </w:tr>
      <w:tr w:rsidR="00575F52" w:rsidRPr="00567D48" w14:paraId="66722DC3" w14:textId="77777777" w:rsidTr="007128F7">
        <w:trPr>
          <w:cantSplit/>
          <w:trHeight w:val="2948"/>
        </w:trPr>
        <w:tc>
          <w:tcPr>
            <w:tcW w:w="2973" w:type="dxa"/>
            <w:shd w:val="clear" w:color="auto" w:fill="auto"/>
            <w:tcMar>
              <w:top w:w="28" w:type="dxa"/>
              <w:bottom w:w="28" w:type="dxa"/>
            </w:tcMar>
            <w:vAlign w:val="center"/>
          </w:tcPr>
          <w:p w14:paraId="634EC439" w14:textId="516182CB" w:rsidR="00575F52" w:rsidRPr="00251E7D" w:rsidRDefault="00575F52" w:rsidP="00575F52">
            <w:pPr>
              <w:keepLines/>
              <w:rPr>
                <w:rFonts w:asciiTheme="minorHAnsi" w:hAnsiTheme="minorHAnsi" w:cstheme="minorHAnsi"/>
                <w:sz w:val="18"/>
                <w:szCs w:val="18"/>
                <w:highlight w:val="yellow"/>
              </w:rPr>
            </w:pPr>
            <w:r w:rsidRPr="00251E7D">
              <w:rPr>
                <w:rFonts w:asciiTheme="minorHAnsi" w:hAnsiTheme="minorHAnsi" w:cstheme="minorHAnsi"/>
                <w:color w:val="000000"/>
                <w:sz w:val="18"/>
                <w:szCs w:val="18"/>
              </w:rPr>
              <w:lastRenderedPageBreak/>
              <w:t xml:space="preserve">INFLIXIMAB </w:t>
            </w:r>
            <w:r w:rsidRPr="00251E7D">
              <w:rPr>
                <w:rFonts w:asciiTheme="minorHAnsi" w:hAnsiTheme="minorHAnsi" w:cstheme="minorHAnsi"/>
                <w:color w:val="000000"/>
                <w:sz w:val="18"/>
                <w:szCs w:val="18"/>
              </w:rPr>
              <w:br/>
            </w:r>
            <w:r w:rsidRPr="00251E7D">
              <w:rPr>
                <w:rFonts w:asciiTheme="minorHAnsi" w:hAnsiTheme="minorHAnsi" w:cstheme="minorHAnsi"/>
                <w:color w:val="000000"/>
                <w:sz w:val="18"/>
                <w:szCs w:val="18"/>
              </w:rPr>
              <w:br/>
              <w:t>Solution for injection 120 mg in 1 mL pre-filled pen</w:t>
            </w:r>
            <w:r w:rsidRPr="00251E7D">
              <w:rPr>
                <w:rFonts w:asciiTheme="minorHAnsi" w:hAnsiTheme="minorHAnsi" w:cstheme="minorHAnsi"/>
                <w:color w:val="000000"/>
                <w:sz w:val="18"/>
                <w:szCs w:val="18"/>
              </w:rPr>
              <w:br/>
              <w:t>Solution for injection 120 mg in 1 mL pre-filled syringe</w:t>
            </w:r>
            <w:r w:rsidRPr="00251E7D">
              <w:rPr>
                <w:rFonts w:asciiTheme="minorHAnsi" w:hAnsiTheme="minorHAnsi" w:cstheme="minorHAnsi"/>
                <w:color w:val="000000"/>
                <w:sz w:val="18"/>
                <w:szCs w:val="18"/>
              </w:rPr>
              <w:br/>
            </w:r>
            <w:r w:rsidRPr="00251E7D">
              <w:rPr>
                <w:rFonts w:asciiTheme="minorHAnsi" w:hAnsiTheme="minorHAnsi" w:cstheme="minorHAnsi"/>
                <w:color w:val="000000"/>
                <w:sz w:val="18"/>
                <w:szCs w:val="18"/>
              </w:rPr>
              <w:br/>
              <w:t>Remsima® SC</w:t>
            </w:r>
            <w:r w:rsidRPr="00251E7D">
              <w:rPr>
                <w:rFonts w:asciiTheme="minorHAnsi" w:hAnsiTheme="minorHAnsi" w:cstheme="minorHAnsi"/>
                <w:color w:val="000000"/>
                <w:sz w:val="18"/>
                <w:szCs w:val="18"/>
              </w:rPr>
              <w:br/>
            </w:r>
            <w:r w:rsidRPr="00251E7D">
              <w:rPr>
                <w:rFonts w:asciiTheme="minorHAnsi" w:hAnsiTheme="minorHAnsi" w:cstheme="minorHAnsi"/>
                <w:color w:val="000000"/>
                <w:sz w:val="18"/>
                <w:szCs w:val="18"/>
              </w:rPr>
              <w:br/>
              <w:t>Celltrion Healthcare Australia Pty Ltd</w:t>
            </w:r>
            <w:r w:rsidRPr="00251E7D">
              <w:rPr>
                <w:rFonts w:asciiTheme="minorHAnsi" w:hAnsiTheme="minorHAnsi" w:cstheme="minorHAnsi"/>
                <w:color w:val="000000"/>
                <w:sz w:val="18"/>
                <w:szCs w:val="18"/>
              </w:rPr>
              <w:br/>
            </w:r>
            <w:r w:rsidRPr="00251E7D">
              <w:rPr>
                <w:rFonts w:asciiTheme="minorHAnsi" w:hAnsiTheme="minorHAnsi" w:cstheme="minorHAnsi"/>
                <w:color w:val="000000"/>
                <w:sz w:val="18"/>
                <w:szCs w:val="18"/>
              </w:rPr>
              <w:br/>
              <w:t>Category 3 submission</w:t>
            </w:r>
            <w:r w:rsidRPr="00251E7D">
              <w:rPr>
                <w:rFonts w:asciiTheme="minorHAnsi" w:hAnsiTheme="minorHAnsi" w:cstheme="minorHAnsi"/>
                <w:color w:val="000000"/>
                <w:sz w:val="18"/>
                <w:szCs w:val="18"/>
              </w:rPr>
              <w:br/>
              <w:t>(New PBS listing)</w:t>
            </w:r>
          </w:p>
        </w:tc>
        <w:tc>
          <w:tcPr>
            <w:tcW w:w="2491" w:type="dxa"/>
            <w:shd w:val="clear" w:color="auto" w:fill="auto"/>
            <w:vAlign w:val="center"/>
          </w:tcPr>
          <w:p w14:paraId="3B937E90" w14:textId="77777777" w:rsidR="00575F52" w:rsidRPr="00D5001E" w:rsidRDefault="00575F52" w:rsidP="00575F52">
            <w:pPr>
              <w:keepLines/>
              <w:widowControl w:val="0"/>
              <w:rPr>
                <w:rFonts w:asciiTheme="minorHAnsi" w:hAnsiTheme="minorHAnsi" w:cstheme="minorHAnsi"/>
                <w:color w:val="000000"/>
                <w:sz w:val="18"/>
                <w:szCs w:val="18"/>
              </w:rPr>
            </w:pPr>
            <w:r w:rsidRPr="00251E7D">
              <w:rPr>
                <w:rFonts w:asciiTheme="minorHAnsi" w:hAnsiTheme="minorHAnsi" w:cstheme="minorHAnsi"/>
                <w:color w:val="000000"/>
                <w:sz w:val="18"/>
                <w:szCs w:val="18"/>
              </w:rPr>
              <w:t>Ankylosing spondylitis</w:t>
            </w:r>
          </w:p>
          <w:p w14:paraId="47689317" w14:textId="77777777" w:rsidR="00575F52" w:rsidRPr="00317FE3" w:rsidRDefault="00575F52" w:rsidP="00575F52">
            <w:pPr>
              <w:keepLines/>
              <w:widowControl w:val="0"/>
              <w:rPr>
                <w:rFonts w:asciiTheme="minorHAnsi" w:hAnsiTheme="minorHAnsi" w:cstheme="minorHAnsi"/>
                <w:snapToGrid w:val="0"/>
                <w:sz w:val="18"/>
                <w:szCs w:val="18"/>
                <w:lang w:eastAsia="en-US"/>
              </w:rPr>
            </w:pPr>
            <w:r w:rsidRPr="000F0297">
              <w:rPr>
                <w:rFonts w:asciiTheme="minorHAnsi" w:hAnsiTheme="minorHAnsi" w:cstheme="minorHAnsi"/>
                <w:snapToGrid w:val="0"/>
                <w:sz w:val="18"/>
                <w:szCs w:val="18"/>
                <w:lang w:eastAsia="en-US"/>
              </w:rPr>
              <w:t>Psoriatic arthritis</w:t>
            </w:r>
          </w:p>
          <w:p w14:paraId="11DFB3F2" w14:textId="77777777" w:rsidR="00575F52" w:rsidRPr="00B25426" w:rsidRDefault="00575F52" w:rsidP="00575F52">
            <w:pPr>
              <w:keepLines/>
              <w:widowControl w:val="0"/>
              <w:rPr>
                <w:rFonts w:asciiTheme="minorHAnsi" w:hAnsiTheme="minorHAnsi" w:cstheme="minorHAnsi"/>
                <w:snapToGrid w:val="0"/>
                <w:sz w:val="18"/>
                <w:szCs w:val="18"/>
                <w:lang w:eastAsia="en-US"/>
              </w:rPr>
            </w:pPr>
            <w:r w:rsidRPr="00B25426">
              <w:rPr>
                <w:rFonts w:asciiTheme="minorHAnsi" w:hAnsiTheme="minorHAnsi" w:cstheme="minorHAnsi"/>
                <w:snapToGrid w:val="0"/>
                <w:sz w:val="18"/>
                <w:szCs w:val="18"/>
                <w:lang w:eastAsia="en-US"/>
              </w:rPr>
              <w:t>Chronic plaque psoriasis</w:t>
            </w:r>
          </w:p>
          <w:p w14:paraId="5FCAA00A" w14:textId="4E07158B" w:rsidR="00575F52" w:rsidRPr="00B25426" w:rsidRDefault="00575F52" w:rsidP="00575F52">
            <w:pPr>
              <w:keepLines/>
              <w:widowControl w:val="0"/>
              <w:rPr>
                <w:rFonts w:asciiTheme="minorHAnsi" w:hAnsiTheme="minorHAnsi" w:cstheme="minorHAnsi"/>
                <w:snapToGrid w:val="0"/>
                <w:sz w:val="18"/>
                <w:szCs w:val="18"/>
                <w:lang w:eastAsia="en-US"/>
              </w:rPr>
            </w:pPr>
            <w:r w:rsidRPr="00B25426">
              <w:rPr>
                <w:rFonts w:asciiTheme="minorHAnsi" w:hAnsiTheme="minorHAnsi" w:cstheme="minorHAnsi"/>
                <w:snapToGrid w:val="0"/>
                <w:sz w:val="18"/>
                <w:szCs w:val="18"/>
                <w:lang w:eastAsia="en-US"/>
              </w:rPr>
              <w:t>Refractory fistulising Crohn Disease</w:t>
            </w:r>
          </w:p>
        </w:tc>
        <w:tc>
          <w:tcPr>
            <w:tcW w:w="3887" w:type="dxa"/>
            <w:shd w:val="clear" w:color="auto" w:fill="auto"/>
            <w:tcMar>
              <w:top w:w="28" w:type="dxa"/>
              <w:bottom w:w="28" w:type="dxa"/>
            </w:tcMar>
            <w:vAlign w:val="center"/>
          </w:tcPr>
          <w:p w14:paraId="7B6A7798" w14:textId="491AD2B6"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251E7D">
              <w:rPr>
                <w:rFonts w:asciiTheme="minorHAnsi" w:hAnsiTheme="minorHAnsi" w:cstheme="minorHAnsi"/>
                <w:color w:val="000000"/>
                <w:sz w:val="18"/>
                <w:szCs w:val="18"/>
              </w:rPr>
              <w:t xml:space="preserve">To request a General Schedule Authority Required listing for the treatment of ankylosing spondylitis, psoriatic arthritis, chronic plaque psoriasis and refractory fistulising Crohn Disease. </w:t>
            </w:r>
          </w:p>
        </w:tc>
        <w:tc>
          <w:tcPr>
            <w:tcW w:w="1984" w:type="dxa"/>
            <w:shd w:val="clear" w:color="auto" w:fill="auto"/>
            <w:vAlign w:val="center"/>
          </w:tcPr>
          <w:p w14:paraId="3E7B0BDD" w14:textId="25127798" w:rsidR="00575F52" w:rsidRPr="00251E7D" w:rsidRDefault="00575F52" w:rsidP="00575F52">
            <w:pPr>
              <w:pStyle w:val="ListParagraph"/>
              <w:keepLines/>
              <w:ind w:left="0"/>
              <w:rPr>
                <w:rFonts w:asciiTheme="minorHAnsi" w:hAnsiTheme="minorHAnsi" w:cstheme="minorHAnsi"/>
                <w:snapToGrid w:val="0"/>
                <w:sz w:val="18"/>
                <w:szCs w:val="18"/>
                <w:highlight w:val="yellow"/>
                <w:lang w:eastAsia="en-US"/>
              </w:rPr>
            </w:pPr>
            <w:r w:rsidRPr="00251E7D">
              <w:rPr>
                <w:rFonts w:asciiTheme="minorHAnsi" w:hAnsiTheme="minorHAnsi" w:cstheme="minorHAnsi"/>
                <w:color w:val="000000"/>
                <w:sz w:val="18"/>
                <w:szCs w:val="18"/>
              </w:rPr>
              <w:t>Recommended</w:t>
            </w:r>
          </w:p>
        </w:tc>
        <w:tc>
          <w:tcPr>
            <w:tcW w:w="4053" w:type="dxa"/>
            <w:shd w:val="clear" w:color="auto" w:fill="auto"/>
            <w:vAlign w:val="center"/>
          </w:tcPr>
          <w:p w14:paraId="1182EAB0" w14:textId="524E86E5" w:rsidR="00575F52" w:rsidRPr="00D5001E" w:rsidRDefault="00575F52" w:rsidP="008B7236">
            <w:pPr>
              <w:pStyle w:val="ListParagraph"/>
              <w:keepLines/>
              <w:ind w:left="0"/>
              <w:rPr>
                <w:rFonts w:asciiTheme="minorHAnsi" w:hAnsiTheme="minorHAnsi" w:cstheme="minorHAnsi"/>
                <w:color w:val="000000"/>
                <w:sz w:val="18"/>
                <w:szCs w:val="18"/>
                <w:highlight w:val="yellow"/>
              </w:rPr>
            </w:pPr>
            <w:r w:rsidRPr="00251E7D">
              <w:rPr>
                <w:rFonts w:asciiTheme="minorHAnsi" w:hAnsiTheme="minorHAnsi" w:cstheme="minorHAnsi"/>
                <w:color w:val="000000"/>
                <w:sz w:val="18"/>
                <w:szCs w:val="18"/>
              </w:rPr>
              <w:t xml:space="preserve">The PBAC recommended the listing of infliximab subcutaneous </w:t>
            </w:r>
            <w:r w:rsidR="000E18FB">
              <w:rPr>
                <w:rFonts w:asciiTheme="minorHAnsi" w:hAnsiTheme="minorHAnsi" w:cstheme="minorHAnsi"/>
                <w:color w:val="000000"/>
                <w:sz w:val="18"/>
                <w:szCs w:val="18"/>
              </w:rPr>
              <w:t xml:space="preserve">injections </w:t>
            </w:r>
            <w:r w:rsidRPr="00251E7D">
              <w:rPr>
                <w:rFonts w:asciiTheme="minorHAnsi" w:hAnsiTheme="minorHAnsi" w:cstheme="minorHAnsi"/>
                <w:color w:val="000000"/>
                <w:sz w:val="18"/>
                <w:szCs w:val="18"/>
              </w:rPr>
              <w:t xml:space="preserve">for the treatment of ankylosing spondylitis, severe chronic plaque psoriasis, severe active psoriatic </w:t>
            </w:r>
            <w:proofErr w:type="gramStart"/>
            <w:r w:rsidRPr="00251E7D">
              <w:rPr>
                <w:rFonts w:asciiTheme="minorHAnsi" w:hAnsiTheme="minorHAnsi" w:cstheme="minorHAnsi"/>
                <w:color w:val="000000"/>
                <w:sz w:val="18"/>
                <w:szCs w:val="18"/>
              </w:rPr>
              <w:t>arthritis</w:t>
            </w:r>
            <w:proofErr w:type="gramEnd"/>
            <w:r w:rsidRPr="00251E7D">
              <w:rPr>
                <w:rFonts w:asciiTheme="minorHAnsi" w:hAnsiTheme="minorHAnsi" w:cstheme="minorHAnsi"/>
                <w:color w:val="000000"/>
                <w:sz w:val="18"/>
                <w:szCs w:val="18"/>
              </w:rPr>
              <w:t xml:space="preserve"> and complex refractory fistulising Crohn’s Disease on a cost</w:t>
            </w:r>
            <w:r w:rsidR="008B7236" w:rsidRPr="00D5001E">
              <w:rPr>
                <w:rFonts w:asciiTheme="minorHAnsi" w:hAnsiTheme="minorHAnsi" w:cstheme="minorHAnsi"/>
                <w:color w:val="000000"/>
                <w:sz w:val="18"/>
                <w:szCs w:val="18"/>
              </w:rPr>
              <w:t>-</w:t>
            </w:r>
            <w:r w:rsidRPr="00251E7D">
              <w:rPr>
                <w:rFonts w:asciiTheme="minorHAnsi" w:hAnsiTheme="minorHAnsi" w:cstheme="minorHAnsi"/>
                <w:color w:val="000000"/>
                <w:sz w:val="18"/>
                <w:szCs w:val="18"/>
              </w:rPr>
              <w:t xml:space="preserve">minimisation basis to </w:t>
            </w:r>
            <w:r w:rsidR="00251E7D">
              <w:rPr>
                <w:rFonts w:asciiTheme="minorHAnsi" w:hAnsiTheme="minorHAnsi" w:cstheme="minorHAnsi"/>
                <w:color w:val="000000"/>
                <w:sz w:val="18"/>
                <w:szCs w:val="18"/>
              </w:rPr>
              <w:t>inflix</w:t>
            </w:r>
            <w:r w:rsidR="008B7236" w:rsidRPr="00D5001E">
              <w:rPr>
                <w:rFonts w:asciiTheme="minorHAnsi" w:hAnsiTheme="minorHAnsi" w:cstheme="minorHAnsi"/>
                <w:color w:val="000000"/>
                <w:sz w:val="18"/>
                <w:szCs w:val="18"/>
              </w:rPr>
              <w:t xml:space="preserve">imab </w:t>
            </w:r>
            <w:r w:rsidRPr="00251E7D">
              <w:rPr>
                <w:rFonts w:asciiTheme="minorHAnsi" w:hAnsiTheme="minorHAnsi" w:cstheme="minorHAnsi"/>
                <w:color w:val="000000"/>
                <w:sz w:val="18"/>
                <w:szCs w:val="18"/>
              </w:rPr>
              <w:t>intravenous</w:t>
            </w:r>
            <w:r w:rsidR="000E18FB">
              <w:rPr>
                <w:rFonts w:asciiTheme="minorHAnsi" w:hAnsiTheme="minorHAnsi" w:cstheme="minorHAnsi"/>
                <w:color w:val="000000"/>
                <w:sz w:val="18"/>
                <w:szCs w:val="18"/>
              </w:rPr>
              <w:t xml:space="preserve"> injection forms</w:t>
            </w:r>
            <w:r w:rsidRPr="00251E7D">
              <w:rPr>
                <w:rFonts w:asciiTheme="minorHAnsi" w:hAnsiTheme="minorHAnsi" w:cstheme="minorHAnsi"/>
                <w:color w:val="000000"/>
                <w:sz w:val="18"/>
                <w:szCs w:val="18"/>
              </w:rPr>
              <w:t xml:space="preserve">. </w:t>
            </w:r>
          </w:p>
        </w:tc>
      </w:tr>
      <w:tr w:rsidR="00575F52" w:rsidRPr="00567D48" w14:paraId="2935A5C9" w14:textId="77777777" w:rsidTr="00D46189">
        <w:trPr>
          <w:trHeight w:val="2948"/>
        </w:trPr>
        <w:tc>
          <w:tcPr>
            <w:tcW w:w="2973" w:type="dxa"/>
            <w:shd w:val="clear" w:color="auto" w:fill="auto"/>
            <w:tcMar>
              <w:top w:w="28" w:type="dxa"/>
              <w:bottom w:w="28" w:type="dxa"/>
            </w:tcMar>
            <w:vAlign w:val="center"/>
          </w:tcPr>
          <w:p w14:paraId="37C731CC" w14:textId="103DBF86" w:rsidR="00575F52" w:rsidRPr="00D5001E" w:rsidRDefault="00575F52" w:rsidP="00575F52">
            <w:pPr>
              <w:keepLines/>
              <w:rPr>
                <w:rFonts w:asciiTheme="minorHAnsi" w:hAnsiTheme="minorHAnsi" w:cstheme="minorHAnsi"/>
                <w:sz w:val="18"/>
                <w:szCs w:val="18"/>
                <w:highlight w:val="yellow"/>
              </w:rPr>
            </w:pPr>
            <w:r w:rsidRPr="00D5001E">
              <w:rPr>
                <w:rFonts w:asciiTheme="minorHAnsi" w:hAnsiTheme="minorHAnsi" w:cstheme="minorHAnsi"/>
                <w:color w:val="000000"/>
                <w:sz w:val="18"/>
                <w:szCs w:val="18"/>
              </w:rPr>
              <w:t xml:space="preserve">IXAZOMIB </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 xml:space="preserve">Capsule 2.3 mg </w:t>
            </w:r>
            <w:r w:rsidRPr="00D5001E">
              <w:rPr>
                <w:rFonts w:asciiTheme="minorHAnsi" w:hAnsiTheme="minorHAnsi" w:cstheme="minorHAnsi"/>
                <w:color w:val="000000"/>
                <w:sz w:val="18"/>
                <w:szCs w:val="18"/>
              </w:rPr>
              <w:br/>
              <w:t>Capsule 3 mg</w:t>
            </w:r>
            <w:r w:rsidRPr="00D5001E">
              <w:rPr>
                <w:rFonts w:asciiTheme="minorHAnsi" w:hAnsiTheme="minorHAnsi" w:cstheme="minorHAnsi"/>
                <w:color w:val="000000"/>
                <w:sz w:val="18"/>
                <w:szCs w:val="18"/>
              </w:rPr>
              <w:br/>
              <w:t>Capsule 4 mg</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r>
            <w:proofErr w:type="spellStart"/>
            <w:r w:rsidRPr="00D5001E">
              <w:rPr>
                <w:rFonts w:asciiTheme="minorHAnsi" w:hAnsiTheme="minorHAnsi" w:cstheme="minorHAnsi"/>
                <w:color w:val="000000"/>
                <w:sz w:val="18"/>
                <w:szCs w:val="18"/>
              </w:rPr>
              <w:t>Ninlaro</w:t>
            </w:r>
            <w:proofErr w:type="spellEnd"/>
            <w:r w:rsidRPr="00D5001E">
              <w:rPr>
                <w:rFonts w:asciiTheme="minorHAnsi" w:hAnsiTheme="minorHAnsi" w:cstheme="minorHAnsi"/>
                <w:color w:val="000000"/>
                <w:sz w:val="18"/>
                <w:szCs w:val="18"/>
              </w:rPr>
              <w:t>®</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Takeda Pharmaceuticals Australia Pty Ltd</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Standard re-entry</w:t>
            </w:r>
            <w:r w:rsidRPr="00D5001E">
              <w:rPr>
                <w:rFonts w:asciiTheme="minorHAnsi" w:hAnsiTheme="minorHAnsi" w:cstheme="minorHAnsi"/>
                <w:color w:val="000000"/>
                <w:sz w:val="18"/>
                <w:szCs w:val="18"/>
              </w:rPr>
              <w:br/>
              <w:t>(New PBS listing)</w:t>
            </w:r>
          </w:p>
        </w:tc>
        <w:tc>
          <w:tcPr>
            <w:tcW w:w="2491" w:type="dxa"/>
            <w:shd w:val="clear" w:color="auto" w:fill="auto"/>
            <w:vAlign w:val="center"/>
          </w:tcPr>
          <w:p w14:paraId="6FCE2D1B" w14:textId="7C96D4FC" w:rsidR="00575F52" w:rsidRPr="000F0297" w:rsidRDefault="00575F52" w:rsidP="00575F52">
            <w:pPr>
              <w:keepLines/>
              <w:widowControl w:val="0"/>
              <w:rPr>
                <w:rFonts w:asciiTheme="minorHAnsi" w:hAnsiTheme="minorHAnsi" w:cstheme="minorHAnsi"/>
                <w:snapToGrid w:val="0"/>
                <w:sz w:val="18"/>
                <w:szCs w:val="18"/>
                <w:lang w:eastAsia="en-US"/>
              </w:rPr>
            </w:pPr>
            <w:r w:rsidRPr="00D46189">
              <w:rPr>
                <w:rFonts w:asciiTheme="minorHAnsi" w:hAnsiTheme="minorHAnsi" w:cstheme="minorHAnsi"/>
                <w:color w:val="000000"/>
                <w:sz w:val="18"/>
                <w:szCs w:val="18"/>
              </w:rPr>
              <w:t>Multiple myeloma</w:t>
            </w:r>
          </w:p>
        </w:tc>
        <w:tc>
          <w:tcPr>
            <w:tcW w:w="3887" w:type="dxa"/>
            <w:shd w:val="clear" w:color="auto" w:fill="auto"/>
            <w:tcMar>
              <w:top w:w="28" w:type="dxa"/>
              <w:bottom w:w="28" w:type="dxa"/>
            </w:tcMar>
            <w:vAlign w:val="center"/>
          </w:tcPr>
          <w:p w14:paraId="53A56862" w14:textId="34777FE0"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D46189">
              <w:rPr>
                <w:rFonts w:asciiTheme="minorHAnsi" w:hAnsiTheme="minorHAnsi" w:cstheme="minorHAnsi"/>
                <w:color w:val="000000"/>
                <w:sz w:val="18"/>
                <w:szCs w:val="18"/>
              </w:rPr>
              <w:t>Resubmission to request a Section 100 (Highly Specialised Drugs Program) Authority Required listing, in combination with lenalidomide and dexamethasone, for the treatment of relapsed and/or refractory multiple myeloma in patients who have received at least two prior therapies.</w:t>
            </w:r>
          </w:p>
        </w:tc>
        <w:tc>
          <w:tcPr>
            <w:tcW w:w="1984" w:type="dxa"/>
            <w:shd w:val="clear" w:color="auto" w:fill="auto"/>
            <w:vAlign w:val="center"/>
          </w:tcPr>
          <w:p w14:paraId="0BA24FF2" w14:textId="677189CB"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D46189">
              <w:rPr>
                <w:rFonts w:asciiTheme="minorHAnsi" w:hAnsiTheme="minorHAnsi" w:cstheme="minorHAnsi"/>
                <w:color w:val="000000"/>
                <w:sz w:val="18"/>
                <w:szCs w:val="18"/>
              </w:rPr>
              <w:t>Not Recommended</w:t>
            </w:r>
          </w:p>
        </w:tc>
        <w:tc>
          <w:tcPr>
            <w:tcW w:w="4053" w:type="dxa"/>
            <w:shd w:val="clear" w:color="auto" w:fill="auto"/>
            <w:vAlign w:val="center"/>
          </w:tcPr>
          <w:p w14:paraId="1291F9E4" w14:textId="77777777" w:rsidR="00575F52" w:rsidRPr="00D46189" w:rsidRDefault="00575F52" w:rsidP="00317FE3">
            <w:pPr>
              <w:pStyle w:val="ExecSumBodyText"/>
              <w:numPr>
                <w:ilvl w:val="0"/>
                <w:numId w:val="0"/>
              </w:numPr>
              <w:jc w:val="left"/>
              <w:rPr>
                <w:rFonts w:cstheme="minorHAnsi"/>
                <w:sz w:val="18"/>
                <w:szCs w:val="18"/>
                <w:lang w:eastAsia="en-US"/>
              </w:rPr>
            </w:pPr>
            <w:r w:rsidRPr="00D46189">
              <w:rPr>
                <w:rFonts w:cstheme="minorHAnsi"/>
                <w:sz w:val="18"/>
                <w:szCs w:val="18"/>
                <w:lang w:eastAsia="en-US"/>
              </w:rPr>
              <w:t>The PBAC did not recommend</w:t>
            </w:r>
            <w:r w:rsidRPr="00D46189">
              <w:rPr>
                <w:rFonts w:cstheme="minorHAnsi"/>
                <w:sz w:val="18"/>
                <w:szCs w:val="18"/>
              </w:rPr>
              <w:t xml:space="preserve"> the </w:t>
            </w:r>
            <w:r w:rsidRPr="00D46189">
              <w:rPr>
                <w:rFonts w:cstheme="minorHAnsi"/>
                <w:sz w:val="18"/>
                <w:szCs w:val="18"/>
                <w:lang w:eastAsia="en-US"/>
              </w:rPr>
              <w:t xml:space="preserve">listing of </w:t>
            </w:r>
            <w:proofErr w:type="spellStart"/>
            <w:r w:rsidRPr="00D46189">
              <w:rPr>
                <w:rFonts w:cstheme="minorHAnsi"/>
                <w:sz w:val="18"/>
                <w:szCs w:val="18"/>
                <w:lang w:eastAsia="en-US"/>
              </w:rPr>
              <w:t>ixazomib</w:t>
            </w:r>
            <w:proofErr w:type="spellEnd"/>
            <w:r w:rsidRPr="00D46189">
              <w:rPr>
                <w:rFonts w:cstheme="minorHAnsi"/>
                <w:sz w:val="18"/>
                <w:szCs w:val="18"/>
                <w:lang w:eastAsia="en-US"/>
              </w:rPr>
              <w:t>, for use in combination with lenalidomide and dexamethasone (</w:t>
            </w:r>
            <w:proofErr w:type="spellStart"/>
            <w:r w:rsidRPr="00D46189">
              <w:rPr>
                <w:rFonts w:cstheme="minorHAnsi"/>
                <w:sz w:val="18"/>
                <w:szCs w:val="18"/>
                <w:lang w:eastAsia="en-US"/>
              </w:rPr>
              <w:t>ILd</w:t>
            </w:r>
            <w:proofErr w:type="spellEnd"/>
            <w:r w:rsidRPr="00D46189">
              <w:rPr>
                <w:rFonts w:cstheme="minorHAnsi"/>
                <w:sz w:val="18"/>
                <w:szCs w:val="18"/>
                <w:lang w:eastAsia="en-US"/>
              </w:rPr>
              <w:t>), for the treatment of relapsed and/or refractory multiple myeloma (RRMM) in patients who have received at least two prior therapies.</w:t>
            </w:r>
          </w:p>
          <w:p w14:paraId="052C5A6D" w14:textId="77777777" w:rsidR="00575F52" w:rsidRPr="00D46189" w:rsidRDefault="00575F52" w:rsidP="00317FE3">
            <w:pPr>
              <w:pStyle w:val="ExecSumBodyText"/>
              <w:numPr>
                <w:ilvl w:val="0"/>
                <w:numId w:val="0"/>
              </w:numPr>
              <w:jc w:val="left"/>
              <w:rPr>
                <w:rFonts w:cstheme="minorHAnsi"/>
                <w:sz w:val="18"/>
                <w:szCs w:val="18"/>
                <w:lang w:eastAsia="en-US"/>
              </w:rPr>
            </w:pPr>
            <w:r w:rsidRPr="00D46189">
              <w:rPr>
                <w:rFonts w:cstheme="minorHAnsi"/>
                <w:sz w:val="18"/>
                <w:szCs w:val="18"/>
                <w:lang w:eastAsia="en-US"/>
              </w:rPr>
              <w:t xml:space="preserve">The previous submission was considered in November 2020. </w:t>
            </w:r>
          </w:p>
          <w:p w14:paraId="1195BCBA" w14:textId="77777777" w:rsidR="00575F52" w:rsidRPr="00D46189" w:rsidRDefault="00575F52" w:rsidP="00317FE3">
            <w:pPr>
              <w:pStyle w:val="ExecSumBodyText"/>
              <w:numPr>
                <w:ilvl w:val="0"/>
                <w:numId w:val="0"/>
              </w:numPr>
              <w:jc w:val="left"/>
              <w:rPr>
                <w:rFonts w:cstheme="minorHAnsi"/>
                <w:sz w:val="18"/>
                <w:szCs w:val="18"/>
                <w:u w:val="single"/>
                <w:lang w:eastAsia="en-US"/>
              </w:rPr>
            </w:pPr>
            <w:r w:rsidRPr="00D46189">
              <w:rPr>
                <w:rFonts w:cstheme="minorHAnsi"/>
                <w:sz w:val="18"/>
                <w:szCs w:val="18"/>
                <w:u w:val="single"/>
                <w:lang w:eastAsia="en-US"/>
              </w:rPr>
              <w:t>Comparator: lenalidomide plus dexamethasone (Ld)</w:t>
            </w:r>
          </w:p>
          <w:p w14:paraId="3875D6BB" w14:textId="47608485" w:rsidR="00575F52" w:rsidRPr="00D46189" w:rsidRDefault="00575F52" w:rsidP="00317FE3">
            <w:pPr>
              <w:pStyle w:val="ExecSumBodyText"/>
              <w:numPr>
                <w:ilvl w:val="0"/>
                <w:numId w:val="0"/>
              </w:numPr>
              <w:jc w:val="left"/>
              <w:rPr>
                <w:rFonts w:cstheme="minorHAnsi"/>
                <w:sz w:val="18"/>
                <w:szCs w:val="18"/>
                <w:lang w:eastAsia="en-US"/>
              </w:rPr>
            </w:pPr>
            <w:r w:rsidRPr="00D46189">
              <w:rPr>
                <w:rFonts w:cstheme="minorHAnsi"/>
                <w:sz w:val="18"/>
                <w:szCs w:val="18"/>
                <w:lang w:eastAsia="en-US"/>
              </w:rPr>
              <w:t xml:space="preserve">The PBAC considered that Ld was a relevant comparator; however, noted that the multiple treatment options for RRMM and the changing treatment algorithm complicated the selection of the main comparator(s). The PBAC considered that </w:t>
            </w:r>
            <w:r w:rsidR="00643FAF" w:rsidRPr="00643FAF">
              <w:rPr>
                <w:rFonts w:cstheme="minorHAnsi"/>
                <w:sz w:val="18"/>
                <w:szCs w:val="18"/>
                <w:lang w:eastAsia="en-US"/>
              </w:rPr>
              <w:t xml:space="preserve">Carfilzomib in combination with dexamethasone </w:t>
            </w:r>
            <w:r w:rsidR="00643FAF">
              <w:rPr>
                <w:rFonts w:cstheme="minorHAnsi"/>
                <w:sz w:val="18"/>
                <w:szCs w:val="18"/>
                <w:lang w:eastAsia="en-US"/>
              </w:rPr>
              <w:t>(</w:t>
            </w:r>
            <w:r w:rsidRPr="00D46189">
              <w:rPr>
                <w:rFonts w:cstheme="minorHAnsi"/>
                <w:sz w:val="18"/>
                <w:szCs w:val="18"/>
                <w:lang w:eastAsia="en-US"/>
              </w:rPr>
              <w:t>Cd</w:t>
            </w:r>
            <w:r w:rsidR="00643FAF">
              <w:rPr>
                <w:rFonts w:cstheme="minorHAnsi"/>
                <w:sz w:val="18"/>
                <w:szCs w:val="18"/>
                <w:lang w:eastAsia="en-US"/>
              </w:rPr>
              <w:t>)</w:t>
            </w:r>
            <w:r w:rsidRPr="00D46189">
              <w:rPr>
                <w:rFonts w:cstheme="minorHAnsi"/>
                <w:sz w:val="18"/>
                <w:szCs w:val="18"/>
                <w:lang w:eastAsia="en-US"/>
              </w:rPr>
              <w:t xml:space="preserve"> remained an important comparator.</w:t>
            </w:r>
          </w:p>
          <w:p w14:paraId="1BBB8F64" w14:textId="77777777" w:rsidR="00575F52" w:rsidRPr="00D46189" w:rsidRDefault="00575F52" w:rsidP="00317FE3">
            <w:pPr>
              <w:pStyle w:val="ExecSumBodyText"/>
              <w:numPr>
                <w:ilvl w:val="0"/>
                <w:numId w:val="0"/>
              </w:numPr>
              <w:jc w:val="left"/>
              <w:rPr>
                <w:rFonts w:cstheme="minorHAnsi"/>
                <w:sz w:val="18"/>
                <w:szCs w:val="18"/>
                <w:u w:val="single"/>
                <w:lang w:eastAsia="en-US"/>
              </w:rPr>
            </w:pPr>
            <w:r w:rsidRPr="00D46189">
              <w:rPr>
                <w:rFonts w:cstheme="minorHAnsi"/>
                <w:sz w:val="18"/>
                <w:szCs w:val="18"/>
                <w:u w:val="single"/>
                <w:lang w:eastAsia="en-US"/>
              </w:rPr>
              <w:t>Clinical claim: superior effectiveness and non-inferior safety compared with Ld</w:t>
            </w:r>
          </w:p>
          <w:p w14:paraId="05789F70" w14:textId="77777777" w:rsidR="00575F52" w:rsidRPr="00D46189" w:rsidRDefault="00575F52" w:rsidP="00317FE3">
            <w:pPr>
              <w:pStyle w:val="ExecSumBodyText"/>
              <w:numPr>
                <w:ilvl w:val="0"/>
                <w:numId w:val="0"/>
              </w:numPr>
              <w:jc w:val="left"/>
              <w:rPr>
                <w:rFonts w:cstheme="minorHAnsi"/>
                <w:sz w:val="18"/>
                <w:szCs w:val="18"/>
                <w:lang w:eastAsia="en-US"/>
              </w:rPr>
            </w:pPr>
            <w:r w:rsidRPr="00D46189">
              <w:rPr>
                <w:rFonts w:cstheme="minorHAnsi"/>
                <w:sz w:val="18"/>
                <w:szCs w:val="18"/>
                <w:lang w:eastAsia="en-US"/>
              </w:rPr>
              <w:t xml:space="preserve">The clinical claim was based on the TOURMALINE MM-1 (TMM-1). Updated overall survival (OS) data </w:t>
            </w:r>
            <w:r w:rsidRPr="00D46189">
              <w:rPr>
                <w:rFonts w:cstheme="minorHAnsi"/>
                <w:sz w:val="18"/>
                <w:szCs w:val="18"/>
                <w:lang w:eastAsia="en-US"/>
              </w:rPr>
              <w:lastRenderedPageBreak/>
              <w:t>was presented compared to the November 2020 submission.</w:t>
            </w:r>
          </w:p>
          <w:p w14:paraId="7F893053" w14:textId="77777777" w:rsidR="00575F52" w:rsidRPr="00D46189" w:rsidRDefault="00575F52" w:rsidP="00317FE3">
            <w:pPr>
              <w:pStyle w:val="ExecSumBodyText"/>
              <w:numPr>
                <w:ilvl w:val="0"/>
                <w:numId w:val="0"/>
              </w:numPr>
              <w:jc w:val="left"/>
              <w:rPr>
                <w:rFonts w:cstheme="minorHAnsi"/>
                <w:sz w:val="18"/>
                <w:szCs w:val="18"/>
                <w:lang w:eastAsia="en-US"/>
              </w:rPr>
            </w:pPr>
            <w:r w:rsidRPr="00D46189">
              <w:rPr>
                <w:rFonts w:cstheme="minorHAnsi"/>
                <w:sz w:val="18"/>
                <w:szCs w:val="18"/>
                <w:lang w:eastAsia="en-US"/>
              </w:rPr>
              <w:t xml:space="preserve">The PBAC considered that the claim of superior effectiveness was not supported. Although </w:t>
            </w:r>
            <w:proofErr w:type="spellStart"/>
            <w:r w:rsidRPr="00D46189">
              <w:rPr>
                <w:rFonts w:cstheme="minorHAnsi"/>
                <w:sz w:val="18"/>
                <w:szCs w:val="18"/>
                <w:lang w:eastAsia="en-US"/>
              </w:rPr>
              <w:t>ILd</w:t>
            </w:r>
            <w:proofErr w:type="spellEnd"/>
            <w:r w:rsidRPr="00D46189">
              <w:rPr>
                <w:rFonts w:cstheme="minorHAnsi"/>
                <w:sz w:val="18"/>
                <w:szCs w:val="18"/>
                <w:lang w:eastAsia="en-US"/>
              </w:rPr>
              <w:t xml:space="preserve"> resulted in a statistically significant improvement in progression free survival (PFS) compared to Ld for the intention to treat (ITT) population and for patients who had received 2-3 lines of prior therapy, the overall survival (OS) results were not statistically significant for the ITT population or for the 2-3 prior lines of therapy subgroup.</w:t>
            </w:r>
            <w:r w:rsidRPr="00D46189" w:rsidDel="009D243E">
              <w:rPr>
                <w:rFonts w:cstheme="minorHAnsi"/>
                <w:sz w:val="18"/>
                <w:szCs w:val="18"/>
                <w:lang w:eastAsia="en-US"/>
              </w:rPr>
              <w:t xml:space="preserve"> </w:t>
            </w:r>
          </w:p>
          <w:p w14:paraId="4D0FD989" w14:textId="77777777" w:rsidR="00575F52" w:rsidRPr="00D46189" w:rsidRDefault="00575F52" w:rsidP="00317FE3">
            <w:pPr>
              <w:pStyle w:val="ExecSumBodyText"/>
              <w:numPr>
                <w:ilvl w:val="0"/>
                <w:numId w:val="0"/>
              </w:numPr>
              <w:jc w:val="left"/>
              <w:rPr>
                <w:rFonts w:cstheme="minorHAnsi"/>
                <w:sz w:val="18"/>
                <w:szCs w:val="18"/>
                <w:lang w:eastAsia="en-US"/>
              </w:rPr>
            </w:pPr>
            <w:r w:rsidRPr="00D46189">
              <w:rPr>
                <w:rFonts w:cstheme="minorHAnsi"/>
                <w:sz w:val="18"/>
                <w:szCs w:val="18"/>
                <w:lang w:eastAsia="en-US"/>
              </w:rPr>
              <w:t xml:space="preserve">The PBAC considered that the non-inferior safety claim was reasonable. </w:t>
            </w:r>
          </w:p>
          <w:p w14:paraId="7419407F" w14:textId="77777777" w:rsidR="00575F52" w:rsidRPr="00D46189" w:rsidRDefault="00575F52" w:rsidP="00317FE3">
            <w:pPr>
              <w:pStyle w:val="ExecSumBodyText"/>
              <w:numPr>
                <w:ilvl w:val="0"/>
                <w:numId w:val="0"/>
              </w:numPr>
              <w:jc w:val="left"/>
              <w:rPr>
                <w:rFonts w:cstheme="minorHAnsi"/>
                <w:sz w:val="18"/>
                <w:szCs w:val="18"/>
                <w:u w:val="single"/>
                <w:lang w:eastAsia="en-US"/>
              </w:rPr>
            </w:pPr>
            <w:r w:rsidRPr="00D46189">
              <w:rPr>
                <w:rFonts w:cstheme="minorHAnsi"/>
                <w:sz w:val="18"/>
                <w:szCs w:val="18"/>
                <w:u w:val="single"/>
                <w:lang w:eastAsia="en-US"/>
              </w:rPr>
              <w:t>Economic claim: cost-utility versus Ld</w:t>
            </w:r>
          </w:p>
          <w:p w14:paraId="618BFE24" w14:textId="7A4736D9" w:rsidR="00575F52" w:rsidRPr="00D46189" w:rsidRDefault="00575F52" w:rsidP="00575F52">
            <w:pPr>
              <w:pStyle w:val="ListParagraph"/>
              <w:keepLines/>
              <w:ind w:left="0"/>
              <w:rPr>
                <w:rFonts w:asciiTheme="minorHAnsi" w:hAnsiTheme="minorHAnsi" w:cstheme="minorHAnsi"/>
                <w:color w:val="000000"/>
                <w:sz w:val="18"/>
                <w:szCs w:val="18"/>
              </w:rPr>
            </w:pPr>
            <w:r w:rsidRPr="00D46189">
              <w:rPr>
                <w:rFonts w:asciiTheme="minorHAnsi" w:hAnsiTheme="minorHAnsi" w:cstheme="minorHAnsi"/>
                <w:snapToGrid w:val="0"/>
                <w:sz w:val="18"/>
                <w:szCs w:val="18"/>
              </w:rPr>
              <w:t xml:space="preserve">The economic analysis was uncertain, as it relied on a gain in OS, and was unacceptably high. </w:t>
            </w:r>
          </w:p>
          <w:p w14:paraId="7229337B" w14:textId="77777777" w:rsidR="00575F52" w:rsidRPr="000433CA" w:rsidRDefault="00575F52" w:rsidP="00575F52">
            <w:pPr>
              <w:pStyle w:val="ListParagraph"/>
              <w:keepLines/>
              <w:ind w:left="0"/>
              <w:rPr>
                <w:rFonts w:asciiTheme="minorHAnsi" w:hAnsiTheme="minorHAnsi" w:cstheme="minorHAnsi"/>
                <w:color w:val="000000"/>
                <w:sz w:val="18"/>
                <w:szCs w:val="18"/>
              </w:rPr>
            </w:pPr>
          </w:p>
          <w:p w14:paraId="27DD90FC" w14:textId="77777777" w:rsidR="00575F52" w:rsidRDefault="00575F52" w:rsidP="00575F52">
            <w:pPr>
              <w:pStyle w:val="ListParagraph"/>
              <w:keepLines/>
              <w:ind w:left="0"/>
              <w:rPr>
                <w:rFonts w:asciiTheme="minorHAnsi" w:hAnsiTheme="minorHAnsi" w:cstheme="minorHAnsi"/>
                <w:color w:val="000000"/>
                <w:sz w:val="18"/>
                <w:szCs w:val="18"/>
                <w:u w:val="single"/>
              </w:rPr>
            </w:pPr>
            <w:r w:rsidRPr="000433CA">
              <w:rPr>
                <w:rFonts w:asciiTheme="minorHAnsi" w:hAnsiTheme="minorHAnsi" w:cstheme="minorHAnsi"/>
                <w:color w:val="000000"/>
                <w:sz w:val="18"/>
                <w:szCs w:val="18"/>
                <w:u w:val="single"/>
              </w:rPr>
              <w:t>Sponsor Comment:</w:t>
            </w:r>
            <w:r w:rsidR="00ED54D7">
              <w:rPr>
                <w:rFonts w:asciiTheme="minorHAnsi" w:hAnsiTheme="minorHAnsi" w:cstheme="minorHAnsi"/>
                <w:color w:val="000000"/>
                <w:sz w:val="18"/>
                <w:szCs w:val="18"/>
                <w:u w:val="single"/>
              </w:rPr>
              <w:t xml:space="preserve"> </w:t>
            </w:r>
          </w:p>
          <w:p w14:paraId="6CE1B04F" w14:textId="0E84EEE0" w:rsidR="00ED54D7" w:rsidRPr="00ED54D7" w:rsidRDefault="00ED54D7" w:rsidP="00575F52">
            <w:pPr>
              <w:pStyle w:val="ListParagraph"/>
              <w:keepLines/>
              <w:ind w:left="0"/>
              <w:rPr>
                <w:rFonts w:asciiTheme="minorHAnsi" w:hAnsiTheme="minorHAnsi" w:cstheme="minorHAnsi"/>
                <w:color w:val="000000"/>
                <w:sz w:val="18"/>
                <w:szCs w:val="18"/>
              </w:rPr>
            </w:pPr>
            <w:r w:rsidRPr="005654CF">
              <w:rPr>
                <w:rFonts w:asciiTheme="minorHAnsi" w:hAnsiTheme="minorHAnsi" w:cstheme="minorHAnsi"/>
                <w:color w:val="000000"/>
                <w:sz w:val="18"/>
                <w:szCs w:val="18"/>
              </w:rPr>
              <w:t>The sponsor had no comment.</w:t>
            </w:r>
          </w:p>
        </w:tc>
      </w:tr>
      <w:tr w:rsidR="00575F52" w:rsidRPr="00567D48" w14:paraId="0F616E07" w14:textId="77777777" w:rsidTr="007128F7">
        <w:trPr>
          <w:cantSplit/>
          <w:trHeight w:val="2948"/>
        </w:trPr>
        <w:tc>
          <w:tcPr>
            <w:tcW w:w="2973" w:type="dxa"/>
            <w:shd w:val="clear" w:color="auto" w:fill="auto"/>
            <w:tcMar>
              <w:top w:w="28" w:type="dxa"/>
              <w:bottom w:w="28" w:type="dxa"/>
            </w:tcMar>
            <w:vAlign w:val="center"/>
          </w:tcPr>
          <w:p w14:paraId="5385F06D" w14:textId="289E59C9" w:rsidR="00575F52" w:rsidRPr="00D46189" w:rsidRDefault="00575F52" w:rsidP="00D46189">
            <w:pPr>
              <w:keepLines/>
              <w:rPr>
                <w:rFonts w:asciiTheme="minorHAnsi" w:hAnsiTheme="minorHAnsi" w:cstheme="minorHAnsi"/>
                <w:color w:val="000000"/>
                <w:sz w:val="18"/>
                <w:szCs w:val="18"/>
              </w:rPr>
            </w:pPr>
            <w:r w:rsidRPr="000F0297">
              <w:rPr>
                <w:rFonts w:asciiTheme="minorHAnsi" w:hAnsiTheme="minorHAnsi" w:cstheme="minorHAnsi"/>
                <w:color w:val="000000"/>
                <w:sz w:val="18"/>
                <w:szCs w:val="18"/>
              </w:rPr>
              <w:lastRenderedPageBreak/>
              <w:t xml:space="preserve">LAROTRECTINIB </w:t>
            </w:r>
            <w:r w:rsidRPr="000F0297">
              <w:rPr>
                <w:rFonts w:asciiTheme="minorHAnsi" w:hAnsiTheme="minorHAnsi" w:cstheme="minorHAnsi"/>
                <w:color w:val="000000"/>
                <w:sz w:val="18"/>
                <w:szCs w:val="18"/>
              </w:rPr>
              <w:br/>
            </w:r>
            <w:r w:rsidRPr="000F0297">
              <w:rPr>
                <w:rFonts w:asciiTheme="minorHAnsi" w:hAnsiTheme="minorHAnsi" w:cstheme="minorHAnsi"/>
                <w:color w:val="000000"/>
                <w:sz w:val="18"/>
                <w:szCs w:val="18"/>
              </w:rPr>
              <w:br/>
              <w:t>Capsule 25 mg</w:t>
            </w:r>
            <w:r w:rsidRPr="000F0297">
              <w:rPr>
                <w:rFonts w:asciiTheme="minorHAnsi" w:hAnsiTheme="minorHAnsi" w:cstheme="minorHAnsi"/>
                <w:color w:val="000000"/>
                <w:sz w:val="18"/>
                <w:szCs w:val="18"/>
              </w:rPr>
              <w:br/>
              <w:t>Capsule 100 mg</w:t>
            </w:r>
            <w:r w:rsidRPr="000F0297">
              <w:rPr>
                <w:rFonts w:asciiTheme="minorHAnsi" w:hAnsiTheme="minorHAnsi" w:cstheme="minorHAnsi"/>
                <w:color w:val="000000"/>
                <w:sz w:val="18"/>
                <w:szCs w:val="18"/>
              </w:rPr>
              <w:br/>
              <w:t>Oral solution 20 mg per mL, 100 mL</w:t>
            </w:r>
            <w:r w:rsidRPr="000F0297">
              <w:rPr>
                <w:rFonts w:asciiTheme="minorHAnsi" w:hAnsiTheme="minorHAnsi" w:cstheme="minorHAnsi"/>
                <w:color w:val="000000"/>
                <w:sz w:val="18"/>
                <w:szCs w:val="18"/>
              </w:rPr>
              <w:br/>
            </w:r>
            <w:r w:rsidRPr="000F0297">
              <w:rPr>
                <w:rFonts w:asciiTheme="minorHAnsi" w:hAnsiTheme="minorHAnsi" w:cstheme="minorHAnsi"/>
                <w:color w:val="000000"/>
                <w:sz w:val="18"/>
                <w:szCs w:val="18"/>
              </w:rPr>
              <w:br/>
            </w:r>
            <w:proofErr w:type="spellStart"/>
            <w:r w:rsidRPr="000F0297">
              <w:rPr>
                <w:rFonts w:asciiTheme="minorHAnsi" w:hAnsiTheme="minorHAnsi" w:cstheme="minorHAnsi"/>
                <w:color w:val="000000"/>
                <w:sz w:val="18"/>
                <w:szCs w:val="18"/>
              </w:rPr>
              <w:t>Vitrakvi</w:t>
            </w:r>
            <w:proofErr w:type="spellEnd"/>
            <w:r w:rsidRPr="000F0297">
              <w:rPr>
                <w:rFonts w:asciiTheme="minorHAnsi" w:hAnsiTheme="minorHAnsi" w:cstheme="minorHAnsi"/>
                <w:color w:val="000000"/>
                <w:sz w:val="18"/>
                <w:szCs w:val="18"/>
              </w:rPr>
              <w:t>®</w:t>
            </w:r>
            <w:r w:rsidRPr="000F0297">
              <w:rPr>
                <w:rFonts w:asciiTheme="minorHAnsi" w:hAnsiTheme="minorHAnsi" w:cstheme="minorHAnsi"/>
                <w:color w:val="000000"/>
                <w:sz w:val="18"/>
                <w:szCs w:val="18"/>
              </w:rPr>
              <w:br/>
            </w:r>
            <w:r w:rsidRPr="000F0297">
              <w:rPr>
                <w:rFonts w:asciiTheme="minorHAnsi" w:hAnsiTheme="minorHAnsi" w:cstheme="minorHAnsi"/>
                <w:color w:val="000000"/>
                <w:sz w:val="18"/>
                <w:szCs w:val="18"/>
              </w:rPr>
              <w:br/>
              <w:t>Bayer Australia Ltd</w:t>
            </w:r>
            <w:r w:rsidRPr="000F0297">
              <w:rPr>
                <w:rFonts w:asciiTheme="minorHAnsi" w:hAnsiTheme="minorHAnsi" w:cstheme="minorHAnsi"/>
                <w:color w:val="000000"/>
                <w:sz w:val="18"/>
                <w:szCs w:val="18"/>
              </w:rPr>
              <w:br/>
            </w:r>
            <w:r w:rsidRPr="000F0297">
              <w:rPr>
                <w:rFonts w:asciiTheme="minorHAnsi" w:hAnsiTheme="minorHAnsi" w:cstheme="minorHAnsi"/>
                <w:color w:val="000000"/>
                <w:sz w:val="18"/>
                <w:szCs w:val="18"/>
              </w:rPr>
              <w:br/>
            </w:r>
            <w:r w:rsidR="00D46189">
              <w:rPr>
                <w:rFonts w:asciiTheme="minorHAnsi" w:hAnsiTheme="minorHAnsi" w:cstheme="minorHAnsi"/>
                <w:color w:val="000000"/>
                <w:sz w:val="18"/>
                <w:szCs w:val="18"/>
              </w:rPr>
              <w:t>Matters outstanding</w:t>
            </w:r>
            <w:r w:rsidRPr="00B25426">
              <w:rPr>
                <w:rFonts w:asciiTheme="minorHAnsi" w:hAnsiTheme="minorHAnsi" w:cstheme="minorHAnsi"/>
                <w:color w:val="000000"/>
                <w:sz w:val="18"/>
                <w:szCs w:val="18"/>
              </w:rPr>
              <w:br/>
              <w:t>(New PBS listing)</w:t>
            </w:r>
          </w:p>
        </w:tc>
        <w:tc>
          <w:tcPr>
            <w:tcW w:w="2491" w:type="dxa"/>
            <w:shd w:val="clear" w:color="auto" w:fill="auto"/>
            <w:vAlign w:val="center"/>
          </w:tcPr>
          <w:p w14:paraId="54656581" w14:textId="1A9106F2" w:rsidR="00575F52" w:rsidRPr="00D46189" w:rsidRDefault="00575F52" w:rsidP="00575F52">
            <w:pPr>
              <w:keepLines/>
              <w:widowControl w:val="0"/>
              <w:rPr>
                <w:rFonts w:asciiTheme="minorHAnsi" w:hAnsiTheme="minorHAnsi" w:cstheme="minorHAnsi"/>
                <w:color w:val="000000"/>
                <w:sz w:val="18"/>
                <w:szCs w:val="18"/>
              </w:rPr>
            </w:pPr>
            <w:r w:rsidRPr="000F0297">
              <w:rPr>
                <w:rFonts w:asciiTheme="minorHAnsi" w:hAnsiTheme="minorHAnsi" w:cstheme="minorHAnsi"/>
                <w:color w:val="000000"/>
                <w:sz w:val="18"/>
                <w:szCs w:val="18"/>
              </w:rPr>
              <w:t xml:space="preserve">Solid tumours harbouring neurotrophic receptor tyrosine kinase (NTRK) gene fusions </w:t>
            </w:r>
          </w:p>
        </w:tc>
        <w:tc>
          <w:tcPr>
            <w:tcW w:w="3887" w:type="dxa"/>
            <w:shd w:val="clear" w:color="auto" w:fill="auto"/>
            <w:tcMar>
              <w:top w:w="28" w:type="dxa"/>
              <w:bottom w:w="28" w:type="dxa"/>
            </w:tcMar>
            <w:vAlign w:val="center"/>
          </w:tcPr>
          <w:p w14:paraId="50F3F2E2" w14:textId="4328153E" w:rsidR="00575F52" w:rsidRPr="00F66D58" w:rsidRDefault="00575F52" w:rsidP="00575F52">
            <w:pPr>
              <w:pStyle w:val="ListParagraph"/>
              <w:keepLines/>
              <w:ind w:left="0"/>
              <w:rPr>
                <w:rFonts w:asciiTheme="minorHAnsi" w:hAnsiTheme="minorHAnsi" w:cstheme="minorHAnsi"/>
                <w:color w:val="000000"/>
                <w:sz w:val="18"/>
                <w:szCs w:val="18"/>
              </w:rPr>
            </w:pPr>
            <w:r w:rsidRPr="000F0297">
              <w:rPr>
                <w:rFonts w:asciiTheme="minorHAnsi" w:hAnsiTheme="minorHAnsi" w:cstheme="minorHAnsi"/>
                <w:color w:val="000000"/>
                <w:sz w:val="18"/>
                <w:szCs w:val="18"/>
              </w:rPr>
              <w:t xml:space="preserve">Resubmission to request a Section 100 (Highly Specialised Drugs Program) Authority Required </w:t>
            </w:r>
            <w:r w:rsidRPr="00317FE3">
              <w:rPr>
                <w:rFonts w:asciiTheme="minorHAnsi" w:hAnsiTheme="minorHAnsi" w:cstheme="minorHAnsi"/>
                <w:color w:val="000000"/>
                <w:sz w:val="18"/>
                <w:szCs w:val="18"/>
              </w:rPr>
              <w:t xml:space="preserve">(Written) </w:t>
            </w:r>
            <w:r w:rsidRPr="00B25426">
              <w:rPr>
                <w:rFonts w:asciiTheme="minorHAnsi" w:hAnsiTheme="minorHAnsi" w:cstheme="minorHAnsi"/>
                <w:color w:val="000000"/>
                <w:sz w:val="18"/>
                <w:szCs w:val="18"/>
              </w:rPr>
              <w:t>listing for the treatment of adult and paediatric patients with locally advanced or metastatic solid tumours harbouring NTRK gene fusions.</w:t>
            </w:r>
          </w:p>
        </w:tc>
        <w:tc>
          <w:tcPr>
            <w:tcW w:w="1984" w:type="dxa"/>
            <w:shd w:val="clear" w:color="auto" w:fill="auto"/>
            <w:vAlign w:val="center"/>
          </w:tcPr>
          <w:p w14:paraId="39B9ACF5" w14:textId="4BC22062" w:rsidR="00575F52" w:rsidRPr="00F66D58" w:rsidRDefault="00575F52" w:rsidP="00575F52">
            <w:pPr>
              <w:pStyle w:val="ListParagraph"/>
              <w:keepLines/>
              <w:ind w:left="0"/>
              <w:rPr>
                <w:rFonts w:asciiTheme="minorHAnsi" w:hAnsiTheme="minorHAnsi" w:cstheme="minorHAnsi"/>
                <w:color w:val="000000"/>
                <w:sz w:val="18"/>
                <w:szCs w:val="18"/>
              </w:rPr>
            </w:pPr>
            <w:r w:rsidRPr="00F66D58">
              <w:rPr>
                <w:rFonts w:asciiTheme="minorHAnsi" w:hAnsiTheme="minorHAnsi" w:cstheme="minorHAnsi"/>
                <w:color w:val="000000"/>
                <w:sz w:val="18"/>
                <w:szCs w:val="18"/>
              </w:rPr>
              <w:t>Recommended</w:t>
            </w:r>
          </w:p>
        </w:tc>
        <w:tc>
          <w:tcPr>
            <w:tcW w:w="4053" w:type="dxa"/>
            <w:shd w:val="clear" w:color="auto" w:fill="auto"/>
            <w:vAlign w:val="center"/>
          </w:tcPr>
          <w:p w14:paraId="232CF937" w14:textId="55E6D758" w:rsidR="00575F52" w:rsidRPr="00B25426" w:rsidRDefault="00575F52" w:rsidP="00164617">
            <w:pPr>
              <w:pStyle w:val="ListParagraph"/>
              <w:keepLines/>
              <w:ind w:left="0"/>
              <w:rPr>
                <w:rFonts w:asciiTheme="minorHAnsi" w:hAnsiTheme="minorHAnsi" w:cstheme="minorHAnsi"/>
                <w:color w:val="000000"/>
                <w:sz w:val="18"/>
                <w:szCs w:val="18"/>
              </w:rPr>
            </w:pPr>
            <w:r w:rsidRPr="000F0297">
              <w:rPr>
                <w:rFonts w:asciiTheme="minorHAnsi" w:hAnsiTheme="minorHAnsi" w:cstheme="minorHAnsi"/>
                <w:color w:val="000000"/>
                <w:sz w:val="18"/>
                <w:szCs w:val="18"/>
              </w:rPr>
              <w:t>The PBAC recommended the listing of larotrectinib for the treatment of patients with</w:t>
            </w:r>
            <w:r w:rsidRPr="00317FE3">
              <w:rPr>
                <w:rFonts w:asciiTheme="minorHAnsi" w:hAnsiTheme="minorHAnsi" w:cstheme="minorHAnsi"/>
                <w:color w:val="000000"/>
                <w:sz w:val="18"/>
                <w:szCs w:val="18"/>
              </w:rPr>
              <w:t xml:space="preserve"> tropomyosin receptor kinase (</w:t>
            </w:r>
            <w:r w:rsidRPr="00B25426">
              <w:rPr>
                <w:rFonts w:asciiTheme="minorHAnsi" w:hAnsiTheme="minorHAnsi" w:cstheme="minorHAnsi"/>
                <w:color w:val="000000"/>
                <w:sz w:val="18"/>
                <w:szCs w:val="18"/>
              </w:rPr>
              <w:t>NTRK) fusion tumours that are either unresectable locally advanced, metastatic, or locally advanced and unsuitable for surgery (i.e. would otherwise require disfiguring surgery or limb amputation to achieve a complete surgical resection)</w:t>
            </w:r>
            <w:r w:rsidR="00164617">
              <w:rPr>
                <w:rFonts w:asciiTheme="minorHAnsi" w:hAnsiTheme="minorHAnsi" w:cstheme="minorHAnsi"/>
                <w:color w:val="000000"/>
                <w:sz w:val="18"/>
                <w:szCs w:val="18"/>
              </w:rPr>
              <w:t xml:space="preserve"> under the Section 85 (General Schedule)</w:t>
            </w:r>
            <w:r w:rsidRPr="00B25426">
              <w:rPr>
                <w:rFonts w:asciiTheme="minorHAnsi" w:hAnsiTheme="minorHAnsi" w:cstheme="minorHAnsi"/>
                <w:color w:val="000000"/>
                <w:sz w:val="18"/>
                <w:szCs w:val="18"/>
              </w:rPr>
              <w:t>. The PBAC recommended the listing for paediatric patients with NTRK fusion tumours and adult patients with high frequency NTRK fusion tumours (specifically mammary analogue secretory carcinoma and secretory breast carcinoma) on the basis that the incremental cost-effectiveness ratio was acceptable at the proposed price and noting that MSAC supported funding the co-dependent NTRK testing to determine eligibility for treatment with larotrectinib in all paediatric patients, and adult patients with high-frequency NTRK fusion cancer types.</w:t>
            </w:r>
          </w:p>
        </w:tc>
      </w:tr>
      <w:tr w:rsidR="00575F52" w:rsidRPr="00567D48" w14:paraId="054008EC" w14:textId="77777777" w:rsidTr="007128F7">
        <w:trPr>
          <w:cantSplit/>
          <w:trHeight w:val="2948"/>
        </w:trPr>
        <w:tc>
          <w:tcPr>
            <w:tcW w:w="2973" w:type="dxa"/>
            <w:shd w:val="clear" w:color="auto" w:fill="auto"/>
            <w:tcMar>
              <w:top w:w="28" w:type="dxa"/>
              <w:bottom w:w="28" w:type="dxa"/>
            </w:tcMar>
            <w:vAlign w:val="center"/>
          </w:tcPr>
          <w:p w14:paraId="1444A385" w14:textId="00308233" w:rsidR="00575F52" w:rsidRPr="00F66D58" w:rsidRDefault="00575F52" w:rsidP="00575F52">
            <w:pPr>
              <w:keepLines/>
              <w:rPr>
                <w:rFonts w:asciiTheme="minorHAnsi" w:hAnsiTheme="minorHAnsi" w:cstheme="minorHAnsi"/>
                <w:sz w:val="18"/>
                <w:szCs w:val="18"/>
                <w:highlight w:val="yellow"/>
              </w:rPr>
            </w:pPr>
            <w:r w:rsidRPr="00F66D58">
              <w:rPr>
                <w:rFonts w:asciiTheme="minorHAnsi" w:hAnsiTheme="minorHAnsi" w:cstheme="minorHAnsi"/>
                <w:color w:val="000000"/>
                <w:sz w:val="18"/>
                <w:szCs w:val="18"/>
              </w:rPr>
              <w:lastRenderedPageBreak/>
              <w:t xml:space="preserve">MECASERMIN </w:t>
            </w:r>
            <w:r w:rsidRPr="00F66D58">
              <w:rPr>
                <w:rFonts w:asciiTheme="minorHAnsi" w:hAnsiTheme="minorHAnsi" w:cstheme="minorHAnsi"/>
                <w:color w:val="000000"/>
                <w:sz w:val="18"/>
                <w:szCs w:val="18"/>
              </w:rPr>
              <w:br/>
            </w:r>
            <w:r w:rsidRPr="00F66D58">
              <w:rPr>
                <w:rFonts w:asciiTheme="minorHAnsi" w:hAnsiTheme="minorHAnsi" w:cstheme="minorHAnsi"/>
                <w:color w:val="000000"/>
                <w:sz w:val="18"/>
                <w:szCs w:val="18"/>
              </w:rPr>
              <w:br/>
              <w:t>Solution for injection 40 mg in 4 mL vial</w:t>
            </w:r>
            <w:r w:rsidRPr="00F66D58">
              <w:rPr>
                <w:rFonts w:asciiTheme="minorHAnsi" w:hAnsiTheme="minorHAnsi" w:cstheme="minorHAnsi"/>
                <w:color w:val="000000"/>
                <w:sz w:val="18"/>
                <w:szCs w:val="18"/>
              </w:rPr>
              <w:br/>
            </w:r>
            <w:r w:rsidRPr="00F66D58">
              <w:rPr>
                <w:rFonts w:asciiTheme="minorHAnsi" w:hAnsiTheme="minorHAnsi" w:cstheme="minorHAnsi"/>
                <w:color w:val="000000"/>
                <w:sz w:val="18"/>
                <w:szCs w:val="18"/>
              </w:rPr>
              <w:br/>
            </w:r>
            <w:proofErr w:type="spellStart"/>
            <w:r w:rsidRPr="00F66D58">
              <w:rPr>
                <w:rFonts w:asciiTheme="minorHAnsi" w:hAnsiTheme="minorHAnsi" w:cstheme="minorHAnsi"/>
                <w:color w:val="000000"/>
                <w:sz w:val="18"/>
                <w:szCs w:val="18"/>
              </w:rPr>
              <w:t>Increlex</w:t>
            </w:r>
            <w:proofErr w:type="spellEnd"/>
            <w:r w:rsidRPr="00F66D58">
              <w:rPr>
                <w:rFonts w:asciiTheme="minorHAnsi" w:hAnsiTheme="minorHAnsi" w:cstheme="minorHAnsi"/>
                <w:color w:val="000000"/>
                <w:sz w:val="18"/>
                <w:szCs w:val="18"/>
              </w:rPr>
              <w:t>®</w:t>
            </w:r>
            <w:r w:rsidRPr="00F66D58">
              <w:rPr>
                <w:rFonts w:asciiTheme="minorHAnsi" w:hAnsiTheme="minorHAnsi" w:cstheme="minorHAnsi"/>
                <w:color w:val="000000"/>
                <w:sz w:val="18"/>
                <w:szCs w:val="18"/>
              </w:rPr>
              <w:br/>
            </w:r>
            <w:r w:rsidRPr="00F66D58">
              <w:rPr>
                <w:rFonts w:asciiTheme="minorHAnsi" w:hAnsiTheme="minorHAnsi" w:cstheme="minorHAnsi"/>
                <w:color w:val="000000"/>
                <w:sz w:val="18"/>
                <w:szCs w:val="18"/>
              </w:rPr>
              <w:br/>
              <w:t>Ipsen Pty Ltd</w:t>
            </w:r>
            <w:r w:rsidRPr="00F66D58">
              <w:rPr>
                <w:rFonts w:asciiTheme="minorHAnsi" w:hAnsiTheme="minorHAnsi" w:cstheme="minorHAnsi"/>
                <w:color w:val="000000"/>
                <w:sz w:val="18"/>
                <w:szCs w:val="18"/>
              </w:rPr>
              <w:br/>
            </w:r>
            <w:r w:rsidRPr="00F66D58">
              <w:rPr>
                <w:rFonts w:asciiTheme="minorHAnsi" w:hAnsiTheme="minorHAnsi" w:cstheme="minorHAnsi"/>
                <w:color w:val="000000"/>
                <w:sz w:val="18"/>
                <w:szCs w:val="18"/>
              </w:rPr>
              <w:br/>
              <w:t>Early re-entry submission</w:t>
            </w:r>
            <w:r w:rsidRPr="00F66D58">
              <w:rPr>
                <w:rFonts w:asciiTheme="minorHAnsi" w:hAnsiTheme="minorHAnsi" w:cstheme="minorHAnsi"/>
                <w:color w:val="000000"/>
                <w:sz w:val="18"/>
                <w:szCs w:val="18"/>
              </w:rPr>
              <w:br/>
              <w:t>(New PBS listing)</w:t>
            </w:r>
          </w:p>
        </w:tc>
        <w:tc>
          <w:tcPr>
            <w:tcW w:w="2491" w:type="dxa"/>
            <w:shd w:val="clear" w:color="auto" w:fill="auto"/>
            <w:vAlign w:val="center"/>
          </w:tcPr>
          <w:p w14:paraId="2841D75F" w14:textId="58A75EE6" w:rsidR="00575F52" w:rsidRPr="000F0297" w:rsidRDefault="00575F52" w:rsidP="00575F52">
            <w:pPr>
              <w:keepLines/>
              <w:widowControl w:val="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Primary insulin-like growth factor 1 deficiency</w:t>
            </w:r>
          </w:p>
        </w:tc>
        <w:tc>
          <w:tcPr>
            <w:tcW w:w="3887" w:type="dxa"/>
            <w:shd w:val="clear" w:color="auto" w:fill="auto"/>
            <w:tcMar>
              <w:top w:w="28" w:type="dxa"/>
              <w:bottom w:w="28" w:type="dxa"/>
            </w:tcMar>
            <w:vAlign w:val="center"/>
          </w:tcPr>
          <w:p w14:paraId="00F017E1" w14:textId="4342DEF0"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Resubmission to request a Section 100 (Growth Hormone Program) Authority Required (Written) listing for the treatment of children and adolescents with growth failure due to primary insulin-like growth factor 1 deficiency.</w:t>
            </w:r>
          </w:p>
        </w:tc>
        <w:tc>
          <w:tcPr>
            <w:tcW w:w="1984" w:type="dxa"/>
            <w:shd w:val="clear" w:color="auto" w:fill="auto"/>
            <w:vAlign w:val="center"/>
          </w:tcPr>
          <w:p w14:paraId="15D0C757" w14:textId="510139C4" w:rsidR="00575F52" w:rsidRPr="00D5001E" w:rsidRDefault="00575F52" w:rsidP="00575F52">
            <w:pPr>
              <w:pStyle w:val="ListParagraph"/>
              <w:keepLines/>
              <w:ind w:left="0"/>
              <w:rPr>
                <w:rFonts w:asciiTheme="minorHAnsi" w:hAnsiTheme="minorHAnsi" w:cstheme="minorHAnsi"/>
                <w:snapToGrid w:val="0"/>
                <w:sz w:val="18"/>
                <w:szCs w:val="18"/>
                <w:highlight w:val="yellow"/>
                <w:lang w:eastAsia="en-US"/>
              </w:rPr>
            </w:pPr>
            <w:r w:rsidRPr="00D5001E">
              <w:rPr>
                <w:rFonts w:asciiTheme="minorHAnsi" w:hAnsiTheme="minorHAnsi" w:cstheme="minorHAnsi"/>
                <w:color w:val="000000"/>
                <w:sz w:val="18"/>
                <w:szCs w:val="18"/>
              </w:rPr>
              <w:t>Recommended</w:t>
            </w:r>
          </w:p>
        </w:tc>
        <w:tc>
          <w:tcPr>
            <w:tcW w:w="4053" w:type="dxa"/>
            <w:shd w:val="clear" w:color="auto" w:fill="auto"/>
            <w:vAlign w:val="center"/>
          </w:tcPr>
          <w:p w14:paraId="057C1BB8" w14:textId="29CDA0E5" w:rsidR="00575F52" w:rsidRPr="00D5001E" w:rsidRDefault="00575F52" w:rsidP="00575F52">
            <w:pPr>
              <w:pStyle w:val="ListParagraph"/>
              <w:keepLines/>
              <w:ind w:left="0"/>
              <w:rPr>
                <w:rFonts w:asciiTheme="minorHAnsi" w:hAnsiTheme="minorHAnsi" w:cstheme="minorHAnsi"/>
                <w:color w:val="000000"/>
                <w:sz w:val="18"/>
                <w:szCs w:val="18"/>
                <w:highlight w:val="yellow"/>
              </w:rPr>
            </w:pPr>
            <w:r w:rsidRPr="00D5001E">
              <w:rPr>
                <w:rFonts w:asciiTheme="minorHAnsi" w:hAnsiTheme="minorHAnsi" w:cstheme="minorHAnsi"/>
                <w:color w:val="000000"/>
                <w:sz w:val="18"/>
                <w:szCs w:val="18"/>
              </w:rPr>
              <w:t xml:space="preserve">The PBAC recommended the listing of </w:t>
            </w:r>
            <w:proofErr w:type="spellStart"/>
            <w:r w:rsidRPr="00D5001E">
              <w:rPr>
                <w:rFonts w:asciiTheme="minorHAnsi" w:hAnsiTheme="minorHAnsi" w:cstheme="minorHAnsi"/>
                <w:color w:val="000000"/>
                <w:sz w:val="18"/>
                <w:szCs w:val="18"/>
              </w:rPr>
              <w:t>mecasermin</w:t>
            </w:r>
            <w:proofErr w:type="spellEnd"/>
            <w:r w:rsidRPr="00D5001E">
              <w:rPr>
                <w:rFonts w:asciiTheme="minorHAnsi" w:hAnsiTheme="minorHAnsi" w:cstheme="minorHAnsi"/>
                <w:color w:val="000000"/>
                <w:sz w:val="18"/>
                <w:szCs w:val="18"/>
              </w:rPr>
              <w:t xml:space="preserve"> on the basis that it be available on a Section 100 </w:t>
            </w:r>
            <w:r w:rsidR="002B7E81">
              <w:rPr>
                <w:rFonts w:asciiTheme="minorHAnsi" w:hAnsiTheme="minorHAnsi" w:cstheme="minorHAnsi"/>
                <w:color w:val="000000"/>
                <w:sz w:val="18"/>
                <w:szCs w:val="18"/>
              </w:rPr>
              <w:t>(</w:t>
            </w:r>
            <w:r w:rsidRPr="00D5001E">
              <w:rPr>
                <w:rFonts w:asciiTheme="minorHAnsi" w:hAnsiTheme="minorHAnsi" w:cstheme="minorHAnsi"/>
                <w:color w:val="000000"/>
                <w:sz w:val="18"/>
                <w:szCs w:val="18"/>
              </w:rPr>
              <w:t>Growth Hormone Program</w:t>
            </w:r>
            <w:r w:rsidR="002B7E81">
              <w:rPr>
                <w:rFonts w:asciiTheme="minorHAnsi" w:hAnsiTheme="minorHAnsi" w:cstheme="minorHAnsi"/>
                <w:color w:val="000000"/>
                <w:sz w:val="18"/>
                <w:szCs w:val="18"/>
              </w:rPr>
              <w:t>)</w:t>
            </w:r>
            <w:r w:rsidRPr="00D5001E">
              <w:rPr>
                <w:rFonts w:asciiTheme="minorHAnsi" w:hAnsiTheme="minorHAnsi" w:cstheme="minorHAnsi"/>
                <w:color w:val="000000"/>
                <w:sz w:val="18"/>
                <w:szCs w:val="18"/>
              </w:rPr>
              <w:t xml:space="preserve"> listing for the long-term treatment of growth failure in children and adolescents from 2 to 18 years with severe primary insulin-like growth factor 1 deficiency. The PBAC was satisfied that </w:t>
            </w:r>
            <w:proofErr w:type="spellStart"/>
            <w:r w:rsidRPr="00D5001E">
              <w:rPr>
                <w:rFonts w:asciiTheme="minorHAnsi" w:hAnsiTheme="minorHAnsi" w:cstheme="minorHAnsi"/>
                <w:color w:val="000000"/>
                <w:sz w:val="18"/>
                <w:szCs w:val="18"/>
              </w:rPr>
              <w:t>mecasermin</w:t>
            </w:r>
            <w:proofErr w:type="spellEnd"/>
            <w:r w:rsidRPr="00D5001E">
              <w:rPr>
                <w:rFonts w:asciiTheme="minorHAnsi" w:hAnsiTheme="minorHAnsi" w:cstheme="minorHAnsi"/>
                <w:color w:val="000000"/>
                <w:sz w:val="18"/>
                <w:szCs w:val="18"/>
              </w:rPr>
              <w:t xml:space="preserve"> provides, for some patients, a significant improvement in efficacy, based on improved height outcomes over the nominated comparator, no treatment. The PBAC considered that the expert advice provided by the Australasian Paediatric Endocrine Group (APEG) had resolved </w:t>
            </w:r>
            <w:proofErr w:type="gramStart"/>
            <w:r w:rsidRPr="00D5001E">
              <w:rPr>
                <w:rFonts w:asciiTheme="minorHAnsi" w:hAnsiTheme="minorHAnsi" w:cstheme="minorHAnsi"/>
                <w:color w:val="000000"/>
                <w:sz w:val="18"/>
                <w:szCs w:val="18"/>
              </w:rPr>
              <w:t>the majority of</w:t>
            </w:r>
            <w:proofErr w:type="gramEnd"/>
            <w:r w:rsidRPr="00D5001E">
              <w:rPr>
                <w:rFonts w:asciiTheme="minorHAnsi" w:hAnsiTheme="minorHAnsi" w:cstheme="minorHAnsi"/>
                <w:color w:val="000000"/>
                <w:sz w:val="18"/>
                <w:szCs w:val="18"/>
              </w:rPr>
              <w:t xml:space="preserve"> concerns raised at the November 2021 PBAC meeting, and the remaining concerns could be addressed with an appropriate risk sharing arrangement. The PBAC noted that additional communication with APEG would be required to finalise the restrictions.</w:t>
            </w:r>
          </w:p>
        </w:tc>
      </w:tr>
      <w:tr w:rsidR="00575F52" w:rsidRPr="00567D48" w14:paraId="79287577" w14:textId="77777777" w:rsidTr="007128F7">
        <w:trPr>
          <w:cantSplit/>
          <w:trHeight w:val="2948"/>
        </w:trPr>
        <w:tc>
          <w:tcPr>
            <w:tcW w:w="2973" w:type="dxa"/>
            <w:shd w:val="clear" w:color="auto" w:fill="auto"/>
            <w:tcMar>
              <w:top w:w="28" w:type="dxa"/>
              <w:bottom w:w="28" w:type="dxa"/>
            </w:tcMar>
            <w:vAlign w:val="center"/>
          </w:tcPr>
          <w:p w14:paraId="3F8122AD" w14:textId="36C2F00D" w:rsidR="00575F52" w:rsidRPr="00D5001E" w:rsidRDefault="00575F52" w:rsidP="00575F52">
            <w:pPr>
              <w:keepLines/>
              <w:rPr>
                <w:rFonts w:asciiTheme="minorHAnsi" w:hAnsiTheme="minorHAnsi" w:cstheme="minorHAnsi"/>
                <w:sz w:val="18"/>
                <w:szCs w:val="18"/>
                <w:highlight w:val="yellow"/>
              </w:rPr>
            </w:pPr>
            <w:r w:rsidRPr="00D5001E">
              <w:rPr>
                <w:rFonts w:asciiTheme="minorHAnsi" w:hAnsiTheme="minorHAnsi" w:cstheme="minorHAnsi"/>
                <w:color w:val="000000"/>
                <w:sz w:val="18"/>
                <w:szCs w:val="18"/>
              </w:rPr>
              <w:lastRenderedPageBreak/>
              <w:t xml:space="preserve">METHYLPHENIDATE </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Capsule containing methylphenidate hydrochloride 10 mg (modified release)</w:t>
            </w:r>
            <w:r w:rsidRPr="00D5001E">
              <w:rPr>
                <w:rFonts w:asciiTheme="minorHAnsi" w:hAnsiTheme="minorHAnsi" w:cstheme="minorHAnsi"/>
                <w:color w:val="000000"/>
                <w:sz w:val="18"/>
                <w:szCs w:val="18"/>
              </w:rPr>
              <w:br/>
              <w:t>Capsule containing methylphenidate hydrochloride 20 mg (modified release)</w:t>
            </w:r>
            <w:r w:rsidRPr="00D5001E">
              <w:rPr>
                <w:rFonts w:asciiTheme="minorHAnsi" w:hAnsiTheme="minorHAnsi" w:cstheme="minorHAnsi"/>
                <w:color w:val="000000"/>
                <w:sz w:val="18"/>
                <w:szCs w:val="18"/>
              </w:rPr>
              <w:br/>
              <w:t>Capsule containing methylphenidate hydrochloride 30 mg (modified release)</w:t>
            </w:r>
            <w:r w:rsidRPr="00D5001E">
              <w:rPr>
                <w:rFonts w:asciiTheme="minorHAnsi" w:hAnsiTheme="minorHAnsi" w:cstheme="minorHAnsi"/>
                <w:color w:val="000000"/>
                <w:sz w:val="18"/>
                <w:szCs w:val="18"/>
              </w:rPr>
              <w:br/>
              <w:t>Capsule containing methylphenidate hydrochloride 40 mg (modified release)</w:t>
            </w:r>
            <w:r w:rsidRPr="00D5001E">
              <w:rPr>
                <w:rFonts w:asciiTheme="minorHAnsi" w:hAnsiTheme="minorHAnsi" w:cstheme="minorHAnsi"/>
                <w:color w:val="000000"/>
                <w:sz w:val="18"/>
                <w:szCs w:val="18"/>
              </w:rPr>
              <w:br/>
              <w:t>Capsule containing methylphenidate hydrochloride 60 mg (modified release)</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Ritalin® LA</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Novartis Pharmaceuticals Australia Pty Limited</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Category 3 submission</w:t>
            </w:r>
            <w:r w:rsidRPr="00D5001E">
              <w:rPr>
                <w:rFonts w:asciiTheme="minorHAnsi" w:hAnsiTheme="minorHAnsi" w:cstheme="minorHAnsi"/>
                <w:color w:val="000000"/>
                <w:sz w:val="18"/>
                <w:szCs w:val="18"/>
              </w:rPr>
              <w:br/>
              <w:t>(Change to PBS listing)</w:t>
            </w:r>
          </w:p>
        </w:tc>
        <w:tc>
          <w:tcPr>
            <w:tcW w:w="2491" w:type="dxa"/>
            <w:shd w:val="clear" w:color="auto" w:fill="auto"/>
            <w:vAlign w:val="center"/>
          </w:tcPr>
          <w:p w14:paraId="581C2867" w14:textId="65BBE9C6" w:rsidR="00575F52" w:rsidRPr="000F0297" w:rsidRDefault="00575F52" w:rsidP="00575F52">
            <w:pPr>
              <w:keepLines/>
              <w:widowControl w:val="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Attention deficit hyperactivity disorder</w:t>
            </w:r>
          </w:p>
        </w:tc>
        <w:tc>
          <w:tcPr>
            <w:tcW w:w="3887" w:type="dxa"/>
            <w:shd w:val="clear" w:color="auto" w:fill="auto"/>
            <w:tcMar>
              <w:top w:w="28" w:type="dxa"/>
              <w:bottom w:w="28" w:type="dxa"/>
            </w:tcMar>
            <w:vAlign w:val="center"/>
          </w:tcPr>
          <w:p w14:paraId="4B46E44A" w14:textId="792E43AE"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 xml:space="preserve">To request a General Schedule Authority Required listing for the treatment of adult patients with attention deficit hyperactivity disorder under the same population criteria as the currently listed lisdexamfetamine (LDX) for adult population. </w:t>
            </w:r>
          </w:p>
        </w:tc>
        <w:tc>
          <w:tcPr>
            <w:tcW w:w="1984" w:type="dxa"/>
            <w:shd w:val="clear" w:color="auto" w:fill="auto"/>
            <w:vAlign w:val="center"/>
          </w:tcPr>
          <w:p w14:paraId="79B0C1CC" w14:textId="41531AE7"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Recommended</w:t>
            </w:r>
          </w:p>
        </w:tc>
        <w:tc>
          <w:tcPr>
            <w:tcW w:w="4053" w:type="dxa"/>
            <w:shd w:val="clear" w:color="auto" w:fill="auto"/>
            <w:vAlign w:val="center"/>
          </w:tcPr>
          <w:p w14:paraId="0D07A3ED" w14:textId="17246180" w:rsidR="00575F52" w:rsidRPr="000F0297" w:rsidRDefault="00575F52" w:rsidP="00575F52">
            <w:pPr>
              <w:pStyle w:val="ListParagraph"/>
              <w:keepLines/>
              <w:ind w:left="0"/>
              <w:rPr>
                <w:rFonts w:asciiTheme="minorHAnsi" w:hAnsiTheme="minorHAnsi" w:cstheme="minorHAnsi"/>
                <w:color w:val="000000"/>
                <w:sz w:val="18"/>
                <w:szCs w:val="18"/>
              </w:rPr>
            </w:pPr>
            <w:r w:rsidRPr="00D5001E">
              <w:rPr>
                <w:rFonts w:asciiTheme="minorHAnsi" w:hAnsiTheme="minorHAnsi" w:cstheme="minorHAnsi"/>
                <w:color w:val="000000"/>
                <w:sz w:val="18"/>
                <w:szCs w:val="18"/>
              </w:rPr>
              <w:t>The PBAC recommended expanding the listing of methylphenidate (Ritalin</w:t>
            </w:r>
            <w:r w:rsidR="000E18FB">
              <w:rPr>
                <w:rFonts w:asciiTheme="minorHAnsi" w:hAnsiTheme="minorHAnsi" w:cstheme="minorHAnsi"/>
                <w:color w:val="000000"/>
                <w:sz w:val="18"/>
                <w:szCs w:val="18"/>
              </w:rPr>
              <w:t>®</w:t>
            </w:r>
            <w:r w:rsidRPr="00D5001E">
              <w:rPr>
                <w:rFonts w:asciiTheme="minorHAnsi" w:hAnsiTheme="minorHAnsi" w:cstheme="minorHAnsi"/>
                <w:color w:val="000000"/>
                <w:sz w:val="18"/>
                <w:szCs w:val="18"/>
              </w:rPr>
              <w:t xml:space="preserve"> LA) to include treatment of patients with attention deficit hyperactivity disorder who are diagnosed after the age of 18. The PBAC considered that listing of Ritalin</w:t>
            </w:r>
            <w:r w:rsidR="000E18FB">
              <w:rPr>
                <w:rFonts w:asciiTheme="minorHAnsi" w:hAnsiTheme="minorHAnsi" w:cstheme="minorHAnsi"/>
                <w:color w:val="000000"/>
                <w:sz w:val="18"/>
                <w:szCs w:val="18"/>
              </w:rPr>
              <w:t>®</w:t>
            </w:r>
            <w:r w:rsidRPr="00D5001E">
              <w:rPr>
                <w:rFonts w:asciiTheme="minorHAnsi" w:hAnsiTheme="minorHAnsi" w:cstheme="minorHAnsi"/>
                <w:color w:val="000000"/>
                <w:sz w:val="18"/>
                <w:szCs w:val="18"/>
              </w:rPr>
              <w:t xml:space="preserve"> LA in the broader population would be cost-effective at a reduced price that is lower than that of LDX, and </w:t>
            </w:r>
            <w:proofErr w:type="gramStart"/>
            <w:r w:rsidRPr="00D5001E">
              <w:rPr>
                <w:rFonts w:asciiTheme="minorHAnsi" w:hAnsiTheme="minorHAnsi" w:cstheme="minorHAnsi"/>
                <w:color w:val="000000"/>
                <w:sz w:val="18"/>
                <w:szCs w:val="18"/>
              </w:rPr>
              <w:t>in order to</w:t>
            </w:r>
            <w:proofErr w:type="gramEnd"/>
            <w:r w:rsidRPr="00D5001E">
              <w:rPr>
                <w:rFonts w:asciiTheme="minorHAnsi" w:hAnsiTheme="minorHAnsi" w:cstheme="minorHAnsi"/>
                <w:color w:val="000000"/>
                <w:sz w:val="18"/>
                <w:szCs w:val="18"/>
              </w:rPr>
              <w:t xml:space="preserve"> achieve, at least in part, the submission’s estimated cost savings in the context of anticipated market growth.</w:t>
            </w:r>
          </w:p>
        </w:tc>
      </w:tr>
      <w:tr w:rsidR="00575F52" w:rsidRPr="00567D48" w14:paraId="24B09955" w14:textId="77777777" w:rsidTr="007128F7">
        <w:trPr>
          <w:cantSplit/>
          <w:trHeight w:val="2948"/>
        </w:trPr>
        <w:tc>
          <w:tcPr>
            <w:tcW w:w="2973" w:type="dxa"/>
            <w:shd w:val="clear" w:color="auto" w:fill="auto"/>
            <w:tcMar>
              <w:top w:w="28" w:type="dxa"/>
              <w:bottom w:w="28" w:type="dxa"/>
            </w:tcMar>
            <w:vAlign w:val="center"/>
          </w:tcPr>
          <w:p w14:paraId="39B30D17" w14:textId="43C796F0" w:rsidR="00575F52" w:rsidRPr="00D5001E" w:rsidRDefault="00575F52" w:rsidP="00575F52">
            <w:pPr>
              <w:keepLines/>
              <w:rPr>
                <w:rFonts w:asciiTheme="minorHAnsi" w:hAnsiTheme="minorHAnsi" w:cstheme="minorHAnsi"/>
                <w:sz w:val="18"/>
                <w:szCs w:val="18"/>
                <w:highlight w:val="yellow"/>
              </w:rPr>
            </w:pPr>
            <w:r w:rsidRPr="00D5001E">
              <w:rPr>
                <w:rFonts w:asciiTheme="minorHAnsi" w:hAnsiTheme="minorHAnsi" w:cstheme="minorHAnsi"/>
                <w:color w:val="000000"/>
                <w:sz w:val="18"/>
                <w:szCs w:val="18"/>
              </w:rPr>
              <w:lastRenderedPageBreak/>
              <w:t xml:space="preserve">NIRAPARIB </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Capsule 100 mg</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Zejula®</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GlaxoSmithKline Australia Pty Ltd</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Standard re-entry submission</w:t>
            </w:r>
            <w:r w:rsidRPr="00D5001E">
              <w:rPr>
                <w:rFonts w:asciiTheme="minorHAnsi" w:hAnsiTheme="minorHAnsi" w:cstheme="minorHAnsi"/>
                <w:color w:val="000000"/>
                <w:sz w:val="18"/>
                <w:szCs w:val="18"/>
              </w:rPr>
              <w:br/>
              <w:t>(New PBS listing)</w:t>
            </w:r>
          </w:p>
        </w:tc>
        <w:tc>
          <w:tcPr>
            <w:tcW w:w="2491" w:type="dxa"/>
            <w:shd w:val="clear" w:color="auto" w:fill="auto"/>
            <w:vAlign w:val="center"/>
          </w:tcPr>
          <w:p w14:paraId="2509F34A" w14:textId="03E5FC64" w:rsidR="00575F52" w:rsidRPr="00D5001E" w:rsidRDefault="00575F52" w:rsidP="00575F52">
            <w:pPr>
              <w:keepLines/>
              <w:widowControl w:val="0"/>
              <w:rPr>
                <w:rFonts w:asciiTheme="minorHAnsi" w:hAnsiTheme="minorHAnsi" w:cstheme="minorHAnsi"/>
                <w:snapToGrid w:val="0"/>
                <w:sz w:val="18"/>
                <w:szCs w:val="18"/>
                <w:highlight w:val="yellow"/>
                <w:lang w:eastAsia="en-US"/>
              </w:rPr>
            </w:pPr>
            <w:r w:rsidRPr="00D5001E">
              <w:rPr>
                <w:rFonts w:asciiTheme="minorHAnsi" w:hAnsiTheme="minorHAnsi" w:cstheme="minorHAnsi"/>
                <w:color w:val="000000"/>
                <w:sz w:val="18"/>
                <w:szCs w:val="18"/>
              </w:rPr>
              <w:t>High grade epithelial ovarian, fallopian tube, or primary peritoneal cancer</w:t>
            </w:r>
          </w:p>
        </w:tc>
        <w:tc>
          <w:tcPr>
            <w:tcW w:w="3887" w:type="dxa"/>
            <w:shd w:val="clear" w:color="auto" w:fill="auto"/>
            <w:tcMar>
              <w:top w:w="28" w:type="dxa"/>
              <w:bottom w:w="28" w:type="dxa"/>
            </w:tcMar>
            <w:vAlign w:val="center"/>
          </w:tcPr>
          <w:p w14:paraId="09C71FC0" w14:textId="0693B55E" w:rsidR="00575F52" w:rsidRPr="00D5001E" w:rsidRDefault="00575F52" w:rsidP="00575F52">
            <w:pPr>
              <w:pStyle w:val="ListParagraph"/>
              <w:keepLines/>
              <w:ind w:left="0"/>
              <w:rPr>
                <w:rFonts w:asciiTheme="minorHAnsi" w:hAnsiTheme="minorHAnsi" w:cstheme="minorHAnsi"/>
                <w:snapToGrid w:val="0"/>
                <w:sz w:val="18"/>
                <w:szCs w:val="18"/>
                <w:highlight w:val="yellow"/>
                <w:lang w:eastAsia="en-US"/>
              </w:rPr>
            </w:pPr>
            <w:r w:rsidRPr="00D5001E">
              <w:rPr>
                <w:rFonts w:asciiTheme="minorHAnsi" w:hAnsiTheme="minorHAnsi" w:cstheme="minorHAnsi"/>
                <w:color w:val="000000"/>
                <w:sz w:val="18"/>
                <w:szCs w:val="18"/>
              </w:rPr>
              <w:t>Resubmission to request a General Schedule Authority Required (STREAMLINED) listing for the treatment of newly diagnosed, advanced, high grade epithelial ovarian, fallopian tube, or primary peritoneal cancer that is responsive (complete/partial) to platinum-based chemotherapy.</w:t>
            </w:r>
          </w:p>
        </w:tc>
        <w:tc>
          <w:tcPr>
            <w:tcW w:w="1984" w:type="dxa"/>
            <w:shd w:val="clear" w:color="auto" w:fill="auto"/>
            <w:vAlign w:val="center"/>
          </w:tcPr>
          <w:p w14:paraId="3719AF44" w14:textId="6D660FEE" w:rsidR="00575F52" w:rsidRPr="00D5001E" w:rsidRDefault="00575F52" w:rsidP="00575F52">
            <w:pPr>
              <w:pStyle w:val="ListParagraph"/>
              <w:keepLines/>
              <w:ind w:left="0"/>
              <w:rPr>
                <w:rFonts w:asciiTheme="minorHAnsi" w:hAnsiTheme="minorHAnsi" w:cstheme="minorHAnsi"/>
                <w:snapToGrid w:val="0"/>
                <w:sz w:val="18"/>
                <w:szCs w:val="18"/>
                <w:highlight w:val="yellow"/>
                <w:lang w:eastAsia="en-US"/>
              </w:rPr>
            </w:pPr>
            <w:r w:rsidRPr="00D5001E">
              <w:rPr>
                <w:rFonts w:asciiTheme="minorHAnsi" w:hAnsiTheme="minorHAnsi" w:cstheme="minorHAnsi"/>
                <w:color w:val="000000"/>
                <w:sz w:val="18"/>
                <w:szCs w:val="18"/>
              </w:rPr>
              <w:t>Recommended</w:t>
            </w:r>
          </w:p>
        </w:tc>
        <w:tc>
          <w:tcPr>
            <w:tcW w:w="4053" w:type="dxa"/>
            <w:shd w:val="clear" w:color="auto" w:fill="auto"/>
            <w:vAlign w:val="center"/>
          </w:tcPr>
          <w:p w14:paraId="6F65851D" w14:textId="3E30CAB0" w:rsidR="00575F52" w:rsidRPr="00D5001E" w:rsidRDefault="00575F52" w:rsidP="00575F52">
            <w:pPr>
              <w:pStyle w:val="ListParagraph"/>
              <w:keepLines/>
              <w:ind w:left="0"/>
              <w:rPr>
                <w:rFonts w:asciiTheme="minorHAnsi" w:hAnsiTheme="minorHAnsi" w:cstheme="minorHAnsi"/>
                <w:color w:val="000000"/>
                <w:sz w:val="18"/>
                <w:szCs w:val="18"/>
                <w:highlight w:val="yellow"/>
              </w:rPr>
            </w:pPr>
            <w:r w:rsidRPr="00D5001E">
              <w:rPr>
                <w:rFonts w:asciiTheme="minorHAnsi" w:hAnsiTheme="minorHAnsi" w:cstheme="minorHAnsi"/>
                <w:color w:val="000000"/>
                <w:sz w:val="18"/>
                <w:szCs w:val="18"/>
              </w:rPr>
              <w:t xml:space="preserve">The PBAC recommended niraparib for the treatment of high-grade epithelial ovarian, fallopian tube, or primary peritoneal cancer in patients with BRCA1/2 pathogenic gene variants, who are in response (complete response or partial response) to </w:t>
            </w:r>
            <w:r w:rsidR="001E7D4E">
              <w:rPr>
                <w:rFonts w:asciiTheme="minorHAnsi" w:hAnsiTheme="minorHAnsi" w:cstheme="minorHAnsi"/>
                <w:color w:val="000000"/>
                <w:sz w:val="18"/>
                <w:szCs w:val="18"/>
              </w:rPr>
              <w:t>first line (</w:t>
            </w:r>
            <w:r w:rsidRPr="00D5001E">
              <w:rPr>
                <w:rFonts w:asciiTheme="minorHAnsi" w:hAnsiTheme="minorHAnsi" w:cstheme="minorHAnsi"/>
                <w:color w:val="000000"/>
                <w:sz w:val="18"/>
                <w:szCs w:val="18"/>
              </w:rPr>
              <w:t>1L</w:t>
            </w:r>
            <w:r w:rsidR="001E7D4E">
              <w:rPr>
                <w:rFonts w:asciiTheme="minorHAnsi" w:hAnsiTheme="minorHAnsi" w:cstheme="minorHAnsi"/>
                <w:color w:val="000000"/>
                <w:sz w:val="18"/>
                <w:szCs w:val="18"/>
              </w:rPr>
              <w:t>)</w:t>
            </w:r>
            <w:r w:rsidRPr="00D5001E">
              <w:rPr>
                <w:rFonts w:asciiTheme="minorHAnsi" w:hAnsiTheme="minorHAnsi" w:cstheme="minorHAnsi"/>
                <w:color w:val="000000"/>
                <w:sz w:val="18"/>
                <w:szCs w:val="18"/>
              </w:rPr>
              <w:t xml:space="preserve"> platinum-based chemotherapy. The PBAC’s recommendation for listing was based on, among other matters, its assessment that the cost-effectiveness of niraparib would be acceptable if it were cost-minimised to olaparib. The PBAC did not recommend niraparib for patients without evidence of a BRCA1/2 </w:t>
            </w:r>
            <w:r w:rsidRPr="00F66D58">
              <w:rPr>
                <w:rFonts w:asciiTheme="minorHAnsi" w:hAnsiTheme="minorHAnsi" w:cstheme="minorHAnsi"/>
                <w:color w:val="000000"/>
                <w:sz w:val="18"/>
                <w:szCs w:val="18"/>
              </w:rPr>
              <w:t xml:space="preserve">pathogenic gene variant. The PBAC considered that in this population the progression-free survival benefit from treatment with niraparib was relatively small </w:t>
            </w:r>
            <w:r w:rsidRPr="00D5001E">
              <w:rPr>
                <w:rFonts w:asciiTheme="minorHAnsi" w:hAnsiTheme="minorHAnsi" w:cstheme="minorHAnsi"/>
                <w:color w:val="000000"/>
                <w:sz w:val="18"/>
                <w:szCs w:val="18"/>
              </w:rPr>
              <w:t xml:space="preserve">(3.5 months) and may not result in an overall survival benefit. The PBAC considered that for </w:t>
            </w:r>
            <w:proofErr w:type="gramStart"/>
            <w:r w:rsidRPr="00D5001E">
              <w:rPr>
                <w:rFonts w:asciiTheme="minorHAnsi" w:hAnsiTheme="minorHAnsi" w:cstheme="minorHAnsi"/>
                <w:color w:val="000000"/>
                <w:sz w:val="18"/>
                <w:szCs w:val="18"/>
              </w:rPr>
              <w:t>a number of</w:t>
            </w:r>
            <w:proofErr w:type="gramEnd"/>
            <w:r w:rsidRPr="00D5001E">
              <w:rPr>
                <w:rFonts w:asciiTheme="minorHAnsi" w:hAnsiTheme="minorHAnsi" w:cstheme="minorHAnsi"/>
                <w:color w:val="000000"/>
                <w:sz w:val="18"/>
                <w:szCs w:val="18"/>
              </w:rPr>
              <w:t xml:space="preserve"> patients in this population there may be no clinical benefit from treatment with niraparib, and added toxicity. The PBAC considered that the cost-effectiveness of niraparib was uncertain because the economic model relied on gains in overall survival that were not supported by the immature trial data.</w:t>
            </w:r>
          </w:p>
        </w:tc>
      </w:tr>
      <w:tr w:rsidR="00575F52" w:rsidRPr="00567D48" w14:paraId="1A2255D6" w14:textId="77777777" w:rsidTr="007128F7">
        <w:trPr>
          <w:cantSplit/>
          <w:trHeight w:val="2948"/>
        </w:trPr>
        <w:tc>
          <w:tcPr>
            <w:tcW w:w="2973" w:type="dxa"/>
            <w:shd w:val="clear" w:color="auto" w:fill="auto"/>
            <w:tcMar>
              <w:top w:w="28" w:type="dxa"/>
              <w:bottom w:w="28" w:type="dxa"/>
            </w:tcMar>
            <w:vAlign w:val="center"/>
          </w:tcPr>
          <w:p w14:paraId="4B6DE0E1" w14:textId="22258D06" w:rsidR="00575F52" w:rsidRPr="00D5001E" w:rsidRDefault="00575F52" w:rsidP="00575F52">
            <w:pPr>
              <w:keepLines/>
              <w:rPr>
                <w:rFonts w:asciiTheme="minorHAnsi" w:hAnsiTheme="minorHAnsi" w:cstheme="minorHAnsi"/>
                <w:sz w:val="18"/>
                <w:szCs w:val="18"/>
                <w:highlight w:val="yellow"/>
              </w:rPr>
            </w:pPr>
            <w:r w:rsidRPr="00D5001E">
              <w:rPr>
                <w:rFonts w:asciiTheme="minorHAnsi" w:hAnsiTheme="minorHAnsi" w:cstheme="minorHAnsi"/>
                <w:color w:val="000000"/>
                <w:sz w:val="18"/>
                <w:szCs w:val="18"/>
              </w:rPr>
              <w:t xml:space="preserve">NIVOLUMAB </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Injection concentrate for I.V. infusion 40 mg in 4 mL</w:t>
            </w:r>
            <w:r w:rsidRPr="00D5001E">
              <w:rPr>
                <w:rFonts w:asciiTheme="minorHAnsi" w:hAnsiTheme="minorHAnsi" w:cstheme="minorHAnsi"/>
                <w:color w:val="000000"/>
                <w:sz w:val="18"/>
                <w:szCs w:val="18"/>
              </w:rPr>
              <w:br/>
              <w:t>Injection concentrate for I.V. infusion 100 mg in 10 mL</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Opdivo®</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Bristol-Myers Squibb Australia Pty Ltd</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Category 3 submission</w:t>
            </w:r>
            <w:r w:rsidRPr="00D5001E">
              <w:rPr>
                <w:rFonts w:asciiTheme="minorHAnsi" w:hAnsiTheme="minorHAnsi" w:cstheme="minorHAnsi"/>
                <w:color w:val="000000"/>
                <w:sz w:val="18"/>
                <w:szCs w:val="18"/>
              </w:rPr>
              <w:br/>
              <w:t>(Change to PBS listing)</w:t>
            </w:r>
          </w:p>
        </w:tc>
        <w:tc>
          <w:tcPr>
            <w:tcW w:w="2491" w:type="dxa"/>
            <w:shd w:val="clear" w:color="auto" w:fill="auto"/>
            <w:vAlign w:val="center"/>
          </w:tcPr>
          <w:p w14:paraId="5158F71F" w14:textId="5E5D8161" w:rsidR="00575F52" w:rsidRPr="00D5001E" w:rsidRDefault="00575F52" w:rsidP="00575F52">
            <w:pPr>
              <w:keepLines/>
              <w:widowControl w:val="0"/>
              <w:rPr>
                <w:rFonts w:asciiTheme="minorHAnsi" w:hAnsiTheme="minorHAnsi" w:cstheme="minorHAnsi"/>
                <w:snapToGrid w:val="0"/>
                <w:sz w:val="18"/>
                <w:szCs w:val="18"/>
                <w:highlight w:val="yellow"/>
                <w:lang w:eastAsia="en-US"/>
              </w:rPr>
            </w:pPr>
            <w:r w:rsidRPr="00D5001E">
              <w:rPr>
                <w:rFonts w:asciiTheme="minorHAnsi" w:hAnsiTheme="minorHAnsi" w:cstheme="minorHAnsi"/>
                <w:color w:val="000000"/>
                <w:sz w:val="18"/>
                <w:szCs w:val="18"/>
              </w:rPr>
              <w:t>Second-line squamous cell oesophageal carcinoma</w:t>
            </w:r>
          </w:p>
        </w:tc>
        <w:tc>
          <w:tcPr>
            <w:tcW w:w="3887" w:type="dxa"/>
            <w:shd w:val="clear" w:color="auto" w:fill="auto"/>
            <w:tcMar>
              <w:top w:w="28" w:type="dxa"/>
              <w:bottom w:w="28" w:type="dxa"/>
            </w:tcMar>
            <w:vAlign w:val="center"/>
          </w:tcPr>
          <w:p w14:paraId="5D0D42DE" w14:textId="6B273131" w:rsidR="00575F52" w:rsidRPr="00D5001E" w:rsidRDefault="00575F52" w:rsidP="003C7429">
            <w:pPr>
              <w:pStyle w:val="ListParagraph"/>
              <w:keepLines/>
              <w:ind w:left="0"/>
              <w:rPr>
                <w:rFonts w:asciiTheme="minorHAnsi" w:hAnsiTheme="minorHAnsi" w:cstheme="minorHAnsi"/>
                <w:snapToGrid w:val="0"/>
                <w:sz w:val="18"/>
                <w:szCs w:val="18"/>
                <w:highlight w:val="yellow"/>
                <w:lang w:eastAsia="en-US"/>
              </w:rPr>
            </w:pPr>
            <w:r w:rsidRPr="00D5001E">
              <w:rPr>
                <w:rFonts w:asciiTheme="minorHAnsi" w:hAnsiTheme="minorHAnsi" w:cstheme="minorHAnsi"/>
                <w:color w:val="000000"/>
                <w:sz w:val="18"/>
                <w:szCs w:val="18"/>
              </w:rPr>
              <w:t>To request the PBAC to reconsider its July 2021 recommendation for a Section 100 (Efficient Funding of Chemotherapy Program), Authority Required (STREAMLINED) listing for second-line</w:t>
            </w:r>
            <w:r w:rsidR="003C7429">
              <w:rPr>
                <w:rFonts w:asciiTheme="minorHAnsi" w:hAnsiTheme="minorHAnsi" w:cstheme="minorHAnsi"/>
                <w:color w:val="000000"/>
                <w:sz w:val="18"/>
                <w:szCs w:val="18"/>
              </w:rPr>
              <w:t xml:space="preserve"> treatment of patients with</w:t>
            </w:r>
            <w:r w:rsidRPr="00D5001E">
              <w:rPr>
                <w:rFonts w:asciiTheme="minorHAnsi" w:hAnsiTheme="minorHAnsi" w:cstheme="minorHAnsi"/>
                <w:color w:val="000000"/>
                <w:sz w:val="18"/>
                <w:szCs w:val="18"/>
              </w:rPr>
              <w:t xml:space="preserve"> squamous cell oesophageal </w:t>
            </w:r>
            <w:r w:rsidRPr="00F66D58">
              <w:rPr>
                <w:rFonts w:asciiTheme="minorHAnsi" w:hAnsiTheme="minorHAnsi" w:cstheme="minorHAnsi"/>
                <w:color w:val="000000"/>
                <w:sz w:val="18"/>
                <w:szCs w:val="18"/>
              </w:rPr>
              <w:t xml:space="preserve">carcinoma </w:t>
            </w:r>
            <w:r w:rsidR="003C7429">
              <w:rPr>
                <w:rFonts w:asciiTheme="minorHAnsi" w:hAnsiTheme="minorHAnsi" w:cstheme="minorHAnsi"/>
                <w:color w:val="000000"/>
                <w:sz w:val="18"/>
                <w:szCs w:val="18"/>
              </w:rPr>
              <w:t>who</w:t>
            </w:r>
            <w:r w:rsidR="003C7429" w:rsidRPr="00F66D58">
              <w:rPr>
                <w:rFonts w:asciiTheme="minorHAnsi" w:hAnsiTheme="minorHAnsi" w:cstheme="minorHAnsi"/>
                <w:color w:val="000000"/>
                <w:sz w:val="18"/>
                <w:szCs w:val="18"/>
              </w:rPr>
              <w:t xml:space="preserve"> </w:t>
            </w:r>
            <w:r w:rsidRPr="00F66D58">
              <w:rPr>
                <w:rFonts w:asciiTheme="minorHAnsi" w:hAnsiTheme="minorHAnsi" w:cstheme="minorHAnsi"/>
                <w:color w:val="000000"/>
                <w:sz w:val="18"/>
                <w:szCs w:val="18"/>
              </w:rPr>
              <w:t xml:space="preserve">have </w:t>
            </w:r>
            <w:r w:rsidRPr="00D5001E">
              <w:rPr>
                <w:rFonts w:asciiTheme="minorHAnsi" w:hAnsiTheme="minorHAnsi" w:cstheme="minorHAnsi"/>
                <w:color w:val="000000"/>
                <w:sz w:val="18"/>
                <w:szCs w:val="18"/>
              </w:rPr>
              <w:t>failed treatment with a fluoropyrimidine and platinum containing treatment regimen.</w:t>
            </w:r>
          </w:p>
        </w:tc>
        <w:tc>
          <w:tcPr>
            <w:tcW w:w="1984" w:type="dxa"/>
            <w:shd w:val="clear" w:color="auto" w:fill="auto"/>
            <w:vAlign w:val="center"/>
          </w:tcPr>
          <w:p w14:paraId="60CB19FC" w14:textId="7E99F60A" w:rsidR="00575F52" w:rsidRPr="00D5001E" w:rsidRDefault="00575F52" w:rsidP="00575F52">
            <w:pPr>
              <w:pStyle w:val="ListParagraph"/>
              <w:keepLines/>
              <w:ind w:left="0"/>
              <w:rPr>
                <w:rFonts w:asciiTheme="minorHAnsi" w:hAnsiTheme="minorHAnsi" w:cstheme="minorHAnsi"/>
                <w:snapToGrid w:val="0"/>
                <w:sz w:val="18"/>
                <w:szCs w:val="18"/>
                <w:highlight w:val="yellow"/>
                <w:lang w:eastAsia="en-US"/>
              </w:rPr>
            </w:pPr>
            <w:r w:rsidRPr="00D5001E">
              <w:rPr>
                <w:rFonts w:asciiTheme="minorHAnsi" w:hAnsiTheme="minorHAnsi" w:cstheme="minorHAnsi"/>
                <w:color w:val="000000"/>
                <w:sz w:val="18"/>
                <w:szCs w:val="18"/>
              </w:rPr>
              <w:t>Recommended</w:t>
            </w:r>
          </w:p>
        </w:tc>
        <w:tc>
          <w:tcPr>
            <w:tcW w:w="4053" w:type="dxa"/>
            <w:shd w:val="clear" w:color="auto" w:fill="auto"/>
            <w:vAlign w:val="center"/>
          </w:tcPr>
          <w:p w14:paraId="6AB0C27E" w14:textId="3FB0CC54" w:rsidR="00575F52" w:rsidRPr="00D5001E" w:rsidRDefault="00575F52" w:rsidP="00575F52">
            <w:pPr>
              <w:pStyle w:val="ListParagraph"/>
              <w:keepLines/>
              <w:ind w:left="0"/>
              <w:rPr>
                <w:rFonts w:asciiTheme="minorHAnsi" w:hAnsiTheme="minorHAnsi" w:cstheme="minorHAnsi"/>
                <w:color w:val="000000"/>
                <w:sz w:val="18"/>
                <w:szCs w:val="18"/>
                <w:highlight w:val="yellow"/>
              </w:rPr>
            </w:pPr>
            <w:r w:rsidRPr="00D5001E">
              <w:rPr>
                <w:rFonts w:asciiTheme="minorHAnsi" w:hAnsiTheme="minorHAnsi" w:cstheme="minorHAnsi"/>
                <w:color w:val="000000"/>
                <w:sz w:val="18"/>
                <w:szCs w:val="18"/>
              </w:rPr>
              <w:t xml:space="preserve">The PBAC </w:t>
            </w:r>
            <w:r w:rsidRPr="00F66D58">
              <w:rPr>
                <w:rFonts w:asciiTheme="minorHAnsi" w:hAnsiTheme="minorHAnsi" w:cstheme="minorHAnsi"/>
                <w:color w:val="000000"/>
                <w:sz w:val="18"/>
                <w:szCs w:val="18"/>
              </w:rPr>
              <w:t xml:space="preserve">recommended nivolumab for the second-line treatment of </w:t>
            </w:r>
            <w:r w:rsidR="003C7429">
              <w:rPr>
                <w:rFonts w:asciiTheme="minorHAnsi" w:hAnsiTheme="minorHAnsi" w:cstheme="minorHAnsi"/>
                <w:color w:val="000000"/>
                <w:sz w:val="18"/>
                <w:szCs w:val="18"/>
              </w:rPr>
              <w:t xml:space="preserve">patients with </w:t>
            </w:r>
            <w:r w:rsidRPr="00F66D58">
              <w:rPr>
                <w:rFonts w:asciiTheme="minorHAnsi" w:hAnsiTheme="minorHAnsi" w:cstheme="minorHAnsi"/>
                <w:color w:val="000000"/>
                <w:sz w:val="18"/>
                <w:szCs w:val="18"/>
              </w:rPr>
              <w:t xml:space="preserve">advanced or metastatic oesophageal squamous cell carcinoma who have failed one fluoropyrimidine and platinum-based chemotherapy treatment regimen and considered it would be cost-effective at the same price per 100 mg vial recommended for the first line treatment of gastro-oesophageal </w:t>
            </w:r>
            <w:r w:rsidRPr="00D5001E">
              <w:rPr>
                <w:rFonts w:asciiTheme="minorHAnsi" w:hAnsiTheme="minorHAnsi" w:cstheme="minorHAnsi"/>
                <w:color w:val="000000"/>
                <w:sz w:val="18"/>
                <w:szCs w:val="18"/>
              </w:rPr>
              <w:t>cancers. The PBAC considered it would be appropriate to implement a single listing for gastro-oesophageal cancers including the first and second- line populations.</w:t>
            </w:r>
          </w:p>
        </w:tc>
      </w:tr>
      <w:tr w:rsidR="00575F52" w:rsidRPr="00567D48" w14:paraId="168B0B1A" w14:textId="77777777" w:rsidTr="007128F7">
        <w:trPr>
          <w:cantSplit/>
          <w:trHeight w:val="2948"/>
        </w:trPr>
        <w:tc>
          <w:tcPr>
            <w:tcW w:w="2973" w:type="dxa"/>
            <w:shd w:val="clear" w:color="auto" w:fill="auto"/>
            <w:tcMar>
              <w:top w:w="28" w:type="dxa"/>
              <w:bottom w:w="28" w:type="dxa"/>
            </w:tcMar>
            <w:vAlign w:val="center"/>
          </w:tcPr>
          <w:p w14:paraId="62415280" w14:textId="137B26CA" w:rsidR="00575F52" w:rsidRPr="00D5001E" w:rsidRDefault="00575F52" w:rsidP="00575F52">
            <w:pPr>
              <w:keepLines/>
              <w:rPr>
                <w:rFonts w:asciiTheme="minorHAnsi" w:hAnsiTheme="minorHAnsi" w:cstheme="minorHAnsi"/>
                <w:sz w:val="18"/>
                <w:szCs w:val="18"/>
                <w:highlight w:val="yellow"/>
              </w:rPr>
            </w:pPr>
            <w:r w:rsidRPr="00D5001E">
              <w:rPr>
                <w:rFonts w:asciiTheme="minorHAnsi" w:hAnsiTheme="minorHAnsi" w:cstheme="minorHAnsi"/>
                <w:color w:val="000000"/>
                <w:sz w:val="18"/>
                <w:szCs w:val="18"/>
              </w:rPr>
              <w:lastRenderedPageBreak/>
              <w:t>NIVOLUMAB</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Injection concentrate for I.V. infusion 40 mg in 4 mL</w:t>
            </w:r>
            <w:r w:rsidRPr="00D5001E">
              <w:rPr>
                <w:rFonts w:asciiTheme="minorHAnsi" w:hAnsiTheme="minorHAnsi" w:cstheme="minorHAnsi"/>
                <w:color w:val="000000"/>
                <w:sz w:val="18"/>
                <w:szCs w:val="18"/>
              </w:rPr>
              <w:br/>
              <w:t>Injection concentrate for I.V. infusion 100 mg in 10 mL</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Opdivo®</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Bristol-Myers Squibb Australia Pty Ltd</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Early resolution submission</w:t>
            </w:r>
            <w:r w:rsidRPr="00D5001E">
              <w:rPr>
                <w:rFonts w:asciiTheme="minorHAnsi" w:hAnsiTheme="minorHAnsi" w:cstheme="minorHAnsi"/>
                <w:color w:val="000000"/>
                <w:sz w:val="18"/>
                <w:szCs w:val="18"/>
              </w:rPr>
              <w:br/>
              <w:t>(Change to PBS listing)</w:t>
            </w:r>
          </w:p>
        </w:tc>
        <w:tc>
          <w:tcPr>
            <w:tcW w:w="2491" w:type="dxa"/>
            <w:shd w:val="clear" w:color="auto" w:fill="auto"/>
            <w:vAlign w:val="center"/>
          </w:tcPr>
          <w:p w14:paraId="7F06F69A" w14:textId="1D6D2B2D" w:rsidR="00575F52" w:rsidRPr="000F0297" w:rsidRDefault="00575F52" w:rsidP="00575F52">
            <w:pPr>
              <w:keepLines/>
              <w:widowControl w:val="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Non-HER-2-positive gastric cancer, gastroesophageal junction cancer or oesophageal adenocarcinoma</w:t>
            </w:r>
          </w:p>
        </w:tc>
        <w:tc>
          <w:tcPr>
            <w:tcW w:w="3887" w:type="dxa"/>
            <w:shd w:val="clear" w:color="auto" w:fill="auto"/>
            <w:tcMar>
              <w:top w:w="28" w:type="dxa"/>
              <w:bottom w:w="28" w:type="dxa"/>
            </w:tcMar>
            <w:vAlign w:val="center"/>
          </w:tcPr>
          <w:p w14:paraId="492F66AF" w14:textId="0824558E"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Resubmission to request a Section 100 (Efficient Funding of Chemotherapy Program) Authority Required (STREAMLINED) listing for the first-line treatment of patients with advanced or metastatic non-HER-2-positive gastric cancer, gastroesophageal junction cancer or oesophageal adenocarcinoma.</w:t>
            </w:r>
          </w:p>
        </w:tc>
        <w:tc>
          <w:tcPr>
            <w:tcW w:w="1984" w:type="dxa"/>
            <w:shd w:val="clear" w:color="auto" w:fill="auto"/>
            <w:vAlign w:val="center"/>
          </w:tcPr>
          <w:p w14:paraId="3A83216A" w14:textId="20E7AD3E"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Recommended</w:t>
            </w:r>
          </w:p>
        </w:tc>
        <w:tc>
          <w:tcPr>
            <w:tcW w:w="4053" w:type="dxa"/>
            <w:shd w:val="clear" w:color="auto" w:fill="auto"/>
            <w:vAlign w:val="center"/>
          </w:tcPr>
          <w:p w14:paraId="53A5B12E" w14:textId="4BCC12D0" w:rsidR="00575F52" w:rsidRPr="000F0297" w:rsidRDefault="00575F52" w:rsidP="00575F52">
            <w:pPr>
              <w:pStyle w:val="ListParagraph"/>
              <w:keepLines/>
              <w:ind w:left="0"/>
              <w:rPr>
                <w:rFonts w:asciiTheme="minorHAnsi" w:hAnsiTheme="minorHAnsi" w:cstheme="minorHAnsi"/>
                <w:color w:val="000000"/>
                <w:sz w:val="18"/>
                <w:szCs w:val="18"/>
              </w:rPr>
            </w:pPr>
            <w:r w:rsidRPr="00D5001E">
              <w:rPr>
                <w:rFonts w:asciiTheme="minorHAnsi" w:hAnsiTheme="minorHAnsi" w:cstheme="minorHAnsi"/>
                <w:color w:val="000000"/>
                <w:sz w:val="18"/>
                <w:szCs w:val="18"/>
              </w:rPr>
              <w:t xml:space="preserve">The PBAC recommended the listing of nivolumab in combination with chemotherapy for the first line treatment of advanced or metastatic gastro-oesophageal cancers as defined by the specific tumour types included in the approved TGA </w:t>
            </w:r>
            <w:r w:rsidR="002C65DE">
              <w:rPr>
                <w:rFonts w:asciiTheme="minorHAnsi" w:hAnsiTheme="minorHAnsi" w:cstheme="minorHAnsi"/>
                <w:color w:val="000000"/>
                <w:sz w:val="18"/>
                <w:szCs w:val="18"/>
              </w:rPr>
              <w:t xml:space="preserve">registered </w:t>
            </w:r>
            <w:r w:rsidRPr="00D5001E">
              <w:rPr>
                <w:rFonts w:asciiTheme="minorHAnsi" w:hAnsiTheme="minorHAnsi" w:cstheme="minorHAnsi"/>
                <w:color w:val="000000"/>
                <w:sz w:val="18"/>
                <w:szCs w:val="18"/>
              </w:rPr>
              <w:t>indications. The PBAC considered the early resolution resubmission had appropriately addressed the outstanding issues as outlined in the November 2021 PBAC minutes.</w:t>
            </w:r>
          </w:p>
        </w:tc>
      </w:tr>
      <w:tr w:rsidR="00575F52" w:rsidRPr="00567D48" w14:paraId="4A1010B3" w14:textId="77777777" w:rsidTr="007128F7">
        <w:trPr>
          <w:cantSplit/>
          <w:trHeight w:val="2948"/>
        </w:trPr>
        <w:tc>
          <w:tcPr>
            <w:tcW w:w="2973" w:type="dxa"/>
            <w:shd w:val="clear" w:color="auto" w:fill="auto"/>
            <w:tcMar>
              <w:top w:w="28" w:type="dxa"/>
              <w:bottom w:w="28" w:type="dxa"/>
            </w:tcMar>
            <w:vAlign w:val="center"/>
          </w:tcPr>
          <w:p w14:paraId="4423D20D" w14:textId="05F10FF7" w:rsidR="00575F52" w:rsidRPr="00D5001E" w:rsidRDefault="00575F52" w:rsidP="00575F52">
            <w:pPr>
              <w:keepLines/>
              <w:rPr>
                <w:rFonts w:asciiTheme="minorHAnsi" w:hAnsiTheme="minorHAnsi" w:cstheme="minorHAnsi"/>
                <w:sz w:val="18"/>
                <w:szCs w:val="18"/>
                <w:highlight w:val="yellow"/>
              </w:rPr>
            </w:pPr>
            <w:r w:rsidRPr="00D5001E">
              <w:rPr>
                <w:rFonts w:asciiTheme="minorHAnsi" w:hAnsiTheme="minorHAnsi" w:cstheme="minorHAnsi"/>
                <w:color w:val="000000"/>
                <w:sz w:val="18"/>
                <w:szCs w:val="18"/>
              </w:rPr>
              <w:lastRenderedPageBreak/>
              <w:t xml:space="preserve">NUSINERSEN </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Solution for injection 12 mg in 5 mL</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Spinraza®</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Biogen Australia Pty Ltd</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Standard re-entry submission</w:t>
            </w:r>
            <w:r w:rsidRPr="00D5001E">
              <w:rPr>
                <w:rFonts w:asciiTheme="minorHAnsi" w:hAnsiTheme="minorHAnsi" w:cstheme="minorHAnsi"/>
                <w:color w:val="000000"/>
                <w:sz w:val="18"/>
                <w:szCs w:val="18"/>
              </w:rPr>
              <w:br/>
              <w:t>(Change to PBS listing)</w:t>
            </w:r>
          </w:p>
        </w:tc>
        <w:tc>
          <w:tcPr>
            <w:tcW w:w="2491" w:type="dxa"/>
            <w:shd w:val="clear" w:color="auto" w:fill="auto"/>
            <w:vAlign w:val="center"/>
          </w:tcPr>
          <w:p w14:paraId="2D3E26E6" w14:textId="35CF7225" w:rsidR="00575F52" w:rsidRPr="00D5001E" w:rsidRDefault="00575F52" w:rsidP="00575F52">
            <w:pPr>
              <w:keepLines/>
              <w:widowControl w:val="0"/>
              <w:rPr>
                <w:rFonts w:asciiTheme="minorHAnsi" w:hAnsiTheme="minorHAnsi" w:cstheme="minorHAnsi"/>
                <w:snapToGrid w:val="0"/>
                <w:sz w:val="18"/>
                <w:szCs w:val="18"/>
                <w:highlight w:val="yellow"/>
                <w:lang w:eastAsia="en-US"/>
              </w:rPr>
            </w:pPr>
            <w:r w:rsidRPr="00D5001E">
              <w:rPr>
                <w:rFonts w:asciiTheme="minorHAnsi" w:hAnsiTheme="minorHAnsi" w:cstheme="minorHAnsi"/>
                <w:color w:val="000000"/>
                <w:sz w:val="18"/>
                <w:szCs w:val="18"/>
              </w:rPr>
              <w:t>Spinal muscular atrophy</w:t>
            </w:r>
          </w:p>
        </w:tc>
        <w:tc>
          <w:tcPr>
            <w:tcW w:w="3887" w:type="dxa"/>
            <w:shd w:val="clear" w:color="auto" w:fill="auto"/>
            <w:tcMar>
              <w:top w:w="28" w:type="dxa"/>
              <w:bottom w:w="28" w:type="dxa"/>
            </w:tcMar>
            <w:vAlign w:val="center"/>
          </w:tcPr>
          <w:p w14:paraId="446707CB" w14:textId="4F4DFF1D"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Resubmission to request a Section 100 (Highly Specialised Drugs Program) Authority Required (Written) listing for the treatment of adults diagnosed with 5q spinal muscular atrophy (SMA) with symptom onset prior to 19 years of age (</w:t>
            </w:r>
            <w:r w:rsidR="00582FFE" w:rsidRPr="00582FFE">
              <w:rPr>
                <w:rFonts w:asciiTheme="minorHAnsi" w:hAnsiTheme="minorHAnsi" w:cstheme="minorHAnsi"/>
                <w:color w:val="000000"/>
                <w:sz w:val="18"/>
                <w:szCs w:val="18"/>
              </w:rPr>
              <w:t>≤</w:t>
            </w:r>
            <w:r w:rsidRPr="00D5001E">
              <w:rPr>
                <w:rFonts w:asciiTheme="minorHAnsi" w:hAnsiTheme="minorHAnsi" w:cstheme="minorHAnsi"/>
                <w:color w:val="000000"/>
                <w:sz w:val="18"/>
                <w:szCs w:val="18"/>
              </w:rPr>
              <w:t>18 years of age).</w:t>
            </w:r>
          </w:p>
        </w:tc>
        <w:tc>
          <w:tcPr>
            <w:tcW w:w="1984" w:type="dxa"/>
            <w:shd w:val="clear" w:color="auto" w:fill="auto"/>
            <w:vAlign w:val="center"/>
          </w:tcPr>
          <w:p w14:paraId="3FA2C01A" w14:textId="20F14D47"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Recommended</w:t>
            </w:r>
          </w:p>
        </w:tc>
        <w:tc>
          <w:tcPr>
            <w:tcW w:w="4053" w:type="dxa"/>
            <w:shd w:val="clear" w:color="auto" w:fill="auto"/>
            <w:vAlign w:val="center"/>
          </w:tcPr>
          <w:p w14:paraId="61B0789D" w14:textId="14D83274" w:rsidR="00575F52" w:rsidRPr="000F0297" w:rsidRDefault="00575F52" w:rsidP="00575F52">
            <w:pPr>
              <w:pStyle w:val="ListParagraph"/>
              <w:keepLines/>
              <w:ind w:left="0"/>
              <w:rPr>
                <w:rFonts w:asciiTheme="minorHAnsi" w:hAnsiTheme="minorHAnsi" w:cstheme="minorHAnsi"/>
                <w:color w:val="000000"/>
                <w:sz w:val="18"/>
                <w:szCs w:val="18"/>
              </w:rPr>
            </w:pPr>
            <w:r w:rsidRPr="00D5001E">
              <w:rPr>
                <w:rFonts w:asciiTheme="minorHAnsi" w:hAnsiTheme="minorHAnsi" w:cstheme="minorHAnsi"/>
                <w:color w:val="000000"/>
                <w:sz w:val="18"/>
                <w:szCs w:val="18"/>
              </w:rPr>
              <w:t xml:space="preserve">The PBAC recommended the listing of nusinersen for the treatment of adult patients (older than 18 years of age) </w:t>
            </w:r>
            <w:r w:rsidRPr="00F66D58">
              <w:rPr>
                <w:rFonts w:asciiTheme="minorHAnsi" w:hAnsiTheme="minorHAnsi" w:cstheme="minorHAnsi"/>
                <w:color w:val="000000"/>
                <w:sz w:val="18"/>
                <w:szCs w:val="18"/>
              </w:rPr>
              <w:t xml:space="preserve">diagnosed with SMA </w:t>
            </w:r>
            <w:r w:rsidRPr="00D5001E">
              <w:rPr>
                <w:rFonts w:asciiTheme="minorHAnsi" w:hAnsiTheme="minorHAnsi" w:cstheme="minorHAnsi"/>
                <w:color w:val="000000"/>
                <w:sz w:val="18"/>
                <w:szCs w:val="18"/>
              </w:rPr>
              <w:t>with symptom onset before 19 years of age (primarily SMA Types II and III), on the basis that it should be available only under special arrangements under Section 100</w:t>
            </w:r>
            <w:r w:rsidR="00A21374">
              <w:rPr>
                <w:rFonts w:asciiTheme="minorHAnsi" w:hAnsiTheme="minorHAnsi" w:cstheme="minorHAnsi"/>
                <w:color w:val="000000"/>
                <w:sz w:val="18"/>
                <w:szCs w:val="18"/>
              </w:rPr>
              <w:t xml:space="preserve"> (Highly Specialised Drugs Program)</w:t>
            </w:r>
            <w:r w:rsidRPr="00D5001E">
              <w:rPr>
                <w:rFonts w:asciiTheme="minorHAnsi" w:hAnsiTheme="minorHAnsi" w:cstheme="minorHAnsi"/>
                <w:color w:val="000000"/>
                <w:sz w:val="18"/>
                <w:szCs w:val="18"/>
              </w:rPr>
              <w:t xml:space="preserve">. The PBAC is satisfied that nusinersen provides, for some patients, a significant improvement in efficacy over standard care. The PBAC recognised the clinical need for effective treatments for adults with SMA. The PBAC noted the comprehensive input received from adults living with SMA, including individual submissions, and through the SMA Australia member survey. This information was detailed and important for the PBAC’s deliberations. The PBAC also noted the important input received from clinical specialists, including the comprehensive work done on development of Australian guidelines for managing treatment of SMA in adult patients. The PBAC noted that the changes to the restrictions proposed in the resubmission were based on consultation with patients and clinicians and considered this helped to ensure the adult population most likely to benefit from treatment was sufficiently defined. The PBAC also noted that the sponsor proposed a substantial price reduction in the pre-PBAC response to better reflect the benefit of treatment in adult SMA patients. The sponsor also proposed a risk sharing arrangement which accounts for the number of patients treated and the number of patients who respond to treatment. The PBAC considered that a review of uptake and continuation rates in adult SMA patients should take place within three years after listing. </w:t>
            </w:r>
          </w:p>
        </w:tc>
      </w:tr>
      <w:tr w:rsidR="00575F52" w:rsidRPr="00567D48" w14:paraId="05C3AEC6" w14:textId="77777777" w:rsidTr="007128F7">
        <w:trPr>
          <w:cantSplit/>
          <w:trHeight w:val="2948"/>
        </w:trPr>
        <w:tc>
          <w:tcPr>
            <w:tcW w:w="2973" w:type="dxa"/>
            <w:shd w:val="clear" w:color="auto" w:fill="auto"/>
            <w:tcMar>
              <w:top w:w="28" w:type="dxa"/>
              <w:bottom w:w="28" w:type="dxa"/>
            </w:tcMar>
            <w:vAlign w:val="center"/>
          </w:tcPr>
          <w:p w14:paraId="11C1E71D" w14:textId="6B80C399" w:rsidR="00575F52" w:rsidRPr="00D5001E" w:rsidRDefault="00575F52" w:rsidP="00575F52">
            <w:pPr>
              <w:keepLines/>
              <w:rPr>
                <w:rFonts w:asciiTheme="minorHAnsi" w:hAnsiTheme="minorHAnsi" w:cstheme="minorHAnsi"/>
                <w:sz w:val="18"/>
                <w:szCs w:val="18"/>
                <w:highlight w:val="yellow"/>
              </w:rPr>
            </w:pPr>
            <w:r w:rsidRPr="00D5001E">
              <w:rPr>
                <w:rFonts w:asciiTheme="minorHAnsi" w:hAnsiTheme="minorHAnsi" w:cstheme="minorHAnsi"/>
                <w:color w:val="000000"/>
                <w:sz w:val="18"/>
                <w:szCs w:val="18"/>
              </w:rPr>
              <w:lastRenderedPageBreak/>
              <w:t xml:space="preserve">OZANIMOD </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Capsule 920 micrograms</w:t>
            </w:r>
            <w:r w:rsidRPr="00D5001E">
              <w:rPr>
                <w:rFonts w:asciiTheme="minorHAnsi" w:hAnsiTheme="minorHAnsi" w:cstheme="minorHAnsi"/>
                <w:color w:val="000000"/>
                <w:sz w:val="18"/>
                <w:szCs w:val="18"/>
              </w:rPr>
              <w:br/>
              <w:t xml:space="preserve">Pack containing 4 </w:t>
            </w:r>
            <w:r w:rsidRPr="00F66D58">
              <w:rPr>
                <w:rFonts w:asciiTheme="minorHAnsi" w:hAnsiTheme="minorHAnsi" w:cstheme="minorHAnsi"/>
                <w:color w:val="000000"/>
                <w:sz w:val="18"/>
                <w:szCs w:val="18"/>
              </w:rPr>
              <w:t>capsules 230 micrograms and 3 capsules 460 micrograms</w:t>
            </w:r>
            <w:r w:rsidRPr="00F66D58">
              <w:rPr>
                <w:rFonts w:asciiTheme="minorHAnsi" w:hAnsiTheme="minorHAnsi" w:cstheme="minorHAnsi"/>
                <w:color w:val="000000"/>
                <w:sz w:val="18"/>
                <w:szCs w:val="18"/>
              </w:rPr>
              <w:br/>
            </w:r>
            <w:r w:rsidRPr="00D5001E">
              <w:rPr>
                <w:rFonts w:asciiTheme="minorHAnsi" w:hAnsiTheme="minorHAnsi" w:cstheme="minorHAnsi"/>
                <w:color w:val="000000"/>
                <w:sz w:val="18"/>
                <w:szCs w:val="18"/>
              </w:rPr>
              <w:br/>
            </w:r>
            <w:proofErr w:type="spellStart"/>
            <w:r w:rsidRPr="00D5001E">
              <w:rPr>
                <w:rFonts w:asciiTheme="minorHAnsi" w:hAnsiTheme="minorHAnsi" w:cstheme="minorHAnsi"/>
                <w:color w:val="000000"/>
                <w:sz w:val="18"/>
                <w:szCs w:val="18"/>
              </w:rPr>
              <w:t>Zeposia</w:t>
            </w:r>
            <w:proofErr w:type="spellEnd"/>
            <w:r w:rsidRPr="00D5001E">
              <w:rPr>
                <w:rFonts w:asciiTheme="minorHAnsi" w:hAnsiTheme="minorHAnsi" w:cstheme="minorHAnsi"/>
                <w:color w:val="000000"/>
                <w:sz w:val="18"/>
                <w:szCs w:val="18"/>
              </w:rPr>
              <w:t>®</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Celgene Pty Limited</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Category 2 submission</w:t>
            </w:r>
            <w:r w:rsidRPr="00D5001E">
              <w:rPr>
                <w:rFonts w:asciiTheme="minorHAnsi" w:hAnsiTheme="minorHAnsi" w:cstheme="minorHAnsi"/>
                <w:color w:val="000000"/>
                <w:sz w:val="18"/>
                <w:szCs w:val="18"/>
              </w:rPr>
              <w:br/>
              <w:t>(Change to PBS listing)</w:t>
            </w:r>
          </w:p>
        </w:tc>
        <w:tc>
          <w:tcPr>
            <w:tcW w:w="2491" w:type="dxa"/>
            <w:shd w:val="clear" w:color="auto" w:fill="auto"/>
            <w:vAlign w:val="center"/>
          </w:tcPr>
          <w:p w14:paraId="56CBEF38" w14:textId="7EF46CAF" w:rsidR="00575F52" w:rsidRPr="000F0297" w:rsidRDefault="00575F52" w:rsidP="00575F52">
            <w:pPr>
              <w:keepLines/>
              <w:widowControl w:val="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Ulcerative colitis</w:t>
            </w:r>
          </w:p>
        </w:tc>
        <w:tc>
          <w:tcPr>
            <w:tcW w:w="3887" w:type="dxa"/>
            <w:shd w:val="clear" w:color="auto" w:fill="auto"/>
            <w:tcMar>
              <w:top w:w="28" w:type="dxa"/>
              <w:bottom w:w="28" w:type="dxa"/>
            </w:tcMar>
            <w:vAlign w:val="center"/>
          </w:tcPr>
          <w:p w14:paraId="68A50D36" w14:textId="2E04C6C7"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To request a General Schedule Authority Required (Written) listing for the treatment of moderate to severe ulcerative colitis (MSUC).</w:t>
            </w:r>
          </w:p>
        </w:tc>
        <w:tc>
          <w:tcPr>
            <w:tcW w:w="1984" w:type="dxa"/>
            <w:shd w:val="clear" w:color="auto" w:fill="auto"/>
            <w:vAlign w:val="center"/>
          </w:tcPr>
          <w:p w14:paraId="1EF8B09A" w14:textId="01BE76DF"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Recommended</w:t>
            </w:r>
          </w:p>
        </w:tc>
        <w:tc>
          <w:tcPr>
            <w:tcW w:w="4053" w:type="dxa"/>
            <w:shd w:val="clear" w:color="auto" w:fill="auto"/>
            <w:vAlign w:val="center"/>
          </w:tcPr>
          <w:p w14:paraId="459BD192" w14:textId="7AE32C81" w:rsidR="00575F52" w:rsidRPr="000F0297" w:rsidRDefault="00575F52" w:rsidP="00F66D58">
            <w:pPr>
              <w:pStyle w:val="ListParagraph"/>
              <w:keepLines/>
              <w:ind w:left="0"/>
              <w:rPr>
                <w:rFonts w:asciiTheme="minorHAnsi" w:hAnsiTheme="minorHAnsi" w:cstheme="minorHAnsi"/>
                <w:color w:val="000000"/>
                <w:sz w:val="18"/>
                <w:szCs w:val="18"/>
              </w:rPr>
            </w:pPr>
            <w:r w:rsidRPr="00D5001E">
              <w:rPr>
                <w:rFonts w:asciiTheme="minorHAnsi" w:hAnsiTheme="minorHAnsi" w:cstheme="minorHAnsi"/>
                <w:color w:val="000000"/>
                <w:sz w:val="18"/>
                <w:szCs w:val="18"/>
              </w:rPr>
              <w:t>The PBAC recommended the General Schedule, Authority Required (</w:t>
            </w:r>
            <w:r w:rsidR="00F66D58">
              <w:rPr>
                <w:rFonts w:asciiTheme="minorHAnsi" w:hAnsiTheme="minorHAnsi" w:cstheme="minorHAnsi"/>
                <w:color w:val="000000"/>
                <w:sz w:val="18"/>
                <w:szCs w:val="18"/>
              </w:rPr>
              <w:t>Written</w:t>
            </w:r>
            <w:r w:rsidRPr="00D5001E">
              <w:rPr>
                <w:rFonts w:asciiTheme="minorHAnsi" w:hAnsiTheme="minorHAnsi" w:cstheme="minorHAnsi"/>
                <w:color w:val="000000"/>
                <w:sz w:val="18"/>
                <w:szCs w:val="18"/>
              </w:rPr>
              <w:t xml:space="preserve">) listing of ozanimod (OZA) for the </w:t>
            </w:r>
            <w:r w:rsidRPr="00F66D58">
              <w:rPr>
                <w:rFonts w:asciiTheme="minorHAnsi" w:hAnsiTheme="minorHAnsi" w:cstheme="minorHAnsi"/>
                <w:color w:val="000000"/>
                <w:sz w:val="18"/>
                <w:szCs w:val="18"/>
              </w:rPr>
              <w:t xml:space="preserve">treatment of MSUC on a cost-minimisation basis with the least costly alternative disease-modifying anti-rheumatic drug (DMARD). In making this recommendation, the PBAC considered that, whilst there were numerous uncertainties with the presented evidence and clinical claim due to differences in trial designs and recruited populations between therapies, that a claim of non-inferior comparative effectiveness and safety to infliximab was, on balance, likely to be reasonable. The PBAC noted that there was no basis for a price premium over alternative therapies. The PBAC </w:t>
            </w:r>
            <w:r w:rsidRPr="00D5001E">
              <w:rPr>
                <w:rFonts w:asciiTheme="minorHAnsi" w:hAnsiTheme="minorHAnsi" w:cstheme="minorHAnsi"/>
                <w:color w:val="000000"/>
                <w:sz w:val="18"/>
                <w:szCs w:val="18"/>
              </w:rPr>
              <w:t>noted the flow-on changes to other DMARD listings in MSUC to include OZA in the list of eligible treatments in a treatment cycle.</w:t>
            </w:r>
          </w:p>
        </w:tc>
      </w:tr>
      <w:tr w:rsidR="00575F52" w:rsidRPr="00567D48" w14:paraId="77311946" w14:textId="77777777" w:rsidTr="007128F7">
        <w:trPr>
          <w:cantSplit/>
          <w:trHeight w:val="2948"/>
        </w:trPr>
        <w:tc>
          <w:tcPr>
            <w:tcW w:w="2973" w:type="dxa"/>
            <w:shd w:val="clear" w:color="auto" w:fill="auto"/>
            <w:tcMar>
              <w:top w:w="28" w:type="dxa"/>
              <w:bottom w:w="28" w:type="dxa"/>
            </w:tcMar>
            <w:vAlign w:val="center"/>
          </w:tcPr>
          <w:p w14:paraId="73AF4B93" w14:textId="5A983D96" w:rsidR="00575F52" w:rsidRPr="00D5001E" w:rsidRDefault="00575F52" w:rsidP="00575F52">
            <w:pPr>
              <w:keepLines/>
              <w:rPr>
                <w:rFonts w:asciiTheme="minorHAnsi" w:hAnsiTheme="minorHAnsi" w:cstheme="minorHAnsi"/>
                <w:sz w:val="18"/>
                <w:szCs w:val="18"/>
                <w:highlight w:val="yellow"/>
              </w:rPr>
            </w:pPr>
            <w:r w:rsidRPr="00D5001E">
              <w:rPr>
                <w:rFonts w:asciiTheme="minorHAnsi" w:hAnsiTheme="minorHAnsi" w:cstheme="minorHAnsi"/>
                <w:color w:val="000000"/>
                <w:sz w:val="18"/>
                <w:szCs w:val="18"/>
              </w:rPr>
              <w:t xml:space="preserve">PALBOCICLIB </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Tablet 75 mg</w:t>
            </w:r>
            <w:r w:rsidRPr="00D5001E">
              <w:rPr>
                <w:rFonts w:asciiTheme="minorHAnsi" w:hAnsiTheme="minorHAnsi" w:cstheme="minorHAnsi"/>
                <w:color w:val="000000"/>
                <w:sz w:val="18"/>
                <w:szCs w:val="18"/>
              </w:rPr>
              <w:br/>
              <w:t>Tablet 100 mg</w:t>
            </w:r>
            <w:r w:rsidRPr="00D5001E">
              <w:rPr>
                <w:rFonts w:asciiTheme="minorHAnsi" w:hAnsiTheme="minorHAnsi" w:cstheme="minorHAnsi"/>
                <w:color w:val="000000"/>
                <w:sz w:val="18"/>
                <w:szCs w:val="18"/>
              </w:rPr>
              <w:br/>
              <w:t>Tablet 125 mg</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Ibrance®</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Pfizer Australia Pty Ltd</w:t>
            </w:r>
            <w:r w:rsidRPr="00D5001E">
              <w:rPr>
                <w:rFonts w:asciiTheme="minorHAnsi" w:hAnsiTheme="minorHAnsi" w:cstheme="minorHAnsi"/>
                <w:color w:val="000000"/>
                <w:sz w:val="18"/>
                <w:szCs w:val="18"/>
                <w:highlight w:val="yellow"/>
              </w:rPr>
              <w:br/>
            </w:r>
            <w:r w:rsidRPr="00D5001E">
              <w:rPr>
                <w:rFonts w:asciiTheme="minorHAnsi" w:hAnsiTheme="minorHAnsi" w:cstheme="minorHAnsi"/>
                <w:color w:val="000000"/>
                <w:sz w:val="18"/>
                <w:szCs w:val="18"/>
                <w:highlight w:val="yellow"/>
              </w:rPr>
              <w:br/>
            </w:r>
            <w:r w:rsidRPr="00D5001E">
              <w:rPr>
                <w:rFonts w:asciiTheme="minorHAnsi" w:hAnsiTheme="minorHAnsi" w:cstheme="minorHAnsi"/>
                <w:color w:val="000000"/>
                <w:sz w:val="18"/>
                <w:szCs w:val="18"/>
              </w:rPr>
              <w:t>Category 2 submission</w:t>
            </w:r>
            <w:r w:rsidRPr="00D5001E">
              <w:rPr>
                <w:rFonts w:asciiTheme="minorHAnsi" w:hAnsiTheme="minorHAnsi" w:cstheme="minorHAnsi"/>
                <w:color w:val="000000"/>
                <w:sz w:val="18"/>
                <w:szCs w:val="18"/>
              </w:rPr>
              <w:br/>
              <w:t>(Change to recommended PBS listing)</w:t>
            </w:r>
          </w:p>
        </w:tc>
        <w:tc>
          <w:tcPr>
            <w:tcW w:w="2491" w:type="dxa"/>
            <w:shd w:val="clear" w:color="auto" w:fill="auto"/>
            <w:vAlign w:val="center"/>
          </w:tcPr>
          <w:p w14:paraId="26F34688" w14:textId="1D7F84B1" w:rsidR="00575F52" w:rsidRPr="000F0297" w:rsidRDefault="00575F52" w:rsidP="00575F52">
            <w:pPr>
              <w:keepLines/>
              <w:widowControl w:val="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Breast cancer</w:t>
            </w:r>
          </w:p>
        </w:tc>
        <w:tc>
          <w:tcPr>
            <w:tcW w:w="3887" w:type="dxa"/>
            <w:shd w:val="clear" w:color="auto" w:fill="auto"/>
            <w:tcMar>
              <w:top w:w="28" w:type="dxa"/>
              <w:bottom w:w="28" w:type="dxa"/>
            </w:tcMar>
            <w:vAlign w:val="center"/>
          </w:tcPr>
          <w:p w14:paraId="5DE59A42" w14:textId="40124BD3"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To request a General Schedule Authority Required listing, for use in combination with fulvestrant, for the treatment of hormone receptor positive (HR+) and human epidermal growth factor receptor 2 negative (HER2-) locally advanced inoperable or metastatic breast cancer in patients who have received prior endocrine therapy.</w:t>
            </w:r>
          </w:p>
        </w:tc>
        <w:tc>
          <w:tcPr>
            <w:tcW w:w="1984" w:type="dxa"/>
            <w:shd w:val="clear" w:color="auto" w:fill="auto"/>
            <w:vAlign w:val="center"/>
          </w:tcPr>
          <w:p w14:paraId="4C5BC16C" w14:textId="18F3A91C"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Recommended</w:t>
            </w:r>
          </w:p>
        </w:tc>
        <w:tc>
          <w:tcPr>
            <w:tcW w:w="4053" w:type="dxa"/>
            <w:shd w:val="clear" w:color="auto" w:fill="auto"/>
            <w:vAlign w:val="center"/>
          </w:tcPr>
          <w:p w14:paraId="77183834" w14:textId="2ACB9695" w:rsidR="00575F52" w:rsidRPr="000F0297" w:rsidRDefault="00575F52" w:rsidP="00575F52">
            <w:pPr>
              <w:pStyle w:val="ListParagraph"/>
              <w:keepLines/>
              <w:ind w:left="0"/>
              <w:rPr>
                <w:rFonts w:asciiTheme="minorHAnsi" w:hAnsiTheme="minorHAnsi" w:cstheme="minorHAnsi"/>
                <w:color w:val="000000"/>
                <w:sz w:val="18"/>
                <w:szCs w:val="18"/>
              </w:rPr>
            </w:pPr>
            <w:r w:rsidRPr="00D5001E">
              <w:rPr>
                <w:rFonts w:asciiTheme="minorHAnsi" w:hAnsiTheme="minorHAnsi" w:cstheme="minorHAnsi"/>
                <w:color w:val="000000"/>
                <w:sz w:val="18"/>
                <w:szCs w:val="18"/>
              </w:rPr>
              <w:t xml:space="preserve">The PBAC recommended the listing of palbociclib, in combination with fulvestrant, for the treatment of patients with </w:t>
            </w:r>
            <w:r w:rsidRPr="00F66D58">
              <w:rPr>
                <w:rFonts w:asciiTheme="minorHAnsi" w:hAnsiTheme="minorHAnsi" w:cstheme="minorHAnsi"/>
                <w:color w:val="000000"/>
                <w:sz w:val="18"/>
                <w:szCs w:val="18"/>
              </w:rPr>
              <w:t>locally advanced (stage IIIB/IIIC) or metastatic (stage IV) HR+, HER2- breast cancer who have received previous endocrine therapy. The PBAC’s recommendation for listing was based on, among other matters, its assessment that the cost</w:t>
            </w:r>
            <w:r w:rsidRPr="00D5001E">
              <w:rPr>
                <w:rFonts w:asciiTheme="minorHAnsi" w:hAnsiTheme="minorHAnsi" w:cstheme="minorHAnsi"/>
                <w:color w:val="000000"/>
                <w:sz w:val="18"/>
                <w:szCs w:val="18"/>
              </w:rPr>
              <w:t>-</w:t>
            </w:r>
            <w:r w:rsidRPr="00F66D58">
              <w:rPr>
                <w:rFonts w:asciiTheme="minorHAnsi" w:hAnsiTheme="minorHAnsi" w:cstheme="minorHAnsi"/>
                <w:color w:val="000000"/>
                <w:sz w:val="18"/>
                <w:szCs w:val="18"/>
              </w:rPr>
              <w:t xml:space="preserve">minimisation approach between palbociclib plus fulvestrant and ribociclib and fulvestrant was acceptable and that the listing </w:t>
            </w:r>
            <w:r w:rsidR="002C65DE">
              <w:rPr>
                <w:rFonts w:asciiTheme="minorHAnsi" w:hAnsiTheme="minorHAnsi" w:cstheme="minorHAnsi"/>
                <w:color w:val="000000"/>
                <w:sz w:val="18"/>
                <w:szCs w:val="18"/>
              </w:rPr>
              <w:t>was expected to be cost-</w:t>
            </w:r>
            <w:proofErr w:type="spellStart"/>
            <w:r w:rsidR="002C65DE">
              <w:rPr>
                <w:rFonts w:asciiTheme="minorHAnsi" w:hAnsiTheme="minorHAnsi" w:cstheme="minorHAnsi"/>
                <w:color w:val="000000"/>
                <w:sz w:val="18"/>
                <w:szCs w:val="18"/>
              </w:rPr>
              <w:t>netural</w:t>
            </w:r>
            <w:proofErr w:type="spellEnd"/>
            <w:r w:rsidRPr="00F66D58">
              <w:rPr>
                <w:rFonts w:asciiTheme="minorHAnsi" w:hAnsiTheme="minorHAnsi" w:cstheme="minorHAnsi"/>
                <w:color w:val="000000"/>
                <w:sz w:val="18"/>
                <w:szCs w:val="18"/>
              </w:rPr>
              <w:t xml:space="preserve"> to Government. The PBAC advised that flow</w:t>
            </w:r>
            <w:r w:rsidRPr="00D5001E">
              <w:rPr>
                <w:rFonts w:asciiTheme="minorHAnsi" w:hAnsiTheme="minorHAnsi" w:cstheme="minorHAnsi"/>
                <w:color w:val="000000"/>
                <w:sz w:val="18"/>
                <w:szCs w:val="18"/>
              </w:rPr>
              <w:t>-</w:t>
            </w:r>
            <w:r w:rsidRPr="00F66D58">
              <w:rPr>
                <w:rFonts w:asciiTheme="minorHAnsi" w:hAnsiTheme="minorHAnsi" w:cstheme="minorHAnsi"/>
                <w:color w:val="000000"/>
                <w:sz w:val="18"/>
                <w:szCs w:val="18"/>
              </w:rPr>
              <w:t>on restriction changes would be required for ribociclib and abemaciclib to prevent the sequential use of cyclin-dependent kinase 4 and 6 (CDK4/6) inhibitors.</w:t>
            </w:r>
          </w:p>
        </w:tc>
      </w:tr>
      <w:tr w:rsidR="00575F52" w:rsidRPr="00567D48" w14:paraId="0FAD1DCD" w14:textId="77777777" w:rsidTr="007128F7">
        <w:trPr>
          <w:cantSplit/>
          <w:trHeight w:val="2948"/>
        </w:trPr>
        <w:tc>
          <w:tcPr>
            <w:tcW w:w="2973" w:type="dxa"/>
            <w:shd w:val="clear" w:color="auto" w:fill="auto"/>
            <w:tcMar>
              <w:top w:w="28" w:type="dxa"/>
              <w:bottom w:w="28" w:type="dxa"/>
            </w:tcMar>
            <w:vAlign w:val="center"/>
          </w:tcPr>
          <w:p w14:paraId="7F2A4CA7" w14:textId="40BDB45D" w:rsidR="00575F52" w:rsidRPr="00D5001E" w:rsidRDefault="00575F52" w:rsidP="00575F52">
            <w:pPr>
              <w:keepLines/>
              <w:rPr>
                <w:rFonts w:asciiTheme="minorHAnsi" w:hAnsiTheme="minorHAnsi" w:cstheme="minorHAnsi"/>
                <w:sz w:val="18"/>
                <w:szCs w:val="18"/>
                <w:highlight w:val="yellow"/>
              </w:rPr>
            </w:pPr>
            <w:r w:rsidRPr="00F66D58">
              <w:rPr>
                <w:rFonts w:asciiTheme="minorHAnsi" w:hAnsiTheme="minorHAnsi" w:cstheme="minorHAnsi"/>
                <w:color w:val="000000"/>
                <w:sz w:val="18"/>
                <w:szCs w:val="18"/>
              </w:rPr>
              <w:lastRenderedPageBreak/>
              <w:t>PALIPERIDONE</w:t>
            </w:r>
            <w:r w:rsidRPr="00F66D58">
              <w:rPr>
                <w:rFonts w:asciiTheme="minorHAnsi" w:hAnsiTheme="minorHAnsi" w:cstheme="minorHAnsi"/>
                <w:color w:val="000000"/>
                <w:sz w:val="18"/>
                <w:szCs w:val="18"/>
              </w:rPr>
              <w:br/>
            </w:r>
            <w:r w:rsidRPr="00F66D58">
              <w:rPr>
                <w:rFonts w:asciiTheme="minorHAnsi" w:hAnsiTheme="minorHAnsi" w:cstheme="minorHAnsi"/>
                <w:color w:val="000000"/>
                <w:sz w:val="18"/>
                <w:szCs w:val="18"/>
              </w:rPr>
              <w:br/>
              <w:t>I.M. injection (modified release) 700 mg (as palmitate) in pre-filled syringe</w:t>
            </w:r>
            <w:r w:rsidRPr="00F66D58">
              <w:rPr>
                <w:rFonts w:asciiTheme="minorHAnsi" w:hAnsiTheme="minorHAnsi" w:cstheme="minorHAnsi"/>
                <w:color w:val="000000"/>
                <w:sz w:val="18"/>
                <w:szCs w:val="18"/>
              </w:rPr>
              <w:br/>
              <w:t>I.M. injection (modified release) 1000 mg (as palmitate) in pre-filled syringe</w:t>
            </w:r>
            <w:r w:rsidRPr="00F66D58">
              <w:rPr>
                <w:rFonts w:asciiTheme="minorHAnsi" w:hAnsiTheme="minorHAnsi" w:cstheme="minorHAnsi"/>
                <w:color w:val="000000"/>
                <w:sz w:val="18"/>
                <w:szCs w:val="18"/>
                <w:highlight w:val="yellow"/>
              </w:rPr>
              <w:br/>
            </w:r>
            <w:r w:rsidRPr="00F66D58">
              <w:rPr>
                <w:rFonts w:asciiTheme="minorHAnsi" w:hAnsiTheme="minorHAnsi" w:cstheme="minorHAnsi"/>
                <w:color w:val="000000"/>
                <w:sz w:val="18"/>
                <w:szCs w:val="18"/>
                <w:highlight w:val="yellow"/>
              </w:rPr>
              <w:br/>
            </w:r>
            <w:r w:rsidRPr="00F66D58">
              <w:rPr>
                <w:rFonts w:asciiTheme="minorHAnsi" w:hAnsiTheme="minorHAnsi" w:cstheme="minorHAnsi"/>
                <w:color w:val="000000"/>
                <w:sz w:val="18"/>
                <w:szCs w:val="18"/>
              </w:rPr>
              <w:t xml:space="preserve">Invega </w:t>
            </w:r>
            <w:proofErr w:type="spellStart"/>
            <w:r w:rsidRPr="00F66D58">
              <w:rPr>
                <w:rFonts w:asciiTheme="minorHAnsi" w:hAnsiTheme="minorHAnsi" w:cstheme="minorHAnsi"/>
                <w:color w:val="000000"/>
                <w:sz w:val="18"/>
                <w:szCs w:val="18"/>
              </w:rPr>
              <w:t>Hafyera</w:t>
            </w:r>
            <w:proofErr w:type="spellEnd"/>
            <w:r w:rsidRPr="00F66D58">
              <w:rPr>
                <w:rFonts w:asciiTheme="minorHAnsi" w:hAnsiTheme="minorHAnsi" w:cstheme="minorHAnsi"/>
                <w:color w:val="000000"/>
                <w:sz w:val="18"/>
                <w:szCs w:val="18"/>
              </w:rPr>
              <w:t>®</w:t>
            </w:r>
            <w:r w:rsidRPr="00F66D58">
              <w:rPr>
                <w:rFonts w:asciiTheme="minorHAnsi" w:hAnsiTheme="minorHAnsi" w:cstheme="minorHAnsi"/>
                <w:color w:val="000000"/>
                <w:sz w:val="18"/>
                <w:szCs w:val="18"/>
              </w:rPr>
              <w:br/>
            </w:r>
            <w:r w:rsidRPr="00F66D58">
              <w:rPr>
                <w:rFonts w:asciiTheme="minorHAnsi" w:hAnsiTheme="minorHAnsi" w:cstheme="minorHAnsi"/>
                <w:color w:val="000000"/>
                <w:sz w:val="18"/>
                <w:szCs w:val="18"/>
              </w:rPr>
              <w:br/>
              <w:t>Janssen-Cilag Pty Ltd</w:t>
            </w:r>
            <w:r w:rsidRPr="00F66D58">
              <w:rPr>
                <w:rFonts w:asciiTheme="minorHAnsi" w:hAnsiTheme="minorHAnsi" w:cstheme="minorHAnsi"/>
                <w:color w:val="000000"/>
                <w:sz w:val="18"/>
                <w:szCs w:val="18"/>
              </w:rPr>
              <w:br/>
            </w:r>
            <w:r w:rsidRPr="00F66D58">
              <w:rPr>
                <w:rFonts w:asciiTheme="minorHAnsi" w:hAnsiTheme="minorHAnsi" w:cstheme="minorHAnsi"/>
                <w:color w:val="000000"/>
                <w:sz w:val="18"/>
                <w:szCs w:val="18"/>
              </w:rPr>
              <w:br/>
              <w:t>Category 2 submission</w:t>
            </w:r>
            <w:r w:rsidRPr="00F66D58">
              <w:rPr>
                <w:rFonts w:asciiTheme="minorHAnsi" w:hAnsiTheme="minorHAnsi" w:cstheme="minorHAnsi"/>
                <w:color w:val="000000"/>
                <w:sz w:val="18"/>
                <w:szCs w:val="18"/>
              </w:rPr>
              <w:br/>
              <w:t>(New PBS listing)</w:t>
            </w:r>
          </w:p>
        </w:tc>
        <w:tc>
          <w:tcPr>
            <w:tcW w:w="2491" w:type="dxa"/>
            <w:shd w:val="clear" w:color="auto" w:fill="auto"/>
            <w:vAlign w:val="center"/>
          </w:tcPr>
          <w:p w14:paraId="14CB9C81" w14:textId="65E81A21" w:rsidR="00575F52" w:rsidRPr="00D5001E" w:rsidRDefault="00575F52" w:rsidP="00575F52">
            <w:pPr>
              <w:keepLines/>
              <w:widowControl w:val="0"/>
              <w:rPr>
                <w:rFonts w:asciiTheme="minorHAnsi" w:hAnsiTheme="minorHAnsi" w:cstheme="minorHAnsi"/>
                <w:snapToGrid w:val="0"/>
                <w:sz w:val="18"/>
                <w:szCs w:val="18"/>
                <w:highlight w:val="yellow"/>
                <w:lang w:eastAsia="en-US"/>
              </w:rPr>
            </w:pPr>
            <w:r w:rsidRPr="00D5001E">
              <w:rPr>
                <w:rFonts w:asciiTheme="minorHAnsi" w:hAnsiTheme="minorHAnsi" w:cstheme="minorHAnsi"/>
                <w:color w:val="000000"/>
                <w:sz w:val="18"/>
                <w:szCs w:val="18"/>
              </w:rPr>
              <w:t>Schizophrenia</w:t>
            </w:r>
          </w:p>
        </w:tc>
        <w:tc>
          <w:tcPr>
            <w:tcW w:w="3887" w:type="dxa"/>
            <w:shd w:val="clear" w:color="auto" w:fill="auto"/>
            <w:tcMar>
              <w:top w:w="28" w:type="dxa"/>
              <w:bottom w:w="28" w:type="dxa"/>
            </w:tcMar>
            <w:vAlign w:val="center"/>
          </w:tcPr>
          <w:p w14:paraId="623FC1D3" w14:textId="43E775AD"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 xml:space="preserve">To request a General Schedule Authority Required (STREAMLINED) listing for the maintenance treatment of schizophrenia in patients </w:t>
            </w:r>
            <w:r w:rsidRPr="00F66D58">
              <w:rPr>
                <w:rFonts w:asciiTheme="minorHAnsi" w:hAnsiTheme="minorHAnsi" w:cstheme="minorHAnsi"/>
                <w:color w:val="000000"/>
                <w:sz w:val="18"/>
                <w:szCs w:val="18"/>
              </w:rPr>
              <w:t>who have been stabilised on either PBS-sub</w:t>
            </w:r>
            <w:r w:rsidRPr="00D5001E">
              <w:rPr>
                <w:rFonts w:asciiTheme="minorHAnsi" w:hAnsiTheme="minorHAnsi" w:cstheme="minorHAnsi"/>
                <w:color w:val="000000"/>
                <w:sz w:val="18"/>
                <w:szCs w:val="18"/>
              </w:rPr>
              <w:t>sidised paliperidone three-monthly injection for at least one injection cycle or PBS-subsidised paliperidone once-monthly for at least four consecutive months.</w:t>
            </w:r>
          </w:p>
        </w:tc>
        <w:tc>
          <w:tcPr>
            <w:tcW w:w="1984" w:type="dxa"/>
            <w:shd w:val="clear" w:color="auto" w:fill="auto"/>
            <w:vAlign w:val="center"/>
          </w:tcPr>
          <w:p w14:paraId="42FBA800" w14:textId="5AAF2E9D"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Recommended</w:t>
            </w:r>
          </w:p>
        </w:tc>
        <w:tc>
          <w:tcPr>
            <w:tcW w:w="4053" w:type="dxa"/>
            <w:shd w:val="clear" w:color="auto" w:fill="auto"/>
            <w:vAlign w:val="center"/>
          </w:tcPr>
          <w:p w14:paraId="4B68D480" w14:textId="2126FA3E" w:rsidR="00575F52" w:rsidRPr="000F0297" w:rsidRDefault="00575F52" w:rsidP="00575F52">
            <w:pPr>
              <w:pStyle w:val="ListParagraph"/>
              <w:keepLines/>
              <w:ind w:left="0"/>
              <w:rPr>
                <w:rFonts w:asciiTheme="minorHAnsi" w:hAnsiTheme="minorHAnsi" w:cstheme="minorHAnsi"/>
                <w:color w:val="000000"/>
                <w:sz w:val="18"/>
                <w:szCs w:val="18"/>
              </w:rPr>
            </w:pPr>
            <w:r w:rsidRPr="00D5001E">
              <w:rPr>
                <w:rFonts w:asciiTheme="minorHAnsi" w:hAnsiTheme="minorHAnsi" w:cstheme="minorHAnsi"/>
                <w:color w:val="000000"/>
                <w:sz w:val="18"/>
                <w:szCs w:val="18"/>
              </w:rPr>
              <w:t>The PBAC recommended the listing of paliperidone palmitate 6-monthly long-acting injection (PP6M) for the maintenance treatment of schizophrenia in adult patients who have been adequately treated with the 1-month paliperidone palmitate injectable product (PP1M) for at least four months or the 3-month paliperidone palmitate injectable product (PP3M) for at least one 3-month injection cycle. The PBAC’s recommendation for listing was based on, among other matters, its assessment that the cost-effectiveness of PP6M would be acceptable if it were cost-minimised to PP3M for the same indication. The PBAC considered the equi-effective doses to be 1 injection of PP6M 700 mg = 2 injections of PP3M 350 mg and 1 injection of PP6M 1000 mg = 2 injections of PP3M 525 mg over 48 weeks. The PBAC considered that the restriction for PP6M should be consistent with the restriction for PP3M with the inclusion of the criterion of being stabilised on PP3M for at least one 3-month injection cycle. The PBAC advised that there should be flow-on changes to allow patients to transition from PP6M to PP3M or PP1M if they have been stabilised on PP6M for at least one 6-month injection cycle.</w:t>
            </w:r>
          </w:p>
        </w:tc>
      </w:tr>
      <w:tr w:rsidR="00575F52" w:rsidRPr="00567D48" w14:paraId="0B5C6AA7" w14:textId="77777777" w:rsidTr="007128F7">
        <w:trPr>
          <w:cantSplit/>
          <w:trHeight w:val="2948"/>
        </w:trPr>
        <w:tc>
          <w:tcPr>
            <w:tcW w:w="2973" w:type="dxa"/>
            <w:shd w:val="clear" w:color="auto" w:fill="auto"/>
            <w:tcMar>
              <w:top w:w="28" w:type="dxa"/>
              <w:bottom w:w="28" w:type="dxa"/>
            </w:tcMar>
            <w:vAlign w:val="center"/>
          </w:tcPr>
          <w:p w14:paraId="176E7137" w14:textId="407ED797" w:rsidR="00575F52" w:rsidRPr="00D5001E" w:rsidRDefault="00575F52" w:rsidP="00575F52">
            <w:pPr>
              <w:keepLines/>
              <w:rPr>
                <w:rFonts w:asciiTheme="minorHAnsi" w:hAnsiTheme="minorHAnsi" w:cstheme="minorHAnsi"/>
                <w:sz w:val="18"/>
                <w:szCs w:val="18"/>
                <w:highlight w:val="yellow"/>
              </w:rPr>
            </w:pPr>
            <w:r w:rsidRPr="00D5001E">
              <w:rPr>
                <w:rFonts w:asciiTheme="minorHAnsi" w:hAnsiTheme="minorHAnsi" w:cstheme="minorHAnsi"/>
                <w:color w:val="000000"/>
                <w:sz w:val="18"/>
                <w:szCs w:val="18"/>
              </w:rPr>
              <w:lastRenderedPageBreak/>
              <w:t xml:space="preserve">PEGCETACOPLAN </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 xml:space="preserve">Solution for subcutaneous infusion 1,080 mg in 20 mL </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r>
            <w:proofErr w:type="spellStart"/>
            <w:r w:rsidRPr="00D5001E">
              <w:rPr>
                <w:rFonts w:asciiTheme="minorHAnsi" w:hAnsiTheme="minorHAnsi" w:cstheme="minorHAnsi"/>
                <w:color w:val="000000"/>
                <w:sz w:val="18"/>
                <w:szCs w:val="18"/>
              </w:rPr>
              <w:t>Empaveli</w:t>
            </w:r>
            <w:proofErr w:type="spellEnd"/>
            <w:r w:rsidRPr="00D5001E">
              <w:rPr>
                <w:rFonts w:asciiTheme="minorHAnsi" w:hAnsiTheme="minorHAnsi" w:cstheme="minorHAnsi"/>
                <w:color w:val="000000"/>
                <w:sz w:val="18"/>
                <w:szCs w:val="18"/>
              </w:rPr>
              <w:t>™</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 xml:space="preserve">Swedish Orphan </w:t>
            </w:r>
            <w:proofErr w:type="spellStart"/>
            <w:r w:rsidRPr="00D5001E">
              <w:rPr>
                <w:rFonts w:asciiTheme="minorHAnsi" w:hAnsiTheme="minorHAnsi" w:cstheme="minorHAnsi"/>
                <w:color w:val="000000"/>
                <w:sz w:val="18"/>
                <w:szCs w:val="18"/>
              </w:rPr>
              <w:t>Biovitrum</w:t>
            </w:r>
            <w:proofErr w:type="spellEnd"/>
            <w:r w:rsidRPr="00D5001E">
              <w:rPr>
                <w:rFonts w:asciiTheme="minorHAnsi" w:hAnsiTheme="minorHAnsi" w:cstheme="minorHAnsi"/>
                <w:color w:val="000000"/>
                <w:sz w:val="18"/>
                <w:szCs w:val="18"/>
              </w:rPr>
              <w:t xml:space="preserve"> Pty Ltd</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Category 2 submission</w:t>
            </w:r>
            <w:r w:rsidRPr="00D5001E">
              <w:rPr>
                <w:rFonts w:asciiTheme="minorHAnsi" w:hAnsiTheme="minorHAnsi" w:cstheme="minorHAnsi"/>
                <w:color w:val="000000"/>
                <w:sz w:val="18"/>
                <w:szCs w:val="18"/>
              </w:rPr>
              <w:br/>
              <w:t>(New PBS listing)</w:t>
            </w:r>
          </w:p>
        </w:tc>
        <w:tc>
          <w:tcPr>
            <w:tcW w:w="2491" w:type="dxa"/>
            <w:shd w:val="clear" w:color="auto" w:fill="auto"/>
            <w:vAlign w:val="center"/>
          </w:tcPr>
          <w:p w14:paraId="02F9FB3D" w14:textId="5D219E76" w:rsidR="00575F52" w:rsidRPr="00D5001E" w:rsidRDefault="00575F52" w:rsidP="00575F52">
            <w:pPr>
              <w:keepLines/>
              <w:widowControl w:val="0"/>
              <w:rPr>
                <w:rFonts w:asciiTheme="minorHAnsi" w:hAnsiTheme="minorHAnsi" w:cstheme="minorHAnsi"/>
                <w:snapToGrid w:val="0"/>
                <w:sz w:val="18"/>
                <w:szCs w:val="18"/>
                <w:highlight w:val="yellow"/>
                <w:lang w:eastAsia="en-US"/>
              </w:rPr>
            </w:pPr>
            <w:r w:rsidRPr="00D5001E">
              <w:rPr>
                <w:rFonts w:asciiTheme="minorHAnsi" w:hAnsiTheme="minorHAnsi" w:cstheme="minorHAnsi"/>
                <w:color w:val="000000"/>
                <w:sz w:val="18"/>
                <w:szCs w:val="18"/>
              </w:rPr>
              <w:t>Paroxysmal nocturnal haemoglobinuria</w:t>
            </w:r>
          </w:p>
        </w:tc>
        <w:tc>
          <w:tcPr>
            <w:tcW w:w="3887" w:type="dxa"/>
            <w:shd w:val="clear" w:color="auto" w:fill="auto"/>
            <w:tcMar>
              <w:top w:w="28" w:type="dxa"/>
              <w:bottom w:w="28" w:type="dxa"/>
            </w:tcMar>
            <w:vAlign w:val="center"/>
          </w:tcPr>
          <w:p w14:paraId="4B2805BD" w14:textId="7DBA5368"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To request a Section 100 (Highly Specialised Drugs Program) Authority Required (Written) listing for the treatment of adults with paroxysmal nocturnal haemoglobinuria who have an inadequate clinical response to complement component 5 (C5) inhibitor treatment.</w:t>
            </w:r>
          </w:p>
        </w:tc>
        <w:tc>
          <w:tcPr>
            <w:tcW w:w="1984" w:type="dxa"/>
            <w:shd w:val="clear" w:color="auto" w:fill="auto"/>
            <w:vAlign w:val="center"/>
          </w:tcPr>
          <w:p w14:paraId="5970EE71" w14:textId="50B3E4D7"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Not Recommended</w:t>
            </w:r>
          </w:p>
        </w:tc>
        <w:tc>
          <w:tcPr>
            <w:tcW w:w="4053" w:type="dxa"/>
            <w:shd w:val="clear" w:color="auto" w:fill="auto"/>
            <w:vAlign w:val="center"/>
          </w:tcPr>
          <w:p w14:paraId="7A03569F" w14:textId="0DE312B5" w:rsidR="00C21363" w:rsidRPr="00D5001E" w:rsidRDefault="00575F52" w:rsidP="00575F52">
            <w:pPr>
              <w:pStyle w:val="ListParagraph"/>
              <w:keepLines/>
              <w:ind w:left="0"/>
              <w:rPr>
                <w:rFonts w:asciiTheme="minorHAnsi" w:hAnsiTheme="minorHAnsi" w:cstheme="minorHAnsi"/>
                <w:color w:val="000000"/>
                <w:sz w:val="18"/>
                <w:szCs w:val="18"/>
              </w:rPr>
            </w:pPr>
            <w:r w:rsidRPr="00C21363">
              <w:rPr>
                <w:rFonts w:asciiTheme="minorHAnsi" w:hAnsiTheme="minorHAnsi" w:cstheme="minorHAnsi"/>
                <w:color w:val="000000"/>
                <w:sz w:val="18"/>
                <w:szCs w:val="18"/>
              </w:rPr>
              <w:t xml:space="preserve">The PBAC did not recommended </w:t>
            </w:r>
            <w:proofErr w:type="spellStart"/>
            <w:r w:rsidRPr="00C21363">
              <w:rPr>
                <w:rFonts w:asciiTheme="minorHAnsi" w:hAnsiTheme="minorHAnsi" w:cstheme="minorHAnsi"/>
                <w:color w:val="000000"/>
                <w:sz w:val="18"/>
                <w:szCs w:val="18"/>
              </w:rPr>
              <w:t>pegcetacoplan</w:t>
            </w:r>
            <w:proofErr w:type="spellEnd"/>
            <w:r w:rsidRPr="00C21363">
              <w:rPr>
                <w:rFonts w:asciiTheme="minorHAnsi" w:hAnsiTheme="minorHAnsi" w:cstheme="minorHAnsi"/>
                <w:color w:val="000000"/>
                <w:sz w:val="18"/>
                <w:szCs w:val="18"/>
              </w:rPr>
              <w:t xml:space="preserve">, for the treatment of adults with paroxysmal nocturnal haemoglobinuria who have inadequate clinical response to treatment with eculizumab or ravulizumab. The PBAC considered the evidence presented demonstrated a benefit compared to eculizumab in short-term haematological outcomes. However, the PBAC considered the economic model provided was not reliable for decision-making and hence cost-effectiveness could not be assessed. The PBAC considered a cost-minimisation approach </w:t>
            </w:r>
            <w:r w:rsidR="002C65DE">
              <w:rPr>
                <w:rFonts w:asciiTheme="minorHAnsi" w:hAnsiTheme="minorHAnsi" w:cstheme="minorHAnsi"/>
                <w:color w:val="000000"/>
                <w:sz w:val="18"/>
                <w:szCs w:val="18"/>
              </w:rPr>
              <w:t xml:space="preserve">would </w:t>
            </w:r>
            <w:r w:rsidRPr="00C21363">
              <w:rPr>
                <w:rFonts w:asciiTheme="minorHAnsi" w:hAnsiTheme="minorHAnsi" w:cstheme="minorHAnsi"/>
                <w:color w:val="000000"/>
                <w:sz w:val="18"/>
                <w:szCs w:val="18"/>
              </w:rPr>
              <w:t xml:space="preserve">likely </w:t>
            </w:r>
            <w:r w:rsidR="002C65DE">
              <w:rPr>
                <w:rFonts w:asciiTheme="minorHAnsi" w:hAnsiTheme="minorHAnsi" w:cstheme="minorHAnsi"/>
                <w:color w:val="000000"/>
                <w:sz w:val="18"/>
                <w:szCs w:val="18"/>
              </w:rPr>
              <w:t xml:space="preserve">be </w:t>
            </w:r>
            <w:r w:rsidRPr="00C21363">
              <w:rPr>
                <w:rFonts w:asciiTheme="minorHAnsi" w:hAnsiTheme="minorHAnsi" w:cstheme="minorHAnsi"/>
                <w:color w:val="000000"/>
                <w:sz w:val="18"/>
                <w:szCs w:val="18"/>
              </w:rPr>
              <w:t xml:space="preserve">appropriate in any resubmission with revised financial estimates. </w:t>
            </w:r>
          </w:p>
          <w:p w14:paraId="402D63E8" w14:textId="77777777" w:rsidR="00C21363" w:rsidRPr="00D5001E" w:rsidRDefault="00C21363" w:rsidP="00575F52">
            <w:pPr>
              <w:pStyle w:val="ListParagraph"/>
              <w:keepLines/>
              <w:ind w:left="0"/>
              <w:rPr>
                <w:rFonts w:asciiTheme="minorHAnsi" w:hAnsiTheme="minorHAnsi" w:cstheme="minorHAnsi"/>
                <w:color w:val="000000"/>
                <w:sz w:val="18"/>
                <w:szCs w:val="18"/>
              </w:rPr>
            </w:pPr>
          </w:p>
          <w:p w14:paraId="1131A7F3" w14:textId="5763FE9E" w:rsidR="00575F52" w:rsidRPr="00C21363" w:rsidRDefault="00575F52" w:rsidP="00575F52">
            <w:pPr>
              <w:pStyle w:val="ListParagraph"/>
              <w:keepLines/>
              <w:ind w:left="0"/>
              <w:rPr>
                <w:rFonts w:asciiTheme="minorHAnsi" w:hAnsiTheme="minorHAnsi" w:cstheme="minorHAnsi"/>
                <w:color w:val="000000"/>
                <w:sz w:val="18"/>
                <w:szCs w:val="18"/>
              </w:rPr>
            </w:pPr>
            <w:r w:rsidRPr="00C21363">
              <w:rPr>
                <w:rFonts w:asciiTheme="minorHAnsi" w:hAnsiTheme="minorHAnsi" w:cstheme="minorHAnsi"/>
                <w:color w:val="000000"/>
                <w:sz w:val="18"/>
                <w:szCs w:val="18"/>
              </w:rPr>
              <w:t>The PBAC nominated the Early Re-entry resubmission pathway for this item.</w:t>
            </w:r>
          </w:p>
          <w:p w14:paraId="0B71F8E5" w14:textId="77777777" w:rsidR="00575F52" w:rsidRPr="00C21363" w:rsidRDefault="00575F52" w:rsidP="00575F52">
            <w:pPr>
              <w:pStyle w:val="ListParagraph"/>
              <w:keepLines/>
              <w:ind w:left="0"/>
              <w:rPr>
                <w:rFonts w:asciiTheme="minorHAnsi" w:hAnsiTheme="minorHAnsi" w:cstheme="minorHAnsi"/>
                <w:color w:val="000000"/>
                <w:sz w:val="18"/>
                <w:szCs w:val="18"/>
              </w:rPr>
            </w:pPr>
          </w:p>
          <w:p w14:paraId="6D9EAFA0" w14:textId="77777777" w:rsidR="00575F52" w:rsidRDefault="00575F52" w:rsidP="00575F52">
            <w:pPr>
              <w:pStyle w:val="ListParagraph"/>
              <w:keepLines/>
              <w:ind w:left="0"/>
              <w:rPr>
                <w:rFonts w:asciiTheme="minorHAnsi" w:hAnsiTheme="minorHAnsi" w:cstheme="minorHAnsi"/>
                <w:color w:val="000000"/>
                <w:sz w:val="18"/>
                <w:szCs w:val="18"/>
                <w:u w:val="single"/>
              </w:rPr>
            </w:pPr>
            <w:r w:rsidRPr="00C21363">
              <w:rPr>
                <w:rFonts w:asciiTheme="minorHAnsi" w:hAnsiTheme="minorHAnsi" w:cstheme="minorHAnsi"/>
                <w:color w:val="000000"/>
                <w:sz w:val="18"/>
                <w:szCs w:val="18"/>
                <w:u w:val="single"/>
              </w:rPr>
              <w:t>Sponsor Comment:</w:t>
            </w:r>
          </w:p>
          <w:p w14:paraId="5C783A2B" w14:textId="7BC488D4" w:rsidR="006401D2" w:rsidRPr="00D5001E" w:rsidRDefault="006401D2" w:rsidP="00575F52">
            <w:pPr>
              <w:pStyle w:val="ListParagraph"/>
              <w:keepLines/>
              <w:ind w:left="0"/>
              <w:rPr>
                <w:rFonts w:asciiTheme="minorHAnsi" w:hAnsiTheme="minorHAnsi" w:cstheme="minorHAnsi"/>
                <w:color w:val="000000"/>
                <w:sz w:val="18"/>
                <w:szCs w:val="18"/>
                <w:highlight w:val="yellow"/>
              </w:rPr>
            </w:pPr>
            <w:r w:rsidRPr="00D90B2A">
              <w:rPr>
                <w:rFonts w:asciiTheme="minorHAnsi" w:hAnsiTheme="minorHAnsi" w:cstheme="minorHAnsi"/>
                <w:color w:val="000000"/>
                <w:sz w:val="18"/>
                <w:szCs w:val="18"/>
              </w:rPr>
              <w:t>The sponsor had no comment.</w:t>
            </w:r>
          </w:p>
        </w:tc>
      </w:tr>
      <w:tr w:rsidR="00575F52" w:rsidRPr="00567D48" w14:paraId="29A9850B" w14:textId="77777777" w:rsidTr="007128F7">
        <w:trPr>
          <w:cantSplit/>
          <w:trHeight w:val="2948"/>
        </w:trPr>
        <w:tc>
          <w:tcPr>
            <w:tcW w:w="2973" w:type="dxa"/>
            <w:shd w:val="clear" w:color="auto" w:fill="auto"/>
            <w:tcMar>
              <w:top w:w="28" w:type="dxa"/>
              <w:bottom w:w="28" w:type="dxa"/>
            </w:tcMar>
            <w:vAlign w:val="center"/>
          </w:tcPr>
          <w:p w14:paraId="0BA67429" w14:textId="4708E67B" w:rsidR="00575F52" w:rsidRPr="000F0297" w:rsidRDefault="00575F52" w:rsidP="00F66D58">
            <w:pPr>
              <w:keepLines/>
              <w:rPr>
                <w:rFonts w:asciiTheme="minorHAnsi" w:hAnsiTheme="minorHAnsi" w:cstheme="minorHAnsi"/>
                <w:sz w:val="18"/>
                <w:szCs w:val="18"/>
              </w:rPr>
            </w:pPr>
            <w:r w:rsidRPr="00D5001E">
              <w:rPr>
                <w:rFonts w:asciiTheme="minorHAnsi" w:hAnsiTheme="minorHAnsi" w:cstheme="minorHAnsi"/>
                <w:color w:val="000000"/>
                <w:sz w:val="18"/>
                <w:szCs w:val="18"/>
              </w:rPr>
              <w:t>PEMBROLIZUMAB</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Solution concentrate for I.V. infusion 100 mg in 4 mL</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Keytruda®</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Merck Sharp &amp; Dohme (Australia) Pty Ltd</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r>
            <w:r w:rsidR="00F66D58">
              <w:rPr>
                <w:rFonts w:asciiTheme="minorHAnsi" w:hAnsiTheme="minorHAnsi" w:cstheme="minorHAnsi"/>
                <w:color w:val="000000"/>
                <w:sz w:val="18"/>
                <w:szCs w:val="18"/>
              </w:rPr>
              <w:t>Matters outstanding</w:t>
            </w:r>
            <w:r w:rsidRPr="00D5001E">
              <w:rPr>
                <w:rFonts w:asciiTheme="minorHAnsi" w:hAnsiTheme="minorHAnsi" w:cstheme="minorHAnsi"/>
                <w:color w:val="000000"/>
                <w:sz w:val="18"/>
                <w:szCs w:val="18"/>
              </w:rPr>
              <w:br/>
              <w:t>(Change to PBS listing)</w:t>
            </w:r>
          </w:p>
        </w:tc>
        <w:tc>
          <w:tcPr>
            <w:tcW w:w="2491" w:type="dxa"/>
            <w:shd w:val="clear" w:color="auto" w:fill="auto"/>
            <w:vAlign w:val="center"/>
          </w:tcPr>
          <w:p w14:paraId="0BC2FBED" w14:textId="72C250EE" w:rsidR="00575F52" w:rsidRPr="00D5001E" w:rsidRDefault="00575F52" w:rsidP="00575F52">
            <w:pPr>
              <w:keepLines/>
              <w:widowControl w:val="0"/>
              <w:rPr>
                <w:rFonts w:asciiTheme="minorHAnsi" w:hAnsiTheme="minorHAnsi" w:cstheme="minorHAnsi"/>
                <w:snapToGrid w:val="0"/>
                <w:sz w:val="18"/>
                <w:szCs w:val="18"/>
                <w:highlight w:val="yellow"/>
                <w:lang w:eastAsia="en-US"/>
              </w:rPr>
            </w:pPr>
            <w:r w:rsidRPr="00D5001E">
              <w:rPr>
                <w:rFonts w:asciiTheme="minorHAnsi" w:hAnsiTheme="minorHAnsi" w:cstheme="minorHAnsi"/>
                <w:color w:val="000000"/>
                <w:sz w:val="18"/>
                <w:szCs w:val="18"/>
              </w:rPr>
              <w:t>Squamous cell carcinoma of the head and neck (SCCHN)</w:t>
            </w:r>
          </w:p>
        </w:tc>
        <w:tc>
          <w:tcPr>
            <w:tcW w:w="3887" w:type="dxa"/>
            <w:shd w:val="clear" w:color="auto" w:fill="auto"/>
            <w:tcMar>
              <w:top w:w="28" w:type="dxa"/>
              <w:bottom w:w="28" w:type="dxa"/>
            </w:tcMar>
            <w:vAlign w:val="center"/>
          </w:tcPr>
          <w:p w14:paraId="52475AF5" w14:textId="2099C7C3" w:rsidR="00575F52" w:rsidRPr="00D5001E" w:rsidRDefault="00575F52" w:rsidP="00575F52">
            <w:pPr>
              <w:pStyle w:val="ListParagraph"/>
              <w:keepLines/>
              <w:ind w:left="0"/>
              <w:rPr>
                <w:rFonts w:asciiTheme="minorHAnsi" w:hAnsiTheme="minorHAnsi" w:cstheme="minorHAnsi"/>
                <w:snapToGrid w:val="0"/>
                <w:sz w:val="18"/>
                <w:szCs w:val="18"/>
                <w:highlight w:val="yellow"/>
                <w:lang w:eastAsia="en-US"/>
              </w:rPr>
            </w:pPr>
            <w:r w:rsidRPr="00D5001E">
              <w:rPr>
                <w:rFonts w:asciiTheme="minorHAnsi" w:hAnsiTheme="minorHAnsi" w:cstheme="minorHAnsi"/>
                <w:color w:val="000000"/>
                <w:sz w:val="18"/>
                <w:szCs w:val="18"/>
              </w:rPr>
              <w:t>Resubmission to request a Section 100 (Efficient Funding of Chemotherapy Program) Authority Required (STR</w:t>
            </w:r>
            <w:r w:rsidRPr="00F66D58">
              <w:rPr>
                <w:rFonts w:asciiTheme="minorHAnsi" w:hAnsiTheme="minorHAnsi" w:cstheme="minorHAnsi"/>
                <w:color w:val="000000"/>
                <w:sz w:val="18"/>
                <w:szCs w:val="18"/>
              </w:rPr>
              <w:t>EAMLINED) listing for the first-line treatment of recurrent or metastatic squamous cell carcinoma of the head and neck (R/M SCCHN).</w:t>
            </w:r>
          </w:p>
        </w:tc>
        <w:tc>
          <w:tcPr>
            <w:tcW w:w="1984" w:type="dxa"/>
            <w:shd w:val="clear" w:color="auto" w:fill="auto"/>
            <w:vAlign w:val="center"/>
          </w:tcPr>
          <w:p w14:paraId="16795B1F" w14:textId="7249B92D" w:rsidR="00575F52" w:rsidRPr="00D5001E" w:rsidRDefault="00575F52" w:rsidP="00575F52">
            <w:pPr>
              <w:pStyle w:val="ListParagraph"/>
              <w:keepLines/>
              <w:ind w:left="0"/>
              <w:rPr>
                <w:rFonts w:asciiTheme="minorHAnsi" w:hAnsiTheme="minorHAnsi" w:cstheme="minorHAnsi"/>
                <w:snapToGrid w:val="0"/>
                <w:sz w:val="18"/>
                <w:szCs w:val="18"/>
                <w:highlight w:val="yellow"/>
                <w:lang w:eastAsia="en-US"/>
              </w:rPr>
            </w:pPr>
            <w:r w:rsidRPr="00D5001E">
              <w:rPr>
                <w:rFonts w:asciiTheme="minorHAnsi" w:hAnsiTheme="minorHAnsi" w:cstheme="minorHAnsi"/>
                <w:color w:val="000000"/>
                <w:sz w:val="18"/>
                <w:szCs w:val="18"/>
              </w:rPr>
              <w:t>Recommended</w:t>
            </w:r>
          </w:p>
        </w:tc>
        <w:tc>
          <w:tcPr>
            <w:tcW w:w="4053" w:type="dxa"/>
            <w:shd w:val="clear" w:color="auto" w:fill="auto"/>
            <w:vAlign w:val="center"/>
          </w:tcPr>
          <w:p w14:paraId="48A9803D" w14:textId="3638D034" w:rsidR="00575F52" w:rsidRPr="00F66D58" w:rsidRDefault="00575F52" w:rsidP="00575F52">
            <w:pPr>
              <w:pStyle w:val="ListParagraph"/>
              <w:keepLines/>
              <w:ind w:left="0"/>
              <w:rPr>
                <w:rFonts w:asciiTheme="minorHAnsi" w:hAnsiTheme="minorHAnsi" w:cstheme="minorHAnsi"/>
                <w:color w:val="000000"/>
                <w:sz w:val="18"/>
                <w:szCs w:val="18"/>
                <w:highlight w:val="yellow"/>
              </w:rPr>
            </w:pPr>
            <w:r w:rsidRPr="00D5001E">
              <w:rPr>
                <w:rFonts w:asciiTheme="minorHAnsi" w:hAnsiTheme="minorHAnsi" w:cstheme="minorHAnsi"/>
                <w:color w:val="000000"/>
                <w:sz w:val="18"/>
                <w:szCs w:val="18"/>
              </w:rPr>
              <w:t>The PBAC recommended listing of pembrolizumab monotherapy for first line treatment of R/M SCCHN patients with</w:t>
            </w:r>
            <w:r w:rsidR="006446AE">
              <w:rPr>
                <w:rFonts w:asciiTheme="minorHAnsi" w:hAnsiTheme="minorHAnsi" w:cstheme="minorHAnsi"/>
                <w:color w:val="000000"/>
                <w:sz w:val="18"/>
                <w:szCs w:val="18"/>
              </w:rPr>
              <w:t xml:space="preserve"> combined positive score</w:t>
            </w:r>
            <w:r w:rsidRPr="00D5001E">
              <w:rPr>
                <w:rFonts w:asciiTheme="minorHAnsi" w:hAnsiTheme="minorHAnsi" w:cstheme="minorHAnsi"/>
                <w:color w:val="000000"/>
                <w:sz w:val="18"/>
                <w:szCs w:val="18"/>
              </w:rPr>
              <w:t xml:space="preserve"> </w:t>
            </w:r>
            <w:r w:rsidR="006446AE">
              <w:rPr>
                <w:rFonts w:asciiTheme="minorHAnsi" w:hAnsiTheme="minorHAnsi" w:cstheme="minorHAnsi"/>
                <w:color w:val="000000"/>
                <w:sz w:val="18"/>
                <w:szCs w:val="18"/>
              </w:rPr>
              <w:t>(</w:t>
            </w:r>
            <w:r w:rsidRPr="00D5001E">
              <w:rPr>
                <w:rFonts w:asciiTheme="minorHAnsi" w:hAnsiTheme="minorHAnsi" w:cstheme="minorHAnsi"/>
                <w:color w:val="000000"/>
                <w:sz w:val="18"/>
                <w:szCs w:val="18"/>
              </w:rPr>
              <w:t>CPS</w:t>
            </w:r>
            <w:r w:rsidR="006446AE">
              <w:rPr>
                <w:rFonts w:asciiTheme="minorHAnsi" w:hAnsiTheme="minorHAnsi" w:cstheme="minorHAnsi"/>
                <w:color w:val="000000"/>
                <w:sz w:val="18"/>
                <w:szCs w:val="18"/>
              </w:rPr>
              <w:t>)</w:t>
            </w:r>
            <w:r w:rsidRPr="00D5001E">
              <w:rPr>
                <w:rFonts w:asciiTheme="minorHAnsi" w:hAnsiTheme="minorHAnsi" w:cstheme="minorHAnsi"/>
                <w:color w:val="000000"/>
                <w:sz w:val="18"/>
                <w:szCs w:val="18"/>
              </w:rPr>
              <w:t xml:space="preserve"> </w:t>
            </w:r>
            <w:r w:rsidR="00492B52">
              <w:rPr>
                <w:rFonts w:ascii="Calibri" w:hAnsi="Calibri" w:cs="Calibri"/>
                <w:color w:val="000000"/>
                <w:sz w:val="18"/>
                <w:szCs w:val="18"/>
              </w:rPr>
              <w:t>≥</w:t>
            </w:r>
            <w:r w:rsidRPr="00D5001E">
              <w:rPr>
                <w:rFonts w:asciiTheme="minorHAnsi" w:hAnsiTheme="minorHAnsi" w:cstheme="minorHAnsi"/>
                <w:color w:val="000000"/>
                <w:sz w:val="18"/>
                <w:szCs w:val="18"/>
              </w:rPr>
              <w:t xml:space="preserve">20 in their tumour sample, and pembrolizumab in combination with platinum-based chemotherapy irrespective of CPS score. The PBAC is satisfied that pembrolizumab provides, for some patients, a significant improvement in efficacy over </w:t>
            </w:r>
            <w:r w:rsidRPr="00F66D58">
              <w:rPr>
                <w:rFonts w:asciiTheme="minorHAnsi" w:hAnsiTheme="minorHAnsi" w:cstheme="minorHAnsi"/>
                <w:color w:val="000000"/>
                <w:sz w:val="18"/>
                <w:szCs w:val="18"/>
              </w:rPr>
              <w:t xml:space="preserve">chemotherapy alone. The PBAC noted that the </w:t>
            </w:r>
            <w:r w:rsidR="002C65DE">
              <w:rPr>
                <w:rFonts w:asciiTheme="minorHAnsi" w:hAnsiTheme="minorHAnsi" w:cstheme="minorHAnsi"/>
                <w:color w:val="000000"/>
                <w:sz w:val="18"/>
                <w:szCs w:val="18"/>
              </w:rPr>
              <w:t>MSAC</w:t>
            </w:r>
            <w:r w:rsidRPr="00F66D58">
              <w:rPr>
                <w:rFonts w:asciiTheme="minorHAnsi" w:hAnsiTheme="minorHAnsi" w:cstheme="minorHAnsi"/>
                <w:color w:val="000000"/>
                <w:sz w:val="18"/>
                <w:szCs w:val="18"/>
              </w:rPr>
              <w:t xml:space="preserve"> supported its preferred approach of a CPS </w:t>
            </w:r>
            <w:r w:rsidR="00492B52">
              <w:rPr>
                <w:rFonts w:ascii="Calibri" w:hAnsi="Calibri" w:cs="Calibri"/>
                <w:color w:val="000000"/>
                <w:sz w:val="18"/>
                <w:szCs w:val="18"/>
              </w:rPr>
              <w:t>≥</w:t>
            </w:r>
            <w:r w:rsidRPr="00F66D58">
              <w:rPr>
                <w:rFonts w:asciiTheme="minorHAnsi" w:hAnsiTheme="minorHAnsi" w:cstheme="minorHAnsi"/>
                <w:color w:val="000000"/>
                <w:sz w:val="18"/>
                <w:szCs w:val="18"/>
              </w:rPr>
              <w:t>20 threshold for pembrolizumab monotherapy and an all</w:t>
            </w:r>
            <w:r w:rsidR="00E35FC8">
              <w:rPr>
                <w:rFonts w:asciiTheme="minorHAnsi" w:hAnsiTheme="minorHAnsi" w:cstheme="minorHAnsi"/>
                <w:color w:val="000000"/>
                <w:sz w:val="18"/>
                <w:szCs w:val="18"/>
              </w:rPr>
              <w:t>-</w:t>
            </w:r>
            <w:r w:rsidRPr="00F66D58">
              <w:rPr>
                <w:rFonts w:asciiTheme="minorHAnsi" w:hAnsiTheme="minorHAnsi" w:cstheme="minorHAnsi"/>
                <w:color w:val="000000"/>
                <w:sz w:val="18"/>
                <w:szCs w:val="18"/>
              </w:rPr>
              <w:t>comers population for pembrolizumab plus chemotherapy.</w:t>
            </w:r>
          </w:p>
        </w:tc>
      </w:tr>
      <w:tr w:rsidR="00575F52" w:rsidRPr="00567D48" w14:paraId="36CF652D" w14:textId="77777777" w:rsidTr="007128F7">
        <w:trPr>
          <w:cantSplit/>
          <w:trHeight w:val="2948"/>
        </w:trPr>
        <w:tc>
          <w:tcPr>
            <w:tcW w:w="2973" w:type="dxa"/>
            <w:shd w:val="clear" w:color="auto" w:fill="auto"/>
            <w:tcMar>
              <w:top w:w="28" w:type="dxa"/>
              <w:bottom w:w="28" w:type="dxa"/>
            </w:tcMar>
            <w:vAlign w:val="center"/>
          </w:tcPr>
          <w:p w14:paraId="1B5EE4C4" w14:textId="10E20F6C" w:rsidR="00575F52" w:rsidRPr="00D5001E" w:rsidRDefault="00575F52" w:rsidP="00575F52">
            <w:pPr>
              <w:keepLines/>
              <w:rPr>
                <w:rFonts w:asciiTheme="minorHAnsi" w:hAnsiTheme="minorHAnsi" w:cstheme="minorHAnsi"/>
                <w:sz w:val="18"/>
                <w:szCs w:val="18"/>
                <w:highlight w:val="yellow"/>
              </w:rPr>
            </w:pPr>
            <w:r w:rsidRPr="00D5001E">
              <w:rPr>
                <w:rFonts w:asciiTheme="minorHAnsi" w:hAnsiTheme="minorHAnsi" w:cstheme="minorHAnsi"/>
                <w:color w:val="000000"/>
                <w:sz w:val="18"/>
                <w:szCs w:val="18"/>
              </w:rPr>
              <w:lastRenderedPageBreak/>
              <w:t>PEMBROLIZUMAB</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Solution concentrate for I.V. infusion 100 mg in 4 mL</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Keytruda®</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Merck Sharp &amp; Dohme (Australia) Pty Ltd</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Category 1 submission</w:t>
            </w:r>
            <w:r w:rsidRPr="00D5001E">
              <w:rPr>
                <w:rFonts w:asciiTheme="minorHAnsi" w:hAnsiTheme="minorHAnsi" w:cstheme="minorHAnsi"/>
                <w:color w:val="000000"/>
                <w:sz w:val="18"/>
                <w:szCs w:val="18"/>
              </w:rPr>
              <w:br/>
              <w:t>(Change to PBS listing)</w:t>
            </w:r>
          </w:p>
        </w:tc>
        <w:tc>
          <w:tcPr>
            <w:tcW w:w="2491" w:type="dxa"/>
            <w:shd w:val="clear" w:color="auto" w:fill="auto"/>
            <w:vAlign w:val="center"/>
          </w:tcPr>
          <w:p w14:paraId="227B022E" w14:textId="4B7660B9" w:rsidR="00575F52" w:rsidRPr="00D5001E" w:rsidRDefault="00575F52" w:rsidP="00575F52">
            <w:pPr>
              <w:keepLines/>
              <w:widowControl w:val="0"/>
              <w:rPr>
                <w:rFonts w:asciiTheme="minorHAnsi" w:hAnsiTheme="minorHAnsi" w:cstheme="minorHAnsi"/>
                <w:snapToGrid w:val="0"/>
                <w:sz w:val="18"/>
                <w:szCs w:val="18"/>
                <w:highlight w:val="yellow"/>
                <w:lang w:eastAsia="en-US"/>
              </w:rPr>
            </w:pPr>
            <w:r w:rsidRPr="00D5001E">
              <w:rPr>
                <w:rFonts w:asciiTheme="minorHAnsi" w:hAnsiTheme="minorHAnsi" w:cstheme="minorHAnsi"/>
                <w:color w:val="000000"/>
                <w:sz w:val="18"/>
                <w:szCs w:val="18"/>
              </w:rPr>
              <w:t>Endometrial cancer</w:t>
            </w:r>
          </w:p>
        </w:tc>
        <w:tc>
          <w:tcPr>
            <w:tcW w:w="3887" w:type="dxa"/>
            <w:shd w:val="clear" w:color="auto" w:fill="auto"/>
            <w:tcMar>
              <w:top w:w="28" w:type="dxa"/>
              <w:bottom w:w="28" w:type="dxa"/>
            </w:tcMar>
            <w:vAlign w:val="center"/>
          </w:tcPr>
          <w:p w14:paraId="6AD4C459" w14:textId="77777777" w:rsidR="00E37482" w:rsidRDefault="00575F52" w:rsidP="00575F52">
            <w:pPr>
              <w:pStyle w:val="ListParagraph"/>
              <w:keepLines/>
              <w:ind w:left="0"/>
              <w:rPr>
                <w:rFonts w:asciiTheme="minorHAnsi" w:hAnsiTheme="minorHAnsi" w:cstheme="minorHAnsi"/>
                <w:color w:val="000000"/>
                <w:sz w:val="18"/>
                <w:szCs w:val="18"/>
              </w:rPr>
            </w:pPr>
            <w:r w:rsidRPr="00D5001E">
              <w:rPr>
                <w:rFonts w:asciiTheme="minorHAnsi" w:hAnsiTheme="minorHAnsi" w:cstheme="minorHAnsi"/>
                <w:color w:val="000000"/>
                <w:sz w:val="18"/>
                <w:szCs w:val="18"/>
              </w:rPr>
              <w:t xml:space="preserve">To request a Section 100 (Efficient Funding of Chemotherapy Program) Authority Required listing, in combination with lenvatinib, for the treatment of patients with advanced endometrial cancer (regardless of biomarker status) who have disease progression following prior systemic therapy. </w:t>
            </w:r>
            <w:r w:rsidRPr="00D5001E">
              <w:rPr>
                <w:rFonts w:asciiTheme="minorHAnsi" w:hAnsiTheme="minorHAnsi" w:cstheme="minorHAnsi"/>
                <w:color w:val="000000"/>
                <w:sz w:val="18"/>
                <w:szCs w:val="18"/>
              </w:rPr>
              <w:br/>
            </w:r>
          </w:p>
          <w:p w14:paraId="640F636B" w14:textId="3A41011F"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The submission also requests a listing for pembrolizumab monotherapy for those patients with deficient DNA mismatch repair.</w:t>
            </w:r>
          </w:p>
        </w:tc>
        <w:tc>
          <w:tcPr>
            <w:tcW w:w="1984" w:type="dxa"/>
            <w:shd w:val="clear" w:color="auto" w:fill="auto"/>
            <w:vAlign w:val="center"/>
          </w:tcPr>
          <w:p w14:paraId="3D65EF5D" w14:textId="463E04B3"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Recommended</w:t>
            </w:r>
          </w:p>
        </w:tc>
        <w:tc>
          <w:tcPr>
            <w:tcW w:w="4053" w:type="dxa"/>
            <w:shd w:val="clear" w:color="auto" w:fill="auto"/>
            <w:vAlign w:val="center"/>
          </w:tcPr>
          <w:p w14:paraId="0A9CA76B" w14:textId="1B1A0211" w:rsidR="00575F52" w:rsidRPr="00D5001E" w:rsidRDefault="00575F52" w:rsidP="00575F52">
            <w:pPr>
              <w:pStyle w:val="ListParagraph"/>
              <w:keepLines/>
              <w:ind w:left="0"/>
              <w:rPr>
                <w:rFonts w:asciiTheme="minorHAnsi" w:hAnsiTheme="minorHAnsi" w:cstheme="minorHAnsi"/>
                <w:color w:val="000000"/>
                <w:sz w:val="18"/>
                <w:szCs w:val="18"/>
                <w:highlight w:val="yellow"/>
              </w:rPr>
            </w:pPr>
            <w:r w:rsidRPr="00D5001E">
              <w:rPr>
                <w:rFonts w:asciiTheme="minorHAnsi" w:hAnsiTheme="minorHAnsi" w:cstheme="minorHAnsi"/>
                <w:color w:val="000000"/>
                <w:sz w:val="18"/>
                <w:szCs w:val="18"/>
              </w:rPr>
              <w:t xml:space="preserve">The PBAC recommended the listing of pembrolizumab in combination with lenvatinib for the treatment of patients with advanced endometrial cancer who have disease progression following prior systemic therapy regardless of biomarker status. The PBAC considered that pembrolizumab plus lenvatinib provides superior efficacy, including improvements in overall survival, compared with chemotherapy. The PBAC noted this clear benefit was observed in all-comers in the key trial (KN775) regardless of biomarker status. The PBAC considered that pembrolizumab plus lenvatinib would be cost-effective at the cost per patient proposed by the sponsor. </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 xml:space="preserve">In making this recommendation, the PBAC acknowledged the high unmet need for effective therapies to treat this condition. </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While the submission had also proposed that pembrolizumab be used as monotherapy in patients with deficient DNA mismatch repair endometrial cancer, the PBAC recommended combination therapy (pembrolizumab plus lenvatinib) be listed for all patients regardless of biomarker status, consistent with the key randomised trial data. The PBAC considered that the incremental benefit of pembrolizumab monotherapy, which was based on a relatively small single arm study, had not been adequately quantified in the submission.</w:t>
            </w:r>
          </w:p>
        </w:tc>
      </w:tr>
      <w:tr w:rsidR="00575F52" w:rsidRPr="00567D48" w14:paraId="57B423B7" w14:textId="77777777" w:rsidTr="007128F7">
        <w:trPr>
          <w:cantSplit/>
          <w:trHeight w:val="2948"/>
        </w:trPr>
        <w:tc>
          <w:tcPr>
            <w:tcW w:w="2973" w:type="dxa"/>
            <w:shd w:val="clear" w:color="auto" w:fill="auto"/>
            <w:tcMar>
              <w:top w:w="28" w:type="dxa"/>
              <w:bottom w:w="28" w:type="dxa"/>
            </w:tcMar>
            <w:vAlign w:val="center"/>
          </w:tcPr>
          <w:p w14:paraId="35F56B33" w14:textId="48882D87" w:rsidR="00575F52" w:rsidRPr="00D5001E" w:rsidRDefault="00575F52" w:rsidP="00575F52">
            <w:pPr>
              <w:keepLines/>
              <w:rPr>
                <w:rFonts w:asciiTheme="minorHAnsi" w:hAnsiTheme="minorHAnsi" w:cstheme="minorHAnsi"/>
                <w:sz w:val="18"/>
                <w:szCs w:val="18"/>
                <w:highlight w:val="yellow"/>
              </w:rPr>
            </w:pPr>
            <w:r w:rsidRPr="00D5001E">
              <w:rPr>
                <w:rFonts w:asciiTheme="minorHAnsi" w:hAnsiTheme="minorHAnsi" w:cstheme="minorHAnsi"/>
                <w:color w:val="000000"/>
                <w:sz w:val="18"/>
                <w:szCs w:val="18"/>
              </w:rPr>
              <w:lastRenderedPageBreak/>
              <w:t xml:space="preserve">PEMBROLIZUMAB </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Solution concentrate for I.V. infusion 100 mg in 4 mL</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Keytruda®</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Merck Sharp &amp; Dohme (Australia) Pty Ltd</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Category 2 submission</w:t>
            </w:r>
            <w:r w:rsidRPr="00D5001E">
              <w:rPr>
                <w:rFonts w:asciiTheme="minorHAnsi" w:hAnsiTheme="minorHAnsi" w:cstheme="minorHAnsi"/>
                <w:color w:val="000000"/>
                <w:sz w:val="18"/>
                <w:szCs w:val="18"/>
              </w:rPr>
              <w:br/>
              <w:t>(Change to PBS listing)</w:t>
            </w:r>
          </w:p>
        </w:tc>
        <w:tc>
          <w:tcPr>
            <w:tcW w:w="2491" w:type="dxa"/>
            <w:shd w:val="clear" w:color="auto" w:fill="auto"/>
            <w:vAlign w:val="center"/>
          </w:tcPr>
          <w:p w14:paraId="231E6739" w14:textId="2B4761BF" w:rsidR="00575F52" w:rsidRPr="000F0297" w:rsidRDefault="00575F52" w:rsidP="00575F52">
            <w:pPr>
              <w:keepLines/>
              <w:widowControl w:val="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Renal cell carcinoma</w:t>
            </w:r>
          </w:p>
        </w:tc>
        <w:tc>
          <w:tcPr>
            <w:tcW w:w="3887" w:type="dxa"/>
            <w:shd w:val="clear" w:color="auto" w:fill="auto"/>
            <w:tcMar>
              <w:top w:w="28" w:type="dxa"/>
              <w:bottom w:w="28" w:type="dxa"/>
            </w:tcMar>
            <w:vAlign w:val="center"/>
          </w:tcPr>
          <w:p w14:paraId="606AAFDA" w14:textId="0C87FABC"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To request a Section 100 (Efficient Funding of Chemotherapy Program) Authority Required (STREAMLINED) listing, in combination with lenvatinib, for the first-line treatment of patients with advanced clear cell variant renal cell carcinoma.</w:t>
            </w:r>
          </w:p>
        </w:tc>
        <w:tc>
          <w:tcPr>
            <w:tcW w:w="1984" w:type="dxa"/>
            <w:shd w:val="clear" w:color="auto" w:fill="auto"/>
            <w:vAlign w:val="center"/>
          </w:tcPr>
          <w:p w14:paraId="77E9163C" w14:textId="2A18AB09"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Recommended</w:t>
            </w:r>
          </w:p>
        </w:tc>
        <w:tc>
          <w:tcPr>
            <w:tcW w:w="4053" w:type="dxa"/>
            <w:shd w:val="clear" w:color="auto" w:fill="auto"/>
            <w:vAlign w:val="center"/>
          </w:tcPr>
          <w:p w14:paraId="4406E60C" w14:textId="466AE817" w:rsidR="00575F52" w:rsidRPr="000F0297" w:rsidRDefault="00575F52" w:rsidP="00575F52">
            <w:pPr>
              <w:pStyle w:val="ListParagraph"/>
              <w:keepLines/>
              <w:ind w:left="0"/>
              <w:rPr>
                <w:rFonts w:asciiTheme="minorHAnsi" w:hAnsiTheme="minorHAnsi" w:cstheme="minorHAnsi"/>
                <w:color w:val="000000"/>
                <w:sz w:val="18"/>
                <w:szCs w:val="18"/>
              </w:rPr>
            </w:pPr>
            <w:r w:rsidRPr="00D5001E">
              <w:rPr>
                <w:rFonts w:asciiTheme="minorHAnsi" w:hAnsiTheme="minorHAnsi" w:cstheme="minorHAnsi"/>
                <w:color w:val="000000"/>
                <w:sz w:val="18"/>
                <w:szCs w:val="18"/>
              </w:rPr>
              <w:t>The PBAC recommended the listing of pembrolizumab for use in combination with lenvatinib (PEM+LEN) for the treatment of advanced (Stage IV) clear cell variant renal cell carcinoma (</w:t>
            </w:r>
            <w:proofErr w:type="spellStart"/>
            <w:r w:rsidRPr="00D5001E">
              <w:rPr>
                <w:rFonts w:asciiTheme="minorHAnsi" w:hAnsiTheme="minorHAnsi" w:cstheme="minorHAnsi"/>
                <w:color w:val="000000"/>
                <w:sz w:val="18"/>
                <w:szCs w:val="18"/>
              </w:rPr>
              <w:t>aRCC</w:t>
            </w:r>
            <w:proofErr w:type="spellEnd"/>
            <w:r w:rsidRPr="00D5001E">
              <w:rPr>
                <w:rFonts w:asciiTheme="minorHAnsi" w:hAnsiTheme="minorHAnsi" w:cstheme="minorHAnsi"/>
                <w:color w:val="000000"/>
                <w:sz w:val="18"/>
                <w:szCs w:val="18"/>
              </w:rPr>
              <w:t xml:space="preserve">) in patients who are classified as intermediate or poor risk. The PBAC was satisfied that PEM+LEN was likely non-inferior to the nominated comparator, nivolumab plus ipilimumab (NIVO+IPI) in terms of overall survival and has a different, yet non-inferior, safety profile. The PBAC recommended listing on a cost-minimisation basis compared to NIVO+IPI, </w:t>
            </w:r>
            <w:proofErr w:type="gramStart"/>
            <w:r w:rsidRPr="00D5001E">
              <w:rPr>
                <w:rFonts w:asciiTheme="minorHAnsi" w:hAnsiTheme="minorHAnsi" w:cstheme="minorHAnsi"/>
                <w:color w:val="000000"/>
                <w:sz w:val="18"/>
                <w:szCs w:val="18"/>
              </w:rPr>
              <w:t>taking into account</w:t>
            </w:r>
            <w:proofErr w:type="gramEnd"/>
            <w:r w:rsidRPr="00D5001E">
              <w:rPr>
                <w:rFonts w:asciiTheme="minorHAnsi" w:hAnsiTheme="minorHAnsi" w:cstheme="minorHAnsi"/>
                <w:color w:val="000000"/>
                <w:sz w:val="18"/>
                <w:szCs w:val="18"/>
              </w:rPr>
              <w:t xml:space="preserve"> the likely duration of treatment for each therapy. The PBAC advised that PEM+LEN should join the existing risk sharing arrangement. The PBAC recommended potential flow on changes to the PBS restrictions for LEN to allow its use in </w:t>
            </w:r>
            <w:proofErr w:type="spellStart"/>
            <w:r w:rsidRPr="00D5001E">
              <w:rPr>
                <w:rFonts w:asciiTheme="minorHAnsi" w:hAnsiTheme="minorHAnsi" w:cstheme="minorHAnsi"/>
                <w:color w:val="000000"/>
                <w:sz w:val="18"/>
                <w:szCs w:val="18"/>
              </w:rPr>
              <w:t>aRCC</w:t>
            </w:r>
            <w:proofErr w:type="spellEnd"/>
            <w:r w:rsidRPr="00D5001E">
              <w:rPr>
                <w:rFonts w:asciiTheme="minorHAnsi" w:hAnsiTheme="minorHAnsi" w:cstheme="minorHAnsi"/>
                <w:color w:val="000000"/>
                <w:sz w:val="18"/>
                <w:szCs w:val="18"/>
              </w:rPr>
              <w:t xml:space="preserve"> and to nivolumab to align wording around the prognostic risk score assessment.</w:t>
            </w:r>
          </w:p>
        </w:tc>
      </w:tr>
      <w:tr w:rsidR="00575F52" w:rsidRPr="00567D48" w14:paraId="174305A1" w14:textId="77777777" w:rsidTr="007128F7">
        <w:trPr>
          <w:cantSplit/>
          <w:trHeight w:val="2948"/>
        </w:trPr>
        <w:tc>
          <w:tcPr>
            <w:tcW w:w="2973" w:type="dxa"/>
            <w:shd w:val="clear" w:color="auto" w:fill="auto"/>
            <w:tcMar>
              <w:top w:w="28" w:type="dxa"/>
              <w:bottom w:w="28" w:type="dxa"/>
            </w:tcMar>
            <w:vAlign w:val="center"/>
          </w:tcPr>
          <w:p w14:paraId="237F6F66" w14:textId="4EFD7943" w:rsidR="00575F52" w:rsidRPr="00D5001E" w:rsidRDefault="00575F52" w:rsidP="00575F52">
            <w:pPr>
              <w:keepLines/>
              <w:rPr>
                <w:rFonts w:asciiTheme="minorHAnsi" w:hAnsiTheme="minorHAnsi" w:cstheme="minorHAnsi"/>
                <w:sz w:val="18"/>
                <w:szCs w:val="18"/>
                <w:highlight w:val="yellow"/>
              </w:rPr>
            </w:pPr>
            <w:r w:rsidRPr="00D5001E">
              <w:rPr>
                <w:rFonts w:asciiTheme="minorHAnsi" w:hAnsiTheme="minorHAnsi" w:cstheme="minorHAnsi"/>
                <w:color w:val="000000"/>
                <w:sz w:val="18"/>
                <w:szCs w:val="18"/>
              </w:rPr>
              <w:lastRenderedPageBreak/>
              <w:t>PEMBROLIZUMAB</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Solution concentrate for I.V. infusion 100 mg in 4 mL</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Keytruda®</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Merck Sharp &amp; Dohme (Australia) Pty Ltd</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Early resolution submission</w:t>
            </w:r>
            <w:r w:rsidRPr="00D5001E">
              <w:rPr>
                <w:rFonts w:asciiTheme="minorHAnsi" w:hAnsiTheme="minorHAnsi" w:cstheme="minorHAnsi"/>
                <w:color w:val="000000"/>
                <w:sz w:val="18"/>
                <w:szCs w:val="18"/>
              </w:rPr>
              <w:br/>
              <w:t>(Change to PBS listing)</w:t>
            </w:r>
          </w:p>
        </w:tc>
        <w:tc>
          <w:tcPr>
            <w:tcW w:w="2491" w:type="dxa"/>
            <w:shd w:val="clear" w:color="auto" w:fill="auto"/>
            <w:vAlign w:val="center"/>
          </w:tcPr>
          <w:p w14:paraId="6AE1573F" w14:textId="125ABA48" w:rsidR="00575F52" w:rsidRPr="00D5001E" w:rsidRDefault="00575F52" w:rsidP="00575F52">
            <w:pPr>
              <w:keepLines/>
              <w:widowControl w:val="0"/>
              <w:rPr>
                <w:rFonts w:asciiTheme="minorHAnsi" w:hAnsiTheme="minorHAnsi" w:cstheme="minorHAnsi"/>
                <w:snapToGrid w:val="0"/>
                <w:sz w:val="18"/>
                <w:szCs w:val="18"/>
                <w:highlight w:val="yellow"/>
                <w:lang w:eastAsia="en-US"/>
              </w:rPr>
            </w:pPr>
            <w:r w:rsidRPr="00D5001E">
              <w:rPr>
                <w:rFonts w:asciiTheme="minorHAnsi" w:hAnsiTheme="minorHAnsi" w:cstheme="minorHAnsi"/>
                <w:color w:val="000000"/>
                <w:sz w:val="18"/>
                <w:szCs w:val="18"/>
              </w:rPr>
              <w:t>Oesophageal carcinoma or HER-2-negative gastroesophageal junction adenocarcinoma</w:t>
            </w:r>
          </w:p>
        </w:tc>
        <w:tc>
          <w:tcPr>
            <w:tcW w:w="3887" w:type="dxa"/>
            <w:shd w:val="clear" w:color="auto" w:fill="auto"/>
            <w:tcMar>
              <w:top w:w="28" w:type="dxa"/>
              <w:bottom w:w="28" w:type="dxa"/>
            </w:tcMar>
            <w:vAlign w:val="center"/>
          </w:tcPr>
          <w:p w14:paraId="61DCF8C1" w14:textId="4E189A5D" w:rsidR="00575F52" w:rsidRPr="00D5001E" w:rsidRDefault="00575F52" w:rsidP="00575F52">
            <w:pPr>
              <w:pStyle w:val="ListParagraph"/>
              <w:keepLines/>
              <w:ind w:left="0"/>
              <w:rPr>
                <w:rFonts w:asciiTheme="minorHAnsi" w:hAnsiTheme="minorHAnsi" w:cstheme="minorHAnsi"/>
                <w:snapToGrid w:val="0"/>
                <w:sz w:val="18"/>
                <w:szCs w:val="18"/>
                <w:highlight w:val="yellow"/>
                <w:lang w:eastAsia="en-US"/>
              </w:rPr>
            </w:pPr>
            <w:r w:rsidRPr="00D5001E">
              <w:rPr>
                <w:rFonts w:asciiTheme="minorHAnsi" w:hAnsiTheme="minorHAnsi" w:cstheme="minorHAnsi"/>
                <w:color w:val="000000"/>
                <w:sz w:val="18"/>
                <w:szCs w:val="18"/>
              </w:rPr>
              <w:t>Resubmission to request listing a Section 100 (Efficient Funding of Chemotherapy Program) Authority Required (STREAMLINED) listing for the first-line treatment of locally advanced or metastatic oesophageal carcinoma or HER-2-negative gastroesophageal junction adenocarcinoma.</w:t>
            </w:r>
          </w:p>
        </w:tc>
        <w:tc>
          <w:tcPr>
            <w:tcW w:w="1984" w:type="dxa"/>
            <w:shd w:val="clear" w:color="auto" w:fill="auto"/>
            <w:vAlign w:val="center"/>
          </w:tcPr>
          <w:p w14:paraId="75400177" w14:textId="1B6A58C6" w:rsidR="00575F52" w:rsidRPr="00D5001E" w:rsidRDefault="00575F52" w:rsidP="00575F52">
            <w:pPr>
              <w:pStyle w:val="ListParagraph"/>
              <w:keepLines/>
              <w:ind w:left="0"/>
              <w:rPr>
                <w:rFonts w:asciiTheme="minorHAnsi" w:hAnsiTheme="minorHAnsi" w:cstheme="minorHAnsi"/>
                <w:snapToGrid w:val="0"/>
                <w:sz w:val="18"/>
                <w:szCs w:val="18"/>
                <w:highlight w:val="yellow"/>
                <w:lang w:eastAsia="en-US"/>
              </w:rPr>
            </w:pPr>
            <w:r w:rsidRPr="00D5001E">
              <w:rPr>
                <w:rFonts w:asciiTheme="minorHAnsi" w:hAnsiTheme="minorHAnsi" w:cstheme="minorHAnsi"/>
                <w:color w:val="000000"/>
                <w:sz w:val="18"/>
                <w:szCs w:val="18"/>
              </w:rPr>
              <w:t>Deferred</w:t>
            </w:r>
          </w:p>
        </w:tc>
        <w:tc>
          <w:tcPr>
            <w:tcW w:w="4053" w:type="dxa"/>
            <w:shd w:val="clear" w:color="auto" w:fill="auto"/>
            <w:vAlign w:val="center"/>
          </w:tcPr>
          <w:p w14:paraId="0797CDAF" w14:textId="384C7FE8" w:rsidR="00575F52" w:rsidRPr="00A45121" w:rsidRDefault="00575F52" w:rsidP="00575F52">
            <w:pPr>
              <w:pStyle w:val="ListParagraph"/>
              <w:keepLines/>
              <w:ind w:left="0"/>
              <w:rPr>
                <w:rFonts w:asciiTheme="minorHAnsi" w:hAnsiTheme="minorHAnsi" w:cstheme="minorHAnsi"/>
                <w:color w:val="000000"/>
                <w:sz w:val="18"/>
                <w:szCs w:val="18"/>
              </w:rPr>
            </w:pPr>
            <w:r w:rsidRPr="00D5001E">
              <w:rPr>
                <w:rFonts w:asciiTheme="minorHAnsi" w:hAnsiTheme="minorHAnsi" w:cstheme="minorHAnsi"/>
                <w:color w:val="000000"/>
                <w:sz w:val="18"/>
                <w:szCs w:val="18"/>
              </w:rPr>
              <w:t xml:space="preserve">The PBAC deferred making a recommendation to list </w:t>
            </w:r>
            <w:r w:rsidRPr="00A45121">
              <w:rPr>
                <w:rFonts w:asciiTheme="minorHAnsi" w:hAnsiTheme="minorHAnsi" w:cstheme="minorHAnsi"/>
                <w:color w:val="000000"/>
                <w:sz w:val="18"/>
                <w:szCs w:val="18"/>
              </w:rPr>
              <w:t>pembrolizumab in combination with chemotherapy for the first-line treatment of advanced or metastatic gastro-oesophageal cancers as defined by the specific tumour types included in the approved TGA</w:t>
            </w:r>
            <w:r w:rsidR="00FF3B8C">
              <w:rPr>
                <w:rFonts w:asciiTheme="minorHAnsi" w:hAnsiTheme="minorHAnsi" w:cstheme="minorHAnsi"/>
                <w:color w:val="000000"/>
                <w:sz w:val="18"/>
                <w:szCs w:val="18"/>
              </w:rPr>
              <w:t xml:space="preserve"> registered</w:t>
            </w:r>
            <w:r w:rsidRPr="00A45121">
              <w:rPr>
                <w:rFonts w:asciiTheme="minorHAnsi" w:hAnsiTheme="minorHAnsi" w:cstheme="minorHAnsi"/>
                <w:color w:val="000000"/>
                <w:sz w:val="18"/>
                <w:szCs w:val="18"/>
              </w:rPr>
              <w:t xml:space="preserve"> indications. The PBAC advised further discussions were required regarding appropriate restriction criteria, a cost-effective price and parameters for a risk sharing arrangement.</w:t>
            </w:r>
          </w:p>
          <w:p w14:paraId="3BB8C915" w14:textId="77777777" w:rsidR="00575F52" w:rsidRPr="00A45121" w:rsidRDefault="00575F52" w:rsidP="00575F52">
            <w:pPr>
              <w:pStyle w:val="ListParagraph"/>
              <w:keepLines/>
              <w:ind w:left="0"/>
              <w:rPr>
                <w:rFonts w:asciiTheme="minorHAnsi" w:hAnsiTheme="minorHAnsi" w:cstheme="minorHAnsi"/>
                <w:color w:val="000000"/>
                <w:sz w:val="18"/>
                <w:szCs w:val="18"/>
                <w:highlight w:val="yellow"/>
              </w:rPr>
            </w:pPr>
          </w:p>
          <w:p w14:paraId="2D5E51B9" w14:textId="77777777" w:rsidR="00575F52" w:rsidRDefault="00575F52" w:rsidP="00575F52">
            <w:pPr>
              <w:pStyle w:val="ListParagraph"/>
              <w:keepLines/>
              <w:ind w:left="0"/>
              <w:rPr>
                <w:rFonts w:asciiTheme="minorHAnsi" w:hAnsiTheme="minorHAnsi" w:cstheme="minorHAnsi"/>
                <w:color w:val="000000"/>
                <w:sz w:val="18"/>
                <w:szCs w:val="18"/>
                <w:u w:val="single"/>
              </w:rPr>
            </w:pPr>
            <w:r w:rsidRPr="00A45121">
              <w:rPr>
                <w:rFonts w:asciiTheme="minorHAnsi" w:hAnsiTheme="minorHAnsi" w:cstheme="minorHAnsi"/>
                <w:color w:val="000000"/>
                <w:sz w:val="18"/>
                <w:szCs w:val="18"/>
                <w:u w:val="single"/>
              </w:rPr>
              <w:t>Sponsor Comment:</w:t>
            </w:r>
          </w:p>
          <w:p w14:paraId="33852E03" w14:textId="5BF36209" w:rsidR="004526B0" w:rsidRPr="00D5001E" w:rsidRDefault="004526B0" w:rsidP="004C366F">
            <w:pPr>
              <w:pStyle w:val="ListParagraph"/>
              <w:keepLines/>
              <w:ind w:left="0"/>
              <w:rPr>
                <w:rFonts w:asciiTheme="minorHAnsi" w:hAnsiTheme="minorHAnsi" w:cstheme="minorHAnsi"/>
                <w:color w:val="000000"/>
                <w:sz w:val="18"/>
                <w:szCs w:val="18"/>
                <w:highlight w:val="yellow"/>
              </w:rPr>
            </w:pPr>
            <w:r w:rsidRPr="004526B0">
              <w:rPr>
                <w:rFonts w:asciiTheme="minorHAnsi" w:hAnsiTheme="minorHAnsi" w:cstheme="minorHAnsi"/>
                <w:color w:val="000000"/>
                <w:sz w:val="18"/>
                <w:szCs w:val="18"/>
              </w:rPr>
              <w:t>MSD is concerned with the decision to defer making a recommendation for pembrolizumab in combination with chemotherapy for the treatment of gastro-oesophageal cancers given MSD committed to the early resolution pathway in December 2021. MSD notes the broad listing approach in line with TGA indications under consideration will create complexities in developing an RSA that wi</w:t>
            </w:r>
            <w:r w:rsidR="0029707F">
              <w:rPr>
                <w:rFonts w:asciiTheme="minorHAnsi" w:hAnsiTheme="minorHAnsi" w:cstheme="minorHAnsi"/>
                <w:color w:val="000000"/>
                <w:sz w:val="18"/>
                <w:szCs w:val="18"/>
              </w:rPr>
              <w:t xml:space="preserve">ll be acceptable. </w:t>
            </w:r>
          </w:p>
        </w:tc>
      </w:tr>
      <w:tr w:rsidR="00F51F74" w:rsidRPr="00567D48" w14:paraId="0C73F0D9" w14:textId="77777777" w:rsidTr="00F51F74">
        <w:trPr>
          <w:cantSplit/>
          <w:trHeight w:val="2948"/>
        </w:trPr>
        <w:tc>
          <w:tcPr>
            <w:tcW w:w="2973" w:type="dxa"/>
            <w:shd w:val="clear" w:color="auto" w:fill="D9D9D9" w:themeFill="background1" w:themeFillShade="D9"/>
            <w:tcMar>
              <w:top w:w="28" w:type="dxa"/>
              <w:bottom w:w="28" w:type="dxa"/>
            </w:tcMar>
            <w:vAlign w:val="center"/>
          </w:tcPr>
          <w:p w14:paraId="6B6108F1" w14:textId="77777777" w:rsidR="00F51F74" w:rsidRDefault="00F51F74" w:rsidP="00F51F74">
            <w:pPr>
              <w:rPr>
                <w:rFonts w:asciiTheme="minorHAnsi" w:hAnsiTheme="minorHAnsi" w:cstheme="minorHAnsi"/>
                <w:color w:val="000000"/>
                <w:sz w:val="18"/>
                <w:szCs w:val="18"/>
              </w:rPr>
            </w:pPr>
            <w:r w:rsidRPr="00F51F74">
              <w:rPr>
                <w:rFonts w:asciiTheme="minorHAnsi" w:hAnsiTheme="minorHAnsi" w:cstheme="minorHAnsi"/>
                <w:color w:val="000000"/>
                <w:sz w:val="18"/>
                <w:szCs w:val="18"/>
              </w:rPr>
              <w:t>QUADRIVALENT INFLUENZA VACCINE (SURFACE ANTIGEN, INACTIVATED, CELL-BASED)</w:t>
            </w:r>
            <w:r w:rsidRPr="00F51F74">
              <w:rPr>
                <w:rFonts w:asciiTheme="minorHAnsi" w:hAnsiTheme="minorHAnsi" w:cstheme="minorHAnsi"/>
                <w:color w:val="000000"/>
                <w:sz w:val="18"/>
                <w:szCs w:val="18"/>
              </w:rPr>
              <w:br/>
            </w:r>
            <w:r w:rsidRPr="00F51F74">
              <w:rPr>
                <w:rFonts w:asciiTheme="minorHAnsi" w:hAnsiTheme="minorHAnsi" w:cstheme="minorHAnsi"/>
                <w:color w:val="000000"/>
                <w:sz w:val="18"/>
                <w:szCs w:val="18"/>
              </w:rPr>
              <w:br/>
              <w:t>Injection 15 microgram in 0.5 mL needle-free pre-filled syringe</w:t>
            </w:r>
            <w:r w:rsidRPr="00F51F74">
              <w:rPr>
                <w:rFonts w:asciiTheme="minorHAnsi" w:hAnsiTheme="minorHAnsi" w:cstheme="minorHAnsi"/>
                <w:color w:val="000000"/>
                <w:sz w:val="18"/>
                <w:szCs w:val="18"/>
              </w:rPr>
              <w:br/>
              <w:t>Injection 15 microgram in 0.5 mL pre-filled syringe with attached needle</w:t>
            </w:r>
            <w:r w:rsidRPr="00F51F74">
              <w:rPr>
                <w:rFonts w:asciiTheme="minorHAnsi" w:hAnsiTheme="minorHAnsi" w:cstheme="minorHAnsi"/>
                <w:color w:val="000000"/>
                <w:sz w:val="18"/>
                <w:szCs w:val="18"/>
              </w:rPr>
              <w:br/>
            </w:r>
            <w:r w:rsidRPr="00F51F74">
              <w:rPr>
                <w:rFonts w:asciiTheme="minorHAnsi" w:hAnsiTheme="minorHAnsi" w:cstheme="minorHAnsi"/>
                <w:color w:val="000000"/>
                <w:sz w:val="18"/>
                <w:szCs w:val="18"/>
              </w:rPr>
              <w:br/>
              <w:t>Flucelvax® Quad</w:t>
            </w:r>
            <w:r w:rsidRPr="00F51F74">
              <w:rPr>
                <w:rFonts w:asciiTheme="minorHAnsi" w:hAnsiTheme="minorHAnsi" w:cstheme="minorHAnsi"/>
                <w:color w:val="000000"/>
                <w:sz w:val="18"/>
                <w:szCs w:val="18"/>
              </w:rPr>
              <w:br/>
            </w:r>
            <w:r w:rsidRPr="00F51F74">
              <w:rPr>
                <w:rFonts w:asciiTheme="minorHAnsi" w:hAnsiTheme="minorHAnsi" w:cstheme="minorHAnsi"/>
                <w:color w:val="000000"/>
                <w:sz w:val="18"/>
                <w:szCs w:val="18"/>
              </w:rPr>
              <w:br/>
              <w:t>Seqirus (Australia) Pty Ltd</w:t>
            </w:r>
            <w:r w:rsidRPr="00F51F74">
              <w:rPr>
                <w:rFonts w:asciiTheme="minorHAnsi" w:hAnsiTheme="minorHAnsi" w:cstheme="minorHAnsi"/>
                <w:color w:val="000000"/>
                <w:sz w:val="18"/>
                <w:szCs w:val="18"/>
              </w:rPr>
              <w:br/>
            </w:r>
          </w:p>
          <w:p w14:paraId="44643985" w14:textId="0E2C81CF" w:rsidR="00F51F74" w:rsidRPr="00F51F74" w:rsidRDefault="00F51F74" w:rsidP="00F51F74">
            <w:pPr>
              <w:rPr>
                <w:rFonts w:asciiTheme="minorHAnsi" w:hAnsiTheme="minorHAnsi" w:cstheme="minorHAnsi"/>
                <w:color w:val="000000"/>
                <w:sz w:val="18"/>
                <w:szCs w:val="18"/>
              </w:rPr>
            </w:pPr>
            <w:r>
              <w:rPr>
                <w:rFonts w:asciiTheme="minorHAnsi" w:hAnsiTheme="minorHAnsi" w:cstheme="minorHAnsi"/>
                <w:color w:val="000000"/>
                <w:sz w:val="18"/>
                <w:szCs w:val="18"/>
              </w:rPr>
              <w:t>Category 2 submission</w:t>
            </w:r>
            <w:r w:rsidRPr="00F51F74">
              <w:rPr>
                <w:rFonts w:asciiTheme="minorHAnsi" w:hAnsiTheme="minorHAnsi" w:cstheme="minorHAnsi"/>
                <w:color w:val="000000"/>
                <w:sz w:val="18"/>
                <w:szCs w:val="18"/>
              </w:rPr>
              <w:br/>
              <w:t>(New listing)</w:t>
            </w:r>
          </w:p>
        </w:tc>
        <w:tc>
          <w:tcPr>
            <w:tcW w:w="2491" w:type="dxa"/>
            <w:shd w:val="clear" w:color="auto" w:fill="D9D9D9" w:themeFill="background1" w:themeFillShade="D9"/>
            <w:vAlign w:val="center"/>
          </w:tcPr>
          <w:p w14:paraId="53FF6A93" w14:textId="02DFC1C1" w:rsidR="00F51F74" w:rsidRPr="00F51F74" w:rsidRDefault="00F51F74" w:rsidP="00F51F74">
            <w:pPr>
              <w:keepLines/>
              <w:widowControl w:val="0"/>
              <w:rPr>
                <w:rFonts w:asciiTheme="minorHAnsi" w:hAnsiTheme="minorHAnsi" w:cstheme="minorHAnsi"/>
                <w:color w:val="000000"/>
                <w:sz w:val="18"/>
                <w:szCs w:val="18"/>
              </w:rPr>
            </w:pPr>
            <w:r w:rsidRPr="00F51F74">
              <w:rPr>
                <w:rFonts w:asciiTheme="minorHAnsi" w:hAnsiTheme="minorHAnsi" w:cstheme="minorHAnsi"/>
                <w:color w:val="000000"/>
                <w:sz w:val="18"/>
                <w:szCs w:val="18"/>
              </w:rPr>
              <w:t>Prevention of influenza</w:t>
            </w:r>
          </w:p>
        </w:tc>
        <w:tc>
          <w:tcPr>
            <w:tcW w:w="3887" w:type="dxa"/>
            <w:shd w:val="clear" w:color="auto" w:fill="D9D9D9" w:themeFill="background1" w:themeFillShade="D9"/>
            <w:tcMar>
              <w:top w:w="28" w:type="dxa"/>
              <w:bottom w:w="28" w:type="dxa"/>
            </w:tcMar>
            <w:vAlign w:val="center"/>
          </w:tcPr>
          <w:p w14:paraId="08A85948" w14:textId="5D18AE34" w:rsidR="00F51F74" w:rsidRPr="00F51F74" w:rsidRDefault="00F51F74" w:rsidP="00F51F74">
            <w:pPr>
              <w:pStyle w:val="ListParagraph"/>
              <w:keepLines/>
              <w:ind w:left="0"/>
              <w:rPr>
                <w:rFonts w:asciiTheme="minorHAnsi" w:hAnsiTheme="minorHAnsi" w:cstheme="minorHAnsi"/>
                <w:color w:val="000000"/>
                <w:sz w:val="18"/>
                <w:szCs w:val="18"/>
              </w:rPr>
            </w:pPr>
            <w:r w:rsidRPr="00F51F74">
              <w:rPr>
                <w:rFonts w:asciiTheme="minorHAnsi" w:hAnsiTheme="minorHAnsi" w:cstheme="minorHAnsi"/>
                <w:color w:val="000000"/>
                <w:sz w:val="18"/>
                <w:szCs w:val="18"/>
              </w:rPr>
              <w:t>To request National Immunisation Program listing for the prevention of influenza.</w:t>
            </w:r>
          </w:p>
        </w:tc>
        <w:tc>
          <w:tcPr>
            <w:tcW w:w="1984" w:type="dxa"/>
            <w:shd w:val="clear" w:color="auto" w:fill="D9D9D9" w:themeFill="background1" w:themeFillShade="D9"/>
            <w:vAlign w:val="center"/>
          </w:tcPr>
          <w:p w14:paraId="3D75C465" w14:textId="1FF342CD" w:rsidR="00F51F74" w:rsidRPr="00575F52" w:rsidRDefault="00340A89" w:rsidP="00F51F74">
            <w:pPr>
              <w:pStyle w:val="ListParagraph"/>
              <w:keepLines/>
              <w:ind w:left="0"/>
              <w:rPr>
                <w:rFonts w:asciiTheme="minorHAnsi" w:hAnsiTheme="minorHAnsi" w:cstheme="minorHAnsi"/>
                <w:color w:val="000000"/>
                <w:sz w:val="18"/>
                <w:szCs w:val="18"/>
              </w:rPr>
            </w:pPr>
            <w:r>
              <w:rPr>
                <w:rFonts w:asciiTheme="minorHAnsi" w:hAnsiTheme="minorHAnsi" w:cstheme="minorHAnsi"/>
                <w:color w:val="000000"/>
                <w:sz w:val="18"/>
                <w:szCs w:val="18"/>
              </w:rPr>
              <w:t>Not applicable</w:t>
            </w:r>
          </w:p>
        </w:tc>
        <w:tc>
          <w:tcPr>
            <w:tcW w:w="4053" w:type="dxa"/>
            <w:shd w:val="clear" w:color="auto" w:fill="D9D9D9" w:themeFill="background1" w:themeFillShade="D9"/>
            <w:vAlign w:val="center"/>
          </w:tcPr>
          <w:p w14:paraId="69FC3B18" w14:textId="6DCEADE1" w:rsidR="00F51F74" w:rsidRPr="00F51F74" w:rsidRDefault="00340A89" w:rsidP="00F51F74">
            <w:pPr>
              <w:pStyle w:val="ListParagraph"/>
              <w:keepLines/>
              <w:ind w:left="0"/>
              <w:rPr>
                <w:rFonts w:asciiTheme="minorHAnsi" w:hAnsiTheme="minorHAnsi" w:cstheme="minorHAnsi"/>
                <w:color w:val="000000"/>
                <w:sz w:val="18"/>
                <w:szCs w:val="18"/>
              </w:rPr>
            </w:pPr>
            <w:r w:rsidRPr="00340A89">
              <w:rPr>
                <w:rFonts w:asciiTheme="minorHAnsi" w:hAnsiTheme="minorHAnsi" w:cstheme="minorHAnsi"/>
                <w:color w:val="000000"/>
                <w:sz w:val="18"/>
                <w:szCs w:val="18"/>
              </w:rPr>
              <w:t>This submission was withdrawn</w:t>
            </w:r>
            <w:r>
              <w:rPr>
                <w:rFonts w:asciiTheme="minorHAnsi" w:hAnsiTheme="minorHAnsi" w:cstheme="minorHAnsi"/>
                <w:color w:val="000000"/>
                <w:sz w:val="18"/>
                <w:szCs w:val="18"/>
              </w:rPr>
              <w:t>.</w:t>
            </w:r>
          </w:p>
        </w:tc>
      </w:tr>
      <w:tr w:rsidR="00575F52" w:rsidRPr="00567D48" w14:paraId="6E35D28E" w14:textId="77777777" w:rsidTr="007128F7">
        <w:trPr>
          <w:cantSplit/>
          <w:trHeight w:val="2948"/>
        </w:trPr>
        <w:tc>
          <w:tcPr>
            <w:tcW w:w="2973" w:type="dxa"/>
            <w:shd w:val="clear" w:color="auto" w:fill="auto"/>
            <w:tcMar>
              <w:top w:w="28" w:type="dxa"/>
              <w:bottom w:w="28" w:type="dxa"/>
            </w:tcMar>
            <w:vAlign w:val="center"/>
          </w:tcPr>
          <w:p w14:paraId="48660052" w14:textId="2E803E0B" w:rsidR="00575F52" w:rsidRPr="00575F52" w:rsidRDefault="00575F52" w:rsidP="00575F52">
            <w:pPr>
              <w:keepLines/>
              <w:rPr>
                <w:rFonts w:asciiTheme="minorHAnsi" w:hAnsiTheme="minorHAnsi" w:cstheme="minorHAnsi"/>
                <w:sz w:val="18"/>
                <w:szCs w:val="18"/>
              </w:rPr>
            </w:pPr>
            <w:r w:rsidRPr="00575F52">
              <w:rPr>
                <w:rFonts w:asciiTheme="minorHAnsi" w:hAnsiTheme="minorHAnsi" w:cstheme="minorHAnsi"/>
                <w:color w:val="000000"/>
                <w:sz w:val="18"/>
                <w:szCs w:val="18"/>
              </w:rPr>
              <w:lastRenderedPageBreak/>
              <w:t xml:space="preserve">RABEPRAZOLE </w:t>
            </w:r>
            <w:r w:rsidRPr="00575F52">
              <w:rPr>
                <w:rFonts w:asciiTheme="minorHAnsi" w:hAnsiTheme="minorHAnsi" w:cstheme="minorHAnsi"/>
                <w:color w:val="000000"/>
                <w:sz w:val="18"/>
                <w:szCs w:val="18"/>
              </w:rPr>
              <w:br/>
            </w:r>
            <w:r w:rsidRPr="00575F52">
              <w:rPr>
                <w:rFonts w:asciiTheme="minorHAnsi" w:hAnsiTheme="minorHAnsi" w:cstheme="minorHAnsi"/>
                <w:color w:val="000000"/>
                <w:sz w:val="18"/>
                <w:szCs w:val="18"/>
              </w:rPr>
              <w:br/>
              <w:t>Tablet containing rabeprazole sodium 20 mg (enteric coated)</w:t>
            </w:r>
            <w:r w:rsidRPr="00575F52">
              <w:rPr>
                <w:rFonts w:asciiTheme="minorHAnsi" w:hAnsiTheme="minorHAnsi" w:cstheme="minorHAnsi"/>
                <w:color w:val="000000"/>
                <w:sz w:val="18"/>
                <w:szCs w:val="18"/>
              </w:rPr>
              <w:br/>
            </w:r>
            <w:r w:rsidRPr="00575F52">
              <w:rPr>
                <w:rFonts w:asciiTheme="minorHAnsi" w:hAnsiTheme="minorHAnsi" w:cstheme="minorHAnsi"/>
                <w:color w:val="000000"/>
                <w:sz w:val="18"/>
                <w:szCs w:val="18"/>
              </w:rPr>
              <w:br/>
            </w:r>
            <w:proofErr w:type="spellStart"/>
            <w:r w:rsidRPr="00575F52">
              <w:rPr>
                <w:rFonts w:asciiTheme="minorHAnsi" w:hAnsiTheme="minorHAnsi" w:cstheme="minorHAnsi"/>
                <w:color w:val="000000"/>
                <w:sz w:val="18"/>
                <w:szCs w:val="18"/>
              </w:rPr>
              <w:t>Pariet</w:t>
            </w:r>
            <w:proofErr w:type="spellEnd"/>
            <w:r w:rsidRPr="00575F52">
              <w:rPr>
                <w:rFonts w:asciiTheme="minorHAnsi" w:hAnsiTheme="minorHAnsi" w:cstheme="minorHAnsi"/>
                <w:color w:val="000000"/>
                <w:sz w:val="18"/>
                <w:szCs w:val="18"/>
              </w:rPr>
              <w:t>®</w:t>
            </w:r>
            <w:r w:rsidRPr="00575F52">
              <w:rPr>
                <w:rFonts w:asciiTheme="minorHAnsi" w:hAnsiTheme="minorHAnsi" w:cstheme="minorHAnsi"/>
                <w:color w:val="000000"/>
                <w:sz w:val="18"/>
                <w:szCs w:val="18"/>
              </w:rPr>
              <w:br/>
            </w:r>
            <w:r w:rsidRPr="00575F52">
              <w:rPr>
                <w:rFonts w:asciiTheme="minorHAnsi" w:hAnsiTheme="minorHAnsi" w:cstheme="minorHAnsi"/>
                <w:color w:val="000000"/>
                <w:sz w:val="18"/>
                <w:szCs w:val="18"/>
              </w:rPr>
              <w:br/>
              <w:t>Janssen-Cilag Pty Ltd</w:t>
            </w:r>
            <w:r w:rsidRPr="00575F52">
              <w:rPr>
                <w:rFonts w:asciiTheme="minorHAnsi" w:hAnsiTheme="minorHAnsi" w:cstheme="minorHAnsi"/>
                <w:color w:val="000000"/>
                <w:sz w:val="18"/>
                <w:szCs w:val="18"/>
              </w:rPr>
              <w:br/>
            </w:r>
            <w:r w:rsidRPr="00575F52">
              <w:rPr>
                <w:rFonts w:asciiTheme="minorHAnsi" w:hAnsiTheme="minorHAnsi" w:cstheme="minorHAnsi"/>
                <w:color w:val="000000"/>
                <w:sz w:val="18"/>
                <w:szCs w:val="18"/>
              </w:rPr>
              <w:br/>
              <w:t>Committee secretar</w:t>
            </w:r>
            <w:r w:rsidRPr="00A45121">
              <w:rPr>
                <w:rFonts w:asciiTheme="minorHAnsi" w:hAnsiTheme="minorHAnsi" w:cstheme="minorHAnsi"/>
                <w:color w:val="000000"/>
                <w:sz w:val="18"/>
                <w:szCs w:val="18"/>
              </w:rPr>
              <w:t>iat submission</w:t>
            </w:r>
            <w:r w:rsidRPr="00575F52">
              <w:rPr>
                <w:rFonts w:asciiTheme="minorHAnsi" w:hAnsiTheme="minorHAnsi" w:cstheme="minorHAnsi"/>
                <w:color w:val="000000"/>
                <w:sz w:val="18"/>
                <w:szCs w:val="18"/>
              </w:rPr>
              <w:br/>
              <w:t>(Change to PBS listing)</w:t>
            </w:r>
          </w:p>
        </w:tc>
        <w:tc>
          <w:tcPr>
            <w:tcW w:w="2491" w:type="dxa"/>
            <w:shd w:val="clear" w:color="auto" w:fill="auto"/>
            <w:vAlign w:val="center"/>
          </w:tcPr>
          <w:p w14:paraId="0C271D30" w14:textId="686309F8" w:rsidR="00575F52" w:rsidRPr="00575F52" w:rsidRDefault="00575F52" w:rsidP="00575F52">
            <w:pPr>
              <w:keepLines/>
              <w:widowControl w:val="0"/>
              <w:rPr>
                <w:rFonts w:asciiTheme="minorHAnsi" w:hAnsiTheme="minorHAnsi" w:cstheme="minorHAnsi"/>
                <w:snapToGrid w:val="0"/>
                <w:sz w:val="18"/>
                <w:szCs w:val="18"/>
                <w:lang w:eastAsia="en-US"/>
              </w:rPr>
            </w:pPr>
            <w:r w:rsidRPr="00575F52">
              <w:rPr>
                <w:rFonts w:asciiTheme="minorHAnsi" w:hAnsiTheme="minorHAnsi" w:cstheme="minorHAnsi"/>
                <w:color w:val="000000"/>
                <w:sz w:val="18"/>
                <w:szCs w:val="18"/>
              </w:rPr>
              <w:t xml:space="preserve">Complex gastro-oesophageal reflux disease </w:t>
            </w:r>
            <w:r w:rsidRPr="00575F52">
              <w:rPr>
                <w:rFonts w:asciiTheme="minorHAnsi" w:hAnsiTheme="minorHAnsi" w:cstheme="minorHAnsi"/>
                <w:color w:val="000000"/>
                <w:sz w:val="18"/>
                <w:szCs w:val="18"/>
              </w:rPr>
              <w:br/>
              <w:t>Scleroderma oesophagus</w:t>
            </w:r>
            <w:r w:rsidRPr="00575F52">
              <w:rPr>
                <w:rFonts w:asciiTheme="minorHAnsi" w:hAnsiTheme="minorHAnsi" w:cstheme="minorHAnsi"/>
                <w:color w:val="000000"/>
                <w:sz w:val="18"/>
                <w:szCs w:val="18"/>
              </w:rPr>
              <w:br/>
              <w:t>Gastro-oesophageal reflux disease</w:t>
            </w:r>
            <w:r w:rsidRPr="00575F52">
              <w:rPr>
                <w:rFonts w:asciiTheme="minorHAnsi" w:hAnsiTheme="minorHAnsi" w:cstheme="minorHAnsi"/>
                <w:color w:val="000000"/>
                <w:sz w:val="18"/>
                <w:szCs w:val="18"/>
              </w:rPr>
              <w:br/>
              <w:t>Peptic ulcer</w:t>
            </w:r>
          </w:p>
        </w:tc>
        <w:tc>
          <w:tcPr>
            <w:tcW w:w="3887" w:type="dxa"/>
            <w:shd w:val="clear" w:color="auto" w:fill="auto"/>
            <w:tcMar>
              <w:top w:w="28" w:type="dxa"/>
              <w:bottom w:w="28" w:type="dxa"/>
            </w:tcMar>
            <w:vAlign w:val="center"/>
          </w:tcPr>
          <w:p w14:paraId="53977448" w14:textId="0009736C" w:rsidR="00575F52" w:rsidRPr="00D5001E" w:rsidRDefault="00575F52" w:rsidP="00575F52">
            <w:pPr>
              <w:pStyle w:val="ListParagraph"/>
              <w:keepLines/>
              <w:ind w:left="0"/>
              <w:rPr>
                <w:rFonts w:asciiTheme="minorHAnsi" w:hAnsiTheme="minorHAnsi" w:cstheme="minorHAnsi"/>
                <w:snapToGrid w:val="0"/>
                <w:sz w:val="18"/>
                <w:szCs w:val="18"/>
                <w:highlight w:val="yellow"/>
                <w:lang w:eastAsia="en-US"/>
              </w:rPr>
            </w:pPr>
            <w:r w:rsidRPr="00575F52">
              <w:rPr>
                <w:rFonts w:asciiTheme="minorHAnsi" w:hAnsiTheme="minorHAnsi" w:cstheme="minorHAnsi"/>
                <w:color w:val="000000"/>
                <w:sz w:val="18"/>
                <w:szCs w:val="18"/>
              </w:rPr>
              <w:t xml:space="preserve">To request a General Schedule Authority Required (STREAMLINED) listing of a new pack size (28 tablets per pack) under the same conditions as the currently listed 20 mg rabeprazole tablets (30 tablets per pack). </w:t>
            </w:r>
          </w:p>
        </w:tc>
        <w:tc>
          <w:tcPr>
            <w:tcW w:w="1984" w:type="dxa"/>
            <w:shd w:val="clear" w:color="auto" w:fill="auto"/>
            <w:vAlign w:val="center"/>
          </w:tcPr>
          <w:p w14:paraId="7454D0AF" w14:textId="383F706E" w:rsidR="00575F52" w:rsidRPr="00575F52" w:rsidRDefault="00575F52" w:rsidP="00575F52">
            <w:pPr>
              <w:pStyle w:val="ListParagraph"/>
              <w:keepLines/>
              <w:ind w:left="0"/>
              <w:rPr>
                <w:rFonts w:asciiTheme="minorHAnsi" w:hAnsiTheme="minorHAnsi" w:cstheme="minorHAnsi"/>
                <w:snapToGrid w:val="0"/>
                <w:sz w:val="18"/>
                <w:szCs w:val="18"/>
                <w:lang w:eastAsia="en-US"/>
              </w:rPr>
            </w:pPr>
            <w:r w:rsidRPr="00575F52">
              <w:rPr>
                <w:rFonts w:asciiTheme="minorHAnsi" w:hAnsiTheme="minorHAnsi" w:cstheme="minorHAnsi"/>
                <w:color w:val="000000"/>
                <w:sz w:val="18"/>
                <w:szCs w:val="18"/>
              </w:rPr>
              <w:t>Recommended</w:t>
            </w:r>
          </w:p>
        </w:tc>
        <w:tc>
          <w:tcPr>
            <w:tcW w:w="4053" w:type="dxa"/>
            <w:shd w:val="clear" w:color="auto" w:fill="auto"/>
            <w:vAlign w:val="center"/>
          </w:tcPr>
          <w:p w14:paraId="74D6C44E" w14:textId="39496B68" w:rsidR="00575F52" w:rsidRPr="00D5001E" w:rsidRDefault="00575F52" w:rsidP="00575F52">
            <w:pPr>
              <w:pStyle w:val="ListParagraph"/>
              <w:keepLines/>
              <w:ind w:left="0"/>
              <w:rPr>
                <w:rFonts w:asciiTheme="minorHAnsi" w:hAnsiTheme="minorHAnsi" w:cstheme="minorHAnsi"/>
                <w:color w:val="000000"/>
                <w:sz w:val="18"/>
                <w:szCs w:val="18"/>
              </w:rPr>
            </w:pPr>
            <w:r w:rsidRPr="00D5001E">
              <w:rPr>
                <w:rFonts w:asciiTheme="minorHAnsi" w:hAnsiTheme="minorHAnsi" w:cstheme="minorHAnsi"/>
                <w:color w:val="000000"/>
                <w:sz w:val="18"/>
                <w:szCs w:val="18"/>
              </w:rPr>
              <w:t xml:space="preserve">The PBAC recommended the listing of </w:t>
            </w:r>
            <w:r w:rsidR="00F9493C">
              <w:rPr>
                <w:rFonts w:asciiTheme="minorHAnsi" w:hAnsiTheme="minorHAnsi" w:cstheme="minorHAnsi"/>
                <w:color w:val="000000"/>
                <w:sz w:val="18"/>
                <w:szCs w:val="18"/>
              </w:rPr>
              <w:t>rabeprazole 20 mg 28-tablet pack at an equivalent price per tablet to the currently listed product</w:t>
            </w:r>
            <w:r w:rsidRPr="00D5001E">
              <w:rPr>
                <w:rFonts w:asciiTheme="minorHAnsi" w:hAnsiTheme="minorHAnsi" w:cstheme="minorHAnsi"/>
                <w:color w:val="000000"/>
                <w:sz w:val="18"/>
                <w:szCs w:val="18"/>
              </w:rPr>
              <w:t xml:space="preserve"> with a maximum quantity of 28 tablets, noting that the sponsor intends to delist the 30-tablet pack.</w:t>
            </w:r>
          </w:p>
        </w:tc>
      </w:tr>
      <w:tr w:rsidR="00063D17" w:rsidRPr="00567D48" w14:paraId="1052F3A4" w14:textId="77777777" w:rsidTr="007128F7">
        <w:trPr>
          <w:cantSplit/>
          <w:trHeight w:val="2948"/>
        </w:trPr>
        <w:tc>
          <w:tcPr>
            <w:tcW w:w="2973" w:type="dxa"/>
            <w:shd w:val="clear" w:color="auto" w:fill="auto"/>
            <w:tcMar>
              <w:top w:w="28" w:type="dxa"/>
              <w:bottom w:w="28" w:type="dxa"/>
            </w:tcMar>
            <w:vAlign w:val="center"/>
          </w:tcPr>
          <w:p w14:paraId="1094F35A" w14:textId="67DE2218" w:rsidR="00063D17" w:rsidRPr="004534FB" w:rsidRDefault="00063D17" w:rsidP="00063D17">
            <w:pPr>
              <w:keepLines/>
              <w:rPr>
                <w:rFonts w:ascii="Calibri" w:hAnsi="Calibri" w:cs="Calibri"/>
                <w:color w:val="000000"/>
                <w:sz w:val="18"/>
                <w:szCs w:val="18"/>
              </w:rPr>
            </w:pPr>
            <w:r w:rsidRPr="004534FB">
              <w:rPr>
                <w:rFonts w:ascii="Calibri" w:hAnsi="Calibri" w:cs="Calibri"/>
                <w:color w:val="000000"/>
                <w:sz w:val="18"/>
                <w:szCs w:val="18"/>
              </w:rPr>
              <w:lastRenderedPageBreak/>
              <w:t xml:space="preserve">RANIBIZUMAB </w:t>
            </w:r>
            <w:r w:rsidRPr="004534FB">
              <w:rPr>
                <w:rFonts w:ascii="Calibri" w:hAnsi="Calibri" w:cs="Calibri"/>
                <w:color w:val="000000"/>
                <w:sz w:val="18"/>
                <w:szCs w:val="18"/>
              </w:rPr>
              <w:br/>
            </w:r>
            <w:r w:rsidRPr="004534FB">
              <w:rPr>
                <w:rFonts w:ascii="Calibri" w:hAnsi="Calibri" w:cs="Calibri"/>
                <w:color w:val="000000"/>
                <w:sz w:val="18"/>
                <w:szCs w:val="18"/>
              </w:rPr>
              <w:br/>
              <w:t>Solution for ocular implant 39.5 mg in 0.395 mL</w:t>
            </w:r>
            <w:r w:rsidRPr="004534FB">
              <w:rPr>
                <w:rFonts w:ascii="Calibri" w:hAnsi="Calibri" w:cs="Calibri"/>
                <w:color w:val="000000"/>
                <w:sz w:val="18"/>
                <w:szCs w:val="18"/>
              </w:rPr>
              <w:br/>
            </w:r>
            <w:r w:rsidRPr="004534FB">
              <w:rPr>
                <w:rFonts w:ascii="Calibri" w:hAnsi="Calibri" w:cs="Calibri"/>
                <w:color w:val="000000"/>
                <w:sz w:val="18"/>
                <w:szCs w:val="18"/>
              </w:rPr>
              <w:br/>
            </w:r>
            <w:proofErr w:type="spellStart"/>
            <w:r w:rsidRPr="004534FB">
              <w:rPr>
                <w:rFonts w:ascii="Calibri" w:hAnsi="Calibri" w:cs="Calibri"/>
                <w:color w:val="000000"/>
                <w:sz w:val="18"/>
                <w:szCs w:val="18"/>
              </w:rPr>
              <w:t>Susvimo</w:t>
            </w:r>
            <w:proofErr w:type="spellEnd"/>
            <w:r w:rsidRPr="004534FB">
              <w:rPr>
                <w:rFonts w:ascii="Calibri" w:hAnsi="Calibri" w:cs="Calibri"/>
                <w:color w:val="000000"/>
                <w:sz w:val="18"/>
                <w:szCs w:val="18"/>
              </w:rPr>
              <w:t>®</w:t>
            </w:r>
            <w:r w:rsidRPr="004534FB">
              <w:rPr>
                <w:rFonts w:ascii="Calibri" w:hAnsi="Calibri" w:cs="Calibri"/>
                <w:color w:val="000000"/>
                <w:sz w:val="18"/>
                <w:szCs w:val="18"/>
              </w:rPr>
              <w:br/>
            </w:r>
            <w:r w:rsidRPr="004534FB">
              <w:rPr>
                <w:rFonts w:ascii="Calibri" w:hAnsi="Calibri" w:cs="Calibri"/>
                <w:color w:val="000000"/>
                <w:sz w:val="18"/>
                <w:szCs w:val="18"/>
              </w:rPr>
              <w:br/>
              <w:t>Roche Products Pty Ltd</w:t>
            </w:r>
            <w:r w:rsidRPr="004534FB">
              <w:rPr>
                <w:rFonts w:ascii="Calibri" w:hAnsi="Calibri" w:cs="Calibri"/>
                <w:color w:val="000000"/>
                <w:sz w:val="18"/>
                <w:szCs w:val="18"/>
              </w:rPr>
              <w:br/>
            </w:r>
            <w:r w:rsidRPr="004534FB">
              <w:rPr>
                <w:rFonts w:ascii="Calibri" w:hAnsi="Calibri" w:cs="Calibri"/>
                <w:color w:val="000000"/>
                <w:sz w:val="18"/>
                <w:szCs w:val="18"/>
              </w:rPr>
              <w:br/>
              <w:t>Category 2 submission</w:t>
            </w:r>
            <w:r w:rsidRPr="004534FB">
              <w:rPr>
                <w:rFonts w:ascii="Calibri" w:hAnsi="Calibri" w:cs="Calibri"/>
                <w:color w:val="000000"/>
                <w:sz w:val="18"/>
                <w:szCs w:val="18"/>
              </w:rPr>
              <w:br/>
              <w:t>(New PBS listing)</w:t>
            </w:r>
            <w:r w:rsidRPr="004534FB">
              <w:rPr>
                <w:rFonts w:ascii="Calibri" w:hAnsi="Calibri" w:cs="Calibri"/>
                <w:sz w:val="18"/>
                <w:szCs w:val="18"/>
              </w:rPr>
              <w:t xml:space="preserve"> </w:t>
            </w:r>
          </w:p>
        </w:tc>
        <w:tc>
          <w:tcPr>
            <w:tcW w:w="2491" w:type="dxa"/>
            <w:shd w:val="clear" w:color="auto" w:fill="auto"/>
            <w:vAlign w:val="center"/>
          </w:tcPr>
          <w:p w14:paraId="3D486C02" w14:textId="3EF27774" w:rsidR="00063D17" w:rsidRPr="004534FB" w:rsidRDefault="00063D17" w:rsidP="00063D17">
            <w:pPr>
              <w:keepLines/>
              <w:widowControl w:val="0"/>
              <w:rPr>
                <w:rFonts w:ascii="Calibri" w:hAnsi="Calibri" w:cs="Calibri"/>
                <w:color w:val="000000"/>
                <w:sz w:val="18"/>
                <w:szCs w:val="18"/>
              </w:rPr>
            </w:pPr>
            <w:r w:rsidRPr="004534FB">
              <w:rPr>
                <w:rFonts w:ascii="Calibri" w:hAnsi="Calibri" w:cs="Calibri"/>
                <w:color w:val="000000"/>
                <w:sz w:val="18"/>
                <w:szCs w:val="18"/>
              </w:rPr>
              <w:t>Neovascular (wet) age-related macular degeneration</w:t>
            </w:r>
          </w:p>
        </w:tc>
        <w:tc>
          <w:tcPr>
            <w:tcW w:w="3887" w:type="dxa"/>
            <w:shd w:val="clear" w:color="auto" w:fill="auto"/>
            <w:tcMar>
              <w:top w:w="28" w:type="dxa"/>
              <w:bottom w:w="28" w:type="dxa"/>
            </w:tcMar>
            <w:vAlign w:val="center"/>
          </w:tcPr>
          <w:p w14:paraId="1E6457EE" w14:textId="2B46B48B" w:rsidR="00063D17" w:rsidRPr="004534FB" w:rsidRDefault="00063D17" w:rsidP="00063D17">
            <w:pPr>
              <w:pStyle w:val="ListParagraph"/>
              <w:keepLines/>
              <w:ind w:left="0"/>
              <w:rPr>
                <w:rFonts w:ascii="Calibri" w:hAnsi="Calibri" w:cs="Calibri"/>
                <w:color w:val="000000"/>
                <w:sz w:val="18"/>
                <w:szCs w:val="18"/>
              </w:rPr>
            </w:pPr>
            <w:r w:rsidRPr="004534FB">
              <w:rPr>
                <w:rFonts w:ascii="Calibri" w:hAnsi="Calibri" w:cs="Calibri"/>
                <w:color w:val="000000"/>
                <w:sz w:val="18"/>
                <w:szCs w:val="18"/>
              </w:rPr>
              <w:t>To request a General Schedule Authority Required listing for the treatment of neovascular (wet) age-related macular degeneration responsive to prior anti-vascular endothelial growth factor (anti-VEGF) treatment.</w:t>
            </w:r>
          </w:p>
        </w:tc>
        <w:tc>
          <w:tcPr>
            <w:tcW w:w="1984" w:type="dxa"/>
            <w:shd w:val="clear" w:color="auto" w:fill="auto"/>
            <w:vAlign w:val="center"/>
          </w:tcPr>
          <w:p w14:paraId="0A8DF8B7" w14:textId="538FE901" w:rsidR="00063D17" w:rsidRPr="007E3487" w:rsidRDefault="00D45FFF" w:rsidP="00063D17">
            <w:pPr>
              <w:pStyle w:val="ListParagraph"/>
              <w:keepLines/>
              <w:ind w:left="0"/>
              <w:rPr>
                <w:rFonts w:ascii="Calibri" w:hAnsi="Calibri" w:cs="Calibri"/>
                <w:color w:val="000000"/>
                <w:sz w:val="18"/>
                <w:szCs w:val="18"/>
              </w:rPr>
            </w:pPr>
            <w:r w:rsidRPr="007E3487">
              <w:rPr>
                <w:rFonts w:ascii="Calibri" w:hAnsi="Calibri" w:cs="Calibri"/>
                <w:color w:val="000000"/>
                <w:sz w:val="18"/>
                <w:szCs w:val="18"/>
              </w:rPr>
              <w:t>Deferred</w:t>
            </w:r>
          </w:p>
        </w:tc>
        <w:tc>
          <w:tcPr>
            <w:tcW w:w="4053" w:type="dxa"/>
            <w:shd w:val="clear" w:color="auto" w:fill="auto"/>
            <w:vAlign w:val="center"/>
          </w:tcPr>
          <w:p w14:paraId="4540C0C9" w14:textId="0D3CD12E" w:rsidR="00910799" w:rsidRPr="00446C54" w:rsidRDefault="00910799" w:rsidP="00910799">
            <w:pPr>
              <w:rPr>
                <w:rFonts w:ascii="Calibri" w:eastAsia="SimSun" w:hAnsi="Calibri" w:cs="Calibri"/>
                <w:color w:val="000000"/>
                <w:sz w:val="18"/>
                <w:szCs w:val="18"/>
              </w:rPr>
            </w:pPr>
            <w:r w:rsidRPr="00446C54">
              <w:rPr>
                <w:rFonts w:ascii="Calibri" w:eastAsia="SimSun" w:hAnsi="Calibri" w:cs="Calibri"/>
                <w:color w:val="000000"/>
                <w:sz w:val="18"/>
                <w:szCs w:val="18"/>
              </w:rPr>
              <w:t>The PBAC deferred making a recommendation to list ranibizumab delivered via port delivery system (ranibizumab PDS), for the treatment of neovascular age-related macular degeneration (</w:t>
            </w:r>
            <w:proofErr w:type="spellStart"/>
            <w:r w:rsidRPr="00446C54">
              <w:rPr>
                <w:rFonts w:ascii="Calibri" w:eastAsia="SimSun" w:hAnsi="Calibri" w:cs="Calibri"/>
                <w:color w:val="000000"/>
                <w:sz w:val="18"/>
                <w:szCs w:val="18"/>
              </w:rPr>
              <w:t>nAMD</w:t>
            </w:r>
            <w:proofErr w:type="spellEnd"/>
            <w:r w:rsidRPr="00446C54">
              <w:rPr>
                <w:rFonts w:ascii="Calibri" w:eastAsia="SimSun" w:hAnsi="Calibri" w:cs="Calibri"/>
                <w:color w:val="000000"/>
                <w:sz w:val="18"/>
                <w:szCs w:val="18"/>
              </w:rPr>
              <w:t>) in patients who have previously demonstrated a response to intravitreal anti-vascular endothelial growth factor (anti-VEGF) treatment. The PBAC considered that the clinical claim of noninferior effectiveness of ranibizumab PDS compared with intravitreal ranibizumab may be reasonable based on change from baseline in BCVA score, although there was an initial worsening in BC</w:t>
            </w:r>
            <w:r>
              <w:rPr>
                <w:rFonts w:ascii="Calibri" w:eastAsia="SimSun" w:hAnsi="Calibri" w:cs="Calibri"/>
                <w:color w:val="000000"/>
                <w:sz w:val="18"/>
                <w:szCs w:val="18"/>
              </w:rPr>
              <w:t>V</w:t>
            </w:r>
            <w:r w:rsidRPr="00446C54">
              <w:rPr>
                <w:rFonts w:ascii="Calibri" w:eastAsia="SimSun" w:hAnsi="Calibri" w:cs="Calibri"/>
                <w:color w:val="000000"/>
                <w:sz w:val="18"/>
                <w:szCs w:val="18"/>
              </w:rPr>
              <w:t xml:space="preserve">A associated with the surgical procedure in the pivotal ARCHWAY trial and a small proportion of patients treated with ranibizumab PDS required supplementary treatment with intravitreal ranibizumab in addition to the 24-weekly refill-exchange procedures. The PBAC considered that </w:t>
            </w:r>
            <w:proofErr w:type="gramStart"/>
            <w:r w:rsidRPr="00446C54">
              <w:rPr>
                <w:rFonts w:ascii="Calibri" w:eastAsia="SimSun" w:hAnsi="Calibri" w:cs="Calibri"/>
                <w:color w:val="000000"/>
                <w:sz w:val="18"/>
                <w:szCs w:val="18"/>
              </w:rPr>
              <w:t>the majority of</w:t>
            </w:r>
            <w:proofErr w:type="gramEnd"/>
            <w:r w:rsidRPr="00446C54">
              <w:rPr>
                <w:rFonts w:ascii="Calibri" w:eastAsia="SimSun" w:hAnsi="Calibri" w:cs="Calibri"/>
                <w:color w:val="000000"/>
                <w:sz w:val="18"/>
                <w:szCs w:val="18"/>
              </w:rPr>
              <w:t xml:space="preserve"> the safety concerns associated with ranibizumab PDS were associated with the surgical procedure to implant the ocular device, and noting that the safety issues are being considered by the TGA, it considered that a positive Delegate’s Overview would be required to clarify the overall safety profile of the drug. The PBAC was of a mind to recommend ranibizumab PDS, pending TGA advice and any advice from the MSAC about the procedures associated with the implanted PDS. A revised cost-minimisation approach and budget impact estimates would also be required.</w:t>
            </w:r>
          </w:p>
          <w:p w14:paraId="62C2696B" w14:textId="77777777" w:rsidR="00D45FFF" w:rsidRPr="007E3487" w:rsidRDefault="00D45FFF" w:rsidP="00D45FFF">
            <w:pPr>
              <w:rPr>
                <w:rFonts w:ascii="Calibri" w:hAnsi="Calibri" w:cs="Calibri"/>
                <w:color w:val="000000"/>
                <w:sz w:val="18"/>
                <w:szCs w:val="18"/>
              </w:rPr>
            </w:pPr>
          </w:p>
          <w:p w14:paraId="5753266E" w14:textId="77777777" w:rsidR="00D45FFF" w:rsidRPr="007E3487" w:rsidRDefault="00D45FFF" w:rsidP="00D45FFF">
            <w:pPr>
              <w:rPr>
                <w:rFonts w:ascii="Calibri" w:hAnsi="Calibri" w:cs="Calibri"/>
                <w:color w:val="000000"/>
                <w:sz w:val="18"/>
                <w:szCs w:val="18"/>
                <w:u w:val="single"/>
              </w:rPr>
            </w:pPr>
            <w:r w:rsidRPr="007E3487">
              <w:rPr>
                <w:rFonts w:ascii="Calibri" w:hAnsi="Calibri" w:cs="Calibri"/>
                <w:color w:val="000000"/>
                <w:sz w:val="18"/>
                <w:szCs w:val="18"/>
                <w:u w:val="single"/>
              </w:rPr>
              <w:t xml:space="preserve">Sponsor’s Comment: </w:t>
            </w:r>
          </w:p>
          <w:p w14:paraId="038B4140" w14:textId="565D7F0A" w:rsidR="00063D17" w:rsidRPr="007E3487" w:rsidRDefault="00D45FFF" w:rsidP="00D45FFF">
            <w:pPr>
              <w:pStyle w:val="ListParagraph"/>
              <w:keepLines/>
              <w:ind w:left="0"/>
              <w:rPr>
                <w:rFonts w:ascii="Calibri" w:hAnsi="Calibri" w:cs="Calibri"/>
                <w:color w:val="000000"/>
                <w:sz w:val="18"/>
                <w:szCs w:val="18"/>
              </w:rPr>
            </w:pPr>
            <w:r w:rsidRPr="007E3487">
              <w:rPr>
                <w:rFonts w:ascii="Calibri" w:hAnsi="Calibri" w:cs="Calibri"/>
                <w:color w:val="000000"/>
                <w:sz w:val="18"/>
                <w:szCs w:val="18"/>
              </w:rPr>
              <w:t>Roche looks forward to working with the PBAC to progress consideration of ranibizumab PDS (</w:t>
            </w:r>
            <w:proofErr w:type="spellStart"/>
            <w:r w:rsidRPr="007E3487">
              <w:rPr>
                <w:rFonts w:ascii="Calibri" w:hAnsi="Calibri" w:cs="Calibri"/>
                <w:color w:val="000000"/>
                <w:sz w:val="18"/>
                <w:szCs w:val="18"/>
              </w:rPr>
              <w:t>Susvimo</w:t>
            </w:r>
            <w:proofErr w:type="spellEnd"/>
            <w:r w:rsidRPr="007E3487">
              <w:rPr>
                <w:rFonts w:ascii="Calibri" w:hAnsi="Calibri" w:cs="Calibri"/>
                <w:color w:val="000000"/>
                <w:sz w:val="18"/>
                <w:szCs w:val="18"/>
              </w:rPr>
              <w:t>®) and enable access for those patients who prefer an implanted device over intravitreal injections.</w:t>
            </w:r>
          </w:p>
        </w:tc>
      </w:tr>
      <w:tr w:rsidR="00575F52" w:rsidRPr="00567D48" w14:paraId="215FC314" w14:textId="77777777" w:rsidTr="007128F7">
        <w:trPr>
          <w:cantSplit/>
          <w:trHeight w:val="2948"/>
        </w:trPr>
        <w:tc>
          <w:tcPr>
            <w:tcW w:w="2973" w:type="dxa"/>
            <w:shd w:val="clear" w:color="auto" w:fill="auto"/>
            <w:tcMar>
              <w:top w:w="28" w:type="dxa"/>
              <w:bottom w:w="28" w:type="dxa"/>
            </w:tcMar>
            <w:vAlign w:val="center"/>
          </w:tcPr>
          <w:p w14:paraId="40960411" w14:textId="02B4D3A1" w:rsidR="00575F52" w:rsidRPr="00D5001E" w:rsidRDefault="00575F52" w:rsidP="00575F52">
            <w:pPr>
              <w:keepLines/>
              <w:rPr>
                <w:rFonts w:asciiTheme="minorHAnsi" w:hAnsiTheme="minorHAnsi" w:cstheme="minorHAnsi"/>
                <w:sz w:val="18"/>
                <w:szCs w:val="18"/>
                <w:highlight w:val="yellow"/>
              </w:rPr>
            </w:pPr>
            <w:r w:rsidRPr="00D5001E">
              <w:rPr>
                <w:rFonts w:asciiTheme="minorHAnsi" w:hAnsiTheme="minorHAnsi" w:cstheme="minorHAnsi"/>
                <w:color w:val="000000"/>
                <w:sz w:val="18"/>
                <w:szCs w:val="18"/>
              </w:rPr>
              <w:lastRenderedPageBreak/>
              <w:t xml:space="preserve">RISANKIZUMAB </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Injection 150 mg in 1 mL pre-filled syringe</w:t>
            </w:r>
            <w:r w:rsidRPr="00D5001E">
              <w:rPr>
                <w:rFonts w:asciiTheme="minorHAnsi" w:hAnsiTheme="minorHAnsi" w:cstheme="minorHAnsi"/>
                <w:color w:val="000000"/>
                <w:sz w:val="18"/>
                <w:szCs w:val="18"/>
              </w:rPr>
              <w:br/>
              <w:t>Injection 150 mg in 1 mL pre-filled pen</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r>
            <w:proofErr w:type="spellStart"/>
            <w:r w:rsidRPr="00D5001E">
              <w:rPr>
                <w:rFonts w:asciiTheme="minorHAnsi" w:hAnsiTheme="minorHAnsi" w:cstheme="minorHAnsi"/>
                <w:color w:val="000000"/>
                <w:sz w:val="18"/>
                <w:szCs w:val="18"/>
              </w:rPr>
              <w:t>Skyrizi</w:t>
            </w:r>
            <w:proofErr w:type="spellEnd"/>
            <w:r w:rsidRPr="00D5001E">
              <w:rPr>
                <w:rFonts w:asciiTheme="minorHAnsi" w:hAnsiTheme="minorHAnsi" w:cstheme="minorHAnsi"/>
                <w:color w:val="000000"/>
                <w:sz w:val="18"/>
                <w:szCs w:val="18"/>
              </w:rPr>
              <w:t>®</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AbbVie Pty Ltd</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Category 2 submission</w:t>
            </w:r>
            <w:r w:rsidRPr="00D5001E">
              <w:rPr>
                <w:rFonts w:asciiTheme="minorHAnsi" w:hAnsiTheme="minorHAnsi" w:cstheme="minorHAnsi"/>
                <w:color w:val="000000"/>
                <w:sz w:val="18"/>
                <w:szCs w:val="18"/>
              </w:rPr>
              <w:br/>
              <w:t>(New PBS listing)</w:t>
            </w:r>
          </w:p>
        </w:tc>
        <w:tc>
          <w:tcPr>
            <w:tcW w:w="2491" w:type="dxa"/>
            <w:shd w:val="clear" w:color="auto" w:fill="auto"/>
            <w:vAlign w:val="center"/>
          </w:tcPr>
          <w:p w14:paraId="5626D3F2" w14:textId="6E2774F8" w:rsidR="00575F52" w:rsidRPr="000F0297" w:rsidRDefault="00575F52" w:rsidP="00575F52">
            <w:pPr>
              <w:keepLines/>
              <w:widowControl w:val="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Psoriatic arthritis</w:t>
            </w:r>
          </w:p>
        </w:tc>
        <w:tc>
          <w:tcPr>
            <w:tcW w:w="3887" w:type="dxa"/>
            <w:shd w:val="clear" w:color="auto" w:fill="auto"/>
            <w:tcMar>
              <w:top w:w="28" w:type="dxa"/>
              <w:bottom w:w="28" w:type="dxa"/>
            </w:tcMar>
            <w:vAlign w:val="center"/>
          </w:tcPr>
          <w:p w14:paraId="2A9DC79A" w14:textId="13070566"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To request a General Schedule Authority Required (Written) listing for the treatment of severe psoriatic arthritis.</w:t>
            </w:r>
          </w:p>
        </w:tc>
        <w:tc>
          <w:tcPr>
            <w:tcW w:w="1984" w:type="dxa"/>
            <w:shd w:val="clear" w:color="auto" w:fill="auto"/>
            <w:vAlign w:val="center"/>
          </w:tcPr>
          <w:p w14:paraId="01FF2CE0" w14:textId="13E473A3"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Recommended</w:t>
            </w:r>
          </w:p>
        </w:tc>
        <w:tc>
          <w:tcPr>
            <w:tcW w:w="4053" w:type="dxa"/>
            <w:shd w:val="clear" w:color="auto" w:fill="auto"/>
            <w:vAlign w:val="center"/>
          </w:tcPr>
          <w:p w14:paraId="01024E64" w14:textId="31174FA3" w:rsidR="00E37482" w:rsidRDefault="00575F52" w:rsidP="00575F52">
            <w:pPr>
              <w:pStyle w:val="ListParagraph"/>
              <w:keepLines/>
              <w:ind w:left="0"/>
              <w:rPr>
                <w:rFonts w:asciiTheme="minorHAnsi" w:hAnsiTheme="minorHAnsi" w:cstheme="minorHAnsi"/>
                <w:color w:val="000000"/>
                <w:sz w:val="18"/>
                <w:szCs w:val="18"/>
              </w:rPr>
            </w:pPr>
            <w:r w:rsidRPr="00D5001E">
              <w:rPr>
                <w:rFonts w:asciiTheme="minorHAnsi" w:hAnsiTheme="minorHAnsi" w:cstheme="minorHAnsi"/>
                <w:color w:val="000000"/>
                <w:sz w:val="18"/>
                <w:szCs w:val="18"/>
              </w:rPr>
              <w:t>The PBAC recommended the General Schedule, Authority Required (</w:t>
            </w:r>
            <w:r w:rsidR="00A45121">
              <w:rPr>
                <w:rFonts w:asciiTheme="minorHAnsi" w:hAnsiTheme="minorHAnsi" w:cstheme="minorHAnsi"/>
                <w:color w:val="000000"/>
                <w:sz w:val="18"/>
                <w:szCs w:val="18"/>
              </w:rPr>
              <w:t>Written</w:t>
            </w:r>
            <w:r w:rsidRPr="00D5001E">
              <w:rPr>
                <w:rFonts w:asciiTheme="minorHAnsi" w:hAnsiTheme="minorHAnsi" w:cstheme="minorHAnsi"/>
                <w:color w:val="000000"/>
                <w:sz w:val="18"/>
                <w:szCs w:val="18"/>
              </w:rPr>
              <w:t xml:space="preserve">) listing of risankizumab (RIS) for the treatment of severe psoriatic arthritis (PsA), on </w:t>
            </w:r>
            <w:r w:rsidRPr="00E713BF">
              <w:rPr>
                <w:rFonts w:asciiTheme="minorHAnsi" w:hAnsiTheme="minorHAnsi" w:cstheme="minorHAnsi"/>
                <w:color w:val="000000"/>
                <w:sz w:val="18"/>
                <w:szCs w:val="18"/>
              </w:rPr>
              <w:t xml:space="preserve">a cost-minimisation basis with the least costly biological disease modifying anti-rheumatic drug (bDMARD) for this condition. </w:t>
            </w:r>
          </w:p>
          <w:p w14:paraId="4024635D" w14:textId="77777777" w:rsidR="00E713BF" w:rsidRDefault="00E713BF" w:rsidP="00575F52">
            <w:pPr>
              <w:pStyle w:val="ListParagraph"/>
              <w:keepLines/>
              <w:ind w:left="0"/>
              <w:rPr>
                <w:rFonts w:asciiTheme="minorHAnsi" w:hAnsiTheme="minorHAnsi" w:cstheme="minorHAnsi"/>
                <w:color w:val="000000"/>
                <w:sz w:val="18"/>
                <w:szCs w:val="18"/>
              </w:rPr>
            </w:pPr>
          </w:p>
          <w:p w14:paraId="0125C208" w14:textId="68FA4793" w:rsidR="00E37482" w:rsidRDefault="00575F52" w:rsidP="00575F52">
            <w:pPr>
              <w:pStyle w:val="ListParagraph"/>
              <w:keepLines/>
              <w:ind w:left="0"/>
              <w:rPr>
                <w:rFonts w:asciiTheme="minorHAnsi" w:hAnsiTheme="minorHAnsi" w:cstheme="minorHAnsi"/>
                <w:color w:val="000000"/>
                <w:sz w:val="18"/>
                <w:szCs w:val="18"/>
              </w:rPr>
            </w:pPr>
            <w:r w:rsidRPr="00E713BF">
              <w:rPr>
                <w:rFonts w:asciiTheme="minorHAnsi" w:hAnsiTheme="minorHAnsi" w:cstheme="minorHAnsi"/>
                <w:color w:val="000000"/>
                <w:sz w:val="18"/>
                <w:szCs w:val="18"/>
              </w:rPr>
              <w:t xml:space="preserve">In making this recommendation, the PBAC accepted that any of the currently PBS listed bDMARDs for severe PsA could be an alternative therapy to RIS. The PBAC considered </w:t>
            </w:r>
            <w:r w:rsidRPr="00D5001E">
              <w:rPr>
                <w:rFonts w:asciiTheme="minorHAnsi" w:hAnsiTheme="minorHAnsi" w:cstheme="minorHAnsi"/>
                <w:color w:val="000000"/>
                <w:sz w:val="18"/>
                <w:szCs w:val="18"/>
              </w:rPr>
              <w:t>that RIS must be less expensive than the ‘higher tier’ bDMARDs to account for the lack of evidence to support non-inferiority to the higher tier medicines and could not be any more costly than any of the ‘lower tier’ bDMARDs currently listed on the PBS for this condition.</w:t>
            </w:r>
            <w:r w:rsidRPr="00A859F5">
              <w:rPr>
                <w:rFonts w:asciiTheme="minorHAnsi" w:hAnsiTheme="minorHAnsi" w:cstheme="minorHAnsi"/>
                <w:color w:val="000000"/>
                <w:sz w:val="18"/>
                <w:szCs w:val="18"/>
              </w:rPr>
              <w:t xml:space="preserve"> </w:t>
            </w:r>
          </w:p>
          <w:p w14:paraId="2F3C9B9E" w14:textId="77777777" w:rsidR="00A859F5" w:rsidRDefault="00A859F5" w:rsidP="00575F52">
            <w:pPr>
              <w:pStyle w:val="ListParagraph"/>
              <w:keepLines/>
              <w:ind w:left="0"/>
              <w:rPr>
                <w:rFonts w:asciiTheme="minorHAnsi" w:hAnsiTheme="minorHAnsi" w:cstheme="minorHAnsi"/>
                <w:color w:val="000000"/>
                <w:sz w:val="18"/>
                <w:szCs w:val="18"/>
              </w:rPr>
            </w:pPr>
          </w:p>
          <w:p w14:paraId="35693D41" w14:textId="32B39A8B" w:rsidR="00575F52" w:rsidRPr="000F0297" w:rsidRDefault="00575F52" w:rsidP="00575F52">
            <w:pPr>
              <w:pStyle w:val="ListParagraph"/>
              <w:keepLines/>
              <w:ind w:left="0"/>
              <w:rPr>
                <w:rFonts w:asciiTheme="minorHAnsi" w:hAnsiTheme="minorHAnsi" w:cstheme="minorHAnsi"/>
                <w:color w:val="000000"/>
                <w:sz w:val="18"/>
                <w:szCs w:val="18"/>
              </w:rPr>
            </w:pPr>
            <w:r w:rsidRPr="00D5001E">
              <w:rPr>
                <w:rFonts w:asciiTheme="minorHAnsi" w:hAnsiTheme="minorHAnsi" w:cstheme="minorHAnsi"/>
                <w:color w:val="000000"/>
                <w:sz w:val="18"/>
                <w:szCs w:val="18"/>
              </w:rPr>
              <w:t>The Committee noted the flow-on changes to the administrative notes common to bDMARD listings to include RIS in the list of therapies in a PsA treatment cycle.</w:t>
            </w:r>
          </w:p>
        </w:tc>
      </w:tr>
      <w:tr w:rsidR="00575F52" w:rsidRPr="00567D48" w14:paraId="511E15B1" w14:textId="77777777" w:rsidTr="007128F7">
        <w:trPr>
          <w:cantSplit/>
          <w:trHeight w:val="2948"/>
        </w:trPr>
        <w:tc>
          <w:tcPr>
            <w:tcW w:w="2973" w:type="dxa"/>
            <w:shd w:val="clear" w:color="auto" w:fill="auto"/>
            <w:tcMar>
              <w:top w:w="28" w:type="dxa"/>
              <w:bottom w:w="28" w:type="dxa"/>
            </w:tcMar>
            <w:vAlign w:val="center"/>
          </w:tcPr>
          <w:p w14:paraId="6C60DDFB" w14:textId="0DE00C07" w:rsidR="00575F52" w:rsidRPr="00D5001E" w:rsidRDefault="00575F52" w:rsidP="00575F52">
            <w:pPr>
              <w:keepLines/>
              <w:rPr>
                <w:rFonts w:asciiTheme="minorHAnsi" w:hAnsiTheme="minorHAnsi" w:cstheme="minorHAnsi"/>
                <w:sz w:val="18"/>
                <w:szCs w:val="18"/>
                <w:highlight w:val="yellow"/>
              </w:rPr>
            </w:pPr>
            <w:r w:rsidRPr="00D5001E">
              <w:rPr>
                <w:rFonts w:asciiTheme="minorHAnsi" w:hAnsiTheme="minorHAnsi" w:cstheme="minorHAnsi"/>
                <w:color w:val="000000"/>
                <w:sz w:val="18"/>
                <w:szCs w:val="18"/>
              </w:rPr>
              <w:t xml:space="preserve">RISANKIZUMAB </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Injection 150 mg in 1 mL pre-filled pen</w:t>
            </w:r>
            <w:r w:rsidRPr="00D5001E">
              <w:rPr>
                <w:rFonts w:asciiTheme="minorHAnsi" w:hAnsiTheme="minorHAnsi" w:cstheme="minorHAnsi"/>
                <w:color w:val="000000"/>
                <w:sz w:val="18"/>
                <w:szCs w:val="18"/>
              </w:rPr>
              <w:br/>
              <w:t>Injection 150 mg in 1 mL pre-filled syringe</w:t>
            </w:r>
            <w:r w:rsidRPr="00D5001E">
              <w:rPr>
                <w:rFonts w:asciiTheme="minorHAnsi" w:hAnsiTheme="minorHAnsi" w:cstheme="minorHAnsi"/>
                <w:color w:val="000000"/>
                <w:sz w:val="18"/>
                <w:szCs w:val="18"/>
              </w:rPr>
              <w:br/>
              <w:t>Injection 75 mg in 0.83 mL pre-filled syringe</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r>
            <w:proofErr w:type="spellStart"/>
            <w:r w:rsidRPr="00D5001E">
              <w:rPr>
                <w:rFonts w:asciiTheme="minorHAnsi" w:hAnsiTheme="minorHAnsi" w:cstheme="minorHAnsi"/>
                <w:color w:val="000000"/>
                <w:sz w:val="18"/>
                <w:szCs w:val="18"/>
              </w:rPr>
              <w:t>Skyrizi</w:t>
            </w:r>
            <w:proofErr w:type="spellEnd"/>
            <w:r w:rsidRPr="00D5001E">
              <w:rPr>
                <w:rFonts w:asciiTheme="minorHAnsi" w:hAnsiTheme="minorHAnsi" w:cstheme="minorHAnsi"/>
                <w:color w:val="000000"/>
                <w:sz w:val="18"/>
                <w:szCs w:val="18"/>
              </w:rPr>
              <w:t>®</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AbbVie Pty Ltd</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Category 3 submission</w:t>
            </w:r>
            <w:r w:rsidRPr="00D5001E">
              <w:rPr>
                <w:rFonts w:asciiTheme="minorHAnsi" w:hAnsiTheme="minorHAnsi" w:cstheme="minorHAnsi"/>
                <w:color w:val="000000"/>
                <w:sz w:val="18"/>
                <w:szCs w:val="18"/>
              </w:rPr>
              <w:br/>
              <w:t>(Change to PBS listing)</w:t>
            </w:r>
          </w:p>
        </w:tc>
        <w:tc>
          <w:tcPr>
            <w:tcW w:w="2491" w:type="dxa"/>
            <w:shd w:val="clear" w:color="auto" w:fill="auto"/>
            <w:vAlign w:val="center"/>
          </w:tcPr>
          <w:p w14:paraId="5B30D2FA" w14:textId="673A2F7F" w:rsidR="00575F52" w:rsidRPr="000F0297" w:rsidRDefault="00575F52" w:rsidP="00575F52">
            <w:pPr>
              <w:keepLines/>
              <w:widowControl w:val="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Severe chronic plaque psoriasis</w:t>
            </w:r>
          </w:p>
        </w:tc>
        <w:tc>
          <w:tcPr>
            <w:tcW w:w="3887" w:type="dxa"/>
            <w:shd w:val="clear" w:color="auto" w:fill="auto"/>
            <w:tcMar>
              <w:top w:w="28" w:type="dxa"/>
              <w:bottom w:w="28" w:type="dxa"/>
            </w:tcMar>
            <w:vAlign w:val="center"/>
          </w:tcPr>
          <w:p w14:paraId="7B1AB721" w14:textId="3E3D1BDD"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 xml:space="preserve">To request adding a grandfathering restriction to allow eligible patients enrolled in the risankizumab open-label extension trial (M15-997) to transition to PBS-subsidised risankizumab. </w:t>
            </w:r>
          </w:p>
        </w:tc>
        <w:tc>
          <w:tcPr>
            <w:tcW w:w="1984" w:type="dxa"/>
            <w:shd w:val="clear" w:color="auto" w:fill="auto"/>
            <w:vAlign w:val="center"/>
          </w:tcPr>
          <w:p w14:paraId="4AF065EC" w14:textId="4962C95F"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Recommended</w:t>
            </w:r>
          </w:p>
        </w:tc>
        <w:tc>
          <w:tcPr>
            <w:tcW w:w="4053" w:type="dxa"/>
            <w:shd w:val="clear" w:color="auto" w:fill="auto"/>
            <w:vAlign w:val="center"/>
          </w:tcPr>
          <w:p w14:paraId="0382EF2C" w14:textId="5012CC6E" w:rsidR="00575F52" w:rsidRPr="00D5001E" w:rsidRDefault="00575F52" w:rsidP="00575F52">
            <w:pPr>
              <w:pStyle w:val="ListParagraph"/>
              <w:keepLines/>
              <w:ind w:left="0"/>
              <w:rPr>
                <w:rFonts w:asciiTheme="minorHAnsi" w:hAnsiTheme="minorHAnsi" w:cstheme="minorHAnsi"/>
                <w:color w:val="000000"/>
                <w:sz w:val="18"/>
                <w:szCs w:val="18"/>
                <w:highlight w:val="yellow"/>
              </w:rPr>
            </w:pPr>
            <w:r w:rsidRPr="00D5001E">
              <w:rPr>
                <w:rFonts w:asciiTheme="minorHAnsi" w:hAnsiTheme="minorHAnsi" w:cstheme="minorHAnsi"/>
                <w:color w:val="000000"/>
                <w:sz w:val="18"/>
                <w:szCs w:val="18"/>
              </w:rPr>
              <w:t xml:space="preserve">The PBAC recommended extension of the listing of risankizumab 75 mg in 0.83 </w:t>
            </w:r>
            <w:r w:rsidR="00E713BF">
              <w:rPr>
                <w:rFonts w:asciiTheme="minorHAnsi" w:hAnsiTheme="minorHAnsi" w:cstheme="minorHAnsi"/>
                <w:color w:val="000000"/>
                <w:sz w:val="18"/>
                <w:szCs w:val="18"/>
              </w:rPr>
              <w:t>mL pre-filled syringe</w:t>
            </w:r>
            <w:r w:rsidRPr="00E713BF">
              <w:rPr>
                <w:rFonts w:asciiTheme="minorHAnsi" w:hAnsiTheme="minorHAnsi" w:cstheme="minorHAnsi"/>
                <w:color w:val="000000"/>
                <w:sz w:val="18"/>
                <w:szCs w:val="18"/>
              </w:rPr>
              <w:t xml:space="preserve"> for the treatment of severe chronic plaque psoriasis </w:t>
            </w:r>
            <w:r w:rsidRPr="00D5001E">
              <w:rPr>
                <w:rFonts w:asciiTheme="minorHAnsi" w:hAnsiTheme="minorHAnsi" w:cstheme="minorHAnsi"/>
                <w:color w:val="000000"/>
                <w:sz w:val="18"/>
                <w:szCs w:val="18"/>
              </w:rPr>
              <w:t>to allow access for patients enrolled in the risankizumab open label extension trial (M15-997) to be grandfathered on to PBS-subsidised risankizumab. The PBAC considered that, should the recommended risankizumab 150 mg/mL PFP and 150 mg/mL PFS list before the end of the grandfathering period, these listings should include the same grandfather provisions.</w:t>
            </w:r>
          </w:p>
        </w:tc>
      </w:tr>
      <w:tr w:rsidR="00575F52" w:rsidRPr="00567D48" w14:paraId="53F93249" w14:textId="77777777" w:rsidTr="007128F7">
        <w:trPr>
          <w:cantSplit/>
          <w:trHeight w:val="2948"/>
        </w:trPr>
        <w:tc>
          <w:tcPr>
            <w:tcW w:w="2973" w:type="dxa"/>
            <w:shd w:val="clear" w:color="auto" w:fill="auto"/>
            <w:tcMar>
              <w:top w:w="28" w:type="dxa"/>
              <w:bottom w:w="28" w:type="dxa"/>
            </w:tcMar>
            <w:vAlign w:val="center"/>
          </w:tcPr>
          <w:p w14:paraId="2B560FB3" w14:textId="45EBD97F" w:rsidR="00575F52" w:rsidRPr="00D5001E" w:rsidRDefault="00575F52" w:rsidP="00575F52">
            <w:pPr>
              <w:keepLines/>
              <w:rPr>
                <w:rFonts w:asciiTheme="minorHAnsi" w:hAnsiTheme="minorHAnsi" w:cstheme="minorHAnsi"/>
                <w:sz w:val="18"/>
                <w:szCs w:val="18"/>
                <w:highlight w:val="yellow"/>
              </w:rPr>
            </w:pPr>
            <w:r w:rsidRPr="00D5001E">
              <w:rPr>
                <w:rFonts w:asciiTheme="minorHAnsi" w:hAnsiTheme="minorHAnsi" w:cstheme="minorHAnsi"/>
                <w:color w:val="000000"/>
                <w:sz w:val="18"/>
                <w:szCs w:val="18"/>
              </w:rPr>
              <w:lastRenderedPageBreak/>
              <w:t>SACITUZUMAB GOVITECAN</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Powder for injection 180 mg</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Trodelvy®</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Gilead Sciences Pty Limited</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Early resolution submission</w:t>
            </w:r>
            <w:r w:rsidRPr="00D5001E">
              <w:rPr>
                <w:rFonts w:asciiTheme="minorHAnsi" w:hAnsiTheme="minorHAnsi" w:cstheme="minorHAnsi"/>
                <w:color w:val="000000"/>
                <w:sz w:val="18"/>
                <w:szCs w:val="18"/>
              </w:rPr>
              <w:br/>
              <w:t>(New PBS listing)</w:t>
            </w:r>
          </w:p>
        </w:tc>
        <w:tc>
          <w:tcPr>
            <w:tcW w:w="2491" w:type="dxa"/>
            <w:shd w:val="clear" w:color="auto" w:fill="auto"/>
            <w:vAlign w:val="center"/>
          </w:tcPr>
          <w:p w14:paraId="1FA50F16" w14:textId="7B3B0596" w:rsidR="00575F52" w:rsidRPr="00D5001E" w:rsidRDefault="00575F52" w:rsidP="00575F52">
            <w:pPr>
              <w:keepLines/>
              <w:widowControl w:val="0"/>
              <w:rPr>
                <w:rFonts w:asciiTheme="minorHAnsi" w:hAnsiTheme="minorHAnsi" w:cstheme="minorHAnsi"/>
                <w:snapToGrid w:val="0"/>
                <w:sz w:val="18"/>
                <w:szCs w:val="18"/>
                <w:highlight w:val="yellow"/>
                <w:lang w:eastAsia="en-US"/>
              </w:rPr>
            </w:pPr>
            <w:r w:rsidRPr="00D5001E">
              <w:rPr>
                <w:rFonts w:asciiTheme="minorHAnsi" w:hAnsiTheme="minorHAnsi" w:cstheme="minorHAnsi"/>
                <w:color w:val="000000"/>
                <w:sz w:val="18"/>
                <w:szCs w:val="18"/>
              </w:rPr>
              <w:t>Breast cancer</w:t>
            </w:r>
          </w:p>
        </w:tc>
        <w:tc>
          <w:tcPr>
            <w:tcW w:w="3887" w:type="dxa"/>
            <w:shd w:val="clear" w:color="auto" w:fill="auto"/>
            <w:tcMar>
              <w:top w:w="28" w:type="dxa"/>
              <w:bottom w:w="28" w:type="dxa"/>
            </w:tcMar>
            <w:vAlign w:val="center"/>
          </w:tcPr>
          <w:p w14:paraId="1A40764B" w14:textId="188C677F" w:rsidR="00575F52" w:rsidRPr="00D5001E" w:rsidRDefault="00575F52" w:rsidP="00575F52">
            <w:pPr>
              <w:pStyle w:val="ListParagraph"/>
              <w:keepLines/>
              <w:ind w:left="0"/>
              <w:rPr>
                <w:rFonts w:asciiTheme="minorHAnsi" w:hAnsiTheme="minorHAnsi" w:cstheme="minorHAnsi"/>
                <w:snapToGrid w:val="0"/>
                <w:sz w:val="18"/>
                <w:szCs w:val="18"/>
                <w:highlight w:val="yellow"/>
                <w:lang w:eastAsia="en-US"/>
              </w:rPr>
            </w:pPr>
            <w:r w:rsidRPr="00D5001E">
              <w:rPr>
                <w:rFonts w:asciiTheme="minorHAnsi" w:hAnsiTheme="minorHAnsi" w:cstheme="minorHAnsi"/>
                <w:color w:val="000000"/>
                <w:sz w:val="18"/>
                <w:szCs w:val="18"/>
              </w:rPr>
              <w:t xml:space="preserve">Resubmission to request a Section 100 (Efficient Funding of Chemotherapy Program) Authority Required (STREAMLINED) listing for the treatment of adult patients with unresectable, locally </w:t>
            </w:r>
            <w:proofErr w:type="gramStart"/>
            <w:r w:rsidRPr="00D5001E">
              <w:rPr>
                <w:rFonts w:asciiTheme="minorHAnsi" w:hAnsiTheme="minorHAnsi" w:cstheme="minorHAnsi"/>
                <w:color w:val="000000"/>
                <w:sz w:val="18"/>
                <w:szCs w:val="18"/>
              </w:rPr>
              <w:t>advanced</w:t>
            </w:r>
            <w:proofErr w:type="gramEnd"/>
            <w:r w:rsidRPr="00D5001E">
              <w:rPr>
                <w:rFonts w:asciiTheme="minorHAnsi" w:hAnsiTheme="minorHAnsi" w:cstheme="minorHAnsi"/>
                <w:color w:val="000000"/>
                <w:sz w:val="18"/>
                <w:szCs w:val="18"/>
              </w:rPr>
              <w:t xml:space="preserve"> or metastatic triple negative breast cancer, who have received two or more prior therapies, at least one of them in the locally advanced or metastatic setting.</w:t>
            </w:r>
          </w:p>
        </w:tc>
        <w:tc>
          <w:tcPr>
            <w:tcW w:w="1984" w:type="dxa"/>
            <w:shd w:val="clear" w:color="auto" w:fill="auto"/>
            <w:vAlign w:val="center"/>
          </w:tcPr>
          <w:p w14:paraId="3606D0AC" w14:textId="46D06435" w:rsidR="00575F52" w:rsidRPr="00D5001E" w:rsidRDefault="00575F52" w:rsidP="00575F52">
            <w:pPr>
              <w:pStyle w:val="ListParagraph"/>
              <w:keepLines/>
              <w:ind w:left="0"/>
              <w:rPr>
                <w:rFonts w:asciiTheme="minorHAnsi" w:hAnsiTheme="minorHAnsi" w:cstheme="minorHAnsi"/>
                <w:snapToGrid w:val="0"/>
                <w:sz w:val="18"/>
                <w:szCs w:val="18"/>
                <w:highlight w:val="yellow"/>
                <w:lang w:eastAsia="en-US"/>
              </w:rPr>
            </w:pPr>
            <w:r w:rsidRPr="00D5001E">
              <w:rPr>
                <w:rFonts w:asciiTheme="minorHAnsi" w:hAnsiTheme="minorHAnsi" w:cstheme="minorHAnsi"/>
                <w:color w:val="000000"/>
                <w:sz w:val="18"/>
                <w:szCs w:val="18"/>
              </w:rPr>
              <w:t>Recommended</w:t>
            </w:r>
          </w:p>
        </w:tc>
        <w:tc>
          <w:tcPr>
            <w:tcW w:w="4053" w:type="dxa"/>
            <w:shd w:val="clear" w:color="auto" w:fill="auto"/>
            <w:vAlign w:val="center"/>
          </w:tcPr>
          <w:p w14:paraId="18AA3A04" w14:textId="77777777" w:rsidR="00E37482" w:rsidRDefault="00575F52" w:rsidP="00575F52">
            <w:pPr>
              <w:pStyle w:val="ListParagraph"/>
              <w:keepLines/>
              <w:ind w:left="0"/>
              <w:rPr>
                <w:rFonts w:asciiTheme="minorHAnsi" w:hAnsiTheme="minorHAnsi" w:cstheme="minorHAnsi"/>
                <w:color w:val="000000"/>
                <w:sz w:val="18"/>
                <w:szCs w:val="18"/>
              </w:rPr>
            </w:pPr>
            <w:r w:rsidRPr="00D5001E">
              <w:rPr>
                <w:rFonts w:asciiTheme="minorHAnsi" w:hAnsiTheme="minorHAnsi" w:cstheme="minorHAnsi"/>
                <w:color w:val="000000"/>
                <w:sz w:val="18"/>
                <w:szCs w:val="18"/>
              </w:rPr>
              <w:t xml:space="preserve">The PBAC recommended the listing of sacituzumab govitecan for the treatment of patients with unresectable locally advanced or metastatic triple negative breast cancer who have received at least two prior therapies. The PBAC considered that changes to the economic evaluation and financial estimates had sufficiently addressed its previous concerns. </w:t>
            </w:r>
            <w:r w:rsidRPr="00D5001E">
              <w:rPr>
                <w:rFonts w:asciiTheme="minorHAnsi" w:hAnsiTheme="minorHAnsi" w:cstheme="minorHAnsi"/>
                <w:color w:val="000000"/>
                <w:sz w:val="18"/>
                <w:szCs w:val="18"/>
              </w:rPr>
              <w:br/>
            </w:r>
          </w:p>
          <w:p w14:paraId="3E801D84" w14:textId="7D21E710" w:rsidR="00575F52" w:rsidRPr="00D5001E" w:rsidRDefault="00575F52" w:rsidP="00575F52">
            <w:pPr>
              <w:pStyle w:val="ListParagraph"/>
              <w:keepLines/>
              <w:ind w:left="0"/>
              <w:rPr>
                <w:rFonts w:asciiTheme="minorHAnsi" w:hAnsiTheme="minorHAnsi" w:cstheme="minorHAnsi"/>
                <w:color w:val="000000"/>
                <w:sz w:val="18"/>
                <w:szCs w:val="18"/>
                <w:highlight w:val="yellow"/>
              </w:rPr>
            </w:pPr>
            <w:r w:rsidRPr="00D5001E">
              <w:rPr>
                <w:rFonts w:asciiTheme="minorHAnsi" w:hAnsiTheme="minorHAnsi" w:cstheme="minorHAnsi"/>
                <w:color w:val="000000"/>
                <w:sz w:val="18"/>
                <w:szCs w:val="18"/>
              </w:rPr>
              <w:t>The PBAC re-iterated its previous advice that sacituzumab govitecan provides superior efficacy compared with the current standard of care, notably an improvement in overall survival. The PBAC also acknowledged the high clinical need for effective therapies for patients with this condition, who have poorer survival outcomes than patients with other breast cancer subtypes.</w:t>
            </w:r>
          </w:p>
        </w:tc>
      </w:tr>
      <w:tr w:rsidR="00575F52" w:rsidRPr="00567D48" w14:paraId="7E54DEA7" w14:textId="77777777" w:rsidTr="007128F7">
        <w:trPr>
          <w:cantSplit/>
          <w:trHeight w:val="2948"/>
        </w:trPr>
        <w:tc>
          <w:tcPr>
            <w:tcW w:w="2973" w:type="dxa"/>
            <w:shd w:val="clear" w:color="auto" w:fill="auto"/>
            <w:tcMar>
              <w:top w:w="28" w:type="dxa"/>
              <w:bottom w:w="28" w:type="dxa"/>
            </w:tcMar>
            <w:vAlign w:val="center"/>
          </w:tcPr>
          <w:p w14:paraId="657F3583" w14:textId="197A3324" w:rsidR="00575F52" w:rsidRPr="00D5001E" w:rsidRDefault="00575F52" w:rsidP="00575F52">
            <w:pPr>
              <w:keepLines/>
              <w:rPr>
                <w:rFonts w:asciiTheme="minorHAnsi" w:hAnsiTheme="minorHAnsi" w:cstheme="minorHAnsi"/>
                <w:sz w:val="18"/>
                <w:szCs w:val="18"/>
                <w:highlight w:val="yellow"/>
              </w:rPr>
            </w:pPr>
            <w:r w:rsidRPr="00D5001E">
              <w:rPr>
                <w:rFonts w:asciiTheme="minorHAnsi" w:hAnsiTheme="minorHAnsi" w:cstheme="minorHAnsi"/>
                <w:color w:val="000000"/>
                <w:sz w:val="18"/>
                <w:szCs w:val="18"/>
              </w:rPr>
              <w:t>SEBELIPASE ALFA</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Solution concentrate for I.V. infusion 20 mg in 10 mL</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r>
            <w:proofErr w:type="spellStart"/>
            <w:r w:rsidRPr="00D5001E">
              <w:rPr>
                <w:rFonts w:asciiTheme="minorHAnsi" w:hAnsiTheme="minorHAnsi" w:cstheme="minorHAnsi"/>
                <w:color w:val="000000"/>
                <w:sz w:val="18"/>
                <w:szCs w:val="18"/>
              </w:rPr>
              <w:t>Kanuma</w:t>
            </w:r>
            <w:proofErr w:type="spellEnd"/>
            <w:r w:rsidRPr="00D5001E">
              <w:rPr>
                <w:rFonts w:asciiTheme="minorHAnsi" w:hAnsiTheme="minorHAnsi" w:cstheme="minorHAnsi"/>
                <w:color w:val="000000"/>
                <w:sz w:val="18"/>
                <w:szCs w:val="18"/>
              </w:rPr>
              <w:t>®</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Alexion Pharmaceuticals Australasia Pty Ltd</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Category 1 submission</w:t>
            </w:r>
            <w:r w:rsidRPr="00D5001E">
              <w:rPr>
                <w:rFonts w:asciiTheme="minorHAnsi" w:hAnsiTheme="minorHAnsi" w:cstheme="minorHAnsi"/>
                <w:color w:val="000000"/>
                <w:sz w:val="18"/>
                <w:szCs w:val="18"/>
              </w:rPr>
              <w:br/>
              <w:t>(New PBS listing)</w:t>
            </w:r>
          </w:p>
        </w:tc>
        <w:tc>
          <w:tcPr>
            <w:tcW w:w="2491" w:type="dxa"/>
            <w:shd w:val="clear" w:color="auto" w:fill="auto"/>
            <w:vAlign w:val="center"/>
          </w:tcPr>
          <w:p w14:paraId="5C34E171" w14:textId="2B251391" w:rsidR="00575F52" w:rsidRPr="00D5001E" w:rsidRDefault="00575F52" w:rsidP="00575F52">
            <w:pPr>
              <w:keepLines/>
              <w:widowControl w:val="0"/>
              <w:rPr>
                <w:rFonts w:asciiTheme="minorHAnsi" w:hAnsiTheme="minorHAnsi" w:cstheme="minorHAnsi"/>
                <w:snapToGrid w:val="0"/>
                <w:sz w:val="18"/>
                <w:szCs w:val="18"/>
                <w:highlight w:val="yellow"/>
                <w:lang w:eastAsia="en-US"/>
              </w:rPr>
            </w:pPr>
            <w:r w:rsidRPr="00D5001E">
              <w:rPr>
                <w:rFonts w:asciiTheme="minorHAnsi" w:hAnsiTheme="minorHAnsi" w:cstheme="minorHAnsi"/>
                <w:color w:val="000000"/>
                <w:sz w:val="18"/>
                <w:szCs w:val="18"/>
              </w:rPr>
              <w:t>Infantile onset lysosomal acid lipase deficiency</w:t>
            </w:r>
          </w:p>
        </w:tc>
        <w:tc>
          <w:tcPr>
            <w:tcW w:w="3887" w:type="dxa"/>
            <w:shd w:val="clear" w:color="auto" w:fill="auto"/>
            <w:tcMar>
              <w:top w:w="28" w:type="dxa"/>
              <w:bottom w:w="28" w:type="dxa"/>
            </w:tcMar>
            <w:vAlign w:val="center"/>
          </w:tcPr>
          <w:p w14:paraId="73B999BE" w14:textId="6E8D6021"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To request a Section 100 (Highly Specialised Drugs Program) Authority Required (Written) listing for the treatment of infantile onset lysosomal acid lipase deficiency.</w:t>
            </w:r>
          </w:p>
        </w:tc>
        <w:tc>
          <w:tcPr>
            <w:tcW w:w="1984" w:type="dxa"/>
            <w:shd w:val="clear" w:color="auto" w:fill="auto"/>
            <w:vAlign w:val="center"/>
          </w:tcPr>
          <w:p w14:paraId="324C0B3B" w14:textId="1AEC2134" w:rsidR="00575F52" w:rsidRPr="00E37482"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Not Recommended</w:t>
            </w:r>
          </w:p>
        </w:tc>
        <w:tc>
          <w:tcPr>
            <w:tcW w:w="4053" w:type="dxa"/>
            <w:shd w:val="clear" w:color="auto" w:fill="auto"/>
            <w:vAlign w:val="center"/>
          </w:tcPr>
          <w:p w14:paraId="2608038F" w14:textId="481C9173" w:rsidR="00575F52" w:rsidRPr="00E37482" w:rsidRDefault="00575F52" w:rsidP="00575F52">
            <w:pPr>
              <w:pStyle w:val="ListParagraph"/>
              <w:keepLines/>
              <w:ind w:left="0"/>
              <w:rPr>
                <w:rFonts w:asciiTheme="minorHAnsi" w:hAnsiTheme="minorHAnsi" w:cstheme="minorHAnsi"/>
                <w:color w:val="000000"/>
                <w:sz w:val="18"/>
                <w:szCs w:val="18"/>
              </w:rPr>
            </w:pPr>
            <w:r w:rsidRPr="00E37482">
              <w:rPr>
                <w:rFonts w:asciiTheme="minorHAnsi" w:hAnsiTheme="minorHAnsi" w:cstheme="minorHAnsi"/>
                <w:color w:val="000000"/>
                <w:sz w:val="18"/>
                <w:szCs w:val="18"/>
              </w:rPr>
              <w:t xml:space="preserve">The PBAC did not recommend the Section 100 (Highly Specialised Drugs Program) listing of </w:t>
            </w:r>
            <w:proofErr w:type="spellStart"/>
            <w:r w:rsidRPr="00E37482">
              <w:rPr>
                <w:rFonts w:asciiTheme="minorHAnsi" w:hAnsiTheme="minorHAnsi" w:cstheme="minorHAnsi"/>
                <w:color w:val="000000"/>
                <w:sz w:val="18"/>
                <w:szCs w:val="18"/>
              </w:rPr>
              <w:t>sebelipase</w:t>
            </w:r>
            <w:proofErr w:type="spellEnd"/>
            <w:r w:rsidRPr="00E37482">
              <w:rPr>
                <w:rFonts w:asciiTheme="minorHAnsi" w:hAnsiTheme="minorHAnsi" w:cstheme="minorHAnsi"/>
                <w:color w:val="000000"/>
                <w:sz w:val="18"/>
                <w:szCs w:val="18"/>
              </w:rPr>
              <w:t xml:space="preserve"> alfa for the treatment of infantile onset lysosomal acid lipase deficiency (LAL-D). The PBAC considered </w:t>
            </w:r>
            <w:r w:rsidR="00FF3B8C">
              <w:rPr>
                <w:rFonts w:asciiTheme="minorHAnsi" w:hAnsiTheme="minorHAnsi" w:cstheme="minorHAnsi"/>
                <w:color w:val="000000"/>
                <w:sz w:val="18"/>
                <w:szCs w:val="18"/>
              </w:rPr>
              <w:t xml:space="preserve">that, while </w:t>
            </w:r>
            <w:proofErr w:type="spellStart"/>
            <w:r w:rsidRPr="00E37482">
              <w:rPr>
                <w:rFonts w:asciiTheme="minorHAnsi" w:hAnsiTheme="minorHAnsi" w:cstheme="minorHAnsi"/>
                <w:color w:val="000000"/>
                <w:sz w:val="18"/>
                <w:szCs w:val="18"/>
              </w:rPr>
              <w:t>sebelipase</w:t>
            </w:r>
            <w:proofErr w:type="spellEnd"/>
            <w:r w:rsidRPr="00E37482">
              <w:rPr>
                <w:rFonts w:asciiTheme="minorHAnsi" w:hAnsiTheme="minorHAnsi" w:cstheme="minorHAnsi"/>
                <w:color w:val="000000"/>
                <w:sz w:val="18"/>
                <w:szCs w:val="18"/>
              </w:rPr>
              <w:t xml:space="preserve"> alfa was an effective treatment for infantile onset LAL-D</w:t>
            </w:r>
            <w:r w:rsidR="00FF3B8C">
              <w:rPr>
                <w:rFonts w:asciiTheme="minorHAnsi" w:hAnsiTheme="minorHAnsi" w:cstheme="minorHAnsi"/>
                <w:color w:val="000000"/>
                <w:sz w:val="18"/>
                <w:szCs w:val="18"/>
              </w:rPr>
              <w:t xml:space="preserve">, </w:t>
            </w:r>
            <w:r w:rsidRPr="00E37482">
              <w:rPr>
                <w:rFonts w:asciiTheme="minorHAnsi" w:hAnsiTheme="minorHAnsi" w:cstheme="minorHAnsi"/>
                <w:color w:val="000000"/>
                <w:sz w:val="18"/>
                <w:szCs w:val="18"/>
              </w:rPr>
              <w:t>the incremental cost</w:t>
            </w:r>
            <w:r w:rsidR="00E37482" w:rsidRPr="00D5001E">
              <w:rPr>
                <w:rFonts w:asciiTheme="minorHAnsi" w:hAnsiTheme="minorHAnsi" w:cstheme="minorHAnsi"/>
                <w:color w:val="000000"/>
                <w:sz w:val="18"/>
                <w:szCs w:val="18"/>
              </w:rPr>
              <w:t>-</w:t>
            </w:r>
            <w:r w:rsidRPr="00E37482">
              <w:rPr>
                <w:rFonts w:asciiTheme="minorHAnsi" w:hAnsiTheme="minorHAnsi" w:cstheme="minorHAnsi"/>
                <w:color w:val="000000"/>
                <w:sz w:val="18"/>
                <w:szCs w:val="18"/>
              </w:rPr>
              <w:t xml:space="preserve">effectiveness ratio for </w:t>
            </w:r>
            <w:proofErr w:type="spellStart"/>
            <w:r w:rsidRPr="00E37482">
              <w:rPr>
                <w:rFonts w:asciiTheme="minorHAnsi" w:hAnsiTheme="minorHAnsi" w:cstheme="minorHAnsi"/>
                <w:color w:val="000000"/>
                <w:sz w:val="18"/>
                <w:szCs w:val="18"/>
              </w:rPr>
              <w:t>sebelipase</w:t>
            </w:r>
            <w:proofErr w:type="spellEnd"/>
            <w:r w:rsidRPr="00E37482">
              <w:rPr>
                <w:rFonts w:asciiTheme="minorHAnsi" w:hAnsiTheme="minorHAnsi" w:cstheme="minorHAnsi"/>
                <w:color w:val="000000"/>
                <w:sz w:val="18"/>
                <w:szCs w:val="18"/>
              </w:rPr>
              <w:t xml:space="preserve"> alfa compared to best supportive care was extremely high and uncertain.</w:t>
            </w:r>
          </w:p>
          <w:p w14:paraId="6DCF5860" w14:textId="77777777" w:rsidR="00575F52" w:rsidRPr="00E37482" w:rsidRDefault="00575F52" w:rsidP="00575F52">
            <w:pPr>
              <w:pStyle w:val="ListParagraph"/>
              <w:keepLines/>
              <w:ind w:left="0"/>
              <w:rPr>
                <w:rFonts w:asciiTheme="minorHAnsi" w:hAnsiTheme="minorHAnsi" w:cstheme="minorHAnsi"/>
                <w:color w:val="000000"/>
                <w:sz w:val="18"/>
                <w:szCs w:val="18"/>
              </w:rPr>
            </w:pPr>
          </w:p>
          <w:p w14:paraId="292E3D71" w14:textId="77777777" w:rsidR="005654CF" w:rsidRDefault="00575F52" w:rsidP="00575F52">
            <w:pPr>
              <w:pStyle w:val="ListParagraph"/>
              <w:keepLines/>
              <w:ind w:left="0"/>
              <w:rPr>
                <w:rFonts w:asciiTheme="minorHAnsi" w:hAnsiTheme="minorHAnsi" w:cstheme="minorHAnsi"/>
                <w:color w:val="000000"/>
                <w:sz w:val="18"/>
                <w:szCs w:val="18"/>
              </w:rPr>
            </w:pPr>
            <w:r w:rsidRPr="00E37482">
              <w:rPr>
                <w:rFonts w:asciiTheme="minorHAnsi" w:hAnsiTheme="minorHAnsi" w:cstheme="minorHAnsi"/>
                <w:color w:val="000000"/>
                <w:sz w:val="18"/>
                <w:szCs w:val="18"/>
                <w:u w:val="single"/>
              </w:rPr>
              <w:t>Sponsor Comment:</w:t>
            </w:r>
            <w:r w:rsidR="00591A74" w:rsidRPr="002B2C11">
              <w:rPr>
                <w:rFonts w:asciiTheme="minorHAnsi" w:hAnsiTheme="minorHAnsi" w:cstheme="minorHAnsi"/>
                <w:color w:val="000000"/>
                <w:sz w:val="18"/>
                <w:szCs w:val="18"/>
              </w:rPr>
              <w:t xml:space="preserve"> </w:t>
            </w:r>
          </w:p>
          <w:p w14:paraId="2A579DFE" w14:textId="0152B13D" w:rsidR="00575F52" w:rsidRPr="00E37482" w:rsidRDefault="00591A74" w:rsidP="00575F52">
            <w:pPr>
              <w:pStyle w:val="ListParagraph"/>
              <w:keepLines/>
              <w:ind w:left="0"/>
              <w:rPr>
                <w:rFonts w:asciiTheme="minorHAnsi" w:hAnsiTheme="minorHAnsi" w:cstheme="minorHAnsi"/>
                <w:color w:val="000000"/>
                <w:sz w:val="18"/>
                <w:szCs w:val="18"/>
              </w:rPr>
            </w:pPr>
            <w:r w:rsidRPr="002B2C11">
              <w:rPr>
                <w:rFonts w:asciiTheme="minorHAnsi" w:hAnsiTheme="minorHAnsi" w:cstheme="minorHAnsi"/>
                <w:color w:val="000000"/>
                <w:sz w:val="18"/>
                <w:szCs w:val="18"/>
              </w:rPr>
              <w:t xml:space="preserve">Alexion welcomes the PBAC’s acknowledgment that </w:t>
            </w:r>
            <w:proofErr w:type="spellStart"/>
            <w:r w:rsidRPr="002B2C11">
              <w:rPr>
                <w:rFonts w:asciiTheme="minorHAnsi" w:hAnsiTheme="minorHAnsi" w:cstheme="minorHAnsi"/>
                <w:color w:val="000000"/>
                <w:sz w:val="18"/>
                <w:szCs w:val="18"/>
              </w:rPr>
              <w:t>sebelipase</w:t>
            </w:r>
            <w:proofErr w:type="spellEnd"/>
            <w:r w:rsidRPr="002B2C11">
              <w:rPr>
                <w:rFonts w:asciiTheme="minorHAnsi" w:hAnsiTheme="minorHAnsi" w:cstheme="minorHAnsi"/>
                <w:color w:val="000000"/>
                <w:sz w:val="18"/>
                <w:szCs w:val="18"/>
              </w:rPr>
              <w:t xml:space="preserve"> alfa is an effective treatment for infantile onset LAL-D, an ultra-rare disease. We will continue to pursue funding for this medicine where there are no alternative therapies available.</w:t>
            </w:r>
          </w:p>
        </w:tc>
      </w:tr>
      <w:tr w:rsidR="00575F52" w:rsidRPr="00567D48" w14:paraId="7AB0002A" w14:textId="77777777" w:rsidTr="007128F7">
        <w:trPr>
          <w:cantSplit/>
          <w:trHeight w:val="2948"/>
        </w:trPr>
        <w:tc>
          <w:tcPr>
            <w:tcW w:w="2973" w:type="dxa"/>
            <w:shd w:val="clear" w:color="auto" w:fill="auto"/>
            <w:tcMar>
              <w:top w:w="28" w:type="dxa"/>
              <w:bottom w:w="28" w:type="dxa"/>
            </w:tcMar>
            <w:vAlign w:val="center"/>
          </w:tcPr>
          <w:p w14:paraId="4E874F30" w14:textId="6FC279DD" w:rsidR="00575F52" w:rsidRPr="00D5001E" w:rsidRDefault="00575F52" w:rsidP="00575F52">
            <w:pPr>
              <w:keepLines/>
              <w:rPr>
                <w:rFonts w:asciiTheme="minorHAnsi" w:hAnsiTheme="minorHAnsi" w:cstheme="minorHAnsi"/>
                <w:sz w:val="18"/>
                <w:szCs w:val="18"/>
                <w:highlight w:val="yellow"/>
              </w:rPr>
            </w:pPr>
            <w:r w:rsidRPr="00D5001E">
              <w:rPr>
                <w:rFonts w:asciiTheme="minorHAnsi" w:hAnsiTheme="minorHAnsi" w:cstheme="minorHAnsi"/>
                <w:color w:val="000000"/>
                <w:sz w:val="18"/>
                <w:szCs w:val="18"/>
              </w:rPr>
              <w:lastRenderedPageBreak/>
              <w:t>SECUKINUMAB</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Solution for injection 300 mg in 2 mL pre-filled pen</w:t>
            </w:r>
            <w:r w:rsidRPr="00D5001E">
              <w:rPr>
                <w:rFonts w:asciiTheme="minorHAnsi" w:hAnsiTheme="minorHAnsi" w:cstheme="minorHAnsi"/>
                <w:color w:val="000000"/>
                <w:sz w:val="18"/>
                <w:szCs w:val="18"/>
              </w:rPr>
              <w:br/>
              <w:t>Solution for injection 300 mg in 2 mL pre-filled syringe</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Cosentyx®</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Novartis Pharmaceuticals Australia Pty Limited</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Category 4 submission</w:t>
            </w:r>
            <w:r w:rsidRPr="00D5001E">
              <w:rPr>
                <w:rFonts w:asciiTheme="minorHAnsi" w:hAnsiTheme="minorHAnsi" w:cstheme="minorHAnsi"/>
                <w:color w:val="000000"/>
                <w:sz w:val="18"/>
                <w:szCs w:val="18"/>
              </w:rPr>
              <w:br/>
              <w:t>(New PBS listing)</w:t>
            </w:r>
          </w:p>
        </w:tc>
        <w:tc>
          <w:tcPr>
            <w:tcW w:w="2491" w:type="dxa"/>
            <w:shd w:val="clear" w:color="auto" w:fill="auto"/>
            <w:vAlign w:val="center"/>
          </w:tcPr>
          <w:p w14:paraId="37F5D043" w14:textId="12CA1969" w:rsidR="00575F52" w:rsidRPr="00D5001E" w:rsidRDefault="00575F52" w:rsidP="00575F52">
            <w:pPr>
              <w:keepLines/>
              <w:widowControl w:val="0"/>
              <w:rPr>
                <w:rFonts w:asciiTheme="minorHAnsi" w:hAnsiTheme="minorHAnsi" w:cstheme="minorHAnsi"/>
                <w:snapToGrid w:val="0"/>
                <w:sz w:val="18"/>
                <w:szCs w:val="18"/>
                <w:highlight w:val="yellow"/>
                <w:lang w:eastAsia="en-US"/>
              </w:rPr>
            </w:pPr>
            <w:r w:rsidRPr="00D5001E">
              <w:rPr>
                <w:rFonts w:asciiTheme="minorHAnsi" w:hAnsiTheme="minorHAnsi" w:cstheme="minorHAnsi"/>
                <w:color w:val="000000"/>
                <w:sz w:val="18"/>
                <w:szCs w:val="18"/>
              </w:rPr>
              <w:t>Non-radiographic axial spondyloarthritis</w:t>
            </w:r>
            <w:r w:rsidRPr="00D5001E">
              <w:rPr>
                <w:rFonts w:asciiTheme="minorHAnsi" w:hAnsiTheme="minorHAnsi" w:cstheme="minorHAnsi"/>
                <w:color w:val="000000"/>
                <w:sz w:val="18"/>
                <w:szCs w:val="18"/>
              </w:rPr>
              <w:br/>
              <w:t>Severe active psoriatic arthritis</w:t>
            </w:r>
            <w:r w:rsidRPr="00D5001E">
              <w:rPr>
                <w:rFonts w:asciiTheme="minorHAnsi" w:hAnsiTheme="minorHAnsi" w:cstheme="minorHAnsi"/>
                <w:color w:val="000000"/>
                <w:sz w:val="18"/>
                <w:szCs w:val="18"/>
              </w:rPr>
              <w:br/>
              <w:t>Severe psoriatic arthritis</w:t>
            </w:r>
            <w:r w:rsidRPr="00D5001E">
              <w:rPr>
                <w:rFonts w:asciiTheme="minorHAnsi" w:hAnsiTheme="minorHAnsi" w:cstheme="minorHAnsi"/>
                <w:color w:val="000000"/>
                <w:sz w:val="18"/>
                <w:szCs w:val="18"/>
              </w:rPr>
              <w:br/>
              <w:t>Ankylosing spondylitis</w:t>
            </w:r>
            <w:r w:rsidRPr="00D5001E">
              <w:rPr>
                <w:rFonts w:asciiTheme="minorHAnsi" w:hAnsiTheme="minorHAnsi" w:cstheme="minorHAnsi"/>
                <w:color w:val="000000"/>
                <w:sz w:val="18"/>
                <w:szCs w:val="18"/>
              </w:rPr>
              <w:br/>
              <w:t>Active ankylosing spondylitis</w:t>
            </w:r>
            <w:r w:rsidRPr="00D5001E">
              <w:rPr>
                <w:rFonts w:asciiTheme="minorHAnsi" w:hAnsiTheme="minorHAnsi" w:cstheme="minorHAnsi"/>
                <w:color w:val="000000"/>
                <w:sz w:val="18"/>
                <w:szCs w:val="18"/>
              </w:rPr>
              <w:br/>
              <w:t>Severe chronic plaque psoriasis</w:t>
            </w:r>
          </w:p>
        </w:tc>
        <w:tc>
          <w:tcPr>
            <w:tcW w:w="3887" w:type="dxa"/>
            <w:shd w:val="clear" w:color="auto" w:fill="auto"/>
            <w:tcMar>
              <w:top w:w="28" w:type="dxa"/>
              <w:bottom w:w="28" w:type="dxa"/>
            </w:tcMar>
            <w:vAlign w:val="center"/>
          </w:tcPr>
          <w:p w14:paraId="6C435C6D" w14:textId="1229598B" w:rsidR="00575F52" w:rsidRPr="00D5001E" w:rsidRDefault="00575F52" w:rsidP="00575F52">
            <w:pPr>
              <w:pStyle w:val="ListParagraph"/>
              <w:keepLines/>
              <w:ind w:left="0"/>
              <w:rPr>
                <w:rFonts w:asciiTheme="minorHAnsi" w:hAnsiTheme="minorHAnsi" w:cstheme="minorHAnsi"/>
                <w:snapToGrid w:val="0"/>
                <w:sz w:val="18"/>
                <w:szCs w:val="18"/>
                <w:highlight w:val="yellow"/>
                <w:lang w:eastAsia="en-US"/>
              </w:rPr>
            </w:pPr>
            <w:r w:rsidRPr="00D5001E">
              <w:rPr>
                <w:rFonts w:asciiTheme="minorHAnsi" w:hAnsiTheme="minorHAnsi" w:cstheme="minorHAnsi"/>
                <w:color w:val="000000"/>
                <w:sz w:val="18"/>
                <w:szCs w:val="18"/>
              </w:rPr>
              <w:t xml:space="preserve">To request General Schedule Authority Required (Written) listings of new forms of secukinumab under the same indications as the currently listed </w:t>
            </w:r>
            <w:r w:rsidRPr="00E713BF">
              <w:rPr>
                <w:rFonts w:asciiTheme="minorHAnsi" w:hAnsiTheme="minorHAnsi" w:cstheme="minorHAnsi"/>
                <w:color w:val="000000"/>
                <w:sz w:val="18"/>
                <w:szCs w:val="18"/>
              </w:rPr>
              <w:t xml:space="preserve">150 mg </w:t>
            </w:r>
            <w:r w:rsidRPr="00D5001E">
              <w:rPr>
                <w:rFonts w:asciiTheme="minorHAnsi" w:hAnsiTheme="minorHAnsi" w:cstheme="minorHAnsi"/>
                <w:color w:val="000000"/>
                <w:sz w:val="18"/>
                <w:szCs w:val="18"/>
              </w:rPr>
              <w:t>secukinumab pre-filled pen and pre</w:t>
            </w:r>
            <w:r w:rsidRPr="00E713BF">
              <w:rPr>
                <w:rFonts w:asciiTheme="minorHAnsi" w:hAnsiTheme="minorHAnsi" w:cstheme="minorHAnsi"/>
                <w:color w:val="000000"/>
                <w:sz w:val="18"/>
                <w:szCs w:val="18"/>
              </w:rPr>
              <w:t xml:space="preserve">-filled </w:t>
            </w:r>
            <w:r w:rsidRPr="00D5001E">
              <w:rPr>
                <w:rFonts w:asciiTheme="minorHAnsi" w:hAnsiTheme="minorHAnsi" w:cstheme="minorHAnsi"/>
                <w:color w:val="000000"/>
                <w:sz w:val="18"/>
                <w:szCs w:val="18"/>
              </w:rPr>
              <w:t xml:space="preserve">syringe. </w:t>
            </w:r>
          </w:p>
        </w:tc>
        <w:tc>
          <w:tcPr>
            <w:tcW w:w="1984" w:type="dxa"/>
            <w:shd w:val="clear" w:color="auto" w:fill="auto"/>
            <w:vAlign w:val="center"/>
          </w:tcPr>
          <w:p w14:paraId="6F3DA360" w14:textId="49E4901F"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Recommended</w:t>
            </w:r>
          </w:p>
        </w:tc>
        <w:tc>
          <w:tcPr>
            <w:tcW w:w="4053" w:type="dxa"/>
            <w:shd w:val="clear" w:color="auto" w:fill="auto"/>
            <w:vAlign w:val="center"/>
          </w:tcPr>
          <w:p w14:paraId="2AB19BBA" w14:textId="48E0ECBF" w:rsidR="00575F52" w:rsidRPr="000F0297" w:rsidRDefault="00575F52" w:rsidP="00575F52">
            <w:pPr>
              <w:pStyle w:val="ListParagraph"/>
              <w:keepLines/>
              <w:ind w:left="0"/>
              <w:rPr>
                <w:rFonts w:asciiTheme="minorHAnsi" w:hAnsiTheme="minorHAnsi" w:cstheme="minorHAnsi"/>
                <w:color w:val="000000"/>
                <w:sz w:val="18"/>
                <w:szCs w:val="18"/>
              </w:rPr>
            </w:pPr>
            <w:r w:rsidRPr="00D5001E">
              <w:rPr>
                <w:rFonts w:asciiTheme="minorHAnsi" w:hAnsiTheme="minorHAnsi" w:cstheme="minorHAnsi"/>
                <w:color w:val="000000"/>
                <w:sz w:val="18"/>
                <w:szCs w:val="18"/>
              </w:rPr>
              <w:t>The PBAC recommended General Schedule listings for two new forms of secukinumab injection (Cosentyx®): a 300 mg/2 mL pre-filled pen (PFP) and a 300 mg/2 mL pre-filled syringe (PFS) for severe psoriatic arthritis, severe chronic plaque psoriasis and ankylosing spondylitis, under the same circumstances as the current secukinumab</w:t>
            </w:r>
            <w:r w:rsidRPr="00E713BF">
              <w:rPr>
                <w:rFonts w:asciiTheme="minorHAnsi" w:hAnsiTheme="minorHAnsi" w:cstheme="minorHAnsi"/>
                <w:color w:val="000000"/>
                <w:sz w:val="18"/>
                <w:szCs w:val="18"/>
              </w:rPr>
              <w:t xml:space="preserve"> 150 mg/mL PFP listing.</w:t>
            </w:r>
          </w:p>
        </w:tc>
      </w:tr>
      <w:tr w:rsidR="00575F52" w:rsidRPr="00567D48" w14:paraId="1CE6244C" w14:textId="77777777" w:rsidTr="007128F7">
        <w:trPr>
          <w:cantSplit/>
          <w:trHeight w:val="2948"/>
        </w:trPr>
        <w:tc>
          <w:tcPr>
            <w:tcW w:w="2973" w:type="dxa"/>
            <w:shd w:val="clear" w:color="auto" w:fill="auto"/>
            <w:tcMar>
              <w:top w:w="28" w:type="dxa"/>
              <w:bottom w:w="28" w:type="dxa"/>
            </w:tcMar>
            <w:vAlign w:val="center"/>
          </w:tcPr>
          <w:p w14:paraId="557B9982" w14:textId="0BD94AB3" w:rsidR="00575F52" w:rsidRPr="00D5001E" w:rsidRDefault="00575F52" w:rsidP="00575F52">
            <w:pPr>
              <w:keepLines/>
              <w:rPr>
                <w:rFonts w:asciiTheme="minorHAnsi" w:hAnsiTheme="minorHAnsi" w:cstheme="minorHAnsi"/>
                <w:sz w:val="18"/>
                <w:szCs w:val="18"/>
                <w:highlight w:val="yellow"/>
              </w:rPr>
            </w:pPr>
            <w:r w:rsidRPr="00D5001E">
              <w:rPr>
                <w:rFonts w:asciiTheme="minorHAnsi" w:hAnsiTheme="minorHAnsi" w:cstheme="minorHAnsi"/>
                <w:color w:val="000000"/>
                <w:sz w:val="18"/>
                <w:szCs w:val="18"/>
              </w:rPr>
              <w:t>SELINEXOR</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Tablet 20 mg</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Xpovio®</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Antengene (Aus</w:t>
            </w:r>
            <w:r w:rsidRPr="00E713BF">
              <w:rPr>
                <w:rFonts w:asciiTheme="minorHAnsi" w:hAnsiTheme="minorHAnsi" w:cstheme="minorHAnsi"/>
                <w:color w:val="000000"/>
                <w:sz w:val="18"/>
                <w:szCs w:val="18"/>
              </w:rPr>
              <w:t>) Pty Ltd</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Standard re-entry submission</w:t>
            </w:r>
            <w:r w:rsidRPr="00D5001E">
              <w:rPr>
                <w:rFonts w:asciiTheme="minorHAnsi" w:hAnsiTheme="minorHAnsi" w:cstheme="minorHAnsi"/>
                <w:color w:val="000000"/>
                <w:sz w:val="18"/>
                <w:szCs w:val="18"/>
              </w:rPr>
              <w:br/>
              <w:t>(New PBS listing)</w:t>
            </w:r>
          </w:p>
        </w:tc>
        <w:tc>
          <w:tcPr>
            <w:tcW w:w="2491" w:type="dxa"/>
            <w:shd w:val="clear" w:color="auto" w:fill="auto"/>
            <w:vAlign w:val="center"/>
          </w:tcPr>
          <w:p w14:paraId="01BCF78F" w14:textId="6612F3DA" w:rsidR="00575F52" w:rsidRPr="00D5001E" w:rsidRDefault="00575F52" w:rsidP="00575F52">
            <w:pPr>
              <w:keepLines/>
              <w:widowControl w:val="0"/>
              <w:rPr>
                <w:rFonts w:asciiTheme="minorHAnsi" w:hAnsiTheme="minorHAnsi" w:cstheme="minorHAnsi"/>
                <w:snapToGrid w:val="0"/>
                <w:sz w:val="18"/>
                <w:szCs w:val="18"/>
                <w:highlight w:val="yellow"/>
                <w:lang w:eastAsia="en-US"/>
              </w:rPr>
            </w:pPr>
            <w:r w:rsidRPr="00D5001E">
              <w:rPr>
                <w:rFonts w:asciiTheme="minorHAnsi" w:hAnsiTheme="minorHAnsi" w:cstheme="minorHAnsi"/>
                <w:color w:val="000000"/>
                <w:sz w:val="18"/>
                <w:szCs w:val="18"/>
              </w:rPr>
              <w:t>Triple class refractory/penta-refractory multiple myeloma</w:t>
            </w:r>
          </w:p>
        </w:tc>
        <w:tc>
          <w:tcPr>
            <w:tcW w:w="3887" w:type="dxa"/>
            <w:shd w:val="clear" w:color="auto" w:fill="auto"/>
            <w:tcMar>
              <w:top w:w="28" w:type="dxa"/>
              <w:bottom w:w="28" w:type="dxa"/>
            </w:tcMar>
            <w:vAlign w:val="center"/>
          </w:tcPr>
          <w:p w14:paraId="4971C892" w14:textId="0021F1E1"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 xml:space="preserve">Resubmission to request a Section 100 (Highly Specialised Drugs Program) Authority Required listing, for use in combination with dexamethasone, for the treatment of adult patients with relapsed and/or refractory multiple myeloma, who have received at least four prior therapies and whose disease is refractory to at least two proteasome inhibitors, at least two immunomodulatory agents, and an anti-CD38 monoclonal antibody. </w:t>
            </w:r>
          </w:p>
        </w:tc>
        <w:tc>
          <w:tcPr>
            <w:tcW w:w="1984" w:type="dxa"/>
            <w:shd w:val="clear" w:color="auto" w:fill="auto"/>
            <w:vAlign w:val="center"/>
          </w:tcPr>
          <w:p w14:paraId="2D28558B" w14:textId="3148E5A2"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Recommended</w:t>
            </w:r>
          </w:p>
        </w:tc>
        <w:tc>
          <w:tcPr>
            <w:tcW w:w="4053" w:type="dxa"/>
            <w:shd w:val="clear" w:color="auto" w:fill="auto"/>
            <w:vAlign w:val="center"/>
          </w:tcPr>
          <w:p w14:paraId="7F66916E" w14:textId="486F0C7A" w:rsidR="00575F52" w:rsidRPr="00D5001E" w:rsidRDefault="00575F52" w:rsidP="00575F52">
            <w:pPr>
              <w:pStyle w:val="ListParagraph"/>
              <w:keepLines/>
              <w:ind w:left="0"/>
              <w:rPr>
                <w:rFonts w:asciiTheme="minorHAnsi" w:hAnsiTheme="minorHAnsi" w:cstheme="minorHAnsi"/>
                <w:color w:val="000000"/>
                <w:sz w:val="18"/>
                <w:szCs w:val="18"/>
                <w:highlight w:val="yellow"/>
              </w:rPr>
            </w:pPr>
            <w:r w:rsidRPr="00D5001E">
              <w:rPr>
                <w:rFonts w:asciiTheme="minorHAnsi" w:hAnsiTheme="minorHAnsi" w:cstheme="minorHAnsi"/>
                <w:color w:val="000000"/>
                <w:sz w:val="18"/>
                <w:szCs w:val="18"/>
              </w:rPr>
              <w:t xml:space="preserve">The PBAC recommended the listing of selinexor, for use in combination with dexamethasone (Sd), for the treatment of triple class refractory and penta-refractory multiple myeloma (TCR/PR MM). The PBAC considered that the clinical evidence for Sd was adequate to support listing in a small patient population with significant unmet need, and on this basis was satisfied that Sd provides, for some patients, a significant improvement in efficacy over salvage chemotherapy, represented by dexamethasone + cyclophosphamide + etoposide + cisplatin. The PBAC noted that the resubmission had addressed </w:t>
            </w:r>
            <w:proofErr w:type="gramStart"/>
            <w:r w:rsidRPr="00D5001E">
              <w:rPr>
                <w:rFonts w:asciiTheme="minorHAnsi" w:hAnsiTheme="minorHAnsi" w:cstheme="minorHAnsi"/>
                <w:color w:val="000000"/>
                <w:sz w:val="18"/>
                <w:szCs w:val="18"/>
              </w:rPr>
              <w:t>a number of</w:t>
            </w:r>
            <w:proofErr w:type="gramEnd"/>
            <w:r w:rsidRPr="00D5001E">
              <w:rPr>
                <w:rFonts w:asciiTheme="minorHAnsi" w:hAnsiTheme="minorHAnsi" w:cstheme="minorHAnsi"/>
                <w:color w:val="000000"/>
                <w:sz w:val="18"/>
                <w:szCs w:val="18"/>
              </w:rPr>
              <w:t xml:space="preserve"> its previous concerns with the economic model. The PBAC considered that the incremental cost effectiveness ratio was high at the proposed price and a price reduction would be required to ensure Sd is cost-effective in this population.</w:t>
            </w:r>
          </w:p>
        </w:tc>
      </w:tr>
      <w:tr w:rsidR="00575F52" w:rsidRPr="00567D48" w14:paraId="22D068E3" w14:textId="77777777" w:rsidTr="00E713BF">
        <w:trPr>
          <w:trHeight w:val="2948"/>
        </w:trPr>
        <w:tc>
          <w:tcPr>
            <w:tcW w:w="2973" w:type="dxa"/>
            <w:shd w:val="clear" w:color="auto" w:fill="auto"/>
            <w:tcMar>
              <w:top w:w="28" w:type="dxa"/>
              <w:bottom w:w="28" w:type="dxa"/>
            </w:tcMar>
            <w:vAlign w:val="center"/>
          </w:tcPr>
          <w:p w14:paraId="195F5303" w14:textId="54880572" w:rsidR="00575F52" w:rsidRPr="00D5001E" w:rsidRDefault="00575F52" w:rsidP="00575F52">
            <w:pPr>
              <w:keepLines/>
              <w:rPr>
                <w:rFonts w:asciiTheme="minorHAnsi" w:hAnsiTheme="minorHAnsi" w:cstheme="minorHAnsi"/>
                <w:sz w:val="18"/>
                <w:szCs w:val="18"/>
                <w:highlight w:val="yellow"/>
              </w:rPr>
            </w:pPr>
            <w:r w:rsidRPr="00D5001E">
              <w:rPr>
                <w:rFonts w:asciiTheme="minorHAnsi" w:hAnsiTheme="minorHAnsi" w:cstheme="minorHAnsi"/>
                <w:color w:val="000000"/>
                <w:sz w:val="18"/>
                <w:szCs w:val="18"/>
              </w:rPr>
              <w:lastRenderedPageBreak/>
              <w:t>SELINEXOR</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Tablet 20 mg</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Xpovio®</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Antengene (</w:t>
            </w:r>
            <w:r w:rsidRPr="00E713BF">
              <w:rPr>
                <w:rFonts w:asciiTheme="minorHAnsi" w:hAnsiTheme="minorHAnsi" w:cstheme="minorHAnsi"/>
                <w:color w:val="000000"/>
                <w:sz w:val="18"/>
                <w:szCs w:val="18"/>
              </w:rPr>
              <w:t>Aus) Pty Ltd</w:t>
            </w:r>
            <w:r w:rsidRPr="00E713BF">
              <w:rPr>
                <w:rFonts w:asciiTheme="minorHAnsi" w:hAnsiTheme="minorHAnsi" w:cstheme="minorHAnsi"/>
                <w:color w:val="000000"/>
                <w:sz w:val="18"/>
                <w:szCs w:val="18"/>
              </w:rPr>
              <w:br/>
            </w:r>
            <w:r w:rsidRPr="00E713BF">
              <w:rPr>
                <w:rFonts w:asciiTheme="minorHAnsi" w:hAnsiTheme="minorHAnsi" w:cstheme="minorHAnsi"/>
                <w:color w:val="000000"/>
                <w:sz w:val="18"/>
                <w:szCs w:val="18"/>
              </w:rPr>
              <w:br/>
              <w:t>Standard Re-entry submission</w:t>
            </w:r>
            <w:r w:rsidRPr="00E713BF">
              <w:rPr>
                <w:rFonts w:asciiTheme="minorHAnsi" w:hAnsiTheme="minorHAnsi" w:cstheme="minorHAnsi"/>
                <w:color w:val="000000"/>
                <w:sz w:val="18"/>
                <w:szCs w:val="18"/>
              </w:rPr>
              <w:br/>
            </w:r>
            <w:r w:rsidRPr="00D5001E">
              <w:rPr>
                <w:rFonts w:asciiTheme="minorHAnsi" w:hAnsiTheme="minorHAnsi" w:cstheme="minorHAnsi"/>
                <w:color w:val="000000"/>
                <w:sz w:val="18"/>
                <w:szCs w:val="18"/>
              </w:rPr>
              <w:t>(New PBS listing)</w:t>
            </w:r>
          </w:p>
        </w:tc>
        <w:tc>
          <w:tcPr>
            <w:tcW w:w="2491" w:type="dxa"/>
            <w:shd w:val="clear" w:color="auto" w:fill="auto"/>
            <w:vAlign w:val="center"/>
          </w:tcPr>
          <w:p w14:paraId="79006C6F" w14:textId="73500BF6" w:rsidR="00575F52" w:rsidRPr="000F0297" w:rsidRDefault="00575F52" w:rsidP="00575F52">
            <w:pPr>
              <w:keepLines/>
              <w:widowControl w:val="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Relapsed and/or refractory multiple myeloma (RRMM)</w:t>
            </w:r>
          </w:p>
        </w:tc>
        <w:tc>
          <w:tcPr>
            <w:tcW w:w="3887" w:type="dxa"/>
            <w:shd w:val="clear" w:color="auto" w:fill="auto"/>
            <w:tcMar>
              <w:top w:w="28" w:type="dxa"/>
              <w:bottom w:w="28" w:type="dxa"/>
            </w:tcMar>
            <w:vAlign w:val="center"/>
          </w:tcPr>
          <w:p w14:paraId="204CD011" w14:textId="55197DDD" w:rsidR="00575F52" w:rsidRPr="00575F52" w:rsidRDefault="00575F52" w:rsidP="00B92BB9">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Resubmission to request a Section 100 (Highly Specialised Drugs Program) Authority Required listing, for use in combination with bortezomib and dexamethasone, for the treatment of RRMM</w:t>
            </w:r>
            <w:r w:rsidR="00B92BB9">
              <w:rPr>
                <w:rFonts w:asciiTheme="minorHAnsi" w:hAnsiTheme="minorHAnsi" w:cstheme="minorHAnsi"/>
                <w:color w:val="000000"/>
                <w:sz w:val="18"/>
                <w:szCs w:val="18"/>
              </w:rPr>
              <w:t>.</w:t>
            </w:r>
          </w:p>
        </w:tc>
        <w:tc>
          <w:tcPr>
            <w:tcW w:w="1984" w:type="dxa"/>
            <w:shd w:val="clear" w:color="auto" w:fill="auto"/>
            <w:vAlign w:val="center"/>
          </w:tcPr>
          <w:p w14:paraId="3DD6EBD3" w14:textId="16BF7A0F"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Not Recommended</w:t>
            </w:r>
          </w:p>
        </w:tc>
        <w:tc>
          <w:tcPr>
            <w:tcW w:w="4053" w:type="dxa"/>
            <w:shd w:val="clear" w:color="auto" w:fill="auto"/>
            <w:vAlign w:val="center"/>
          </w:tcPr>
          <w:p w14:paraId="5196FA51" w14:textId="1EA12B7A" w:rsidR="00575F52" w:rsidRPr="00D5001E" w:rsidRDefault="00575F52" w:rsidP="00317FE3">
            <w:pPr>
              <w:pStyle w:val="ExecSumBodyText"/>
              <w:numPr>
                <w:ilvl w:val="0"/>
                <w:numId w:val="0"/>
              </w:numPr>
              <w:jc w:val="left"/>
              <w:rPr>
                <w:rFonts w:cstheme="minorHAnsi"/>
                <w:sz w:val="18"/>
                <w:szCs w:val="18"/>
                <w:lang w:eastAsia="en-US"/>
              </w:rPr>
            </w:pPr>
            <w:r w:rsidRPr="00D5001E">
              <w:rPr>
                <w:rFonts w:cstheme="minorHAnsi"/>
                <w:sz w:val="18"/>
                <w:szCs w:val="18"/>
                <w:lang w:eastAsia="en-US"/>
              </w:rPr>
              <w:t>The PBAC did not recommend</w:t>
            </w:r>
            <w:r w:rsidRPr="00D5001E">
              <w:rPr>
                <w:rFonts w:cstheme="minorHAnsi"/>
                <w:sz w:val="18"/>
                <w:szCs w:val="18"/>
              </w:rPr>
              <w:t xml:space="preserve"> the </w:t>
            </w:r>
            <w:r w:rsidRPr="00D5001E">
              <w:rPr>
                <w:rFonts w:cstheme="minorHAnsi"/>
                <w:sz w:val="18"/>
                <w:szCs w:val="18"/>
                <w:lang w:eastAsia="en-US"/>
              </w:rPr>
              <w:t>listing of selinexor, for use in combination with bortezomib and dexamethasone (SBd), for the treatment of RRMM in patients who have received at least one prior therapy.</w:t>
            </w:r>
          </w:p>
          <w:p w14:paraId="280DE273" w14:textId="77777777" w:rsidR="00575F52" w:rsidRPr="00D5001E" w:rsidRDefault="00575F52" w:rsidP="00317FE3">
            <w:pPr>
              <w:pStyle w:val="ExecSumBodyText"/>
              <w:numPr>
                <w:ilvl w:val="0"/>
                <w:numId w:val="0"/>
              </w:numPr>
              <w:jc w:val="left"/>
              <w:rPr>
                <w:rFonts w:cstheme="minorHAnsi"/>
                <w:sz w:val="18"/>
                <w:szCs w:val="18"/>
                <w:lang w:eastAsia="en-US"/>
              </w:rPr>
            </w:pPr>
            <w:r w:rsidRPr="00D5001E">
              <w:rPr>
                <w:rFonts w:cstheme="minorHAnsi"/>
                <w:sz w:val="18"/>
                <w:szCs w:val="18"/>
                <w:lang w:eastAsia="en-US"/>
              </w:rPr>
              <w:t xml:space="preserve">The previous submission was considered in July 2021. </w:t>
            </w:r>
          </w:p>
          <w:p w14:paraId="37B51445" w14:textId="77777777" w:rsidR="00575F52" w:rsidRPr="00D5001E" w:rsidRDefault="00575F52" w:rsidP="00317FE3">
            <w:pPr>
              <w:pStyle w:val="ExecSumBodyText"/>
              <w:numPr>
                <w:ilvl w:val="0"/>
                <w:numId w:val="0"/>
              </w:numPr>
              <w:jc w:val="left"/>
              <w:rPr>
                <w:rFonts w:cstheme="minorHAnsi"/>
                <w:sz w:val="18"/>
                <w:szCs w:val="18"/>
                <w:u w:val="single"/>
                <w:lang w:eastAsia="en-US"/>
              </w:rPr>
            </w:pPr>
            <w:r w:rsidRPr="00D5001E">
              <w:rPr>
                <w:rFonts w:cstheme="minorHAnsi"/>
                <w:sz w:val="18"/>
                <w:szCs w:val="18"/>
                <w:u w:val="single"/>
                <w:lang w:eastAsia="en-US"/>
              </w:rPr>
              <w:t>Comparator: carfilzomib plus dexamethasone (Cd).</w:t>
            </w:r>
          </w:p>
          <w:p w14:paraId="38D76146" w14:textId="77777777" w:rsidR="00575F52" w:rsidRPr="00D5001E" w:rsidRDefault="00575F52" w:rsidP="00317FE3">
            <w:pPr>
              <w:pStyle w:val="ExecSumBodyText"/>
              <w:numPr>
                <w:ilvl w:val="0"/>
                <w:numId w:val="0"/>
              </w:numPr>
              <w:jc w:val="left"/>
              <w:rPr>
                <w:rFonts w:cstheme="minorHAnsi"/>
                <w:sz w:val="18"/>
                <w:szCs w:val="18"/>
                <w:lang w:eastAsia="en-US"/>
              </w:rPr>
            </w:pPr>
            <w:r w:rsidRPr="00D5001E">
              <w:rPr>
                <w:rFonts w:cstheme="minorHAnsi"/>
                <w:sz w:val="18"/>
                <w:szCs w:val="18"/>
                <w:lang w:eastAsia="en-US"/>
              </w:rPr>
              <w:t>The PBAC considered that Cd was a relevant comparator; however, noted that the multiple treatment options for RRMM and the changing treatment algorithm complicated the selection of the main comparator(s). The PBAC considered that Cd remained an important comparator.</w:t>
            </w:r>
          </w:p>
          <w:p w14:paraId="39BB9BD6" w14:textId="7DE06C2C" w:rsidR="00575F52" w:rsidRPr="00D5001E" w:rsidRDefault="00575F52" w:rsidP="00317FE3">
            <w:pPr>
              <w:pStyle w:val="ExecSumBodyText"/>
              <w:numPr>
                <w:ilvl w:val="0"/>
                <w:numId w:val="0"/>
              </w:numPr>
              <w:jc w:val="left"/>
              <w:rPr>
                <w:rFonts w:cstheme="minorHAnsi"/>
                <w:sz w:val="18"/>
                <w:szCs w:val="18"/>
                <w:u w:val="single"/>
                <w:lang w:eastAsia="en-US"/>
              </w:rPr>
            </w:pPr>
            <w:r w:rsidRPr="00D5001E">
              <w:rPr>
                <w:rFonts w:cstheme="minorHAnsi"/>
                <w:sz w:val="18"/>
                <w:szCs w:val="18"/>
                <w:u w:val="single"/>
                <w:lang w:eastAsia="en-US"/>
              </w:rPr>
              <w:t xml:space="preserve">Clinical claim: non-inferior effectiveness and safety compared with </w:t>
            </w:r>
            <w:r w:rsidR="007E1720">
              <w:rPr>
                <w:rFonts w:cstheme="minorHAnsi"/>
                <w:sz w:val="18"/>
                <w:szCs w:val="18"/>
                <w:u w:val="single"/>
                <w:lang w:eastAsia="en-US"/>
              </w:rPr>
              <w:t>C</w:t>
            </w:r>
            <w:r w:rsidRPr="00D5001E">
              <w:rPr>
                <w:rFonts w:cstheme="minorHAnsi"/>
                <w:sz w:val="18"/>
                <w:szCs w:val="18"/>
                <w:u w:val="single"/>
                <w:lang w:eastAsia="en-US"/>
              </w:rPr>
              <w:t>d.</w:t>
            </w:r>
          </w:p>
          <w:p w14:paraId="6D563FAD" w14:textId="77777777" w:rsidR="00575F52" w:rsidRPr="00D5001E" w:rsidRDefault="00575F52" w:rsidP="00317FE3">
            <w:pPr>
              <w:pStyle w:val="ExecSumBodyText"/>
              <w:numPr>
                <w:ilvl w:val="0"/>
                <w:numId w:val="0"/>
              </w:numPr>
              <w:jc w:val="left"/>
              <w:rPr>
                <w:rFonts w:cstheme="minorHAnsi"/>
                <w:sz w:val="18"/>
                <w:szCs w:val="18"/>
                <w:lang w:eastAsia="en-US"/>
              </w:rPr>
            </w:pPr>
            <w:r w:rsidRPr="00D5001E">
              <w:rPr>
                <w:rFonts w:cstheme="minorHAnsi"/>
                <w:sz w:val="18"/>
                <w:szCs w:val="18"/>
                <w:lang w:eastAsia="en-US"/>
              </w:rPr>
              <w:t>The clinical claim was based on indirect treatment comparisons of SBd and Cd via Bd informed by two head-to-head trials: BOSTON (SBd vs Bd); and ENDEAVOR (Cd vs Bd). The resubmission presented updated data from BOSTON compared to the July 2021 submission.</w:t>
            </w:r>
          </w:p>
          <w:p w14:paraId="20D5AF02" w14:textId="64C470E6" w:rsidR="00575F52" w:rsidRPr="00D5001E" w:rsidRDefault="00575F52" w:rsidP="00317FE3">
            <w:pPr>
              <w:pStyle w:val="ExecSumBodyText"/>
              <w:numPr>
                <w:ilvl w:val="0"/>
                <w:numId w:val="0"/>
              </w:numPr>
              <w:jc w:val="left"/>
              <w:rPr>
                <w:rFonts w:cstheme="minorHAnsi"/>
                <w:sz w:val="18"/>
                <w:szCs w:val="18"/>
                <w:lang w:eastAsia="en-US"/>
              </w:rPr>
            </w:pPr>
            <w:r w:rsidRPr="00D5001E">
              <w:rPr>
                <w:rFonts w:cstheme="minorHAnsi"/>
                <w:sz w:val="18"/>
                <w:szCs w:val="18"/>
                <w:lang w:eastAsia="en-US"/>
              </w:rPr>
              <w:t xml:space="preserve">The PBAC considered that the claim of non-inferior effectiveness was not adequately supported by the data. The PBAC noted the additional analyses of </w:t>
            </w:r>
            <w:r w:rsidR="00486DA8" w:rsidRPr="00E713BF">
              <w:rPr>
                <w:sz w:val="18"/>
                <w:szCs w:val="18"/>
              </w:rPr>
              <w:t xml:space="preserve">progression free survival </w:t>
            </w:r>
            <w:r w:rsidRPr="00D5001E">
              <w:rPr>
                <w:rFonts w:cstheme="minorHAnsi"/>
                <w:sz w:val="18"/>
                <w:szCs w:val="18"/>
                <w:lang w:eastAsia="en-US"/>
              </w:rPr>
              <w:t>provided by the resubmission, however considered that a lack of a statistically significant difference between SBd and Cd did not adequately establish non-inferiority.  Secondly, the PBAC noted that a statistically significant improvement in</w:t>
            </w:r>
            <w:r w:rsidR="00FC05D8">
              <w:rPr>
                <w:rFonts w:cstheme="minorHAnsi"/>
                <w:sz w:val="18"/>
                <w:szCs w:val="18"/>
                <w:lang w:eastAsia="en-US"/>
              </w:rPr>
              <w:t xml:space="preserve"> overall survival</w:t>
            </w:r>
            <w:r w:rsidRPr="00D5001E">
              <w:rPr>
                <w:rFonts w:cstheme="minorHAnsi"/>
                <w:sz w:val="18"/>
                <w:szCs w:val="18"/>
                <w:lang w:eastAsia="en-US"/>
              </w:rPr>
              <w:t xml:space="preserve"> was demonstrated for Cd versus Bd (in ENDEAVOR), but not for SBd versus Bd (in BOSTON).</w:t>
            </w:r>
          </w:p>
          <w:p w14:paraId="40A7AD94" w14:textId="77777777" w:rsidR="00575F52" w:rsidRPr="00D5001E" w:rsidRDefault="00575F52" w:rsidP="00317FE3">
            <w:pPr>
              <w:pStyle w:val="ExecSumBodyText"/>
              <w:numPr>
                <w:ilvl w:val="0"/>
                <w:numId w:val="0"/>
              </w:numPr>
              <w:jc w:val="left"/>
              <w:rPr>
                <w:rFonts w:cstheme="minorHAnsi"/>
                <w:sz w:val="18"/>
                <w:szCs w:val="18"/>
                <w:lang w:eastAsia="en-US"/>
              </w:rPr>
            </w:pPr>
            <w:r w:rsidRPr="00D5001E">
              <w:rPr>
                <w:rFonts w:cstheme="minorHAnsi"/>
                <w:sz w:val="18"/>
                <w:szCs w:val="18"/>
                <w:lang w:eastAsia="en-US"/>
              </w:rPr>
              <w:lastRenderedPageBreak/>
              <w:t xml:space="preserve">The PBAC considered that the non-inferior safety claim was reasonable. </w:t>
            </w:r>
          </w:p>
          <w:p w14:paraId="7BBAD609" w14:textId="77777777" w:rsidR="00575F52" w:rsidRPr="00D5001E" w:rsidRDefault="00575F52" w:rsidP="00317FE3">
            <w:pPr>
              <w:pStyle w:val="ExecSumBodyText"/>
              <w:numPr>
                <w:ilvl w:val="0"/>
                <w:numId w:val="0"/>
              </w:numPr>
              <w:jc w:val="left"/>
              <w:rPr>
                <w:rFonts w:cstheme="minorHAnsi"/>
                <w:sz w:val="18"/>
                <w:szCs w:val="18"/>
                <w:u w:val="single"/>
                <w:lang w:eastAsia="en-US"/>
              </w:rPr>
            </w:pPr>
            <w:r w:rsidRPr="00D5001E">
              <w:rPr>
                <w:rFonts w:cstheme="minorHAnsi"/>
                <w:sz w:val="18"/>
                <w:szCs w:val="18"/>
                <w:u w:val="single"/>
                <w:lang w:eastAsia="en-US"/>
              </w:rPr>
              <w:t>Economic claim: cost-minimisation versus Cd</w:t>
            </w:r>
          </w:p>
          <w:p w14:paraId="49B21E37" w14:textId="77777777" w:rsidR="00575F52" w:rsidRPr="00D5001E" w:rsidRDefault="00575F52" w:rsidP="00575F52">
            <w:pPr>
              <w:widowControl w:val="0"/>
              <w:spacing w:after="120"/>
              <w:rPr>
                <w:rFonts w:asciiTheme="minorHAnsi" w:hAnsiTheme="minorHAnsi" w:cstheme="minorHAnsi"/>
                <w:snapToGrid w:val="0"/>
                <w:sz w:val="18"/>
                <w:szCs w:val="18"/>
                <w:lang w:eastAsia="en-US"/>
              </w:rPr>
            </w:pPr>
            <w:r w:rsidRPr="00D5001E">
              <w:rPr>
                <w:rFonts w:asciiTheme="minorHAnsi" w:hAnsiTheme="minorHAnsi" w:cstheme="minorHAnsi"/>
                <w:snapToGrid w:val="0"/>
                <w:sz w:val="18"/>
                <w:szCs w:val="18"/>
              </w:rPr>
              <w:t>The economic analysis was not informative, as it relied on an assumption of non-inferiority that was not adequately supported.</w:t>
            </w:r>
          </w:p>
          <w:p w14:paraId="0C0FB215" w14:textId="0B0870F7" w:rsidR="00575F52" w:rsidRPr="00D5001E" w:rsidRDefault="00575F52" w:rsidP="00575F52">
            <w:pPr>
              <w:pStyle w:val="ListParagraph"/>
              <w:keepLines/>
              <w:ind w:left="0"/>
              <w:rPr>
                <w:rFonts w:asciiTheme="minorHAnsi" w:hAnsiTheme="minorHAnsi" w:cstheme="minorHAnsi"/>
                <w:snapToGrid w:val="0"/>
                <w:sz w:val="18"/>
                <w:szCs w:val="18"/>
              </w:rPr>
            </w:pPr>
            <w:r w:rsidRPr="00D5001E">
              <w:rPr>
                <w:rFonts w:asciiTheme="minorHAnsi" w:hAnsiTheme="minorHAnsi" w:cstheme="minorHAnsi"/>
                <w:snapToGrid w:val="0"/>
                <w:sz w:val="18"/>
                <w:szCs w:val="18"/>
              </w:rPr>
              <w:t xml:space="preserve">The PBAC considered that the utilisation estimates for SBd were uncertain, noting that the place in therapy for SBd and the impact on other RRMM regimens was unclear. </w:t>
            </w:r>
          </w:p>
          <w:p w14:paraId="65C23A0B" w14:textId="77777777" w:rsidR="00F56BEF" w:rsidRDefault="00F56BEF" w:rsidP="00575F52">
            <w:pPr>
              <w:pStyle w:val="ListParagraph"/>
              <w:keepLines/>
              <w:ind w:left="0"/>
              <w:rPr>
                <w:rFonts w:asciiTheme="minorHAnsi" w:hAnsiTheme="minorHAnsi" w:cstheme="minorHAnsi"/>
                <w:color w:val="000000"/>
                <w:sz w:val="18"/>
                <w:szCs w:val="18"/>
              </w:rPr>
            </w:pPr>
          </w:p>
          <w:p w14:paraId="7921DAB6" w14:textId="10A149C2" w:rsidR="00575F52" w:rsidRPr="00486DA8" w:rsidRDefault="00F56BEF" w:rsidP="00F56BEF">
            <w:pPr>
              <w:pStyle w:val="ListParagraph"/>
              <w:keepLines/>
              <w:ind w:left="0"/>
              <w:rPr>
                <w:rFonts w:asciiTheme="minorHAnsi" w:hAnsiTheme="minorHAnsi" w:cstheme="minorHAnsi"/>
                <w:color w:val="000000"/>
                <w:sz w:val="18"/>
                <w:szCs w:val="18"/>
              </w:rPr>
            </w:pPr>
            <w:r w:rsidRPr="00486DA8">
              <w:rPr>
                <w:rFonts w:asciiTheme="minorHAnsi" w:hAnsiTheme="minorHAnsi" w:cstheme="minorHAnsi"/>
                <w:color w:val="000000"/>
                <w:sz w:val="18"/>
                <w:szCs w:val="18"/>
                <w:u w:val="single"/>
              </w:rPr>
              <w:t>Sponsor Comment:</w:t>
            </w:r>
            <w:r>
              <w:rPr>
                <w:rFonts w:asciiTheme="minorHAnsi" w:hAnsiTheme="minorHAnsi" w:cstheme="minorHAnsi"/>
                <w:color w:val="000000"/>
                <w:sz w:val="18"/>
                <w:szCs w:val="18"/>
              </w:rPr>
              <w:br/>
            </w:r>
            <w:r w:rsidR="007E1720" w:rsidRPr="007E1720">
              <w:rPr>
                <w:rFonts w:asciiTheme="minorHAnsi" w:hAnsiTheme="minorHAnsi" w:cstheme="minorHAnsi"/>
                <w:color w:val="000000"/>
                <w:sz w:val="18"/>
                <w:szCs w:val="18"/>
              </w:rPr>
              <w:t xml:space="preserve">Antengene wishes to thank </w:t>
            </w:r>
            <w:proofErr w:type="gramStart"/>
            <w:r w:rsidR="007E1720" w:rsidRPr="007E1720">
              <w:rPr>
                <w:rFonts w:asciiTheme="minorHAnsi" w:hAnsiTheme="minorHAnsi" w:cstheme="minorHAnsi"/>
                <w:color w:val="000000"/>
                <w:sz w:val="18"/>
                <w:szCs w:val="18"/>
              </w:rPr>
              <w:t>all of</w:t>
            </w:r>
            <w:proofErr w:type="gramEnd"/>
            <w:r w:rsidR="007E1720" w:rsidRPr="007E1720">
              <w:rPr>
                <w:rFonts w:asciiTheme="minorHAnsi" w:hAnsiTheme="minorHAnsi" w:cstheme="minorHAnsi"/>
                <w:color w:val="000000"/>
                <w:sz w:val="18"/>
                <w:szCs w:val="18"/>
              </w:rPr>
              <w:t xml:space="preserve"> the healthcare professionals, patient organisations and patients for their support of our submission. We are disappointed with this outcome and will continue to work with the PBAC to provide access to selinexor in combination with bortezomib and dexamethasone</w:t>
            </w:r>
            <w:r w:rsidR="00C04BA2">
              <w:rPr>
                <w:rFonts w:asciiTheme="minorHAnsi" w:hAnsiTheme="minorHAnsi" w:cstheme="minorHAnsi"/>
                <w:color w:val="000000"/>
                <w:sz w:val="18"/>
                <w:szCs w:val="18"/>
              </w:rPr>
              <w:t>.</w:t>
            </w:r>
          </w:p>
        </w:tc>
      </w:tr>
      <w:tr w:rsidR="00575F52" w:rsidRPr="00567D48" w14:paraId="0357D9C3" w14:textId="77777777" w:rsidTr="00D5001E">
        <w:trPr>
          <w:trHeight w:val="2948"/>
        </w:trPr>
        <w:tc>
          <w:tcPr>
            <w:tcW w:w="2973" w:type="dxa"/>
            <w:shd w:val="clear" w:color="auto" w:fill="auto"/>
            <w:tcMar>
              <w:top w:w="28" w:type="dxa"/>
              <w:bottom w:w="28" w:type="dxa"/>
            </w:tcMar>
            <w:vAlign w:val="center"/>
          </w:tcPr>
          <w:p w14:paraId="0C3F0B6C" w14:textId="4ABA5628" w:rsidR="00575F52" w:rsidRPr="00D5001E" w:rsidRDefault="00575F52" w:rsidP="00575F52">
            <w:pPr>
              <w:keepLines/>
              <w:rPr>
                <w:rFonts w:asciiTheme="minorHAnsi" w:hAnsiTheme="minorHAnsi" w:cstheme="minorHAnsi"/>
                <w:sz w:val="18"/>
                <w:szCs w:val="18"/>
                <w:highlight w:val="yellow"/>
              </w:rPr>
            </w:pPr>
            <w:r w:rsidRPr="00D5001E">
              <w:rPr>
                <w:rFonts w:asciiTheme="minorHAnsi" w:hAnsiTheme="minorHAnsi" w:cstheme="minorHAnsi"/>
                <w:color w:val="000000"/>
                <w:sz w:val="18"/>
                <w:szCs w:val="18"/>
              </w:rPr>
              <w:lastRenderedPageBreak/>
              <w:t xml:space="preserve">SEMAGLUTIDE </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 xml:space="preserve">Injection 0.25 mg in 0.5 mL pre-filled single dose pen </w:t>
            </w:r>
            <w:r w:rsidRPr="00D5001E">
              <w:rPr>
                <w:rFonts w:asciiTheme="minorHAnsi" w:hAnsiTheme="minorHAnsi" w:cstheme="minorHAnsi"/>
                <w:color w:val="000000"/>
                <w:sz w:val="18"/>
                <w:szCs w:val="18"/>
              </w:rPr>
              <w:br/>
              <w:t>Injection 0.5 mg in 0.5 mL pre-filled single dose pen</w:t>
            </w:r>
            <w:r w:rsidRPr="00D5001E">
              <w:rPr>
                <w:rFonts w:asciiTheme="minorHAnsi" w:hAnsiTheme="minorHAnsi" w:cstheme="minorHAnsi"/>
                <w:color w:val="000000"/>
                <w:sz w:val="18"/>
                <w:szCs w:val="18"/>
              </w:rPr>
              <w:br/>
              <w:t>Injection 1.0 mg in 0.5 mL pre-filled single dose pen</w:t>
            </w:r>
            <w:r w:rsidRPr="00D5001E">
              <w:rPr>
                <w:rFonts w:asciiTheme="minorHAnsi" w:hAnsiTheme="minorHAnsi" w:cstheme="minorHAnsi"/>
                <w:color w:val="000000"/>
                <w:sz w:val="18"/>
                <w:szCs w:val="18"/>
              </w:rPr>
              <w:br/>
              <w:t>Injection 1.7 mg in 0.75 mL pre-filled single dose pen</w:t>
            </w:r>
            <w:r w:rsidRPr="00D5001E">
              <w:rPr>
                <w:rFonts w:asciiTheme="minorHAnsi" w:hAnsiTheme="minorHAnsi" w:cstheme="minorHAnsi"/>
                <w:color w:val="000000"/>
                <w:sz w:val="18"/>
                <w:szCs w:val="18"/>
              </w:rPr>
              <w:br/>
              <w:t>Injection 2.4 mg in 0.75 mL pre-filled single dose pen</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r>
            <w:proofErr w:type="spellStart"/>
            <w:r w:rsidRPr="00D5001E">
              <w:rPr>
                <w:rFonts w:asciiTheme="minorHAnsi" w:hAnsiTheme="minorHAnsi" w:cstheme="minorHAnsi"/>
                <w:color w:val="000000"/>
                <w:sz w:val="18"/>
                <w:szCs w:val="18"/>
              </w:rPr>
              <w:t>Wegovy</w:t>
            </w:r>
            <w:proofErr w:type="spellEnd"/>
            <w:r w:rsidRPr="00D5001E">
              <w:rPr>
                <w:rFonts w:asciiTheme="minorHAnsi" w:hAnsiTheme="minorHAnsi" w:cstheme="minorHAnsi"/>
                <w:color w:val="000000"/>
                <w:sz w:val="18"/>
                <w:szCs w:val="18"/>
              </w:rPr>
              <w:t>®</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Novo Nordisk Pharmaceuticals Pty. Limited</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Category 2 submission</w:t>
            </w:r>
            <w:r w:rsidRPr="00D5001E">
              <w:rPr>
                <w:rFonts w:asciiTheme="minorHAnsi" w:hAnsiTheme="minorHAnsi" w:cstheme="minorHAnsi"/>
                <w:color w:val="000000"/>
                <w:sz w:val="18"/>
                <w:szCs w:val="18"/>
              </w:rPr>
              <w:br/>
              <w:t>(New PBS listing)</w:t>
            </w:r>
          </w:p>
        </w:tc>
        <w:tc>
          <w:tcPr>
            <w:tcW w:w="2491" w:type="dxa"/>
            <w:shd w:val="clear" w:color="auto" w:fill="auto"/>
            <w:vAlign w:val="center"/>
          </w:tcPr>
          <w:p w14:paraId="69A5D3FF" w14:textId="69882C06" w:rsidR="00575F52" w:rsidRPr="000F0297" w:rsidRDefault="00575F52" w:rsidP="00575F52">
            <w:pPr>
              <w:keepLines/>
              <w:widowControl w:val="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Obesity</w:t>
            </w:r>
          </w:p>
        </w:tc>
        <w:tc>
          <w:tcPr>
            <w:tcW w:w="3887" w:type="dxa"/>
            <w:shd w:val="clear" w:color="auto" w:fill="auto"/>
            <w:tcMar>
              <w:top w:w="28" w:type="dxa"/>
              <w:bottom w:w="28" w:type="dxa"/>
            </w:tcMar>
            <w:vAlign w:val="center"/>
          </w:tcPr>
          <w:p w14:paraId="19C2CC75" w14:textId="065A6812"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To request a General Schedule Authority Required (STREAMLINED) listing for the treatment of obesity.</w:t>
            </w:r>
          </w:p>
        </w:tc>
        <w:tc>
          <w:tcPr>
            <w:tcW w:w="1984" w:type="dxa"/>
            <w:shd w:val="clear" w:color="auto" w:fill="auto"/>
            <w:vAlign w:val="center"/>
          </w:tcPr>
          <w:p w14:paraId="612A70C7" w14:textId="3390CADE"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Not Recommended</w:t>
            </w:r>
          </w:p>
        </w:tc>
        <w:tc>
          <w:tcPr>
            <w:tcW w:w="4053" w:type="dxa"/>
            <w:shd w:val="clear" w:color="auto" w:fill="auto"/>
            <w:vAlign w:val="center"/>
          </w:tcPr>
          <w:p w14:paraId="26F3726A" w14:textId="73DFB62A" w:rsidR="00575F52" w:rsidRPr="00B92BB9" w:rsidRDefault="0082711A" w:rsidP="00575F52">
            <w:pPr>
              <w:pStyle w:val="ListParagraph"/>
              <w:keepLines/>
              <w:ind w:left="0"/>
              <w:rPr>
                <w:rFonts w:asciiTheme="minorHAnsi" w:hAnsiTheme="minorHAnsi" w:cstheme="minorHAnsi"/>
                <w:color w:val="000000"/>
                <w:sz w:val="18"/>
                <w:szCs w:val="18"/>
              </w:rPr>
            </w:pPr>
            <w:r w:rsidRPr="00B92BB9">
              <w:rPr>
                <w:rFonts w:asciiTheme="minorHAnsi" w:hAnsiTheme="minorHAnsi" w:cstheme="minorHAnsi"/>
                <w:color w:val="000000"/>
                <w:sz w:val="18"/>
                <w:szCs w:val="18"/>
              </w:rPr>
              <w:t xml:space="preserve">The PBAC did not recommend the listing of semaglutide for the treatment of obesity. The PBAC recognised the high burden of disease in Australia, welcomed the input from a stakeholder forum prior to the meeting and noted the recently released </w:t>
            </w:r>
            <w:r w:rsidRPr="00D5001E">
              <w:rPr>
                <w:rFonts w:asciiTheme="minorHAnsi" w:hAnsiTheme="minorHAnsi" w:cstheme="minorHAnsi"/>
                <w:i/>
                <w:iCs/>
                <w:color w:val="000000"/>
                <w:sz w:val="18"/>
                <w:szCs w:val="18"/>
              </w:rPr>
              <w:t>National Obesity Strategy 2022-2032</w:t>
            </w:r>
            <w:r w:rsidRPr="00B92BB9">
              <w:rPr>
                <w:rFonts w:asciiTheme="minorHAnsi" w:hAnsiTheme="minorHAnsi" w:cstheme="minorHAnsi"/>
                <w:color w:val="000000"/>
                <w:sz w:val="18"/>
                <w:szCs w:val="18"/>
              </w:rPr>
              <w:t xml:space="preserve">. The PBAC agreed with the submission that semaglutide 2.4 mg should be used as a later-line therapy, in conjunction with diet and exercise. However, the submission had poorly justified the population access it had requested (chronic use in patients with BMI </w:t>
            </w:r>
            <w:r w:rsidR="0009260A">
              <w:rPr>
                <w:rFonts w:ascii="Calibri" w:hAnsi="Calibri" w:cs="Calibri"/>
                <w:color w:val="000000"/>
                <w:sz w:val="18"/>
                <w:szCs w:val="18"/>
              </w:rPr>
              <w:t>≥</w:t>
            </w:r>
            <w:r w:rsidRPr="00B92BB9">
              <w:rPr>
                <w:rFonts w:asciiTheme="minorHAnsi" w:hAnsiTheme="minorHAnsi" w:cstheme="minorHAnsi"/>
                <w:color w:val="000000"/>
                <w:sz w:val="18"/>
                <w:szCs w:val="18"/>
              </w:rPr>
              <w:t xml:space="preserve"> 35 kg/m2 and at least one weight-related comorbidity but who do not have diabetes). In addition, although the trial data showed that semaglutide plus diet and exercise was superior to diet and exercise alone in terms of weight loss, HbA1c and other biomarkers and quality of life, these benefits were only demonstrated over the short term and whilst on treatment, and it was unlikely they would be fully realised in Australian practice without the intensive diet and exercise counselling co-administered in the trial program. Moreover, the submission’s modelled reduction in comorbidities over a lifetime was highly uncertain given that no longer term data was presented in this submission. In addition, the PBAC noted that there were several issues with the economic model that limited its reliability, and that semaglutide was not cost-effective at the proposed price. Furthermore, the PBAC considered that pharmacotherapy was only one aspect of the public health response to obesity in Australia, but the proposed semaglutide PBS listing would require an extremely high investment (an average of &gt;$1 billion annually over 6 years) with very uncertain implications for the PBS and broader health budget.</w:t>
            </w:r>
          </w:p>
          <w:p w14:paraId="6E2C0583" w14:textId="77777777" w:rsidR="009D6B28" w:rsidRDefault="009D6B28" w:rsidP="00575F52">
            <w:pPr>
              <w:pStyle w:val="ListParagraph"/>
              <w:keepLines/>
              <w:ind w:left="0"/>
              <w:rPr>
                <w:rFonts w:asciiTheme="minorHAnsi" w:hAnsiTheme="minorHAnsi" w:cstheme="minorHAnsi"/>
                <w:color w:val="000000"/>
                <w:sz w:val="18"/>
                <w:szCs w:val="18"/>
                <w:u w:val="single"/>
              </w:rPr>
            </w:pPr>
          </w:p>
          <w:p w14:paraId="314D5021" w14:textId="3A587277" w:rsidR="00575F52" w:rsidRDefault="00575F52" w:rsidP="00575F52">
            <w:pPr>
              <w:pStyle w:val="ListParagraph"/>
              <w:keepLines/>
              <w:ind w:left="0"/>
              <w:rPr>
                <w:rFonts w:asciiTheme="minorHAnsi" w:hAnsiTheme="minorHAnsi" w:cstheme="minorHAnsi"/>
                <w:color w:val="000000"/>
                <w:sz w:val="18"/>
                <w:szCs w:val="18"/>
                <w:u w:val="single"/>
              </w:rPr>
            </w:pPr>
            <w:r w:rsidRPr="009C315D">
              <w:rPr>
                <w:rFonts w:asciiTheme="minorHAnsi" w:hAnsiTheme="minorHAnsi" w:cstheme="minorHAnsi"/>
                <w:color w:val="000000"/>
                <w:sz w:val="18"/>
                <w:szCs w:val="18"/>
                <w:u w:val="single"/>
              </w:rPr>
              <w:lastRenderedPageBreak/>
              <w:t>Sponsor Comment:</w:t>
            </w:r>
          </w:p>
          <w:p w14:paraId="34357F0D" w14:textId="1EB058B9" w:rsidR="00496DD8" w:rsidRPr="00D5001E" w:rsidRDefault="00496DD8" w:rsidP="00575F52">
            <w:pPr>
              <w:pStyle w:val="ListParagraph"/>
              <w:keepLines/>
              <w:ind w:left="0"/>
              <w:rPr>
                <w:rFonts w:asciiTheme="minorHAnsi" w:hAnsiTheme="minorHAnsi" w:cstheme="minorHAnsi"/>
                <w:color w:val="000000"/>
                <w:sz w:val="18"/>
                <w:szCs w:val="18"/>
                <w:highlight w:val="yellow"/>
              </w:rPr>
            </w:pPr>
            <w:r w:rsidRPr="00496DD8">
              <w:rPr>
                <w:rFonts w:asciiTheme="minorHAnsi" w:hAnsiTheme="minorHAnsi" w:cstheme="minorHAnsi"/>
                <w:color w:val="000000"/>
                <w:sz w:val="18"/>
                <w:szCs w:val="18"/>
              </w:rPr>
              <w:t xml:space="preserve">Novo Nordisk looks forward to working with the PBAC to ensure timely access to </w:t>
            </w:r>
            <w:proofErr w:type="spellStart"/>
            <w:r w:rsidRPr="00496DD8">
              <w:rPr>
                <w:rFonts w:asciiTheme="minorHAnsi" w:hAnsiTheme="minorHAnsi" w:cstheme="minorHAnsi"/>
                <w:color w:val="000000"/>
                <w:sz w:val="18"/>
                <w:szCs w:val="18"/>
              </w:rPr>
              <w:t>Wegovy</w:t>
            </w:r>
            <w:proofErr w:type="spellEnd"/>
            <w:r w:rsidR="005654CF" w:rsidRPr="00D5001E">
              <w:rPr>
                <w:rFonts w:asciiTheme="minorHAnsi" w:hAnsiTheme="minorHAnsi" w:cstheme="minorHAnsi"/>
                <w:color w:val="000000"/>
                <w:sz w:val="18"/>
                <w:szCs w:val="18"/>
              </w:rPr>
              <w:t>®</w:t>
            </w:r>
            <w:r w:rsidRPr="00496DD8">
              <w:rPr>
                <w:rFonts w:asciiTheme="minorHAnsi" w:hAnsiTheme="minorHAnsi" w:cstheme="minorHAnsi"/>
                <w:color w:val="000000"/>
                <w:sz w:val="18"/>
                <w:szCs w:val="18"/>
              </w:rPr>
              <w:t xml:space="preserve"> (semaglutide) for the treatment of obesity, a disease impacting millions of Australians with no PBS reimbursed treatment options currently available</w:t>
            </w:r>
            <w:r>
              <w:rPr>
                <w:rFonts w:asciiTheme="minorHAnsi" w:hAnsiTheme="minorHAnsi" w:cstheme="minorHAnsi"/>
                <w:color w:val="000000"/>
                <w:sz w:val="18"/>
                <w:szCs w:val="18"/>
              </w:rPr>
              <w:t>.</w:t>
            </w:r>
          </w:p>
        </w:tc>
      </w:tr>
      <w:tr w:rsidR="00575F52" w:rsidRPr="00567D48" w14:paraId="2DA936BF" w14:textId="77777777" w:rsidTr="007128F7">
        <w:trPr>
          <w:cantSplit/>
          <w:trHeight w:val="2948"/>
        </w:trPr>
        <w:tc>
          <w:tcPr>
            <w:tcW w:w="2973" w:type="dxa"/>
            <w:shd w:val="clear" w:color="auto" w:fill="auto"/>
            <w:tcMar>
              <w:top w:w="28" w:type="dxa"/>
              <w:bottom w:w="28" w:type="dxa"/>
            </w:tcMar>
            <w:vAlign w:val="center"/>
          </w:tcPr>
          <w:p w14:paraId="3F480070" w14:textId="54C36E0E" w:rsidR="00575F52" w:rsidRPr="00D5001E" w:rsidRDefault="00575F52" w:rsidP="00575F52">
            <w:pPr>
              <w:keepLines/>
              <w:rPr>
                <w:rFonts w:asciiTheme="minorHAnsi" w:hAnsiTheme="minorHAnsi" w:cstheme="minorHAnsi"/>
                <w:sz w:val="18"/>
                <w:szCs w:val="18"/>
                <w:highlight w:val="yellow"/>
              </w:rPr>
            </w:pPr>
            <w:r w:rsidRPr="00D5001E">
              <w:rPr>
                <w:rFonts w:asciiTheme="minorHAnsi" w:hAnsiTheme="minorHAnsi" w:cstheme="minorHAnsi"/>
                <w:color w:val="000000"/>
                <w:sz w:val="18"/>
                <w:szCs w:val="18"/>
              </w:rPr>
              <w:lastRenderedPageBreak/>
              <w:t xml:space="preserve">SOMAPACITAN </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Injection 10 mg in 1.5 mL pre-filled pen</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Sogroya®</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Novo Nordisk Pharmaceuticals Pty. Limited</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Category 2 submission</w:t>
            </w:r>
            <w:r w:rsidRPr="00D5001E">
              <w:rPr>
                <w:rFonts w:asciiTheme="minorHAnsi" w:hAnsiTheme="minorHAnsi" w:cstheme="minorHAnsi"/>
                <w:color w:val="000000"/>
                <w:sz w:val="18"/>
                <w:szCs w:val="18"/>
              </w:rPr>
              <w:br/>
              <w:t>(New PBS listing)</w:t>
            </w:r>
          </w:p>
        </w:tc>
        <w:tc>
          <w:tcPr>
            <w:tcW w:w="2491" w:type="dxa"/>
            <w:shd w:val="clear" w:color="auto" w:fill="auto"/>
            <w:vAlign w:val="center"/>
          </w:tcPr>
          <w:p w14:paraId="48459377" w14:textId="6861ECE5" w:rsidR="00575F52" w:rsidRPr="00D5001E" w:rsidRDefault="00575F52" w:rsidP="00575F52">
            <w:pPr>
              <w:keepLines/>
              <w:widowControl w:val="0"/>
              <w:rPr>
                <w:rFonts w:asciiTheme="minorHAnsi" w:hAnsiTheme="minorHAnsi" w:cstheme="minorHAnsi"/>
                <w:snapToGrid w:val="0"/>
                <w:sz w:val="18"/>
                <w:szCs w:val="18"/>
                <w:highlight w:val="yellow"/>
                <w:lang w:eastAsia="en-US"/>
              </w:rPr>
            </w:pPr>
            <w:r w:rsidRPr="00D5001E">
              <w:rPr>
                <w:rFonts w:asciiTheme="minorHAnsi" w:hAnsiTheme="minorHAnsi" w:cstheme="minorHAnsi"/>
                <w:color w:val="000000"/>
                <w:sz w:val="18"/>
                <w:szCs w:val="18"/>
              </w:rPr>
              <w:t>Adult growth hormone deficiency</w:t>
            </w:r>
          </w:p>
        </w:tc>
        <w:tc>
          <w:tcPr>
            <w:tcW w:w="3887" w:type="dxa"/>
            <w:shd w:val="clear" w:color="auto" w:fill="auto"/>
            <w:tcMar>
              <w:top w:w="28" w:type="dxa"/>
              <w:bottom w:w="28" w:type="dxa"/>
            </w:tcMar>
            <w:vAlign w:val="center"/>
          </w:tcPr>
          <w:p w14:paraId="303720B6" w14:textId="7EF3231E" w:rsidR="00575F52" w:rsidRPr="00D5001E" w:rsidRDefault="00575F52" w:rsidP="00575F52">
            <w:pPr>
              <w:pStyle w:val="ListParagraph"/>
              <w:keepLines/>
              <w:ind w:left="0"/>
              <w:rPr>
                <w:rFonts w:asciiTheme="minorHAnsi" w:hAnsiTheme="minorHAnsi" w:cstheme="minorHAnsi"/>
                <w:snapToGrid w:val="0"/>
                <w:sz w:val="18"/>
                <w:szCs w:val="18"/>
                <w:highlight w:val="yellow"/>
                <w:lang w:eastAsia="en-US"/>
              </w:rPr>
            </w:pPr>
            <w:r w:rsidRPr="00D5001E">
              <w:rPr>
                <w:rFonts w:asciiTheme="minorHAnsi" w:hAnsiTheme="minorHAnsi" w:cstheme="minorHAnsi"/>
                <w:color w:val="000000"/>
                <w:sz w:val="18"/>
                <w:szCs w:val="18"/>
              </w:rPr>
              <w:t>To request a Section 100 (Growth Hormone Program) Authority Required (Written) listing for the treatment of adult-onset growth hormone deficiency.</w:t>
            </w:r>
          </w:p>
        </w:tc>
        <w:tc>
          <w:tcPr>
            <w:tcW w:w="1984" w:type="dxa"/>
            <w:shd w:val="clear" w:color="auto" w:fill="auto"/>
            <w:vAlign w:val="center"/>
          </w:tcPr>
          <w:p w14:paraId="4DEEAFD9" w14:textId="52125429" w:rsidR="00575F52" w:rsidRPr="00D5001E" w:rsidRDefault="00575F52" w:rsidP="00575F52">
            <w:pPr>
              <w:pStyle w:val="ListParagraph"/>
              <w:keepLines/>
              <w:ind w:left="0"/>
              <w:rPr>
                <w:rFonts w:asciiTheme="minorHAnsi" w:hAnsiTheme="minorHAnsi" w:cstheme="minorHAnsi"/>
                <w:snapToGrid w:val="0"/>
                <w:sz w:val="18"/>
                <w:szCs w:val="18"/>
                <w:highlight w:val="yellow"/>
                <w:lang w:eastAsia="en-US"/>
              </w:rPr>
            </w:pPr>
            <w:r w:rsidRPr="00D5001E">
              <w:rPr>
                <w:rFonts w:asciiTheme="minorHAnsi" w:hAnsiTheme="minorHAnsi" w:cstheme="minorHAnsi"/>
                <w:color w:val="000000"/>
                <w:sz w:val="18"/>
                <w:szCs w:val="18"/>
              </w:rPr>
              <w:t>Recommended</w:t>
            </w:r>
          </w:p>
        </w:tc>
        <w:tc>
          <w:tcPr>
            <w:tcW w:w="4053" w:type="dxa"/>
            <w:shd w:val="clear" w:color="auto" w:fill="auto"/>
            <w:vAlign w:val="center"/>
          </w:tcPr>
          <w:p w14:paraId="58DCE77B" w14:textId="3E9BD3CF" w:rsidR="00575F52" w:rsidRPr="00D5001E" w:rsidRDefault="00575F52" w:rsidP="00575F52">
            <w:pPr>
              <w:pStyle w:val="ListParagraph"/>
              <w:keepLines/>
              <w:ind w:left="0"/>
              <w:rPr>
                <w:rFonts w:asciiTheme="minorHAnsi" w:hAnsiTheme="minorHAnsi" w:cstheme="minorHAnsi"/>
                <w:color w:val="000000"/>
                <w:sz w:val="18"/>
                <w:szCs w:val="18"/>
                <w:highlight w:val="yellow"/>
              </w:rPr>
            </w:pPr>
            <w:r w:rsidRPr="00D5001E">
              <w:rPr>
                <w:rFonts w:asciiTheme="minorHAnsi" w:hAnsiTheme="minorHAnsi" w:cstheme="minorHAnsi"/>
                <w:color w:val="000000"/>
                <w:sz w:val="18"/>
                <w:szCs w:val="18"/>
              </w:rPr>
              <w:t xml:space="preserve">The PBAC recommended the Section 100 </w:t>
            </w:r>
            <w:r w:rsidR="00FC05D8">
              <w:rPr>
                <w:rFonts w:asciiTheme="minorHAnsi" w:hAnsiTheme="minorHAnsi" w:cstheme="minorHAnsi"/>
                <w:color w:val="000000"/>
                <w:sz w:val="18"/>
                <w:szCs w:val="18"/>
              </w:rPr>
              <w:t>(</w:t>
            </w:r>
            <w:r w:rsidRPr="00D5001E">
              <w:rPr>
                <w:rFonts w:asciiTheme="minorHAnsi" w:hAnsiTheme="minorHAnsi" w:cstheme="minorHAnsi"/>
                <w:color w:val="000000"/>
                <w:sz w:val="18"/>
                <w:szCs w:val="18"/>
              </w:rPr>
              <w:t>Growth Hormone Program</w:t>
            </w:r>
            <w:r w:rsidR="00FC05D8">
              <w:rPr>
                <w:rFonts w:asciiTheme="minorHAnsi" w:hAnsiTheme="minorHAnsi" w:cstheme="minorHAnsi"/>
                <w:color w:val="000000"/>
                <w:sz w:val="18"/>
                <w:szCs w:val="18"/>
              </w:rPr>
              <w:t>)</w:t>
            </w:r>
            <w:r w:rsidRPr="00D5001E">
              <w:rPr>
                <w:rFonts w:asciiTheme="minorHAnsi" w:hAnsiTheme="minorHAnsi" w:cstheme="minorHAnsi"/>
                <w:color w:val="000000"/>
                <w:sz w:val="18"/>
                <w:szCs w:val="18"/>
              </w:rPr>
              <w:t xml:space="preserve"> listing of somapacitan for the treatment of adults with growth hormone deficiency (AGHD) in patients aged 18 years and above, and those under 18 years of age with a mature skeleton. The PBAC’s recommendation for listing was based on, among other matters, its assessment that the cost-effectiveness of somapacitan would be acceptable if it were cost-minimised to somatropin for the same indication. The PBAC advised that the equi-effective doses were somatropin 0.27 mg daily (1.89 mg weekly) and somapacitan 2.33 mg weekly, at the weekly dose relativity of 1 mg somatropin = 1.23 mg somapacitan.</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 xml:space="preserve">The PBAC considered that patients who initiate on somatropin or somapacitan for the same indication do not need to meet the initial restriction criteria again for that indication if they have met the criteria on either somatropin or somapacitan. Additionally, the PBAC considered that the restrictions should include adult patients who have adult onset GHD, adult patients with documented childhood onset GHD and patients who have a mature skeleton but are under the age of 18 years. The PBAC recommended these </w:t>
            </w:r>
            <w:r w:rsidRPr="00E713BF">
              <w:rPr>
                <w:rFonts w:asciiTheme="minorHAnsi" w:hAnsiTheme="minorHAnsi" w:cstheme="minorHAnsi"/>
                <w:color w:val="000000"/>
                <w:sz w:val="18"/>
                <w:szCs w:val="18"/>
              </w:rPr>
              <w:t>changes flow-on to the PBS restrictions for somatropin for the same indication.</w:t>
            </w:r>
          </w:p>
        </w:tc>
      </w:tr>
      <w:tr w:rsidR="00575F52" w:rsidRPr="00567D48" w14:paraId="64ED405C" w14:textId="77777777" w:rsidTr="007128F7">
        <w:trPr>
          <w:cantSplit/>
          <w:trHeight w:val="2948"/>
        </w:trPr>
        <w:tc>
          <w:tcPr>
            <w:tcW w:w="2973" w:type="dxa"/>
            <w:shd w:val="clear" w:color="auto" w:fill="auto"/>
            <w:tcMar>
              <w:top w:w="28" w:type="dxa"/>
              <w:bottom w:w="28" w:type="dxa"/>
            </w:tcMar>
            <w:vAlign w:val="center"/>
          </w:tcPr>
          <w:p w14:paraId="545036F9" w14:textId="24338AFA" w:rsidR="00575F52" w:rsidRPr="00D5001E" w:rsidRDefault="00575F52" w:rsidP="00575F52">
            <w:pPr>
              <w:keepLines/>
              <w:rPr>
                <w:rFonts w:asciiTheme="minorHAnsi" w:hAnsiTheme="minorHAnsi" w:cstheme="minorHAnsi"/>
                <w:sz w:val="18"/>
                <w:szCs w:val="18"/>
                <w:highlight w:val="yellow"/>
              </w:rPr>
            </w:pPr>
            <w:r w:rsidRPr="00D5001E">
              <w:rPr>
                <w:rFonts w:asciiTheme="minorHAnsi" w:hAnsiTheme="minorHAnsi" w:cstheme="minorHAnsi"/>
                <w:color w:val="000000"/>
                <w:sz w:val="18"/>
                <w:szCs w:val="18"/>
              </w:rPr>
              <w:lastRenderedPageBreak/>
              <w:t xml:space="preserve">SOMATROGON </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Injection 24 mg in 1.2 mL pre-filled single-use pen</w:t>
            </w:r>
            <w:r w:rsidRPr="00D5001E">
              <w:rPr>
                <w:rFonts w:asciiTheme="minorHAnsi" w:hAnsiTheme="minorHAnsi" w:cstheme="minorHAnsi"/>
                <w:color w:val="000000"/>
                <w:sz w:val="18"/>
                <w:szCs w:val="18"/>
              </w:rPr>
              <w:br/>
              <w:t>Injection 60 mg in 1.2 mL pre-filled single-use pen</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r>
            <w:proofErr w:type="spellStart"/>
            <w:r w:rsidRPr="00D5001E">
              <w:rPr>
                <w:rFonts w:asciiTheme="minorHAnsi" w:hAnsiTheme="minorHAnsi" w:cstheme="minorHAnsi"/>
                <w:color w:val="000000"/>
                <w:sz w:val="18"/>
                <w:szCs w:val="18"/>
              </w:rPr>
              <w:t>Ngenla</w:t>
            </w:r>
            <w:proofErr w:type="spellEnd"/>
            <w:r w:rsidRPr="00D5001E">
              <w:rPr>
                <w:rFonts w:asciiTheme="minorHAnsi" w:hAnsiTheme="minorHAnsi" w:cstheme="minorHAnsi"/>
                <w:color w:val="000000"/>
                <w:sz w:val="18"/>
                <w:szCs w:val="18"/>
              </w:rPr>
              <w:t>®</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Pfizer Australia Pty Ltd</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Category 2 submission</w:t>
            </w:r>
            <w:r w:rsidRPr="00D5001E">
              <w:rPr>
                <w:rFonts w:asciiTheme="minorHAnsi" w:hAnsiTheme="minorHAnsi" w:cstheme="minorHAnsi"/>
                <w:color w:val="000000"/>
                <w:sz w:val="18"/>
                <w:szCs w:val="18"/>
              </w:rPr>
              <w:br/>
              <w:t>(New PBS listing)</w:t>
            </w:r>
          </w:p>
        </w:tc>
        <w:tc>
          <w:tcPr>
            <w:tcW w:w="2491" w:type="dxa"/>
            <w:shd w:val="clear" w:color="auto" w:fill="auto"/>
            <w:vAlign w:val="center"/>
          </w:tcPr>
          <w:p w14:paraId="2459CD18" w14:textId="686769BE" w:rsidR="00575F52" w:rsidRPr="000F0297" w:rsidRDefault="00575F52" w:rsidP="00575F52">
            <w:pPr>
              <w:keepLines/>
              <w:widowControl w:val="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Paediatric growth hormone deficiency</w:t>
            </w:r>
          </w:p>
        </w:tc>
        <w:tc>
          <w:tcPr>
            <w:tcW w:w="3887" w:type="dxa"/>
            <w:shd w:val="clear" w:color="auto" w:fill="auto"/>
            <w:tcMar>
              <w:top w:w="28" w:type="dxa"/>
              <w:bottom w:w="28" w:type="dxa"/>
            </w:tcMar>
            <w:vAlign w:val="center"/>
          </w:tcPr>
          <w:p w14:paraId="241DD502" w14:textId="0DDE61CF"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To request a Section 100 (Growth Hormone Program) Authority Required (Written) listing for the treatment of paediatric patients with growth hormone deficiency.</w:t>
            </w:r>
          </w:p>
        </w:tc>
        <w:tc>
          <w:tcPr>
            <w:tcW w:w="1984" w:type="dxa"/>
            <w:shd w:val="clear" w:color="auto" w:fill="auto"/>
            <w:vAlign w:val="center"/>
          </w:tcPr>
          <w:p w14:paraId="2781658D" w14:textId="45101F94"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Recommended</w:t>
            </w:r>
          </w:p>
        </w:tc>
        <w:tc>
          <w:tcPr>
            <w:tcW w:w="4053" w:type="dxa"/>
            <w:shd w:val="clear" w:color="auto" w:fill="auto"/>
            <w:vAlign w:val="center"/>
          </w:tcPr>
          <w:p w14:paraId="2A219210" w14:textId="5DD76A3C" w:rsidR="00575F52" w:rsidRPr="00D5001E" w:rsidRDefault="00575F52" w:rsidP="00575F52">
            <w:pPr>
              <w:pStyle w:val="ListParagraph"/>
              <w:keepLines/>
              <w:ind w:left="0"/>
              <w:rPr>
                <w:rFonts w:asciiTheme="minorHAnsi" w:hAnsiTheme="minorHAnsi" w:cstheme="minorHAnsi"/>
                <w:color w:val="000000"/>
                <w:sz w:val="18"/>
                <w:szCs w:val="18"/>
                <w:highlight w:val="yellow"/>
              </w:rPr>
            </w:pPr>
            <w:r w:rsidRPr="00D5001E">
              <w:rPr>
                <w:rFonts w:asciiTheme="minorHAnsi" w:hAnsiTheme="minorHAnsi" w:cstheme="minorHAnsi"/>
                <w:color w:val="000000"/>
                <w:sz w:val="18"/>
                <w:szCs w:val="18"/>
              </w:rPr>
              <w:t xml:space="preserve">The PBAC recommended the Section 100 </w:t>
            </w:r>
            <w:r w:rsidR="00F90EBF">
              <w:rPr>
                <w:rFonts w:asciiTheme="minorHAnsi" w:hAnsiTheme="minorHAnsi" w:cstheme="minorHAnsi"/>
                <w:color w:val="000000"/>
                <w:sz w:val="18"/>
                <w:szCs w:val="18"/>
              </w:rPr>
              <w:t>(</w:t>
            </w:r>
            <w:r w:rsidRPr="00D5001E">
              <w:rPr>
                <w:rFonts w:asciiTheme="minorHAnsi" w:hAnsiTheme="minorHAnsi" w:cstheme="minorHAnsi"/>
                <w:color w:val="000000"/>
                <w:sz w:val="18"/>
                <w:szCs w:val="18"/>
              </w:rPr>
              <w:t>Growth Hormone Program</w:t>
            </w:r>
            <w:r w:rsidR="00F90EBF">
              <w:rPr>
                <w:rFonts w:asciiTheme="minorHAnsi" w:hAnsiTheme="minorHAnsi" w:cstheme="minorHAnsi"/>
                <w:color w:val="000000"/>
                <w:sz w:val="18"/>
                <w:szCs w:val="18"/>
              </w:rPr>
              <w:t>)</w:t>
            </w:r>
            <w:r w:rsidRPr="00D5001E">
              <w:rPr>
                <w:rFonts w:asciiTheme="minorHAnsi" w:hAnsiTheme="minorHAnsi" w:cstheme="minorHAnsi"/>
                <w:color w:val="000000"/>
                <w:sz w:val="18"/>
                <w:szCs w:val="18"/>
              </w:rPr>
              <w:t xml:space="preserve"> listing of somatrogon for the treatment of short stature associated with biochemical growth hormone </w:t>
            </w:r>
            <w:r w:rsidRPr="00E713BF">
              <w:rPr>
                <w:rFonts w:asciiTheme="minorHAnsi" w:hAnsiTheme="minorHAnsi" w:cstheme="minorHAnsi"/>
                <w:color w:val="000000"/>
                <w:sz w:val="18"/>
                <w:szCs w:val="18"/>
              </w:rPr>
              <w:t xml:space="preserve">deficiency (SSABGHD) and short stature and slow growth (SSSG) in patients who do not have a mature skeleton </w:t>
            </w:r>
            <w:r w:rsidRPr="00D5001E">
              <w:rPr>
                <w:rFonts w:asciiTheme="minorHAnsi" w:hAnsiTheme="minorHAnsi" w:cstheme="minorHAnsi"/>
                <w:color w:val="000000"/>
                <w:sz w:val="18"/>
                <w:szCs w:val="18"/>
              </w:rPr>
              <w:t>(i.e. who have a bone age of less than 13.5 years in females or less than 15.5 years in males). The PBAC’s recommendation for listing was based on, among other matters, its assessment that the cost-effectiveness of somatrogon would be acceptable if it were cost-minimised to somatropin for the treatment of SSABGHD or SSSG. The PBAC advised that the equi-effective doses were 0.655 mg/kg/week of somatrogon and 0.237 mg/kg/week (0.034 mg/kg/day) of somatropin.</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The PBAC considered that it is appropriate to allow switching between a daily dose regimen and a weekly dose regimen of somatropin and somatrogon respectively for the two above-mentioned indications, without having to be re-assessed where the patient has previously met the initial restriction criteria on either somatropin or somatrogon. Additionally, the PBAC considered that the restrictions should allow patients who do not have a mature skeleton to be eligible for somatrogon. The PBAC recommended these changes flow-on to the PBS restrictions of somatropin for the same indications.</w:t>
            </w:r>
          </w:p>
        </w:tc>
      </w:tr>
      <w:tr w:rsidR="00575F52" w:rsidRPr="00567D48" w14:paraId="0525A838" w14:textId="77777777" w:rsidTr="007128F7">
        <w:trPr>
          <w:cantSplit/>
          <w:trHeight w:val="2948"/>
        </w:trPr>
        <w:tc>
          <w:tcPr>
            <w:tcW w:w="2973" w:type="dxa"/>
            <w:shd w:val="clear" w:color="auto" w:fill="auto"/>
            <w:tcMar>
              <w:top w:w="28" w:type="dxa"/>
              <w:bottom w:w="28" w:type="dxa"/>
            </w:tcMar>
            <w:vAlign w:val="center"/>
          </w:tcPr>
          <w:p w14:paraId="3737436E" w14:textId="169838C6" w:rsidR="00575F52" w:rsidRPr="000F0297" w:rsidRDefault="00575F52" w:rsidP="00575F52">
            <w:pPr>
              <w:keepLines/>
              <w:rPr>
                <w:rFonts w:asciiTheme="minorHAnsi" w:hAnsiTheme="minorHAnsi" w:cstheme="minorHAnsi"/>
                <w:sz w:val="18"/>
                <w:szCs w:val="18"/>
              </w:rPr>
            </w:pPr>
            <w:r w:rsidRPr="00D5001E">
              <w:rPr>
                <w:rFonts w:asciiTheme="minorHAnsi" w:hAnsiTheme="minorHAnsi" w:cstheme="minorHAnsi"/>
                <w:color w:val="000000"/>
                <w:sz w:val="18"/>
                <w:szCs w:val="18"/>
              </w:rPr>
              <w:lastRenderedPageBreak/>
              <w:t>SOTORASIB</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Tablet 120 mg</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r>
            <w:proofErr w:type="spellStart"/>
            <w:r w:rsidRPr="00D5001E">
              <w:rPr>
                <w:rFonts w:asciiTheme="minorHAnsi" w:hAnsiTheme="minorHAnsi" w:cstheme="minorHAnsi"/>
                <w:color w:val="000000"/>
                <w:sz w:val="18"/>
                <w:szCs w:val="18"/>
              </w:rPr>
              <w:t>Lumakras</w:t>
            </w:r>
            <w:proofErr w:type="spellEnd"/>
            <w:r w:rsidRPr="00D5001E">
              <w:rPr>
                <w:rFonts w:asciiTheme="minorHAnsi" w:hAnsiTheme="minorHAnsi" w:cstheme="minorHAnsi"/>
                <w:color w:val="000000"/>
                <w:sz w:val="18"/>
                <w:szCs w:val="18"/>
              </w:rPr>
              <w:t>®</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Amgen Australia Pty Limited</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Category 1 submission</w:t>
            </w:r>
            <w:r w:rsidRPr="00D5001E">
              <w:rPr>
                <w:rFonts w:asciiTheme="minorHAnsi" w:hAnsiTheme="minorHAnsi" w:cstheme="minorHAnsi"/>
                <w:color w:val="000000"/>
                <w:sz w:val="18"/>
                <w:szCs w:val="18"/>
              </w:rPr>
              <w:br/>
              <w:t>(New PBS listing)</w:t>
            </w:r>
          </w:p>
        </w:tc>
        <w:tc>
          <w:tcPr>
            <w:tcW w:w="2491" w:type="dxa"/>
            <w:shd w:val="clear" w:color="auto" w:fill="auto"/>
            <w:vAlign w:val="center"/>
          </w:tcPr>
          <w:p w14:paraId="5E22AC6C" w14:textId="512961E0" w:rsidR="00575F52" w:rsidRPr="000F0297" w:rsidRDefault="00575F52" w:rsidP="00575F52">
            <w:pPr>
              <w:keepLines/>
              <w:widowControl w:val="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Non-small cell lung cancer</w:t>
            </w:r>
            <w:r w:rsidR="007B3584">
              <w:rPr>
                <w:rFonts w:asciiTheme="minorHAnsi" w:hAnsiTheme="minorHAnsi" w:cstheme="minorHAnsi"/>
                <w:color w:val="000000"/>
                <w:sz w:val="18"/>
                <w:szCs w:val="18"/>
              </w:rPr>
              <w:t xml:space="preserve"> (NSCLC)</w:t>
            </w:r>
          </w:p>
        </w:tc>
        <w:tc>
          <w:tcPr>
            <w:tcW w:w="3887" w:type="dxa"/>
            <w:shd w:val="clear" w:color="auto" w:fill="auto"/>
            <w:tcMar>
              <w:top w:w="28" w:type="dxa"/>
              <w:bottom w:w="28" w:type="dxa"/>
            </w:tcMar>
            <w:vAlign w:val="center"/>
          </w:tcPr>
          <w:p w14:paraId="733DA6CA" w14:textId="20005F16" w:rsidR="00575F52" w:rsidRPr="000F0297" w:rsidRDefault="00575F52" w:rsidP="007B3584">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To request a General Schedule Authority Required listing for the treatment of Kirsten rat sarcoma (KRAS) G12C variant non-squamous or not otherwise specified (</w:t>
            </w:r>
            <w:r w:rsidRPr="00E713BF">
              <w:rPr>
                <w:rFonts w:asciiTheme="minorHAnsi" w:hAnsiTheme="minorHAnsi" w:cstheme="minorHAnsi"/>
                <w:color w:val="000000"/>
                <w:sz w:val="18"/>
                <w:szCs w:val="18"/>
              </w:rPr>
              <w:t xml:space="preserve">NOS) stage IIIB (locally advanced) or Stage IV (metastatic) </w:t>
            </w:r>
            <w:r w:rsidR="009C315D">
              <w:rPr>
                <w:rFonts w:asciiTheme="minorHAnsi" w:hAnsiTheme="minorHAnsi" w:cstheme="minorHAnsi"/>
                <w:color w:val="000000"/>
                <w:sz w:val="18"/>
                <w:szCs w:val="18"/>
              </w:rPr>
              <w:t xml:space="preserve">NSCLC </w:t>
            </w:r>
            <w:r w:rsidRPr="00E713BF">
              <w:rPr>
                <w:rFonts w:asciiTheme="minorHAnsi" w:hAnsiTheme="minorHAnsi" w:cstheme="minorHAnsi"/>
                <w:color w:val="000000"/>
                <w:sz w:val="18"/>
                <w:szCs w:val="18"/>
              </w:rPr>
              <w:t xml:space="preserve">in patients who have progressed on prior therapy.  </w:t>
            </w:r>
          </w:p>
        </w:tc>
        <w:tc>
          <w:tcPr>
            <w:tcW w:w="1984" w:type="dxa"/>
            <w:shd w:val="clear" w:color="auto" w:fill="auto"/>
            <w:vAlign w:val="center"/>
          </w:tcPr>
          <w:p w14:paraId="1F348161" w14:textId="723E385E" w:rsidR="00575F52" w:rsidRPr="00D5001E" w:rsidRDefault="00575F52" w:rsidP="00575F52">
            <w:pPr>
              <w:pStyle w:val="ListParagraph"/>
              <w:keepLines/>
              <w:ind w:left="0"/>
              <w:rPr>
                <w:rFonts w:asciiTheme="minorHAnsi" w:hAnsiTheme="minorHAnsi" w:cstheme="minorHAnsi"/>
                <w:snapToGrid w:val="0"/>
                <w:sz w:val="18"/>
                <w:szCs w:val="18"/>
                <w:highlight w:val="yellow"/>
                <w:lang w:eastAsia="en-US"/>
              </w:rPr>
            </w:pPr>
            <w:r w:rsidRPr="00D5001E">
              <w:rPr>
                <w:rFonts w:asciiTheme="minorHAnsi" w:hAnsiTheme="minorHAnsi" w:cstheme="minorHAnsi"/>
                <w:color w:val="000000"/>
                <w:sz w:val="18"/>
                <w:szCs w:val="18"/>
              </w:rPr>
              <w:t>Not Recommended</w:t>
            </w:r>
          </w:p>
        </w:tc>
        <w:tc>
          <w:tcPr>
            <w:tcW w:w="4053" w:type="dxa"/>
            <w:shd w:val="clear" w:color="auto" w:fill="auto"/>
            <w:vAlign w:val="center"/>
          </w:tcPr>
          <w:p w14:paraId="128DE660" w14:textId="363D0C28" w:rsidR="00575F52" w:rsidRPr="009C315D" w:rsidRDefault="00575F52" w:rsidP="00575F52">
            <w:pPr>
              <w:pStyle w:val="ListParagraph"/>
              <w:keepLines/>
              <w:ind w:left="0"/>
              <w:rPr>
                <w:rFonts w:asciiTheme="minorHAnsi" w:hAnsiTheme="minorHAnsi" w:cstheme="minorHAnsi"/>
                <w:color w:val="000000"/>
                <w:sz w:val="18"/>
                <w:szCs w:val="18"/>
              </w:rPr>
            </w:pPr>
            <w:r w:rsidRPr="009C315D">
              <w:rPr>
                <w:rFonts w:asciiTheme="minorHAnsi" w:hAnsiTheme="minorHAnsi" w:cstheme="minorHAnsi"/>
                <w:color w:val="000000"/>
                <w:sz w:val="18"/>
                <w:szCs w:val="18"/>
              </w:rPr>
              <w:t xml:space="preserve">The PBAC decided not to recommend </w:t>
            </w:r>
            <w:proofErr w:type="spellStart"/>
            <w:r w:rsidRPr="009C315D">
              <w:rPr>
                <w:rFonts w:asciiTheme="minorHAnsi" w:hAnsiTheme="minorHAnsi" w:cstheme="minorHAnsi"/>
                <w:color w:val="000000"/>
                <w:sz w:val="18"/>
                <w:szCs w:val="18"/>
              </w:rPr>
              <w:t>sotorasib</w:t>
            </w:r>
            <w:proofErr w:type="spellEnd"/>
            <w:r w:rsidRPr="009C315D">
              <w:rPr>
                <w:rFonts w:asciiTheme="minorHAnsi" w:hAnsiTheme="minorHAnsi" w:cstheme="minorHAnsi"/>
                <w:color w:val="000000"/>
                <w:sz w:val="18"/>
                <w:szCs w:val="18"/>
              </w:rPr>
              <w:t xml:space="preserve"> for the treatment of patients with non-squamous or NOS Stage IIIB (locally advanced) or Stage IV (metastatic) NSCLC who harbour the KRAS G12C variant and who have progressed on prior therapy. The PBAC considered it was likely that </w:t>
            </w:r>
            <w:proofErr w:type="spellStart"/>
            <w:r w:rsidRPr="009C315D">
              <w:rPr>
                <w:rFonts w:asciiTheme="minorHAnsi" w:hAnsiTheme="minorHAnsi" w:cstheme="minorHAnsi"/>
                <w:color w:val="000000"/>
                <w:sz w:val="18"/>
                <w:szCs w:val="18"/>
              </w:rPr>
              <w:t>sotorasib</w:t>
            </w:r>
            <w:proofErr w:type="spellEnd"/>
            <w:r w:rsidRPr="009C315D">
              <w:rPr>
                <w:rFonts w:asciiTheme="minorHAnsi" w:hAnsiTheme="minorHAnsi" w:cstheme="minorHAnsi"/>
                <w:color w:val="000000"/>
                <w:sz w:val="18"/>
                <w:szCs w:val="18"/>
              </w:rPr>
              <w:t xml:space="preserve"> provided some clinical benefit over docetaxel but the magnitude of the benefit was highly uncertain. The PBAC considered the incremental cost-effectiveness ratio was uncertain and unacceptably high at the proposed price. </w:t>
            </w:r>
          </w:p>
          <w:p w14:paraId="2156DA3C" w14:textId="77777777" w:rsidR="00575F52" w:rsidRPr="009C315D" w:rsidRDefault="00575F52" w:rsidP="00575F52">
            <w:pPr>
              <w:pStyle w:val="ListParagraph"/>
              <w:keepLines/>
              <w:ind w:left="0"/>
              <w:rPr>
                <w:rFonts w:asciiTheme="minorHAnsi" w:hAnsiTheme="minorHAnsi" w:cstheme="minorHAnsi"/>
                <w:color w:val="000000"/>
                <w:sz w:val="18"/>
                <w:szCs w:val="18"/>
              </w:rPr>
            </w:pPr>
          </w:p>
          <w:p w14:paraId="41A65B0A" w14:textId="77777777" w:rsidR="00575F52" w:rsidRDefault="00575F52" w:rsidP="00575F52">
            <w:pPr>
              <w:pStyle w:val="ListParagraph"/>
              <w:keepLines/>
              <w:ind w:left="0"/>
              <w:rPr>
                <w:rFonts w:asciiTheme="minorHAnsi" w:hAnsiTheme="minorHAnsi" w:cstheme="minorHAnsi"/>
                <w:color w:val="000000"/>
                <w:sz w:val="18"/>
                <w:szCs w:val="18"/>
                <w:u w:val="single"/>
              </w:rPr>
            </w:pPr>
            <w:r w:rsidRPr="009C315D">
              <w:rPr>
                <w:rFonts w:asciiTheme="minorHAnsi" w:hAnsiTheme="minorHAnsi" w:cstheme="minorHAnsi"/>
                <w:color w:val="000000"/>
                <w:sz w:val="18"/>
                <w:szCs w:val="18"/>
                <w:u w:val="single"/>
              </w:rPr>
              <w:t>Sponsor Comment:</w:t>
            </w:r>
          </w:p>
          <w:p w14:paraId="3C543297" w14:textId="122FA58B" w:rsidR="00164D3D" w:rsidRPr="00164D3D" w:rsidRDefault="00164D3D" w:rsidP="00F56BEF">
            <w:pPr>
              <w:pStyle w:val="ListParagraph"/>
              <w:keepLines/>
              <w:ind w:left="0"/>
              <w:rPr>
                <w:rFonts w:asciiTheme="minorHAnsi" w:hAnsiTheme="minorHAnsi" w:cstheme="minorHAnsi"/>
                <w:color w:val="000000"/>
                <w:sz w:val="18"/>
                <w:szCs w:val="18"/>
              </w:rPr>
            </w:pPr>
            <w:r w:rsidRPr="00164D3D">
              <w:rPr>
                <w:rFonts w:asciiTheme="minorHAnsi" w:hAnsiTheme="minorHAnsi" w:cstheme="minorHAnsi"/>
                <w:color w:val="000000"/>
                <w:sz w:val="18"/>
                <w:szCs w:val="18"/>
              </w:rPr>
              <w:t>LUMAKRAS® (</w:t>
            </w:r>
            <w:proofErr w:type="spellStart"/>
            <w:r w:rsidRPr="00164D3D">
              <w:rPr>
                <w:rFonts w:asciiTheme="minorHAnsi" w:hAnsiTheme="minorHAnsi" w:cstheme="minorHAnsi"/>
                <w:color w:val="000000"/>
                <w:sz w:val="18"/>
                <w:szCs w:val="18"/>
              </w:rPr>
              <w:t>sotorasib</w:t>
            </w:r>
            <w:proofErr w:type="spellEnd"/>
            <w:r w:rsidRPr="00164D3D">
              <w:rPr>
                <w:rFonts w:asciiTheme="minorHAnsi" w:hAnsiTheme="minorHAnsi" w:cstheme="minorHAnsi"/>
                <w:color w:val="000000"/>
                <w:sz w:val="18"/>
                <w:szCs w:val="18"/>
              </w:rPr>
              <w:t>) recently received provisional TGA approval for the treatment of adult patients with KRAS G12C-mutated locally advanced or metastatic non-small cell lung cancer (NSCLC) who have received at least one prior systemic therapy for advanced disease</w:t>
            </w:r>
            <w:r w:rsidR="00F56BEF">
              <w:rPr>
                <w:rFonts w:asciiTheme="minorHAnsi" w:hAnsiTheme="minorHAnsi" w:cstheme="minorHAnsi"/>
                <w:color w:val="000000"/>
                <w:sz w:val="18"/>
                <w:szCs w:val="18"/>
              </w:rPr>
              <w:t xml:space="preserve">. </w:t>
            </w:r>
            <w:r w:rsidRPr="00164D3D">
              <w:rPr>
                <w:rFonts w:asciiTheme="minorHAnsi" w:hAnsiTheme="minorHAnsi" w:cstheme="minorHAnsi"/>
                <w:color w:val="000000"/>
                <w:sz w:val="18"/>
                <w:szCs w:val="18"/>
              </w:rPr>
              <w:t xml:space="preserve">Amgen will continue to work with the PBAC to secure reimbursement of </w:t>
            </w:r>
            <w:proofErr w:type="spellStart"/>
            <w:r w:rsidRPr="00164D3D">
              <w:rPr>
                <w:rFonts w:asciiTheme="minorHAnsi" w:hAnsiTheme="minorHAnsi" w:cstheme="minorHAnsi"/>
                <w:color w:val="000000"/>
                <w:sz w:val="18"/>
                <w:szCs w:val="18"/>
              </w:rPr>
              <w:t>sotorasib</w:t>
            </w:r>
            <w:proofErr w:type="spellEnd"/>
            <w:r w:rsidRPr="00164D3D">
              <w:rPr>
                <w:rFonts w:asciiTheme="minorHAnsi" w:hAnsiTheme="minorHAnsi" w:cstheme="minorHAnsi"/>
                <w:color w:val="000000"/>
                <w:sz w:val="18"/>
                <w:szCs w:val="18"/>
              </w:rPr>
              <w:t xml:space="preserve"> for eligible Australian lung cancer patients.</w:t>
            </w:r>
          </w:p>
        </w:tc>
      </w:tr>
      <w:tr w:rsidR="00575F52" w:rsidRPr="00567D48" w14:paraId="070231F5" w14:textId="77777777" w:rsidTr="007128F7">
        <w:trPr>
          <w:cantSplit/>
          <w:trHeight w:val="2948"/>
        </w:trPr>
        <w:tc>
          <w:tcPr>
            <w:tcW w:w="2973" w:type="dxa"/>
            <w:shd w:val="clear" w:color="auto" w:fill="auto"/>
            <w:tcMar>
              <w:top w:w="28" w:type="dxa"/>
              <w:bottom w:w="28" w:type="dxa"/>
            </w:tcMar>
            <w:vAlign w:val="center"/>
          </w:tcPr>
          <w:p w14:paraId="422E3295" w14:textId="77777777" w:rsidR="00E713BF" w:rsidRPr="00E713BF" w:rsidRDefault="00575F52" w:rsidP="00E713BF">
            <w:pPr>
              <w:keepLines/>
              <w:rPr>
                <w:rFonts w:asciiTheme="minorHAnsi" w:hAnsiTheme="minorHAnsi" w:cstheme="minorHAnsi"/>
                <w:color w:val="000000"/>
                <w:sz w:val="18"/>
                <w:szCs w:val="18"/>
              </w:rPr>
            </w:pPr>
            <w:r w:rsidRPr="00D5001E">
              <w:rPr>
                <w:rFonts w:asciiTheme="minorHAnsi" w:hAnsiTheme="minorHAnsi" w:cstheme="minorHAnsi"/>
                <w:color w:val="000000"/>
                <w:sz w:val="18"/>
                <w:szCs w:val="18"/>
              </w:rPr>
              <w:t xml:space="preserve">TEPOTINIB </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Tablet 225 mg (as hydrochloride monohydrate)</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r>
            <w:proofErr w:type="spellStart"/>
            <w:r w:rsidRPr="00D5001E">
              <w:rPr>
                <w:rFonts w:asciiTheme="minorHAnsi" w:hAnsiTheme="minorHAnsi" w:cstheme="minorHAnsi"/>
                <w:color w:val="000000"/>
                <w:sz w:val="18"/>
                <w:szCs w:val="18"/>
              </w:rPr>
              <w:t>Tepmetko</w:t>
            </w:r>
            <w:proofErr w:type="spellEnd"/>
            <w:r w:rsidRPr="00D5001E">
              <w:rPr>
                <w:rFonts w:asciiTheme="minorHAnsi" w:hAnsiTheme="minorHAnsi" w:cstheme="minorHAnsi"/>
                <w:color w:val="000000"/>
                <w:sz w:val="18"/>
                <w:szCs w:val="18"/>
              </w:rPr>
              <w:t>®</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Merck Healthcare Pty Ltd</w:t>
            </w:r>
            <w:r w:rsidRPr="00D5001E">
              <w:rPr>
                <w:rFonts w:asciiTheme="minorHAnsi" w:hAnsiTheme="minorHAnsi" w:cstheme="minorHAnsi"/>
                <w:color w:val="000000"/>
                <w:sz w:val="18"/>
                <w:szCs w:val="18"/>
                <w:highlight w:val="yellow"/>
              </w:rPr>
              <w:br/>
            </w:r>
            <w:r w:rsidRPr="00D5001E">
              <w:rPr>
                <w:rFonts w:asciiTheme="minorHAnsi" w:hAnsiTheme="minorHAnsi" w:cstheme="minorHAnsi"/>
                <w:color w:val="000000"/>
                <w:sz w:val="18"/>
                <w:szCs w:val="18"/>
                <w:highlight w:val="yellow"/>
              </w:rPr>
              <w:br/>
            </w:r>
            <w:r w:rsidRPr="00D5001E">
              <w:rPr>
                <w:rFonts w:asciiTheme="minorHAnsi" w:hAnsiTheme="minorHAnsi" w:cstheme="minorHAnsi"/>
                <w:color w:val="000000"/>
                <w:sz w:val="18"/>
                <w:szCs w:val="18"/>
              </w:rPr>
              <w:t>Matters</w:t>
            </w:r>
            <w:r w:rsidR="00E713BF" w:rsidRPr="00E713BF">
              <w:rPr>
                <w:rFonts w:asciiTheme="minorHAnsi" w:hAnsiTheme="minorHAnsi" w:cstheme="minorHAnsi"/>
                <w:color w:val="000000"/>
                <w:sz w:val="18"/>
                <w:szCs w:val="18"/>
              </w:rPr>
              <w:t xml:space="preserve"> outstanding</w:t>
            </w:r>
          </w:p>
          <w:p w14:paraId="031787AB" w14:textId="22FC3FF4" w:rsidR="00575F52" w:rsidRPr="00D5001E" w:rsidRDefault="00575F52" w:rsidP="00E713BF">
            <w:pPr>
              <w:keepLines/>
              <w:rPr>
                <w:rFonts w:asciiTheme="minorHAnsi" w:hAnsiTheme="minorHAnsi" w:cstheme="minorHAnsi"/>
                <w:color w:val="000000"/>
                <w:sz w:val="18"/>
                <w:szCs w:val="18"/>
                <w:highlight w:val="yellow"/>
              </w:rPr>
            </w:pPr>
            <w:r w:rsidRPr="00D5001E">
              <w:rPr>
                <w:rFonts w:asciiTheme="minorHAnsi" w:hAnsiTheme="minorHAnsi" w:cstheme="minorHAnsi"/>
                <w:color w:val="000000"/>
                <w:sz w:val="18"/>
                <w:szCs w:val="18"/>
              </w:rPr>
              <w:t xml:space="preserve">(New PBS listing) </w:t>
            </w:r>
          </w:p>
        </w:tc>
        <w:tc>
          <w:tcPr>
            <w:tcW w:w="2491" w:type="dxa"/>
            <w:shd w:val="clear" w:color="auto" w:fill="auto"/>
            <w:vAlign w:val="center"/>
          </w:tcPr>
          <w:p w14:paraId="38BC6784" w14:textId="72C26526" w:rsidR="00575F52" w:rsidRPr="00D5001E" w:rsidRDefault="00575F52" w:rsidP="00575F52">
            <w:pPr>
              <w:keepLines/>
              <w:widowControl w:val="0"/>
              <w:rPr>
                <w:rFonts w:asciiTheme="minorHAnsi" w:hAnsiTheme="minorHAnsi" w:cstheme="minorHAnsi"/>
                <w:color w:val="000000"/>
                <w:sz w:val="18"/>
                <w:szCs w:val="18"/>
              </w:rPr>
            </w:pPr>
            <w:r w:rsidRPr="00D5001E">
              <w:rPr>
                <w:rFonts w:asciiTheme="minorHAnsi" w:hAnsiTheme="minorHAnsi" w:cstheme="minorHAnsi"/>
                <w:color w:val="000000"/>
                <w:sz w:val="18"/>
                <w:szCs w:val="18"/>
              </w:rPr>
              <w:t>Non-small cell lung cancer (NSCLC)</w:t>
            </w:r>
          </w:p>
        </w:tc>
        <w:tc>
          <w:tcPr>
            <w:tcW w:w="3887" w:type="dxa"/>
            <w:shd w:val="clear" w:color="auto" w:fill="auto"/>
            <w:tcMar>
              <w:top w:w="28" w:type="dxa"/>
              <w:bottom w:w="28" w:type="dxa"/>
            </w:tcMar>
            <w:vAlign w:val="center"/>
          </w:tcPr>
          <w:p w14:paraId="2EDBF5DE" w14:textId="2F546A3F" w:rsidR="00575F52" w:rsidRPr="00D5001E" w:rsidRDefault="00575F52" w:rsidP="00575F52">
            <w:pPr>
              <w:pStyle w:val="ListParagraph"/>
              <w:keepLines/>
              <w:ind w:left="0"/>
              <w:rPr>
                <w:rFonts w:asciiTheme="minorHAnsi" w:hAnsiTheme="minorHAnsi" w:cstheme="minorHAnsi"/>
                <w:color w:val="000000"/>
                <w:sz w:val="18"/>
                <w:szCs w:val="18"/>
              </w:rPr>
            </w:pPr>
            <w:r w:rsidRPr="00D5001E">
              <w:rPr>
                <w:rFonts w:asciiTheme="minorHAnsi" w:hAnsiTheme="minorHAnsi" w:cstheme="minorHAnsi"/>
                <w:color w:val="000000"/>
                <w:sz w:val="18"/>
                <w:szCs w:val="18"/>
              </w:rPr>
              <w:t>To request a General Schedule Authority Required (STREAMLINED) listing for the treatment of patients with locally advanced or metastatic MET exon 14 skipping alterations-positive NSCLC.</w:t>
            </w:r>
          </w:p>
        </w:tc>
        <w:tc>
          <w:tcPr>
            <w:tcW w:w="1984" w:type="dxa"/>
            <w:shd w:val="clear" w:color="auto" w:fill="auto"/>
            <w:vAlign w:val="center"/>
          </w:tcPr>
          <w:p w14:paraId="477417FF" w14:textId="0CB84548" w:rsidR="00575F52" w:rsidRPr="00D5001E" w:rsidRDefault="00575F52" w:rsidP="00575F52">
            <w:pPr>
              <w:pStyle w:val="ListParagraph"/>
              <w:keepLines/>
              <w:ind w:left="0"/>
              <w:rPr>
                <w:rFonts w:asciiTheme="minorHAnsi" w:hAnsiTheme="minorHAnsi" w:cstheme="minorHAnsi"/>
                <w:color w:val="000000"/>
                <w:sz w:val="18"/>
                <w:szCs w:val="18"/>
              </w:rPr>
            </w:pPr>
            <w:r w:rsidRPr="00D5001E">
              <w:rPr>
                <w:rFonts w:asciiTheme="minorHAnsi" w:hAnsiTheme="minorHAnsi" w:cstheme="minorHAnsi"/>
                <w:color w:val="000000"/>
                <w:sz w:val="18"/>
                <w:szCs w:val="18"/>
              </w:rPr>
              <w:t>Recommended</w:t>
            </w:r>
          </w:p>
        </w:tc>
        <w:tc>
          <w:tcPr>
            <w:tcW w:w="4053" w:type="dxa"/>
            <w:shd w:val="clear" w:color="auto" w:fill="auto"/>
            <w:vAlign w:val="center"/>
          </w:tcPr>
          <w:p w14:paraId="4BC95D04" w14:textId="4B06F12A" w:rsidR="00575F52" w:rsidRPr="00B25426" w:rsidRDefault="00575F52" w:rsidP="00575F52">
            <w:pPr>
              <w:pStyle w:val="ListParagraph"/>
              <w:keepLines/>
              <w:ind w:left="0"/>
              <w:rPr>
                <w:rFonts w:asciiTheme="minorHAnsi" w:hAnsiTheme="minorHAnsi" w:cstheme="minorHAnsi"/>
                <w:color w:val="000000"/>
                <w:sz w:val="18"/>
                <w:szCs w:val="18"/>
              </w:rPr>
            </w:pPr>
            <w:r w:rsidRPr="000F0297">
              <w:rPr>
                <w:rFonts w:asciiTheme="minorHAnsi" w:hAnsiTheme="minorHAnsi" w:cstheme="minorHAnsi"/>
                <w:color w:val="000000"/>
                <w:sz w:val="18"/>
                <w:szCs w:val="18"/>
              </w:rPr>
              <w:t xml:space="preserve">The PBAC recommended the listing of </w:t>
            </w:r>
            <w:proofErr w:type="spellStart"/>
            <w:r w:rsidRPr="000F0297">
              <w:rPr>
                <w:rFonts w:asciiTheme="minorHAnsi" w:hAnsiTheme="minorHAnsi" w:cstheme="minorHAnsi"/>
                <w:color w:val="000000"/>
                <w:sz w:val="18"/>
                <w:szCs w:val="18"/>
              </w:rPr>
              <w:t>tepotinib</w:t>
            </w:r>
            <w:proofErr w:type="spellEnd"/>
            <w:r w:rsidRPr="000F0297">
              <w:rPr>
                <w:rFonts w:asciiTheme="minorHAnsi" w:hAnsiTheme="minorHAnsi" w:cstheme="minorHAnsi"/>
                <w:color w:val="000000"/>
                <w:sz w:val="18"/>
                <w:szCs w:val="18"/>
              </w:rPr>
              <w:t xml:space="preserve"> for the treatment of patients with locally advanced (Stage IIIB) or metastatic (Stage IV) </w:t>
            </w:r>
            <w:r w:rsidRPr="00317FE3">
              <w:rPr>
                <w:rFonts w:asciiTheme="minorHAnsi" w:hAnsiTheme="minorHAnsi" w:cstheme="minorHAnsi"/>
                <w:color w:val="000000"/>
                <w:sz w:val="18"/>
                <w:szCs w:val="18"/>
              </w:rPr>
              <w:t>NSCLC</w:t>
            </w:r>
            <w:r w:rsidRPr="00B25426">
              <w:rPr>
                <w:rFonts w:asciiTheme="minorHAnsi" w:hAnsiTheme="minorHAnsi" w:cstheme="minorHAnsi"/>
                <w:color w:val="000000"/>
                <w:sz w:val="18"/>
                <w:szCs w:val="18"/>
              </w:rPr>
              <w:t xml:space="preserve"> who have evidence of a MET proto-oncogene, receptor tyrosine kinase (MET) gene alteration that causes skipping of exon 14 (METex14sk).</w:t>
            </w:r>
          </w:p>
        </w:tc>
      </w:tr>
      <w:tr w:rsidR="00575F52" w:rsidRPr="00567D48" w14:paraId="2B4B64FE" w14:textId="77777777" w:rsidTr="00D5001E">
        <w:trPr>
          <w:trHeight w:val="2948"/>
        </w:trPr>
        <w:tc>
          <w:tcPr>
            <w:tcW w:w="2973" w:type="dxa"/>
            <w:shd w:val="clear" w:color="auto" w:fill="auto"/>
            <w:tcMar>
              <w:top w:w="28" w:type="dxa"/>
              <w:bottom w:w="28" w:type="dxa"/>
            </w:tcMar>
            <w:vAlign w:val="center"/>
          </w:tcPr>
          <w:p w14:paraId="439A04E3" w14:textId="5012D37A" w:rsidR="00575F52" w:rsidRPr="000F0297" w:rsidRDefault="00575F52" w:rsidP="00575F52">
            <w:pPr>
              <w:keepLines/>
              <w:rPr>
                <w:rFonts w:asciiTheme="minorHAnsi" w:hAnsiTheme="minorHAnsi" w:cstheme="minorHAnsi"/>
                <w:sz w:val="18"/>
                <w:szCs w:val="18"/>
              </w:rPr>
            </w:pPr>
            <w:r w:rsidRPr="00D5001E">
              <w:rPr>
                <w:rFonts w:asciiTheme="minorHAnsi" w:hAnsiTheme="minorHAnsi" w:cstheme="minorHAnsi"/>
                <w:color w:val="000000"/>
                <w:sz w:val="18"/>
                <w:szCs w:val="18"/>
              </w:rPr>
              <w:lastRenderedPageBreak/>
              <w:t>TRIENTINE</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Tablet 150 mg (as tetrahydrochloride)</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r>
            <w:proofErr w:type="spellStart"/>
            <w:r w:rsidRPr="00D5001E">
              <w:rPr>
                <w:rFonts w:asciiTheme="minorHAnsi" w:hAnsiTheme="minorHAnsi" w:cstheme="minorHAnsi"/>
                <w:color w:val="000000"/>
                <w:sz w:val="18"/>
                <w:szCs w:val="18"/>
              </w:rPr>
              <w:t>Cuprior</w:t>
            </w:r>
            <w:proofErr w:type="spellEnd"/>
            <w:r w:rsidRPr="00D5001E">
              <w:rPr>
                <w:rFonts w:asciiTheme="minorHAnsi" w:hAnsiTheme="minorHAnsi" w:cstheme="minorHAnsi"/>
                <w:color w:val="000000"/>
                <w:sz w:val="18"/>
                <w:szCs w:val="18"/>
              </w:rPr>
              <w:t>®</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r>
            <w:proofErr w:type="spellStart"/>
            <w:r w:rsidRPr="00D5001E">
              <w:rPr>
                <w:rFonts w:asciiTheme="minorHAnsi" w:hAnsiTheme="minorHAnsi" w:cstheme="minorHAnsi"/>
                <w:color w:val="000000"/>
                <w:sz w:val="18"/>
                <w:szCs w:val="18"/>
              </w:rPr>
              <w:t>Orphalan</w:t>
            </w:r>
            <w:proofErr w:type="spellEnd"/>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Early re-entry</w:t>
            </w:r>
            <w:r w:rsidR="007B3584">
              <w:rPr>
                <w:rFonts w:asciiTheme="minorHAnsi" w:hAnsiTheme="minorHAnsi" w:cstheme="minorHAnsi"/>
                <w:color w:val="000000"/>
                <w:sz w:val="18"/>
                <w:szCs w:val="18"/>
              </w:rPr>
              <w:t xml:space="preserve"> submission</w:t>
            </w:r>
            <w:r w:rsidRPr="00D5001E">
              <w:rPr>
                <w:rFonts w:asciiTheme="minorHAnsi" w:hAnsiTheme="minorHAnsi" w:cstheme="minorHAnsi"/>
                <w:color w:val="000000"/>
                <w:sz w:val="18"/>
                <w:szCs w:val="18"/>
              </w:rPr>
              <w:br/>
              <w:t>(New PBS listing)</w:t>
            </w:r>
          </w:p>
        </w:tc>
        <w:tc>
          <w:tcPr>
            <w:tcW w:w="2491" w:type="dxa"/>
            <w:shd w:val="clear" w:color="auto" w:fill="auto"/>
            <w:vAlign w:val="center"/>
          </w:tcPr>
          <w:p w14:paraId="06BA5D66" w14:textId="02C2C598" w:rsidR="00575F52" w:rsidRPr="000F0297" w:rsidRDefault="00575F52" w:rsidP="00575F52">
            <w:pPr>
              <w:keepLines/>
              <w:widowControl w:val="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Wilson disease</w:t>
            </w:r>
          </w:p>
        </w:tc>
        <w:tc>
          <w:tcPr>
            <w:tcW w:w="3887" w:type="dxa"/>
            <w:shd w:val="clear" w:color="auto" w:fill="auto"/>
            <w:tcMar>
              <w:top w:w="28" w:type="dxa"/>
              <w:bottom w:w="28" w:type="dxa"/>
            </w:tcMar>
            <w:vAlign w:val="center"/>
          </w:tcPr>
          <w:p w14:paraId="369DB8DE" w14:textId="05230C7C"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Resubmission to request a General Schedule Authority Required listing for the treatment of patients with Wilson disease who are intolerant to penicillamine.</w:t>
            </w:r>
          </w:p>
        </w:tc>
        <w:tc>
          <w:tcPr>
            <w:tcW w:w="1984" w:type="dxa"/>
            <w:shd w:val="clear" w:color="auto" w:fill="auto"/>
            <w:vAlign w:val="center"/>
          </w:tcPr>
          <w:p w14:paraId="5BC9F9EF" w14:textId="2CA2ABFB"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Not Recommended</w:t>
            </w:r>
          </w:p>
        </w:tc>
        <w:tc>
          <w:tcPr>
            <w:tcW w:w="4053" w:type="dxa"/>
            <w:shd w:val="clear" w:color="auto" w:fill="auto"/>
            <w:vAlign w:val="center"/>
          </w:tcPr>
          <w:p w14:paraId="42FED8B4" w14:textId="77777777" w:rsidR="00575F52" w:rsidRPr="00D5001E" w:rsidRDefault="00575F52" w:rsidP="00D5001E">
            <w:pPr>
              <w:keepLines/>
              <w:rPr>
                <w:rFonts w:asciiTheme="minorHAnsi" w:hAnsiTheme="minorHAnsi" w:cstheme="minorHAnsi"/>
                <w:color w:val="000000"/>
                <w:sz w:val="18"/>
                <w:szCs w:val="18"/>
              </w:rPr>
            </w:pPr>
            <w:r w:rsidRPr="00D5001E">
              <w:rPr>
                <w:rFonts w:asciiTheme="minorHAnsi" w:hAnsiTheme="minorHAnsi" w:cstheme="minorHAnsi"/>
                <w:color w:val="000000"/>
                <w:sz w:val="18"/>
                <w:szCs w:val="18"/>
              </w:rPr>
              <w:t>The PBAC did not recommend trientine tetrahydrochloride (4HCl) for the treatment of patients with Wilson disease (WD) who are intolerant to penicillamine/D-penicillamine (DPA). The PBAC noted that the only changes in the resubmission were a small price reduction and a proposed risk sharing arrangement. The PBAC therefore considered that the economic analysis remained uninformative and the price differential compared to DPA was not justified, even with a second-line listing for trientine, given the clinical data was more consistent with non-inferiority to DPA.</w:t>
            </w:r>
          </w:p>
          <w:p w14:paraId="45CC5053" w14:textId="105047A1" w:rsidR="00575F52" w:rsidRPr="00D5001E" w:rsidRDefault="00575F52" w:rsidP="00D5001E">
            <w:pPr>
              <w:keepLines/>
              <w:rPr>
                <w:rFonts w:asciiTheme="minorHAnsi" w:hAnsiTheme="minorHAnsi" w:cstheme="minorHAnsi"/>
                <w:color w:val="000000"/>
                <w:sz w:val="18"/>
                <w:szCs w:val="18"/>
              </w:rPr>
            </w:pPr>
          </w:p>
          <w:p w14:paraId="4A325F50" w14:textId="77777777" w:rsidR="00575F52" w:rsidRPr="00D5001E" w:rsidRDefault="00575F52" w:rsidP="00D5001E">
            <w:pPr>
              <w:keepLines/>
              <w:rPr>
                <w:rFonts w:asciiTheme="minorHAnsi" w:hAnsiTheme="minorHAnsi" w:cstheme="minorHAnsi"/>
                <w:color w:val="000000"/>
                <w:sz w:val="18"/>
                <w:szCs w:val="18"/>
              </w:rPr>
            </w:pPr>
            <w:r w:rsidRPr="00D5001E">
              <w:rPr>
                <w:rFonts w:asciiTheme="minorHAnsi" w:hAnsiTheme="minorHAnsi" w:cstheme="minorHAnsi"/>
                <w:color w:val="000000"/>
                <w:sz w:val="18"/>
                <w:szCs w:val="18"/>
              </w:rPr>
              <w:t>The original submission was considered in November 2021.</w:t>
            </w:r>
          </w:p>
          <w:p w14:paraId="097F4DC4" w14:textId="77777777" w:rsidR="00575F52" w:rsidRPr="00B02BD8" w:rsidRDefault="00575F52" w:rsidP="00575F52">
            <w:pPr>
              <w:pStyle w:val="ListParagraph"/>
              <w:keepLines/>
              <w:rPr>
                <w:rFonts w:asciiTheme="minorHAnsi" w:hAnsiTheme="minorHAnsi" w:cstheme="minorHAnsi"/>
                <w:color w:val="000000"/>
                <w:sz w:val="18"/>
                <w:szCs w:val="18"/>
              </w:rPr>
            </w:pPr>
          </w:p>
          <w:p w14:paraId="73D7198A" w14:textId="77777777" w:rsidR="00575F52" w:rsidRPr="00D5001E" w:rsidRDefault="00575F52" w:rsidP="00D5001E">
            <w:pPr>
              <w:keepLines/>
              <w:rPr>
                <w:rFonts w:asciiTheme="minorHAnsi" w:hAnsiTheme="minorHAnsi" w:cstheme="minorHAnsi"/>
                <w:color w:val="000000"/>
                <w:sz w:val="18"/>
                <w:szCs w:val="18"/>
                <w:u w:val="single"/>
              </w:rPr>
            </w:pPr>
            <w:r w:rsidRPr="00D5001E">
              <w:rPr>
                <w:rFonts w:asciiTheme="minorHAnsi" w:hAnsiTheme="minorHAnsi" w:cstheme="minorHAnsi"/>
                <w:color w:val="000000"/>
                <w:sz w:val="18"/>
                <w:szCs w:val="18"/>
                <w:u w:val="single"/>
              </w:rPr>
              <w:t>Comparator: best supportive care (BSC)</w:t>
            </w:r>
          </w:p>
          <w:p w14:paraId="5B00B456" w14:textId="77777777" w:rsidR="00575F52" w:rsidRPr="00D5001E" w:rsidRDefault="00575F52" w:rsidP="00D5001E">
            <w:pPr>
              <w:keepLines/>
              <w:rPr>
                <w:rFonts w:asciiTheme="minorHAnsi" w:hAnsiTheme="minorHAnsi" w:cstheme="minorHAnsi"/>
                <w:color w:val="000000"/>
                <w:sz w:val="18"/>
                <w:szCs w:val="18"/>
              </w:rPr>
            </w:pPr>
            <w:r w:rsidRPr="00D5001E">
              <w:rPr>
                <w:rFonts w:asciiTheme="minorHAnsi" w:hAnsiTheme="minorHAnsi" w:cstheme="minorHAnsi"/>
                <w:color w:val="000000"/>
                <w:sz w:val="18"/>
                <w:szCs w:val="18"/>
              </w:rPr>
              <w:t xml:space="preserve">The PBAC considered that the nominated comparator was reasonable. </w:t>
            </w:r>
          </w:p>
          <w:p w14:paraId="45133B62" w14:textId="77777777" w:rsidR="00575F52" w:rsidRPr="00B02BD8" w:rsidRDefault="00575F52" w:rsidP="00575F52">
            <w:pPr>
              <w:pStyle w:val="ListParagraph"/>
              <w:keepLines/>
              <w:rPr>
                <w:rFonts w:asciiTheme="minorHAnsi" w:hAnsiTheme="minorHAnsi" w:cstheme="minorHAnsi"/>
                <w:color w:val="000000"/>
                <w:sz w:val="18"/>
                <w:szCs w:val="18"/>
              </w:rPr>
            </w:pPr>
          </w:p>
          <w:p w14:paraId="0DD9E6E9" w14:textId="77777777" w:rsidR="00575F52" w:rsidRPr="00D5001E" w:rsidRDefault="00575F52" w:rsidP="00D5001E">
            <w:pPr>
              <w:keepLines/>
              <w:rPr>
                <w:rFonts w:asciiTheme="minorHAnsi" w:hAnsiTheme="minorHAnsi" w:cstheme="minorHAnsi"/>
                <w:color w:val="000000"/>
                <w:sz w:val="18"/>
                <w:szCs w:val="18"/>
                <w:u w:val="single"/>
              </w:rPr>
            </w:pPr>
            <w:r w:rsidRPr="00D5001E">
              <w:rPr>
                <w:rFonts w:asciiTheme="minorHAnsi" w:hAnsiTheme="minorHAnsi" w:cstheme="minorHAnsi"/>
                <w:color w:val="000000"/>
                <w:sz w:val="18"/>
                <w:szCs w:val="18"/>
                <w:u w:val="single"/>
              </w:rPr>
              <w:t>Clinical claim: non-inferior effectiveness and superior safety compared with DPA and superior effectiveness and inferior safety compared with BSC</w:t>
            </w:r>
          </w:p>
          <w:p w14:paraId="6756402E" w14:textId="5B20B1C2" w:rsidR="00575F52" w:rsidRPr="00D5001E" w:rsidRDefault="00575F52" w:rsidP="00D5001E">
            <w:pPr>
              <w:keepLines/>
              <w:rPr>
                <w:rFonts w:asciiTheme="minorHAnsi" w:hAnsiTheme="minorHAnsi" w:cstheme="minorHAnsi"/>
                <w:color w:val="000000"/>
                <w:sz w:val="18"/>
                <w:szCs w:val="18"/>
              </w:rPr>
            </w:pPr>
            <w:r w:rsidRPr="00D5001E">
              <w:rPr>
                <w:rFonts w:asciiTheme="minorHAnsi" w:hAnsiTheme="minorHAnsi" w:cstheme="minorHAnsi"/>
                <w:color w:val="000000"/>
                <w:sz w:val="18"/>
                <w:szCs w:val="18"/>
              </w:rPr>
              <w:t>As no new clinical evidence was presented</w:t>
            </w:r>
            <w:r w:rsidRPr="00B02BD8">
              <w:rPr>
                <w:rFonts w:asciiTheme="minorHAnsi" w:hAnsiTheme="minorHAnsi" w:cstheme="minorHAnsi"/>
                <w:color w:val="000000"/>
                <w:sz w:val="18"/>
                <w:szCs w:val="18"/>
              </w:rPr>
              <w:t xml:space="preserve"> </w:t>
            </w:r>
            <w:r w:rsidRPr="00D5001E">
              <w:rPr>
                <w:rFonts w:asciiTheme="minorHAnsi" w:hAnsiTheme="minorHAnsi" w:cstheme="minorHAnsi"/>
                <w:color w:val="000000"/>
                <w:sz w:val="18"/>
                <w:szCs w:val="18"/>
              </w:rPr>
              <w:t xml:space="preserve">the PBAC reiterated its comments from November 2021. </w:t>
            </w:r>
          </w:p>
          <w:p w14:paraId="72E90E6F" w14:textId="77777777" w:rsidR="00575F52" w:rsidRPr="00B02BD8" w:rsidRDefault="00575F52" w:rsidP="00575F52">
            <w:pPr>
              <w:pStyle w:val="ListParagraph"/>
              <w:keepLines/>
              <w:rPr>
                <w:rFonts w:asciiTheme="minorHAnsi" w:hAnsiTheme="minorHAnsi" w:cstheme="minorHAnsi"/>
                <w:color w:val="000000"/>
                <w:sz w:val="18"/>
                <w:szCs w:val="18"/>
              </w:rPr>
            </w:pPr>
          </w:p>
          <w:p w14:paraId="71DB9D7A" w14:textId="77777777" w:rsidR="00575F52" w:rsidRPr="00D5001E" w:rsidRDefault="00575F52" w:rsidP="00D5001E">
            <w:pPr>
              <w:keepLines/>
              <w:rPr>
                <w:rFonts w:asciiTheme="minorHAnsi" w:hAnsiTheme="minorHAnsi" w:cstheme="minorHAnsi"/>
                <w:color w:val="000000"/>
                <w:sz w:val="18"/>
                <w:szCs w:val="18"/>
              </w:rPr>
            </w:pPr>
            <w:r w:rsidRPr="00D5001E">
              <w:rPr>
                <w:rFonts w:asciiTheme="minorHAnsi" w:hAnsiTheme="minorHAnsi" w:cstheme="minorHAnsi"/>
                <w:color w:val="000000"/>
                <w:sz w:val="18"/>
                <w:szCs w:val="18"/>
              </w:rPr>
              <w:t>Trientine 4HCl was non-inferior to DPA in terms of effectiveness and this was consistent with the accepted clinical approach and available guidelines. Trientine 4HCl was likely superior to DPA in terms of safety.</w:t>
            </w:r>
          </w:p>
          <w:p w14:paraId="1135338E" w14:textId="77777777" w:rsidR="00575F52" w:rsidRPr="00B02BD8" w:rsidRDefault="00575F52" w:rsidP="00575F52">
            <w:pPr>
              <w:pStyle w:val="ListParagraph"/>
              <w:keepLines/>
              <w:rPr>
                <w:rFonts w:asciiTheme="minorHAnsi" w:hAnsiTheme="minorHAnsi" w:cstheme="minorHAnsi"/>
                <w:color w:val="000000"/>
                <w:sz w:val="18"/>
                <w:szCs w:val="18"/>
              </w:rPr>
            </w:pPr>
          </w:p>
          <w:p w14:paraId="41078728" w14:textId="77777777" w:rsidR="00575F52" w:rsidRPr="00D5001E" w:rsidRDefault="00575F52" w:rsidP="00D5001E">
            <w:pPr>
              <w:keepLines/>
              <w:rPr>
                <w:rFonts w:asciiTheme="minorHAnsi" w:hAnsiTheme="minorHAnsi" w:cstheme="minorHAnsi"/>
                <w:color w:val="000000"/>
                <w:sz w:val="18"/>
                <w:szCs w:val="18"/>
              </w:rPr>
            </w:pPr>
            <w:r w:rsidRPr="00D5001E">
              <w:rPr>
                <w:rFonts w:asciiTheme="minorHAnsi" w:hAnsiTheme="minorHAnsi" w:cstheme="minorHAnsi"/>
                <w:color w:val="000000"/>
                <w:sz w:val="18"/>
                <w:szCs w:val="18"/>
              </w:rPr>
              <w:lastRenderedPageBreak/>
              <w:t xml:space="preserve">Trientine 4HCl was superior to BSC in terms of effectiveness </w:t>
            </w:r>
            <w:proofErr w:type="gramStart"/>
            <w:r w:rsidRPr="00D5001E">
              <w:rPr>
                <w:rFonts w:asciiTheme="minorHAnsi" w:hAnsiTheme="minorHAnsi" w:cstheme="minorHAnsi"/>
                <w:color w:val="000000"/>
                <w:sz w:val="18"/>
                <w:szCs w:val="18"/>
              </w:rPr>
              <w:t>on the basis of</w:t>
            </w:r>
            <w:proofErr w:type="gramEnd"/>
            <w:r w:rsidRPr="00D5001E">
              <w:rPr>
                <w:rFonts w:asciiTheme="minorHAnsi" w:hAnsiTheme="minorHAnsi" w:cstheme="minorHAnsi"/>
                <w:color w:val="000000"/>
                <w:sz w:val="18"/>
                <w:szCs w:val="18"/>
              </w:rPr>
              <w:t xml:space="preserve"> chelation therapy being accepted as an effective and lifesaving treatment for WD. The claim that trientine 4HCl was inferior to BSC in terms of safety could not be assessed based on the evidence presented.</w:t>
            </w:r>
          </w:p>
          <w:p w14:paraId="58D8E8B0" w14:textId="77777777" w:rsidR="00575F52" w:rsidRPr="00B02BD8" w:rsidRDefault="00575F52" w:rsidP="00575F52">
            <w:pPr>
              <w:pStyle w:val="ListParagraph"/>
              <w:keepLines/>
              <w:rPr>
                <w:rFonts w:asciiTheme="minorHAnsi" w:hAnsiTheme="minorHAnsi" w:cstheme="minorHAnsi"/>
                <w:color w:val="000000"/>
                <w:sz w:val="18"/>
                <w:szCs w:val="18"/>
              </w:rPr>
            </w:pPr>
          </w:p>
          <w:p w14:paraId="14639C01" w14:textId="77777777" w:rsidR="00575F52" w:rsidRPr="00D5001E" w:rsidRDefault="00575F52" w:rsidP="00D5001E">
            <w:pPr>
              <w:keepLines/>
              <w:rPr>
                <w:rFonts w:asciiTheme="minorHAnsi" w:hAnsiTheme="minorHAnsi" w:cstheme="minorHAnsi"/>
                <w:color w:val="000000"/>
                <w:sz w:val="18"/>
                <w:szCs w:val="18"/>
                <w:u w:val="single"/>
              </w:rPr>
            </w:pPr>
            <w:r w:rsidRPr="00D5001E">
              <w:rPr>
                <w:rFonts w:asciiTheme="minorHAnsi" w:hAnsiTheme="minorHAnsi" w:cstheme="minorHAnsi"/>
                <w:color w:val="000000"/>
                <w:sz w:val="18"/>
                <w:szCs w:val="18"/>
                <w:u w:val="single"/>
              </w:rPr>
              <w:t>Economic claim: cost-utility versus BSC</w:t>
            </w:r>
          </w:p>
          <w:p w14:paraId="685E5780" w14:textId="735507B0" w:rsidR="00575F52" w:rsidRPr="00B02BD8" w:rsidRDefault="00575F52" w:rsidP="00575F52">
            <w:pPr>
              <w:pStyle w:val="ListParagraph"/>
              <w:keepLines/>
              <w:ind w:left="0"/>
              <w:rPr>
                <w:rFonts w:asciiTheme="minorHAnsi" w:hAnsiTheme="minorHAnsi" w:cstheme="minorHAnsi"/>
                <w:color w:val="000000"/>
                <w:sz w:val="18"/>
                <w:szCs w:val="18"/>
              </w:rPr>
            </w:pPr>
            <w:r w:rsidRPr="00B02BD8">
              <w:rPr>
                <w:rFonts w:asciiTheme="minorHAnsi" w:hAnsiTheme="minorHAnsi" w:cstheme="minorHAnsi"/>
                <w:color w:val="000000"/>
                <w:sz w:val="18"/>
                <w:szCs w:val="18"/>
              </w:rPr>
              <w:t>As the only change to the economic analysis was the inclusion of the price reduction, the model remained uninformative.</w:t>
            </w:r>
          </w:p>
          <w:p w14:paraId="2014DAF5" w14:textId="77777777" w:rsidR="00575F52" w:rsidRPr="00B02BD8" w:rsidRDefault="00575F52" w:rsidP="00575F52">
            <w:pPr>
              <w:pStyle w:val="ListParagraph"/>
              <w:keepLines/>
              <w:ind w:left="0"/>
              <w:rPr>
                <w:rFonts w:asciiTheme="minorHAnsi" w:hAnsiTheme="minorHAnsi" w:cstheme="minorHAnsi"/>
                <w:color w:val="000000"/>
                <w:sz w:val="18"/>
                <w:szCs w:val="18"/>
              </w:rPr>
            </w:pPr>
          </w:p>
          <w:p w14:paraId="7244F48C" w14:textId="77777777" w:rsidR="00575F52" w:rsidRDefault="00575F52" w:rsidP="00575F52">
            <w:pPr>
              <w:pStyle w:val="ListParagraph"/>
              <w:keepLines/>
              <w:ind w:left="0"/>
              <w:rPr>
                <w:rFonts w:asciiTheme="minorHAnsi" w:hAnsiTheme="minorHAnsi" w:cstheme="minorHAnsi"/>
                <w:color w:val="000000"/>
                <w:sz w:val="18"/>
                <w:szCs w:val="18"/>
                <w:u w:val="single"/>
              </w:rPr>
            </w:pPr>
            <w:r w:rsidRPr="00B02BD8">
              <w:rPr>
                <w:rFonts w:asciiTheme="minorHAnsi" w:hAnsiTheme="minorHAnsi" w:cstheme="minorHAnsi"/>
                <w:color w:val="000000"/>
                <w:sz w:val="18"/>
                <w:szCs w:val="18"/>
                <w:u w:val="single"/>
              </w:rPr>
              <w:t>Sponsor Comment:</w:t>
            </w:r>
          </w:p>
          <w:p w14:paraId="6E862521" w14:textId="5A668DC1" w:rsidR="006401D2" w:rsidRPr="00D5001E" w:rsidRDefault="006401D2" w:rsidP="00575F52">
            <w:pPr>
              <w:pStyle w:val="ListParagraph"/>
              <w:keepLines/>
              <w:ind w:left="0"/>
              <w:rPr>
                <w:rFonts w:asciiTheme="minorHAnsi" w:hAnsiTheme="minorHAnsi" w:cstheme="minorHAnsi"/>
                <w:color w:val="000000"/>
                <w:sz w:val="18"/>
                <w:szCs w:val="18"/>
                <w:highlight w:val="yellow"/>
              </w:rPr>
            </w:pPr>
            <w:r w:rsidRPr="00D90B2A">
              <w:rPr>
                <w:rFonts w:asciiTheme="minorHAnsi" w:hAnsiTheme="minorHAnsi" w:cstheme="minorHAnsi"/>
                <w:color w:val="000000"/>
                <w:sz w:val="18"/>
                <w:szCs w:val="18"/>
              </w:rPr>
              <w:t>The sponsor had no comment.</w:t>
            </w:r>
          </w:p>
        </w:tc>
      </w:tr>
      <w:tr w:rsidR="00575F52" w:rsidRPr="00567D48" w14:paraId="2CA1F00F" w14:textId="77777777" w:rsidTr="00602A5A">
        <w:trPr>
          <w:trHeight w:val="801"/>
        </w:trPr>
        <w:tc>
          <w:tcPr>
            <w:tcW w:w="2973" w:type="dxa"/>
            <w:shd w:val="clear" w:color="auto" w:fill="auto"/>
            <w:tcMar>
              <w:top w:w="28" w:type="dxa"/>
              <w:bottom w:w="28" w:type="dxa"/>
            </w:tcMar>
            <w:vAlign w:val="center"/>
          </w:tcPr>
          <w:p w14:paraId="7EFB6886" w14:textId="05CEB6DE" w:rsidR="00575F52" w:rsidRPr="000F0297" w:rsidRDefault="00575F52" w:rsidP="00575F52">
            <w:pPr>
              <w:keepLines/>
              <w:rPr>
                <w:rFonts w:asciiTheme="minorHAnsi" w:hAnsiTheme="minorHAnsi" w:cstheme="minorHAnsi"/>
                <w:sz w:val="18"/>
                <w:szCs w:val="18"/>
              </w:rPr>
            </w:pPr>
            <w:r w:rsidRPr="00D5001E">
              <w:rPr>
                <w:rFonts w:asciiTheme="minorHAnsi" w:hAnsiTheme="minorHAnsi" w:cstheme="minorHAnsi"/>
                <w:color w:val="000000"/>
                <w:sz w:val="18"/>
                <w:szCs w:val="18"/>
              </w:rPr>
              <w:lastRenderedPageBreak/>
              <w:t>TRIENTINE</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r>
            <w:r w:rsidR="00EE37F4" w:rsidRPr="00EE37F4">
              <w:rPr>
                <w:rFonts w:asciiTheme="minorHAnsi" w:hAnsiTheme="minorHAnsi" w:cstheme="minorHAnsi"/>
                <w:color w:val="000000"/>
                <w:sz w:val="18"/>
                <w:szCs w:val="18"/>
              </w:rPr>
              <w:t>Capsule containing trientine dihydrochloride 250 mg (equivalent to 166.7 mg trientine)</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Waymade®</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r>
            <w:proofErr w:type="spellStart"/>
            <w:r w:rsidRPr="00D5001E">
              <w:rPr>
                <w:rFonts w:asciiTheme="minorHAnsi" w:hAnsiTheme="minorHAnsi" w:cstheme="minorHAnsi"/>
                <w:color w:val="000000"/>
                <w:sz w:val="18"/>
                <w:szCs w:val="18"/>
              </w:rPr>
              <w:t>Clinect</w:t>
            </w:r>
            <w:proofErr w:type="spellEnd"/>
            <w:r w:rsidRPr="00D5001E">
              <w:rPr>
                <w:rFonts w:asciiTheme="minorHAnsi" w:hAnsiTheme="minorHAnsi" w:cstheme="minorHAnsi"/>
                <w:color w:val="000000"/>
                <w:sz w:val="18"/>
                <w:szCs w:val="18"/>
              </w:rPr>
              <w:t xml:space="preserve"> Pty Ltd</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Early re-entry</w:t>
            </w:r>
            <w:r w:rsidRPr="00D5001E">
              <w:rPr>
                <w:rFonts w:asciiTheme="minorHAnsi" w:hAnsiTheme="minorHAnsi" w:cstheme="minorHAnsi"/>
                <w:color w:val="000000"/>
                <w:sz w:val="18"/>
                <w:szCs w:val="18"/>
              </w:rPr>
              <w:br/>
              <w:t>(New PBS listing)</w:t>
            </w:r>
          </w:p>
        </w:tc>
        <w:tc>
          <w:tcPr>
            <w:tcW w:w="2491" w:type="dxa"/>
            <w:shd w:val="clear" w:color="auto" w:fill="auto"/>
            <w:vAlign w:val="center"/>
          </w:tcPr>
          <w:p w14:paraId="0DE5D29F" w14:textId="32C8EC88" w:rsidR="00575F52" w:rsidRPr="000F0297" w:rsidRDefault="00575F52" w:rsidP="00575F52">
            <w:pPr>
              <w:keepLines/>
              <w:widowControl w:val="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Wilson disease</w:t>
            </w:r>
          </w:p>
        </w:tc>
        <w:tc>
          <w:tcPr>
            <w:tcW w:w="3887" w:type="dxa"/>
            <w:shd w:val="clear" w:color="auto" w:fill="auto"/>
            <w:tcMar>
              <w:top w:w="28" w:type="dxa"/>
              <w:bottom w:w="28" w:type="dxa"/>
            </w:tcMar>
            <w:vAlign w:val="center"/>
          </w:tcPr>
          <w:p w14:paraId="44CDCDA4" w14:textId="39C0047E"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Resubmission to request a General Schedule Authority Required (Written) listing for the treatment of patients with Wilson disease who are intolerant to penicillamine.</w:t>
            </w:r>
          </w:p>
        </w:tc>
        <w:tc>
          <w:tcPr>
            <w:tcW w:w="1984" w:type="dxa"/>
            <w:shd w:val="clear" w:color="auto" w:fill="auto"/>
            <w:vAlign w:val="center"/>
          </w:tcPr>
          <w:p w14:paraId="2656E90B" w14:textId="2A75B0C6" w:rsidR="00575F52" w:rsidRPr="008A17AC"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Not Recommended</w:t>
            </w:r>
          </w:p>
        </w:tc>
        <w:tc>
          <w:tcPr>
            <w:tcW w:w="4053" w:type="dxa"/>
            <w:shd w:val="clear" w:color="auto" w:fill="auto"/>
            <w:vAlign w:val="center"/>
          </w:tcPr>
          <w:p w14:paraId="51AB3E15" w14:textId="77777777" w:rsidR="00575F52" w:rsidRPr="00D5001E" w:rsidRDefault="00575F52" w:rsidP="00D5001E">
            <w:pPr>
              <w:keepLines/>
              <w:rPr>
                <w:rFonts w:asciiTheme="minorHAnsi" w:hAnsiTheme="minorHAnsi" w:cstheme="minorHAnsi"/>
                <w:color w:val="000000"/>
                <w:sz w:val="18"/>
                <w:szCs w:val="18"/>
              </w:rPr>
            </w:pPr>
            <w:r w:rsidRPr="00D5001E">
              <w:rPr>
                <w:rFonts w:asciiTheme="minorHAnsi" w:hAnsiTheme="minorHAnsi" w:cstheme="minorHAnsi"/>
                <w:color w:val="000000"/>
                <w:sz w:val="18"/>
                <w:szCs w:val="18"/>
              </w:rPr>
              <w:t>The PBAC did not recommend trientine dihydrochloride (2HCl) for the treatment of patients with Wilson disease (WD) who are intolerant to penicillamine/D-penicillamine (DPA). The PBAC noted that the only changes in the resubmission were a small price reduction, minor changes to the utilisation and financial impact estimates and a proposed risk sharing arrangement. The PBAC therefore considered that the economic analysis remained uninformative and the price differential compared to DPA was not justified, even with a second-line listing for trientine 2HCl, given the clinical data was more consistent with non-inferiority to DPA.</w:t>
            </w:r>
          </w:p>
          <w:p w14:paraId="31797AE7" w14:textId="77777777" w:rsidR="00575F52" w:rsidRPr="008A17AC" w:rsidRDefault="00575F52" w:rsidP="00575F52">
            <w:pPr>
              <w:pStyle w:val="ListParagraph"/>
              <w:keepLines/>
              <w:rPr>
                <w:rFonts w:asciiTheme="minorHAnsi" w:hAnsiTheme="minorHAnsi" w:cstheme="minorHAnsi"/>
                <w:color w:val="000000"/>
                <w:sz w:val="18"/>
                <w:szCs w:val="18"/>
              </w:rPr>
            </w:pPr>
          </w:p>
          <w:p w14:paraId="1C6CD081" w14:textId="77777777" w:rsidR="00575F52" w:rsidRPr="00D5001E" w:rsidRDefault="00575F52" w:rsidP="00D5001E">
            <w:pPr>
              <w:keepLines/>
              <w:rPr>
                <w:rFonts w:asciiTheme="minorHAnsi" w:hAnsiTheme="minorHAnsi" w:cstheme="minorHAnsi"/>
                <w:color w:val="000000"/>
                <w:sz w:val="18"/>
                <w:szCs w:val="18"/>
              </w:rPr>
            </w:pPr>
            <w:r w:rsidRPr="00D5001E">
              <w:rPr>
                <w:rFonts w:asciiTheme="minorHAnsi" w:hAnsiTheme="minorHAnsi" w:cstheme="minorHAnsi"/>
                <w:color w:val="000000"/>
                <w:sz w:val="18"/>
                <w:szCs w:val="18"/>
              </w:rPr>
              <w:t>The original submission was considered in November 2021.</w:t>
            </w:r>
          </w:p>
          <w:p w14:paraId="15879D83" w14:textId="77777777" w:rsidR="00575F52" w:rsidRPr="008A17AC" w:rsidRDefault="00575F52" w:rsidP="00575F52">
            <w:pPr>
              <w:pStyle w:val="ListParagraph"/>
              <w:keepLines/>
              <w:rPr>
                <w:rFonts w:asciiTheme="minorHAnsi" w:hAnsiTheme="minorHAnsi" w:cstheme="minorHAnsi"/>
                <w:color w:val="000000"/>
                <w:sz w:val="18"/>
                <w:szCs w:val="18"/>
              </w:rPr>
            </w:pPr>
          </w:p>
          <w:p w14:paraId="0EB26A5B" w14:textId="77777777" w:rsidR="00575F52" w:rsidRPr="00D5001E" w:rsidRDefault="00575F52" w:rsidP="00D5001E">
            <w:pPr>
              <w:keepLines/>
              <w:rPr>
                <w:rFonts w:asciiTheme="minorHAnsi" w:hAnsiTheme="minorHAnsi" w:cstheme="minorHAnsi"/>
                <w:color w:val="000000"/>
                <w:sz w:val="18"/>
                <w:szCs w:val="18"/>
                <w:u w:val="single"/>
              </w:rPr>
            </w:pPr>
            <w:r w:rsidRPr="00D5001E">
              <w:rPr>
                <w:rFonts w:asciiTheme="minorHAnsi" w:hAnsiTheme="minorHAnsi" w:cstheme="minorHAnsi"/>
                <w:color w:val="000000"/>
                <w:sz w:val="18"/>
                <w:szCs w:val="18"/>
                <w:u w:val="single"/>
              </w:rPr>
              <w:t>Comparator: no active treatment</w:t>
            </w:r>
          </w:p>
          <w:p w14:paraId="381DCB4B" w14:textId="77777777" w:rsidR="00575F52" w:rsidRPr="00D5001E" w:rsidRDefault="00575F52" w:rsidP="00D5001E">
            <w:pPr>
              <w:keepLines/>
              <w:rPr>
                <w:rFonts w:asciiTheme="minorHAnsi" w:hAnsiTheme="minorHAnsi" w:cstheme="minorHAnsi"/>
                <w:color w:val="000000"/>
                <w:sz w:val="18"/>
                <w:szCs w:val="18"/>
              </w:rPr>
            </w:pPr>
            <w:r w:rsidRPr="00D5001E">
              <w:rPr>
                <w:rFonts w:asciiTheme="minorHAnsi" w:hAnsiTheme="minorHAnsi" w:cstheme="minorHAnsi"/>
                <w:color w:val="000000"/>
                <w:sz w:val="18"/>
                <w:szCs w:val="18"/>
              </w:rPr>
              <w:t xml:space="preserve">The PBAC considered that the nominated comparator was reasonable. </w:t>
            </w:r>
          </w:p>
          <w:p w14:paraId="6A0CBB42" w14:textId="77777777" w:rsidR="00575F52" w:rsidRPr="008A17AC" w:rsidRDefault="00575F52" w:rsidP="00575F52">
            <w:pPr>
              <w:pStyle w:val="ListParagraph"/>
              <w:keepLines/>
              <w:rPr>
                <w:rFonts w:asciiTheme="minorHAnsi" w:hAnsiTheme="minorHAnsi" w:cstheme="minorHAnsi"/>
                <w:color w:val="000000"/>
                <w:sz w:val="18"/>
                <w:szCs w:val="18"/>
              </w:rPr>
            </w:pPr>
          </w:p>
          <w:p w14:paraId="0578C9F7" w14:textId="77777777" w:rsidR="00575F52" w:rsidRPr="00D5001E" w:rsidRDefault="00575F52" w:rsidP="00D5001E">
            <w:pPr>
              <w:keepLines/>
              <w:rPr>
                <w:rFonts w:asciiTheme="minorHAnsi" w:hAnsiTheme="minorHAnsi" w:cstheme="minorHAnsi"/>
                <w:color w:val="000000"/>
                <w:sz w:val="18"/>
                <w:szCs w:val="18"/>
                <w:u w:val="single"/>
              </w:rPr>
            </w:pPr>
            <w:r w:rsidRPr="00D5001E">
              <w:rPr>
                <w:rFonts w:asciiTheme="minorHAnsi" w:hAnsiTheme="minorHAnsi" w:cstheme="minorHAnsi"/>
                <w:color w:val="000000"/>
                <w:sz w:val="18"/>
                <w:szCs w:val="18"/>
                <w:u w:val="single"/>
              </w:rPr>
              <w:lastRenderedPageBreak/>
              <w:t>Clinical claim: superior effectiveness and safety compared with no active treatment</w:t>
            </w:r>
          </w:p>
          <w:p w14:paraId="4F187170" w14:textId="77777777" w:rsidR="00575F52" w:rsidRPr="00D5001E" w:rsidRDefault="00575F52" w:rsidP="00D5001E">
            <w:pPr>
              <w:keepLines/>
              <w:rPr>
                <w:rFonts w:asciiTheme="minorHAnsi" w:hAnsiTheme="minorHAnsi" w:cstheme="minorHAnsi"/>
                <w:color w:val="000000"/>
                <w:sz w:val="18"/>
                <w:szCs w:val="18"/>
              </w:rPr>
            </w:pPr>
            <w:r w:rsidRPr="00D5001E">
              <w:rPr>
                <w:rFonts w:asciiTheme="minorHAnsi" w:hAnsiTheme="minorHAnsi" w:cstheme="minorHAnsi"/>
                <w:color w:val="000000"/>
                <w:sz w:val="18"/>
                <w:szCs w:val="18"/>
              </w:rPr>
              <w:t xml:space="preserve">As no new clinical evidence was presented the PBAC reiterated its comments from November 2021. </w:t>
            </w:r>
          </w:p>
          <w:p w14:paraId="77C4C28E" w14:textId="77777777" w:rsidR="00575F52" w:rsidRPr="008A17AC" w:rsidRDefault="00575F52" w:rsidP="00575F52">
            <w:pPr>
              <w:pStyle w:val="ListParagraph"/>
              <w:keepLines/>
              <w:rPr>
                <w:rFonts w:asciiTheme="minorHAnsi" w:hAnsiTheme="minorHAnsi" w:cstheme="minorHAnsi"/>
                <w:color w:val="000000"/>
                <w:sz w:val="18"/>
                <w:szCs w:val="18"/>
              </w:rPr>
            </w:pPr>
          </w:p>
          <w:p w14:paraId="5268BEDE" w14:textId="77777777" w:rsidR="00575F52" w:rsidRPr="00D5001E" w:rsidRDefault="00575F52" w:rsidP="00D5001E">
            <w:pPr>
              <w:keepLines/>
              <w:rPr>
                <w:rFonts w:asciiTheme="minorHAnsi" w:hAnsiTheme="minorHAnsi" w:cstheme="minorHAnsi"/>
                <w:color w:val="000000"/>
                <w:sz w:val="18"/>
                <w:szCs w:val="18"/>
              </w:rPr>
            </w:pPr>
            <w:r w:rsidRPr="00D5001E">
              <w:rPr>
                <w:rFonts w:asciiTheme="minorHAnsi" w:hAnsiTheme="minorHAnsi" w:cstheme="minorHAnsi"/>
                <w:color w:val="000000"/>
                <w:sz w:val="18"/>
                <w:szCs w:val="18"/>
              </w:rPr>
              <w:t xml:space="preserve">Trientine 2HCl was superior to no active treatment in terms of effectiveness and safety </w:t>
            </w:r>
            <w:proofErr w:type="gramStart"/>
            <w:r w:rsidRPr="00D5001E">
              <w:rPr>
                <w:rFonts w:asciiTheme="minorHAnsi" w:hAnsiTheme="minorHAnsi" w:cstheme="minorHAnsi"/>
                <w:color w:val="000000"/>
                <w:sz w:val="18"/>
                <w:szCs w:val="18"/>
              </w:rPr>
              <w:t>on the basis of</w:t>
            </w:r>
            <w:proofErr w:type="gramEnd"/>
            <w:r w:rsidRPr="00D5001E">
              <w:rPr>
                <w:rFonts w:asciiTheme="minorHAnsi" w:hAnsiTheme="minorHAnsi" w:cstheme="minorHAnsi"/>
                <w:color w:val="000000"/>
                <w:sz w:val="18"/>
                <w:szCs w:val="18"/>
              </w:rPr>
              <w:t xml:space="preserve"> chelation therapy being accepted as an effective and lifesaving treatment for WD.</w:t>
            </w:r>
          </w:p>
          <w:p w14:paraId="176F191A" w14:textId="77777777" w:rsidR="00575F52" w:rsidRPr="008A17AC" w:rsidRDefault="00575F52" w:rsidP="00575F52">
            <w:pPr>
              <w:pStyle w:val="ListParagraph"/>
              <w:keepLines/>
              <w:rPr>
                <w:rFonts w:asciiTheme="minorHAnsi" w:hAnsiTheme="minorHAnsi" w:cstheme="minorHAnsi"/>
                <w:color w:val="000000"/>
                <w:sz w:val="18"/>
                <w:szCs w:val="18"/>
              </w:rPr>
            </w:pPr>
          </w:p>
          <w:p w14:paraId="1C22B4BE" w14:textId="77777777" w:rsidR="00575F52" w:rsidRPr="00D5001E" w:rsidRDefault="00575F52" w:rsidP="00D5001E">
            <w:pPr>
              <w:keepLines/>
              <w:rPr>
                <w:rFonts w:asciiTheme="minorHAnsi" w:hAnsiTheme="minorHAnsi" w:cstheme="minorHAnsi"/>
                <w:color w:val="000000"/>
                <w:sz w:val="18"/>
                <w:szCs w:val="18"/>
                <w:u w:val="single"/>
              </w:rPr>
            </w:pPr>
            <w:r w:rsidRPr="00D5001E">
              <w:rPr>
                <w:rFonts w:asciiTheme="minorHAnsi" w:hAnsiTheme="minorHAnsi" w:cstheme="minorHAnsi"/>
                <w:color w:val="000000"/>
                <w:sz w:val="18"/>
                <w:szCs w:val="18"/>
                <w:u w:val="single"/>
              </w:rPr>
              <w:t>Economic claim: cost-utility versus no active treatment</w:t>
            </w:r>
          </w:p>
          <w:p w14:paraId="3DC61264" w14:textId="190D20A1" w:rsidR="00575F52" w:rsidRDefault="00575F52" w:rsidP="00575F52">
            <w:pPr>
              <w:pStyle w:val="ListParagraph"/>
              <w:keepLines/>
              <w:ind w:left="0"/>
              <w:rPr>
                <w:rFonts w:asciiTheme="minorHAnsi" w:hAnsiTheme="minorHAnsi" w:cstheme="minorHAnsi"/>
                <w:color w:val="000000"/>
                <w:sz w:val="18"/>
                <w:szCs w:val="18"/>
              </w:rPr>
            </w:pPr>
            <w:r w:rsidRPr="008A17AC">
              <w:rPr>
                <w:rFonts w:asciiTheme="minorHAnsi" w:hAnsiTheme="minorHAnsi" w:cstheme="minorHAnsi"/>
                <w:color w:val="000000"/>
                <w:sz w:val="18"/>
                <w:szCs w:val="18"/>
              </w:rPr>
              <w:t>As the only change to the economic analysis was the inclusion of the price reduction, the model remained uninformative.</w:t>
            </w:r>
          </w:p>
          <w:p w14:paraId="27A97191" w14:textId="77777777" w:rsidR="00582FFE" w:rsidRPr="00D5001E" w:rsidRDefault="00582FFE" w:rsidP="00575F52">
            <w:pPr>
              <w:pStyle w:val="ListParagraph"/>
              <w:keepLines/>
              <w:ind w:left="0"/>
              <w:rPr>
                <w:rFonts w:asciiTheme="minorHAnsi" w:hAnsiTheme="minorHAnsi" w:cstheme="minorHAnsi"/>
                <w:color w:val="000000"/>
                <w:sz w:val="18"/>
                <w:szCs w:val="18"/>
              </w:rPr>
            </w:pPr>
          </w:p>
          <w:p w14:paraId="003369E6" w14:textId="77777777" w:rsidR="00575F52" w:rsidRDefault="00575F52" w:rsidP="00575F52">
            <w:pPr>
              <w:pStyle w:val="ListParagraph"/>
              <w:keepLines/>
              <w:ind w:left="0"/>
              <w:rPr>
                <w:rFonts w:asciiTheme="minorHAnsi" w:hAnsiTheme="minorHAnsi" w:cstheme="minorHAnsi"/>
                <w:color w:val="000000"/>
                <w:sz w:val="18"/>
                <w:szCs w:val="18"/>
                <w:u w:val="single"/>
              </w:rPr>
            </w:pPr>
            <w:r w:rsidRPr="008A17AC">
              <w:rPr>
                <w:rFonts w:asciiTheme="minorHAnsi" w:hAnsiTheme="minorHAnsi" w:cstheme="minorHAnsi"/>
                <w:color w:val="000000"/>
                <w:sz w:val="18"/>
                <w:szCs w:val="18"/>
                <w:u w:val="single"/>
              </w:rPr>
              <w:t>Sponsor Comment:</w:t>
            </w:r>
          </w:p>
          <w:p w14:paraId="6F370404" w14:textId="2A76A08B" w:rsidR="006401D2" w:rsidRPr="00582FFE" w:rsidRDefault="00180261" w:rsidP="00582FFE">
            <w:pPr>
              <w:rPr>
                <w:rFonts w:asciiTheme="minorHAnsi" w:eastAsia="SimSun" w:hAnsiTheme="minorHAnsi" w:cstheme="minorHAnsi"/>
                <w:color w:val="000000"/>
                <w:sz w:val="18"/>
                <w:szCs w:val="18"/>
              </w:rPr>
            </w:pPr>
            <w:r w:rsidRPr="00180261">
              <w:rPr>
                <w:rFonts w:asciiTheme="minorHAnsi" w:eastAsia="SimSun" w:hAnsiTheme="minorHAnsi" w:cstheme="minorHAnsi"/>
                <w:color w:val="000000"/>
                <w:sz w:val="18"/>
                <w:szCs w:val="18"/>
              </w:rPr>
              <w:t>The Sponsor continues to work with PBAC to achieve a way forward for this item.</w:t>
            </w:r>
          </w:p>
        </w:tc>
      </w:tr>
      <w:tr w:rsidR="00575F52" w:rsidRPr="00567D48" w14:paraId="67CF0EFA" w14:textId="77777777" w:rsidTr="007128F7">
        <w:trPr>
          <w:cantSplit/>
          <w:trHeight w:val="2948"/>
        </w:trPr>
        <w:tc>
          <w:tcPr>
            <w:tcW w:w="2973" w:type="dxa"/>
            <w:shd w:val="clear" w:color="auto" w:fill="auto"/>
            <w:tcMar>
              <w:top w:w="28" w:type="dxa"/>
              <w:bottom w:w="28" w:type="dxa"/>
            </w:tcMar>
            <w:vAlign w:val="center"/>
          </w:tcPr>
          <w:p w14:paraId="420260A4" w14:textId="3CBF6282" w:rsidR="00575F52" w:rsidRPr="00D5001E" w:rsidRDefault="00575F52" w:rsidP="00575F52">
            <w:pPr>
              <w:keepLines/>
              <w:rPr>
                <w:rFonts w:asciiTheme="minorHAnsi" w:hAnsiTheme="minorHAnsi" w:cstheme="minorHAnsi"/>
                <w:sz w:val="18"/>
                <w:szCs w:val="18"/>
                <w:highlight w:val="yellow"/>
              </w:rPr>
            </w:pPr>
            <w:r w:rsidRPr="00D5001E">
              <w:rPr>
                <w:rFonts w:asciiTheme="minorHAnsi" w:hAnsiTheme="minorHAnsi" w:cstheme="minorHAnsi"/>
                <w:color w:val="000000"/>
                <w:sz w:val="18"/>
                <w:szCs w:val="18"/>
              </w:rPr>
              <w:lastRenderedPageBreak/>
              <w:t>TRIGLYCERIDES, MEDIUM CHAIN</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Oral liquid 225 mL, 15 (</w:t>
            </w:r>
            <w:proofErr w:type="spellStart"/>
            <w:r w:rsidRPr="00D5001E">
              <w:rPr>
                <w:rFonts w:asciiTheme="minorHAnsi" w:hAnsiTheme="minorHAnsi" w:cstheme="minorHAnsi"/>
                <w:color w:val="000000"/>
                <w:sz w:val="18"/>
                <w:szCs w:val="18"/>
              </w:rPr>
              <w:t>K.Quik</w:t>
            </w:r>
            <w:proofErr w:type="spellEnd"/>
            <w:r w:rsidRPr="00D5001E">
              <w:rPr>
                <w:rFonts w:asciiTheme="minorHAnsi" w:hAnsiTheme="minorHAnsi" w:cstheme="minorHAnsi"/>
                <w:color w:val="000000"/>
                <w:sz w:val="18"/>
                <w:szCs w:val="18"/>
              </w:rPr>
              <w:t>)</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r>
            <w:proofErr w:type="spellStart"/>
            <w:r w:rsidRPr="00D5001E">
              <w:rPr>
                <w:rFonts w:asciiTheme="minorHAnsi" w:hAnsiTheme="minorHAnsi" w:cstheme="minorHAnsi"/>
                <w:color w:val="000000"/>
                <w:sz w:val="18"/>
                <w:szCs w:val="18"/>
              </w:rPr>
              <w:t>K.Quik</w:t>
            </w:r>
            <w:proofErr w:type="spellEnd"/>
            <w:r w:rsidRPr="00D5001E">
              <w:rPr>
                <w:rFonts w:asciiTheme="minorHAnsi" w:hAnsiTheme="minorHAnsi" w:cstheme="minorHAnsi"/>
                <w:color w:val="000000"/>
                <w:sz w:val="18"/>
                <w:szCs w:val="18"/>
              </w:rPr>
              <w:t>®</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Vitaflo Australia Pty Limited</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Committee secretariat submission</w:t>
            </w:r>
            <w:r w:rsidRPr="00D5001E">
              <w:rPr>
                <w:rFonts w:asciiTheme="minorHAnsi" w:hAnsiTheme="minorHAnsi" w:cstheme="minorHAnsi"/>
                <w:color w:val="000000"/>
                <w:sz w:val="18"/>
                <w:szCs w:val="18"/>
              </w:rPr>
              <w:br/>
              <w:t>(Change to PBS listing)</w:t>
            </w:r>
          </w:p>
        </w:tc>
        <w:tc>
          <w:tcPr>
            <w:tcW w:w="2491" w:type="dxa"/>
            <w:shd w:val="clear" w:color="auto" w:fill="auto"/>
            <w:vAlign w:val="center"/>
          </w:tcPr>
          <w:p w14:paraId="704253B5" w14:textId="4FFA3789" w:rsidR="00575F52" w:rsidRPr="000F0297" w:rsidRDefault="00575F52" w:rsidP="00575F52">
            <w:pPr>
              <w:keepLines/>
              <w:widowControl w:val="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Ketogenic diet</w:t>
            </w:r>
          </w:p>
        </w:tc>
        <w:tc>
          <w:tcPr>
            <w:tcW w:w="3887" w:type="dxa"/>
            <w:shd w:val="clear" w:color="auto" w:fill="auto"/>
            <w:tcMar>
              <w:top w:w="28" w:type="dxa"/>
              <w:bottom w:w="28" w:type="dxa"/>
            </w:tcMar>
            <w:vAlign w:val="center"/>
          </w:tcPr>
          <w:p w14:paraId="3B9248AE" w14:textId="5C3BA808"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 xml:space="preserve">To request a General Schedule Authority Required (STREAMLINED) listing of a new brand to replace the currently listed </w:t>
            </w:r>
            <w:proofErr w:type="spellStart"/>
            <w:r w:rsidRPr="00E713BF">
              <w:rPr>
                <w:rFonts w:asciiTheme="minorHAnsi" w:hAnsiTheme="minorHAnsi" w:cstheme="minorHAnsi"/>
                <w:color w:val="000000"/>
                <w:sz w:val="18"/>
                <w:szCs w:val="18"/>
              </w:rPr>
              <w:t>Betaquik</w:t>
            </w:r>
            <w:proofErr w:type="spellEnd"/>
            <w:r w:rsidRPr="00E713BF">
              <w:rPr>
                <w:rFonts w:asciiTheme="minorHAnsi" w:hAnsiTheme="minorHAnsi" w:cstheme="minorHAnsi"/>
                <w:color w:val="000000"/>
                <w:sz w:val="18"/>
                <w:szCs w:val="18"/>
              </w:rPr>
              <w:t>® brand</w:t>
            </w:r>
            <w:r w:rsidRPr="00D5001E">
              <w:rPr>
                <w:rFonts w:asciiTheme="minorHAnsi" w:hAnsiTheme="minorHAnsi" w:cstheme="minorHAnsi"/>
                <w:color w:val="000000"/>
                <w:sz w:val="18"/>
                <w:szCs w:val="18"/>
              </w:rPr>
              <w:t>.</w:t>
            </w:r>
          </w:p>
        </w:tc>
        <w:tc>
          <w:tcPr>
            <w:tcW w:w="1984" w:type="dxa"/>
            <w:shd w:val="clear" w:color="auto" w:fill="auto"/>
            <w:vAlign w:val="center"/>
          </w:tcPr>
          <w:p w14:paraId="75FB13D9" w14:textId="79A3AD03"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Recommended</w:t>
            </w:r>
          </w:p>
        </w:tc>
        <w:tc>
          <w:tcPr>
            <w:tcW w:w="4053" w:type="dxa"/>
            <w:shd w:val="clear" w:color="auto" w:fill="auto"/>
            <w:vAlign w:val="center"/>
          </w:tcPr>
          <w:p w14:paraId="3C356777" w14:textId="4F092C2D" w:rsidR="00575F52" w:rsidRPr="000F0297" w:rsidRDefault="00575F52" w:rsidP="00575F52">
            <w:pPr>
              <w:pStyle w:val="ListParagraph"/>
              <w:keepLines/>
              <w:ind w:left="0"/>
              <w:rPr>
                <w:rFonts w:asciiTheme="minorHAnsi" w:hAnsiTheme="minorHAnsi" w:cstheme="minorHAnsi"/>
                <w:color w:val="000000"/>
                <w:sz w:val="18"/>
                <w:szCs w:val="18"/>
              </w:rPr>
            </w:pPr>
            <w:r w:rsidRPr="00D5001E">
              <w:rPr>
                <w:rFonts w:asciiTheme="minorHAnsi" w:hAnsiTheme="minorHAnsi" w:cstheme="minorHAnsi"/>
                <w:color w:val="000000"/>
                <w:sz w:val="18"/>
                <w:szCs w:val="18"/>
              </w:rPr>
              <w:t>The PBAC recommended the listing of the new form of triglycerides, medium chain – oral liquid 225 mL, 15 (</w:t>
            </w:r>
            <w:proofErr w:type="spellStart"/>
            <w:r w:rsidRPr="00D5001E">
              <w:rPr>
                <w:rFonts w:asciiTheme="minorHAnsi" w:hAnsiTheme="minorHAnsi" w:cstheme="minorHAnsi"/>
                <w:color w:val="000000"/>
                <w:sz w:val="18"/>
                <w:szCs w:val="18"/>
              </w:rPr>
              <w:t>K.Quik</w:t>
            </w:r>
            <w:proofErr w:type="spellEnd"/>
            <w:r w:rsidRPr="00D5001E">
              <w:rPr>
                <w:rFonts w:asciiTheme="minorHAnsi" w:hAnsiTheme="minorHAnsi" w:cstheme="minorHAnsi"/>
                <w:color w:val="000000"/>
                <w:sz w:val="18"/>
                <w:szCs w:val="18"/>
              </w:rPr>
              <w:t xml:space="preserve">) to replace the PBS-listed </w:t>
            </w:r>
            <w:proofErr w:type="spellStart"/>
            <w:r w:rsidRPr="00D5001E">
              <w:rPr>
                <w:rFonts w:asciiTheme="minorHAnsi" w:hAnsiTheme="minorHAnsi" w:cstheme="minorHAnsi"/>
                <w:color w:val="000000"/>
                <w:sz w:val="18"/>
                <w:szCs w:val="18"/>
              </w:rPr>
              <w:t>Betaquik</w:t>
            </w:r>
            <w:proofErr w:type="spellEnd"/>
            <w:r w:rsidRPr="00D5001E">
              <w:rPr>
                <w:rFonts w:asciiTheme="minorHAnsi" w:hAnsiTheme="minorHAnsi" w:cstheme="minorHAnsi"/>
                <w:color w:val="000000"/>
                <w:sz w:val="18"/>
                <w:szCs w:val="18"/>
              </w:rPr>
              <w:t xml:space="preserve">. </w:t>
            </w:r>
          </w:p>
        </w:tc>
      </w:tr>
      <w:tr w:rsidR="00575F52" w:rsidRPr="00567D48" w14:paraId="10C4A25E" w14:textId="77777777" w:rsidTr="007128F7">
        <w:trPr>
          <w:cantSplit/>
          <w:trHeight w:val="2948"/>
        </w:trPr>
        <w:tc>
          <w:tcPr>
            <w:tcW w:w="2973" w:type="dxa"/>
            <w:shd w:val="clear" w:color="auto" w:fill="auto"/>
            <w:tcMar>
              <w:top w:w="28" w:type="dxa"/>
              <w:bottom w:w="28" w:type="dxa"/>
            </w:tcMar>
            <w:vAlign w:val="center"/>
          </w:tcPr>
          <w:p w14:paraId="4F961D25" w14:textId="5662594C" w:rsidR="00575F52" w:rsidRPr="000F0297" w:rsidRDefault="00575F52" w:rsidP="00575F52">
            <w:pPr>
              <w:keepLines/>
              <w:rPr>
                <w:rFonts w:asciiTheme="minorHAnsi" w:hAnsiTheme="minorHAnsi" w:cstheme="minorHAnsi"/>
                <w:sz w:val="18"/>
                <w:szCs w:val="18"/>
              </w:rPr>
            </w:pPr>
            <w:r w:rsidRPr="00D5001E">
              <w:rPr>
                <w:rFonts w:asciiTheme="minorHAnsi" w:hAnsiTheme="minorHAnsi" w:cstheme="minorHAnsi"/>
                <w:color w:val="000000"/>
                <w:sz w:val="18"/>
                <w:szCs w:val="18"/>
              </w:rPr>
              <w:lastRenderedPageBreak/>
              <w:t xml:space="preserve">VERICIGUAT </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Tablet 2.5 mg</w:t>
            </w:r>
            <w:r w:rsidRPr="00D5001E">
              <w:rPr>
                <w:rFonts w:asciiTheme="minorHAnsi" w:hAnsiTheme="minorHAnsi" w:cstheme="minorHAnsi"/>
                <w:color w:val="000000"/>
                <w:sz w:val="18"/>
                <w:szCs w:val="18"/>
              </w:rPr>
              <w:br/>
              <w:t>Tablet 5 mg</w:t>
            </w:r>
            <w:r w:rsidRPr="00D5001E">
              <w:rPr>
                <w:rFonts w:asciiTheme="minorHAnsi" w:hAnsiTheme="minorHAnsi" w:cstheme="minorHAnsi"/>
                <w:color w:val="000000"/>
                <w:sz w:val="18"/>
                <w:szCs w:val="18"/>
              </w:rPr>
              <w:br/>
              <w:t>Tablet 10 mg</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r>
            <w:proofErr w:type="spellStart"/>
            <w:r w:rsidRPr="00D5001E">
              <w:rPr>
                <w:rFonts w:asciiTheme="minorHAnsi" w:hAnsiTheme="minorHAnsi" w:cstheme="minorHAnsi"/>
                <w:color w:val="000000"/>
                <w:sz w:val="18"/>
                <w:szCs w:val="18"/>
              </w:rPr>
              <w:t>Verquvo</w:t>
            </w:r>
            <w:proofErr w:type="spellEnd"/>
            <w:r w:rsidRPr="00D5001E">
              <w:rPr>
                <w:rFonts w:asciiTheme="minorHAnsi" w:hAnsiTheme="minorHAnsi" w:cstheme="minorHAnsi"/>
                <w:color w:val="000000"/>
                <w:sz w:val="18"/>
                <w:szCs w:val="18"/>
              </w:rPr>
              <w:t>®</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Bayer Australia Ltd</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Category 2 submission</w:t>
            </w:r>
            <w:r w:rsidRPr="00D5001E">
              <w:rPr>
                <w:rFonts w:asciiTheme="minorHAnsi" w:hAnsiTheme="minorHAnsi" w:cstheme="minorHAnsi"/>
                <w:color w:val="000000"/>
                <w:sz w:val="18"/>
                <w:szCs w:val="18"/>
              </w:rPr>
              <w:br/>
              <w:t>(New PBS listing)</w:t>
            </w:r>
          </w:p>
        </w:tc>
        <w:tc>
          <w:tcPr>
            <w:tcW w:w="2491" w:type="dxa"/>
            <w:shd w:val="clear" w:color="auto" w:fill="auto"/>
            <w:vAlign w:val="center"/>
          </w:tcPr>
          <w:p w14:paraId="4CE8E656" w14:textId="16089F90" w:rsidR="00575F52" w:rsidRPr="000F0297" w:rsidRDefault="00575F52" w:rsidP="00575F52">
            <w:pPr>
              <w:keepLines/>
              <w:widowControl w:val="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Chronic heart failure</w:t>
            </w:r>
          </w:p>
        </w:tc>
        <w:tc>
          <w:tcPr>
            <w:tcW w:w="3887" w:type="dxa"/>
            <w:shd w:val="clear" w:color="auto" w:fill="auto"/>
            <w:tcMar>
              <w:top w:w="28" w:type="dxa"/>
              <w:bottom w:w="28" w:type="dxa"/>
            </w:tcMar>
            <w:vAlign w:val="center"/>
          </w:tcPr>
          <w:p w14:paraId="1DD95F8A" w14:textId="677D9388"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To request a General Schedule Authority Required (STREAMLINED) listing for the treatment of symptomatic (NYHA class II, III or IV) chronic heart failure in patients with a reduced ejection fraction (left ventricular ejection fraction less than 45%) and who are stabilised after a recent decompensation heart failure event requiring hospitalisation and/or intravenous diuretic therapy.</w:t>
            </w:r>
          </w:p>
        </w:tc>
        <w:tc>
          <w:tcPr>
            <w:tcW w:w="1984" w:type="dxa"/>
            <w:shd w:val="clear" w:color="auto" w:fill="auto"/>
            <w:vAlign w:val="center"/>
          </w:tcPr>
          <w:p w14:paraId="3732F2FF" w14:textId="5B9DD308"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Not Recommended</w:t>
            </w:r>
          </w:p>
        </w:tc>
        <w:tc>
          <w:tcPr>
            <w:tcW w:w="4053" w:type="dxa"/>
            <w:shd w:val="clear" w:color="auto" w:fill="auto"/>
            <w:vAlign w:val="center"/>
          </w:tcPr>
          <w:p w14:paraId="319EB6AE" w14:textId="6D4AFED4" w:rsidR="00575F52" w:rsidRPr="00D5001E" w:rsidRDefault="00575F52" w:rsidP="00D5001E">
            <w:pPr>
              <w:keepLines/>
              <w:rPr>
                <w:rFonts w:asciiTheme="minorHAnsi" w:hAnsiTheme="minorHAnsi" w:cstheme="minorHAnsi"/>
                <w:color w:val="000000"/>
                <w:sz w:val="18"/>
                <w:szCs w:val="18"/>
              </w:rPr>
            </w:pPr>
            <w:r w:rsidRPr="00D5001E">
              <w:rPr>
                <w:rFonts w:asciiTheme="minorHAnsi" w:hAnsiTheme="minorHAnsi" w:cstheme="minorHAnsi"/>
                <w:color w:val="000000"/>
                <w:sz w:val="18"/>
                <w:szCs w:val="18"/>
              </w:rPr>
              <w:t>The PBAC did not recommend vericiguat for the treatment of patients with symptomatic chronic heart failure who are stabilised after a recent decompensation event requiring hospitalisation and/or intravenous diuretic therapy and are on concomitant standard of care (SoC) therapies. The PBAC considered that vericiguat was associated with modest efficacy in a small group of high-risk patients. The PBAC advised that the proposed PBS restriction required revision to align more closely with these high-risk patients. Further, the PBAC considered the subgroup of patients included in the economic evaluation as a proxy for identifying stabilised patients was not an appropriate approach to the assessment of cost-effectiveness. The PBAC considered that the economic model should be revised to reflect the intention-to-treat population of the key trial and that the incremental cost-effectiveness ratio was unacceptably high and uncertain at the proposed price. The PBAC considered, therefore, that a price reduction would be required to achieve a cost-effective listing and the financial estimates would need to be revised, along with a</w:t>
            </w:r>
            <w:r w:rsidRPr="00DE6EC6">
              <w:rPr>
                <w:rFonts w:asciiTheme="minorHAnsi" w:hAnsiTheme="minorHAnsi" w:cstheme="minorHAnsi"/>
                <w:color w:val="000000"/>
                <w:sz w:val="18"/>
                <w:szCs w:val="18"/>
              </w:rPr>
              <w:t xml:space="preserve"> risk sharing arrangement</w:t>
            </w:r>
            <w:r w:rsidRPr="00D5001E">
              <w:rPr>
                <w:rFonts w:asciiTheme="minorHAnsi" w:hAnsiTheme="minorHAnsi" w:cstheme="minorHAnsi"/>
                <w:color w:val="000000"/>
                <w:sz w:val="18"/>
                <w:szCs w:val="18"/>
              </w:rPr>
              <w:t>, to ensure PBS expenditure was restricted to this small group of patients.</w:t>
            </w:r>
          </w:p>
          <w:p w14:paraId="30D30EB9" w14:textId="77777777" w:rsidR="00575F52" w:rsidRPr="00DE6EC6" w:rsidRDefault="00575F52" w:rsidP="00575F52">
            <w:pPr>
              <w:pStyle w:val="ListParagraph"/>
              <w:keepLines/>
              <w:rPr>
                <w:rFonts w:asciiTheme="minorHAnsi" w:hAnsiTheme="minorHAnsi" w:cstheme="minorHAnsi"/>
                <w:color w:val="000000"/>
                <w:sz w:val="18"/>
                <w:szCs w:val="18"/>
              </w:rPr>
            </w:pPr>
          </w:p>
          <w:p w14:paraId="3F4F2877" w14:textId="2BE89D0F" w:rsidR="00575F52" w:rsidRPr="00D5001E" w:rsidRDefault="00575F52" w:rsidP="00575F52">
            <w:pPr>
              <w:pStyle w:val="ListParagraph"/>
              <w:keepLines/>
              <w:ind w:left="0"/>
              <w:rPr>
                <w:rFonts w:asciiTheme="minorHAnsi" w:hAnsiTheme="minorHAnsi" w:cstheme="minorHAnsi"/>
                <w:color w:val="000000"/>
                <w:sz w:val="18"/>
                <w:szCs w:val="18"/>
              </w:rPr>
            </w:pPr>
            <w:r w:rsidRPr="00DE6EC6">
              <w:rPr>
                <w:rFonts w:asciiTheme="minorHAnsi" w:hAnsiTheme="minorHAnsi" w:cstheme="minorHAnsi"/>
                <w:color w:val="000000"/>
                <w:sz w:val="18"/>
                <w:szCs w:val="18"/>
              </w:rPr>
              <w:t>The PBAC nominated the Early Re-entry re-submission pathway for this item.</w:t>
            </w:r>
          </w:p>
          <w:p w14:paraId="006D3077" w14:textId="77777777" w:rsidR="00575F52" w:rsidRPr="00DE6EC6" w:rsidRDefault="00575F52" w:rsidP="00575F52">
            <w:pPr>
              <w:pStyle w:val="ListParagraph"/>
              <w:keepLines/>
              <w:ind w:left="0"/>
              <w:rPr>
                <w:rFonts w:asciiTheme="minorHAnsi" w:hAnsiTheme="minorHAnsi" w:cstheme="minorHAnsi"/>
                <w:color w:val="000000"/>
                <w:sz w:val="18"/>
                <w:szCs w:val="18"/>
              </w:rPr>
            </w:pPr>
          </w:p>
          <w:p w14:paraId="391D50CA" w14:textId="77777777" w:rsidR="00575F52" w:rsidRDefault="00575F52" w:rsidP="00575F52">
            <w:pPr>
              <w:pStyle w:val="ListParagraph"/>
              <w:keepLines/>
              <w:ind w:left="0"/>
              <w:rPr>
                <w:rFonts w:asciiTheme="minorHAnsi" w:hAnsiTheme="minorHAnsi" w:cstheme="minorHAnsi"/>
                <w:color w:val="000000"/>
                <w:sz w:val="18"/>
                <w:szCs w:val="18"/>
              </w:rPr>
            </w:pPr>
            <w:r w:rsidRPr="00DE6EC6">
              <w:rPr>
                <w:rFonts w:asciiTheme="minorHAnsi" w:hAnsiTheme="minorHAnsi" w:cstheme="minorHAnsi"/>
                <w:color w:val="000000"/>
                <w:sz w:val="18"/>
                <w:szCs w:val="18"/>
                <w:u w:val="single"/>
              </w:rPr>
              <w:t>Sponsor Comment:</w:t>
            </w:r>
          </w:p>
          <w:p w14:paraId="38A0ED84" w14:textId="605D6478" w:rsidR="00933A7E" w:rsidRPr="00933A7E" w:rsidRDefault="00933A7E" w:rsidP="00575F52">
            <w:pPr>
              <w:pStyle w:val="ListParagraph"/>
              <w:keepLines/>
              <w:ind w:left="0"/>
              <w:rPr>
                <w:rFonts w:asciiTheme="minorHAnsi" w:hAnsiTheme="minorHAnsi" w:cstheme="minorHAnsi"/>
                <w:color w:val="000000"/>
                <w:sz w:val="18"/>
                <w:szCs w:val="18"/>
                <w:highlight w:val="yellow"/>
              </w:rPr>
            </w:pPr>
            <w:r w:rsidRPr="00933A7E">
              <w:rPr>
                <w:rFonts w:asciiTheme="minorHAnsi" w:hAnsiTheme="minorHAnsi" w:cstheme="minorHAnsi"/>
                <w:color w:val="000000"/>
                <w:sz w:val="18"/>
                <w:szCs w:val="18"/>
              </w:rPr>
              <w:t>While the PBAC's decision not to recommend vericiguat for the treatment of high-risk patients with symptomatic chronic heart failure is disappointing, Bayer welcomes the PBAC’s consideration of the clinical unmet need for these high-risk patients and will continue to work with the PBAC to enable earliest possible access to vericiguat for these patients.</w:t>
            </w:r>
          </w:p>
        </w:tc>
      </w:tr>
      <w:tr w:rsidR="00575F52" w:rsidRPr="00567D48" w14:paraId="3B192643" w14:textId="77777777" w:rsidTr="007128F7">
        <w:trPr>
          <w:cantSplit/>
          <w:trHeight w:val="2948"/>
        </w:trPr>
        <w:tc>
          <w:tcPr>
            <w:tcW w:w="2973" w:type="dxa"/>
            <w:shd w:val="clear" w:color="auto" w:fill="auto"/>
            <w:tcMar>
              <w:top w:w="28" w:type="dxa"/>
              <w:bottom w:w="28" w:type="dxa"/>
            </w:tcMar>
            <w:vAlign w:val="center"/>
          </w:tcPr>
          <w:p w14:paraId="39D883B8" w14:textId="771C05C0" w:rsidR="00575F52" w:rsidRPr="00D5001E" w:rsidRDefault="00575F52" w:rsidP="00575F52">
            <w:pPr>
              <w:keepLines/>
              <w:rPr>
                <w:rFonts w:asciiTheme="minorHAnsi" w:hAnsiTheme="minorHAnsi" w:cstheme="minorHAnsi"/>
                <w:sz w:val="18"/>
                <w:szCs w:val="18"/>
                <w:highlight w:val="yellow"/>
              </w:rPr>
            </w:pPr>
            <w:r w:rsidRPr="00D5001E">
              <w:rPr>
                <w:rFonts w:asciiTheme="minorHAnsi" w:hAnsiTheme="minorHAnsi" w:cstheme="minorHAnsi"/>
                <w:color w:val="000000"/>
                <w:sz w:val="18"/>
                <w:szCs w:val="18"/>
              </w:rPr>
              <w:lastRenderedPageBreak/>
              <w:t xml:space="preserve">ZANUBRUTINIB </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Capsule 80 mg</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r>
            <w:proofErr w:type="spellStart"/>
            <w:r w:rsidRPr="00D5001E">
              <w:rPr>
                <w:rFonts w:asciiTheme="minorHAnsi" w:hAnsiTheme="minorHAnsi" w:cstheme="minorHAnsi"/>
                <w:color w:val="000000"/>
                <w:sz w:val="18"/>
                <w:szCs w:val="18"/>
              </w:rPr>
              <w:t>Brukinsa</w:t>
            </w:r>
            <w:proofErr w:type="spellEnd"/>
            <w:r w:rsidRPr="00D5001E">
              <w:rPr>
                <w:rFonts w:asciiTheme="minorHAnsi" w:hAnsiTheme="minorHAnsi" w:cstheme="minorHAnsi"/>
                <w:color w:val="000000"/>
                <w:sz w:val="18"/>
                <w:szCs w:val="18"/>
              </w:rPr>
              <w:t>®</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r>
            <w:proofErr w:type="spellStart"/>
            <w:r w:rsidRPr="00D5001E">
              <w:rPr>
                <w:rFonts w:asciiTheme="minorHAnsi" w:hAnsiTheme="minorHAnsi" w:cstheme="minorHAnsi"/>
                <w:color w:val="000000"/>
                <w:sz w:val="18"/>
                <w:szCs w:val="18"/>
              </w:rPr>
              <w:t>BeiGene</w:t>
            </w:r>
            <w:proofErr w:type="spellEnd"/>
            <w:r w:rsidRPr="00D5001E">
              <w:rPr>
                <w:rFonts w:asciiTheme="minorHAnsi" w:hAnsiTheme="minorHAnsi" w:cstheme="minorHAnsi"/>
                <w:color w:val="000000"/>
                <w:sz w:val="18"/>
                <w:szCs w:val="18"/>
              </w:rPr>
              <w:t xml:space="preserve"> Aus Pty Ltd</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Facilitated resolution submission</w:t>
            </w:r>
            <w:r w:rsidRPr="00D5001E">
              <w:rPr>
                <w:rFonts w:asciiTheme="minorHAnsi" w:hAnsiTheme="minorHAnsi" w:cstheme="minorHAnsi"/>
                <w:color w:val="000000"/>
                <w:sz w:val="18"/>
                <w:szCs w:val="18"/>
              </w:rPr>
              <w:br/>
              <w:t>(Change to recommended PBS listing)</w:t>
            </w:r>
          </w:p>
        </w:tc>
        <w:tc>
          <w:tcPr>
            <w:tcW w:w="2491" w:type="dxa"/>
            <w:shd w:val="clear" w:color="auto" w:fill="auto"/>
            <w:vAlign w:val="center"/>
          </w:tcPr>
          <w:p w14:paraId="4241F020" w14:textId="68135D28" w:rsidR="00575F52" w:rsidRPr="000F0297" w:rsidRDefault="00575F52" w:rsidP="00575F52">
            <w:pPr>
              <w:keepLines/>
              <w:widowControl w:val="0"/>
              <w:rPr>
                <w:rFonts w:asciiTheme="minorHAnsi" w:hAnsiTheme="minorHAnsi" w:cstheme="minorHAnsi"/>
                <w:snapToGrid w:val="0"/>
                <w:sz w:val="18"/>
                <w:szCs w:val="18"/>
                <w:lang w:eastAsia="en-US"/>
              </w:rPr>
            </w:pPr>
            <w:proofErr w:type="spellStart"/>
            <w:r w:rsidRPr="00D5001E">
              <w:rPr>
                <w:rFonts w:asciiTheme="minorHAnsi" w:hAnsiTheme="minorHAnsi" w:cstheme="minorHAnsi"/>
                <w:color w:val="000000"/>
                <w:sz w:val="18"/>
                <w:szCs w:val="18"/>
              </w:rPr>
              <w:t>Waldenstrom</w:t>
            </w:r>
            <w:proofErr w:type="spellEnd"/>
            <w:r w:rsidRPr="00D5001E">
              <w:rPr>
                <w:rFonts w:asciiTheme="minorHAnsi" w:hAnsiTheme="minorHAnsi" w:cstheme="minorHAnsi"/>
                <w:color w:val="000000"/>
                <w:sz w:val="18"/>
                <w:szCs w:val="18"/>
              </w:rPr>
              <w:t xml:space="preserve"> macroglobulinemia</w:t>
            </w:r>
          </w:p>
        </w:tc>
        <w:tc>
          <w:tcPr>
            <w:tcW w:w="3887" w:type="dxa"/>
            <w:shd w:val="clear" w:color="auto" w:fill="auto"/>
            <w:tcMar>
              <w:top w:w="28" w:type="dxa"/>
              <w:bottom w:w="28" w:type="dxa"/>
            </w:tcMar>
            <w:vAlign w:val="center"/>
          </w:tcPr>
          <w:p w14:paraId="76A5E3FF" w14:textId="602BF901"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 xml:space="preserve">Resubmission to request a General Schedule Authority Required listing for the treatment of adult patients with </w:t>
            </w:r>
            <w:proofErr w:type="spellStart"/>
            <w:r w:rsidRPr="00D5001E">
              <w:rPr>
                <w:rFonts w:asciiTheme="minorHAnsi" w:hAnsiTheme="minorHAnsi" w:cstheme="minorHAnsi"/>
                <w:color w:val="000000"/>
                <w:sz w:val="18"/>
                <w:szCs w:val="18"/>
              </w:rPr>
              <w:t>Waldenstrom</w:t>
            </w:r>
            <w:proofErr w:type="spellEnd"/>
            <w:r w:rsidRPr="00D5001E">
              <w:rPr>
                <w:rFonts w:asciiTheme="minorHAnsi" w:hAnsiTheme="minorHAnsi" w:cstheme="minorHAnsi"/>
                <w:color w:val="000000"/>
                <w:sz w:val="18"/>
                <w:szCs w:val="18"/>
              </w:rPr>
              <w:t xml:space="preserve"> macroglobulinemia (WM).</w:t>
            </w:r>
          </w:p>
        </w:tc>
        <w:tc>
          <w:tcPr>
            <w:tcW w:w="1984" w:type="dxa"/>
            <w:shd w:val="clear" w:color="auto" w:fill="auto"/>
            <w:vAlign w:val="center"/>
          </w:tcPr>
          <w:p w14:paraId="5528AED0" w14:textId="26952082" w:rsidR="00575F52" w:rsidRPr="000F0297" w:rsidRDefault="00575F52" w:rsidP="00575F52">
            <w:pPr>
              <w:pStyle w:val="ListParagraph"/>
              <w:keepLines/>
              <w:ind w:left="0"/>
              <w:rPr>
                <w:rFonts w:asciiTheme="minorHAnsi" w:hAnsiTheme="minorHAnsi" w:cstheme="minorHAnsi"/>
                <w:snapToGrid w:val="0"/>
                <w:sz w:val="18"/>
                <w:szCs w:val="18"/>
                <w:lang w:eastAsia="en-US"/>
              </w:rPr>
            </w:pPr>
            <w:r w:rsidRPr="00D5001E">
              <w:rPr>
                <w:rFonts w:asciiTheme="minorHAnsi" w:hAnsiTheme="minorHAnsi" w:cstheme="minorHAnsi"/>
                <w:color w:val="000000"/>
                <w:sz w:val="18"/>
                <w:szCs w:val="18"/>
              </w:rPr>
              <w:t>Recommended</w:t>
            </w:r>
          </w:p>
        </w:tc>
        <w:tc>
          <w:tcPr>
            <w:tcW w:w="4053" w:type="dxa"/>
            <w:shd w:val="clear" w:color="auto" w:fill="auto"/>
            <w:vAlign w:val="center"/>
          </w:tcPr>
          <w:p w14:paraId="14C74119" w14:textId="1BD95A16" w:rsidR="00575F52" w:rsidRPr="000F0297" w:rsidRDefault="00575F52" w:rsidP="00E713BF">
            <w:pPr>
              <w:rPr>
                <w:rFonts w:asciiTheme="minorHAnsi" w:hAnsiTheme="minorHAnsi" w:cstheme="minorHAnsi"/>
                <w:color w:val="000000"/>
                <w:sz w:val="18"/>
                <w:szCs w:val="18"/>
              </w:rPr>
            </w:pPr>
            <w:r w:rsidRPr="00317FE3">
              <w:rPr>
                <w:rFonts w:asciiTheme="minorHAnsi" w:hAnsiTheme="minorHAnsi" w:cstheme="minorHAnsi"/>
                <w:color w:val="000000"/>
                <w:sz w:val="18"/>
                <w:szCs w:val="18"/>
              </w:rPr>
              <w:t>The PBAC recommended the listing of zanubrutinib for the treatment of WM in treatment-naïve patients who are unsuitable for chemo</w:t>
            </w:r>
            <w:r w:rsidRPr="00E713BF">
              <w:rPr>
                <w:rFonts w:asciiTheme="minorHAnsi" w:hAnsiTheme="minorHAnsi" w:cstheme="minorHAnsi"/>
                <w:color w:val="000000"/>
                <w:sz w:val="18"/>
                <w:szCs w:val="18"/>
              </w:rPr>
              <w:noBreakHyphen/>
              <w:t xml:space="preserve">immunotherapy and in relapsed/refractory patients who have received at least one prior chemo-immunotherapy. The PBAC is satisfied that zanubrutinib provides, for some patients, </w:t>
            </w:r>
            <w:r w:rsidRPr="00D5001E">
              <w:rPr>
                <w:rFonts w:asciiTheme="minorHAnsi" w:hAnsiTheme="minorHAnsi" w:cstheme="minorHAnsi"/>
                <w:color w:val="000000"/>
                <w:sz w:val="18"/>
                <w:szCs w:val="18"/>
              </w:rPr>
              <w:t>a significant improvement in efficacy over rituximab monotherapy and bendamustine and rituximab in the</w:t>
            </w:r>
            <w:r w:rsidR="00330D77">
              <w:rPr>
                <w:rFonts w:asciiTheme="minorHAnsi" w:hAnsiTheme="minorHAnsi" w:cstheme="minorHAnsi"/>
                <w:color w:val="000000"/>
                <w:sz w:val="18"/>
                <w:szCs w:val="18"/>
              </w:rPr>
              <w:t xml:space="preserve"> </w:t>
            </w:r>
            <w:r w:rsidR="00330D77" w:rsidRPr="00330D77">
              <w:rPr>
                <w:rFonts w:asciiTheme="minorHAnsi" w:hAnsiTheme="minorHAnsi" w:cstheme="minorHAnsi"/>
                <w:color w:val="000000"/>
                <w:sz w:val="18"/>
                <w:szCs w:val="18"/>
              </w:rPr>
              <w:t>treatment-naïve</w:t>
            </w:r>
            <w:r w:rsidRPr="00D5001E">
              <w:rPr>
                <w:rFonts w:asciiTheme="minorHAnsi" w:hAnsiTheme="minorHAnsi" w:cstheme="minorHAnsi"/>
                <w:color w:val="000000"/>
                <w:sz w:val="18"/>
                <w:szCs w:val="18"/>
              </w:rPr>
              <w:t xml:space="preserve"> </w:t>
            </w:r>
            <w:r w:rsidR="00330D77">
              <w:rPr>
                <w:rFonts w:asciiTheme="minorHAnsi" w:hAnsiTheme="minorHAnsi" w:cstheme="minorHAnsi"/>
                <w:color w:val="000000"/>
                <w:sz w:val="18"/>
                <w:szCs w:val="18"/>
              </w:rPr>
              <w:t>(</w:t>
            </w:r>
            <w:r w:rsidRPr="00D5001E">
              <w:rPr>
                <w:rFonts w:asciiTheme="minorHAnsi" w:hAnsiTheme="minorHAnsi" w:cstheme="minorHAnsi"/>
                <w:color w:val="000000"/>
                <w:sz w:val="18"/>
                <w:szCs w:val="18"/>
              </w:rPr>
              <w:t>TN</w:t>
            </w:r>
            <w:r w:rsidR="00330D77">
              <w:rPr>
                <w:rFonts w:asciiTheme="minorHAnsi" w:hAnsiTheme="minorHAnsi" w:cstheme="minorHAnsi"/>
                <w:color w:val="000000"/>
                <w:sz w:val="18"/>
                <w:szCs w:val="18"/>
              </w:rPr>
              <w:t>)</w:t>
            </w:r>
            <w:r w:rsidRPr="00D5001E">
              <w:rPr>
                <w:rFonts w:asciiTheme="minorHAnsi" w:hAnsiTheme="minorHAnsi" w:cstheme="minorHAnsi"/>
                <w:color w:val="000000"/>
                <w:sz w:val="18"/>
                <w:szCs w:val="18"/>
              </w:rPr>
              <w:t xml:space="preserve"> and</w:t>
            </w:r>
            <w:r w:rsidR="00330D77">
              <w:rPr>
                <w:rFonts w:asciiTheme="minorHAnsi" w:hAnsiTheme="minorHAnsi" w:cstheme="minorHAnsi"/>
                <w:color w:val="000000"/>
                <w:sz w:val="18"/>
                <w:szCs w:val="18"/>
              </w:rPr>
              <w:t xml:space="preserve"> relapsed/refractory</w:t>
            </w:r>
            <w:r w:rsidRPr="00D5001E">
              <w:rPr>
                <w:rFonts w:asciiTheme="minorHAnsi" w:hAnsiTheme="minorHAnsi" w:cstheme="minorHAnsi"/>
                <w:color w:val="000000"/>
                <w:sz w:val="18"/>
                <w:szCs w:val="18"/>
              </w:rPr>
              <w:t xml:space="preserve"> </w:t>
            </w:r>
            <w:r w:rsidR="00330D77">
              <w:rPr>
                <w:rFonts w:asciiTheme="minorHAnsi" w:hAnsiTheme="minorHAnsi" w:cstheme="minorHAnsi"/>
                <w:color w:val="000000"/>
                <w:sz w:val="18"/>
                <w:szCs w:val="18"/>
              </w:rPr>
              <w:t>(</w:t>
            </w:r>
            <w:r w:rsidRPr="00D5001E">
              <w:rPr>
                <w:rFonts w:asciiTheme="minorHAnsi" w:hAnsiTheme="minorHAnsi" w:cstheme="minorHAnsi"/>
                <w:color w:val="000000"/>
                <w:sz w:val="18"/>
                <w:szCs w:val="18"/>
              </w:rPr>
              <w:t>R/R</w:t>
            </w:r>
            <w:r w:rsidR="00330D77">
              <w:rPr>
                <w:rFonts w:asciiTheme="minorHAnsi" w:hAnsiTheme="minorHAnsi" w:cstheme="minorHAnsi"/>
                <w:color w:val="000000"/>
                <w:sz w:val="18"/>
                <w:szCs w:val="18"/>
              </w:rPr>
              <w:t>)</w:t>
            </w:r>
            <w:r w:rsidRPr="00D5001E">
              <w:rPr>
                <w:rFonts w:asciiTheme="minorHAnsi" w:hAnsiTheme="minorHAnsi" w:cstheme="minorHAnsi"/>
                <w:color w:val="000000"/>
                <w:sz w:val="18"/>
                <w:szCs w:val="18"/>
              </w:rPr>
              <w:t xml:space="preserve"> populations respectively. </w:t>
            </w:r>
            <w:r w:rsidRPr="00D5001E">
              <w:rPr>
                <w:rFonts w:asciiTheme="minorHAnsi" w:hAnsiTheme="minorHAnsi" w:cstheme="minorHAnsi"/>
                <w:color w:val="000000"/>
                <w:sz w:val="18"/>
                <w:szCs w:val="18"/>
              </w:rPr>
              <w:br/>
            </w:r>
            <w:r w:rsidRPr="00D5001E">
              <w:rPr>
                <w:rFonts w:asciiTheme="minorHAnsi" w:hAnsiTheme="minorHAnsi" w:cstheme="minorHAnsi"/>
                <w:color w:val="000000"/>
                <w:sz w:val="18"/>
                <w:szCs w:val="18"/>
              </w:rPr>
              <w:br/>
              <w:t xml:space="preserve">The PBAC again acknowledged there was a high and urgent unmet need for effective treatments for WM on the PBS. The PBAC also recognised the </w:t>
            </w:r>
            <w:r w:rsidR="00F90EBF">
              <w:rPr>
                <w:rFonts w:asciiTheme="minorHAnsi" w:hAnsiTheme="minorHAnsi" w:cstheme="minorHAnsi"/>
                <w:color w:val="000000"/>
                <w:sz w:val="18"/>
                <w:szCs w:val="18"/>
              </w:rPr>
              <w:t>s</w:t>
            </w:r>
            <w:r w:rsidRPr="00D5001E">
              <w:rPr>
                <w:rFonts w:asciiTheme="minorHAnsi" w:hAnsiTheme="minorHAnsi" w:cstheme="minorHAnsi"/>
                <w:color w:val="000000"/>
                <w:sz w:val="18"/>
                <w:szCs w:val="18"/>
              </w:rPr>
              <w:t>ponsor’s participation in the Facilitated Resolution Pathway workshop, and efforts to address outstanding issues raised at the July 2021 PBAC meeting and discussed at the workshop. In the context of limited clinical data for a rare disease, the PBAC considered that the resubmission’s revised model was sufficiently reliable for decision making, and that the listing would be cost-effective at a lower incremental cost-effective ratio than proposed in the resubmission to account for the uncertainty associated with the modelled gain in overall survival.</w:t>
            </w:r>
          </w:p>
        </w:tc>
      </w:tr>
    </w:tbl>
    <w:p w14:paraId="36A477BC" w14:textId="15A31897" w:rsidR="00FB3935" w:rsidRDefault="00FB3935" w:rsidP="00EF3B9C">
      <w:pPr>
        <w:rPr>
          <w:rFonts w:ascii="Arial" w:hAnsi="Arial" w:cs="Arial"/>
          <w:b/>
          <w:sz w:val="18"/>
          <w:szCs w:val="18"/>
          <w:lang w:val="en-US"/>
        </w:rPr>
      </w:pPr>
    </w:p>
    <w:p w14:paraId="2CF311E1" w14:textId="4F960C14" w:rsidR="007F1C7A" w:rsidRDefault="007F1C7A">
      <w:pPr>
        <w:rPr>
          <w:rFonts w:ascii="Arial" w:hAnsi="Arial" w:cs="Arial"/>
          <w:b/>
          <w:sz w:val="18"/>
          <w:szCs w:val="18"/>
          <w:lang w:val="en-US"/>
        </w:rPr>
      </w:pPr>
      <w:r>
        <w:rPr>
          <w:rFonts w:ascii="Arial" w:hAnsi="Arial" w:cs="Arial"/>
          <w:b/>
          <w:sz w:val="18"/>
          <w:szCs w:val="18"/>
          <w:lang w:val="en-US"/>
        </w:rPr>
        <w:br w:type="page"/>
      </w:r>
    </w:p>
    <w:tbl>
      <w:tblPr>
        <w:tblW w:w="5002" w:type="pct"/>
        <w:tblLayout w:type="fixed"/>
        <w:tblLook w:val="04A0" w:firstRow="1" w:lastRow="0" w:firstColumn="1" w:lastColumn="0" w:noHBand="0" w:noVBand="1"/>
      </w:tblPr>
      <w:tblGrid>
        <w:gridCol w:w="3824"/>
        <w:gridCol w:w="3827"/>
        <w:gridCol w:w="3685"/>
        <w:gridCol w:w="4058"/>
      </w:tblGrid>
      <w:tr w:rsidR="00155809" w:rsidRPr="00567D48" w14:paraId="5471EC42" w14:textId="77777777" w:rsidTr="00A159CA">
        <w:trPr>
          <w:cantSplit/>
          <w:trHeight w:val="699"/>
          <w:tblHeader/>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204F48" w14:textId="6C24D4BD" w:rsidR="00155809" w:rsidRPr="00567D48" w:rsidRDefault="00FB3935" w:rsidP="00C5261F">
            <w:pPr>
              <w:widowControl w:val="0"/>
              <w:spacing w:after="120"/>
              <w:jc w:val="center"/>
              <w:rPr>
                <w:rFonts w:asciiTheme="minorHAnsi" w:hAnsiTheme="minorHAnsi" w:cs="Arial"/>
                <w:b/>
                <w:bCs/>
                <w:snapToGrid w:val="0"/>
                <w:color w:val="000000"/>
              </w:rPr>
            </w:pPr>
            <w:r w:rsidRPr="00567D48">
              <w:rPr>
                <w:rFonts w:asciiTheme="minorHAnsi" w:hAnsiTheme="minorHAnsi" w:cs="Arial"/>
                <w:b/>
                <w:bCs/>
                <w:snapToGrid w:val="0"/>
                <w:color w:val="000000"/>
              </w:rPr>
              <w:lastRenderedPageBreak/>
              <w:t>DRUG NAME, FORM(S), STRENGTH(S) AND SPONSOR</w:t>
            </w:r>
          </w:p>
        </w:tc>
        <w:tc>
          <w:tcPr>
            <w:tcW w:w="1243" w:type="pct"/>
            <w:tcBorders>
              <w:top w:val="single" w:sz="4" w:space="0" w:color="auto"/>
              <w:left w:val="nil"/>
              <w:bottom w:val="single" w:sz="4" w:space="0" w:color="auto"/>
              <w:right w:val="single" w:sz="4" w:space="0" w:color="auto"/>
            </w:tcBorders>
            <w:shd w:val="clear" w:color="auto" w:fill="auto"/>
            <w:vAlign w:val="center"/>
            <w:hideMark/>
          </w:tcPr>
          <w:p w14:paraId="278E5918" w14:textId="60B70EDC" w:rsidR="00155809" w:rsidRPr="00567D48" w:rsidRDefault="00FB3935" w:rsidP="00C5261F">
            <w:pPr>
              <w:widowControl w:val="0"/>
              <w:spacing w:after="120"/>
              <w:jc w:val="center"/>
              <w:rPr>
                <w:rFonts w:asciiTheme="minorHAnsi" w:hAnsiTheme="minorHAnsi" w:cs="Arial"/>
                <w:b/>
                <w:bCs/>
                <w:snapToGrid w:val="0"/>
                <w:color w:val="000000"/>
              </w:rPr>
            </w:pPr>
            <w:r w:rsidRPr="00567D48">
              <w:rPr>
                <w:rFonts w:asciiTheme="minorHAnsi" w:hAnsiTheme="minorHAnsi" w:cs="Arial"/>
                <w:b/>
                <w:bCs/>
                <w:snapToGrid w:val="0"/>
                <w:color w:val="000000"/>
              </w:rPr>
              <w:t>DRUG TYPE AND USE</w:t>
            </w:r>
          </w:p>
        </w:tc>
        <w:tc>
          <w:tcPr>
            <w:tcW w:w="1197" w:type="pct"/>
            <w:tcBorders>
              <w:top w:val="single" w:sz="4" w:space="0" w:color="auto"/>
              <w:left w:val="nil"/>
              <w:bottom w:val="single" w:sz="4" w:space="0" w:color="auto"/>
              <w:right w:val="single" w:sz="4" w:space="0" w:color="auto"/>
            </w:tcBorders>
            <w:shd w:val="clear" w:color="auto" w:fill="auto"/>
            <w:vAlign w:val="center"/>
            <w:hideMark/>
          </w:tcPr>
          <w:p w14:paraId="1AFCC2B1" w14:textId="5326647F" w:rsidR="00155809" w:rsidRPr="00567D48" w:rsidRDefault="00FB3935" w:rsidP="00C5261F">
            <w:pPr>
              <w:widowControl w:val="0"/>
              <w:spacing w:after="120"/>
              <w:jc w:val="center"/>
              <w:rPr>
                <w:rFonts w:asciiTheme="minorHAnsi" w:hAnsiTheme="minorHAnsi" w:cs="Arial"/>
                <w:b/>
                <w:bCs/>
                <w:snapToGrid w:val="0"/>
                <w:color w:val="000000"/>
              </w:rPr>
            </w:pPr>
            <w:r w:rsidRPr="00567D48">
              <w:rPr>
                <w:rFonts w:asciiTheme="minorHAnsi" w:hAnsiTheme="minorHAnsi" w:cs="Arial"/>
                <w:b/>
                <w:bCs/>
                <w:snapToGrid w:val="0"/>
                <w:color w:val="000000"/>
              </w:rPr>
              <w:t>LISTING REQUESTED BY SPONSOR / PURPOSE OF SUBMISSION</w:t>
            </w:r>
          </w:p>
        </w:tc>
        <w:tc>
          <w:tcPr>
            <w:tcW w:w="1318" w:type="pct"/>
            <w:tcBorders>
              <w:top w:val="single" w:sz="4" w:space="0" w:color="auto"/>
              <w:left w:val="nil"/>
              <w:bottom w:val="single" w:sz="4" w:space="0" w:color="auto"/>
              <w:right w:val="single" w:sz="4" w:space="0" w:color="auto"/>
            </w:tcBorders>
            <w:vAlign w:val="center"/>
          </w:tcPr>
          <w:p w14:paraId="6DC5B306" w14:textId="22A89F99" w:rsidR="00155809" w:rsidRPr="00567D48" w:rsidRDefault="00FB3935" w:rsidP="00C5261F">
            <w:pPr>
              <w:widowControl w:val="0"/>
              <w:spacing w:after="120"/>
              <w:jc w:val="center"/>
              <w:rPr>
                <w:rFonts w:asciiTheme="minorHAnsi" w:hAnsiTheme="minorHAnsi" w:cs="Arial"/>
                <w:b/>
                <w:bCs/>
                <w:snapToGrid w:val="0"/>
                <w:color w:val="000000"/>
              </w:rPr>
            </w:pPr>
            <w:r w:rsidRPr="00567D48">
              <w:rPr>
                <w:rFonts w:asciiTheme="minorHAnsi" w:hAnsiTheme="minorHAnsi" w:cs="Arial"/>
                <w:b/>
                <w:bCs/>
                <w:snapToGrid w:val="0"/>
                <w:color w:val="000000"/>
              </w:rPr>
              <w:t>PBAC OUTCOME</w:t>
            </w:r>
          </w:p>
        </w:tc>
      </w:tr>
      <w:tr w:rsidR="00D85797" w:rsidRPr="00567D48" w14:paraId="408FF98A" w14:textId="77777777" w:rsidTr="00D5001E">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03540090" w14:textId="48A6586C" w:rsidR="006C3343" w:rsidRPr="00C24D07" w:rsidRDefault="00D85797" w:rsidP="00D5001E">
            <w:pPr>
              <w:contextualSpacing/>
              <w:jc w:val="center"/>
              <w:rPr>
                <w:rFonts w:asciiTheme="minorHAnsi" w:hAnsiTheme="minorHAnsi" w:cstheme="minorHAnsi"/>
                <w:sz w:val="18"/>
                <w:szCs w:val="18"/>
              </w:rPr>
            </w:pPr>
            <w:r w:rsidRPr="00D5001E">
              <w:rPr>
                <w:rFonts w:asciiTheme="minorHAnsi" w:hAnsiTheme="minorHAnsi" w:cstheme="minorHAnsi"/>
                <w:sz w:val="18"/>
                <w:szCs w:val="18"/>
              </w:rPr>
              <w:t>FLUOCINOLONE ACETONIDE</w:t>
            </w:r>
          </w:p>
          <w:p w14:paraId="172EFDBC" w14:textId="309B0559" w:rsidR="00D85797" w:rsidRPr="00D5001E" w:rsidRDefault="00D85797" w:rsidP="00D5001E">
            <w:pPr>
              <w:contextualSpacing/>
              <w:jc w:val="center"/>
              <w:rPr>
                <w:rFonts w:asciiTheme="minorHAnsi" w:hAnsiTheme="minorHAnsi" w:cstheme="minorHAnsi"/>
                <w:sz w:val="18"/>
                <w:szCs w:val="18"/>
              </w:rPr>
            </w:pPr>
            <w:r w:rsidRPr="00D5001E">
              <w:rPr>
                <w:rFonts w:asciiTheme="minorHAnsi" w:hAnsiTheme="minorHAnsi" w:cstheme="minorHAnsi"/>
                <w:sz w:val="18"/>
                <w:szCs w:val="18"/>
              </w:rPr>
              <w:t xml:space="preserve">Intravitreal injection 190 micrograms </w:t>
            </w:r>
            <w:r w:rsidRPr="00D5001E">
              <w:rPr>
                <w:rFonts w:asciiTheme="minorHAnsi" w:hAnsiTheme="minorHAnsi" w:cstheme="minorHAnsi"/>
                <w:sz w:val="18"/>
                <w:szCs w:val="18"/>
              </w:rPr>
              <w:br/>
            </w:r>
            <w:proofErr w:type="spellStart"/>
            <w:r w:rsidRPr="00D5001E">
              <w:rPr>
                <w:rFonts w:asciiTheme="minorHAnsi" w:hAnsiTheme="minorHAnsi" w:cstheme="minorHAnsi"/>
                <w:sz w:val="18"/>
                <w:szCs w:val="18"/>
              </w:rPr>
              <w:t>Iluvien</w:t>
            </w:r>
            <w:proofErr w:type="spellEnd"/>
            <w:r w:rsidRPr="00D5001E">
              <w:rPr>
                <w:rFonts w:asciiTheme="minorHAnsi" w:hAnsiTheme="minorHAnsi" w:cstheme="minorHAnsi"/>
                <w:sz w:val="18"/>
                <w:szCs w:val="18"/>
              </w:rPr>
              <w:t>®</w:t>
            </w:r>
          </w:p>
          <w:p w14:paraId="6C9EC299" w14:textId="4628F735" w:rsidR="00D85797" w:rsidRPr="00D5001E" w:rsidRDefault="00D85797">
            <w:pPr>
              <w:widowControl w:val="0"/>
              <w:spacing w:after="120"/>
              <w:jc w:val="center"/>
              <w:rPr>
                <w:rFonts w:asciiTheme="minorHAnsi" w:hAnsiTheme="minorHAnsi" w:cstheme="minorHAnsi"/>
                <w:snapToGrid w:val="0"/>
                <w:sz w:val="18"/>
                <w:szCs w:val="18"/>
              </w:rPr>
            </w:pPr>
            <w:r w:rsidRPr="00D5001E">
              <w:rPr>
                <w:rFonts w:asciiTheme="minorHAnsi" w:hAnsiTheme="minorHAnsi" w:cstheme="minorHAnsi"/>
                <w:sz w:val="18"/>
                <w:szCs w:val="18"/>
              </w:rPr>
              <w:t>Specialised Therapeutics Pharma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03867266" w14:textId="0EB08CB9" w:rsidR="00D85797" w:rsidRPr="00D5001E" w:rsidRDefault="00D85797">
            <w:pPr>
              <w:widowControl w:val="0"/>
              <w:spacing w:after="120"/>
              <w:jc w:val="center"/>
              <w:rPr>
                <w:rFonts w:asciiTheme="minorHAnsi" w:hAnsiTheme="minorHAnsi" w:cstheme="minorHAnsi"/>
                <w:snapToGrid w:val="0"/>
                <w:sz w:val="18"/>
                <w:szCs w:val="18"/>
              </w:rPr>
            </w:pPr>
            <w:r w:rsidRPr="00D5001E">
              <w:rPr>
                <w:rFonts w:asciiTheme="minorHAnsi" w:hAnsiTheme="minorHAnsi" w:cstheme="minorHAnsi"/>
                <w:sz w:val="18"/>
                <w:szCs w:val="18"/>
              </w:rPr>
              <w:t>Diabetic macular oedema</w:t>
            </w:r>
          </w:p>
        </w:tc>
        <w:tc>
          <w:tcPr>
            <w:tcW w:w="1197" w:type="pct"/>
            <w:tcBorders>
              <w:top w:val="single" w:sz="4" w:space="0" w:color="auto"/>
              <w:left w:val="nil"/>
              <w:bottom w:val="single" w:sz="4" w:space="0" w:color="auto"/>
              <w:right w:val="single" w:sz="4" w:space="0" w:color="auto"/>
            </w:tcBorders>
            <w:shd w:val="clear" w:color="auto" w:fill="auto"/>
            <w:vAlign w:val="center"/>
          </w:tcPr>
          <w:p w14:paraId="32E2C4C2" w14:textId="0A14A474" w:rsidR="00D85797" w:rsidRPr="00D5001E" w:rsidRDefault="00D85797">
            <w:pPr>
              <w:widowControl w:val="0"/>
              <w:spacing w:after="120"/>
              <w:jc w:val="center"/>
              <w:rPr>
                <w:rFonts w:asciiTheme="minorHAnsi" w:hAnsiTheme="minorHAnsi" w:cstheme="minorHAnsi"/>
                <w:bCs/>
                <w:snapToGrid w:val="0"/>
                <w:color w:val="000000"/>
                <w:sz w:val="18"/>
                <w:szCs w:val="18"/>
              </w:rPr>
            </w:pPr>
            <w:r w:rsidRPr="00D5001E">
              <w:rPr>
                <w:rFonts w:asciiTheme="minorHAnsi" w:hAnsiTheme="minorHAnsi" w:cstheme="minorHAnsi"/>
                <w:sz w:val="18"/>
                <w:szCs w:val="18"/>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4A0518A9" w14:textId="183E1F38" w:rsidR="00D85797" w:rsidRPr="00D5001E" w:rsidRDefault="00D85797">
            <w:pPr>
              <w:widowControl w:val="0"/>
              <w:spacing w:after="120"/>
              <w:jc w:val="center"/>
              <w:rPr>
                <w:rFonts w:asciiTheme="minorHAnsi" w:hAnsiTheme="minorHAnsi" w:cstheme="minorHAnsi"/>
                <w:bCs/>
                <w:snapToGrid w:val="0"/>
                <w:sz w:val="18"/>
                <w:szCs w:val="18"/>
              </w:rPr>
            </w:pPr>
            <w:r w:rsidRPr="00D5001E">
              <w:rPr>
                <w:rFonts w:asciiTheme="minorHAnsi" w:hAnsiTheme="minorHAnsi" w:cstheme="minorHAnsi"/>
                <w:sz w:val="18"/>
                <w:szCs w:val="18"/>
              </w:rPr>
              <w:t>Recommendation was rescinded by the PBAC</w:t>
            </w:r>
            <w:r w:rsidR="002A2DC2" w:rsidRPr="00C24D07">
              <w:rPr>
                <w:rFonts w:asciiTheme="minorHAnsi" w:hAnsiTheme="minorHAnsi" w:cstheme="minorHAnsi"/>
                <w:sz w:val="18"/>
                <w:szCs w:val="18"/>
              </w:rPr>
              <w:t xml:space="preserve">, </w:t>
            </w:r>
            <w:r w:rsidR="002A2DC2" w:rsidRPr="00D5001E">
              <w:rPr>
                <w:rFonts w:asciiTheme="minorHAnsi" w:hAnsiTheme="minorHAnsi" w:cstheme="minorHAnsi"/>
                <w:sz w:val="18"/>
                <w:szCs w:val="18"/>
              </w:rPr>
              <w:t>noting that there was not a high clinical need for the product.</w:t>
            </w:r>
          </w:p>
        </w:tc>
      </w:tr>
      <w:tr w:rsidR="00D85797" w:rsidRPr="00567D48" w14:paraId="6B5DB651" w14:textId="77777777" w:rsidTr="00D5001E">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33F5ECA5" w14:textId="2CA077DC" w:rsidR="00D85797" w:rsidRPr="00D5001E" w:rsidRDefault="00D85797" w:rsidP="00D5001E">
            <w:pPr>
              <w:contextualSpacing/>
              <w:jc w:val="center"/>
              <w:rPr>
                <w:rFonts w:asciiTheme="minorHAnsi" w:hAnsiTheme="minorHAnsi" w:cstheme="minorHAnsi"/>
                <w:sz w:val="18"/>
                <w:szCs w:val="18"/>
              </w:rPr>
            </w:pPr>
            <w:r w:rsidRPr="00D5001E">
              <w:rPr>
                <w:rFonts w:asciiTheme="minorHAnsi" w:hAnsiTheme="minorHAnsi" w:cstheme="minorHAnsi"/>
                <w:sz w:val="18"/>
                <w:szCs w:val="18"/>
              </w:rPr>
              <w:t>MEPOLIZUMAB</w:t>
            </w:r>
          </w:p>
          <w:p w14:paraId="7C84333B" w14:textId="2322F0F7" w:rsidR="00D85797" w:rsidRPr="00D5001E" w:rsidRDefault="00D85797" w:rsidP="00D5001E">
            <w:pPr>
              <w:contextualSpacing/>
              <w:jc w:val="center"/>
              <w:rPr>
                <w:rFonts w:asciiTheme="minorHAnsi" w:hAnsiTheme="minorHAnsi" w:cstheme="minorHAnsi"/>
                <w:sz w:val="18"/>
                <w:szCs w:val="18"/>
              </w:rPr>
            </w:pPr>
            <w:r w:rsidRPr="00D5001E">
              <w:rPr>
                <w:rFonts w:asciiTheme="minorHAnsi" w:hAnsiTheme="minorHAnsi" w:cstheme="minorHAnsi"/>
                <w:sz w:val="18"/>
                <w:szCs w:val="18"/>
              </w:rPr>
              <w:t>Injection 100 mg in 1 mL prefilled syringe</w:t>
            </w:r>
          </w:p>
          <w:p w14:paraId="76AE5A1A" w14:textId="0E82F67F" w:rsidR="00D85797" w:rsidRPr="00D5001E" w:rsidRDefault="00D85797" w:rsidP="00D5001E">
            <w:pPr>
              <w:contextualSpacing/>
              <w:jc w:val="center"/>
              <w:rPr>
                <w:rFonts w:asciiTheme="minorHAnsi" w:hAnsiTheme="minorHAnsi" w:cstheme="minorHAnsi"/>
                <w:sz w:val="18"/>
                <w:szCs w:val="18"/>
              </w:rPr>
            </w:pPr>
            <w:r w:rsidRPr="00D5001E">
              <w:rPr>
                <w:rFonts w:asciiTheme="minorHAnsi" w:hAnsiTheme="minorHAnsi" w:cstheme="minorHAnsi"/>
                <w:sz w:val="18"/>
                <w:szCs w:val="18"/>
              </w:rPr>
              <w:t>Nucala®</w:t>
            </w:r>
          </w:p>
          <w:p w14:paraId="3D138D7D" w14:textId="19C37CD3" w:rsidR="00D85797" w:rsidRPr="00D5001E" w:rsidRDefault="00D85797">
            <w:pPr>
              <w:widowControl w:val="0"/>
              <w:spacing w:after="120"/>
              <w:jc w:val="center"/>
              <w:rPr>
                <w:rFonts w:asciiTheme="minorHAnsi" w:hAnsiTheme="minorHAnsi" w:cstheme="minorHAnsi"/>
                <w:snapToGrid w:val="0"/>
                <w:color w:val="FF0000"/>
                <w:sz w:val="18"/>
                <w:szCs w:val="18"/>
              </w:rPr>
            </w:pPr>
            <w:r w:rsidRPr="00D5001E">
              <w:rPr>
                <w:rFonts w:asciiTheme="minorHAnsi" w:hAnsiTheme="minorHAnsi" w:cstheme="minorHAnsi"/>
                <w:sz w:val="18"/>
                <w:szCs w:val="18"/>
              </w:rPr>
              <w:t xml:space="preserve">GlaxoSmithKline Australia Pty Ltd </w:t>
            </w:r>
            <w:r w:rsidRPr="00D5001E">
              <w:rPr>
                <w:rFonts w:asciiTheme="minorHAnsi" w:hAnsiTheme="minorHAnsi" w:cstheme="minorHAnsi"/>
                <w:sz w:val="18"/>
                <w:szCs w:val="18"/>
              </w:rPr>
              <w:br/>
            </w:r>
          </w:p>
        </w:tc>
        <w:tc>
          <w:tcPr>
            <w:tcW w:w="1243" w:type="pct"/>
            <w:tcBorders>
              <w:top w:val="single" w:sz="4" w:space="0" w:color="auto"/>
              <w:left w:val="nil"/>
              <w:bottom w:val="single" w:sz="4" w:space="0" w:color="auto"/>
              <w:right w:val="single" w:sz="4" w:space="0" w:color="auto"/>
            </w:tcBorders>
            <w:shd w:val="clear" w:color="auto" w:fill="auto"/>
            <w:vAlign w:val="center"/>
          </w:tcPr>
          <w:p w14:paraId="3227D25F" w14:textId="59971D70" w:rsidR="00D85797" w:rsidRPr="00D5001E" w:rsidRDefault="00D85797">
            <w:pPr>
              <w:widowControl w:val="0"/>
              <w:spacing w:after="120"/>
              <w:jc w:val="center"/>
              <w:rPr>
                <w:rFonts w:asciiTheme="minorHAnsi" w:hAnsiTheme="minorHAnsi" w:cstheme="minorHAnsi"/>
                <w:snapToGrid w:val="0"/>
                <w:color w:val="FF0000"/>
                <w:sz w:val="18"/>
                <w:szCs w:val="18"/>
              </w:rPr>
            </w:pPr>
            <w:r w:rsidRPr="00D5001E">
              <w:rPr>
                <w:rFonts w:asciiTheme="minorHAnsi" w:hAnsiTheme="minorHAnsi" w:cstheme="minorHAnsi"/>
                <w:sz w:val="18"/>
                <w:szCs w:val="18"/>
              </w:rPr>
              <w:t xml:space="preserve">Severe </w:t>
            </w:r>
            <w:r w:rsidR="006C3343" w:rsidRPr="00C24D07">
              <w:rPr>
                <w:rFonts w:asciiTheme="minorHAnsi" w:hAnsiTheme="minorHAnsi" w:cstheme="minorHAnsi"/>
                <w:sz w:val="18"/>
                <w:szCs w:val="18"/>
              </w:rPr>
              <w:t>a</w:t>
            </w:r>
            <w:r w:rsidRPr="00D5001E">
              <w:rPr>
                <w:rFonts w:asciiTheme="minorHAnsi" w:hAnsiTheme="minorHAnsi" w:cstheme="minorHAnsi"/>
                <w:sz w:val="18"/>
                <w:szCs w:val="18"/>
              </w:rPr>
              <w:t>sthma</w:t>
            </w:r>
          </w:p>
        </w:tc>
        <w:tc>
          <w:tcPr>
            <w:tcW w:w="1197" w:type="pct"/>
            <w:tcBorders>
              <w:top w:val="single" w:sz="4" w:space="0" w:color="auto"/>
              <w:left w:val="nil"/>
              <w:bottom w:val="single" w:sz="4" w:space="0" w:color="auto"/>
              <w:right w:val="single" w:sz="4" w:space="0" w:color="auto"/>
            </w:tcBorders>
            <w:shd w:val="clear" w:color="auto" w:fill="auto"/>
            <w:vAlign w:val="center"/>
          </w:tcPr>
          <w:p w14:paraId="6D3B7D1C" w14:textId="20D6C325" w:rsidR="00D85797" w:rsidRPr="00D5001E" w:rsidRDefault="00D85797">
            <w:pPr>
              <w:widowControl w:val="0"/>
              <w:spacing w:after="120"/>
              <w:jc w:val="center"/>
              <w:rPr>
                <w:rFonts w:asciiTheme="minorHAnsi" w:hAnsiTheme="minorHAnsi" w:cstheme="minorHAnsi"/>
                <w:bCs/>
                <w:snapToGrid w:val="0"/>
                <w:color w:val="000000"/>
                <w:sz w:val="18"/>
                <w:szCs w:val="18"/>
              </w:rPr>
            </w:pPr>
            <w:r w:rsidRPr="00D5001E">
              <w:rPr>
                <w:rFonts w:asciiTheme="minorHAnsi" w:hAnsiTheme="minorHAnsi" w:cstheme="minorHAnsi"/>
                <w:sz w:val="18"/>
                <w:szCs w:val="18"/>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1E3B7E01" w14:textId="3D0EA581" w:rsidR="00D85797" w:rsidRPr="00D5001E" w:rsidRDefault="00D85797">
            <w:pPr>
              <w:widowControl w:val="0"/>
              <w:spacing w:after="120"/>
              <w:jc w:val="center"/>
              <w:rPr>
                <w:rFonts w:asciiTheme="minorHAnsi" w:hAnsiTheme="minorHAnsi" w:cstheme="minorHAnsi"/>
                <w:bCs/>
                <w:snapToGrid w:val="0"/>
                <w:sz w:val="18"/>
                <w:szCs w:val="18"/>
              </w:rPr>
            </w:pPr>
            <w:r w:rsidRPr="00D5001E">
              <w:rPr>
                <w:rFonts w:asciiTheme="minorHAnsi" w:hAnsiTheme="minorHAnsi" w:cstheme="minorHAnsi"/>
                <w:sz w:val="18"/>
                <w:szCs w:val="18"/>
              </w:rPr>
              <w:t>Recommendation was rescinded by the PBAC</w:t>
            </w:r>
            <w:r w:rsidR="002A2DC2" w:rsidRPr="00C24D07">
              <w:rPr>
                <w:rFonts w:asciiTheme="minorHAnsi" w:hAnsiTheme="minorHAnsi" w:cstheme="minorHAnsi"/>
                <w:sz w:val="18"/>
                <w:szCs w:val="18"/>
              </w:rPr>
              <w:t>, noting that other forms of the same strength product were available on the PBS.</w:t>
            </w:r>
          </w:p>
        </w:tc>
      </w:tr>
    </w:tbl>
    <w:p w14:paraId="2FD4C11F" w14:textId="7EA68E21" w:rsidR="00FB3935" w:rsidRDefault="00FB3935"/>
    <w:p w14:paraId="56A78172" w14:textId="77777777" w:rsidR="00FB3935" w:rsidRDefault="00FB3935">
      <w:r>
        <w:br w:type="page"/>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8"/>
        <w:gridCol w:w="1699"/>
        <w:gridCol w:w="2694"/>
        <w:gridCol w:w="8313"/>
      </w:tblGrid>
      <w:tr w:rsidR="00FB3935" w:rsidRPr="00062FEE" w14:paraId="187CE595" w14:textId="77777777" w:rsidTr="00567D48">
        <w:trPr>
          <w:cantSplit/>
          <w:trHeight w:val="58"/>
          <w:tblHeader/>
        </w:trPr>
        <w:tc>
          <w:tcPr>
            <w:tcW w:w="873" w:type="pct"/>
            <w:shd w:val="clear" w:color="auto" w:fill="auto"/>
          </w:tcPr>
          <w:p w14:paraId="6F66CD5B" w14:textId="77777777" w:rsidR="00FB3935" w:rsidRPr="00062FEE" w:rsidRDefault="00FB3935" w:rsidP="00F3265E">
            <w:pPr>
              <w:keepLines/>
              <w:widowControl w:val="0"/>
              <w:spacing w:after="120"/>
              <w:jc w:val="center"/>
              <w:rPr>
                <w:rFonts w:asciiTheme="minorHAnsi" w:hAnsiTheme="minorHAnsi" w:cs="Arial"/>
                <w:b/>
              </w:rPr>
            </w:pPr>
            <w:r w:rsidRPr="00062FEE">
              <w:rPr>
                <w:rFonts w:asciiTheme="minorHAnsi" w:hAnsiTheme="minorHAnsi" w:cs="Arial"/>
                <w:b/>
              </w:rPr>
              <w:lastRenderedPageBreak/>
              <w:t>DRUG NAME, FORM(S), STRENGTH(S), SPONSOR, TYPE OF SUBMISSION</w:t>
            </w:r>
          </w:p>
        </w:tc>
        <w:tc>
          <w:tcPr>
            <w:tcW w:w="552" w:type="pct"/>
            <w:shd w:val="clear" w:color="auto" w:fill="auto"/>
          </w:tcPr>
          <w:p w14:paraId="55E10016" w14:textId="77777777" w:rsidR="00FB3935" w:rsidRPr="00062FEE" w:rsidRDefault="00FB3935" w:rsidP="00F3265E">
            <w:pPr>
              <w:keepLines/>
              <w:widowControl w:val="0"/>
              <w:spacing w:after="120"/>
              <w:jc w:val="center"/>
              <w:rPr>
                <w:rFonts w:asciiTheme="minorHAnsi" w:hAnsiTheme="minorHAnsi" w:cs="Arial"/>
                <w:b/>
              </w:rPr>
            </w:pPr>
            <w:r w:rsidRPr="00062FEE">
              <w:rPr>
                <w:rFonts w:asciiTheme="minorHAnsi" w:hAnsiTheme="minorHAnsi" w:cs="Arial"/>
                <w:b/>
              </w:rPr>
              <w:t>DRUG TYPE AND USE</w:t>
            </w:r>
          </w:p>
          <w:p w14:paraId="33CD38B7" w14:textId="77777777" w:rsidR="00FB3935" w:rsidRPr="00062FEE" w:rsidRDefault="00FB3935" w:rsidP="00F3265E">
            <w:pPr>
              <w:keepLines/>
              <w:widowControl w:val="0"/>
              <w:spacing w:after="120"/>
              <w:jc w:val="center"/>
              <w:rPr>
                <w:rFonts w:asciiTheme="minorHAnsi" w:hAnsiTheme="minorHAnsi" w:cs="Arial"/>
                <w:b/>
              </w:rPr>
            </w:pPr>
          </w:p>
        </w:tc>
        <w:tc>
          <w:tcPr>
            <w:tcW w:w="875" w:type="pct"/>
            <w:shd w:val="clear" w:color="auto" w:fill="auto"/>
          </w:tcPr>
          <w:p w14:paraId="63058D75" w14:textId="77777777" w:rsidR="00FB3935" w:rsidRPr="00062FEE" w:rsidRDefault="00FB3935" w:rsidP="00F3265E">
            <w:pPr>
              <w:keepLines/>
              <w:widowControl w:val="0"/>
              <w:spacing w:after="120"/>
              <w:jc w:val="center"/>
              <w:rPr>
                <w:rFonts w:asciiTheme="minorHAnsi" w:hAnsiTheme="minorHAnsi" w:cs="Arial"/>
                <w:b/>
              </w:rPr>
            </w:pPr>
            <w:r w:rsidRPr="00062FEE">
              <w:rPr>
                <w:rFonts w:asciiTheme="minorHAnsi" w:hAnsiTheme="minorHAnsi" w:cs="Arial"/>
                <w:b/>
              </w:rPr>
              <w:t>LISTING REQUESTED BY SPONSOR / PURPOSE OF SUBMISSION</w:t>
            </w:r>
          </w:p>
        </w:tc>
        <w:tc>
          <w:tcPr>
            <w:tcW w:w="2700" w:type="pct"/>
            <w:shd w:val="clear" w:color="auto" w:fill="auto"/>
          </w:tcPr>
          <w:p w14:paraId="6710BE8F" w14:textId="77777777" w:rsidR="00FB3935" w:rsidRPr="00062FEE" w:rsidRDefault="00FB3935" w:rsidP="00F3265E">
            <w:pPr>
              <w:keepLines/>
              <w:spacing w:after="120"/>
              <w:jc w:val="center"/>
              <w:rPr>
                <w:rFonts w:asciiTheme="minorHAnsi" w:hAnsiTheme="minorHAnsi" w:cs="Arial"/>
                <w:b/>
              </w:rPr>
            </w:pPr>
            <w:r w:rsidRPr="00062FEE">
              <w:rPr>
                <w:rFonts w:asciiTheme="minorHAnsi" w:hAnsiTheme="minorHAnsi" w:cs="Arial"/>
                <w:b/>
              </w:rPr>
              <w:t>PBAC OUTCOME</w:t>
            </w:r>
          </w:p>
          <w:p w14:paraId="086B53DC" w14:textId="77777777" w:rsidR="00FB3935" w:rsidRPr="00062FEE" w:rsidRDefault="00FB3935" w:rsidP="00F3265E">
            <w:pPr>
              <w:keepLines/>
              <w:spacing w:after="120"/>
              <w:jc w:val="center"/>
              <w:rPr>
                <w:rFonts w:asciiTheme="minorHAnsi" w:hAnsiTheme="minorHAnsi" w:cs="Arial"/>
                <w:b/>
              </w:rPr>
            </w:pPr>
          </w:p>
        </w:tc>
      </w:tr>
      <w:tr w:rsidR="00FC374E" w:rsidRPr="00062FEE" w14:paraId="2D3570D9" w14:textId="77777777" w:rsidTr="00606FBC">
        <w:trPr>
          <w:trHeight w:val="58"/>
        </w:trPr>
        <w:tc>
          <w:tcPr>
            <w:tcW w:w="873" w:type="pct"/>
            <w:shd w:val="clear" w:color="auto" w:fill="auto"/>
          </w:tcPr>
          <w:p w14:paraId="79A1CB8D" w14:textId="0EFE5AAB" w:rsidR="00FC374E" w:rsidRPr="00330D77" w:rsidRDefault="00FC374E" w:rsidP="00FC374E">
            <w:pPr>
              <w:keepLines/>
              <w:widowControl w:val="0"/>
              <w:spacing w:after="120"/>
              <w:jc w:val="center"/>
              <w:rPr>
                <w:rFonts w:asciiTheme="minorHAnsi" w:hAnsiTheme="minorHAnsi" w:cs="Arial"/>
                <w:snapToGrid w:val="0"/>
                <w:sz w:val="18"/>
                <w:szCs w:val="18"/>
              </w:rPr>
            </w:pPr>
            <w:r w:rsidRPr="00330D77">
              <w:rPr>
                <w:rFonts w:asciiTheme="minorHAnsi" w:hAnsiTheme="minorHAnsi" w:cs="Arial"/>
                <w:snapToGrid w:val="0"/>
                <w:sz w:val="18"/>
                <w:szCs w:val="18"/>
              </w:rPr>
              <w:t xml:space="preserve">Correspondence from the Australian College of Nurse Practitioners (ACNP) regarding nurse prescribing for </w:t>
            </w:r>
            <w:r w:rsidRPr="00330D77">
              <w:rPr>
                <w:rFonts w:asciiTheme="minorHAnsi" w:hAnsiTheme="minorHAnsi" w:cs="Arial"/>
                <w:bCs/>
                <w:snapToGrid w:val="0"/>
                <w:color w:val="000000"/>
                <w:sz w:val="18"/>
                <w:szCs w:val="18"/>
              </w:rPr>
              <w:t>molnupiravir</w:t>
            </w:r>
          </w:p>
        </w:tc>
        <w:tc>
          <w:tcPr>
            <w:tcW w:w="552" w:type="pct"/>
            <w:shd w:val="clear" w:color="auto" w:fill="auto"/>
          </w:tcPr>
          <w:p w14:paraId="4F0AEA64" w14:textId="30C87D8D" w:rsidR="00FC374E" w:rsidRPr="00330D77" w:rsidRDefault="00FC374E" w:rsidP="00FC374E">
            <w:pPr>
              <w:keepLines/>
              <w:widowControl w:val="0"/>
              <w:spacing w:after="120"/>
              <w:jc w:val="center"/>
              <w:rPr>
                <w:rFonts w:asciiTheme="minorHAnsi" w:hAnsiTheme="minorHAnsi" w:cs="Arial"/>
                <w:snapToGrid w:val="0"/>
                <w:sz w:val="18"/>
                <w:szCs w:val="18"/>
              </w:rPr>
            </w:pPr>
            <w:r w:rsidRPr="00330D77">
              <w:rPr>
                <w:rFonts w:asciiTheme="minorHAnsi" w:hAnsiTheme="minorHAnsi" w:cs="Arial"/>
                <w:bCs/>
                <w:snapToGrid w:val="0"/>
                <w:color w:val="000000"/>
                <w:sz w:val="18"/>
                <w:szCs w:val="18"/>
              </w:rPr>
              <w:t>SARS-CoV-2</w:t>
            </w:r>
          </w:p>
        </w:tc>
        <w:tc>
          <w:tcPr>
            <w:tcW w:w="875" w:type="pct"/>
            <w:shd w:val="clear" w:color="auto" w:fill="auto"/>
          </w:tcPr>
          <w:p w14:paraId="70CED611" w14:textId="7A4368E1" w:rsidR="00FC374E" w:rsidRPr="00330D77" w:rsidRDefault="00FC374E" w:rsidP="00123872">
            <w:pPr>
              <w:keepLines/>
              <w:widowControl w:val="0"/>
              <w:spacing w:after="120"/>
              <w:jc w:val="center"/>
              <w:rPr>
                <w:rFonts w:asciiTheme="minorHAnsi" w:hAnsiTheme="minorHAnsi" w:cs="Arial"/>
                <w:bCs/>
                <w:snapToGrid w:val="0"/>
                <w:sz w:val="18"/>
                <w:szCs w:val="18"/>
              </w:rPr>
            </w:pPr>
            <w:r w:rsidRPr="00330D77">
              <w:rPr>
                <w:rFonts w:asciiTheme="minorHAnsi" w:hAnsiTheme="minorHAnsi" w:cs="Arial"/>
                <w:bCs/>
                <w:snapToGrid w:val="0"/>
                <w:color w:val="000000"/>
                <w:sz w:val="18"/>
                <w:szCs w:val="18"/>
              </w:rPr>
              <w:t>To consider whether it would be appropriate to amend the current PBS listing for molnupiravir for the treatment of SARS-CoV-2 infection to allow nurse practitioners to prescribe as a PBS benefit</w:t>
            </w:r>
          </w:p>
        </w:tc>
        <w:tc>
          <w:tcPr>
            <w:tcW w:w="2700" w:type="pct"/>
            <w:shd w:val="clear" w:color="auto" w:fill="auto"/>
          </w:tcPr>
          <w:p w14:paraId="49F73EEA" w14:textId="1206FD68" w:rsidR="00FC374E" w:rsidRPr="00330D77" w:rsidRDefault="00FC374E">
            <w:pPr>
              <w:keepLines/>
              <w:widowControl w:val="0"/>
              <w:tabs>
                <w:tab w:val="left" w:pos="1641"/>
              </w:tabs>
              <w:jc w:val="both"/>
              <w:rPr>
                <w:rFonts w:asciiTheme="minorHAnsi" w:hAnsiTheme="minorHAnsi" w:cs="Arial"/>
                <w:bCs/>
                <w:snapToGrid w:val="0"/>
                <w:sz w:val="18"/>
                <w:szCs w:val="18"/>
              </w:rPr>
            </w:pPr>
            <w:r w:rsidRPr="00330D77">
              <w:rPr>
                <w:rFonts w:asciiTheme="minorHAnsi" w:hAnsiTheme="minorHAnsi" w:cs="Arial"/>
                <w:sz w:val="18"/>
                <w:szCs w:val="18"/>
              </w:rPr>
              <w:t>The PBAC recommended amending the current PBS listing for molnupiravir for treatment of SARS-CoV-2 infection to allow nurse practitioners to prescribe as a PBS benefit and to verify the rapid antigen test required for eligibility.</w:t>
            </w:r>
          </w:p>
        </w:tc>
      </w:tr>
      <w:tr w:rsidR="003A6592" w:rsidRPr="00062FEE" w14:paraId="70F65E57" w14:textId="77777777" w:rsidTr="00D5001E">
        <w:trPr>
          <w:trHeight w:val="58"/>
        </w:trPr>
        <w:tc>
          <w:tcPr>
            <w:tcW w:w="873" w:type="pct"/>
            <w:shd w:val="clear" w:color="auto" w:fill="auto"/>
          </w:tcPr>
          <w:p w14:paraId="131F6E1B" w14:textId="77777777" w:rsidR="003A6592" w:rsidRPr="003A6592" w:rsidRDefault="003A6592" w:rsidP="003A6592">
            <w:pPr>
              <w:keepLines/>
              <w:widowControl w:val="0"/>
              <w:spacing w:after="120"/>
              <w:jc w:val="center"/>
              <w:rPr>
                <w:rFonts w:asciiTheme="minorHAnsi" w:hAnsiTheme="minorHAnsi" w:cs="Arial"/>
                <w:snapToGrid w:val="0"/>
                <w:sz w:val="18"/>
                <w:szCs w:val="18"/>
              </w:rPr>
            </w:pPr>
            <w:r w:rsidRPr="003A6592">
              <w:rPr>
                <w:rFonts w:asciiTheme="minorHAnsi" w:hAnsiTheme="minorHAnsi" w:cs="Arial"/>
                <w:snapToGrid w:val="0"/>
                <w:sz w:val="18"/>
                <w:szCs w:val="18"/>
              </w:rPr>
              <w:t>Utilisation and cost-analysis of PBS-listed medicines for pulmonary arterial hypertension (PAH) report</w:t>
            </w:r>
          </w:p>
          <w:p w14:paraId="37CFCB04" w14:textId="77777777" w:rsidR="003A6592" w:rsidRPr="003A6592" w:rsidRDefault="003A6592" w:rsidP="003A6592">
            <w:pPr>
              <w:keepLines/>
              <w:widowControl w:val="0"/>
              <w:spacing w:after="120"/>
              <w:jc w:val="center"/>
              <w:rPr>
                <w:rFonts w:asciiTheme="minorHAnsi" w:hAnsiTheme="minorHAnsi" w:cs="Arial"/>
                <w:snapToGrid w:val="0"/>
                <w:sz w:val="18"/>
                <w:szCs w:val="18"/>
              </w:rPr>
            </w:pPr>
          </w:p>
          <w:p w14:paraId="7D38E6EF" w14:textId="77777777" w:rsidR="006B4346" w:rsidRDefault="003A6592" w:rsidP="003A6592">
            <w:pPr>
              <w:keepLines/>
              <w:widowControl w:val="0"/>
              <w:spacing w:after="120"/>
              <w:jc w:val="center"/>
              <w:rPr>
                <w:rFonts w:asciiTheme="minorHAnsi" w:hAnsiTheme="minorHAnsi" w:cs="Arial"/>
                <w:snapToGrid w:val="0"/>
                <w:sz w:val="18"/>
                <w:szCs w:val="18"/>
              </w:rPr>
            </w:pPr>
            <w:r w:rsidRPr="003A6592">
              <w:rPr>
                <w:rFonts w:asciiTheme="minorHAnsi" w:hAnsiTheme="minorHAnsi" w:cs="Arial"/>
                <w:snapToGrid w:val="0"/>
                <w:sz w:val="18"/>
                <w:szCs w:val="18"/>
              </w:rPr>
              <w:t xml:space="preserve">AMBRISENTAN </w:t>
            </w:r>
          </w:p>
          <w:p w14:paraId="289DBD7B" w14:textId="77777777" w:rsidR="006B4346" w:rsidRDefault="003A6592" w:rsidP="003A6592">
            <w:pPr>
              <w:keepLines/>
              <w:widowControl w:val="0"/>
              <w:spacing w:after="120"/>
              <w:jc w:val="center"/>
              <w:rPr>
                <w:rFonts w:asciiTheme="minorHAnsi" w:hAnsiTheme="minorHAnsi" w:cs="Arial"/>
                <w:snapToGrid w:val="0"/>
                <w:sz w:val="18"/>
                <w:szCs w:val="18"/>
              </w:rPr>
            </w:pPr>
            <w:r w:rsidRPr="003A6592">
              <w:rPr>
                <w:rFonts w:asciiTheme="minorHAnsi" w:hAnsiTheme="minorHAnsi" w:cs="Arial"/>
                <w:snapToGrid w:val="0"/>
                <w:sz w:val="18"/>
                <w:szCs w:val="18"/>
              </w:rPr>
              <w:t xml:space="preserve">BOSENTAN </w:t>
            </w:r>
          </w:p>
          <w:p w14:paraId="7CD38BAA" w14:textId="77777777" w:rsidR="006B4346" w:rsidRDefault="003A6592" w:rsidP="003A6592">
            <w:pPr>
              <w:keepLines/>
              <w:widowControl w:val="0"/>
              <w:spacing w:after="120"/>
              <w:jc w:val="center"/>
              <w:rPr>
                <w:rFonts w:asciiTheme="minorHAnsi" w:hAnsiTheme="minorHAnsi" w:cs="Arial"/>
                <w:snapToGrid w:val="0"/>
                <w:sz w:val="18"/>
                <w:szCs w:val="18"/>
              </w:rPr>
            </w:pPr>
            <w:r w:rsidRPr="003A6592">
              <w:rPr>
                <w:rFonts w:asciiTheme="minorHAnsi" w:hAnsiTheme="minorHAnsi" w:cs="Arial"/>
                <w:snapToGrid w:val="0"/>
                <w:sz w:val="18"/>
                <w:szCs w:val="18"/>
              </w:rPr>
              <w:t xml:space="preserve">MACITENTAN </w:t>
            </w:r>
          </w:p>
          <w:p w14:paraId="1E78D7F3" w14:textId="76858F33" w:rsidR="006B4346" w:rsidRDefault="003A6592" w:rsidP="003A6592">
            <w:pPr>
              <w:keepLines/>
              <w:widowControl w:val="0"/>
              <w:spacing w:after="120"/>
              <w:jc w:val="center"/>
              <w:rPr>
                <w:rFonts w:asciiTheme="minorHAnsi" w:hAnsiTheme="minorHAnsi" w:cs="Arial"/>
                <w:snapToGrid w:val="0"/>
                <w:sz w:val="18"/>
                <w:szCs w:val="18"/>
              </w:rPr>
            </w:pPr>
            <w:r w:rsidRPr="003A6592">
              <w:rPr>
                <w:rFonts w:asciiTheme="minorHAnsi" w:hAnsiTheme="minorHAnsi" w:cs="Arial"/>
                <w:snapToGrid w:val="0"/>
                <w:sz w:val="18"/>
                <w:szCs w:val="18"/>
              </w:rPr>
              <w:t xml:space="preserve">EPOPROSTENOL ILOPROST </w:t>
            </w:r>
          </w:p>
          <w:p w14:paraId="1AFBBC7C" w14:textId="7574D769" w:rsidR="003A6592" w:rsidRPr="003A6592" w:rsidRDefault="003A6592" w:rsidP="003A6592">
            <w:pPr>
              <w:keepLines/>
              <w:widowControl w:val="0"/>
              <w:spacing w:after="120"/>
              <w:jc w:val="center"/>
              <w:rPr>
                <w:rFonts w:asciiTheme="minorHAnsi" w:hAnsiTheme="minorHAnsi" w:cs="Arial"/>
                <w:snapToGrid w:val="0"/>
                <w:sz w:val="18"/>
                <w:szCs w:val="18"/>
              </w:rPr>
            </w:pPr>
            <w:r w:rsidRPr="003A6592">
              <w:rPr>
                <w:rFonts w:asciiTheme="minorHAnsi" w:hAnsiTheme="minorHAnsi" w:cs="Arial"/>
                <w:snapToGrid w:val="0"/>
                <w:sz w:val="18"/>
                <w:szCs w:val="18"/>
              </w:rPr>
              <w:t>SELEXIPAG</w:t>
            </w:r>
          </w:p>
          <w:p w14:paraId="467AA8D4" w14:textId="77777777" w:rsidR="003A6592" w:rsidRPr="003A6592" w:rsidRDefault="003A6592" w:rsidP="003A6592">
            <w:pPr>
              <w:keepLines/>
              <w:widowControl w:val="0"/>
              <w:spacing w:after="120"/>
              <w:jc w:val="center"/>
              <w:rPr>
                <w:rFonts w:asciiTheme="minorHAnsi" w:hAnsiTheme="minorHAnsi" w:cs="Arial"/>
                <w:snapToGrid w:val="0"/>
                <w:sz w:val="18"/>
                <w:szCs w:val="18"/>
              </w:rPr>
            </w:pPr>
            <w:r w:rsidRPr="003A6592">
              <w:rPr>
                <w:rFonts w:asciiTheme="minorHAnsi" w:hAnsiTheme="minorHAnsi" w:cs="Arial"/>
                <w:snapToGrid w:val="0"/>
                <w:sz w:val="18"/>
                <w:szCs w:val="18"/>
              </w:rPr>
              <w:t xml:space="preserve">SILDENAFIL (20mg, 90 tablets) </w:t>
            </w:r>
          </w:p>
          <w:p w14:paraId="6AABA74D" w14:textId="77777777" w:rsidR="003A6592" w:rsidRPr="003A6592" w:rsidRDefault="003A6592" w:rsidP="003A6592">
            <w:pPr>
              <w:keepLines/>
              <w:widowControl w:val="0"/>
              <w:spacing w:after="120"/>
              <w:jc w:val="center"/>
              <w:rPr>
                <w:rFonts w:asciiTheme="minorHAnsi" w:hAnsiTheme="minorHAnsi" w:cs="Arial"/>
                <w:snapToGrid w:val="0"/>
                <w:sz w:val="18"/>
                <w:szCs w:val="18"/>
              </w:rPr>
            </w:pPr>
            <w:r w:rsidRPr="003A6592">
              <w:rPr>
                <w:rFonts w:asciiTheme="minorHAnsi" w:hAnsiTheme="minorHAnsi" w:cs="Arial"/>
                <w:snapToGrid w:val="0"/>
                <w:sz w:val="18"/>
                <w:szCs w:val="18"/>
              </w:rPr>
              <w:t xml:space="preserve">TADALAFIL (20mg, 56 tablets) </w:t>
            </w:r>
          </w:p>
          <w:p w14:paraId="2863776B" w14:textId="77777777" w:rsidR="00D63F98" w:rsidRDefault="003A6592" w:rsidP="006B4346">
            <w:pPr>
              <w:keepLines/>
              <w:widowControl w:val="0"/>
              <w:spacing w:after="120"/>
              <w:jc w:val="center"/>
              <w:rPr>
                <w:rFonts w:asciiTheme="minorHAnsi" w:hAnsiTheme="minorHAnsi" w:cs="Arial"/>
                <w:snapToGrid w:val="0"/>
                <w:sz w:val="18"/>
                <w:szCs w:val="18"/>
              </w:rPr>
            </w:pPr>
            <w:r w:rsidRPr="003A6592">
              <w:rPr>
                <w:rFonts w:asciiTheme="minorHAnsi" w:hAnsiTheme="minorHAnsi" w:cs="Arial"/>
                <w:snapToGrid w:val="0"/>
                <w:sz w:val="18"/>
                <w:szCs w:val="18"/>
              </w:rPr>
              <w:t xml:space="preserve">RIOCIGUAT </w:t>
            </w:r>
          </w:p>
          <w:p w14:paraId="617DDA98" w14:textId="6BB20B2C" w:rsidR="003A6592" w:rsidRPr="00330D77" w:rsidRDefault="003A6592" w:rsidP="006B4346">
            <w:pPr>
              <w:keepLines/>
              <w:widowControl w:val="0"/>
              <w:spacing w:after="120"/>
              <w:jc w:val="center"/>
              <w:rPr>
                <w:rFonts w:asciiTheme="minorHAnsi" w:hAnsiTheme="minorHAnsi" w:cs="Arial"/>
                <w:snapToGrid w:val="0"/>
                <w:sz w:val="18"/>
                <w:szCs w:val="18"/>
              </w:rPr>
            </w:pPr>
            <w:r w:rsidRPr="003A6592">
              <w:rPr>
                <w:rFonts w:asciiTheme="minorHAnsi" w:hAnsiTheme="minorHAnsi" w:cs="Arial"/>
                <w:snapToGrid w:val="0"/>
                <w:sz w:val="18"/>
                <w:szCs w:val="18"/>
              </w:rPr>
              <w:t>(all brands)</w:t>
            </w:r>
          </w:p>
        </w:tc>
        <w:tc>
          <w:tcPr>
            <w:tcW w:w="552" w:type="pct"/>
            <w:shd w:val="clear" w:color="auto" w:fill="auto"/>
          </w:tcPr>
          <w:p w14:paraId="3437F4DA" w14:textId="3F3EB0B5" w:rsidR="003A6592" w:rsidRPr="00330D77" w:rsidRDefault="003A6592" w:rsidP="003A6592">
            <w:pPr>
              <w:keepLines/>
              <w:widowControl w:val="0"/>
              <w:spacing w:after="120"/>
              <w:jc w:val="center"/>
              <w:rPr>
                <w:rFonts w:asciiTheme="minorHAnsi" w:hAnsiTheme="minorHAnsi" w:cs="Arial"/>
                <w:snapToGrid w:val="0"/>
                <w:sz w:val="18"/>
                <w:szCs w:val="18"/>
              </w:rPr>
            </w:pPr>
            <w:r w:rsidRPr="003A6592">
              <w:rPr>
                <w:rFonts w:asciiTheme="minorHAnsi" w:hAnsiTheme="minorHAnsi" w:cs="Arial"/>
                <w:snapToGrid w:val="0"/>
                <w:sz w:val="18"/>
                <w:szCs w:val="18"/>
              </w:rPr>
              <w:t>Medicines specifically used to treat PAH</w:t>
            </w:r>
          </w:p>
        </w:tc>
        <w:tc>
          <w:tcPr>
            <w:tcW w:w="875" w:type="pct"/>
            <w:shd w:val="clear" w:color="auto" w:fill="auto"/>
          </w:tcPr>
          <w:p w14:paraId="55607FE9" w14:textId="6112C411" w:rsidR="003A6592" w:rsidRPr="003A6592" w:rsidRDefault="003A6592" w:rsidP="003A6592">
            <w:pPr>
              <w:keepLines/>
              <w:widowControl w:val="0"/>
              <w:spacing w:after="120"/>
              <w:jc w:val="center"/>
              <w:rPr>
                <w:rFonts w:asciiTheme="minorHAnsi" w:hAnsiTheme="minorHAnsi" w:cs="Arial"/>
                <w:bCs/>
                <w:snapToGrid w:val="0"/>
                <w:color w:val="000000"/>
                <w:sz w:val="18"/>
                <w:szCs w:val="18"/>
              </w:rPr>
            </w:pPr>
            <w:r w:rsidRPr="003A6592">
              <w:rPr>
                <w:rFonts w:asciiTheme="minorHAnsi" w:hAnsiTheme="minorHAnsi" w:cs="Arial"/>
                <w:bCs/>
                <w:snapToGrid w:val="0"/>
                <w:color w:val="000000"/>
                <w:sz w:val="18"/>
                <w:szCs w:val="18"/>
              </w:rPr>
              <w:t>For the PBAC to consider</w:t>
            </w:r>
            <w:r>
              <w:rPr>
                <w:rFonts w:asciiTheme="minorHAnsi" w:hAnsiTheme="minorHAnsi" w:cs="Arial"/>
                <w:bCs/>
                <w:snapToGrid w:val="0"/>
                <w:color w:val="000000"/>
                <w:sz w:val="18"/>
                <w:szCs w:val="18"/>
              </w:rPr>
              <w:t xml:space="preserve"> </w:t>
            </w:r>
            <w:r w:rsidRPr="003A6592">
              <w:rPr>
                <w:rFonts w:asciiTheme="minorHAnsi" w:hAnsiTheme="minorHAnsi" w:cs="Arial"/>
                <w:bCs/>
                <w:snapToGrid w:val="0"/>
                <w:color w:val="000000"/>
                <w:sz w:val="18"/>
                <w:szCs w:val="18"/>
              </w:rPr>
              <w:t xml:space="preserve">proposed PBS restrictions and the estimated cost to the PBS of extending PBS subsidy to dual therapy with endothelin receptor antagonist (ERA) and </w:t>
            </w:r>
            <w:proofErr w:type="spellStart"/>
            <w:r w:rsidRPr="003A6592">
              <w:rPr>
                <w:rFonts w:asciiTheme="minorHAnsi" w:hAnsiTheme="minorHAnsi" w:cs="Arial"/>
                <w:bCs/>
                <w:snapToGrid w:val="0"/>
                <w:color w:val="000000"/>
                <w:sz w:val="18"/>
                <w:szCs w:val="18"/>
              </w:rPr>
              <w:t>prostanoid</w:t>
            </w:r>
            <w:proofErr w:type="spellEnd"/>
            <w:r w:rsidRPr="003A6592">
              <w:rPr>
                <w:rFonts w:asciiTheme="minorHAnsi" w:hAnsiTheme="minorHAnsi" w:cs="Arial"/>
                <w:bCs/>
                <w:snapToGrid w:val="0"/>
                <w:color w:val="000000"/>
                <w:sz w:val="18"/>
                <w:szCs w:val="18"/>
              </w:rPr>
              <w:t xml:space="preserve"> medicines, first line for patients with World Health Organisation (WHO) Functional Class (FC) IV symptoms and second line for patients with WHO FC III symptoms.</w:t>
            </w:r>
          </w:p>
          <w:p w14:paraId="7217DEF0" w14:textId="77777777" w:rsidR="003A6592" w:rsidRPr="003A6592" w:rsidRDefault="003A6592" w:rsidP="003A6592">
            <w:pPr>
              <w:keepLines/>
              <w:widowControl w:val="0"/>
              <w:spacing w:after="120"/>
              <w:jc w:val="center"/>
              <w:rPr>
                <w:rFonts w:asciiTheme="minorHAnsi" w:hAnsiTheme="minorHAnsi" w:cs="Arial"/>
                <w:snapToGrid w:val="0"/>
                <w:sz w:val="18"/>
                <w:szCs w:val="18"/>
              </w:rPr>
            </w:pPr>
          </w:p>
          <w:p w14:paraId="61B91DCB" w14:textId="630DD330" w:rsidR="003A6592" w:rsidRPr="003A6592" w:rsidRDefault="003A6592" w:rsidP="003A6592">
            <w:pPr>
              <w:keepLines/>
              <w:widowControl w:val="0"/>
              <w:spacing w:after="120"/>
              <w:jc w:val="center"/>
              <w:rPr>
                <w:rFonts w:asciiTheme="minorHAnsi" w:hAnsiTheme="minorHAnsi" w:cs="Arial"/>
                <w:snapToGrid w:val="0"/>
                <w:sz w:val="18"/>
                <w:szCs w:val="18"/>
              </w:rPr>
            </w:pPr>
          </w:p>
        </w:tc>
        <w:tc>
          <w:tcPr>
            <w:tcW w:w="2700" w:type="pct"/>
            <w:shd w:val="clear" w:color="auto" w:fill="auto"/>
          </w:tcPr>
          <w:p w14:paraId="47559F0D" w14:textId="70F146D0" w:rsidR="003A6592" w:rsidRDefault="003A6592" w:rsidP="00610837">
            <w:pPr>
              <w:jc w:val="both"/>
              <w:rPr>
                <w:rFonts w:asciiTheme="minorHAnsi" w:hAnsiTheme="minorHAnsi" w:cstheme="minorHAnsi"/>
                <w:color w:val="000000"/>
                <w:sz w:val="18"/>
                <w:szCs w:val="18"/>
              </w:rPr>
            </w:pPr>
            <w:r w:rsidRPr="003A6592">
              <w:rPr>
                <w:rFonts w:asciiTheme="minorHAnsi" w:hAnsiTheme="minorHAnsi" w:cstheme="minorHAnsi"/>
                <w:color w:val="000000"/>
                <w:sz w:val="18"/>
                <w:szCs w:val="18"/>
              </w:rPr>
              <w:t>The PBAC considered the findings of the ‘Medicine utilisation and cost analysis of Pharmaceutical Benefits Scheme (PBS) listed medicines for PAH’ report</w:t>
            </w:r>
            <w:r w:rsidR="00F12B5D">
              <w:rPr>
                <w:rFonts w:asciiTheme="minorHAnsi" w:hAnsiTheme="minorHAnsi" w:cstheme="minorHAnsi"/>
                <w:color w:val="000000"/>
                <w:sz w:val="18"/>
                <w:szCs w:val="18"/>
              </w:rPr>
              <w:t>;</w:t>
            </w:r>
            <w:r w:rsidRPr="003A6592">
              <w:rPr>
                <w:rFonts w:asciiTheme="minorHAnsi" w:hAnsiTheme="minorHAnsi" w:cstheme="minorHAnsi"/>
                <w:color w:val="000000"/>
                <w:sz w:val="18"/>
                <w:szCs w:val="18"/>
              </w:rPr>
              <w:t xml:space="preserve"> the December 2021 cross-sectional analysis of the </w:t>
            </w:r>
            <w:r w:rsidR="00ED69D8">
              <w:rPr>
                <w:rFonts w:asciiTheme="minorHAnsi" w:hAnsiTheme="minorHAnsi" w:cstheme="minorHAnsi"/>
                <w:color w:val="000000"/>
                <w:sz w:val="18"/>
                <w:szCs w:val="18"/>
              </w:rPr>
              <w:t>Pulmonary Arterial Hypertension Society of Australia and New Zealand (</w:t>
            </w:r>
            <w:r w:rsidRPr="003A6592">
              <w:rPr>
                <w:rFonts w:asciiTheme="minorHAnsi" w:hAnsiTheme="minorHAnsi" w:cstheme="minorHAnsi"/>
                <w:color w:val="000000"/>
                <w:sz w:val="18"/>
                <w:szCs w:val="18"/>
              </w:rPr>
              <w:t>PHSANZ</w:t>
            </w:r>
            <w:r w:rsidR="00ED69D8">
              <w:rPr>
                <w:rFonts w:asciiTheme="minorHAnsi" w:hAnsiTheme="minorHAnsi" w:cstheme="minorHAnsi"/>
                <w:color w:val="000000"/>
                <w:sz w:val="18"/>
                <w:szCs w:val="18"/>
              </w:rPr>
              <w:t>)</w:t>
            </w:r>
            <w:r w:rsidRPr="003A6592">
              <w:rPr>
                <w:rFonts w:asciiTheme="minorHAnsi" w:hAnsiTheme="minorHAnsi" w:cstheme="minorHAnsi"/>
                <w:color w:val="000000"/>
                <w:sz w:val="18"/>
                <w:szCs w:val="18"/>
              </w:rPr>
              <w:t xml:space="preserve"> patient registry dat</w:t>
            </w:r>
            <w:r w:rsidR="00D73DF6">
              <w:rPr>
                <w:rFonts w:asciiTheme="minorHAnsi" w:hAnsiTheme="minorHAnsi" w:cstheme="minorHAnsi"/>
                <w:color w:val="000000"/>
                <w:sz w:val="18"/>
                <w:szCs w:val="18"/>
              </w:rPr>
              <w:t>a</w:t>
            </w:r>
            <w:r w:rsidR="00F12B5D">
              <w:rPr>
                <w:rFonts w:asciiTheme="minorHAnsi" w:hAnsiTheme="minorHAnsi" w:cstheme="minorHAnsi"/>
                <w:color w:val="000000"/>
                <w:sz w:val="18"/>
                <w:szCs w:val="18"/>
              </w:rPr>
              <w:t>;</w:t>
            </w:r>
            <w:r w:rsidRPr="003A6592">
              <w:rPr>
                <w:rFonts w:asciiTheme="minorHAnsi" w:hAnsiTheme="minorHAnsi" w:cstheme="minorHAnsi"/>
                <w:color w:val="000000"/>
                <w:sz w:val="18"/>
                <w:szCs w:val="18"/>
              </w:rPr>
              <w:t xml:space="preserve"> proposed PBS restrictions for dual ERA + </w:t>
            </w:r>
            <w:proofErr w:type="spellStart"/>
            <w:r w:rsidRPr="003A6592">
              <w:rPr>
                <w:rFonts w:asciiTheme="minorHAnsi" w:hAnsiTheme="minorHAnsi" w:cstheme="minorHAnsi"/>
                <w:color w:val="000000"/>
                <w:sz w:val="18"/>
                <w:szCs w:val="18"/>
              </w:rPr>
              <w:t>prostanoid</w:t>
            </w:r>
            <w:proofErr w:type="spellEnd"/>
            <w:r w:rsidRPr="003A6592">
              <w:rPr>
                <w:rFonts w:asciiTheme="minorHAnsi" w:hAnsiTheme="minorHAnsi" w:cstheme="minorHAnsi"/>
                <w:color w:val="000000"/>
                <w:sz w:val="18"/>
                <w:szCs w:val="18"/>
              </w:rPr>
              <w:t xml:space="preserve"> therapy</w:t>
            </w:r>
            <w:r w:rsidR="00F12B5D">
              <w:rPr>
                <w:rFonts w:asciiTheme="minorHAnsi" w:hAnsiTheme="minorHAnsi" w:cstheme="minorHAnsi"/>
                <w:color w:val="000000"/>
                <w:sz w:val="18"/>
                <w:szCs w:val="18"/>
              </w:rPr>
              <w:t>;</w:t>
            </w:r>
            <w:r w:rsidRPr="003A6592">
              <w:rPr>
                <w:rFonts w:asciiTheme="minorHAnsi" w:hAnsiTheme="minorHAnsi" w:cstheme="minorHAnsi"/>
                <w:color w:val="000000"/>
                <w:sz w:val="18"/>
                <w:szCs w:val="18"/>
              </w:rPr>
              <w:t xml:space="preserve"> February 2022 DUSC advice</w:t>
            </w:r>
            <w:r w:rsidR="00F12B5D">
              <w:rPr>
                <w:rFonts w:asciiTheme="minorHAnsi" w:hAnsiTheme="minorHAnsi" w:cstheme="minorHAnsi"/>
                <w:color w:val="000000"/>
                <w:sz w:val="18"/>
                <w:szCs w:val="18"/>
              </w:rPr>
              <w:t>;</w:t>
            </w:r>
            <w:r w:rsidRPr="003A6592">
              <w:rPr>
                <w:rFonts w:asciiTheme="minorHAnsi" w:hAnsiTheme="minorHAnsi" w:cstheme="minorHAnsi"/>
                <w:color w:val="000000"/>
                <w:sz w:val="18"/>
                <w:szCs w:val="18"/>
              </w:rPr>
              <w:t xml:space="preserve"> and the sponsors’ pre-subcommittee and pre-PBAC responses. </w:t>
            </w:r>
          </w:p>
          <w:p w14:paraId="7BFE91D1" w14:textId="77777777" w:rsidR="003A6592" w:rsidRPr="003A6592" w:rsidRDefault="003A6592" w:rsidP="00610837">
            <w:pPr>
              <w:jc w:val="both"/>
              <w:rPr>
                <w:rFonts w:asciiTheme="minorHAnsi" w:hAnsiTheme="minorHAnsi" w:cstheme="minorHAnsi"/>
                <w:color w:val="000000"/>
                <w:sz w:val="18"/>
                <w:szCs w:val="18"/>
              </w:rPr>
            </w:pPr>
          </w:p>
          <w:p w14:paraId="203A8778" w14:textId="3EC373C8" w:rsidR="003A6592" w:rsidRDefault="003A6592" w:rsidP="00610837">
            <w:pPr>
              <w:jc w:val="both"/>
              <w:rPr>
                <w:rFonts w:asciiTheme="minorHAnsi" w:hAnsiTheme="minorHAnsi" w:cstheme="minorHAnsi"/>
                <w:color w:val="000000"/>
                <w:sz w:val="18"/>
                <w:szCs w:val="18"/>
              </w:rPr>
            </w:pPr>
            <w:r w:rsidRPr="003A6592">
              <w:rPr>
                <w:rFonts w:asciiTheme="minorHAnsi" w:hAnsiTheme="minorHAnsi" w:cstheme="minorHAnsi"/>
                <w:color w:val="000000"/>
                <w:sz w:val="18"/>
                <w:szCs w:val="18"/>
              </w:rPr>
              <w:t>Overall, the PBAC accepted the key findings presented in the medicine utilisation and cost analysis and the patient registry analysis.</w:t>
            </w:r>
          </w:p>
          <w:p w14:paraId="6B3D9838" w14:textId="77777777" w:rsidR="003A6592" w:rsidRPr="003A6592" w:rsidRDefault="003A6592" w:rsidP="00610837">
            <w:pPr>
              <w:jc w:val="both"/>
              <w:rPr>
                <w:rFonts w:asciiTheme="minorHAnsi" w:hAnsiTheme="minorHAnsi" w:cstheme="minorHAnsi"/>
                <w:color w:val="000000"/>
                <w:sz w:val="18"/>
                <w:szCs w:val="18"/>
              </w:rPr>
            </w:pPr>
          </w:p>
          <w:p w14:paraId="006BD1C0" w14:textId="5FCC2D88" w:rsidR="003A6592" w:rsidRDefault="003A6592" w:rsidP="00610837">
            <w:pPr>
              <w:jc w:val="both"/>
              <w:rPr>
                <w:rFonts w:asciiTheme="minorHAnsi" w:hAnsiTheme="minorHAnsi" w:cstheme="minorHAnsi"/>
                <w:color w:val="000000"/>
                <w:sz w:val="18"/>
                <w:szCs w:val="18"/>
              </w:rPr>
            </w:pPr>
            <w:r w:rsidRPr="003A6592">
              <w:rPr>
                <w:rFonts w:asciiTheme="minorHAnsi" w:hAnsiTheme="minorHAnsi" w:cstheme="minorHAnsi"/>
                <w:color w:val="000000"/>
                <w:sz w:val="18"/>
                <w:szCs w:val="18"/>
              </w:rPr>
              <w:t>The PBAC noted DUSC advice that subsidising dual ERA (</w:t>
            </w:r>
            <w:proofErr w:type="spellStart"/>
            <w:r w:rsidRPr="003A6592">
              <w:rPr>
                <w:rFonts w:asciiTheme="minorHAnsi" w:hAnsiTheme="minorHAnsi" w:cstheme="minorHAnsi"/>
                <w:color w:val="000000"/>
                <w:sz w:val="18"/>
                <w:szCs w:val="18"/>
              </w:rPr>
              <w:t>ambrisentan</w:t>
            </w:r>
            <w:proofErr w:type="spellEnd"/>
            <w:r w:rsidRPr="003A6592">
              <w:rPr>
                <w:rFonts w:asciiTheme="minorHAnsi" w:hAnsiTheme="minorHAnsi" w:cstheme="minorHAnsi"/>
                <w:color w:val="000000"/>
                <w:sz w:val="18"/>
                <w:szCs w:val="18"/>
              </w:rPr>
              <w:t xml:space="preserve">, </w:t>
            </w:r>
            <w:proofErr w:type="spellStart"/>
            <w:r w:rsidRPr="003A6592">
              <w:rPr>
                <w:rFonts w:asciiTheme="minorHAnsi" w:hAnsiTheme="minorHAnsi" w:cstheme="minorHAnsi"/>
                <w:color w:val="000000"/>
                <w:sz w:val="18"/>
                <w:szCs w:val="18"/>
              </w:rPr>
              <w:t>bosentan</w:t>
            </w:r>
            <w:proofErr w:type="spellEnd"/>
            <w:r w:rsidRPr="003A6592">
              <w:rPr>
                <w:rFonts w:asciiTheme="minorHAnsi" w:hAnsiTheme="minorHAnsi" w:cstheme="minorHAnsi"/>
                <w:color w:val="000000"/>
                <w:sz w:val="18"/>
                <w:szCs w:val="18"/>
              </w:rPr>
              <w:t xml:space="preserve">, </w:t>
            </w:r>
            <w:proofErr w:type="spellStart"/>
            <w:r w:rsidRPr="003A6592">
              <w:rPr>
                <w:rFonts w:asciiTheme="minorHAnsi" w:hAnsiTheme="minorHAnsi" w:cstheme="minorHAnsi"/>
                <w:color w:val="000000"/>
                <w:sz w:val="18"/>
                <w:szCs w:val="18"/>
              </w:rPr>
              <w:t>macitentan</w:t>
            </w:r>
            <w:proofErr w:type="spellEnd"/>
            <w:r w:rsidRPr="003A6592">
              <w:rPr>
                <w:rFonts w:asciiTheme="minorHAnsi" w:hAnsiTheme="minorHAnsi" w:cstheme="minorHAnsi"/>
                <w:color w:val="000000"/>
                <w:sz w:val="18"/>
                <w:szCs w:val="18"/>
              </w:rPr>
              <w:t xml:space="preserve">) + </w:t>
            </w:r>
            <w:proofErr w:type="spellStart"/>
            <w:r w:rsidRPr="003A6592">
              <w:rPr>
                <w:rFonts w:asciiTheme="minorHAnsi" w:hAnsiTheme="minorHAnsi" w:cstheme="minorHAnsi"/>
                <w:color w:val="000000"/>
                <w:sz w:val="18"/>
                <w:szCs w:val="18"/>
              </w:rPr>
              <w:t>prostanoid</w:t>
            </w:r>
            <w:proofErr w:type="spellEnd"/>
            <w:r w:rsidRPr="003A6592">
              <w:rPr>
                <w:rFonts w:asciiTheme="minorHAnsi" w:hAnsiTheme="minorHAnsi" w:cstheme="minorHAnsi"/>
                <w:color w:val="000000"/>
                <w:sz w:val="18"/>
                <w:szCs w:val="18"/>
              </w:rPr>
              <w:t xml:space="preserve"> (</w:t>
            </w:r>
            <w:proofErr w:type="spellStart"/>
            <w:r w:rsidRPr="003A6592">
              <w:rPr>
                <w:rFonts w:asciiTheme="minorHAnsi" w:hAnsiTheme="minorHAnsi" w:cstheme="minorHAnsi"/>
                <w:color w:val="000000"/>
                <w:sz w:val="18"/>
                <w:szCs w:val="18"/>
              </w:rPr>
              <w:t>epoprostenol</w:t>
            </w:r>
            <w:proofErr w:type="spellEnd"/>
            <w:r w:rsidRPr="003A6592">
              <w:rPr>
                <w:rFonts w:asciiTheme="minorHAnsi" w:hAnsiTheme="minorHAnsi" w:cstheme="minorHAnsi"/>
                <w:color w:val="000000"/>
                <w:sz w:val="18"/>
                <w:szCs w:val="18"/>
              </w:rPr>
              <w:t xml:space="preserve">, </w:t>
            </w:r>
            <w:proofErr w:type="spellStart"/>
            <w:r w:rsidRPr="003A6592">
              <w:rPr>
                <w:rFonts w:asciiTheme="minorHAnsi" w:hAnsiTheme="minorHAnsi" w:cstheme="minorHAnsi"/>
                <w:color w:val="000000"/>
                <w:sz w:val="18"/>
                <w:szCs w:val="18"/>
              </w:rPr>
              <w:t>iloprost</w:t>
            </w:r>
            <w:proofErr w:type="spellEnd"/>
            <w:r w:rsidRPr="003A6592">
              <w:rPr>
                <w:rFonts w:asciiTheme="minorHAnsi" w:hAnsiTheme="minorHAnsi" w:cstheme="minorHAnsi"/>
                <w:color w:val="000000"/>
                <w:sz w:val="18"/>
                <w:szCs w:val="18"/>
              </w:rPr>
              <w:t xml:space="preserve">) therapy first line for patients with WHO FC IV symptoms and second line for patients with WHO FC III symptoms was unlikely to cause a major change in PBS </w:t>
            </w:r>
            <w:proofErr w:type="spellStart"/>
            <w:r w:rsidRPr="003A6592">
              <w:rPr>
                <w:rFonts w:asciiTheme="minorHAnsi" w:hAnsiTheme="minorHAnsi" w:cstheme="minorHAnsi"/>
                <w:color w:val="000000"/>
                <w:sz w:val="18"/>
                <w:szCs w:val="18"/>
              </w:rPr>
              <w:t>prostanoid</w:t>
            </w:r>
            <w:proofErr w:type="spellEnd"/>
            <w:r w:rsidRPr="003A6592">
              <w:rPr>
                <w:rFonts w:asciiTheme="minorHAnsi" w:hAnsiTheme="minorHAnsi" w:cstheme="minorHAnsi"/>
                <w:color w:val="000000"/>
                <w:sz w:val="18"/>
                <w:szCs w:val="18"/>
              </w:rPr>
              <w:t xml:space="preserve"> utilisation. </w:t>
            </w:r>
          </w:p>
          <w:p w14:paraId="36FBB48A" w14:textId="77777777" w:rsidR="003A6592" w:rsidRPr="003A6592" w:rsidRDefault="003A6592" w:rsidP="00610837">
            <w:pPr>
              <w:jc w:val="both"/>
              <w:rPr>
                <w:rFonts w:asciiTheme="minorHAnsi" w:hAnsiTheme="minorHAnsi" w:cstheme="minorHAnsi"/>
                <w:color w:val="000000"/>
                <w:sz w:val="18"/>
                <w:szCs w:val="18"/>
              </w:rPr>
            </w:pPr>
          </w:p>
          <w:p w14:paraId="7BA61A48" w14:textId="7EC6BC6D" w:rsidR="003A6592" w:rsidRDefault="003A6592" w:rsidP="00610837">
            <w:pPr>
              <w:jc w:val="both"/>
              <w:rPr>
                <w:rFonts w:asciiTheme="minorHAnsi" w:hAnsiTheme="minorHAnsi" w:cstheme="minorHAnsi"/>
                <w:color w:val="000000"/>
                <w:sz w:val="18"/>
                <w:szCs w:val="18"/>
              </w:rPr>
            </w:pPr>
            <w:r w:rsidRPr="003A6592">
              <w:rPr>
                <w:rFonts w:asciiTheme="minorHAnsi" w:hAnsiTheme="minorHAnsi" w:cstheme="minorHAnsi"/>
                <w:color w:val="000000"/>
                <w:sz w:val="18"/>
                <w:szCs w:val="18"/>
              </w:rPr>
              <w:t xml:space="preserve">The PBAC also noted the DUSC advice and PHSANZ input that subsidy of ERA + </w:t>
            </w:r>
            <w:proofErr w:type="spellStart"/>
            <w:r w:rsidRPr="003A6592">
              <w:rPr>
                <w:rFonts w:asciiTheme="minorHAnsi" w:hAnsiTheme="minorHAnsi" w:cstheme="minorHAnsi"/>
                <w:color w:val="000000"/>
                <w:sz w:val="18"/>
                <w:szCs w:val="18"/>
              </w:rPr>
              <w:t>prostanoid</w:t>
            </w:r>
            <w:proofErr w:type="spellEnd"/>
            <w:r w:rsidRPr="003A6592">
              <w:rPr>
                <w:rFonts w:asciiTheme="minorHAnsi" w:hAnsiTheme="minorHAnsi" w:cstheme="minorHAnsi"/>
                <w:color w:val="000000"/>
                <w:sz w:val="18"/>
                <w:szCs w:val="18"/>
              </w:rPr>
              <w:t xml:space="preserve"> dual therapy will likely result in those patients currently using ERA + phosphodiesterase-5 inhibitor (PDE-5i) + </w:t>
            </w:r>
            <w:proofErr w:type="spellStart"/>
            <w:r w:rsidRPr="003A6592">
              <w:rPr>
                <w:rFonts w:asciiTheme="minorHAnsi" w:hAnsiTheme="minorHAnsi" w:cstheme="minorHAnsi"/>
                <w:color w:val="000000"/>
                <w:sz w:val="18"/>
                <w:szCs w:val="18"/>
              </w:rPr>
              <w:t>prostanoid</w:t>
            </w:r>
            <w:proofErr w:type="spellEnd"/>
            <w:r w:rsidRPr="003A6592">
              <w:rPr>
                <w:rFonts w:asciiTheme="minorHAnsi" w:hAnsiTheme="minorHAnsi" w:cstheme="minorHAnsi"/>
                <w:color w:val="000000"/>
                <w:sz w:val="18"/>
                <w:szCs w:val="18"/>
              </w:rPr>
              <w:t xml:space="preserve"> triple therapy shifting from PBS subsidised PDE-5i + PBS </w:t>
            </w:r>
            <w:proofErr w:type="spellStart"/>
            <w:r w:rsidRPr="003A6592">
              <w:rPr>
                <w:rFonts w:asciiTheme="minorHAnsi" w:hAnsiTheme="minorHAnsi" w:cstheme="minorHAnsi"/>
                <w:color w:val="000000"/>
                <w:sz w:val="18"/>
                <w:szCs w:val="18"/>
              </w:rPr>
              <w:t>prostanoid</w:t>
            </w:r>
            <w:proofErr w:type="spellEnd"/>
            <w:r w:rsidRPr="003A6592">
              <w:rPr>
                <w:rFonts w:asciiTheme="minorHAnsi" w:hAnsiTheme="minorHAnsi" w:cstheme="minorHAnsi"/>
                <w:color w:val="000000"/>
                <w:sz w:val="18"/>
                <w:szCs w:val="18"/>
              </w:rPr>
              <w:t xml:space="preserve"> (and receiving the ERA via non-PBS sources) to PBS subsidised ERA + PBS subsidised </w:t>
            </w:r>
            <w:proofErr w:type="spellStart"/>
            <w:r w:rsidRPr="003A6592">
              <w:rPr>
                <w:rFonts w:asciiTheme="minorHAnsi" w:hAnsiTheme="minorHAnsi" w:cstheme="minorHAnsi"/>
                <w:color w:val="000000"/>
                <w:sz w:val="18"/>
                <w:szCs w:val="18"/>
              </w:rPr>
              <w:t>prostanoid</w:t>
            </w:r>
            <w:proofErr w:type="spellEnd"/>
            <w:r w:rsidRPr="003A6592">
              <w:rPr>
                <w:rFonts w:asciiTheme="minorHAnsi" w:hAnsiTheme="minorHAnsi" w:cstheme="minorHAnsi"/>
                <w:color w:val="000000"/>
                <w:sz w:val="18"/>
                <w:szCs w:val="18"/>
              </w:rPr>
              <w:t xml:space="preserve"> (and receiving the PDE-5i via a non-PBS source). DUSC was concerned that this could lead to potential inequities in access to PDE-5i medicines for these patients. </w:t>
            </w:r>
          </w:p>
          <w:p w14:paraId="29379B5C" w14:textId="77777777" w:rsidR="003A6592" w:rsidRPr="003A6592" w:rsidRDefault="003A6592" w:rsidP="00610837">
            <w:pPr>
              <w:jc w:val="both"/>
              <w:rPr>
                <w:rFonts w:asciiTheme="minorHAnsi" w:hAnsiTheme="minorHAnsi" w:cstheme="minorHAnsi"/>
                <w:color w:val="000000"/>
                <w:sz w:val="18"/>
                <w:szCs w:val="18"/>
              </w:rPr>
            </w:pPr>
          </w:p>
          <w:p w14:paraId="5DF6A98C" w14:textId="7BC12A93" w:rsidR="003A6592" w:rsidRPr="003A6592" w:rsidRDefault="003A6592" w:rsidP="00610837">
            <w:pPr>
              <w:jc w:val="both"/>
              <w:rPr>
                <w:rFonts w:asciiTheme="minorHAnsi" w:hAnsiTheme="minorHAnsi" w:cstheme="minorHAnsi"/>
                <w:color w:val="000000"/>
                <w:sz w:val="18"/>
                <w:szCs w:val="18"/>
              </w:rPr>
            </w:pPr>
            <w:r w:rsidRPr="003A6592">
              <w:rPr>
                <w:rFonts w:asciiTheme="minorHAnsi" w:hAnsiTheme="minorHAnsi" w:cstheme="minorHAnsi"/>
                <w:color w:val="000000"/>
                <w:sz w:val="18"/>
                <w:szCs w:val="18"/>
              </w:rPr>
              <w:t>The PBAC noted DUSC advice that the additional cost of subsidising the PDE-5i for this group of patients is less than $1 million per year and would have a small effect on the overall net cost to the PBS.</w:t>
            </w:r>
            <w:r>
              <w:rPr>
                <w:rFonts w:asciiTheme="minorHAnsi" w:hAnsiTheme="minorHAnsi" w:cstheme="minorHAnsi"/>
                <w:color w:val="000000"/>
                <w:sz w:val="18"/>
                <w:szCs w:val="18"/>
              </w:rPr>
              <w:t xml:space="preserve"> </w:t>
            </w:r>
            <w:r w:rsidRPr="003A6592">
              <w:rPr>
                <w:rFonts w:asciiTheme="minorHAnsi" w:hAnsiTheme="minorHAnsi" w:cstheme="minorHAnsi"/>
                <w:color w:val="000000"/>
                <w:sz w:val="18"/>
                <w:szCs w:val="18"/>
              </w:rPr>
              <w:t xml:space="preserve">The PBAC recommended the subsidy of ERA + </w:t>
            </w:r>
            <w:proofErr w:type="spellStart"/>
            <w:r w:rsidRPr="003A6592">
              <w:rPr>
                <w:rFonts w:asciiTheme="minorHAnsi" w:hAnsiTheme="minorHAnsi" w:cstheme="minorHAnsi"/>
                <w:color w:val="000000"/>
                <w:sz w:val="18"/>
                <w:szCs w:val="18"/>
              </w:rPr>
              <w:t>prostanoid</w:t>
            </w:r>
            <w:proofErr w:type="spellEnd"/>
            <w:r w:rsidRPr="003A6592">
              <w:rPr>
                <w:rFonts w:asciiTheme="minorHAnsi" w:hAnsiTheme="minorHAnsi" w:cstheme="minorHAnsi"/>
                <w:color w:val="000000"/>
                <w:sz w:val="18"/>
                <w:szCs w:val="18"/>
              </w:rPr>
              <w:t xml:space="preserve"> dual therapy, first line for patients with PAH with WHO FC IV symptoms and second line for patients with PAH with WHO FC III symptoms.</w:t>
            </w:r>
          </w:p>
          <w:p w14:paraId="5AD35233" w14:textId="77777777" w:rsidR="003A6592" w:rsidRPr="003A6592" w:rsidRDefault="003A6592" w:rsidP="00610837">
            <w:pPr>
              <w:keepLines/>
              <w:widowControl w:val="0"/>
              <w:jc w:val="both"/>
              <w:rPr>
                <w:rFonts w:asciiTheme="minorHAnsi" w:hAnsiTheme="minorHAnsi" w:cs="Arial"/>
                <w:snapToGrid w:val="0"/>
                <w:sz w:val="18"/>
                <w:szCs w:val="18"/>
              </w:rPr>
            </w:pPr>
          </w:p>
          <w:p w14:paraId="08D5A2EA" w14:textId="3D252741" w:rsidR="003A6592" w:rsidRPr="003A6592" w:rsidRDefault="003A6592" w:rsidP="00610837">
            <w:pPr>
              <w:jc w:val="both"/>
              <w:rPr>
                <w:rFonts w:asciiTheme="minorHAnsi" w:hAnsiTheme="minorHAnsi" w:cstheme="minorHAnsi"/>
                <w:color w:val="000000"/>
                <w:sz w:val="18"/>
                <w:szCs w:val="18"/>
              </w:rPr>
            </w:pPr>
            <w:r w:rsidRPr="003A6592">
              <w:rPr>
                <w:rFonts w:asciiTheme="minorHAnsi" w:hAnsiTheme="minorHAnsi" w:cstheme="minorHAnsi"/>
                <w:color w:val="000000"/>
                <w:sz w:val="18"/>
                <w:szCs w:val="18"/>
              </w:rPr>
              <w:t xml:space="preserve">The PBAC considered that the estimated total additional PBS expenditure for ERA + </w:t>
            </w:r>
            <w:proofErr w:type="spellStart"/>
            <w:r w:rsidRPr="003A6592">
              <w:rPr>
                <w:rFonts w:asciiTheme="minorHAnsi" w:hAnsiTheme="minorHAnsi" w:cstheme="minorHAnsi"/>
                <w:color w:val="000000"/>
                <w:sz w:val="18"/>
                <w:szCs w:val="18"/>
              </w:rPr>
              <w:t>prostanoid</w:t>
            </w:r>
            <w:proofErr w:type="spellEnd"/>
            <w:r w:rsidRPr="003A6592">
              <w:rPr>
                <w:rFonts w:asciiTheme="minorHAnsi" w:hAnsiTheme="minorHAnsi" w:cstheme="minorHAnsi"/>
                <w:color w:val="000000"/>
                <w:sz w:val="18"/>
                <w:szCs w:val="18"/>
              </w:rPr>
              <w:t xml:space="preserve"> dual therapy of $40.9 million (published prices) over the five years 2022-26 was likely at the upper limit and requested that revised estimates be prepared closer to the time of implementation on the PBS. The PBAC noted that Grandfather patients had been included in the financial estimates.</w:t>
            </w:r>
          </w:p>
          <w:p w14:paraId="06D7969F" w14:textId="77777777" w:rsidR="003A6592" w:rsidRPr="003A6592" w:rsidRDefault="003A6592" w:rsidP="00610837">
            <w:pPr>
              <w:jc w:val="both"/>
              <w:rPr>
                <w:rFonts w:asciiTheme="minorHAnsi" w:hAnsiTheme="minorHAnsi" w:cstheme="minorHAnsi"/>
                <w:color w:val="000000"/>
                <w:sz w:val="18"/>
                <w:szCs w:val="18"/>
              </w:rPr>
            </w:pPr>
          </w:p>
          <w:p w14:paraId="58363607" w14:textId="30C397FB" w:rsidR="003A6592" w:rsidRPr="003A6592" w:rsidRDefault="003A6592" w:rsidP="00610837">
            <w:pPr>
              <w:jc w:val="both"/>
              <w:rPr>
                <w:rFonts w:asciiTheme="minorHAnsi" w:hAnsiTheme="minorHAnsi" w:cstheme="minorHAnsi"/>
                <w:color w:val="000000"/>
                <w:sz w:val="18"/>
                <w:szCs w:val="18"/>
              </w:rPr>
            </w:pPr>
            <w:r w:rsidRPr="003A6592">
              <w:rPr>
                <w:rFonts w:asciiTheme="minorHAnsi" w:hAnsiTheme="minorHAnsi" w:cstheme="minorHAnsi"/>
                <w:color w:val="000000"/>
                <w:sz w:val="18"/>
                <w:szCs w:val="18"/>
              </w:rPr>
              <w:t xml:space="preserve">The PBAC recommended the listing of ERA + inhaled/intravenous </w:t>
            </w:r>
            <w:proofErr w:type="spellStart"/>
            <w:r w:rsidRPr="003A6592">
              <w:rPr>
                <w:rFonts w:asciiTheme="minorHAnsi" w:hAnsiTheme="minorHAnsi" w:cstheme="minorHAnsi"/>
                <w:color w:val="000000"/>
                <w:sz w:val="18"/>
                <w:szCs w:val="18"/>
              </w:rPr>
              <w:t>prostanoid</w:t>
            </w:r>
            <w:proofErr w:type="spellEnd"/>
            <w:r w:rsidRPr="003A6592">
              <w:rPr>
                <w:rFonts w:asciiTheme="minorHAnsi" w:hAnsiTheme="minorHAnsi" w:cstheme="minorHAnsi"/>
                <w:color w:val="000000"/>
                <w:sz w:val="18"/>
                <w:szCs w:val="18"/>
              </w:rPr>
              <w:t xml:space="preserve"> + PDE-5i triple therapy for patients with PAH WHO FC IV</w:t>
            </w:r>
            <w:r>
              <w:rPr>
                <w:rFonts w:asciiTheme="minorHAnsi" w:hAnsiTheme="minorHAnsi" w:cstheme="minorHAnsi"/>
                <w:color w:val="000000"/>
                <w:sz w:val="18"/>
                <w:szCs w:val="18"/>
              </w:rPr>
              <w:t xml:space="preserve"> </w:t>
            </w:r>
            <w:r w:rsidRPr="003A6592">
              <w:rPr>
                <w:rFonts w:asciiTheme="minorHAnsi" w:hAnsiTheme="minorHAnsi" w:cstheme="minorHAnsi"/>
                <w:color w:val="000000"/>
                <w:sz w:val="18"/>
                <w:szCs w:val="18"/>
              </w:rPr>
              <w:t>symptoms, based on DUSC advice that the additional cost of less than $1 million per year to the PBS would address current inequities in access and further align PBS restrictions with contemporary clinical guidelines.</w:t>
            </w:r>
          </w:p>
          <w:p w14:paraId="32C37DF0" w14:textId="77777777" w:rsidR="003A6592" w:rsidRPr="003A6592" w:rsidRDefault="003A6592" w:rsidP="00610837">
            <w:pPr>
              <w:jc w:val="both"/>
              <w:rPr>
                <w:rFonts w:asciiTheme="minorHAnsi" w:hAnsiTheme="minorHAnsi" w:cstheme="minorHAnsi"/>
                <w:color w:val="000000"/>
                <w:sz w:val="18"/>
                <w:szCs w:val="18"/>
              </w:rPr>
            </w:pPr>
          </w:p>
          <w:p w14:paraId="15B8E358" w14:textId="3AD6569B" w:rsidR="003A6592" w:rsidRPr="003A6592" w:rsidRDefault="003A6592" w:rsidP="00610837">
            <w:pPr>
              <w:jc w:val="both"/>
              <w:rPr>
                <w:rFonts w:asciiTheme="minorHAnsi" w:hAnsiTheme="minorHAnsi" w:cs="Arial"/>
                <w:snapToGrid w:val="0"/>
                <w:sz w:val="18"/>
                <w:szCs w:val="18"/>
              </w:rPr>
            </w:pPr>
            <w:r w:rsidRPr="003A6592">
              <w:rPr>
                <w:rFonts w:asciiTheme="minorHAnsi" w:hAnsiTheme="minorHAnsi" w:cstheme="minorHAnsi"/>
                <w:color w:val="000000"/>
                <w:sz w:val="18"/>
                <w:szCs w:val="18"/>
              </w:rPr>
              <w:t xml:space="preserve">The PBAC accepted the proposed ERA + </w:t>
            </w:r>
            <w:proofErr w:type="spellStart"/>
            <w:r w:rsidRPr="003A6592">
              <w:rPr>
                <w:rFonts w:asciiTheme="minorHAnsi" w:hAnsiTheme="minorHAnsi" w:cstheme="minorHAnsi"/>
                <w:color w:val="000000"/>
                <w:sz w:val="18"/>
                <w:szCs w:val="18"/>
              </w:rPr>
              <w:t>prostanoid</w:t>
            </w:r>
            <w:proofErr w:type="spellEnd"/>
            <w:r w:rsidRPr="003A6592">
              <w:rPr>
                <w:rFonts w:asciiTheme="minorHAnsi" w:hAnsiTheme="minorHAnsi" w:cstheme="minorHAnsi"/>
                <w:color w:val="000000"/>
                <w:sz w:val="18"/>
                <w:szCs w:val="18"/>
              </w:rPr>
              <w:t xml:space="preserve"> dual PBS restrictions, noting that flow on changes to ERA, </w:t>
            </w:r>
            <w:proofErr w:type="spellStart"/>
            <w:r w:rsidRPr="003A6592">
              <w:rPr>
                <w:rFonts w:asciiTheme="minorHAnsi" w:hAnsiTheme="minorHAnsi" w:cstheme="minorHAnsi"/>
                <w:color w:val="000000"/>
                <w:sz w:val="18"/>
                <w:szCs w:val="18"/>
              </w:rPr>
              <w:t>prostanoid</w:t>
            </w:r>
            <w:proofErr w:type="spellEnd"/>
            <w:r w:rsidRPr="003A6592">
              <w:rPr>
                <w:rFonts w:asciiTheme="minorHAnsi" w:hAnsiTheme="minorHAnsi" w:cstheme="minorHAnsi"/>
                <w:color w:val="000000"/>
                <w:sz w:val="18"/>
                <w:szCs w:val="18"/>
              </w:rPr>
              <w:t xml:space="preserve"> and PDE-5i medicine PBS restrictions, including grandfather restrictions, will be required to implement the recommendation as intended for ERA + inhaled/intravenous </w:t>
            </w:r>
            <w:proofErr w:type="spellStart"/>
            <w:r w:rsidRPr="003A6592">
              <w:rPr>
                <w:rFonts w:asciiTheme="minorHAnsi" w:hAnsiTheme="minorHAnsi" w:cstheme="minorHAnsi"/>
                <w:color w:val="000000"/>
                <w:sz w:val="18"/>
                <w:szCs w:val="18"/>
              </w:rPr>
              <w:t>prostanoid</w:t>
            </w:r>
            <w:proofErr w:type="spellEnd"/>
            <w:r w:rsidRPr="003A6592">
              <w:rPr>
                <w:rFonts w:asciiTheme="minorHAnsi" w:hAnsiTheme="minorHAnsi" w:cstheme="minorHAnsi"/>
                <w:color w:val="000000"/>
                <w:sz w:val="18"/>
                <w:szCs w:val="18"/>
              </w:rPr>
              <w:t xml:space="preserve"> + PDE-5i triple therapy.</w:t>
            </w:r>
          </w:p>
        </w:tc>
      </w:tr>
      <w:tr w:rsidR="00496DD8" w:rsidRPr="00062FEE" w14:paraId="1B3EE3E1" w14:textId="77777777" w:rsidTr="00610837">
        <w:trPr>
          <w:cantSplit/>
          <w:trHeight w:val="58"/>
        </w:trPr>
        <w:tc>
          <w:tcPr>
            <w:tcW w:w="873" w:type="pct"/>
            <w:shd w:val="clear" w:color="auto" w:fill="auto"/>
            <w:vAlign w:val="center"/>
          </w:tcPr>
          <w:p w14:paraId="56DDE166" w14:textId="5F20E150" w:rsidR="00496DD8" w:rsidRPr="00610837" w:rsidRDefault="00496DD8">
            <w:pPr>
              <w:jc w:val="center"/>
              <w:rPr>
                <w:rFonts w:asciiTheme="minorHAnsi" w:hAnsiTheme="minorHAnsi" w:cstheme="minorHAnsi"/>
                <w:sz w:val="18"/>
                <w:szCs w:val="18"/>
              </w:rPr>
            </w:pPr>
            <w:r w:rsidRPr="00610837">
              <w:rPr>
                <w:rFonts w:asciiTheme="minorHAnsi" w:hAnsiTheme="minorHAnsi" w:cstheme="minorHAnsi"/>
                <w:sz w:val="18"/>
                <w:szCs w:val="18"/>
              </w:rPr>
              <w:lastRenderedPageBreak/>
              <w:t>Cost-effectiveness review (CER) of s</w:t>
            </w:r>
            <w:r w:rsidRPr="00610837">
              <w:rPr>
                <w:rFonts w:asciiTheme="minorHAnsi" w:hAnsiTheme="minorHAnsi" w:cstheme="minorHAnsi"/>
                <w:snapToGrid w:val="0"/>
                <w:sz w:val="18"/>
                <w:szCs w:val="18"/>
              </w:rPr>
              <w:t>odium-glucose cotransporter-2 (</w:t>
            </w:r>
            <w:r w:rsidRPr="00610837">
              <w:rPr>
                <w:rFonts w:asciiTheme="minorHAnsi" w:hAnsiTheme="minorHAnsi" w:cstheme="minorHAnsi"/>
                <w:sz w:val="18"/>
                <w:szCs w:val="18"/>
              </w:rPr>
              <w:t>SGLT2) inhibitor medicines</w:t>
            </w:r>
          </w:p>
          <w:p w14:paraId="191CF134" w14:textId="77777777" w:rsidR="00496DD8" w:rsidRPr="00610837" w:rsidRDefault="00496DD8" w:rsidP="00496DD8">
            <w:pPr>
              <w:jc w:val="center"/>
              <w:rPr>
                <w:rFonts w:asciiTheme="minorHAnsi" w:hAnsiTheme="minorHAnsi" w:cstheme="minorHAnsi"/>
                <w:sz w:val="18"/>
                <w:szCs w:val="18"/>
              </w:rPr>
            </w:pPr>
          </w:p>
          <w:p w14:paraId="065E27FE" w14:textId="77777777" w:rsidR="00496DD8" w:rsidRPr="00610837" w:rsidRDefault="00496DD8" w:rsidP="00496DD8">
            <w:pPr>
              <w:rPr>
                <w:rFonts w:asciiTheme="minorHAnsi" w:hAnsiTheme="minorHAnsi" w:cstheme="minorHAnsi"/>
                <w:b/>
                <w:sz w:val="18"/>
                <w:szCs w:val="18"/>
              </w:rPr>
            </w:pPr>
            <w:r w:rsidRPr="00610837">
              <w:rPr>
                <w:rFonts w:asciiTheme="minorHAnsi" w:hAnsiTheme="minorHAnsi" w:cstheme="minorHAnsi"/>
                <w:b/>
                <w:sz w:val="18"/>
                <w:szCs w:val="18"/>
              </w:rPr>
              <w:t>DAPAGLIFLOZIN</w:t>
            </w:r>
          </w:p>
          <w:p w14:paraId="6530F56A" w14:textId="77777777" w:rsidR="00496DD8" w:rsidRPr="00610837" w:rsidRDefault="00496DD8" w:rsidP="00496DD8">
            <w:pPr>
              <w:rPr>
                <w:rFonts w:asciiTheme="minorHAnsi" w:hAnsiTheme="minorHAnsi" w:cstheme="minorHAnsi"/>
                <w:sz w:val="18"/>
                <w:szCs w:val="18"/>
              </w:rPr>
            </w:pPr>
          </w:p>
          <w:p w14:paraId="2243E1EA" w14:textId="77777777" w:rsidR="00496DD8" w:rsidRPr="00610837" w:rsidRDefault="00496DD8" w:rsidP="00496DD8">
            <w:pPr>
              <w:rPr>
                <w:rFonts w:asciiTheme="minorHAnsi" w:hAnsiTheme="minorHAnsi" w:cstheme="minorHAnsi"/>
                <w:sz w:val="18"/>
                <w:szCs w:val="18"/>
              </w:rPr>
            </w:pPr>
            <w:r w:rsidRPr="00610837">
              <w:rPr>
                <w:rFonts w:asciiTheme="minorHAnsi" w:hAnsiTheme="minorHAnsi" w:cstheme="minorHAnsi"/>
                <w:sz w:val="18"/>
                <w:szCs w:val="18"/>
              </w:rPr>
              <w:t>Tablet 10 mg</w:t>
            </w:r>
          </w:p>
          <w:p w14:paraId="786FC765" w14:textId="77777777" w:rsidR="00496DD8" w:rsidRPr="00610837" w:rsidRDefault="00496DD8" w:rsidP="00496DD8">
            <w:pPr>
              <w:rPr>
                <w:rFonts w:asciiTheme="minorHAnsi" w:hAnsiTheme="minorHAnsi" w:cstheme="minorHAnsi"/>
                <w:sz w:val="18"/>
                <w:szCs w:val="18"/>
              </w:rPr>
            </w:pPr>
            <w:r w:rsidRPr="00610837">
              <w:rPr>
                <w:rFonts w:asciiTheme="minorHAnsi" w:hAnsiTheme="minorHAnsi" w:cstheme="minorHAnsi"/>
                <w:sz w:val="18"/>
                <w:szCs w:val="18"/>
              </w:rPr>
              <w:t>Forxiga®</w:t>
            </w:r>
          </w:p>
          <w:p w14:paraId="2D0B3F6E" w14:textId="77777777" w:rsidR="00496DD8" w:rsidRPr="00610837" w:rsidRDefault="00496DD8" w:rsidP="00496DD8">
            <w:pPr>
              <w:rPr>
                <w:rFonts w:asciiTheme="minorHAnsi" w:hAnsiTheme="minorHAnsi" w:cstheme="minorHAnsi"/>
                <w:sz w:val="18"/>
                <w:szCs w:val="18"/>
              </w:rPr>
            </w:pPr>
            <w:r w:rsidRPr="00610837">
              <w:rPr>
                <w:rFonts w:asciiTheme="minorHAnsi" w:hAnsiTheme="minorHAnsi" w:cstheme="minorHAnsi"/>
                <w:sz w:val="18"/>
                <w:szCs w:val="18"/>
              </w:rPr>
              <w:t>AstraZeneca Pty Ltd</w:t>
            </w:r>
          </w:p>
          <w:p w14:paraId="7917012E" w14:textId="77777777" w:rsidR="00496DD8" w:rsidRPr="00610837" w:rsidRDefault="00496DD8" w:rsidP="00496DD8">
            <w:pPr>
              <w:rPr>
                <w:rFonts w:asciiTheme="minorHAnsi" w:hAnsiTheme="minorHAnsi" w:cstheme="minorHAnsi"/>
                <w:sz w:val="18"/>
                <w:szCs w:val="18"/>
              </w:rPr>
            </w:pPr>
          </w:p>
          <w:p w14:paraId="02953913" w14:textId="77777777" w:rsidR="00496DD8" w:rsidRPr="00610837" w:rsidRDefault="00496DD8" w:rsidP="00496DD8">
            <w:pPr>
              <w:rPr>
                <w:rFonts w:asciiTheme="minorHAnsi" w:hAnsiTheme="minorHAnsi" w:cstheme="minorHAnsi"/>
                <w:b/>
                <w:sz w:val="18"/>
                <w:szCs w:val="18"/>
              </w:rPr>
            </w:pPr>
            <w:r w:rsidRPr="00610837">
              <w:rPr>
                <w:rFonts w:asciiTheme="minorHAnsi" w:hAnsiTheme="minorHAnsi" w:cstheme="minorHAnsi"/>
                <w:b/>
                <w:sz w:val="18"/>
                <w:szCs w:val="18"/>
              </w:rPr>
              <w:t>DAPAGLIFLOZIN + METFORMIN</w:t>
            </w:r>
          </w:p>
          <w:p w14:paraId="31BB4F04" w14:textId="77777777" w:rsidR="00496DD8" w:rsidRPr="00610837" w:rsidRDefault="00496DD8" w:rsidP="00496DD8">
            <w:pPr>
              <w:rPr>
                <w:rFonts w:asciiTheme="minorHAnsi" w:hAnsiTheme="minorHAnsi" w:cstheme="minorHAnsi"/>
                <w:sz w:val="18"/>
                <w:szCs w:val="18"/>
              </w:rPr>
            </w:pPr>
          </w:p>
          <w:p w14:paraId="79D3205F" w14:textId="77777777" w:rsidR="00496DD8" w:rsidRPr="00610837" w:rsidRDefault="00496DD8" w:rsidP="00496DD8">
            <w:pPr>
              <w:rPr>
                <w:rFonts w:asciiTheme="minorHAnsi" w:hAnsiTheme="minorHAnsi" w:cstheme="minorHAnsi"/>
                <w:sz w:val="18"/>
                <w:szCs w:val="18"/>
              </w:rPr>
            </w:pPr>
            <w:r w:rsidRPr="00610837">
              <w:rPr>
                <w:rFonts w:asciiTheme="minorHAnsi" w:hAnsiTheme="minorHAnsi" w:cstheme="minorHAnsi"/>
                <w:sz w:val="18"/>
                <w:szCs w:val="18"/>
              </w:rPr>
              <w:t>Tablet 5 mg + 1 g</w:t>
            </w:r>
          </w:p>
          <w:p w14:paraId="338DDE24" w14:textId="5654CAF6" w:rsidR="00496DD8" w:rsidRPr="00610837" w:rsidRDefault="00496DD8" w:rsidP="00496DD8">
            <w:pPr>
              <w:rPr>
                <w:rFonts w:asciiTheme="minorHAnsi" w:hAnsiTheme="minorHAnsi" w:cstheme="minorHAnsi"/>
                <w:sz w:val="18"/>
                <w:szCs w:val="18"/>
              </w:rPr>
            </w:pPr>
            <w:r w:rsidRPr="00610837">
              <w:rPr>
                <w:rFonts w:asciiTheme="minorHAnsi" w:hAnsiTheme="minorHAnsi" w:cstheme="minorHAnsi"/>
                <w:sz w:val="18"/>
                <w:szCs w:val="18"/>
              </w:rPr>
              <w:t>Tablet 10 mg + 500 mg</w:t>
            </w:r>
          </w:p>
          <w:p w14:paraId="648FC7D8" w14:textId="77777777" w:rsidR="00496DD8" w:rsidRPr="00610837" w:rsidRDefault="00496DD8" w:rsidP="00496DD8">
            <w:pPr>
              <w:rPr>
                <w:rFonts w:asciiTheme="minorHAnsi" w:hAnsiTheme="minorHAnsi" w:cstheme="minorHAnsi"/>
                <w:sz w:val="18"/>
                <w:szCs w:val="18"/>
              </w:rPr>
            </w:pPr>
            <w:r w:rsidRPr="00610837">
              <w:rPr>
                <w:rFonts w:asciiTheme="minorHAnsi" w:hAnsiTheme="minorHAnsi" w:cstheme="minorHAnsi"/>
                <w:sz w:val="18"/>
                <w:szCs w:val="18"/>
              </w:rPr>
              <w:t>Tablet 10 mg + 1 g</w:t>
            </w:r>
          </w:p>
          <w:p w14:paraId="466D4ACF" w14:textId="77777777" w:rsidR="00496DD8" w:rsidRPr="00610837" w:rsidRDefault="00496DD8" w:rsidP="00496DD8">
            <w:pPr>
              <w:rPr>
                <w:rFonts w:asciiTheme="minorHAnsi" w:hAnsiTheme="minorHAnsi" w:cstheme="minorHAnsi"/>
                <w:sz w:val="18"/>
                <w:szCs w:val="18"/>
              </w:rPr>
            </w:pPr>
            <w:proofErr w:type="spellStart"/>
            <w:r w:rsidRPr="00610837">
              <w:rPr>
                <w:rFonts w:asciiTheme="minorHAnsi" w:hAnsiTheme="minorHAnsi" w:cstheme="minorHAnsi"/>
                <w:sz w:val="18"/>
                <w:szCs w:val="18"/>
              </w:rPr>
              <w:t>Xigduo</w:t>
            </w:r>
            <w:proofErr w:type="spellEnd"/>
            <w:r w:rsidRPr="00610837">
              <w:rPr>
                <w:rFonts w:asciiTheme="minorHAnsi" w:hAnsiTheme="minorHAnsi" w:cstheme="minorHAnsi"/>
                <w:sz w:val="18"/>
                <w:szCs w:val="18"/>
              </w:rPr>
              <w:t xml:space="preserve"> XR</w:t>
            </w:r>
            <w:r w:rsidRPr="00610837">
              <w:rPr>
                <w:rFonts w:asciiTheme="minorHAnsi" w:hAnsiTheme="minorHAnsi" w:cstheme="minorHAnsi"/>
                <w:color w:val="000000"/>
                <w:sz w:val="18"/>
                <w:szCs w:val="18"/>
              </w:rPr>
              <w:t>®</w:t>
            </w:r>
          </w:p>
          <w:p w14:paraId="2E053441" w14:textId="77777777" w:rsidR="00496DD8" w:rsidRPr="00610837" w:rsidRDefault="00496DD8" w:rsidP="00496DD8">
            <w:pPr>
              <w:rPr>
                <w:rFonts w:asciiTheme="minorHAnsi" w:hAnsiTheme="minorHAnsi" w:cstheme="minorHAnsi"/>
                <w:sz w:val="18"/>
                <w:szCs w:val="18"/>
              </w:rPr>
            </w:pPr>
            <w:r w:rsidRPr="00610837">
              <w:rPr>
                <w:rFonts w:asciiTheme="minorHAnsi" w:hAnsiTheme="minorHAnsi" w:cstheme="minorHAnsi"/>
                <w:color w:val="000000"/>
                <w:sz w:val="18"/>
                <w:szCs w:val="18"/>
              </w:rPr>
              <w:t>AstraZeneca Pty Ltd</w:t>
            </w:r>
          </w:p>
          <w:p w14:paraId="11CF6779" w14:textId="77777777" w:rsidR="00496DD8" w:rsidRPr="00610837" w:rsidRDefault="00496DD8" w:rsidP="00496DD8">
            <w:pPr>
              <w:rPr>
                <w:rFonts w:asciiTheme="minorHAnsi" w:hAnsiTheme="minorHAnsi" w:cstheme="minorHAnsi"/>
                <w:sz w:val="18"/>
                <w:szCs w:val="18"/>
              </w:rPr>
            </w:pPr>
          </w:p>
          <w:p w14:paraId="5CC13AE3" w14:textId="77777777" w:rsidR="00496DD8" w:rsidRPr="00610837" w:rsidRDefault="00496DD8" w:rsidP="00496DD8">
            <w:pPr>
              <w:rPr>
                <w:rFonts w:asciiTheme="minorHAnsi" w:hAnsiTheme="minorHAnsi" w:cstheme="minorHAnsi"/>
                <w:b/>
                <w:sz w:val="18"/>
                <w:szCs w:val="18"/>
              </w:rPr>
            </w:pPr>
            <w:r w:rsidRPr="00610837">
              <w:rPr>
                <w:rFonts w:asciiTheme="minorHAnsi" w:hAnsiTheme="minorHAnsi" w:cstheme="minorHAnsi"/>
                <w:b/>
                <w:sz w:val="18"/>
                <w:szCs w:val="18"/>
              </w:rPr>
              <w:t>EMPAGLIFLOZIN</w:t>
            </w:r>
          </w:p>
          <w:p w14:paraId="7BFCFD90" w14:textId="77777777" w:rsidR="00496DD8" w:rsidRPr="00610837" w:rsidRDefault="00496DD8" w:rsidP="00496DD8">
            <w:pPr>
              <w:rPr>
                <w:rFonts w:asciiTheme="minorHAnsi" w:hAnsiTheme="minorHAnsi" w:cstheme="minorHAnsi"/>
                <w:sz w:val="18"/>
                <w:szCs w:val="18"/>
              </w:rPr>
            </w:pPr>
          </w:p>
          <w:p w14:paraId="33987B1E" w14:textId="77777777" w:rsidR="00496DD8" w:rsidRPr="00610837" w:rsidRDefault="00496DD8" w:rsidP="00496DD8">
            <w:pPr>
              <w:rPr>
                <w:rFonts w:asciiTheme="minorHAnsi" w:hAnsiTheme="minorHAnsi" w:cstheme="minorHAnsi"/>
                <w:sz w:val="18"/>
                <w:szCs w:val="18"/>
              </w:rPr>
            </w:pPr>
            <w:r w:rsidRPr="00610837">
              <w:rPr>
                <w:rFonts w:asciiTheme="minorHAnsi" w:hAnsiTheme="minorHAnsi" w:cstheme="minorHAnsi"/>
                <w:sz w:val="18"/>
                <w:szCs w:val="18"/>
              </w:rPr>
              <w:t>Tablet 10 mg</w:t>
            </w:r>
          </w:p>
          <w:p w14:paraId="7BB806D6" w14:textId="77777777" w:rsidR="00496DD8" w:rsidRPr="00610837" w:rsidRDefault="00496DD8" w:rsidP="00496DD8">
            <w:pPr>
              <w:rPr>
                <w:rFonts w:asciiTheme="minorHAnsi" w:hAnsiTheme="minorHAnsi" w:cstheme="minorHAnsi"/>
                <w:sz w:val="18"/>
                <w:szCs w:val="18"/>
              </w:rPr>
            </w:pPr>
            <w:r w:rsidRPr="00610837">
              <w:rPr>
                <w:rFonts w:asciiTheme="minorHAnsi" w:hAnsiTheme="minorHAnsi" w:cstheme="minorHAnsi"/>
                <w:sz w:val="18"/>
                <w:szCs w:val="18"/>
              </w:rPr>
              <w:t>Tablet 25 mg</w:t>
            </w:r>
          </w:p>
          <w:p w14:paraId="5DEB30E2" w14:textId="77777777" w:rsidR="00496DD8" w:rsidRPr="00610837" w:rsidRDefault="00496DD8" w:rsidP="00496DD8">
            <w:pPr>
              <w:rPr>
                <w:rFonts w:asciiTheme="minorHAnsi" w:hAnsiTheme="minorHAnsi" w:cstheme="minorHAnsi"/>
                <w:sz w:val="18"/>
                <w:szCs w:val="18"/>
              </w:rPr>
            </w:pPr>
            <w:r w:rsidRPr="00610837">
              <w:rPr>
                <w:rFonts w:asciiTheme="minorHAnsi" w:hAnsiTheme="minorHAnsi" w:cstheme="minorHAnsi"/>
                <w:sz w:val="18"/>
                <w:szCs w:val="18"/>
              </w:rPr>
              <w:t>Jardiance</w:t>
            </w:r>
            <w:r w:rsidRPr="00610837">
              <w:rPr>
                <w:rFonts w:asciiTheme="minorHAnsi" w:hAnsiTheme="minorHAnsi" w:cstheme="minorHAnsi"/>
                <w:color w:val="000000"/>
                <w:sz w:val="18"/>
                <w:szCs w:val="18"/>
              </w:rPr>
              <w:t>®</w:t>
            </w:r>
          </w:p>
          <w:p w14:paraId="1C0A079A" w14:textId="7713C020" w:rsidR="00496DD8" w:rsidRPr="00610837" w:rsidRDefault="00496DD8" w:rsidP="00496DD8">
            <w:pPr>
              <w:rPr>
                <w:rFonts w:asciiTheme="minorHAnsi" w:hAnsiTheme="minorHAnsi" w:cstheme="minorHAnsi"/>
                <w:sz w:val="18"/>
                <w:szCs w:val="18"/>
              </w:rPr>
            </w:pPr>
            <w:r w:rsidRPr="00610837">
              <w:rPr>
                <w:rFonts w:asciiTheme="minorHAnsi" w:hAnsiTheme="minorHAnsi" w:cstheme="minorHAnsi"/>
                <w:sz w:val="18"/>
                <w:szCs w:val="18"/>
              </w:rPr>
              <w:t>Boehringer Ingelheim P</w:t>
            </w:r>
            <w:r w:rsidR="00E90F41">
              <w:rPr>
                <w:rFonts w:asciiTheme="minorHAnsi" w:hAnsiTheme="minorHAnsi" w:cstheme="minorHAnsi"/>
                <w:sz w:val="18"/>
                <w:szCs w:val="18"/>
              </w:rPr>
              <w:t>t</w:t>
            </w:r>
            <w:r w:rsidRPr="00610837">
              <w:rPr>
                <w:rFonts w:asciiTheme="minorHAnsi" w:hAnsiTheme="minorHAnsi" w:cstheme="minorHAnsi"/>
                <w:sz w:val="18"/>
                <w:szCs w:val="18"/>
              </w:rPr>
              <w:t>y Ltd</w:t>
            </w:r>
          </w:p>
          <w:p w14:paraId="47D2665A" w14:textId="77777777" w:rsidR="00496DD8" w:rsidRPr="00610837" w:rsidRDefault="00496DD8" w:rsidP="00496DD8">
            <w:pPr>
              <w:rPr>
                <w:rFonts w:asciiTheme="minorHAnsi" w:hAnsiTheme="minorHAnsi" w:cstheme="minorHAnsi"/>
                <w:sz w:val="18"/>
                <w:szCs w:val="18"/>
              </w:rPr>
            </w:pPr>
          </w:p>
          <w:p w14:paraId="6DAD6881" w14:textId="77777777" w:rsidR="00496DD8" w:rsidRPr="00610837" w:rsidRDefault="00496DD8" w:rsidP="00496DD8">
            <w:pPr>
              <w:rPr>
                <w:rFonts w:asciiTheme="minorHAnsi" w:hAnsiTheme="minorHAnsi" w:cstheme="minorHAnsi"/>
                <w:b/>
                <w:sz w:val="18"/>
                <w:szCs w:val="18"/>
              </w:rPr>
            </w:pPr>
            <w:r w:rsidRPr="00610837">
              <w:rPr>
                <w:rFonts w:asciiTheme="minorHAnsi" w:hAnsiTheme="minorHAnsi" w:cstheme="minorHAnsi"/>
                <w:b/>
                <w:sz w:val="18"/>
                <w:szCs w:val="18"/>
              </w:rPr>
              <w:t>EMPAFGLIFLOZIN + METFORMIN</w:t>
            </w:r>
          </w:p>
          <w:p w14:paraId="308F0697" w14:textId="77777777" w:rsidR="00496DD8" w:rsidRPr="00610837" w:rsidRDefault="00496DD8" w:rsidP="00496DD8">
            <w:pPr>
              <w:rPr>
                <w:rFonts w:asciiTheme="minorHAnsi" w:hAnsiTheme="minorHAnsi" w:cstheme="minorHAnsi"/>
                <w:sz w:val="18"/>
                <w:szCs w:val="18"/>
              </w:rPr>
            </w:pPr>
          </w:p>
          <w:p w14:paraId="79FC8DB8" w14:textId="77777777" w:rsidR="00496DD8" w:rsidRPr="00610837" w:rsidRDefault="00496DD8" w:rsidP="00496DD8">
            <w:pPr>
              <w:rPr>
                <w:rFonts w:asciiTheme="minorHAnsi" w:hAnsiTheme="minorHAnsi" w:cstheme="minorHAnsi"/>
                <w:sz w:val="18"/>
                <w:szCs w:val="18"/>
              </w:rPr>
            </w:pPr>
            <w:r w:rsidRPr="00610837">
              <w:rPr>
                <w:rFonts w:asciiTheme="minorHAnsi" w:hAnsiTheme="minorHAnsi" w:cstheme="minorHAnsi"/>
                <w:sz w:val="18"/>
                <w:szCs w:val="18"/>
              </w:rPr>
              <w:t>Tablet 5 mg + 1 g</w:t>
            </w:r>
          </w:p>
          <w:p w14:paraId="68D5B4E4" w14:textId="77777777" w:rsidR="00496DD8" w:rsidRPr="00610837" w:rsidRDefault="00496DD8" w:rsidP="00496DD8">
            <w:pPr>
              <w:rPr>
                <w:rFonts w:asciiTheme="minorHAnsi" w:hAnsiTheme="minorHAnsi" w:cstheme="minorHAnsi"/>
                <w:sz w:val="18"/>
                <w:szCs w:val="18"/>
              </w:rPr>
            </w:pPr>
            <w:r w:rsidRPr="00610837">
              <w:rPr>
                <w:rFonts w:asciiTheme="minorHAnsi" w:hAnsiTheme="minorHAnsi" w:cstheme="minorHAnsi"/>
                <w:sz w:val="18"/>
                <w:szCs w:val="18"/>
              </w:rPr>
              <w:t>Tablet 12.5 mg + 1 g</w:t>
            </w:r>
          </w:p>
          <w:p w14:paraId="69898224" w14:textId="77777777" w:rsidR="00496DD8" w:rsidRPr="00610837" w:rsidRDefault="00496DD8" w:rsidP="00496DD8">
            <w:pPr>
              <w:rPr>
                <w:rFonts w:asciiTheme="minorHAnsi" w:hAnsiTheme="minorHAnsi" w:cstheme="minorHAnsi"/>
                <w:sz w:val="18"/>
                <w:szCs w:val="18"/>
              </w:rPr>
            </w:pPr>
            <w:r w:rsidRPr="00610837">
              <w:rPr>
                <w:rFonts w:asciiTheme="minorHAnsi" w:hAnsiTheme="minorHAnsi" w:cstheme="minorHAnsi"/>
                <w:sz w:val="18"/>
                <w:szCs w:val="18"/>
              </w:rPr>
              <w:t>Tablet 5 mg + 500 mg</w:t>
            </w:r>
          </w:p>
          <w:p w14:paraId="5B528DD2" w14:textId="0DFB26FF" w:rsidR="00496DD8" w:rsidRPr="00610837" w:rsidRDefault="00496DD8" w:rsidP="00496DD8">
            <w:pPr>
              <w:rPr>
                <w:rFonts w:asciiTheme="minorHAnsi" w:hAnsiTheme="minorHAnsi" w:cstheme="minorHAnsi"/>
                <w:sz w:val="18"/>
                <w:szCs w:val="18"/>
              </w:rPr>
            </w:pPr>
            <w:r w:rsidRPr="00610837">
              <w:rPr>
                <w:rFonts w:asciiTheme="minorHAnsi" w:hAnsiTheme="minorHAnsi" w:cstheme="minorHAnsi"/>
                <w:sz w:val="18"/>
                <w:szCs w:val="18"/>
              </w:rPr>
              <w:t>Tablet 12.5 mg + 500 mg</w:t>
            </w:r>
          </w:p>
          <w:p w14:paraId="69ED63E1" w14:textId="77777777" w:rsidR="00496DD8" w:rsidRPr="00AE08FD" w:rsidRDefault="00496DD8" w:rsidP="00496DD8">
            <w:pPr>
              <w:rPr>
                <w:rFonts w:asciiTheme="minorHAnsi" w:hAnsiTheme="minorHAnsi" w:cstheme="minorHAnsi"/>
                <w:color w:val="000000"/>
                <w:sz w:val="18"/>
                <w:szCs w:val="18"/>
              </w:rPr>
            </w:pPr>
            <w:proofErr w:type="spellStart"/>
            <w:r w:rsidRPr="00610837">
              <w:rPr>
                <w:rFonts w:asciiTheme="minorHAnsi" w:hAnsiTheme="minorHAnsi" w:cstheme="minorHAnsi"/>
                <w:color w:val="000000"/>
                <w:sz w:val="18"/>
                <w:szCs w:val="18"/>
              </w:rPr>
              <w:t>Jardiamet</w:t>
            </w:r>
            <w:proofErr w:type="spellEnd"/>
            <w:r w:rsidRPr="00610837">
              <w:rPr>
                <w:rFonts w:asciiTheme="minorHAnsi" w:hAnsiTheme="minorHAnsi" w:cstheme="minorHAnsi"/>
                <w:color w:val="000000"/>
                <w:sz w:val="18"/>
                <w:szCs w:val="18"/>
              </w:rPr>
              <w:t>®</w:t>
            </w:r>
          </w:p>
          <w:p w14:paraId="24A5FED2" w14:textId="622AD2BE" w:rsidR="00496DD8" w:rsidRPr="00C80E18" w:rsidRDefault="00496DD8" w:rsidP="00610837">
            <w:pPr>
              <w:keepLines/>
              <w:widowControl w:val="0"/>
              <w:spacing w:after="120"/>
              <w:rPr>
                <w:rFonts w:asciiTheme="minorHAnsi" w:hAnsiTheme="minorHAnsi" w:cstheme="minorHAnsi"/>
                <w:snapToGrid w:val="0"/>
                <w:sz w:val="18"/>
                <w:szCs w:val="18"/>
              </w:rPr>
            </w:pPr>
            <w:r w:rsidRPr="00610837">
              <w:rPr>
                <w:rFonts w:asciiTheme="minorHAnsi" w:hAnsiTheme="minorHAnsi" w:cstheme="minorHAnsi"/>
                <w:sz w:val="18"/>
                <w:szCs w:val="18"/>
              </w:rPr>
              <w:t>Boehringer Ingelheim P</w:t>
            </w:r>
            <w:r w:rsidR="00E90F41">
              <w:rPr>
                <w:rFonts w:asciiTheme="minorHAnsi" w:hAnsiTheme="minorHAnsi" w:cstheme="minorHAnsi"/>
                <w:sz w:val="18"/>
                <w:szCs w:val="18"/>
              </w:rPr>
              <w:t>t</w:t>
            </w:r>
            <w:r w:rsidRPr="00610837">
              <w:rPr>
                <w:rFonts w:asciiTheme="minorHAnsi" w:hAnsiTheme="minorHAnsi" w:cstheme="minorHAnsi"/>
                <w:sz w:val="18"/>
                <w:szCs w:val="18"/>
              </w:rPr>
              <w:t>y Ltd</w:t>
            </w:r>
          </w:p>
        </w:tc>
        <w:tc>
          <w:tcPr>
            <w:tcW w:w="552" w:type="pct"/>
            <w:shd w:val="clear" w:color="auto" w:fill="auto"/>
          </w:tcPr>
          <w:p w14:paraId="52D4324A" w14:textId="77777777" w:rsidR="00496DD8" w:rsidRPr="00AE08FD" w:rsidRDefault="00496DD8">
            <w:pPr>
              <w:jc w:val="center"/>
              <w:rPr>
                <w:rFonts w:asciiTheme="minorHAnsi" w:hAnsiTheme="minorHAnsi" w:cstheme="minorHAnsi"/>
                <w:snapToGrid w:val="0"/>
                <w:sz w:val="18"/>
                <w:szCs w:val="18"/>
              </w:rPr>
            </w:pPr>
            <w:r w:rsidRPr="00610837">
              <w:rPr>
                <w:rFonts w:asciiTheme="minorHAnsi" w:hAnsiTheme="minorHAnsi" w:cstheme="minorHAnsi"/>
                <w:snapToGrid w:val="0"/>
                <w:sz w:val="18"/>
                <w:szCs w:val="18"/>
              </w:rPr>
              <w:t>SGLT2 inhibitor class of medicines</w:t>
            </w:r>
          </w:p>
          <w:p w14:paraId="319A133B" w14:textId="77777777" w:rsidR="00496DD8" w:rsidRPr="00610837" w:rsidRDefault="00496DD8">
            <w:pPr>
              <w:jc w:val="center"/>
              <w:rPr>
                <w:rFonts w:asciiTheme="minorHAnsi" w:hAnsiTheme="minorHAnsi" w:cstheme="minorHAnsi"/>
                <w:snapToGrid w:val="0"/>
                <w:sz w:val="18"/>
                <w:szCs w:val="18"/>
              </w:rPr>
            </w:pPr>
          </w:p>
          <w:p w14:paraId="0F2D834D" w14:textId="6AA81391" w:rsidR="00496DD8" w:rsidRPr="00C80E18" w:rsidRDefault="00496DD8">
            <w:pPr>
              <w:keepLines/>
              <w:widowControl w:val="0"/>
              <w:spacing w:after="120"/>
              <w:jc w:val="center"/>
              <w:rPr>
                <w:rFonts w:asciiTheme="minorHAnsi" w:hAnsiTheme="minorHAnsi" w:cstheme="minorHAnsi"/>
                <w:snapToGrid w:val="0"/>
                <w:sz w:val="18"/>
                <w:szCs w:val="18"/>
              </w:rPr>
            </w:pPr>
            <w:r w:rsidRPr="00610837">
              <w:rPr>
                <w:rFonts w:asciiTheme="minorHAnsi" w:hAnsiTheme="minorHAnsi" w:cstheme="minorHAnsi"/>
                <w:snapToGrid w:val="0"/>
                <w:sz w:val="18"/>
                <w:szCs w:val="18"/>
              </w:rPr>
              <w:t>Type 2 diabetes mellitus (T2DM)</w:t>
            </w:r>
          </w:p>
        </w:tc>
        <w:tc>
          <w:tcPr>
            <w:tcW w:w="875" w:type="pct"/>
            <w:shd w:val="clear" w:color="auto" w:fill="auto"/>
          </w:tcPr>
          <w:p w14:paraId="6012DF9C" w14:textId="66839242" w:rsidR="00496DD8" w:rsidRPr="00C80E18" w:rsidRDefault="00496DD8">
            <w:pPr>
              <w:keepLines/>
              <w:widowControl w:val="0"/>
              <w:spacing w:after="120"/>
              <w:jc w:val="center"/>
              <w:rPr>
                <w:rFonts w:asciiTheme="minorHAnsi" w:hAnsiTheme="minorHAnsi" w:cstheme="minorHAnsi"/>
                <w:bCs/>
                <w:snapToGrid w:val="0"/>
                <w:color w:val="000000"/>
                <w:sz w:val="18"/>
                <w:szCs w:val="18"/>
              </w:rPr>
            </w:pPr>
            <w:r w:rsidRPr="00610837">
              <w:rPr>
                <w:rFonts w:asciiTheme="minorHAnsi" w:hAnsiTheme="minorHAnsi" w:cstheme="minorHAnsi"/>
                <w:bCs/>
                <w:snapToGrid w:val="0"/>
                <w:color w:val="000000"/>
                <w:sz w:val="18"/>
                <w:szCs w:val="18"/>
              </w:rPr>
              <w:t xml:space="preserve">To compare the cost-effectiveness of PBS listed SGLT2 inhibitors to sulfonylureas, as add-on therapy to metformin for the treatment of T2DM </w:t>
            </w:r>
          </w:p>
        </w:tc>
        <w:tc>
          <w:tcPr>
            <w:tcW w:w="2700" w:type="pct"/>
            <w:shd w:val="clear" w:color="auto" w:fill="auto"/>
          </w:tcPr>
          <w:p w14:paraId="4F195E2E" w14:textId="3A65CB7D" w:rsidR="00496DD8" w:rsidRPr="00610837" w:rsidRDefault="00496DD8" w:rsidP="00610837">
            <w:pPr>
              <w:pStyle w:val="Default"/>
              <w:jc w:val="both"/>
              <w:rPr>
                <w:rFonts w:asciiTheme="minorHAnsi" w:hAnsiTheme="minorHAnsi" w:cstheme="minorHAnsi"/>
                <w:bCs/>
                <w:sz w:val="18"/>
                <w:szCs w:val="18"/>
              </w:rPr>
            </w:pPr>
            <w:r w:rsidRPr="00610837">
              <w:rPr>
                <w:rFonts w:asciiTheme="minorHAnsi" w:hAnsiTheme="minorHAnsi" w:cstheme="minorHAnsi"/>
                <w:bCs/>
                <w:sz w:val="18"/>
                <w:szCs w:val="18"/>
              </w:rPr>
              <w:t xml:space="preserve">In response to a request from a stakeholder, the PBAC requested the Department </w:t>
            </w:r>
            <w:r w:rsidR="00D96AFA">
              <w:rPr>
                <w:rFonts w:asciiTheme="minorHAnsi" w:hAnsiTheme="minorHAnsi" w:cstheme="minorHAnsi"/>
                <w:bCs/>
                <w:sz w:val="18"/>
                <w:szCs w:val="18"/>
              </w:rPr>
              <w:t>undertake</w:t>
            </w:r>
            <w:r w:rsidRPr="00610837">
              <w:rPr>
                <w:rFonts w:asciiTheme="minorHAnsi" w:hAnsiTheme="minorHAnsi" w:cstheme="minorHAnsi"/>
                <w:bCs/>
                <w:sz w:val="18"/>
                <w:szCs w:val="18"/>
              </w:rPr>
              <w:t xml:space="preserve"> a cost-effectiveness analysis comparing SGLT2 inhibitor medicines to sulfonylureas, as add-on therapy to metformin. The stakeholder requested the PBAC recommend changes to PBS restrictions for SGLT2 inhibitors to be consistent with recent evidence and clinical guidelines. Following consideration of the CER, the PBAC recommended the restrictions for empagliflozin and dapagliflozin could be expanded to allow earlier subsidised access to SGLT2 inhibitors in patients with T2DM as add-on therapy to metformin if they have established cardiovascular disease (CVD) or are at high risk of CVD, without the requirement to have a specific unmet glycaemic target. The PBAC also requested the Department progress pricing and risk sharing negotiations with the sponsors to achieve a financial cap on the additional cost to the PBS over the forward estimates.</w:t>
            </w:r>
          </w:p>
        </w:tc>
      </w:tr>
    </w:tbl>
    <w:p w14:paraId="237E7119" w14:textId="77777777" w:rsidR="000F6F0D" w:rsidRPr="00567D48" w:rsidRDefault="000F6F0D" w:rsidP="00EF3B9C">
      <w:pPr>
        <w:rPr>
          <w:rFonts w:asciiTheme="minorHAnsi" w:hAnsiTheme="minorHAnsi" w:cs="Arial"/>
          <w:b/>
          <w:lang w:val="en-US"/>
        </w:rPr>
      </w:pPr>
    </w:p>
    <w:p w14:paraId="511B88D5" w14:textId="77777777" w:rsidR="003E0E09" w:rsidRDefault="003E0E09">
      <w:pPr>
        <w:rPr>
          <w:rFonts w:asciiTheme="minorHAnsi" w:hAnsiTheme="minorHAnsi" w:cs="Arial"/>
          <w:b/>
          <w:lang w:val="en-US"/>
        </w:rPr>
      </w:pPr>
      <w:r>
        <w:rPr>
          <w:rFonts w:asciiTheme="minorHAnsi" w:hAnsiTheme="minorHAnsi" w:cs="Arial"/>
          <w:b/>
          <w:lang w:val="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1942"/>
        <w:gridCol w:w="3862"/>
        <w:gridCol w:w="6786"/>
      </w:tblGrid>
      <w:tr w:rsidR="003E0E09" w14:paraId="355569FA" w14:textId="77777777" w:rsidTr="0061367E">
        <w:trPr>
          <w:tblHeader/>
        </w:trPr>
        <w:tc>
          <w:tcPr>
            <w:tcW w:w="909" w:type="pct"/>
            <w:tcBorders>
              <w:top w:val="single" w:sz="4" w:space="0" w:color="auto"/>
              <w:left w:val="single" w:sz="4" w:space="0" w:color="auto"/>
              <w:bottom w:val="single" w:sz="4" w:space="0" w:color="auto"/>
              <w:right w:val="single" w:sz="4" w:space="0" w:color="auto"/>
            </w:tcBorders>
            <w:shd w:val="clear" w:color="auto" w:fill="auto"/>
            <w:hideMark/>
          </w:tcPr>
          <w:p w14:paraId="3B294799" w14:textId="77777777" w:rsidR="003E0E09" w:rsidRDefault="003E0E09" w:rsidP="00190B36">
            <w:pPr>
              <w:jc w:val="center"/>
              <w:rPr>
                <w:rFonts w:asciiTheme="minorHAnsi" w:hAnsiTheme="minorHAnsi" w:cstheme="minorHAnsi"/>
                <w:b/>
              </w:rPr>
            </w:pPr>
            <w:r>
              <w:rPr>
                <w:rFonts w:asciiTheme="minorHAnsi" w:hAnsiTheme="minorHAnsi" w:cstheme="minorHAnsi"/>
                <w:b/>
              </w:rPr>
              <w:lastRenderedPageBreak/>
              <w:t>DRUG NAME, FORM(S), STRENGTH(S), SPONSOR, TYPE OF SUBMISSION</w:t>
            </w:r>
          </w:p>
        </w:tc>
        <w:tc>
          <w:tcPr>
            <w:tcW w:w="631" w:type="pct"/>
            <w:tcBorders>
              <w:top w:val="single" w:sz="4" w:space="0" w:color="auto"/>
              <w:left w:val="single" w:sz="4" w:space="0" w:color="auto"/>
              <w:bottom w:val="single" w:sz="4" w:space="0" w:color="auto"/>
              <w:right w:val="single" w:sz="4" w:space="0" w:color="auto"/>
            </w:tcBorders>
            <w:shd w:val="clear" w:color="auto" w:fill="auto"/>
            <w:hideMark/>
          </w:tcPr>
          <w:p w14:paraId="39AC9F16" w14:textId="77777777" w:rsidR="003E0E09" w:rsidRDefault="003E0E09" w:rsidP="00190B36">
            <w:pPr>
              <w:jc w:val="center"/>
              <w:rPr>
                <w:rFonts w:asciiTheme="minorHAnsi" w:hAnsiTheme="minorHAnsi" w:cstheme="minorHAnsi"/>
                <w:b/>
                <w:snapToGrid w:val="0"/>
              </w:rPr>
            </w:pPr>
            <w:r>
              <w:rPr>
                <w:rFonts w:asciiTheme="minorHAnsi" w:hAnsiTheme="minorHAnsi" w:cstheme="minorHAnsi"/>
                <w:b/>
                <w:snapToGrid w:val="0"/>
              </w:rPr>
              <w:t>DRUG TYPE AND USE</w:t>
            </w:r>
          </w:p>
        </w:tc>
        <w:tc>
          <w:tcPr>
            <w:tcW w:w="1255" w:type="pct"/>
            <w:tcBorders>
              <w:top w:val="single" w:sz="4" w:space="0" w:color="auto"/>
              <w:left w:val="single" w:sz="4" w:space="0" w:color="auto"/>
              <w:bottom w:val="single" w:sz="4" w:space="0" w:color="auto"/>
              <w:right w:val="single" w:sz="4" w:space="0" w:color="auto"/>
            </w:tcBorders>
            <w:shd w:val="clear" w:color="auto" w:fill="auto"/>
            <w:hideMark/>
          </w:tcPr>
          <w:p w14:paraId="2E5FD50D" w14:textId="77777777" w:rsidR="003E0E09" w:rsidRDefault="003E0E09" w:rsidP="00190B36">
            <w:pPr>
              <w:jc w:val="center"/>
              <w:rPr>
                <w:rFonts w:asciiTheme="minorHAnsi" w:hAnsiTheme="minorHAnsi" w:cstheme="minorHAnsi"/>
                <w:b/>
              </w:rPr>
            </w:pPr>
            <w:r>
              <w:rPr>
                <w:rFonts w:asciiTheme="minorHAnsi" w:hAnsiTheme="minorHAnsi" w:cstheme="minorHAnsi"/>
                <w:b/>
                <w:snapToGrid w:val="0"/>
              </w:rPr>
              <w:t>LISTING REQUESTED BY SPONSOR / PURPOSE OF SUBMISSION</w:t>
            </w:r>
          </w:p>
        </w:tc>
        <w:tc>
          <w:tcPr>
            <w:tcW w:w="2205" w:type="pct"/>
            <w:tcBorders>
              <w:top w:val="single" w:sz="4" w:space="0" w:color="auto"/>
              <w:left w:val="single" w:sz="4" w:space="0" w:color="auto"/>
              <w:bottom w:val="single" w:sz="4" w:space="0" w:color="auto"/>
              <w:right w:val="single" w:sz="4" w:space="0" w:color="auto"/>
            </w:tcBorders>
            <w:shd w:val="clear" w:color="auto" w:fill="auto"/>
            <w:hideMark/>
          </w:tcPr>
          <w:p w14:paraId="2D7D2732" w14:textId="77777777" w:rsidR="003E0E09" w:rsidRDefault="003E0E09" w:rsidP="00190B36">
            <w:pPr>
              <w:jc w:val="center"/>
              <w:rPr>
                <w:rFonts w:asciiTheme="minorHAnsi" w:eastAsia="Calibri" w:hAnsiTheme="minorHAnsi" w:cstheme="minorHAnsi"/>
                <w:b/>
              </w:rPr>
            </w:pPr>
            <w:r>
              <w:rPr>
                <w:rFonts w:asciiTheme="minorHAnsi" w:hAnsiTheme="minorHAnsi" w:cstheme="minorHAnsi"/>
                <w:b/>
                <w:snapToGrid w:val="0"/>
              </w:rPr>
              <w:t>PBAC OUTCOME</w:t>
            </w:r>
          </w:p>
        </w:tc>
      </w:tr>
      <w:tr w:rsidR="003E0E09" w14:paraId="42A9D932" w14:textId="77777777" w:rsidTr="00190B36">
        <w:tc>
          <w:tcPr>
            <w:tcW w:w="909" w:type="pct"/>
            <w:tcBorders>
              <w:top w:val="single" w:sz="4" w:space="0" w:color="auto"/>
              <w:left w:val="single" w:sz="4" w:space="0" w:color="auto"/>
              <w:bottom w:val="nil"/>
              <w:right w:val="single" w:sz="4" w:space="0" w:color="auto"/>
            </w:tcBorders>
            <w:hideMark/>
          </w:tcPr>
          <w:p w14:paraId="28CF7A3B" w14:textId="77777777" w:rsidR="003E0E09" w:rsidRPr="00065C22" w:rsidRDefault="003E0E09" w:rsidP="00190B36">
            <w:pPr>
              <w:rPr>
                <w:rFonts w:asciiTheme="minorHAnsi" w:hAnsiTheme="minorHAnsi" w:cstheme="minorHAnsi"/>
                <w:sz w:val="18"/>
                <w:szCs w:val="18"/>
              </w:rPr>
            </w:pPr>
            <w:r w:rsidRPr="00065C22">
              <w:rPr>
                <w:rFonts w:asciiTheme="minorHAnsi" w:hAnsiTheme="minorHAnsi" w:cstheme="minorHAnsi"/>
                <w:sz w:val="18"/>
                <w:szCs w:val="18"/>
              </w:rPr>
              <w:t>Review of PBS Authority Required (Written) listings – Tranche 6</w:t>
            </w:r>
          </w:p>
        </w:tc>
        <w:tc>
          <w:tcPr>
            <w:tcW w:w="631" w:type="pct"/>
            <w:tcBorders>
              <w:top w:val="single" w:sz="4" w:space="0" w:color="auto"/>
              <w:left w:val="single" w:sz="4" w:space="0" w:color="auto"/>
              <w:bottom w:val="nil"/>
              <w:right w:val="single" w:sz="4" w:space="0" w:color="auto"/>
            </w:tcBorders>
            <w:hideMark/>
          </w:tcPr>
          <w:p w14:paraId="3A90FE2E" w14:textId="77777777" w:rsidR="003E0E09" w:rsidRPr="00065C22" w:rsidRDefault="003E0E09" w:rsidP="00190B36">
            <w:pPr>
              <w:rPr>
                <w:rFonts w:asciiTheme="minorHAnsi" w:hAnsiTheme="minorHAnsi" w:cstheme="minorHAnsi"/>
                <w:sz w:val="18"/>
                <w:szCs w:val="18"/>
              </w:rPr>
            </w:pPr>
            <w:r w:rsidRPr="00065C22">
              <w:rPr>
                <w:rFonts w:asciiTheme="minorHAnsi" w:hAnsiTheme="minorHAnsi" w:cstheme="minorHAnsi"/>
                <w:sz w:val="18"/>
                <w:szCs w:val="18"/>
              </w:rPr>
              <w:t>Medicines for the treatment of rheumatology, dermatological and vasculitis conditions</w:t>
            </w:r>
          </w:p>
        </w:tc>
        <w:tc>
          <w:tcPr>
            <w:tcW w:w="1255" w:type="pct"/>
            <w:tcBorders>
              <w:top w:val="single" w:sz="4" w:space="0" w:color="auto"/>
              <w:left w:val="single" w:sz="4" w:space="0" w:color="auto"/>
              <w:bottom w:val="nil"/>
              <w:right w:val="single" w:sz="4" w:space="0" w:color="auto"/>
            </w:tcBorders>
            <w:hideMark/>
          </w:tcPr>
          <w:p w14:paraId="6773EEE5" w14:textId="77777777" w:rsidR="003E0E09" w:rsidRPr="00065C22" w:rsidRDefault="003E0E09" w:rsidP="00190B36">
            <w:pPr>
              <w:rPr>
                <w:rFonts w:asciiTheme="minorHAnsi" w:hAnsiTheme="minorHAnsi" w:cstheme="minorHAnsi"/>
                <w:sz w:val="18"/>
                <w:szCs w:val="18"/>
              </w:rPr>
            </w:pPr>
            <w:r w:rsidRPr="00065C22">
              <w:rPr>
                <w:rFonts w:asciiTheme="minorHAnsi" w:hAnsiTheme="minorHAnsi" w:cstheme="minorHAnsi"/>
                <w:sz w:val="18"/>
                <w:szCs w:val="18"/>
              </w:rPr>
              <w:t>To request that the Pharmaceutical Benefit Advisory Committee (PBAC) consider the Authority Required (Written) restriction level for PBS-listed medicines (Tranches 6) and recommend any required amendments.</w:t>
            </w:r>
          </w:p>
        </w:tc>
        <w:tc>
          <w:tcPr>
            <w:tcW w:w="2205" w:type="pct"/>
            <w:tcBorders>
              <w:top w:val="single" w:sz="4" w:space="0" w:color="auto"/>
              <w:left w:val="single" w:sz="4" w:space="0" w:color="auto"/>
              <w:bottom w:val="nil"/>
              <w:right w:val="single" w:sz="4" w:space="0" w:color="auto"/>
            </w:tcBorders>
          </w:tcPr>
          <w:p w14:paraId="65A0AC45" w14:textId="77777777" w:rsidR="003E0E09" w:rsidRPr="00065C22" w:rsidRDefault="003E0E09" w:rsidP="00190B36">
            <w:pPr>
              <w:rPr>
                <w:rFonts w:asciiTheme="minorHAnsi" w:hAnsiTheme="minorHAnsi" w:cstheme="minorHAnsi"/>
                <w:sz w:val="18"/>
                <w:szCs w:val="18"/>
              </w:rPr>
            </w:pPr>
            <w:r w:rsidRPr="00065C22">
              <w:rPr>
                <w:rFonts w:asciiTheme="minorHAnsi" w:hAnsiTheme="minorHAnsi" w:cstheme="minorHAnsi"/>
                <w:sz w:val="18"/>
                <w:szCs w:val="18"/>
              </w:rPr>
              <w:t xml:space="preserve">The PBAC noted the key Review findings from the PBS Authority Required (Written) listings report, which included an analysis of PBS utilisation data for Tranche 6 medicines. The PBAC also noted the input provided by sponsors through submission of pre-subcommittee responses (PSCRs) on the written authority level of their Tranche 6 medicine(s). </w:t>
            </w:r>
          </w:p>
          <w:p w14:paraId="5FFDAE2D" w14:textId="77777777" w:rsidR="003E0E09" w:rsidRPr="00065C22" w:rsidRDefault="003E0E09" w:rsidP="00190B36">
            <w:pPr>
              <w:rPr>
                <w:rFonts w:asciiTheme="minorHAnsi" w:hAnsiTheme="minorHAnsi" w:cstheme="minorHAnsi"/>
                <w:sz w:val="18"/>
                <w:szCs w:val="18"/>
              </w:rPr>
            </w:pPr>
          </w:p>
          <w:p w14:paraId="220FEFC2" w14:textId="77777777" w:rsidR="003E0E09" w:rsidRPr="00065C22" w:rsidRDefault="003E0E09" w:rsidP="00190B36">
            <w:pPr>
              <w:rPr>
                <w:rFonts w:asciiTheme="minorHAnsi" w:hAnsiTheme="minorHAnsi" w:cstheme="minorHAnsi"/>
                <w:sz w:val="18"/>
                <w:szCs w:val="18"/>
              </w:rPr>
            </w:pPr>
            <w:r w:rsidRPr="00065C22">
              <w:rPr>
                <w:rFonts w:asciiTheme="minorHAnsi" w:hAnsiTheme="minorHAnsi" w:cstheme="minorHAnsi"/>
                <w:sz w:val="18"/>
                <w:szCs w:val="18"/>
              </w:rPr>
              <w:t>The PBAC applied the following key criteria to assist in determining the requirement to maintain a written Authority level of restriction:</w:t>
            </w:r>
          </w:p>
          <w:p w14:paraId="586D9F2C" w14:textId="1DDF2E73" w:rsidR="003E0E09" w:rsidRPr="00D96AFA" w:rsidRDefault="003E0E09" w:rsidP="00190B36">
            <w:pPr>
              <w:rPr>
                <w:rFonts w:asciiTheme="minorHAnsi" w:hAnsiTheme="minorHAnsi" w:cstheme="minorHAnsi"/>
                <w:sz w:val="18"/>
                <w:szCs w:val="18"/>
              </w:rPr>
            </w:pPr>
            <w:r w:rsidRPr="00065C22">
              <w:rPr>
                <w:rFonts w:asciiTheme="minorHAnsi" w:hAnsiTheme="minorHAnsi" w:cstheme="minorHAnsi"/>
                <w:sz w:val="18"/>
                <w:szCs w:val="18"/>
              </w:rPr>
              <w:t xml:space="preserve">(1) Potential for use in a population in which the medicine is not cost-effective or where the PBAC has not determined the comparative effectiveness and cost; and (2) Potential for high cost per patient or high total cost to the health system and the </w:t>
            </w:r>
            <w:r w:rsidR="00F724F5">
              <w:rPr>
                <w:rFonts w:asciiTheme="minorHAnsi" w:hAnsiTheme="minorHAnsi" w:cstheme="minorHAnsi"/>
                <w:sz w:val="18"/>
                <w:szCs w:val="18"/>
              </w:rPr>
              <w:t>G</w:t>
            </w:r>
            <w:r w:rsidRPr="00D96AFA">
              <w:rPr>
                <w:rFonts w:asciiTheme="minorHAnsi" w:hAnsiTheme="minorHAnsi" w:cstheme="minorHAnsi"/>
                <w:sz w:val="18"/>
                <w:szCs w:val="18"/>
              </w:rPr>
              <w:t xml:space="preserve">overnment’s budget. The PBAC also considered the following factors: quality use of medicines (QUM), safety, and administrative burden. </w:t>
            </w:r>
          </w:p>
          <w:p w14:paraId="00802F95" w14:textId="77777777" w:rsidR="003E0E09" w:rsidRPr="00D96AFA" w:rsidRDefault="003E0E09" w:rsidP="00190B36">
            <w:pPr>
              <w:rPr>
                <w:rFonts w:asciiTheme="minorHAnsi" w:hAnsiTheme="minorHAnsi" w:cstheme="minorHAnsi"/>
                <w:sz w:val="18"/>
                <w:szCs w:val="18"/>
              </w:rPr>
            </w:pPr>
          </w:p>
          <w:p w14:paraId="6A47290B" w14:textId="77777777" w:rsidR="003E0E09" w:rsidRDefault="003E0E09" w:rsidP="00190B36">
            <w:pPr>
              <w:rPr>
                <w:rFonts w:asciiTheme="minorHAnsi" w:hAnsiTheme="minorHAnsi" w:cstheme="minorHAnsi"/>
                <w:sz w:val="18"/>
                <w:szCs w:val="18"/>
              </w:rPr>
            </w:pPr>
            <w:r w:rsidRPr="00D96AFA">
              <w:rPr>
                <w:rFonts w:asciiTheme="minorHAnsi" w:hAnsiTheme="minorHAnsi" w:cstheme="minorHAnsi"/>
                <w:sz w:val="18"/>
                <w:szCs w:val="18"/>
              </w:rPr>
              <w:t>Overall, the PBAC accepted the DUSC February 2022 advice on the need to amend or maintain the current written Authority level of each medicine and made the following recommendations:</w:t>
            </w:r>
          </w:p>
          <w:p w14:paraId="50AE1D60" w14:textId="669481DF" w:rsidR="000C0C31" w:rsidRPr="00065C22" w:rsidRDefault="000C0C31" w:rsidP="00190B36">
            <w:pPr>
              <w:rPr>
                <w:rFonts w:asciiTheme="minorHAnsi" w:eastAsia="Calibri" w:hAnsiTheme="minorHAnsi" w:cstheme="minorHAnsi"/>
                <w:sz w:val="18"/>
                <w:szCs w:val="18"/>
              </w:rPr>
            </w:pPr>
          </w:p>
        </w:tc>
      </w:tr>
      <w:tr w:rsidR="003E0E09" w14:paraId="19F94143" w14:textId="77777777" w:rsidTr="00190B36">
        <w:tc>
          <w:tcPr>
            <w:tcW w:w="909" w:type="pct"/>
            <w:tcBorders>
              <w:top w:val="nil"/>
              <w:left w:val="single" w:sz="4" w:space="0" w:color="auto"/>
              <w:bottom w:val="nil"/>
              <w:right w:val="single" w:sz="4" w:space="0" w:color="auto"/>
            </w:tcBorders>
            <w:hideMark/>
          </w:tcPr>
          <w:p w14:paraId="08FE38FF" w14:textId="77777777" w:rsidR="003E0E09" w:rsidRPr="00065C22" w:rsidRDefault="003E0E09" w:rsidP="00190B36">
            <w:pPr>
              <w:rPr>
                <w:rFonts w:asciiTheme="minorHAnsi" w:hAnsiTheme="minorHAnsi" w:cstheme="minorHAnsi"/>
                <w:sz w:val="18"/>
                <w:szCs w:val="18"/>
              </w:rPr>
            </w:pPr>
            <w:r w:rsidRPr="00065C22">
              <w:rPr>
                <w:rFonts w:asciiTheme="minorHAnsi" w:hAnsiTheme="minorHAnsi" w:cstheme="minorHAnsi"/>
                <w:sz w:val="18"/>
                <w:szCs w:val="18"/>
              </w:rPr>
              <w:t>1. Adalimumab, certolizumab, etanercept, golimumab, infliximab, secukinumab</w:t>
            </w:r>
          </w:p>
        </w:tc>
        <w:tc>
          <w:tcPr>
            <w:tcW w:w="631" w:type="pct"/>
            <w:tcBorders>
              <w:top w:val="nil"/>
              <w:left w:val="single" w:sz="4" w:space="0" w:color="auto"/>
              <w:bottom w:val="nil"/>
              <w:right w:val="single" w:sz="4" w:space="0" w:color="auto"/>
            </w:tcBorders>
            <w:hideMark/>
          </w:tcPr>
          <w:p w14:paraId="1BDD3C58" w14:textId="77777777" w:rsidR="003E0E09" w:rsidRPr="00065C22" w:rsidRDefault="003E0E09" w:rsidP="00190B36">
            <w:pPr>
              <w:rPr>
                <w:rFonts w:asciiTheme="minorHAnsi" w:hAnsiTheme="minorHAnsi" w:cstheme="minorHAnsi"/>
                <w:sz w:val="18"/>
                <w:szCs w:val="18"/>
              </w:rPr>
            </w:pPr>
            <w:r w:rsidRPr="00065C22">
              <w:rPr>
                <w:rFonts w:asciiTheme="minorHAnsi" w:hAnsiTheme="minorHAnsi" w:cstheme="minorHAnsi"/>
                <w:sz w:val="18"/>
                <w:szCs w:val="18"/>
              </w:rPr>
              <w:t>1. Ankylosing spondylitis (AS)</w:t>
            </w:r>
          </w:p>
        </w:tc>
        <w:tc>
          <w:tcPr>
            <w:tcW w:w="1255" w:type="pct"/>
            <w:tcBorders>
              <w:top w:val="nil"/>
              <w:left w:val="single" w:sz="4" w:space="0" w:color="auto"/>
              <w:bottom w:val="nil"/>
              <w:right w:val="single" w:sz="4" w:space="0" w:color="auto"/>
            </w:tcBorders>
          </w:tcPr>
          <w:p w14:paraId="1160CE2B" w14:textId="77777777" w:rsidR="003E0E09" w:rsidRPr="00065C22" w:rsidRDefault="003E0E09" w:rsidP="00190B36">
            <w:pPr>
              <w:rPr>
                <w:rFonts w:asciiTheme="minorHAnsi" w:hAnsiTheme="minorHAnsi" w:cstheme="minorHAnsi"/>
                <w:sz w:val="18"/>
                <w:szCs w:val="18"/>
              </w:rPr>
            </w:pPr>
          </w:p>
        </w:tc>
        <w:tc>
          <w:tcPr>
            <w:tcW w:w="2205" w:type="pct"/>
            <w:tcBorders>
              <w:top w:val="nil"/>
              <w:left w:val="single" w:sz="4" w:space="0" w:color="auto"/>
              <w:bottom w:val="nil"/>
              <w:right w:val="single" w:sz="4" w:space="0" w:color="auto"/>
            </w:tcBorders>
            <w:hideMark/>
          </w:tcPr>
          <w:p w14:paraId="49D20510" w14:textId="733690C5" w:rsidR="003E0E09" w:rsidRPr="00065C22" w:rsidRDefault="003E0E09" w:rsidP="00190B36">
            <w:pPr>
              <w:rPr>
                <w:rFonts w:asciiTheme="minorHAnsi" w:hAnsiTheme="minorHAnsi" w:cstheme="minorHAnsi"/>
                <w:sz w:val="18"/>
                <w:szCs w:val="18"/>
              </w:rPr>
            </w:pPr>
            <w:r w:rsidRPr="00065C22">
              <w:rPr>
                <w:rFonts w:asciiTheme="minorHAnsi" w:hAnsiTheme="minorHAnsi" w:cstheme="minorHAnsi"/>
                <w:sz w:val="18"/>
                <w:szCs w:val="18"/>
              </w:rPr>
              <w:t xml:space="preserve">The PBAC noted that the market was stable and mature. Increases in costs in originator medicines (without biosimilars) were offset by the decrease in overall costs due to the uptake of biosimilar medicines for adalimumab, etanercept and infliximab. The PBAC considered that the recent listing of upadacitinib (1 October 2021) has the potential to grow the market. </w:t>
            </w:r>
          </w:p>
          <w:p w14:paraId="19190E8E" w14:textId="77777777" w:rsidR="003E0E09" w:rsidRPr="00065C22" w:rsidRDefault="003E0E09" w:rsidP="00190B36">
            <w:pPr>
              <w:rPr>
                <w:rFonts w:asciiTheme="minorHAnsi" w:hAnsiTheme="minorHAnsi" w:cstheme="minorHAnsi"/>
                <w:sz w:val="18"/>
                <w:szCs w:val="18"/>
              </w:rPr>
            </w:pPr>
            <w:r w:rsidRPr="00065C22">
              <w:rPr>
                <w:rFonts w:asciiTheme="minorHAnsi" w:hAnsiTheme="minorHAnsi" w:cstheme="minorHAnsi"/>
                <w:sz w:val="18"/>
                <w:szCs w:val="18"/>
              </w:rPr>
              <w:t xml:space="preserve">The PBAC acknowledged the high administrative burden associated with the increasing volume of authority approvals. </w:t>
            </w:r>
          </w:p>
          <w:p w14:paraId="71502BF5" w14:textId="77777777" w:rsidR="003E0E09" w:rsidRPr="00065C22" w:rsidRDefault="003E0E09" w:rsidP="00190B36">
            <w:pPr>
              <w:rPr>
                <w:rFonts w:asciiTheme="minorHAnsi" w:hAnsiTheme="minorHAnsi" w:cstheme="minorHAnsi"/>
                <w:sz w:val="18"/>
                <w:szCs w:val="18"/>
              </w:rPr>
            </w:pPr>
            <w:r w:rsidRPr="00065C22">
              <w:rPr>
                <w:rFonts w:asciiTheme="minorHAnsi" w:hAnsiTheme="minorHAnsi" w:cstheme="minorHAnsi"/>
                <w:sz w:val="18"/>
                <w:szCs w:val="18"/>
              </w:rPr>
              <w:t xml:space="preserve">The PBAC recommended an amendment to all initial treatment written authority levels of adalimumab, etanercept and infliximab biosimilar medicines for the treatment of AS to Authority Required (Telephone/Electronic), and to Authority Required (STREAMLINED) for first continuing treatment phases. </w:t>
            </w:r>
          </w:p>
          <w:p w14:paraId="5480A706" w14:textId="65E12BA2" w:rsidR="003E0E09" w:rsidRDefault="003E0E09" w:rsidP="00190B36">
            <w:pPr>
              <w:rPr>
                <w:rFonts w:asciiTheme="minorHAnsi" w:hAnsiTheme="minorHAnsi" w:cstheme="minorHAnsi"/>
                <w:sz w:val="18"/>
                <w:szCs w:val="18"/>
              </w:rPr>
            </w:pPr>
            <w:r w:rsidRPr="00065C22">
              <w:rPr>
                <w:rFonts w:asciiTheme="minorHAnsi" w:hAnsiTheme="minorHAnsi" w:cstheme="minorHAnsi"/>
                <w:sz w:val="18"/>
                <w:szCs w:val="18"/>
              </w:rPr>
              <w:t xml:space="preserve">The PBAC did not recommend amendments to the authority requirements for adalimumab, etanercept and infliximab originator medicines, or for certolizumab, golimumab and secukinumab. The PBAC was mindful of supporting the differential between biosimilar and originator brands and of encouraging the prescribing of biosimilars where appropriate. </w:t>
            </w:r>
          </w:p>
          <w:p w14:paraId="0A53E3A9" w14:textId="77777777" w:rsidR="00F724F5" w:rsidRDefault="00F724F5" w:rsidP="00190B36">
            <w:pPr>
              <w:rPr>
                <w:rFonts w:asciiTheme="minorHAnsi" w:hAnsiTheme="minorHAnsi" w:cstheme="minorHAnsi"/>
                <w:sz w:val="18"/>
                <w:szCs w:val="18"/>
              </w:rPr>
            </w:pPr>
          </w:p>
          <w:p w14:paraId="2BB3560F" w14:textId="65179374" w:rsidR="000C0C31" w:rsidRPr="00065C22" w:rsidRDefault="000C0C31" w:rsidP="00190B36">
            <w:pPr>
              <w:rPr>
                <w:rFonts w:asciiTheme="minorHAnsi" w:hAnsiTheme="minorHAnsi" w:cstheme="minorHAnsi"/>
                <w:sz w:val="18"/>
                <w:szCs w:val="18"/>
              </w:rPr>
            </w:pPr>
          </w:p>
        </w:tc>
      </w:tr>
      <w:tr w:rsidR="003E0E09" w14:paraId="38539529" w14:textId="77777777" w:rsidTr="00190B36">
        <w:tc>
          <w:tcPr>
            <w:tcW w:w="909" w:type="pct"/>
            <w:tcBorders>
              <w:top w:val="nil"/>
              <w:left w:val="single" w:sz="4" w:space="0" w:color="auto"/>
              <w:bottom w:val="nil"/>
              <w:right w:val="single" w:sz="4" w:space="0" w:color="auto"/>
            </w:tcBorders>
            <w:hideMark/>
          </w:tcPr>
          <w:p w14:paraId="0A496994" w14:textId="77777777" w:rsidR="003E0E09" w:rsidRPr="00065C22" w:rsidRDefault="003E0E09" w:rsidP="00190B36">
            <w:pPr>
              <w:rPr>
                <w:rFonts w:asciiTheme="minorHAnsi" w:hAnsiTheme="minorHAnsi" w:cstheme="minorHAnsi"/>
                <w:sz w:val="18"/>
                <w:szCs w:val="18"/>
              </w:rPr>
            </w:pPr>
            <w:r w:rsidRPr="00065C22">
              <w:rPr>
                <w:rFonts w:asciiTheme="minorHAnsi" w:hAnsiTheme="minorHAnsi" w:cstheme="minorHAnsi"/>
                <w:sz w:val="18"/>
                <w:szCs w:val="18"/>
              </w:rPr>
              <w:lastRenderedPageBreak/>
              <w:t xml:space="preserve">2. Adalimumab, etanercept, tocilizumab </w:t>
            </w:r>
          </w:p>
        </w:tc>
        <w:tc>
          <w:tcPr>
            <w:tcW w:w="631" w:type="pct"/>
            <w:tcBorders>
              <w:top w:val="nil"/>
              <w:left w:val="single" w:sz="4" w:space="0" w:color="auto"/>
              <w:bottom w:val="nil"/>
              <w:right w:val="single" w:sz="4" w:space="0" w:color="auto"/>
            </w:tcBorders>
            <w:hideMark/>
          </w:tcPr>
          <w:p w14:paraId="3D641C1F" w14:textId="77777777" w:rsidR="003E0E09" w:rsidRPr="00065C22" w:rsidRDefault="003E0E09" w:rsidP="00190B36">
            <w:pPr>
              <w:rPr>
                <w:rFonts w:asciiTheme="minorHAnsi" w:hAnsiTheme="minorHAnsi" w:cstheme="minorHAnsi"/>
                <w:sz w:val="18"/>
                <w:szCs w:val="18"/>
              </w:rPr>
            </w:pPr>
            <w:r w:rsidRPr="00065C22">
              <w:rPr>
                <w:rFonts w:asciiTheme="minorHAnsi" w:hAnsiTheme="minorHAnsi" w:cstheme="minorHAnsi"/>
                <w:sz w:val="18"/>
                <w:szCs w:val="18"/>
              </w:rPr>
              <w:t>2. Juvenile idiopathic arthritis (JIA)</w:t>
            </w:r>
          </w:p>
        </w:tc>
        <w:tc>
          <w:tcPr>
            <w:tcW w:w="1255" w:type="pct"/>
            <w:tcBorders>
              <w:top w:val="nil"/>
              <w:left w:val="single" w:sz="4" w:space="0" w:color="auto"/>
              <w:bottom w:val="nil"/>
              <w:right w:val="single" w:sz="4" w:space="0" w:color="auto"/>
            </w:tcBorders>
          </w:tcPr>
          <w:p w14:paraId="4497A46F" w14:textId="77777777" w:rsidR="003E0E09" w:rsidRPr="00065C22" w:rsidRDefault="003E0E09" w:rsidP="00190B36">
            <w:pPr>
              <w:rPr>
                <w:rFonts w:asciiTheme="minorHAnsi" w:hAnsiTheme="minorHAnsi" w:cstheme="minorHAnsi"/>
                <w:sz w:val="18"/>
                <w:szCs w:val="18"/>
              </w:rPr>
            </w:pPr>
          </w:p>
        </w:tc>
        <w:tc>
          <w:tcPr>
            <w:tcW w:w="2205" w:type="pct"/>
            <w:tcBorders>
              <w:top w:val="nil"/>
              <w:left w:val="single" w:sz="4" w:space="0" w:color="auto"/>
              <w:bottom w:val="nil"/>
              <w:right w:val="single" w:sz="4" w:space="0" w:color="auto"/>
            </w:tcBorders>
            <w:hideMark/>
          </w:tcPr>
          <w:p w14:paraId="088C01A2" w14:textId="77777777" w:rsidR="003E0E09" w:rsidRPr="00065C22" w:rsidRDefault="003E0E09" w:rsidP="00190B36">
            <w:pPr>
              <w:rPr>
                <w:rFonts w:asciiTheme="minorHAnsi" w:hAnsiTheme="minorHAnsi" w:cstheme="minorHAnsi"/>
                <w:sz w:val="18"/>
                <w:szCs w:val="18"/>
              </w:rPr>
            </w:pPr>
            <w:r w:rsidRPr="00065C22">
              <w:rPr>
                <w:rFonts w:asciiTheme="minorHAnsi" w:hAnsiTheme="minorHAnsi" w:cstheme="minorHAnsi"/>
                <w:sz w:val="18"/>
                <w:szCs w:val="18"/>
              </w:rPr>
              <w:t xml:space="preserve">The PBAC noted that the JIA market was relatively small, stable, and mature, however there had been an increase in prevalent patients over the 2019/20-2020/21 period. </w:t>
            </w:r>
          </w:p>
          <w:p w14:paraId="7E274604" w14:textId="77777777" w:rsidR="003E0E09" w:rsidRPr="00065C22" w:rsidRDefault="003E0E09" w:rsidP="00190B36">
            <w:pPr>
              <w:rPr>
                <w:rFonts w:asciiTheme="minorHAnsi" w:hAnsiTheme="minorHAnsi" w:cstheme="minorHAnsi"/>
                <w:sz w:val="18"/>
                <w:szCs w:val="18"/>
              </w:rPr>
            </w:pPr>
            <w:r w:rsidRPr="00065C22">
              <w:rPr>
                <w:rFonts w:asciiTheme="minorHAnsi" w:hAnsiTheme="minorHAnsi" w:cstheme="minorHAnsi"/>
                <w:sz w:val="18"/>
                <w:szCs w:val="18"/>
              </w:rPr>
              <w:t>The PBAC acknowledged that the overall volume of authority applications for JIA is small, but the associated administrative burden is high and distributed amongst a small prescriber group due to the current shortage of paediatric rheumatologists. The PBAC also recognised the administrative burden that falls to carers in securing specialist appointments to obtain prescriptions for treatment for patients with JIA.</w:t>
            </w:r>
          </w:p>
          <w:p w14:paraId="0431475E" w14:textId="77777777" w:rsidR="003E0E09" w:rsidRDefault="003E0E09" w:rsidP="00190B36">
            <w:pPr>
              <w:rPr>
                <w:rFonts w:asciiTheme="minorHAnsi" w:hAnsiTheme="minorHAnsi" w:cstheme="minorHAnsi"/>
                <w:sz w:val="18"/>
                <w:szCs w:val="18"/>
              </w:rPr>
            </w:pPr>
            <w:r w:rsidRPr="00065C22">
              <w:rPr>
                <w:rFonts w:asciiTheme="minorHAnsi" w:hAnsiTheme="minorHAnsi" w:cstheme="minorHAnsi"/>
                <w:sz w:val="18"/>
                <w:szCs w:val="18"/>
              </w:rPr>
              <w:t xml:space="preserve">Noting these concerns, the small market and equity of access for paediatric patients using biosimilar and originator medicines, the PBAC recommended an amendment to the initial treatment authority requirements for adalimumab, etanercept and tocilizumab (biosimilars and originators) from Authority Required (Written) to Authority Required (Telephone/Electronic) and, for first and subsequent continuing treatment from Authority Required (Written) to Authority Required (STREAMLINED). </w:t>
            </w:r>
          </w:p>
          <w:p w14:paraId="43B60110" w14:textId="4F517CE5" w:rsidR="00F724F5" w:rsidRPr="00065C22" w:rsidRDefault="00F724F5" w:rsidP="00190B36">
            <w:pPr>
              <w:rPr>
                <w:rFonts w:asciiTheme="minorHAnsi" w:hAnsiTheme="minorHAnsi" w:cstheme="minorHAnsi"/>
                <w:sz w:val="18"/>
                <w:szCs w:val="18"/>
              </w:rPr>
            </w:pPr>
          </w:p>
        </w:tc>
      </w:tr>
      <w:tr w:rsidR="003E0E09" w14:paraId="01394551" w14:textId="77777777" w:rsidTr="00190B36">
        <w:tc>
          <w:tcPr>
            <w:tcW w:w="909" w:type="pct"/>
            <w:tcBorders>
              <w:top w:val="nil"/>
              <w:left w:val="single" w:sz="4" w:space="0" w:color="auto"/>
              <w:bottom w:val="nil"/>
              <w:right w:val="single" w:sz="4" w:space="0" w:color="auto"/>
            </w:tcBorders>
            <w:hideMark/>
          </w:tcPr>
          <w:p w14:paraId="2CB104F6" w14:textId="77777777" w:rsidR="0098027F" w:rsidRDefault="0098027F" w:rsidP="00190B36">
            <w:pPr>
              <w:rPr>
                <w:rFonts w:asciiTheme="minorHAnsi" w:hAnsiTheme="minorHAnsi" w:cstheme="minorHAnsi"/>
                <w:sz w:val="18"/>
                <w:szCs w:val="18"/>
              </w:rPr>
            </w:pPr>
          </w:p>
          <w:p w14:paraId="798E1145" w14:textId="4B26DB1F" w:rsidR="003E0E09" w:rsidRPr="00065C22" w:rsidRDefault="003E0E09" w:rsidP="00190B36">
            <w:pPr>
              <w:rPr>
                <w:rFonts w:asciiTheme="minorHAnsi" w:hAnsiTheme="minorHAnsi" w:cstheme="minorHAnsi"/>
                <w:sz w:val="18"/>
                <w:szCs w:val="18"/>
              </w:rPr>
            </w:pPr>
            <w:r w:rsidRPr="00065C22">
              <w:rPr>
                <w:rFonts w:asciiTheme="minorHAnsi" w:hAnsiTheme="minorHAnsi" w:cstheme="minorHAnsi"/>
                <w:sz w:val="18"/>
                <w:szCs w:val="18"/>
              </w:rPr>
              <w:t xml:space="preserve">3. Tocilizumab  </w:t>
            </w:r>
          </w:p>
        </w:tc>
        <w:tc>
          <w:tcPr>
            <w:tcW w:w="631" w:type="pct"/>
            <w:tcBorders>
              <w:top w:val="nil"/>
              <w:left w:val="single" w:sz="4" w:space="0" w:color="auto"/>
              <w:bottom w:val="nil"/>
              <w:right w:val="single" w:sz="4" w:space="0" w:color="auto"/>
            </w:tcBorders>
            <w:hideMark/>
          </w:tcPr>
          <w:p w14:paraId="04B46301" w14:textId="77777777" w:rsidR="0021638C" w:rsidRDefault="0021638C" w:rsidP="00190B36">
            <w:pPr>
              <w:rPr>
                <w:rFonts w:asciiTheme="minorHAnsi" w:hAnsiTheme="minorHAnsi" w:cstheme="minorHAnsi"/>
                <w:sz w:val="18"/>
                <w:szCs w:val="18"/>
              </w:rPr>
            </w:pPr>
          </w:p>
          <w:p w14:paraId="5A3979ED" w14:textId="3DD3E2E6" w:rsidR="003E0E09" w:rsidRPr="00065C22" w:rsidRDefault="003E0E09" w:rsidP="00190B36">
            <w:pPr>
              <w:rPr>
                <w:rFonts w:asciiTheme="minorHAnsi" w:hAnsiTheme="minorHAnsi" w:cstheme="minorHAnsi"/>
                <w:sz w:val="18"/>
                <w:szCs w:val="18"/>
              </w:rPr>
            </w:pPr>
            <w:r w:rsidRPr="00065C22">
              <w:rPr>
                <w:rFonts w:asciiTheme="minorHAnsi" w:hAnsiTheme="minorHAnsi" w:cstheme="minorHAnsi"/>
                <w:sz w:val="18"/>
                <w:szCs w:val="18"/>
              </w:rPr>
              <w:t>3. Systemic juvenile idiopathic arthritis (</w:t>
            </w:r>
            <w:proofErr w:type="spellStart"/>
            <w:r w:rsidRPr="00065C22">
              <w:rPr>
                <w:rFonts w:asciiTheme="minorHAnsi" w:hAnsiTheme="minorHAnsi" w:cstheme="minorHAnsi"/>
                <w:sz w:val="18"/>
                <w:szCs w:val="18"/>
              </w:rPr>
              <w:t>sJIA</w:t>
            </w:r>
            <w:proofErr w:type="spellEnd"/>
            <w:r w:rsidRPr="00065C22">
              <w:rPr>
                <w:rFonts w:asciiTheme="minorHAnsi" w:hAnsiTheme="minorHAnsi" w:cstheme="minorHAnsi"/>
                <w:sz w:val="18"/>
                <w:szCs w:val="18"/>
              </w:rPr>
              <w:t>)</w:t>
            </w:r>
          </w:p>
        </w:tc>
        <w:tc>
          <w:tcPr>
            <w:tcW w:w="1255" w:type="pct"/>
            <w:tcBorders>
              <w:top w:val="nil"/>
              <w:left w:val="single" w:sz="4" w:space="0" w:color="auto"/>
              <w:bottom w:val="nil"/>
              <w:right w:val="single" w:sz="4" w:space="0" w:color="auto"/>
            </w:tcBorders>
          </w:tcPr>
          <w:p w14:paraId="6A076EA8" w14:textId="77777777" w:rsidR="003E0E09" w:rsidRPr="00065C22" w:rsidRDefault="003E0E09" w:rsidP="00190B36">
            <w:pPr>
              <w:rPr>
                <w:rFonts w:asciiTheme="minorHAnsi" w:hAnsiTheme="minorHAnsi" w:cstheme="minorHAnsi"/>
                <w:sz w:val="18"/>
                <w:szCs w:val="18"/>
              </w:rPr>
            </w:pPr>
          </w:p>
        </w:tc>
        <w:tc>
          <w:tcPr>
            <w:tcW w:w="2205" w:type="pct"/>
            <w:tcBorders>
              <w:top w:val="nil"/>
              <w:left w:val="single" w:sz="4" w:space="0" w:color="auto"/>
              <w:bottom w:val="nil"/>
              <w:right w:val="single" w:sz="4" w:space="0" w:color="auto"/>
            </w:tcBorders>
            <w:hideMark/>
          </w:tcPr>
          <w:p w14:paraId="04FECB8F" w14:textId="77777777" w:rsidR="0021638C" w:rsidRDefault="0021638C" w:rsidP="00190B36">
            <w:pPr>
              <w:rPr>
                <w:rFonts w:asciiTheme="minorHAnsi" w:hAnsiTheme="minorHAnsi" w:cstheme="minorHAnsi"/>
                <w:sz w:val="18"/>
                <w:szCs w:val="18"/>
              </w:rPr>
            </w:pPr>
          </w:p>
          <w:p w14:paraId="3A2D2302" w14:textId="0A51F3B3" w:rsidR="003E0E09" w:rsidRPr="00065C22" w:rsidRDefault="003E0E09" w:rsidP="00190B36">
            <w:pPr>
              <w:rPr>
                <w:rFonts w:asciiTheme="minorHAnsi" w:hAnsiTheme="minorHAnsi" w:cstheme="minorHAnsi"/>
                <w:sz w:val="18"/>
                <w:szCs w:val="18"/>
              </w:rPr>
            </w:pPr>
            <w:r w:rsidRPr="00065C22">
              <w:rPr>
                <w:rFonts w:asciiTheme="minorHAnsi" w:hAnsiTheme="minorHAnsi" w:cstheme="minorHAnsi"/>
                <w:sz w:val="18"/>
                <w:szCs w:val="18"/>
              </w:rPr>
              <w:t xml:space="preserve">The PBAC acknowledged that while the overall volume of authority applications for </w:t>
            </w:r>
            <w:proofErr w:type="spellStart"/>
            <w:r w:rsidRPr="00065C22">
              <w:rPr>
                <w:rFonts w:asciiTheme="minorHAnsi" w:hAnsiTheme="minorHAnsi" w:cstheme="minorHAnsi"/>
                <w:sz w:val="18"/>
                <w:szCs w:val="18"/>
              </w:rPr>
              <w:t>sJIA</w:t>
            </w:r>
            <w:proofErr w:type="spellEnd"/>
            <w:r w:rsidRPr="00065C22">
              <w:rPr>
                <w:rFonts w:asciiTheme="minorHAnsi" w:hAnsiTheme="minorHAnsi" w:cstheme="minorHAnsi"/>
                <w:sz w:val="18"/>
                <w:szCs w:val="18"/>
              </w:rPr>
              <w:t xml:space="preserve"> is small, the associated administrative burden is high and distributed amongst a small prescriber group due to the current shortage of paediatric rheumatologists. The PBAC also recognised the administrative burden that falls to carers in securing specialist appointments to obtain prescriptions for treatment for patients with </w:t>
            </w:r>
            <w:proofErr w:type="spellStart"/>
            <w:r w:rsidRPr="00065C22">
              <w:rPr>
                <w:rFonts w:asciiTheme="minorHAnsi" w:hAnsiTheme="minorHAnsi" w:cstheme="minorHAnsi"/>
                <w:sz w:val="18"/>
                <w:szCs w:val="18"/>
              </w:rPr>
              <w:t>sJIA</w:t>
            </w:r>
            <w:proofErr w:type="spellEnd"/>
            <w:r w:rsidRPr="00065C22">
              <w:rPr>
                <w:rFonts w:asciiTheme="minorHAnsi" w:hAnsiTheme="minorHAnsi" w:cstheme="minorHAnsi"/>
                <w:sz w:val="18"/>
                <w:szCs w:val="18"/>
              </w:rPr>
              <w:t>.</w:t>
            </w:r>
          </w:p>
          <w:p w14:paraId="1507D653" w14:textId="77777777" w:rsidR="00F724F5" w:rsidRDefault="003E0E09" w:rsidP="00190B36">
            <w:pPr>
              <w:rPr>
                <w:rFonts w:asciiTheme="minorHAnsi" w:hAnsiTheme="minorHAnsi" w:cstheme="minorHAnsi"/>
                <w:sz w:val="18"/>
                <w:szCs w:val="18"/>
              </w:rPr>
            </w:pPr>
            <w:r w:rsidRPr="00065C22">
              <w:rPr>
                <w:rFonts w:asciiTheme="minorHAnsi" w:hAnsiTheme="minorHAnsi" w:cstheme="minorHAnsi"/>
                <w:sz w:val="18"/>
                <w:szCs w:val="18"/>
              </w:rPr>
              <w:t xml:space="preserve">The PBAC recommended initial treatment authority requirements be amended from Authority Required (Written) to Authority Required (Telephone/Electronic) and continuing treatment be amended from Authority Required (Written) to Authority Required (STREAMLINED). </w:t>
            </w:r>
          </w:p>
          <w:p w14:paraId="70A4E6DB" w14:textId="718BA362" w:rsidR="003E0E09" w:rsidRPr="00065C22" w:rsidRDefault="003E0E09" w:rsidP="00190B36">
            <w:pPr>
              <w:rPr>
                <w:rFonts w:asciiTheme="minorHAnsi" w:hAnsiTheme="minorHAnsi" w:cstheme="minorHAnsi"/>
                <w:sz w:val="18"/>
                <w:szCs w:val="18"/>
              </w:rPr>
            </w:pPr>
            <w:r w:rsidRPr="00065C22">
              <w:rPr>
                <w:rFonts w:asciiTheme="minorHAnsi" w:hAnsiTheme="minorHAnsi" w:cstheme="minorHAnsi"/>
                <w:sz w:val="18"/>
                <w:szCs w:val="18"/>
              </w:rPr>
              <w:t xml:space="preserve"> </w:t>
            </w:r>
          </w:p>
        </w:tc>
      </w:tr>
      <w:tr w:rsidR="003E0E09" w14:paraId="75558F18" w14:textId="77777777" w:rsidTr="00190B36">
        <w:tc>
          <w:tcPr>
            <w:tcW w:w="909" w:type="pct"/>
            <w:tcBorders>
              <w:top w:val="nil"/>
              <w:left w:val="single" w:sz="4" w:space="0" w:color="auto"/>
              <w:bottom w:val="nil"/>
              <w:right w:val="single" w:sz="4" w:space="0" w:color="auto"/>
            </w:tcBorders>
            <w:hideMark/>
          </w:tcPr>
          <w:p w14:paraId="0D24DB51" w14:textId="77777777" w:rsidR="003E0E09" w:rsidRPr="00065C22" w:rsidRDefault="003E0E09" w:rsidP="00190B36">
            <w:pPr>
              <w:rPr>
                <w:rFonts w:asciiTheme="minorHAnsi" w:hAnsiTheme="minorHAnsi" w:cstheme="minorHAnsi"/>
                <w:sz w:val="18"/>
                <w:szCs w:val="18"/>
              </w:rPr>
            </w:pPr>
            <w:r w:rsidRPr="00065C22">
              <w:rPr>
                <w:rFonts w:asciiTheme="minorHAnsi" w:hAnsiTheme="minorHAnsi" w:cstheme="minorHAnsi"/>
                <w:sz w:val="18"/>
                <w:szCs w:val="18"/>
              </w:rPr>
              <w:t xml:space="preserve">4. Golimumab </w:t>
            </w:r>
          </w:p>
        </w:tc>
        <w:tc>
          <w:tcPr>
            <w:tcW w:w="631" w:type="pct"/>
            <w:tcBorders>
              <w:top w:val="nil"/>
              <w:left w:val="single" w:sz="4" w:space="0" w:color="auto"/>
              <w:bottom w:val="nil"/>
              <w:right w:val="single" w:sz="4" w:space="0" w:color="auto"/>
            </w:tcBorders>
            <w:hideMark/>
          </w:tcPr>
          <w:p w14:paraId="59FE7051" w14:textId="77777777" w:rsidR="003E0E09" w:rsidRPr="00065C22" w:rsidRDefault="003E0E09" w:rsidP="00190B36">
            <w:pPr>
              <w:rPr>
                <w:rFonts w:asciiTheme="minorHAnsi" w:hAnsiTheme="minorHAnsi" w:cstheme="minorHAnsi"/>
                <w:sz w:val="18"/>
                <w:szCs w:val="18"/>
              </w:rPr>
            </w:pPr>
            <w:r w:rsidRPr="00065C22">
              <w:rPr>
                <w:rFonts w:asciiTheme="minorHAnsi" w:hAnsiTheme="minorHAnsi" w:cstheme="minorHAnsi"/>
                <w:sz w:val="18"/>
                <w:szCs w:val="18"/>
              </w:rPr>
              <w:t>4. Non-radiographic axial spondyloarthritis (nr-</w:t>
            </w:r>
            <w:proofErr w:type="spellStart"/>
            <w:r w:rsidRPr="00065C22">
              <w:rPr>
                <w:rFonts w:asciiTheme="minorHAnsi" w:hAnsiTheme="minorHAnsi" w:cstheme="minorHAnsi"/>
                <w:sz w:val="18"/>
                <w:szCs w:val="18"/>
              </w:rPr>
              <w:t>axSpA</w:t>
            </w:r>
            <w:proofErr w:type="spellEnd"/>
            <w:r w:rsidRPr="00065C22">
              <w:rPr>
                <w:rFonts w:asciiTheme="minorHAnsi" w:hAnsiTheme="minorHAnsi" w:cstheme="minorHAnsi"/>
                <w:sz w:val="18"/>
                <w:szCs w:val="18"/>
              </w:rPr>
              <w:t>)</w:t>
            </w:r>
          </w:p>
        </w:tc>
        <w:tc>
          <w:tcPr>
            <w:tcW w:w="1255" w:type="pct"/>
            <w:tcBorders>
              <w:top w:val="nil"/>
              <w:left w:val="single" w:sz="4" w:space="0" w:color="auto"/>
              <w:bottom w:val="nil"/>
              <w:right w:val="single" w:sz="4" w:space="0" w:color="auto"/>
            </w:tcBorders>
          </w:tcPr>
          <w:p w14:paraId="1127BA1E" w14:textId="77777777" w:rsidR="003E0E09" w:rsidRPr="00065C22" w:rsidRDefault="003E0E09" w:rsidP="00190B36">
            <w:pPr>
              <w:rPr>
                <w:rFonts w:asciiTheme="minorHAnsi" w:hAnsiTheme="minorHAnsi" w:cstheme="minorHAnsi"/>
                <w:sz w:val="18"/>
                <w:szCs w:val="18"/>
              </w:rPr>
            </w:pPr>
          </w:p>
        </w:tc>
        <w:tc>
          <w:tcPr>
            <w:tcW w:w="2205" w:type="pct"/>
            <w:tcBorders>
              <w:top w:val="nil"/>
              <w:left w:val="single" w:sz="4" w:space="0" w:color="auto"/>
              <w:bottom w:val="nil"/>
              <w:right w:val="single" w:sz="4" w:space="0" w:color="auto"/>
            </w:tcBorders>
            <w:hideMark/>
          </w:tcPr>
          <w:p w14:paraId="3C1BD53C" w14:textId="0F5CD579" w:rsidR="003E0E09" w:rsidRPr="00065C22" w:rsidRDefault="003E0E09" w:rsidP="00190B36">
            <w:pPr>
              <w:rPr>
                <w:rFonts w:asciiTheme="minorHAnsi" w:hAnsiTheme="minorHAnsi" w:cstheme="minorHAnsi"/>
                <w:sz w:val="18"/>
                <w:szCs w:val="18"/>
              </w:rPr>
            </w:pPr>
            <w:r w:rsidRPr="00065C22">
              <w:rPr>
                <w:rFonts w:asciiTheme="minorHAnsi" w:hAnsiTheme="minorHAnsi" w:cstheme="minorHAnsi"/>
                <w:sz w:val="18"/>
                <w:szCs w:val="18"/>
              </w:rPr>
              <w:t>The PBAC noted that the market for nr-</w:t>
            </w:r>
            <w:proofErr w:type="spellStart"/>
            <w:r w:rsidRPr="00065C22">
              <w:rPr>
                <w:rFonts w:asciiTheme="minorHAnsi" w:hAnsiTheme="minorHAnsi" w:cstheme="minorHAnsi"/>
                <w:sz w:val="18"/>
                <w:szCs w:val="18"/>
              </w:rPr>
              <w:t>axSpA</w:t>
            </w:r>
            <w:proofErr w:type="spellEnd"/>
            <w:r w:rsidRPr="00065C22">
              <w:rPr>
                <w:rFonts w:asciiTheme="minorHAnsi" w:hAnsiTheme="minorHAnsi" w:cstheme="minorHAnsi"/>
                <w:sz w:val="18"/>
                <w:szCs w:val="18"/>
              </w:rPr>
              <w:t xml:space="preserve"> is immature and growing rapidly. The PBAC considered that recently listed medicines certolizumab (1 June 2020) and secukinumab (1</w:t>
            </w:r>
            <w:r w:rsidR="0021638C">
              <w:rPr>
                <w:rFonts w:asciiTheme="minorHAnsi" w:hAnsiTheme="minorHAnsi" w:cstheme="minorHAnsi"/>
                <w:sz w:val="18"/>
                <w:szCs w:val="18"/>
              </w:rPr>
              <w:t> </w:t>
            </w:r>
            <w:r w:rsidRPr="00065C22">
              <w:rPr>
                <w:rFonts w:asciiTheme="minorHAnsi" w:hAnsiTheme="minorHAnsi" w:cstheme="minorHAnsi"/>
                <w:sz w:val="18"/>
                <w:szCs w:val="18"/>
              </w:rPr>
              <w:t xml:space="preserve">April 2021) may have impacted the utilisation of golimumab and that the pending listing of ixekizumab will further impact this market. </w:t>
            </w:r>
          </w:p>
          <w:p w14:paraId="12D02B74" w14:textId="77777777" w:rsidR="003E0E09" w:rsidRPr="00065C22" w:rsidRDefault="003E0E09" w:rsidP="00190B36">
            <w:pPr>
              <w:rPr>
                <w:rFonts w:asciiTheme="minorHAnsi" w:hAnsiTheme="minorHAnsi" w:cstheme="minorHAnsi"/>
                <w:sz w:val="18"/>
                <w:szCs w:val="18"/>
              </w:rPr>
            </w:pPr>
            <w:r w:rsidRPr="00065C22">
              <w:rPr>
                <w:rFonts w:asciiTheme="minorHAnsi" w:hAnsiTheme="minorHAnsi" w:cstheme="minorHAnsi"/>
                <w:sz w:val="18"/>
                <w:szCs w:val="18"/>
              </w:rPr>
              <w:t xml:space="preserve">The PBAC recalled the 1 June 2020 amendments to the written authority requirements for the ‘Initial treatment 2’, ‘Initial treatment 3’ and continuing treatment restrictions to Authority Required (Telephone/Electronic). </w:t>
            </w:r>
          </w:p>
          <w:p w14:paraId="23A0BA8B" w14:textId="77777777" w:rsidR="00F724F5" w:rsidRDefault="003E0E09" w:rsidP="00190B36">
            <w:pPr>
              <w:rPr>
                <w:rFonts w:asciiTheme="minorHAnsi" w:hAnsiTheme="minorHAnsi" w:cstheme="minorHAnsi"/>
                <w:sz w:val="18"/>
                <w:szCs w:val="18"/>
              </w:rPr>
            </w:pPr>
            <w:r w:rsidRPr="00065C22">
              <w:rPr>
                <w:rFonts w:asciiTheme="minorHAnsi" w:hAnsiTheme="minorHAnsi" w:cstheme="minorHAnsi"/>
                <w:sz w:val="18"/>
                <w:szCs w:val="18"/>
              </w:rPr>
              <w:t>The PBAC did not recommend an amendment to the authority requirements for golimumab for nr-</w:t>
            </w:r>
            <w:proofErr w:type="spellStart"/>
            <w:r w:rsidRPr="00065C22">
              <w:rPr>
                <w:rFonts w:asciiTheme="minorHAnsi" w:hAnsiTheme="minorHAnsi" w:cstheme="minorHAnsi"/>
                <w:sz w:val="18"/>
                <w:szCs w:val="18"/>
              </w:rPr>
              <w:t>axSpA</w:t>
            </w:r>
            <w:proofErr w:type="spellEnd"/>
            <w:r w:rsidRPr="00065C22">
              <w:rPr>
                <w:rFonts w:asciiTheme="minorHAnsi" w:hAnsiTheme="minorHAnsi" w:cstheme="minorHAnsi"/>
                <w:sz w:val="18"/>
                <w:szCs w:val="18"/>
              </w:rPr>
              <w:t xml:space="preserve"> at this time, noting the objective initial restriction criteria do not confer unnecessary administrative burden and ensure use in cost-effective populations.</w:t>
            </w:r>
          </w:p>
          <w:p w14:paraId="571FADA6" w14:textId="68B5DB08" w:rsidR="003E0E09" w:rsidRPr="00065C22" w:rsidRDefault="003E0E09" w:rsidP="00190B36">
            <w:pPr>
              <w:rPr>
                <w:rFonts w:asciiTheme="minorHAnsi" w:hAnsiTheme="minorHAnsi" w:cstheme="minorHAnsi"/>
                <w:sz w:val="18"/>
                <w:szCs w:val="18"/>
              </w:rPr>
            </w:pPr>
            <w:r w:rsidRPr="00065C22">
              <w:rPr>
                <w:rFonts w:asciiTheme="minorHAnsi" w:hAnsiTheme="minorHAnsi" w:cstheme="minorHAnsi"/>
                <w:sz w:val="18"/>
                <w:szCs w:val="18"/>
              </w:rPr>
              <w:t xml:space="preserve"> </w:t>
            </w:r>
          </w:p>
        </w:tc>
      </w:tr>
      <w:tr w:rsidR="003E0E09" w14:paraId="23E13EB9" w14:textId="77777777" w:rsidTr="00190B36">
        <w:tc>
          <w:tcPr>
            <w:tcW w:w="909" w:type="pct"/>
            <w:tcBorders>
              <w:top w:val="nil"/>
              <w:left w:val="single" w:sz="4" w:space="0" w:color="auto"/>
              <w:bottom w:val="nil"/>
              <w:right w:val="single" w:sz="4" w:space="0" w:color="auto"/>
            </w:tcBorders>
            <w:hideMark/>
          </w:tcPr>
          <w:p w14:paraId="6E5F8B18" w14:textId="77777777" w:rsidR="003E0E09" w:rsidRPr="00065C22" w:rsidRDefault="003E0E09" w:rsidP="00190B36">
            <w:pPr>
              <w:rPr>
                <w:rFonts w:asciiTheme="minorHAnsi" w:hAnsiTheme="minorHAnsi" w:cstheme="minorHAnsi"/>
                <w:sz w:val="18"/>
                <w:szCs w:val="18"/>
              </w:rPr>
            </w:pPr>
            <w:r w:rsidRPr="00065C22">
              <w:rPr>
                <w:rFonts w:asciiTheme="minorHAnsi" w:hAnsiTheme="minorHAnsi" w:cstheme="minorHAnsi"/>
                <w:sz w:val="18"/>
                <w:szCs w:val="18"/>
              </w:rPr>
              <w:lastRenderedPageBreak/>
              <w:t xml:space="preserve">5. Adalimumab, certolizumab, etanercept, golimumab, infliximab, ixekizumab, secukinumab, tofacitinib, ustekinumab </w:t>
            </w:r>
          </w:p>
        </w:tc>
        <w:tc>
          <w:tcPr>
            <w:tcW w:w="631" w:type="pct"/>
            <w:tcBorders>
              <w:top w:val="nil"/>
              <w:left w:val="single" w:sz="4" w:space="0" w:color="auto"/>
              <w:bottom w:val="nil"/>
              <w:right w:val="single" w:sz="4" w:space="0" w:color="auto"/>
            </w:tcBorders>
            <w:hideMark/>
          </w:tcPr>
          <w:p w14:paraId="62680FD4" w14:textId="77777777" w:rsidR="003E0E09" w:rsidRPr="00065C22" w:rsidRDefault="003E0E09" w:rsidP="00190B36">
            <w:pPr>
              <w:rPr>
                <w:rFonts w:asciiTheme="minorHAnsi" w:hAnsiTheme="minorHAnsi" w:cstheme="minorHAnsi"/>
                <w:sz w:val="18"/>
                <w:szCs w:val="18"/>
              </w:rPr>
            </w:pPr>
            <w:r w:rsidRPr="00065C22">
              <w:rPr>
                <w:rFonts w:asciiTheme="minorHAnsi" w:hAnsiTheme="minorHAnsi" w:cstheme="minorHAnsi"/>
                <w:sz w:val="18"/>
                <w:szCs w:val="18"/>
              </w:rPr>
              <w:t>5. Psoriatic arthritis (PsA)</w:t>
            </w:r>
          </w:p>
        </w:tc>
        <w:tc>
          <w:tcPr>
            <w:tcW w:w="1255" w:type="pct"/>
            <w:tcBorders>
              <w:top w:val="nil"/>
              <w:left w:val="single" w:sz="4" w:space="0" w:color="auto"/>
              <w:bottom w:val="nil"/>
              <w:right w:val="single" w:sz="4" w:space="0" w:color="auto"/>
            </w:tcBorders>
          </w:tcPr>
          <w:p w14:paraId="4D341873" w14:textId="77777777" w:rsidR="003E0E09" w:rsidRPr="00065C22" w:rsidRDefault="003E0E09" w:rsidP="00190B36">
            <w:pPr>
              <w:rPr>
                <w:rFonts w:asciiTheme="minorHAnsi" w:hAnsiTheme="minorHAnsi" w:cstheme="minorHAnsi"/>
                <w:sz w:val="18"/>
                <w:szCs w:val="18"/>
              </w:rPr>
            </w:pPr>
          </w:p>
        </w:tc>
        <w:tc>
          <w:tcPr>
            <w:tcW w:w="2205" w:type="pct"/>
            <w:tcBorders>
              <w:top w:val="nil"/>
              <w:left w:val="single" w:sz="4" w:space="0" w:color="auto"/>
              <w:bottom w:val="nil"/>
              <w:right w:val="single" w:sz="4" w:space="0" w:color="auto"/>
            </w:tcBorders>
            <w:hideMark/>
          </w:tcPr>
          <w:p w14:paraId="629AC4D9" w14:textId="77777777" w:rsidR="003E0E09" w:rsidRPr="00065C22" w:rsidRDefault="003E0E09" w:rsidP="00190B36">
            <w:pPr>
              <w:rPr>
                <w:rFonts w:asciiTheme="minorHAnsi" w:hAnsiTheme="minorHAnsi" w:cstheme="minorHAnsi"/>
                <w:sz w:val="18"/>
                <w:szCs w:val="18"/>
              </w:rPr>
            </w:pPr>
            <w:r w:rsidRPr="00065C22">
              <w:rPr>
                <w:rFonts w:asciiTheme="minorHAnsi" w:hAnsiTheme="minorHAnsi" w:cstheme="minorHAnsi"/>
                <w:sz w:val="18"/>
                <w:szCs w:val="18"/>
              </w:rPr>
              <w:t xml:space="preserve">The PBAC noted the PsA market was well established but not yet stable. The PBAC also noted the potential for further market growth with the recent PBS listing of new medicines that will not have biosimilars available in the short term.  </w:t>
            </w:r>
          </w:p>
          <w:p w14:paraId="5B77D9E6" w14:textId="77777777" w:rsidR="003E0E09" w:rsidRDefault="003E0E09" w:rsidP="00190B36">
            <w:pPr>
              <w:rPr>
                <w:rFonts w:asciiTheme="minorHAnsi" w:hAnsiTheme="minorHAnsi" w:cstheme="minorHAnsi"/>
                <w:sz w:val="18"/>
                <w:szCs w:val="18"/>
              </w:rPr>
            </w:pPr>
            <w:r w:rsidRPr="00065C22">
              <w:rPr>
                <w:rFonts w:asciiTheme="minorHAnsi" w:hAnsiTheme="minorHAnsi" w:cstheme="minorHAnsi"/>
                <w:sz w:val="18"/>
                <w:szCs w:val="18"/>
              </w:rPr>
              <w:t>The PBAC did not recommend any changes to the current written authority requirements for medicines for PsA due to increasing utilisation, substantial increases in expenditure and the potential for use beyond the restriction within and outside of the indication.</w:t>
            </w:r>
          </w:p>
          <w:p w14:paraId="667EA733" w14:textId="68212AE7" w:rsidR="00F724F5" w:rsidRPr="00065C22" w:rsidRDefault="00F724F5" w:rsidP="00190B36">
            <w:pPr>
              <w:rPr>
                <w:rFonts w:asciiTheme="minorHAnsi" w:hAnsiTheme="minorHAnsi" w:cstheme="minorHAnsi"/>
                <w:sz w:val="18"/>
                <w:szCs w:val="18"/>
              </w:rPr>
            </w:pPr>
          </w:p>
        </w:tc>
      </w:tr>
      <w:tr w:rsidR="003E0E09" w14:paraId="343B9325" w14:textId="77777777" w:rsidTr="00190B36">
        <w:tc>
          <w:tcPr>
            <w:tcW w:w="909" w:type="pct"/>
            <w:tcBorders>
              <w:top w:val="nil"/>
              <w:left w:val="single" w:sz="4" w:space="0" w:color="auto"/>
              <w:bottom w:val="nil"/>
              <w:right w:val="single" w:sz="4" w:space="0" w:color="auto"/>
            </w:tcBorders>
            <w:hideMark/>
          </w:tcPr>
          <w:p w14:paraId="2B2525C6" w14:textId="77777777" w:rsidR="0098027F" w:rsidRDefault="0098027F" w:rsidP="00190B36">
            <w:pPr>
              <w:rPr>
                <w:rFonts w:asciiTheme="minorHAnsi" w:hAnsiTheme="minorHAnsi" w:cstheme="minorHAnsi"/>
                <w:sz w:val="18"/>
                <w:szCs w:val="18"/>
              </w:rPr>
            </w:pPr>
          </w:p>
          <w:p w14:paraId="133007F7" w14:textId="64444C04" w:rsidR="003E0E09" w:rsidRPr="00065C22" w:rsidRDefault="003E0E09" w:rsidP="00190B36">
            <w:pPr>
              <w:rPr>
                <w:rFonts w:asciiTheme="minorHAnsi" w:hAnsiTheme="minorHAnsi" w:cstheme="minorHAnsi"/>
                <w:sz w:val="18"/>
                <w:szCs w:val="18"/>
              </w:rPr>
            </w:pPr>
            <w:r w:rsidRPr="00065C22">
              <w:rPr>
                <w:rFonts w:asciiTheme="minorHAnsi" w:hAnsiTheme="minorHAnsi" w:cstheme="minorHAnsi"/>
                <w:sz w:val="18"/>
                <w:szCs w:val="18"/>
              </w:rPr>
              <w:t xml:space="preserve">6. Abatacept, adalimumab, baricitinib, certolizumab, etanercept, golimumab, infliximab, rituximab, tocilizumab, tofacitinib  </w:t>
            </w:r>
          </w:p>
        </w:tc>
        <w:tc>
          <w:tcPr>
            <w:tcW w:w="631" w:type="pct"/>
            <w:tcBorders>
              <w:top w:val="nil"/>
              <w:left w:val="single" w:sz="4" w:space="0" w:color="auto"/>
              <w:bottom w:val="nil"/>
              <w:right w:val="single" w:sz="4" w:space="0" w:color="auto"/>
            </w:tcBorders>
            <w:hideMark/>
          </w:tcPr>
          <w:p w14:paraId="0E300BE0" w14:textId="77777777" w:rsidR="0098027F" w:rsidRDefault="0098027F" w:rsidP="00190B36">
            <w:pPr>
              <w:rPr>
                <w:rFonts w:asciiTheme="minorHAnsi" w:hAnsiTheme="minorHAnsi" w:cstheme="minorHAnsi"/>
                <w:sz w:val="18"/>
                <w:szCs w:val="18"/>
              </w:rPr>
            </w:pPr>
          </w:p>
          <w:p w14:paraId="34AE5085" w14:textId="6A530692" w:rsidR="003E0E09" w:rsidRPr="00065C22" w:rsidRDefault="003E0E09" w:rsidP="00190B36">
            <w:pPr>
              <w:rPr>
                <w:rFonts w:asciiTheme="minorHAnsi" w:hAnsiTheme="minorHAnsi" w:cstheme="minorHAnsi"/>
                <w:sz w:val="18"/>
                <w:szCs w:val="18"/>
              </w:rPr>
            </w:pPr>
            <w:r w:rsidRPr="00065C22">
              <w:rPr>
                <w:rFonts w:asciiTheme="minorHAnsi" w:hAnsiTheme="minorHAnsi" w:cstheme="minorHAnsi"/>
                <w:sz w:val="18"/>
                <w:szCs w:val="18"/>
              </w:rPr>
              <w:t>6. Rheumatoid arthritis (RA)</w:t>
            </w:r>
          </w:p>
        </w:tc>
        <w:tc>
          <w:tcPr>
            <w:tcW w:w="1255" w:type="pct"/>
            <w:tcBorders>
              <w:top w:val="nil"/>
              <w:left w:val="single" w:sz="4" w:space="0" w:color="auto"/>
              <w:bottom w:val="nil"/>
              <w:right w:val="single" w:sz="4" w:space="0" w:color="auto"/>
            </w:tcBorders>
          </w:tcPr>
          <w:p w14:paraId="1E53C43A" w14:textId="77777777" w:rsidR="003E0E09" w:rsidRPr="00065C22" w:rsidRDefault="003E0E09" w:rsidP="00190B36">
            <w:pPr>
              <w:rPr>
                <w:rFonts w:asciiTheme="minorHAnsi" w:hAnsiTheme="minorHAnsi" w:cstheme="minorHAnsi"/>
                <w:sz w:val="18"/>
                <w:szCs w:val="18"/>
              </w:rPr>
            </w:pPr>
          </w:p>
        </w:tc>
        <w:tc>
          <w:tcPr>
            <w:tcW w:w="2205" w:type="pct"/>
            <w:tcBorders>
              <w:top w:val="nil"/>
              <w:left w:val="single" w:sz="4" w:space="0" w:color="auto"/>
              <w:bottom w:val="nil"/>
              <w:right w:val="single" w:sz="4" w:space="0" w:color="auto"/>
            </w:tcBorders>
            <w:hideMark/>
          </w:tcPr>
          <w:p w14:paraId="3F9765D4" w14:textId="77777777" w:rsidR="0021638C" w:rsidRDefault="0021638C" w:rsidP="00190B36">
            <w:pPr>
              <w:rPr>
                <w:rFonts w:asciiTheme="minorHAnsi" w:hAnsiTheme="minorHAnsi" w:cstheme="minorHAnsi"/>
                <w:sz w:val="18"/>
                <w:szCs w:val="18"/>
              </w:rPr>
            </w:pPr>
          </w:p>
          <w:p w14:paraId="0E9BAA9B" w14:textId="307625DD" w:rsidR="003E0E09" w:rsidRPr="00065C22" w:rsidRDefault="003E0E09" w:rsidP="00190B36">
            <w:pPr>
              <w:rPr>
                <w:rFonts w:asciiTheme="minorHAnsi" w:hAnsiTheme="minorHAnsi" w:cstheme="minorHAnsi"/>
                <w:sz w:val="18"/>
                <w:szCs w:val="18"/>
              </w:rPr>
            </w:pPr>
            <w:r w:rsidRPr="00065C22">
              <w:rPr>
                <w:rFonts w:asciiTheme="minorHAnsi" w:hAnsiTheme="minorHAnsi" w:cstheme="minorHAnsi"/>
                <w:sz w:val="18"/>
                <w:szCs w:val="18"/>
              </w:rPr>
              <w:t xml:space="preserve">The PBAC noted that the market for RA was mature and moderately stable but that recent approvals </w:t>
            </w:r>
            <w:r w:rsidR="00065C22">
              <w:rPr>
                <w:rFonts w:asciiTheme="minorHAnsi" w:hAnsiTheme="minorHAnsi" w:cstheme="minorHAnsi"/>
                <w:sz w:val="18"/>
                <w:szCs w:val="18"/>
              </w:rPr>
              <w:t>(</w:t>
            </w:r>
            <w:r w:rsidRPr="00065C22">
              <w:rPr>
                <w:rFonts w:asciiTheme="minorHAnsi" w:hAnsiTheme="minorHAnsi" w:cstheme="minorHAnsi"/>
                <w:sz w:val="18"/>
                <w:szCs w:val="18"/>
              </w:rPr>
              <w:t>e.g., upadacitinib</w:t>
            </w:r>
            <w:r w:rsidR="00065C22">
              <w:rPr>
                <w:rFonts w:asciiTheme="minorHAnsi" w:hAnsiTheme="minorHAnsi" w:cstheme="minorHAnsi"/>
                <w:sz w:val="18"/>
                <w:szCs w:val="18"/>
              </w:rPr>
              <w:t>)</w:t>
            </w:r>
            <w:r w:rsidRPr="00065C22">
              <w:rPr>
                <w:rFonts w:asciiTheme="minorHAnsi" w:hAnsiTheme="minorHAnsi" w:cstheme="minorHAnsi"/>
                <w:sz w:val="18"/>
                <w:szCs w:val="18"/>
              </w:rPr>
              <w:t>, had the potential for market disruption. Expenditure for infliximab, adalimumab, etanercept and rituximab had stabilised due to the availability of biosimilars and biosimilar uptake. The increased expenditure resulting from the introduction of JAK inhibitors (baricitinib, tofacitinib) has been offset by the PBS-listing of biosimilar medicines</w:t>
            </w:r>
            <w:r w:rsidR="00065C22">
              <w:rPr>
                <w:rFonts w:asciiTheme="minorHAnsi" w:hAnsiTheme="minorHAnsi" w:cstheme="minorHAnsi"/>
                <w:sz w:val="18"/>
                <w:szCs w:val="18"/>
              </w:rPr>
              <w:t>.</w:t>
            </w:r>
            <w:r w:rsidRPr="00065C22">
              <w:rPr>
                <w:rFonts w:asciiTheme="minorHAnsi" w:hAnsiTheme="minorHAnsi" w:cstheme="minorHAnsi"/>
                <w:sz w:val="18"/>
                <w:szCs w:val="18"/>
              </w:rPr>
              <w:t xml:space="preserve"> </w:t>
            </w:r>
            <w:r w:rsidR="00065C22">
              <w:rPr>
                <w:rFonts w:asciiTheme="minorHAnsi" w:hAnsiTheme="minorHAnsi" w:cstheme="minorHAnsi"/>
                <w:sz w:val="18"/>
                <w:szCs w:val="18"/>
              </w:rPr>
              <w:t>H</w:t>
            </w:r>
            <w:r w:rsidRPr="00065C22">
              <w:rPr>
                <w:rFonts w:asciiTheme="minorHAnsi" w:hAnsiTheme="minorHAnsi" w:cstheme="minorHAnsi"/>
                <w:sz w:val="18"/>
                <w:szCs w:val="18"/>
              </w:rPr>
              <w:t>owever</w:t>
            </w:r>
            <w:r w:rsidR="00065C22">
              <w:rPr>
                <w:rFonts w:asciiTheme="minorHAnsi" w:hAnsiTheme="minorHAnsi" w:cstheme="minorHAnsi"/>
                <w:sz w:val="18"/>
                <w:szCs w:val="18"/>
              </w:rPr>
              <w:t>, the</w:t>
            </w:r>
            <w:r w:rsidRPr="00065C22">
              <w:rPr>
                <w:rFonts w:asciiTheme="minorHAnsi" w:hAnsiTheme="minorHAnsi" w:cstheme="minorHAnsi"/>
                <w:sz w:val="18"/>
                <w:szCs w:val="18"/>
              </w:rPr>
              <w:t xml:space="preserve"> PBAC was mindful that expenditure on upadacitinib was not included in the review. </w:t>
            </w:r>
          </w:p>
          <w:p w14:paraId="04ECC55E" w14:textId="77777777" w:rsidR="003E0E09" w:rsidRPr="00065C22" w:rsidRDefault="003E0E09" w:rsidP="00190B36">
            <w:pPr>
              <w:rPr>
                <w:rFonts w:asciiTheme="minorHAnsi" w:hAnsiTheme="minorHAnsi" w:cstheme="minorHAnsi"/>
                <w:sz w:val="18"/>
                <w:szCs w:val="18"/>
              </w:rPr>
            </w:pPr>
            <w:r w:rsidRPr="00065C22">
              <w:rPr>
                <w:rFonts w:asciiTheme="minorHAnsi" w:hAnsiTheme="minorHAnsi" w:cstheme="minorHAnsi"/>
                <w:sz w:val="18"/>
                <w:szCs w:val="18"/>
              </w:rPr>
              <w:t xml:space="preserve">The PBAC noted the administrative burden for prescribers associated with the high volume of written authority applications and the objective initial and continuing treatment PBS restriction criteria for RA. </w:t>
            </w:r>
          </w:p>
          <w:p w14:paraId="0A5C5E73" w14:textId="77777777" w:rsidR="003E0E09" w:rsidRPr="00065C22" w:rsidRDefault="003E0E09" w:rsidP="00190B36">
            <w:pPr>
              <w:rPr>
                <w:rFonts w:asciiTheme="minorHAnsi" w:hAnsiTheme="minorHAnsi" w:cstheme="minorHAnsi"/>
                <w:sz w:val="18"/>
                <w:szCs w:val="18"/>
              </w:rPr>
            </w:pPr>
            <w:r w:rsidRPr="00065C22">
              <w:rPr>
                <w:rFonts w:asciiTheme="minorHAnsi" w:hAnsiTheme="minorHAnsi" w:cstheme="minorHAnsi"/>
                <w:sz w:val="18"/>
                <w:szCs w:val="18"/>
              </w:rPr>
              <w:t xml:space="preserve">The PBAC recommended an amendment to the authority requirements for biosimilar medicines (adalimumab, etanercept, infliximab) for initial treatment 1, 2, 3 from Authority Required (Written) to Authority Required (Telephone/Electronic) and for first continuing treatment from Authority Required (Written) to Authority Required (STREAMLINED). </w:t>
            </w:r>
          </w:p>
          <w:p w14:paraId="14A01734" w14:textId="77777777" w:rsidR="003E0E09" w:rsidRPr="00065C22" w:rsidRDefault="003E0E09" w:rsidP="00190B36">
            <w:pPr>
              <w:rPr>
                <w:rFonts w:asciiTheme="minorHAnsi" w:hAnsiTheme="minorHAnsi" w:cstheme="minorHAnsi"/>
                <w:sz w:val="18"/>
                <w:szCs w:val="18"/>
              </w:rPr>
            </w:pPr>
            <w:r w:rsidRPr="00065C22">
              <w:rPr>
                <w:rFonts w:asciiTheme="minorHAnsi" w:hAnsiTheme="minorHAnsi" w:cstheme="minorHAnsi"/>
                <w:sz w:val="18"/>
                <w:szCs w:val="18"/>
              </w:rPr>
              <w:t xml:space="preserve">The PBAC considered that reducing the authority administrative burden for prescribers and patients may result in a preference for prescribing the older medicines where appropriate and a stabilisation of PBS expenditure.  </w:t>
            </w:r>
          </w:p>
          <w:p w14:paraId="5CA6ECEC" w14:textId="1FEF41AB" w:rsidR="003E0E09" w:rsidRDefault="003E0E09" w:rsidP="00190B36">
            <w:pPr>
              <w:rPr>
                <w:rFonts w:asciiTheme="minorHAnsi" w:hAnsiTheme="minorHAnsi" w:cstheme="minorHAnsi"/>
                <w:sz w:val="18"/>
                <w:szCs w:val="18"/>
              </w:rPr>
            </w:pPr>
            <w:r w:rsidRPr="00065C22">
              <w:rPr>
                <w:rFonts w:asciiTheme="minorHAnsi" w:hAnsiTheme="minorHAnsi" w:cstheme="minorHAnsi"/>
                <w:sz w:val="18"/>
                <w:szCs w:val="18"/>
              </w:rPr>
              <w:t>The PBAC recommended an amendment to the current authority requirements for subsequent continuing treatment for adalimumab, etanercept and infliximab originator medicines from Authority Required (Written) to Authority Required (STREAMLINED). The PBAC also recommended an amendment to authority requirements for continuing treatment for abatacept, baricitinib, certolizumab, golimumab, tocilizumab and tofacitinib from Authority Required (Written) to First continuing treatment Authority Required (Written) and subsequent continuing treatment Authority Required (STREAMLINED).</w:t>
            </w:r>
          </w:p>
          <w:p w14:paraId="38B7134A" w14:textId="77777777" w:rsidR="00F724F5" w:rsidRPr="00065C22" w:rsidRDefault="00F724F5" w:rsidP="00190B36">
            <w:pPr>
              <w:rPr>
                <w:rFonts w:asciiTheme="minorHAnsi" w:hAnsiTheme="minorHAnsi" w:cstheme="minorHAnsi"/>
                <w:sz w:val="18"/>
                <w:szCs w:val="18"/>
              </w:rPr>
            </w:pPr>
          </w:p>
          <w:p w14:paraId="0ADBFB12" w14:textId="77777777" w:rsidR="003E0E09" w:rsidRPr="00065C22" w:rsidRDefault="003E0E09" w:rsidP="00190B36">
            <w:pPr>
              <w:rPr>
                <w:rFonts w:asciiTheme="minorHAnsi" w:hAnsiTheme="minorHAnsi" w:cstheme="minorHAnsi"/>
                <w:sz w:val="18"/>
                <w:szCs w:val="18"/>
              </w:rPr>
            </w:pPr>
          </w:p>
        </w:tc>
      </w:tr>
      <w:tr w:rsidR="003E0E09" w14:paraId="44C511C6" w14:textId="77777777" w:rsidTr="00190B36">
        <w:tc>
          <w:tcPr>
            <w:tcW w:w="909" w:type="pct"/>
            <w:tcBorders>
              <w:top w:val="nil"/>
              <w:left w:val="single" w:sz="4" w:space="0" w:color="auto"/>
              <w:bottom w:val="nil"/>
              <w:right w:val="single" w:sz="4" w:space="0" w:color="auto"/>
            </w:tcBorders>
            <w:hideMark/>
          </w:tcPr>
          <w:p w14:paraId="6C88AF5B" w14:textId="77777777" w:rsidR="003E0E09" w:rsidRPr="00065C22" w:rsidRDefault="003E0E09" w:rsidP="00190B36">
            <w:pPr>
              <w:rPr>
                <w:rFonts w:asciiTheme="minorHAnsi" w:hAnsiTheme="minorHAnsi" w:cstheme="minorHAnsi"/>
                <w:sz w:val="18"/>
                <w:szCs w:val="18"/>
              </w:rPr>
            </w:pPr>
            <w:r w:rsidRPr="00065C22">
              <w:rPr>
                <w:rFonts w:asciiTheme="minorHAnsi" w:hAnsiTheme="minorHAnsi" w:cstheme="minorHAnsi"/>
                <w:sz w:val="18"/>
                <w:szCs w:val="18"/>
              </w:rPr>
              <w:lastRenderedPageBreak/>
              <w:t xml:space="preserve">7. Adalimumab </w:t>
            </w:r>
          </w:p>
        </w:tc>
        <w:tc>
          <w:tcPr>
            <w:tcW w:w="631" w:type="pct"/>
            <w:tcBorders>
              <w:top w:val="nil"/>
              <w:left w:val="single" w:sz="4" w:space="0" w:color="auto"/>
              <w:bottom w:val="nil"/>
              <w:right w:val="single" w:sz="4" w:space="0" w:color="auto"/>
            </w:tcBorders>
            <w:hideMark/>
          </w:tcPr>
          <w:p w14:paraId="52BC29BF" w14:textId="77777777" w:rsidR="003E0E09" w:rsidRPr="00065C22" w:rsidRDefault="003E0E09" w:rsidP="00190B36">
            <w:pPr>
              <w:rPr>
                <w:rFonts w:asciiTheme="minorHAnsi" w:hAnsiTheme="minorHAnsi" w:cstheme="minorHAnsi"/>
                <w:sz w:val="18"/>
                <w:szCs w:val="18"/>
              </w:rPr>
            </w:pPr>
            <w:r w:rsidRPr="00065C22">
              <w:rPr>
                <w:rFonts w:asciiTheme="minorHAnsi" w:hAnsiTheme="minorHAnsi" w:cstheme="minorHAnsi"/>
                <w:sz w:val="18"/>
                <w:szCs w:val="18"/>
              </w:rPr>
              <w:t xml:space="preserve">7. Hidradenitis suppurativa (HS) </w:t>
            </w:r>
          </w:p>
        </w:tc>
        <w:tc>
          <w:tcPr>
            <w:tcW w:w="1255" w:type="pct"/>
            <w:tcBorders>
              <w:top w:val="nil"/>
              <w:left w:val="single" w:sz="4" w:space="0" w:color="auto"/>
              <w:bottom w:val="nil"/>
              <w:right w:val="single" w:sz="4" w:space="0" w:color="auto"/>
            </w:tcBorders>
          </w:tcPr>
          <w:p w14:paraId="179A6F9D" w14:textId="77777777" w:rsidR="003E0E09" w:rsidRPr="00065C22" w:rsidRDefault="003E0E09" w:rsidP="00190B36">
            <w:pPr>
              <w:rPr>
                <w:rFonts w:asciiTheme="minorHAnsi" w:hAnsiTheme="minorHAnsi" w:cstheme="minorHAnsi"/>
                <w:sz w:val="18"/>
                <w:szCs w:val="18"/>
              </w:rPr>
            </w:pPr>
          </w:p>
        </w:tc>
        <w:tc>
          <w:tcPr>
            <w:tcW w:w="2205" w:type="pct"/>
            <w:tcBorders>
              <w:top w:val="nil"/>
              <w:left w:val="single" w:sz="4" w:space="0" w:color="auto"/>
              <w:bottom w:val="nil"/>
              <w:right w:val="single" w:sz="4" w:space="0" w:color="auto"/>
            </w:tcBorders>
            <w:hideMark/>
          </w:tcPr>
          <w:p w14:paraId="1AB88ABE" w14:textId="77777777" w:rsidR="003E0E09" w:rsidRPr="00065C22" w:rsidRDefault="003E0E09" w:rsidP="00190B36">
            <w:pPr>
              <w:rPr>
                <w:rFonts w:asciiTheme="minorHAnsi" w:hAnsiTheme="minorHAnsi" w:cstheme="minorHAnsi"/>
                <w:sz w:val="18"/>
                <w:szCs w:val="18"/>
              </w:rPr>
            </w:pPr>
            <w:r w:rsidRPr="00065C22">
              <w:rPr>
                <w:rFonts w:asciiTheme="minorHAnsi" w:hAnsiTheme="minorHAnsi" w:cstheme="minorHAnsi"/>
                <w:sz w:val="18"/>
                <w:szCs w:val="18"/>
              </w:rPr>
              <w:t>The PBAC noted that the market is not yet stable and that there has been a recent increase in the incident patient population and progressive increases in the treated prevalent patient population.</w:t>
            </w:r>
          </w:p>
          <w:p w14:paraId="34AF510C" w14:textId="77777777" w:rsidR="003E0E09" w:rsidRPr="00065C22" w:rsidRDefault="003E0E09" w:rsidP="00190B36">
            <w:pPr>
              <w:rPr>
                <w:rFonts w:cstheme="minorBidi"/>
                <w:sz w:val="18"/>
                <w:szCs w:val="18"/>
              </w:rPr>
            </w:pPr>
            <w:r w:rsidRPr="00065C22">
              <w:rPr>
                <w:rFonts w:asciiTheme="minorHAnsi" w:hAnsiTheme="minorHAnsi" w:cstheme="minorHAnsi"/>
                <w:sz w:val="18"/>
                <w:szCs w:val="18"/>
              </w:rPr>
              <w:t xml:space="preserve">The PBAC did not recommend an amendment to the authority requirements for adalimumab, due to the risk of use beyond the restriction to a broad range of off-label dermatology indications. </w:t>
            </w:r>
          </w:p>
        </w:tc>
      </w:tr>
      <w:tr w:rsidR="003E0E09" w14:paraId="6BE67F2E" w14:textId="77777777" w:rsidTr="00190B36">
        <w:tc>
          <w:tcPr>
            <w:tcW w:w="909" w:type="pct"/>
            <w:tcBorders>
              <w:top w:val="nil"/>
              <w:left w:val="single" w:sz="4" w:space="0" w:color="auto"/>
              <w:bottom w:val="nil"/>
              <w:right w:val="single" w:sz="4" w:space="0" w:color="auto"/>
            </w:tcBorders>
            <w:hideMark/>
          </w:tcPr>
          <w:p w14:paraId="5747BFA8" w14:textId="77777777" w:rsidR="003E0E09" w:rsidRPr="00065C22" w:rsidRDefault="003E0E09" w:rsidP="00190B36">
            <w:pPr>
              <w:rPr>
                <w:rFonts w:asciiTheme="minorHAnsi" w:hAnsiTheme="minorHAnsi" w:cstheme="minorHAnsi"/>
                <w:sz w:val="18"/>
                <w:szCs w:val="18"/>
              </w:rPr>
            </w:pPr>
            <w:r w:rsidRPr="00065C22">
              <w:rPr>
                <w:rFonts w:asciiTheme="minorHAnsi" w:hAnsiTheme="minorHAnsi" w:cstheme="minorHAnsi"/>
                <w:sz w:val="18"/>
                <w:szCs w:val="18"/>
              </w:rPr>
              <w:t xml:space="preserve">8. Adalimumab, etanercept, guselkumab, infliximab, ixekizumab, secukinumab, tildrakizumab, ustekinumab </w:t>
            </w:r>
          </w:p>
        </w:tc>
        <w:tc>
          <w:tcPr>
            <w:tcW w:w="631" w:type="pct"/>
            <w:tcBorders>
              <w:top w:val="nil"/>
              <w:left w:val="single" w:sz="4" w:space="0" w:color="auto"/>
              <w:bottom w:val="nil"/>
              <w:right w:val="single" w:sz="4" w:space="0" w:color="auto"/>
            </w:tcBorders>
            <w:hideMark/>
          </w:tcPr>
          <w:p w14:paraId="76906AFE" w14:textId="77777777" w:rsidR="003E0E09" w:rsidRPr="00065C22" w:rsidRDefault="003E0E09" w:rsidP="00190B36">
            <w:pPr>
              <w:rPr>
                <w:rFonts w:asciiTheme="minorHAnsi" w:hAnsiTheme="minorHAnsi" w:cstheme="minorHAnsi"/>
                <w:sz w:val="18"/>
                <w:szCs w:val="18"/>
              </w:rPr>
            </w:pPr>
            <w:r w:rsidRPr="00065C22">
              <w:rPr>
                <w:rFonts w:asciiTheme="minorHAnsi" w:hAnsiTheme="minorHAnsi" w:cstheme="minorHAnsi"/>
                <w:sz w:val="18"/>
                <w:szCs w:val="18"/>
              </w:rPr>
              <w:t>8. Severe chronic plaque psoriasis (adult)</w:t>
            </w:r>
          </w:p>
        </w:tc>
        <w:tc>
          <w:tcPr>
            <w:tcW w:w="1255" w:type="pct"/>
            <w:tcBorders>
              <w:top w:val="nil"/>
              <w:left w:val="single" w:sz="4" w:space="0" w:color="auto"/>
              <w:bottom w:val="nil"/>
              <w:right w:val="single" w:sz="4" w:space="0" w:color="auto"/>
            </w:tcBorders>
          </w:tcPr>
          <w:p w14:paraId="1D657FBF" w14:textId="77777777" w:rsidR="003E0E09" w:rsidRPr="00065C22" w:rsidRDefault="003E0E09" w:rsidP="00190B36">
            <w:pPr>
              <w:rPr>
                <w:rFonts w:asciiTheme="minorHAnsi" w:hAnsiTheme="minorHAnsi" w:cstheme="minorHAnsi"/>
                <w:sz w:val="18"/>
                <w:szCs w:val="18"/>
              </w:rPr>
            </w:pPr>
          </w:p>
        </w:tc>
        <w:tc>
          <w:tcPr>
            <w:tcW w:w="2205" w:type="pct"/>
            <w:tcBorders>
              <w:top w:val="nil"/>
              <w:left w:val="single" w:sz="4" w:space="0" w:color="auto"/>
              <w:bottom w:val="nil"/>
              <w:right w:val="single" w:sz="4" w:space="0" w:color="auto"/>
            </w:tcBorders>
            <w:hideMark/>
          </w:tcPr>
          <w:p w14:paraId="59E28466" w14:textId="77777777" w:rsidR="003E0E09" w:rsidRPr="00065C22" w:rsidRDefault="003E0E09" w:rsidP="00190B36">
            <w:pPr>
              <w:rPr>
                <w:rFonts w:asciiTheme="minorHAnsi" w:hAnsiTheme="minorHAnsi" w:cstheme="minorHAnsi"/>
                <w:sz w:val="18"/>
                <w:szCs w:val="18"/>
              </w:rPr>
            </w:pPr>
            <w:r w:rsidRPr="00065C22">
              <w:rPr>
                <w:rFonts w:asciiTheme="minorHAnsi" w:hAnsiTheme="minorHAnsi" w:cstheme="minorHAnsi"/>
                <w:sz w:val="18"/>
                <w:szCs w:val="18"/>
              </w:rPr>
              <w:t>The PBAC noted the market is mature but not yet stable, with the introduction of newer biologic medicines coinciding with a progressive increase in treated prevalent patients. PBS</w:t>
            </w:r>
            <w:r w:rsidRPr="00065C22">
              <w:rPr>
                <w:sz w:val="18"/>
                <w:szCs w:val="18"/>
              </w:rPr>
              <w:t xml:space="preserve"> </w:t>
            </w:r>
            <w:r w:rsidRPr="00065C22">
              <w:rPr>
                <w:rFonts w:asciiTheme="minorHAnsi" w:hAnsiTheme="minorHAnsi" w:cstheme="minorHAnsi"/>
                <w:sz w:val="18"/>
                <w:szCs w:val="18"/>
              </w:rPr>
              <w:t xml:space="preserve">expenditure on CPP has continued to grow over the Review period despite the availability of adalimumab, etanercept and infliximab biosimilars.  </w:t>
            </w:r>
          </w:p>
          <w:p w14:paraId="5D98ED61" w14:textId="57BF704E" w:rsidR="003E0E09" w:rsidRDefault="003E0E09" w:rsidP="00190B36">
            <w:pPr>
              <w:rPr>
                <w:rFonts w:asciiTheme="minorHAnsi" w:hAnsiTheme="minorHAnsi" w:cstheme="minorHAnsi"/>
                <w:sz w:val="18"/>
                <w:szCs w:val="18"/>
              </w:rPr>
            </w:pPr>
            <w:r w:rsidRPr="00065C22">
              <w:rPr>
                <w:rFonts w:asciiTheme="minorHAnsi" w:hAnsiTheme="minorHAnsi" w:cstheme="minorHAnsi"/>
                <w:sz w:val="18"/>
                <w:szCs w:val="18"/>
              </w:rPr>
              <w:t xml:space="preserve">The PBAC did not recommend an amendment to the authority requirements for any medicines for CPP (adult) due to the market instability, growth in utilisation, growth in expenditure, the risk of use beyond the restriction and the financial risk to </w:t>
            </w:r>
            <w:r w:rsidR="00065C22">
              <w:rPr>
                <w:rFonts w:asciiTheme="minorHAnsi" w:hAnsiTheme="minorHAnsi" w:cstheme="minorHAnsi"/>
                <w:sz w:val="18"/>
                <w:szCs w:val="18"/>
              </w:rPr>
              <w:t>G</w:t>
            </w:r>
            <w:r w:rsidRPr="00065C22">
              <w:rPr>
                <w:rFonts w:asciiTheme="minorHAnsi" w:hAnsiTheme="minorHAnsi" w:cstheme="minorHAnsi"/>
                <w:sz w:val="18"/>
                <w:szCs w:val="18"/>
              </w:rPr>
              <w:t>overnment.</w:t>
            </w:r>
          </w:p>
          <w:p w14:paraId="2C1AE365" w14:textId="77777777" w:rsidR="00065C22" w:rsidRDefault="00065C22" w:rsidP="00190B36">
            <w:pPr>
              <w:rPr>
                <w:rFonts w:asciiTheme="minorHAnsi" w:hAnsiTheme="minorHAnsi" w:cstheme="minorHAnsi"/>
                <w:sz w:val="18"/>
                <w:szCs w:val="18"/>
              </w:rPr>
            </w:pPr>
          </w:p>
          <w:p w14:paraId="61FE17DE" w14:textId="626BD360" w:rsidR="00F724F5" w:rsidRPr="00065C22" w:rsidRDefault="00F724F5" w:rsidP="00190B36">
            <w:pPr>
              <w:rPr>
                <w:rFonts w:asciiTheme="minorHAnsi" w:hAnsiTheme="minorHAnsi" w:cstheme="minorHAnsi"/>
                <w:sz w:val="18"/>
                <w:szCs w:val="18"/>
              </w:rPr>
            </w:pPr>
          </w:p>
        </w:tc>
      </w:tr>
      <w:tr w:rsidR="003E0E09" w14:paraId="5E92DD63" w14:textId="77777777" w:rsidTr="00190B36">
        <w:tc>
          <w:tcPr>
            <w:tcW w:w="909" w:type="pct"/>
            <w:tcBorders>
              <w:top w:val="nil"/>
              <w:left w:val="single" w:sz="4" w:space="0" w:color="auto"/>
              <w:bottom w:val="nil"/>
              <w:right w:val="single" w:sz="4" w:space="0" w:color="auto"/>
            </w:tcBorders>
            <w:hideMark/>
          </w:tcPr>
          <w:p w14:paraId="04A9F842" w14:textId="77777777" w:rsidR="003E0E09" w:rsidRPr="00065C22" w:rsidRDefault="003E0E09" w:rsidP="00190B36">
            <w:pPr>
              <w:rPr>
                <w:rFonts w:asciiTheme="minorHAnsi" w:hAnsiTheme="minorHAnsi" w:cstheme="minorHAnsi"/>
                <w:sz w:val="18"/>
                <w:szCs w:val="18"/>
              </w:rPr>
            </w:pPr>
            <w:r w:rsidRPr="00065C22">
              <w:rPr>
                <w:rFonts w:asciiTheme="minorHAnsi" w:hAnsiTheme="minorHAnsi" w:cstheme="minorHAnsi"/>
                <w:sz w:val="18"/>
                <w:szCs w:val="18"/>
              </w:rPr>
              <w:t xml:space="preserve">9. Etanercept </w:t>
            </w:r>
          </w:p>
        </w:tc>
        <w:tc>
          <w:tcPr>
            <w:tcW w:w="631" w:type="pct"/>
            <w:tcBorders>
              <w:top w:val="nil"/>
              <w:left w:val="single" w:sz="4" w:space="0" w:color="auto"/>
              <w:bottom w:val="nil"/>
              <w:right w:val="single" w:sz="4" w:space="0" w:color="auto"/>
            </w:tcBorders>
            <w:hideMark/>
          </w:tcPr>
          <w:p w14:paraId="07A5A8DD" w14:textId="77777777" w:rsidR="003E0E09" w:rsidRPr="00065C22" w:rsidRDefault="003E0E09" w:rsidP="00190B36">
            <w:pPr>
              <w:rPr>
                <w:rFonts w:asciiTheme="minorHAnsi" w:hAnsiTheme="minorHAnsi" w:cstheme="minorHAnsi"/>
                <w:sz w:val="18"/>
                <w:szCs w:val="18"/>
              </w:rPr>
            </w:pPr>
            <w:r w:rsidRPr="00065C22">
              <w:rPr>
                <w:rFonts w:asciiTheme="minorHAnsi" w:hAnsiTheme="minorHAnsi" w:cstheme="minorHAnsi"/>
                <w:sz w:val="18"/>
                <w:szCs w:val="18"/>
              </w:rPr>
              <w:t>9. Severe chronic plaque psoriasis (juvenile)</w:t>
            </w:r>
          </w:p>
        </w:tc>
        <w:tc>
          <w:tcPr>
            <w:tcW w:w="1255" w:type="pct"/>
            <w:tcBorders>
              <w:top w:val="nil"/>
              <w:left w:val="single" w:sz="4" w:space="0" w:color="auto"/>
              <w:bottom w:val="nil"/>
              <w:right w:val="single" w:sz="4" w:space="0" w:color="auto"/>
            </w:tcBorders>
          </w:tcPr>
          <w:p w14:paraId="794BD231" w14:textId="77777777" w:rsidR="003E0E09" w:rsidRPr="00065C22" w:rsidRDefault="003E0E09" w:rsidP="00190B36">
            <w:pPr>
              <w:rPr>
                <w:rFonts w:asciiTheme="minorHAnsi" w:hAnsiTheme="minorHAnsi" w:cstheme="minorHAnsi"/>
                <w:sz w:val="18"/>
                <w:szCs w:val="18"/>
              </w:rPr>
            </w:pPr>
          </w:p>
        </w:tc>
        <w:tc>
          <w:tcPr>
            <w:tcW w:w="2205" w:type="pct"/>
            <w:tcBorders>
              <w:top w:val="nil"/>
              <w:left w:val="single" w:sz="4" w:space="0" w:color="auto"/>
              <w:bottom w:val="nil"/>
              <w:right w:val="single" w:sz="4" w:space="0" w:color="auto"/>
            </w:tcBorders>
            <w:hideMark/>
          </w:tcPr>
          <w:p w14:paraId="6CCB8C92" w14:textId="77777777" w:rsidR="003E0E09" w:rsidRPr="00065C22" w:rsidRDefault="003E0E09" w:rsidP="00190B36">
            <w:pPr>
              <w:rPr>
                <w:rFonts w:asciiTheme="minorHAnsi" w:hAnsiTheme="minorHAnsi" w:cstheme="minorHAnsi"/>
                <w:sz w:val="18"/>
                <w:szCs w:val="18"/>
              </w:rPr>
            </w:pPr>
            <w:r w:rsidRPr="00065C22">
              <w:rPr>
                <w:rFonts w:asciiTheme="minorHAnsi" w:hAnsiTheme="minorHAnsi" w:cstheme="minorHAnsi"/>
                <w:sz w:val="18"/>
                <w:szCs w:val="18"/>
              </w:rPr>
              <w:t xml:space="preserve">The PBAC noted the CPP (juvenile) market was small and mature. The PBAC also noted the potential for use of etanercept beyond the PBS restriction in a broad range of off-label indications but considered the risk low due to the distinct morphologic characteristics of CPP.  </w:t>
            </w:r>
          </w:p>
          <w:p w14:paraId="57DCB719" w14:textId="77777777" w:rsidR="003E0E09" w:rsidRPr="00065C22" w:rsidRDefault="003E0E09" w:rsidP="00190B36">
            <w:pPr>
              <w:rPr>
                <w:rFonts w:asciiTheme="minorHAnsi" w:hAnsiTheme="minorHAnsi" w:cstheme="minorHAnsi"/>
                <w:sz w:val="18"/>
                <w:szCs w:val="18"/>
              </w:rPr>
            </w:pPr>
            <w:r w:rsidRPr="00065C22">
              <w:rPr>
                <w:rFonts w:asciiTheme="minorHAnsi" w:hAnsiTheme="minorHAnsi" w:cstheme="minorHAnsi"/>
                <w:sz w:val="18"/>
                <w:szCs w:val="18"/>
              </w:rPr>
              <w:t xml:space="preserve">The PBAC recognised the need to reduce the administrative burden for biologics with paediatric indications for prescribers and the administrative burden that falls to carers in securing specialist appointments to obtain prescriptions for treatment for patients with CPP (juvenile). The PBAC considered an amendment to authority requirements would be appropriate to assist in ensuring timely access to treatment for patients. </w:t>
            </w:r>
          </w:p>
          <w:p w14:paraId="233AD9CE" w14:textId="77777777" w:rsidR="00B174AB" w:rsidRDefault="003E0E09" w:rsidP="00190B36">
            <w:pPr>
              <w:rPr>
                <w:rFonts w:asciiTheme="minorHAnsi" w:hAnsiTheme="minorHAnsi" w:cstheme="minorHAnsi"/>
                <w:sz w:val="18"/>
                <w:szCs w:val="18"/>
              </w:rPr>
            </w:pPr>
            <w:r w:rsidRPr="00065C22">
              <w:rPr>
                <w:rFonts w:asciiTheme="minorHAnsi" w:hAnsiTheme="minorHAnsi" w:cstheme="minorHAnsi"/>
                <w:sz w:val="18"/>
                <w:szCs w:val="18"/>
              </w:rPr>
              <w:t>The PBAC recommended initial treatment authority requirements for etanercept be amended from Authority Required (Written) to Authority Required (Telephone/Electronic) and continuing treatment be amended from Authority Required (Written) to Authority Required (STREAMLINED).</w:t>
            </w:r>
          </w:p>
          <w:p w14:paraId="3D01CE74" w14:textId="1FC35259" w:rsidR="003E0E09" w:rsidRDefault="003E0E09" w:rsidP="00190B36">
            <w:pPr>
              <w:rPr>
                <w:rFonts w:asciiTheme="minorHAnsi" w:hAnsiTheme="minorHAnsi" w:cstheme="minorHAnsi"/>
                <w:sz w:val="18"/>
                <w:szCs w:val="18"/>
              </w:rPr>
            </w:pPr>
            <w:r w:rsidRPr="00065C22">
              <w:rPr>
                <w:rFonts w:asciiTheme="minorHAnsi" w:hAnsiTheme="minorHAnsi" w:cstheme="minorHAnsi"/>
                <w:sz w:val="18"/>
                <w:szCs w:val="18"/>
              </w:rPr>
              <w:t xml:space="preserve"> </w:t>
            </w:r>
          </w:p>
          <w:p w14:paraId="49690FE0" w14:textId="4ED78478" w:rsidR="00F724F5" w:rsidRPr="00065C22" w:rsidRDefault="00F724F5" w:rsidP="00190B36">
            <w:pPr>
              <w:rPr>
                <w:rFonts w:asciiTheme="minorHAnsi" w:hAnsiTheme="minorHAnsi" w:cstheme="minorHAnsi"/>
                <w:sz w:val="18"/>
                <w:szCs w:val="18"/>
              </w:rPr>
            </w:pPr>
          </w:p>
        </w:tc>
      </w:tr>
      <w:tr w:rsidR="003E0E09" w14:paraId="32080D3D" w14:textId="77777777" w:rsidTr="00190B36">
        <w:tc>
          <w:tcPr>
            <w:tcW w:w="909" w:type="pct"/>
            <w:tcBorders>
              <w:top w:val="nil"/>
              <w:left w:val="single" w:sz="4" w:space="0" w:color="auto"/>
              <w:bottom w:val="nil"/>
              <w:right w:val="single" w:sz="4" w:space="0" w:color="auto"/>
            </w:tcBorders>
            <w:hideMark/>
          </w:tcPr>
          <w:p w14:paraId="43441713" w14:textId="77777777" w:rsidR="003E0E09" w:rsidRPr="00065C22" w:rsidRDefault="003E0E09" w:rsidP="00190B36">
            <w:pPr>
              <w:rPr>
                <w:rFonts w:asciiTheme="minorHAnsi" w:hAnsiTheme="minorHAnsi" w:cstheme="minorHAnsi"/>
                <w:sz w:val="18"/>
                <w:szCs w:val="18"/>
              </w:rPr>
            </w:pPr>
            <w:r w:rsidRPr="00065C22">
              <w:rPr>
                <w:rFonts w:asciiTheme="minorHAnsi" w:hAnsiTheme="minorHAnsi" w:cstheme="minorHAnsi"/>
                <w:sz w:val="18"/>
                <w:szCs w:val="18"/>
              </w:rPr>
              <w:t xml:space="preserve">10. Rituximab </w:t>
            </w:r>
          </w:p>
        </w:tc>
        <w:tc>
          <w:tcPr>
            <w:tcW w:w="631" w:type="pct"/>
            <w:tcBorders>
              <w:top w:val="nil"/>
              <w:left w:val="single" w:sz="4" w:space="0" w:color="auto"/>
              <w:bottom w:val="nil"/>
              <w:right w:val="single" w:sz="4" w:space="0" w:color="auto"/>
            </w:tcBorders>
          </w:tcPr>
          <w:p w14:paraId="26361443" w14:textId="77777777" w:rsidR="003E0E09" w:rsidRPr="00065C22" w:rsidRDefault="003E0E09" w:rsidP="00190B36">
            <w:pPr>
              <w:pStyle w:val="4Bodytextnumbered"/>
              <w:spacing w:after="0" w:line="256" w:lineRule="auto"/>
              <w:ind w:left="0" w:firstLine="0"/>
              <w:jc w:val="left"/>
              <w:rPr>
                <w:sz w:val="18"/>
                <w:szCs w:val="18"/>
              </w:rPr>
            </w:pPr>
            <w:r w:rsidRPr="00065C22">
              <w:rPr>
                <w:rFonts w:cstheme="minorHAnsi"/>
                <w:sz w:val="18"/>
                <w:szCs w:val="18"/>
              </w:rPr>
              <w:t>10.</w:t>
            </w:r>
            <w:r w:rsidRPr="00065C22">
              <w:rPr>
                <w:sz w:val="18"/>
                <w:szCs w:val="18"/>
              </w:rPr>
              <w:t xml:space="preserve">Granulomatosis (Vasculitis) </w:t>
            </w:r>
          </w:p>
          <w:p w14:paraId="03B41873" w14:textId="77777777" w:rsidR="003E0E09" w:rsidRPr="00065C22" w:rsidRDefault="003E0E09" w:rsidP="00190B36">
            <w:pPr>
              <w:pStyle w:val="4Bodytextnumbered"/>
              <w:spacing w:after="0" w:line="256" w:lineRule="auto"/>
              <w:ind w:left="0" w:firstLine="0"/>
              <w:jc w:val="left"/>
              <w:rPr>
                <w:sz w:val="18"/>
                <w:szCs w:val="18"/>
              </w:rPr>
            </w:pPr>
            <w:r w:rsidRPr="00065C22">
              <w:rPr>
                <w:sz w:val="18"/>
                <w:szCs w:val="18"/>
              </w:rPr>
              <w:t>Granulomatosis with polyangiitis (GPA)</w:t>
            </w:r>
          </w:p>
          <w:p w14:paraId="2F1A998B" w14:textId="77777777" w:rsidR="003E0E09" w:rsidRPr="00065C22" w:rsidRDefault="003E0E09" w:rsidP="00190B36">
            <w:pPr>
              <w:pStyle w:val="4Bodytextnumbered"/>
              <w:spacing w:after="0" w:line="256" w:lineRule="auto"/>
              <w:ind w:left="0" w:firstLine="0"/>
              <w:jc w:val="left"/>
              <w:rPr>
                <w:sz w:val="18"/>
                <w:szCs w:val="18"/>
              </w:rPr>
            </w:pPr>
            <w:r w:rsidRPr="00065C22">
              <w:rPr>
                <w:sz w:val="18"/>
                <w:szCs w:val="18"/>
              </w:rPr>
              <w:t>Granulomatosis with microscopic polyangiitis (MPA)</w:t>
            </w:r>
          </w:p>
          <w:p w14:paraId="2A8131F4" w14:textId="77777777" w:rsidR="003E0E09" w:rsidRPr="00065C22" w:rsidRDefault="003E0E09" w:rsidP="00190B36">
            <w:pPr>
              <w:rPr>
                <w:rFonts w:asciiTheme="minorHAnsi" w:hAnsiTheme="minorHAnsi" w:cstheme="minorHAnsi"/>
                <w:sz w:val="18"/>
                <w:szCs w:val="18"/>
              </w:rPr>
            </w:pPr>
          </w:p>
        </w:tc>
        <w:tc>
          <w:tcPr>
            <w:tcW w:w="1255" w:type="pct"/>
            <w:tcBorders>
              <w:top w:val="nil"/>
              <w:left w:val="single" w:sz="4" w:space="0" w:color="auto"/>
              <w:bottom w:val="nil"/>
              <w:right w:val="single" w:sz="4" w:space="0" w:color="auto"/>
            </w:tcBorders>
          </w:tcPr>
          <w:p w14:paraId="396629EB" w14:textId="77777777" w:rsidR="003E0E09" w:rsidRPr="00065C22" w:rsidRDefault="003E0E09" w:rsidP="00190B36">
            <w:pPr>
              <w:rPr>
                <w:rFonts w:asciiTheme="minorHAnsi" w:hAnsiTheme="minorHAnsi" w:cstheme="minorHAnsi"/>
                <w:sz w:val="18"/>
                <w:szCs w:val="18"/>
              </w:rPr>
            </w:pPr>
          </w:p>
        </w:tc>
        <w:tc>
          <w:tcPr>
            <w:tcW w:w="2205" w:type="pct"/>
            <w:tcBorders>
              <w:top w:val="nil"/>
              <w:left w:val="single" w:sz="4" w:space="0" w:color="auto"/>
              <w:bottom w:val="nil"/>
              <w:right w:val="single" w:sz="4" w:space="0" w:color="auto"/>
            </w:tcBorders>
            <w:hideMark/>
          </w:tcPr>
          <w:p w14:paraId="1F62F2C4" w14:textId="56CFCD25" w:rsidR="003E0E09" w:rsidRPr="00065C22" w:rsidRDefault="003E0E09" w:rsidP="00190B36">
            <w:pPr>
              <w:rPr>
                <w:rFonts w:asciiTheme="minorHAnsi" w:hAnsiTheme="minorHAnsi" w:cstheme="minorHAnsi"/>
                <w:sz w:val="18"/>
                <w:szCs w:val="18"/>
              </w:rPr>
            </w:pPr>
            <w:r w:rsidRPr="00065C22">
              <w:rPr>
                <w:rFonts w:asciiTheme="minorHAnsi" w:hAnsiTheme="minorHAnsi" w:cstheme="minorHAnsi"/>
                <w:sz w:val="18"/>
                <w:szCs w:val="18"/>
              </w:rPr>
              <w:t>The PBAC did not make a recommendation given pending implementation of its September 2021 recommendation for an unrestricted benefit listing for rituximab.</w:t>
            </w:r>
          </w:p>
        </w:tc>
      </w:tr>
      <w:tr w:rsidR="003E0E09" w14:paraId="60EF0B29" w14:textId="77777777" w:rsidTr="00190B36">
        <w:tc>
          <w:tcPr>
            <w:tcW w:w="909" w:type="pct"/>
            <w:tcBorders>
              <w:top w:val="nil"/>
              <w:left w:val="single" w:sz="4" w:space="0" w:color="auto"/>
              <w:bottom w:val="single" w:sz="4" w:space="0" w:color="auto"/>
              <w:right w:val="single" w:sz="4" w:space="0" w:color="auto"/>
            </w:tcBorders>
            <w:hideMark/>
          </w:tcPr>
          <w:p w14:paraId="79F0B44C" w14:textId="77777777" w:rsidR="003E0E09" w:rsidRPr="00065C22" w:rsidRDefault="003E0E09" w:rsidP="00190B36">
            <w:pPr>
              <w:rPr>
                <w:rFonts w:asciiTheme="minorHAnsi" w:hAnsiTheme="minorHAnsi" w:cstheme="minorHAnsi"/>
                <w:sz w:val="18"/>
                <w:szCs w:val="18"/>
              </w:rPr>
            </w:pPr>
            <w:r w:rsidRPr="00065C22">
              <w:rPr>
                <w:rFonts w:asciiTheme="minorHAnsi" w:hAnsiTheme="minorHAnsi" w:cstheme="minorHAnsi"/>
                <w:sz w:val="18"/>
                <w:szCs w:val="18"/>
              </w:rPr>
              <w:t>11. Naltrexone, acamprosate</w:t>
            </w:r>
          </w:p>
        </w:tc>
        <w:tc>
          <w:tcPr>
            <w:tcW w:w="631" w:type="pct"/>
            <w:tcBorders>
              <w:top w:val="nil"/>
              <w:left w:val="single" w:sz="4" w:space="0" w:color="auto"/>
              <w:bottom w:val="single" w:sz="4" w:space="0" w:color="auto"/>
              <w:right w:val="single" w:sz="4" w:space="0" w:color="auto"/>
            </w:tcBorders>
            <w:hideMark/>
          </w:tcPr>
          <w:p w14:paraId="2241D154" w14:textId="77777777" w:rsidR="003E0E09" w:rsidRPr="00065C22" w:rsidRDefault="003E0E09" w:rsidP="00190B36">
            <w:pPr>
              <w:pStyle w:val="4Bodytextnumbered"/>
              <w:spacing w:after="0" w:line="256" w:lineRule="auto"/>
              <w:ind w:left="0" w:firstLine="0"/>
              <w:jc w:val="left"/>
              <w:rPr>
                <w:rFonts w:cstheme="minorHAnsi"/>
                <w:sz w:val="18"/>
                <w:szCs w:val="18"/>
              </w:rPr>
            </w:pPr>
            <w:r w:rsidRPr="00065C22">
              <w:rPr>
                <w:rFonts w:cstheme="minorHAnsi"/>
                <w:sz w:val="18"/>
                <w:szCs w:val="18"/>
              </w:rPr>
              <w:t>11. Alcohol use disorder</w:t>
            </w:r>
          </w:p>
        </w:tc>
        <w:tc>
          <w:tcPr>
            <w:tcW w:w="1255" w:type="pct"/>
            <w:tcBorders>
              <w:top w:val="nil"/>
              <w:left w:val="single" w:sz="4" w:space="0" w:color="auto"/>
              <w:bottom w:val="single" w:sz="4" w:space="0" w:color="auto"/>
              <w:right w:val="single" w:sz="4" w:space="0" w:color="auto"/>
            </w:tcBorders>
          </w:tcPr>
          <w:p w14:paraId="520857F6" w14:textId="77777777" w:rsidR="003E0E09" w:rsidRPr="00065C22" w:rsidRDefault="003E0E09" w:rsidP="00190B36">
            <w:pPr>
              <w:rPr>
                <w:rFonts w:asciiTheme="minorHAnsi" w:hAnsiTheme="minorHAnsi" w:cstheme="minorHAnsi"/>
                <w:sz w:val="18"/>
                <w:szCs w:val="18"/>
              </w:rPr>
            </w:pPr>
          </w:p>
        </w:tc>
        <w:tc>
          <w:tcPr>
            <w:tcW w:w="2205" w:type="pct"/>
            <w:tcBorders>
              <w:top w:val="nil"/>
              <w:left w:val="single" w:sz="4" w:space="0" w:color="auto"/>
              <w:bottom w:val="single" w:sz="4" w:space="0" w:color="auto"/>
              <w:right w:val="single" w:sz="4" w:space="0" w:color="auto"/>
            </w:tcBorders>
            <w:hideMark/>
          </w:tcPr>
          <w:p w14:paraId="2523470B" w14:textId="77777777" w:rsidR="003E0E09" w:rsidRPr="00065C22" w:rsidRDefault="003E0E09" w:rsidP="00190B36">
            <w:pPr>
              <w:rPr>
                <w:rFonts w:asciiTheme="minorHAnsi" w:hAnsiTheme="minorHAnsi" w:cstheme="minorHAnsi"/>
                <w:sz w:val="18"/>
                <w:szCs w:val="18"/>
              </w:rPr>
            </w:pPr>
            <w:r w:rsidRPr="00065C22">
              <w:rPr>
                <w:rFonts w:asciiTheme="minorHAnsi" w:hAnsiTheme="minorHAnsi" w:cstheme="minorHAnsi"/>
                <w:sz w:val="18"/>
                <w:szCs w:val="18"/>
              </w:rPr>
              <w:t xml:space="preserve">The PBAC noted the market was mature, however over the 2019/20-2020/21 period there has been an increase in incident patient utilisation and growth in the prevalent patient population. The PBAC considered that this may be related to an increase in alcohol consumption during the COVID-19 pandemic. </w:t>
            </w:r>
          </w:p>
          <w:p w14:paraId="55694032" w14:textId="77777777" w:rsidR="003E0E09" w:rsidRPr="00065C22" w:rsidRDefault="003E0E09" w:rsidP="00190B36">
            <w:pPr>
              <w:rPr>
                <w:rFonts w:asciiTheme="minorHAnsi" w:hAnsiTheme="minorHAnsi" w:cstheme="minorHAnsi"/>
                <w:sz w:val="18"/>
                <w:szCs w:val="18"/>
              </w:rPr>
            </w:pPr>
            <w:r w:rsidRPr="00065C22">
              <w:rPr>
                <w:rFonts w:asciiTheme="minorHAnsi" w:hAnsiTheme="minorHAnsi" w:cstheme="minorHAnsi"/>
                <w:sz w:val="18"/>
                <w:szCs w:val="18"/>
              </w:rPr>
              <w:t xml:space="preserve">The PBAC noted that PBS expenditure on these medicines is increasing and is driven by naltrexone. </w:t>
            </w:r>
          </w:p>
          <w:p w14:paraId="41D097C7" w14:textId="77777777" w:rsidR="003E0E09" w:rsidRPr="00065C22" w:rsidRDefault="003E0E09" w:rsidP="00190B36">
            <w:pPr>
              <w:rPr>
                <w:rFonts w:asciiTheme="minorHAnsi" w:hAnsiTheme="minorHAnsi" w:cstheme="minorHAnsi"/>
                <w:sz w:val="18"/>
                <w:szCs w:val="18"/>
              </w:rPr>
            </w:pPr>
            <w:r w:rsidRPr="00065C22">
              <w:rPr>
                <w:rFonts w:asciiTheme="minorHAnsi" w:hAnsiTheme="minorHAnsi" w:cstheme="minorHAnsi"/>
                <w:sz w:val="18"/>
                <w:szCs w:val="18"/>
              </w:rPr>
              <w:t xml:space="preserve">The PBAC agreed that the authority requirements between acamprosate and naltrexone should be aligned and that this may reduce barriers to access to treatment for at risk populations. </w:t>
            </w:r>
          </w:p>
          <w:p w14:paraId="7A5B906B" w14:textId="77777777" w:rsidR="003E0E09" w:rsidRPr="00065C22" w:rsidRDefault="003E0E09" w:rsidP="00190B36">
            <w:pPr>
              <w:rPr>
                <w:rFonts w:asciiTheme="minorHAnsi" w:hAnsiTheme="minorHAnsi" w:cstheme="minorHAnsi"/>
                <w:sz w:val="18"/>
                <w:szCs w:val="18"/>
              </w:rPr>
            </w:pPr>
            <w:r w:rsidRPr="00065C22">
              <w:rPr>
                <w:rFonts w:asciiTheme="minorHAnsi" w:hAnsiTheme="minorHAnsi" w:cstheme="minorHAnsi"/>
                <w:sz w:val="18"/>
                <w:szCs w:val="18"/>
              </w:rPr>
              <w:t>The PBAC recommended an amendment to the current authority restriction for naltrexone for the treatment of alcohol use disorder from Authority Required (Telephone/Electronic) to Authority Required (STREAMLINED) and that the restriction’s clinical criterion be amended to:</w:t>
            </w:r>
          </w:p>
          <w:p w14:paraId="25C064FD" w14:textId="77777777" w:rsidR="003E0E09" w:rsidRPr="00065C22" w:rsidRDefault="003E0E09" w:rsidP="00190B36">
            <w:pPr>
              <w:rPr>
                <w:rFonts w:asciiTheme="minorHAnsi" w:hAnsiTheme="minorHAnsi" w:cstheme="minorHAnsi"/>
                <w:sz w:val="18"/>
                <w:szCs w:val="18"/>
              </w:rPr>
            </w:pPr>
            <w:r w:rsidRPr="00065C22">
              <w:rPr>
                <w:rFonts w:asciiTheme="minorHAnsi" w:hAnsiTheme="minorHAnsi" w:cstheme="minorHAnsi"/>
                <w:sz w:val="18"/>
                <w:szCs w:val="18"/>
              </w:rPr>
              <w:t xml:space="preserve">“The treatment must be part of a comprehensive treatment program with the goal of maintaining abstinence or controlled consumption”. </w:t>
            </w:r>
          </w:p>
        </w:tc>
      </w:tr>
    </w:tbl>
    <w:p w14:paraId="4D8C0826" w14:textId="77777777" w:rsidR="003E0E09" w:rsidRDefault="003E0E09" w:rsidP="003E0E09"/>
    <w:p w14:paraId="4D287763" w14:textId="7663F710" w:rsidR="00002E7D" w:rsidRDefault="00002E7D">
      <w:pPr>
        <w:rPr>
          <w:rFonts w:asciiTheme="minorHAnsi" w:hAnsiTheme="minorHAnsi" w:cs="Arial"/>
          <w:b/>
          <w:lang w:val="en-US"/>
        </w:rPr>
      </w:pPr>
      <w:r>
        <w:rPr>
          <w:rFonts w:asciiTheme="minorHAnsi" w:hAnsiTheme="minorHAnsi" w:cs="Arial"/>
          <w:b/>
          <w:lang w:val="en-US"/>
        </w:rPr>
        <w:t>Version 2</w:t>
      </w:r>
    </w:p>
    <w:p w14:paraId="6D63A477" w14:textId="77777777" w:rsidR="00002E7D" w:rsidRPr="00002E7D" w:rsidRDefault="00002E7D">
      <w:pPr>
        <w:rPr>
          <w:rFonts w:asciiTheme="minorHAnsi" w:hAnsiTheme="minorHAnsi" w:cs="Arial"/>
          <w:lang w:val="en-US"/>
        </w:rPr>
      </w:pPr>
      <w:r w:rsidRPr="00002E7D">
        <w:rPr>
          <w:rFonts w:asciiTheme="minorHAnsi" w:hAnsiTheme="minorHAnsi" w:cs="Arial"/>
          <w:lang w:val="en-US"/>
        </w:rPr>
        <w:t>Amendment</w:t>
      </w:r>
    </w:p>
    <w:p w14:paraId="5C47DABB" w14:textId="7D5772C9" w:rsidR="00CA4E3C" w:rsidRPr="00DF2D40" w:rsidRDefault="00002E7D" w:rsidP="00DF2D40">
      <w:pPr>
        <w:pStyle w:val="ListParagraph"/>
        <w:numPr>
          <w:ilvl w:val="0"/>
          <w:numId w:val="20"/>
        </w:numPr>
        <w:rPr>
          <w:rFonts w:asciiTheme="minorHAnsi" w:hAnsiTheme="minorHAnsi" w:cs="Arial"/>
          <w:lang w:val="en-US"/>
        </w:rPr>
      </w:pPr>
      <w:r w:rsidRPr="00002E7D">
        <w:rPr>
          <w:rFonts w:asciiTheme="minorHAnsi" w:hAnsiTheme="minorHAnsi" w:cs="Arial"/>
          <w:sz w:val="20"/>
          <w:szCs w:val="20"/>
          <w:lang w:val="en-US"/>
        </w:rPr>
        <w:t xml:space="preserve">Added </w:t>
      </w:r>
      <w:r>
        <w:rPr>
          <w:rFonts w:asciiTheme="minorHAnsi" w:hAnsiTheme="minorHAnsi" w:cs="Arial"/>
          <w:sz w:val="20"/>
          <w:szCs w:val="20"/>
          <w:lang w:val="en-US"/>
        </w:rPr>
        <w:t>entry</w:t>
      </w:r>
      <w:r w:rsidRPr="00002E7D">
        <w:rPr>
          <w:rFonts w:asciiTheme="minorHAnsi" w:hAnsiTheme="minorHAnsi" w:cs="Arial"/>
          <w:sz w:val="20"/>
          <w:szCs w:val="20"/>
          <w:lang w:val="en-US"/>
        </w:rPr>
        <w:t xml:space="preserve"> for ranibizumab (</w:t>
      </w:r>
      <w:proofErr w:type="spellStart"/>
      <w:r w:rsidRPr="00002E7D">
        <w:rPr>
          <w:rFonts w:asciiTheme="minorHAnsi" w:hAnsiTheme="minorHAnsi" w:cs="Arial"/>
          <w:sz w:val="20"/>
          <w:szCs w:val="20"/>
          <w:lang w:val="en-US"/>
        </w:rPr>
        <w:t>Susvimo</w:t>
      </w:r>
      <w:proofErr w:type="spellEnd"/>
      <w:r w:rsidRPr="004534FB">
        <w:rPr>
          <w:rFonts w:ascii="Calibri" w:hAnsi="Calibri" w:cs="Calibri"/>
          <w:color w:val="000000"/>
          <w:sz w:val="18"/>
          <w:szCs w:val="18"/>
        </w:rPr>
        <w:t>®</w:t>
      </w:r>
      <w:r w:rsidRPr="00002E7D">
        <w:rPr>
          <w:rFonts w:asciiTheme="minorHAnsi" w:hAnsiTheme="minorHAnsi" w:cs="Arial"/>
          <w:sz w:val="20"/>
          <w:szCs w:val="20"/>
          <w:lang w:val="en-US"/>
        </w:rPr>
        <w:t>)</w:t>
      </w:r>
    </w:p>
    <w:p w14:paraId="1EDB8A0C" w14:textId="77777777" w:rsidR="00DF2D40" w:rsidRPr="00DF2D40" w:rsidRDefault="00DF2D40" w:rsidP="00DF2D40">
      <w:pPr>
        <w:pStyle w:val="ListParagraph"/>
        <w:rPr>
          <w:rFonts w:asciiTheme="minorHAnsi" w:hAnsiTheme="minorHAnsi" w:cs="Arial"/>
          <w:lang w:val="en-US"/>
        </w:rPr>
      </w:pPr>
    </w:p>
    <w:p w14:paraId="1504DF9D" w14:textId="3450BE60" w:rsidR="00CA4E3C" w:rsidRDefault="00CA4E3C" w:rsidP="00CA4E3C">
      <w:pPr>
        <w:rPr>
          <w:rFonts w:asciiTheme="minorHAnsi" w:hAnsiTheme="minorHAnsi" w:cs="Arial"/>
          <w:b/>
          <w:lang w:val="en-US"/>
        </w:rPr>
      </w:pPr>
      <w:r>
        <w:rPr>
          <w:rFonts w:asciiTheme="minorHAnsi" w:hAnsiTheme="minorHAnsi" w:cs="Arial"/>
          <w:b/>
          <w:lang w:val="en-US"/>
        </w:rPr>
        <w:t>Version 3</w:t>
      </w:r>
    </w:p>
    <w:p w14:paraId="77033ACF" w14:textId="77777777" w:rsidR="00CA4E3C" w:rsidRPr="00002E7D" w:rsidRDefault="00CA4E3C" w:rsidP="00CA4E3C">
      <w:pPr>
        <w:rPr>
          <w:rFonts w:asciiTheme="minorHAnsi" w:hAnsiTheme="minorHAnsi" w:cs="Arial"/>
          <w:lang w:val="en-US"/>
        </w:rPr>
      </w:pPr>
      <w:r w:rsidRPr="00002E7D">
        <w:rPr>
          <w:rFonts w:asciiTheme="minorHAnsi" w:hAnsiTheme="minorHAnsi" w:cs="Arial"/>
          <w:lang w:val="en-US"/>
        </w:rPr>
        <w:t>Amendment</w:t>
      </w:r>
    </w:p>
    <w:p w14:paraId="6AC2E37D" w14:textId="77777777" w:rsidR="00CA4E3C" w:rsidRPr="00204E67" w:rsidRDefault="00CA4E3C" w:rsidP="00CA4E3C">
      <w:pPr>
        <w:pStyle w:val="ListParagraph"/>
        <w:numPr>
          <w:ilvl w:val="0"/>
          <w:numId w:val="21"/>
        </w:numPr>
        <w:rPr>
          <w:rFonts w:asciiTheme="minorHAnsi" w:hAnsiTheme="minorHAnsi" w:cs="Arial"/>
          <w:lang w:val="en-US"/>
        </w:rPr>
      </w:pPr>
      <w:r>
        <w:rPr>
          <w:rFonts w:asciiTheme="minorHAnsi" w:hAnsiTheme="minorHAnsi" w:cs="Arial"/>
          <w:sz w:val="20"/>
          <w:szCs w:val="20"/>
          <w:lang w:val="en-US"/>
        </w:rPr>
        <w:t>New text for Apremilast outcome.</w:t>
      </w:r>
    </w:p>
    <w:p w14:paraId="6EF60702" w14:textId="77777777" w:rsidR="00D45FFF" w:rsidRPr="007E3487" w:rsidRDefault="00CA4E3C" w:rsidP="00CA4E3C">
      <w:pPr>
        <w:pStyle w:val="ListParagraph"/>
        <w:numPr>
          <w:ilvl w:val="0"/>
          <w:numId w:val="21"/>
        </w:numPr>
        <w:rPr>
          <w:rFonts w:asciiTheme="minorHAnsi" w:hAnsiTheme="minorHAnsi" w:cs="Arial"/>
          <w:lang w:val="en-US"/>
        </w:rPr>
      </w:pPr>
      <w:r>
        <w:rPr>
          <w:rFonts w:asciiTheme="minorHAnsi" w:hAnsiTheme="minorHAnsi" w:cs="Arial"/>
          <w:sz w:val="20"/>
          <w:szCs w:val="20"/>
          <w:lang w:val="en-US"/>
        </w:rPr>
        <w:t>New outcome for</w:t>
      </w:r>
      <w:r w:rsidRPr="00CA4E3C">
        <w:t xml:space="preserve"> </w:t>
      </w:r>
      <w:r>
        <w:rPr>
          <w:rFonts w:asciiTheme="minorHAnsi" w:hAnsiTheme="minorHAnsi" w:cs="Arial"/>
          <w:sz w:val="20"/>
          <w:szCs w:val="20"/>
          <w:lang w:val="en-US"/>
        </w:rPr>
        <w:t>B</w:t>
      </w:r>
      <w:r w:rsidRPr="00CA4E3C">
        <w:rPr>
          <w:rFonts w:asciiTheme="minorHAnsi" w:hAnsiTheme="minorHAnsi" w:cs="Arial"/>
          <w:sz w:val="20"/>
          <w:szCs w:val="20"/>
          <w:lang w:val="en-US"/>
        </w:rPr>
        <w:t xml:space="preserve">eclometasone with </w:t>
      </w:r>
      <w:r>
        <w:rPr>
          <w:rFonts w:asciiTheme="minorHAnsi" w:hAnsiTheme="minorHAnsi" w:cs="Arial"/>
          <w:sz w:val="20"/>
          <w:szCs w:val="20"/>
          <w:lang w:val="en-US"/>
        </w:rPr>
        <w:t>F</w:t>
      </w:r>
      <w:r w:rsidRPr="00CA4E3C">
        <w:rPr>
          <w:rFonts w:asciiTheme="minorHAnsi" w:hAnsiTheme="minorHAnsi" w:cs="Arial"/>
          <w:sz w:val="20"/>
          <w:szCs w:val="20"/>
          <w:lang w:val="en-US"/>
        </w:rPr>
        <w:t xml:space="preserve">ormoterol and </w:t>
      </w:r>
      <w:r>
        <w:rPr>
          <w:rFonts w:asciiTheme="minorHAnsi" w:hAnsiTheme="minorHAnsi" w:cs="Arial"/>
          <w:sz w:val="20"/>
          <w:szCs w:val="20"/>
          <w:lang w:val="en-US"/>
        </w:rPr>
        <w:t>G</w:t>
      </w:r>
      <w:r w:rsidRPr="00CA4E3C">
        <w:rPr>
          <w:rFonts w:asciiTheme="minorHAnsi" w:hAnsiTheme="minorHAnsi" w:cs="Arial"/>
          <w:sz w:val="20"/>
          <w:szCs w:val="20"/>
          <w:lang w:val="en-US"/>
        </w:rPr>
        <w:t>lycopyrronium</w:t>
      </w:r>
      <w:r w:rsidR="00317EFF">
        <w:rPr>
          <w:rFonts w:asciiTheme="minorHAnsi" w:hAnsiTheme="minorHAnsi" w:cs="Arial"/>
          <w:sz w:val="20"/>
          <w:szCs w:val="20"/>
          <w:lang w:val="en-US"/>
        </w:rPr>
        <w:t>.</w:t>
      </w:r>
      <w:r>
        <w:rPr>
          <w:rFonts w:asciiTheme="minorHAnsi" w:hAnsiTheme="minorHAnsi" w:cs="Arial"/>
          <w:sz w:val="20"/>
          <w:szCs w:val="20"/>
          <w:lang w:val="en-US"/>
        </w:rPr>
        <w:t xml:space="preserve"> </w:t>
      </w:r>
    </w:p>
    <w:p w14:paraId="1A84EE27" w14:textId="77777777" w:rsidR="00D45FFF" w:rsidRDefault="00D45FFF" w:rsidP="00D45FFF">
      <w:pPr>
        <w:rPr>
          <w:rFonts w:asciiTheme="minorHAnsi" w:hAnsiTheme="minorHAnsi" w:cs="Arial"/>
          <w:b/>
          <w:lang w:val="en-US"/>
        </w:rPr>
      </w:pPr>
    </w:p>
    <w:p w14:paraId="685B4F16" w14:textId="3BAF908F" w:rsidR="00D45FFF" w:rsidRDefault="00D45FFF" w:rsidP="00D45FFF">
      <w:pPr>
        <w:rPr>
          <w:rFonts w:asciiTheme="minorHAnsi" w:hAnsiTheme="minorHAnsi" w:cs="Arial"/>
          <w:b/>
          <w:lang w:val="en-US"/>
        </w:rPr>
      </w:pPr>
      <w:r>
        <w:rPr>
          <w:rFonts w:asciiTheme="minorHAnsi" w:hAnsiTheme="minorHAnsi" w:cs="Arial"/>
          <w:b/>
          <w:lang w:val="en-US"/>
        </w:rPr>
        <w:t>Version 4</w:t>
      </w:r>
    </w:p>
    <w:p w14:paraId="11F5DD08" w14:textId="77777777" w:rsidR="00D45FFF" w:rsidRPr="00002E7D" w:rsidRDefault="00D45FFF" w:rsidP="00D45FFF">
      <w:pPr>
        <w:rPr>
          <w:rFonts w:asciiTheme="minorHAnsi" w:hAnsiTheme="minorHAnsi" w:cs="Arial"/>
          <w:lang w:val="en-US"/>
        </w:rPr>
      </w:pPr>
      <w:r w:rsidRPr="00002E7D">
        <w:rPr>
          <w:rFonts w:asciiTheme="minorHAnsi" w:hAnsiTheme="minorHAnsi" w:cs="Arial"/>
          <w:lang w:val="en-US"/>
        </w:rPr>
        <w:t>Amendment</w:t>
      </w:r>
    </w:p>
    <w:p w14:paraId="62148F6A" w14:textId="77777777" w:rsidR="000A2BAD" w:rsidRPr="000A2BAD" w:rsidRDefault="00D45FFF" w:rsidP="00D45FFF">
      <w:pPr>
        <w:pStyle w:val="ListParagraph"/>
        <w:numPr>
          <w:ilvl w:val="0"/>
          <w:numId w:val="22"/>
        </w:numPr>
        <w:rPr>
          <w:rFonts w:asciiTheme="minorHAnsi" w:hAnsiTheme="minorHAnsi" w:cs="Arial"/>
          <w:lang w:val="en-US"/>
        </w:rPr>
      </w:pPr>
      <w:bookmarkStart w:id="1" w:name="_Hlk111818834"/>
      <w:r>
        <w:rPr>
          <w:rFonts w:asciiTheme="minorHAnsi" w:hAnsiTheme="minorHAnsi" w:cs="Arial"/>
          <w:sz w:val="20"/>
          <w:szCs w:val="20"/>
          <w:lang w:val="en-US"/>
        </w:rPr>
        <w:t xml:space="preserve">New outcome for </w:t>
      </w:r>
      <w:r w:rsidRPr="00002E7D">
        <w:rPr>
          <w:rFonts w:asciiTheme="minorHAnsi" w:hAnsiTheme="minorHAnsi" w:cs="Arial"/>
          <w:sz w:val="20"/>
          <w:szCs w:val="20"/>
          <w:lang w:val="en-US"/>
        </w:rPr>
        <w:t>ranibizumab (</w:t>
      </w:r>
      <w:proofErr w:type="spellStart"/>
      <w:r w:rsidRPr="00002E7D">
        <w:rPr>
          <w:rFonts w:asciiTheme="minorHAnsi" w:hAnsiTheme="minorHAnsi" w:cs="Arial"/>
          <w:sz w:val="20"/>
          <w:szCs w:val="20"/>
          <w:lang w:val="en-US"/>
        </w:rPr>
        <w:t>Susvimo</w:t>
      </w:r>
      <w:proofErr w:type="spellEnd"/>
      <w:r w:rsidRPr="004534FB">
        <w:rPr>
          <w:rFonts w:ascii="Calibri" w:hAnsi="Calibri" w:cs="Calibri"/>
          <w:color w:val="000000"/>
          <w:sz w:val="18"/>
          <w:szCs w:val="18"/>
        </w:rPr>
        <w:t>®</w:t>
      </w:r>
      <w:r w:rsidRPr="00002E7D">
        <w:rPr>
          <w:rFonts w:asciiTheme="minorHAnsi" w:hAnsiTheme="minorHAnsi" w:cs="Arial"/>
          <w:sz w:val="20"/>
          <w:szCs w:val="20"/>
          <w:lang w:val="en-US"/>
        </w:rPr>
        <w:t>)</w:t>
      </w:r>
      <w:bookmarkEnd w:id="1"/>
    </w:p>
    <w:p w14:paraId="28843285" w14:textId="77777777" w:rsidR="000A2BAD" w:rsidRDefault="000A2BAD" w:rsidP="000A2BAD">
      <w:pPr>
        <w:rPr>
          <w:rFonts w:asciiTheme="minorHAnsi" w:hAnsiTheme="minorHAnsi" w:cs="Arial"/>
          <w:lang w:val="en-US"/>
        </w:rPr>
      </w:pPr>
    </w:p>
    <w:p w14:paraId="7292DE12" w14:textId="233DB37F" w:rsidR="000A2BAD" w:rsidRDefault="000A2BAD" w:rsidP="000A2BAD">
      <w:pPr>
        <w:rPr>
          <w:rFonts w:asciiTheme="minorHAnsi" w:hAnsiTheme="minorHAnsi" w:cs="Arial"/>
          <w:b/>
          <w:lang w:val="en-US"/>
        </w:rPr>
      </w:pPr>
      <w:r>
        <w:rPr>
          <w:rFonts w:asciiTheme="minorHAnsi" w:hAnsiTheme="minorHAnsi" w:cs="Arial"/>
          <w:b/>
          <w:lang w:val="en-US"/>
        </w:rPr>
        <w:t>Version 5</w:t>
      </w:r>
    </w:p>
    <w:p w14:paraId="1BC6F235" w14:textId="77777777" w:rsidR="000A2BAD" w:rsidRDefault="000A2BAD" w:rsidP="000A2BAD">
      <w:pPr>
        <w:rPr>
          <w:rFonts w:asciiTheme="minorHAnsi" w:hAnsiTheme="minorHAnsi" w:cs="Arial"/>
          <w:lang w:val="en-US"/>
        </w:rPr>
      </w:pPr>
      <w:r w:rsidRPr="000A2BAD">
        <w:rPr>
          <w:rFonts w:asciiTheme="minorHAnsi" w:hAnsiTheme="minorHAnsi" w:cs="Arial"/>
          <w:lang w:val="en-US"/>
        </w:rPr>
        <w:t>Amendment</w:t>
      </w:r>
    </w:p>
    <w:p w14:paraId="26461C15" w14:textId="77777777" w:rsidR="008539DF" w:rsidRPr="008539DF" w:rsidRDefault="000A2BAD" w:rsidP="000A2BAD">
      <w:pPr>
        <w:pStyle w:val="ListParagraph"/>
        <w:numPr>
          <w:ilvl w:val="0"/>
          <w:numId w:val="26"/>
        </w:numPr>
        <w:rPr>
          <w:rFonts w:asciiTheme="minorHAnsi" w:hAnsiTheme="minorHAnsi" w:cs="Arial"/>
          <w:sz w:val="20"/>
          <w:szCs w:val="20"/>
          <w:lang w:val="en-US"/>
        </w:rPr>
      </w:pPr>
      <w:r>
        <w:rPr>
          <w:rFonts w:asciiTheme="minorHAnsi" w:hAnsiTheme="minorHAnsi" w:cs="Arial"/>
          <w:sz w:val="20"/>
          <w:szCs w:val="20"/>
        </w:rPr>
        <w:t>U</w:t>
      </w:r>
      <w:r w:rsidRPr="000A2BAD">
        <w:rPr>
          <w:rFonts w:asciiTheme="minorHAnsi" w:hAnsiTheme="minorHAnsi" w:cs="Arial"/>
          <w:sz w:val="20"/>
          <w:szCs w:val="20"/>
        </w:rPr>
        <w:t>pdated form for trientine dihydrochloride (Waymade®)</w:t>
      </w:r>
    </w:p>
    <w:p w14:paraId="06E6DD2F" w14:textId="77777777" w:rsidR="00DF2D40" w:rsidRDefault="008539DF" w:rsidP="008539DF">
      <w:pPr>
        <w:pStyle w:val="ListParagraph"/>
        <w:numPr>
          <w:ilvl w:val="0"/>
          <w:numId w:val="26"/>
        </w:numPr>
        <w:rPr>
          <w:rFonts w:asciiTheme="minorHAnsi" w:hAnsiTheme="minorHAnsi" w:cs="Arial"/>
          <w:sz w:val="20"/>
          <w:szCs w:val="20"/>
          <w:lang w:val="en-US"/>
        </w:rPr>
      </w:pPr>
      <w:r w:rsidRPr="006E1D50">
        <w:rPr>
          <w:rFonts w:asciiTheme="minorHAnsi" w:hAnsiTheme="minorHAnsi" w:cs="Arial"/>
          <w:sz w:val="20"/>
          <w:szCs w:val="20"/>
        </w:rPr>
        <w:t xml:space="preserve">Updated drug name for </w:t>
      </w:r>
      <w:r w:rsidRPr="006E1D50">
        <w:rPr>
          <w:rFonts w:asciiTheme="minorHAnsi" w:hAnsiTheme="minorHAnsi" w:cstheme="minorHAnsi"/>
          <w:color w:val="000000"/>
          <w:sz w:val="20"/>
          <w:szCs w:val="20"/>
        </w:rPr>
        <w:t xml:space="preserve">diphtheria, tetanus, pertussis, hepatitis B, </w:t>
      </w:r>
      <w:proofErr w:type="gramStart"/>
      <w:r w:rsidRPr="006E1D50">
        <w:rPr>
          <w:rFonts w:asciiTheme="minorHAnsi" w:hAnsiTheme="minorHAnsi" w:cstheme="minorHAnsi"/>
          <w:color w:val="000000"/>
          <w:sz w:val="20"/>
          <w:szCs w:val="20"/>
        </w:rPr>
        <w:t>poliomyelitis</w:t>
      </w:r>
      <w:proofErr w:type="gramEnd"/>
      <w:r w:rsidRPr="006E1D50">
        <w:rPr>
          <w:rFonts w:asciiTheme="minorHAnsi" w:hAnsiTheme="minorHAnsi" w:cstheme="minorHAnsi"/>
          <w:color w:val="000000"/>
          <w:sz w:val="20"/>
          <w:szCs w:val="20"/>
        </w:rPr>
        <w:t xml:space="preserve"> and Haemophilus influenzae type b conjugate vaccine (</w:t>
      </w:r>
      <w:proofErr w:type="spellStart"/>
      <w:r w:rsidRPr="006E1D50">
        <w:rPr>
          <w:rFonts w:asciiTheme="minorHAnsi" w:hAnsiTheme="minorHAnsi" w:cstheme="minorHAnsi"/>
          <w:color w:val="000000"/>
          <w:sz w:val="20"/>
          <w:szCs w:val="20"/>
        </w:rPr>
        <w:t>DTPa</w:t>
      </w:r>
      <w:proofErr w:type="spellEnd"/>
      <w:r w:rsidRPr="006E1D50">
        <w:rPr>
          <w:rFonts w:asciiTheme="minorHAnsi" w:hAnsiTheme="minorHAnsi" w:cstheme="minorHAnsi"/>
          <w:color w:val="000000"/>
          <w:sz w:val="20"/>
          <w:szCs w:val="20"/>
        </w:rPr>
        <w:t>-HB-IPV-Hib)</w:t>
      </w:r>
      <w:r w:rsidRPr="006E1D50">
        <w:rPr>
          <w:rFonts w:asciiTheme="minorHAnsi" w:hAnsiTheme="minorHAnsi" w:cs="Arial"/>
          <w:sz w:val="20"/>
          <w:szCs w:val="20"/>
          <w:lang w:val="en-US"/>
        </w:rPr>
        <w:t xml:space="preserve"> </w:t>
      </w:r>
    </w:p>
    <w:p w14:paraId="64ED0CB6" w14:textId="674BC01B" w:rsidR="00DF2D40" w:rsidRDefault="00DF2D40" w:rsidP="00DF2D40">
      <w:pPr>
        <w:rPr>
          <w:rFonts w:asciiTheme="minorHAnsi" w:hAnsiTheme="minorHAnsi" w:cs="Arial"/>
          <w:lang w:val="en-US"/>
        </w:rPr>
      </w:pPr>
    </w:p>
    <w:p w14:paraId="6015AC2A" w14:textId="69DAD4C7" w:rsidR="00DF2D40" w:rsidRPr="00DF2D40" w:rsidRDefault="00DF2D40" w:rsidP="00DF2D40">
      <w:pPr>
        <w:rPr>
          <w:rFonts w:asciiTheme="minorHAnsi" w:hAnsiTheme="minorHAnsi" w:cs="Arial"/>
          <w:b/>
          <w:bCs/>
          <w:lang w:val="en-US"/>
        </w:rPr>
      </w:pPr>
      <w:r w:rsidRPr="00DF2D40">
        <w:rPr>
          <w:rFonts w:asciiTheme="minorHAnsi" w:hAnsiTheme="minorHAnsi" w:cs="Arial"/>
          <w:b/>
          <w:bCs/>
          <w:lang w:val="en-US"/>
        </w:rPr>
        <w:lastRenderedPageBreak/>
        <w:t>Version 6</w:t>
      </w:r>
    </w:p>
    <w:p w14:paraId="0B21C078" w14:textId="6A1E5D55" w:rsidR="00DF2D40" w:rsidRDefault="00DF2D40" w:rsidP="00DF2D40">
      <w:pPr>
        <w:rPr>
          <w:rFonts w:asciiTheme="minorHAnsi" w:hAnsiTheme="minorHAnsi" w:cs="Arial"/>
          <w:lang w:val="en-US"/>
        </w:rPr>
      </w:pPr>
      <w:r>
        <w:rPr>
          <w:rFonts w:asciiTheme="minorHAnsi" w:hAnsiTheme="minorHAnsi" w:cs="Arial"/>
          <w:lang w:val="en-US"/>
        </w:rPr>
        <w:t>Amendment</w:t>
      </w:r>
    </w:p>
    <w:p w14:paraId="29EF8795" w14:textId="4368D1C6" w:rsidR="00DF2D40" w:rsidRPr="00DF2D40" w:rsidRDefault="00DF2D40" w:rsidP="00DF2D40">
      <w:pPr>
        <w:pStyle w:val="ListParagraph"/>
        <w:numPr>
          <w:ilvl w:val="0"/>
          <w:numId w:val="27"/>
        </w:numPr>
        <w:rPr>
          <w:rFonts w:asciiTheme="minorHAnsi" w:hAnsiTheme="minorHAnsi" w:cs="Arial"/>
          <w:sz w:val="20"/>
          <w:szCs w:val="20"/>
        </w:rPr>
      </w:pPr>
      <w:r w:rsidRPr="00DF2D40">
        <w:rPr>
          <w:rFonts w:asciiTheme="minorHAnsi" w:hAnsiTheme="minorHAnsi" w:cs="Arial"/>
          <w:sz w:val="20"/>
          <w:szCs w:val="20"/>
        </w:rPr>
        <w:t xml:space="preserve">Outcome of </w:t>
      </w:r>
      <w:r>
        <w:rPr>
          <w:rFonts w:asciiTheme="minorHAnsi" w:hAnsiTheme="minorHAnsi" w:cs="Arial"/>
          <w:sz w:val="20"/>
          <w:szCs w:val="20"/>
          <w:lang w:val="en-US"/>
        </w:rPr>
        <w:t>B</w:t>
      </w:r>
      <w:r w:rsidRPr="00CA4E3C">
        <w:rPr>
          <w:rFonts w:asciiTheme="minorHAnsi" w:hAnsiTheme="minorHAnsi" w:cs="Arial"/>
          <w:sz w:val="20"/>
          <w:szCs w:val="20"/>
          <w:lang w:val="en-US"/>
        </w:rPr>
        <w:t xml:space="preserve">eclometasone with </w:t>
      </w:r>
      <w:r>
        <w:rPr>
          <w:rFonts w:asciiTheme="minorHAnsi" w:hAnsiTheme="minorHAnsi" w:cs="Arial"/>
          <w:sz w:val="20"/>
          <w:szCs w:val="20"/>
          <w:lang w:val="en-US"/>
        </w:rPr>
        <w:t>F</w:t>
      </w:r>
      <w:r w:rsidRPr="00CA4E3C">
        <w:rPr>
          <w:rFonts w:asciiTheme="minorHAnsi" w:hAnsiTheme="minorHAnsi" w:cs="Arial"/>
          <w:sz w:val="20"/>
          <w:szCs w:val="20"/>
          <w:lang w:val="en-US"/>
        </w:rPr>
        <w:t xml:space="preserve">ormoterol and </w:t>
      </w:r>
      <w:r>
        <w:rPr>
          <w:rFonts w:asciiTheme="minorHAnsi" w:hAnsiTheme="minorHAnsi" w:cs="Arial"/>
          <w:sz w:val="20"/>
          <w:szCs w:val="20"/>
          <w:lang w:val="en-US"/>
        </w:rPr>
        <w:t>G</w:t>
      </w:r>
      <w:r w:rsidRPr="00CA4E3C">
        <w:rPr>
          <w:rFonts w:asciiTheme="minorHAnsi" w:hAnsiTheme="minorHAnsi" w:cs="Arial"/>
          <w:sz w:val="20"/>
          <w:szCs w:val="20"/>
          <w:lang w:val="en-US"/>
        </w:rPr>
        <w:t>lycopyrronium</w:t>
      </w:r>
      <w:r w:rsidRPr="00DF2D40">
        <w:rPr>
          <w:rFonts w:asciiTheme="minorHAnsi" w:hAnsiTheme="minorHAnsi" w:cs="Arial"/>
          <w:sz w:val="20"/>
          <w:szCs w:val="20"/>
        </w:rPr>
        <w:t xml:space="preserve"> (</w:t>
      </w:r>
      <w:proofErr w:type="spellStart"/>
      <w:r w:rsidRPr="00DF2D40">
        <w:rPr>
          <w:rFonts w:asciiTheme="minorHAnsi" w:hAnsiTheme="minorHAnsi" w:cs="Arial"/>
          <w:sz w:val="20"/>
          <w:szCs w:val="20"/>
        </w:rPr>
        <w:t>Trimbow</w:t>
      </w:r>
      <w:proofErr w:type="spellEnd"/>
      <w:r w:rsidRPr="00DF2D40">
        <w:rPr>
          <w:rFonts w:asciiTheme="minorHAnsi" w:hAnsiTheme="minorHAnsi" w:cs="Arial"/>
          <w:sz w:val="20"/>
          <w:szCs w:val="20"/>
        </w:rPr>
        <w:t xml:space="preserve">®) has been moved to the </w:t>
      </w:r>
      <w:hyperlink r:id="rId8" w:history="1">
        <w:r w:rsidR="00C23832" w:rsidRPr="00C23832">
          <w:rPr>
            <w:rStyle w:val="Hyperlink"/>
            <w:rFonts w:asciiTheme="minorHAnsi" w:hAnsiTheme="minorHAnsi" w:cs="Arial"/>
            <w:sz w:val="20"/>
            <w:szCs w:val="20"/>
          </w:rPr>
          <w:t>Recommendations made out-of-session by the PBAC meeting between meetings</w:t>
        </w:r>
      </w:hyperlink>
      <w:r w:rsidRPr="00DF2D40">
        <w:rPr>
          <w:rFonts w:asciiTheme="minorHAnsi" w:hAnsiTheme="minorHAnsi" w:cs="Arial"/>
          <w:sz w:val="20"/>
          <w:szCs w:val="20"/>
        </w:rPr>
        <w:t xml:space="preserve"> </w:t>
      </w:r>
      <w:r w:rsidR="00C23832">
        <w:rPr>
          <w:rFonts w:asciiTheme="minorHAnsi" w:hAnsiTheme="minorHAnsi" w:cs="Arial"/>
          <w:sz w:val="20"/>
          <w:szCs w:val="20"/>
        </w:rPr>
        <w:t>web</w:t>
      </w:r>
      <w:r w:rsidRPr="00DF2D40">
        <w:rPr>
          <w:rFonts w:asciiTheme="minorHAnsi" w:hAnsiTheme="minorHAnsi" w:cs="Arial"/>
          <w:sz w:val="20"/>
          <w:szCs w:val="20"/>
        </w:rPr>
        <w:t xml:space="preserve">page to reflect it was </w:t>
      </w:r>
      <w:r w:rsidR="00C23832">
        <w:rPr>
          <w:rFonts w:asciiTheme="minorHAnsi" w:hAnsiTheme="minorHAnsi" w:cs="Arial"/>
          <w:sz w:val="20"/>
          <w:szCs w:val="20"/>
        </w:rPr>
        <w:t>considered</w:t>
      </w:r>
      <w:r w:rsidR="00C23832" w:rsidRPr="00DF2D40">
        <w:rPr>
          <w:rFonts w:asciiTheme="minorHAnsi" w:hAnsiTheme="minorHAnsi" w:cs="Arial"/>
          <w:sz w:val="20"/>
          <w:szCs w:val="20"/>
        </w:rPr>
        <w:t xml:space="preserve"> </w:t>
      </w:r>
      <w:r w:rsidRPr="00DF2D40">
        <w:rPr>
          <w:rFonts w:asciiTheme="minorHAnsi" w:hAnsiTheme="minorHAnsi" w:cs="Arial"/>
          <w:sz w:val="20"/>
          <w:szCs w:val="20"/>
        </w:rPr>
        <w:t>out-of-session</w:t>
      </w:r>
      <w:r>
        <w:rPr>
          <w:rFonts w:asciiTheme="minorHAnsi" w:hAnsiTheme="minorHAnsi" w:cs="Arial"/>
          <w:sz w:val="20"/>
          <w:szCs w:val="20"/>
        </w:rPr>
        <w:t>.</w:t>
      </w:r>
    </w:p>
    <w:p w14:paraId="27E22876" w14:textId="399D5C5C" w:rsidR="00AF17A5" w:rsidRPr="00DF2D40" w:rsidRDefault="00AF17A5" w:rsidP="00DF2D40">
      <w:pPr>
        <w:rPr>
          <w:rFonts w:asciiTheme="minorHAnsi" w:hAnsiTheme="minorHAnsi" w:cs="Arial"/>
          <w:lang w:val="en-US"/>
        </w:rPr>
      </w:pPr>
      <w:r w:rsidRPr="00DF2D40">
        <w:rPr>
          <w:rFonts w:asciiTheme="minorHAnsi" w:hAnsiTheme="minorHAnsi" w:cs="Arial"/>
          <w:lang w:val="en-US"/>
        </w:rPr>
        <w:br w:type="page"/>
      </w:r>
    </w:p>
    <w:p w14:paraId="6B64D1DE" w14:textId="721C2BBC" w:rsidR="007F48F6" w:rsidRPr="00567D48" w:rsidRDefault="007F48F6" w:rsidP="007F48F6">
      <w:pPr>
        <w:rPr>
          <w:rFonts w:asciiTheme="minorHAnsi" w:hAnsiTheme="minorHAnsi" w:cs="Arial"/>
          <w:b/>
          <w:lang w:val="en-US"/>
        </w:rPr>
      </w:pPr>
      <w:r w:rsidRPr="00567D48">
        <w:rPr>
          <w:rFonts w:asciiTheme="minorHAnsi" w:hAnsiTheme="minorHAnsi" w:cs="Arial"/>
          <w:b/>
          <w:lang w:val="en-US"/>
        </w:rPr>
        <w:lastRenderedPageBreak/>
        <w:t>Submission category types</w:t>
      </w:r>
    </w:p>
    <w:p w14:paraId="15D4233E" w14:textId="77777777" w:rsidR="007F48F6" w:rsidRPr="00567D48" w:rsidRDefault="007F48F6" w:rsidP="007F48F6">
      <w:pPr>
        <w:rPr>
          <w:rFonts w:asciiTheme="minorHAnsi" w:hAnsiTheme="minorHAnsi" w:cs="Arial"/>
          <w:b/>
          <w:lang w:val="en-US"/>
        </w:rPr>
      </w:pPr>
    </w:p>
    <w:tbl>
      <w:tblPr>
        <w:tblStyle w:val="TableGrid"/>
        <w:tblW w:w="14458" w:type="dxa"/>
        <w:tblInd w:w="421" w:type="dxa"/>
        <w:tblLook w:val="04A0" w:firstRow="1" w:lastRow="0" w:firstColumn="1" w:lastColumn="0" w:noHBand="0" w:noVBand="1"/>
      </w:tblPr>
      <w:tblGrid>
        <w:gridCol w:w="1984"/>
        <w:gridCol w:w="12474"/>
      </w:tblGrid>
      <w:tr w:rsidR="007F48F6" w:rsidRPr="00567D48" w14:paraId="49C9D26F" w14:textId="77777777" w:rsidTr="005B583D">
        <w:tc>
          <w:tcPr>
            <w:tcW w:w="1984" w:type="dxa"/>
          </w:tcPr>
          <w:p w14:paraId="1640FA5D" w14:textId="3DC6C07C" w:rsidR="007F48F6" w:rsidRPr="00567D48" w:rsidRDefault="007F48F6" w:rsidP="00A159CA">
            <w:pPr>
              <w:autoSpaceDE w:val="0"/>
              <w:autoSpaceDN w:val="0"/>
              <w:adjustRightInd w:val="0"/>
              <w:rPr>
                <w:rFonts w:asciiTheme="minorHAnsi" w:hAnsiTheme="minorHAnsi" w:cs="Arial"/>
                <w:b/>
                <w:lang w:val="en-US"/>
              </w:rPr>
            </w:pPr>
            <w:r w:rsidRPr="00567D48">
              <w:rPr>
                <w:rFonts w:asciiTheme="minorHAnsi" w:hAnsiTheme="minorHAnsi" w:cs="Arial"/>
                <w:b/>
                <w:color w:val="000000"/>
              </w:rPr>
              <w:t>Category 1</w:t>
            </w:r>
          </w:p>
        </w:tc>
        <w:tc>
          <w:tcPr>
            <w:tcW w:w="12474" w:type="dxa"/>
          </w:tcPr>
          <w:p w14:paraId="55D16D51" w14:textId="77777777" w:rsidR="007F48F6" w:rsidRPr="00567D48" w:rsidRDefault="007F48F6" w:rsidP="005B583D">
            <w:pPr>
              <w:autoSpaceDE w:val="0"/>
              <w:autoSpaceDN w:val="0"/>
              <w:adjustRightInd w:val="0"/>
              <w:rPr>
                <w:rFonts w:asciiTheme="minorHAnsi" w:hAnsiTheme="minorHAnsi" w:cs="Arial"/>
                <w:b/>
                <w:color w:val="000000"/>
              </w:rPr>
            </w:pPr>
            <w:r w:rsidRPr="00567D48">
              <w:rPr>
                <w:rFonts w:asciiTheme="minorHAnsi" w:hAnsiTheme="minorHAnsi" w:cs="Arial"/>
                <w:color w:val="000000"/>
              </w:rPr>
              <w:t xml:space="preserve">A request for PBS or NIP listing of one or more of the following: </w:t>
            </w:r>
          </w:p>
          <w:p w14:paraId="5E5BAAB8" w14:textId="77777777" w:rsidR="007F48F6" w:rsidRPr="00567D48" w:rsidRDefault="007F48F6" w:rsidP="005B583D">
            <w:pPr>
              <w:pStyle w:val="ListParagraph"/>
              <w:numPr>
                <w:ilvl w:val="0"/>
                <w:numId w:val="3"/>
              </w:numPr>
              <w:autoSpaceDE w:val="0"/>
              <w:autoSpaceDN w:val="0"/>
              <w:adjustRightInd w:val="0"/>
              <w:ind w:left="360"/>
              <w:rPr>
                <w:rFonts w:asciiTheme="minorHAnsi" w:hAnsiTheme="minorHAnsi" w:cs="Arial"/>
                <w:b/>
                <w:color w:val="000000"/>
                <w:sz w:val="20"/>
                <w:szCs w:val="20"/>
              </w:rPr>
            </w:pPr>
            <w:r w:rsidRPr="00567D48">
              <w:rPr>
                <w:rFonts w:asciiTheme="minorHAnsi" w:hAnsiTheme="minorHAnsi" w:cs="Arial"/>
                <w:color w:val="000000"/>
                <w:sz w:val="20"/>
                <w:szCs w:val="20"/>
              </w:rPr>
              <w:t xml:space="preserve">A first in class medicine or vaccine, and/or a medicine or vaccine for a new population. OR </w:t>
            </w:r>
          </w:p>
          <w:p w14:paraId="7DB13D11" w14:textId="77777777" w:rsidR="007F48F6" w:rsidRPr="00567D48" w:rsidRDefault="007F48F6" w:rsidP="005B583D">
            <w:pPr>
              <w:pStyle w:val="ListParagraph"/>
              <w:numPr>
                <w:ilvl w:val="0"/>
                <w:numId w:val="3"/>
              </w:numPr>
              <w:autoSpaceDE w:val="0"/>
              <w:autoSpaceDN w:val="0"/>
              <w:adjustRightInd w:val="0"/>
              <w:ind w:left="360"/>
              <w:rPr>
                <w:rFonts w:asciiTheme="minorHAnsi" w:hAnsiTheme="minorHAnsi" w:cs="Arial"/>
                <w:b/>
                <w:color w:val="000000"/>
                <w:sz w:val="20"/>
                <w:szCs w:val="20"/>
              </w:rPr>
            </w:pPr>
            <w:r w:rsidRPr="00567D48">
              <w:rPr>
                <w:rFonts w:asciiTheme="minorHAnsi" w:hAnsiTheme="minorHAnsi" w:cs="Arial"/>
                <w:color w:val="000000"/>
                <w:sz w:val="20"/>
                <w:szCs w:val="20"/>
              </w:rPr>
              <w:t xml:space="preserve">A drug with a codependent technology that requires an integrated codependent submission to the PBAC and MSAC. OR </w:t>
            </w:r>
          </w:p>
          <w:p w14:paraId="1380A86B" w14:textId="77777777" w:rsidR="007F48F6" w:rsidRPr="00567D48" w:rsidRDefault="007F48F6" w:rsidP="005B583D">
            <w:pPr>
              <w:pStyle w:val="ListParagraph"/>
              <w:numPr>
                <w:ilvl w:val="0"/>
                <w:numId w:val="3"/>
              </w:numPr>
              <w:autoSpaceDE w:val="0"/>
              <w:autoSpaceDN w:val="0"/>
              <w:adjustRightInd w:val="0"/>
              <w:ind w:left="360"/>
              <w:rPr>
                <w:rFonts w:asciiTheme="minorHAnsi" w:hAnsiTheme="minorHAnsi" w:cs="Arial"/>
                <w:b/>
                <w:color w:val="000000"/>
                <w:sz w:val="20"/>
                <w:szCs w:val="20"/>
              </w:rPr>
            </w:pPr>
            <w:r w:rsidRPr="00567D48">
              <w:rPr>
                <w:rFonts w:asciiTheme="minorHAnsi" w:hAnsiTheme="minorHAnsi" w:cs="Arial"/>
                <w:color w:val="000000"/>
                <w:sz w:val="20"/>
                <w:szCs w:val="20"/>
              </w:rPr>
              <w:t>A drug or designated vaccine with a TGA Provisional determination related to the proposed population.</w:t>
            </w:r>
          </w:p>
        </w:tc>
      </w:tr>
      <w:tr w:rsidR="007F48F6" w:rsidRPr="00567D48" w14:paraId="55E97F75" w14:textId="77777777" w:rsidTr="005B583D">
        <w:tc>
          <w:tcPr>
            <w:tcW w:w="1984" w:type="dxa"/>
          </w:tcPr>
          <w:p w14:paraId="5E9AC3B0" w14:textId="77777777" w:rsidR="007F48F6" w:rsidRPr="00567D48" w:rsidRDefault="007F48F6" w:rsidP="005B583D">
            <w:pPr>
              <w:tabs>
                <w:tab w:val="left" w:pos="5210"/>
              </w:tabs>
              <w:rPr>
                <w:rFonts w:asciiTheme="minorHAnsi" w:hAnsiTheme="minorHAnsi" w:cs="Arial"/>
                <w:b/>
                <w:lang w:val="en-US"/>
              </w:rPr>
            </w:pPr>
            <w:r w:rsidRPr="00567D48">
              <w:rPr>
                <w:rFonts w:asciiTheme="minorHAnsi" w:hAnsiTheme="minorHAnsi" w:cs="Arial"/>
                <w:b/>
              </w:rPr>
              <w:t>Category 2</w:t>
            </w:r>
          </w:p>
        </w:tc>
        <w:tc>
          <w:tcPr>
            <w:tcW w:w="12474" w:type="dxa"/>
          </w:tcPr>
          <w:p w14:paraId="72522F32" w14:textId="77777777" w:rsidR="007F48F6" w:rsidRPr="00567D48" w:rsidRDefault="007F48F6" w:rsidP="005B583D">
            <w:pPr>
              <w:tabs>
                <w:tab w:val="left" w:pos="5210"/>
              </w:tabs>
              <w:rPr>
                <w:rFonts w:asciiTheme="minorHAnsi" w:hAnsiTheme="minorHAnsi" w:cs="Arial"/>
              </w:rPr>
            </w:pPr>
            <w:r w:rsidRPr="00567D48">
              <w:rPr>
                <w:rFonts w:asciiTheme="minorHAnsi" w:hAnsiTheme="minorHAnsi" w:cs="Arial"/>
              </w:rPr>
              <w:t>A request for PBS or NIP listing of a new medicine or new vaccine, a new indication of a currently listed medicine or vaccine, or to make material changes to a currently listed indication and do not meet the criteria for a Category 1 submission.</w:t>
            </w:r>
          </w:p>
        </w:tc>
      </w:tr>
      <w:tr w:rsidR="007F48F6" w:rsidRPr="00567D48" w14:paraId="2189A220" w14:textId="77777777" w:rsidTr="005B583D">
        <w:tc>
          <w:tcPr>
            <w:tcW w:w="1984" w:type="dxa"/>
          </w:tcPr>
          <w:p w14:paraId="79CB93BA" w14:textId="77777777" w:rsidR="007F48F6" w:rsidRPr="00567D48" w:rsidRDefault="007F48F6" w:rsidP="005B583D">
            <w:pPr>
              <w:tabs>
                <w:tab w:val="left" w:pos="5210"/>
              </w:tabs>
              <w:rPr>
                <w:rFonts w:asciiTheme="minorHAnsi" w:hAnsiTheme="minorHAnsi" w:cs="Arial"/>
                <w:b/>
                <w:lang w:val="en-US"/>
              </w:rPr>
            </w:pPr>
            <w:r w:rsidRPr="00567D48">
              <w:rPr>
                <w:rFonts w:asciiTheme="minorHAnsi" w:hAnsiTheme="minorHAnsi" w:cs="Arial"/>
                <w:b/>
              </w:rPr>
              <w:t>Category 3</w:t>
            </w:r>
          </w:p>
        </w:tc>
        <w:tc>
          <w:tcPr>
            <w:tcW w:w="12474" w:type="dxa"/>
          </w:tcPr>
          <w:p w14:paraId="11EF39D0" w14:textId="77777777" w:rsidR="007F48F6" w:rsidRPr="00567D48" w:rsidRDefault="007F48F6" w:rsidP="005B583D">
            <w:pPr>
              <w:tabs>
                <w:tab w:val="left" w:pos="5210"/>
              </w:tabs>
              <w:rPr>
                <w:rFonts w:asciiTheme="minorHAnsi" w:hAnsiTheme="minorHAnsi" w:cs="Arial"/>
              </w:rPr>
            </w:pPr>
            <w:r w:rsidRPr="00567D48">
              <w:rPr>
                <w:rFonts w:asciiTheme="minorHAnsi" w:hAnsiTheme="minorHAnsi" w:cs="Arial"/>
              </w:rPr>
              <w:t>Requests to change existing listings that do not change the population or cost-effectiveness of the medicine or vaccine that do not meet the criteria for a Category 4 submission.</w:t>
            </w:r>
          </w:p>
        </w:tc>
      </w:tr>
      <w:tr w:rsidR="007F48F6" w:rsidRPr="00567D48" w14:paraId="3189B6F0" w14:textId="77777777" w:rsidTr="005B583D">
        <w:tc>
          <w:tcPr>
            <w:tcW w:w="1984" w:type="dxa"/>
          </w:tcPr>
          <w:p w14:paraId="381D7CFE" w14:textId="5CAA3093" w:rsidR="007F48F6" w:rsidRPr="00567D48" w:rsidRDefault="007F48F6" w:rsidP="005B583D">
            <w:pPr>
              <w:pStyle w:val="Default"/>
              <w:rPr>
                <w:rFonts w:asciiTheme="minorHAnsi" w:hAnsiTheme="minorHAnsi" w:cs="Arial"/>
                <w:b/>
                <w:sz w:val="20"/>
                <w:szCs w:val="20"/>
                <w:lang w:val="en-US"/>
              </w:rPr>
            </w:pPr>
            <w:r w:rsidRPr="00567D48">
              <w:rPr>
                <w:rFonts w:asciiTheme="minorHAnsi" w:hAnsiTheme="minorHAnsi" w:cs="Arial"/>
                <w:b/>
                <w:sz w:val="20"/>
                <w:szCs w:val="20"/>
              </w:rPr>
              <w:t xml:space="preserve">Category 4 </w:t>
            </w:r>
          </w:p>
        </w:tc>
        <w:tc>
          <w:tcPr>
            <w:tcW w:w="12474" w:type="dxa"/>
          </w:tcPr>
          <w:p w14:paraId="5E50EE2B" w14:textId="77777777" w:rsidR="007F48F6" w:rsidRPr="00567D48" w:rsidRDefault="007F48F6" w:rsidP="005B583D">
            <w:pPr>
              <w:pStyle w:val="Default"/>
              <w:rPr>
                <w:rFonts w:asciiTheme="minorHAnsi" w:hAnsiTheme="minorHAnsi" w:cs="Arial"/>
                <w:b/>
                <w:sz w:val="20"/>
                <w:szCs w:val="20"/>
              </w:rPr>
            </w:pPr>
            <w:r w:rsidRPr="00567D48">
              <w:rPr>
                <w:rFonts w:asciiTheme="minorHAnsi" w:hAnsiTheme="minorHAnsi" w:cs="Arial"/>
                <w:sz w:val="20"/>
                <w:szCs w:val="20"/>
              </w:rPr>
              <w:t xml:space="preserve">A request for one or more of the following: </w:t>
            </w:r>
          </w:p>
          <w:p w14:paraId="61CDD5EA" w14:textId="77777777" w:rsidR="007F48F6" w:rsidRPr="00567D48" w:rsidRDefault="007F48F6" w:rsidP="005B583D">
            <w:pPr>
              <w:pStyle w:val="ListParagraph"/>
              <w:numPr>
                <w:ilvl w:val="0"/>
                <w:numId w:val="4"/>
              </w:numPr>
              <w:autoSpaceDE w:val="0"/>
              <w:autoSpaceDN w:val="0"/>
              <w:adjustRightInd w:val="0"/>
              <w:ind w:left="360"/>
              <w:rPr>
                <w:rFonts w:asciiTheme="minorHAnsi" w:hAnsiTheme="minorHAnsi" w:cs="Arial"/>
                <w:b/>
                <w:color w:val="000000"/>
                <w:sz w:val="20"/>
                <w:szCs w:val="20"/>
              </w:rPr>
            </w:pPr>
            <w:r w:rsidRPr="00567D48">
              <w:rPr>
                <w:rFonts w:asciiTheme="minorHAnsi" w:hAnsiTheme="minorHAnsi" w:cs="Arial"/>
                <w:color w:val="000000"/>
                <w:sz w:val="20"/>
                <w:szCs w:val="20"/>
              </w:rPr>
              <w:t xml:space="preserve">Listing of a new pharmaceutical item of a listed medicine. </w:t>
            </w:r>
          </w:p>
          <w:p w14:paraId="30945A3C" w14:textId="77777777" w:rsidR="007F48F6" w:rsidRPr="00567D48" w:rsidRDefault="007F48F6" w:rsidP="005B583D">
            <w:pPr>
              <w:pStyle w:val="ListParagraph"/>
              <w:numPr>
                <w:ilvl w:val="0"/>
                <w:numId w:val="4"/>
              </w:numPr>
              <w:autoSpaceDE w:val="0"/>
              <w:autoSpaceDN w:val="0"/>
              <w:adjustRightInd w:val="0"/>
              <w:ind w:left="360"/>
              <w:rPr>
                <w:rFonts w:asciiTheme="minorHAnsi" w:hAnsiTheme="minorHAnsi" w:cs="Arial"/>
                <w:b/>
                <w:color w:val="000000"/>
                <w:sz w:val="20"/>
                <w:szCs w:val="20"/>
              </w:rPr>
            </w:pPr>
            <w:r w:rsidRPr="00567D48">
              <w:rPr>
                <w:rFonts w:asciiTheme="minorHAnsi" w:hAnsiTheme="minorHAnsi" w:cs="Arial"/>
                <w:color w:val="000000"/>
                <w:sz w:val="20"/>
                <w:szCs w:val="20"/>
              </w:rPr>
              <w:t xml:space="preserve">Consideration as an exempt item (Exempt item as per subsection 84AH of the </w:t>
            </w:r>
            <w:r w:rsidRPr="00567D48">
              <w:rPr>
                <w:rFonts w:asciiTheme="minorHAnsi" w:hAnsiTheme="minorHAnsi" w:cs="Arial"/>
                <w:i/>
                <w:iCs/>
                <w:color w:val="000000"/>
                <w:sz w:val="20"/>
                <w:szCs w:val="20"/>
              </w:rPr>
              <w:t>National Health Act 1953</w:t>
            </w:r>
            <w:r w:rsidRPr="00567D48">
              <w:rPr>
                <w:rFonts w:asciiTheme="minorHAnsi" w:hAnsiTheme="minorHAnsi" w:cs="Arial"/>
                <w:color w:val="000000"/>
                <w:sz w:val="20"/>
                <w:szCs w:val="20"/>
              </w:rPr>
              <w:t xml:space="preserve">). </w:t>
            </w:r>
          </w:p>
          <w:p w14:paraId="46567CAC" w14:textId="77777777" w:rsidR="007F48F6" w:rsidRPr="00567D48" w:rsidRDefault="007F48F6" w:rsidP="005B583D">
            <w:pPr>
              <w:pStyle w:val="ListParagraph"/>
              <w:numPr>
                <w:ilvl w:val="0"/>
                <w:numId w:val="4"/>
              </w:numPr>
              <w:autoSpaceDE w:val="0"/>
              <w:autoSpaceDN w:val="0"/>
              <w:adjustRightInd w:val="0"/>
              <w:ind w:left="360"/>
              <w:rPr>
                <w:rFonts w:asciiTheme="minorHAnsi" w:hAnsiTheme="minorHAnsi" w:cs="Arial"/>
                <w:b/>
                <w:color w:val="000000"/>
                <w:sz w:val="20"/>
                <w:szCs w:val="20"/>
              </w:rPr>
            </w:pPr>
            <w:r w:rsidRPr="00567D48">
              <w:rPr>
                <w:rFonts w:asciiTheme="minorHAnsi" w:hAnsiTheme="minorHAnsi" w:cs="Arial"/>
                <w:sz w:val="20"/>
                <w:szCs w:val="20"/>
              </w:rPr>
              <w:t xml:space="preserve">Including a listed medicine on the prescriber bag, or varying an existing prescriber bag listing. </w:t>
            </w:r>
          </w:p>
          <w:p w14:paraId="7EF9BA42" w14:textId="77777777" w:rsidR="007F48F6" w:rsidRPr="00567D48" w:rsidRDefault="007F48F6" w:rsidP="005B583D">
            <w:pPr>
              <w:pStyle w:val="ListParagraph"/>
              <w:numPr>
                <w:ilvl w:val="0"/>
                <w:numId w:val="5"/>
              </w:numPr>
              <w:autoSpaceDE w:val="0"/>
              <w:autoSpaceDN w:val="0"/>
              <w:adjustRightInd w:val="0"/>
              <w:ind w:left="360"/>
              <w:rPr>
                <w:rFonts w:asciiTheme="minorHAnsi" w:hAnsiTheme="minorHAnsi" w:cs="Arial"/>
                <w:b/>
                <w:sz w:val="20"/>
                <w:szCs w:val="20"/>
              </w:rPr>
            </w:pPr>
            <w:r w:rsidRPr="00567D48">
              <w:rPr>
                <w:rFonts w:asciiTheme="minorHAnsi" w:hAnsiTheme="minorHAnsi" w:cs="Arial"/>
                <w:sz w:val="20"/>
                <w:szCs w:val="20"/>
              </w:rPr>
              <w:t xml:space="preserve">A change/new manner of administration of a listed medicine. </w:t>
            </w:r>
          </w:p>
          <w:p w14:paraId="4D6B65C5" w14:textId="77777777" w:rsidR="007F48F6" w:rsidRPr="00567D48" w:rsidRDefault="007F48F6" w:rsidP="005B583D">
            <w:pPr>
              <w:pStyle w:val="ListParagraph"/>
              <w:numPr>
                <w:ilvl w:val="0"/>
                <w:numId w:val="5"/>
              </w:numPr>
              <w:autoSpaceDE w:val="0"/>
              <w:autoSpaceDN w:val="0"/>
              <w:adjustRightInd w:val="0"/>
              <w:ind w:left="360"/>
              <w:rPr>
                <w:rFonts w:asciiTheme="minorHAnsi" w:hAnsiTheme="minorHAnsi" w:cs="Arial"/>
                <w:b/>
                <w:sz w:val="20"/>
                <w:szCs w:val="20"/>
              </w:rPr>
            </w:pPr>
            <w:r w:rsidRPr="00567D48">
              <w:rPr>
                <w:rFonts w:asciiTheme="minorHAnsi" w:hAnsiTheme="minorHAnsi" w:cs="Arial"/>
                <w:sz w:val="20"/>
                <w:szCs w:val="20"/>
              </w:rPr>
              <w:t xml:space="preserve">A change to the maximum quantity and/or number of repeats of a listed medicine. </w:t>
            </w:r>
          </w:p>
          <w:p w14:paraId="2C2C10B5" w14:textId="77777777" w:rsidR="007F48F6" w:rsidRPr="00567D48" w:rsidRDefault="007F48F6" w:rsidP="005B583D">
            <w:pPr>
              <w:pStyle w:val="ListParagraph"/>
              <w:numPr>
                <w:ilvl w:val="0"/>
                <w:numId w:val="5"/>
              </w:numPr>
              <w:autoSpaceDE w:val="0"/>
              <w:autoSpaceDN w:val="0"/>
              <w:adjustRightInd w:val="0"/>
              <w:ind w:left="360"/>
              <w:rPr>
                <w:rFonts w:asciiTheme="minorHAnsi" w:hAnsiTheme="minorHAnsi" w:cs="Arial"/>
                <w:b/>
                <w:sz w:val="20"/>
                <w:szCs w:val="20"/>
              </w:rPr>
            </w:pPr>
            <w:r w:rsidRPr="00567D48">
              <w:rPr>
                <w:rFonts w:asciiTheme="minorHAnsi" w:hAnsiTheme="minorHAnsi" w:cs="Arial"/>
                <w:sz w:val="20"/>
                <w:szCs w:val="20"/>
              </w:rPr>
              <w:t>A change or addition to the prescriber type(s) of a listed medicine.</w:t>
            </w:r>
          </w:p>
        </w:tc>
      </w:tr>
      <w:tr w:rsidR="009A1C75" w:rsidRPr="00567D48" w14:paraId="5129ECF2" w14:textId="77777777" w:rsidTr="009A1C75">
        <w:trPr>
          <w:trHeight w:val="1026"/>
        </w:trPr>
        <w:tc>
          <w:tcPr>
            <w:tcW w:w="1984" w:type="dxa"/>
          </w:tcPr>
          <w:p w14:paraId="4FD9FAAA" w14:textId="0063D706" w:rsidR="009A1C75" w:rsidRPr="00567D48" w:rsidRDefault="009A1C75" w:rsidP="005B583D">
            <w:pPr>
              <w:pStyle w:val="Default"/>
              <w:rPr>
                <w:rFonts w:asciiTheme="minorHAnsi" w:hAnsiTheme="minorHAnsi" w:cs="Arial"/>
                <w:sz w:val="20"/>
                <w:szCs w:val="20"/>
              </w:rPr>
            </w:pPr>
            <w:r w:rsidRPr="00567D48">
              <w:rPr>
                <w:rFonts w:asciiTheme="minorHAnsi" w:hAnsiTheme="minorHAnsi" w:cs="Arial"/>
                <w:b/>
                <w:sz w:val="20"/>
                <w:szCs w:val="20"/>
              </w:rPr>
              <w:t>Committee Secretariat</w:t>
            </w:r>
          </w:p>
        </w:tc>
        <w:tc>
          <w:tcPr>
            <w:tcW w:w="12474" w:type="dxa"/>
          </w:tcPr>
          <w:p w14:paraId="4E0E04D8" w14:textId="77777777" w:rsidR="009A1C75" w:rsidRPr="00567D48" w:rsidRDefault="009A1C75" w:rsidP="009A1C75">
            <w:pPr>
              <w:rPr>
                <w:rFonts w:asciiTheme="minorHAnsi" w:hAnsiTheme="minorHAnsi" w:cs="Arial"/>
                <w:color w:val="000000"/>
              </w:rPr>
            </w:pPr>
            <w:r w:rsidRPr="00567D48">
              <w:rPr>
                <w:rFonts w:asciiTheme="minorHAnsi" w:hAnsiTheme="minorHAnsi" w:cs="Arial"/>
                <w:color w:val="000000"/>
              </w:rPr>
              <w:t>Application is not in Categories 1, 2, 3 or 4 and requests for one or more of the following:</w:t>
            </w:r>
          </w:p>
          <w:p w14:paraId="0ADCA80A" w14:textId="77777777" w:rsidR="009A1C75" w:rsidRPr="00567D48" w:rsidRDefault="009A1C75" w:rsidP="009A1C75">
            <w:pPr>
              <w:pStyle w:val="ListParagraph"/>
              <w:numPr>
                <w:ilvl w:val="0"/>
                <w:numId w:val="8"/>
              </w:numPr>
              <w:rPr>
                <w:rFonts w:asciiTheme="minorHAnsi" w:eastAsia="Times New Roman" w:hAnsiTheme="minorHAnsi" w:cs="Arial"/>
                <w:sz w:val="20"/>
                <w:szCs w:val="20"/>
              </w:rPr>
            </w:pPr>
            <w:r w:rsidRPr="00567D48">
              <w:rPr>
                <w:rFonts w:asciiTheme="minorHAnsi" w:eastAsia="Times New Roman" w:hAnsiTheme="minorHAnsi" w:cs="Arial"/>
                <w:sz w:val="20"/>
                <w:szCs w:val="20"/>
              </w:rPr>
              <w:t>New or varied listed drugs, medicinal preparations and designated vaccines that pose no greater risk</w:t>
            </w:r>
          </w:p>
          <w:p w14:paraId="4E274BBE" w14:textId="47479696" w:rsidR="009A1C75" w:rsidRPr="00567D48" w:rsidRDefault="009A1C75" w:rsidP="009A1C75">
            <w:pPr>
              <w:pStyle w:val="ListParagraph"/>
              <w:numPr>
                <w:ilvl w:val="0"/>
                <w:numId w:val="8"/>
              </w:numPr>
              <w:rPr>
                <w:rFonts w:asciiTheme="minorHAnsi" w:eastAsia="Times New Roman" w:hAnsiTheme="minorHAnsi" w:cs="Arial"/>
                <w:sz w:val="20"/>
                <w:szCs w:val="20"/>
              </w:rPr>
            </w:pPr>
            <w:r w:rsidRPr="00567D48">
              <w:rPr>
                <w:rFonts w:asciiTheme="minorHAnsi" w:eastAsia="Times New Roman" w:hAnsiTheme="minorHAnsi" w:cs="Arial"/>
                <w:sz w:val="20"/>
                <w:szCs w:val="20"/>
              </w:rPr>
              <w:t>Pharmaceutical benefits that can no longer be supplied early</w:t>
            </w:r>
          </w:p>
          <w:p w14:paraId="78723A0D" w14:textId="4DE6AD96" w:rsidR="009A1C75" w:rsidRPr="00567D48" w:rsidRDefault="009A1C75" w:rsidP="009A1C75">
            <w:pPr>
              <w:pStyle w:val="ListParagraph"/>
              <w:numPr>
                <w:ilvl w:val="0"/>
                <w:numId w:val="8"/>
              </w:numPr>
              <w:rPr>
                <w:rFonts w:asciiTheme="minorHAnsi" w:eastAsia="Times New Roman" w:hAnsiTheme="minorHAnsi" w:cs="Arial"/>
                <w:sz w:val="20"/>
                <w:szCs w:val="20"/>
              </w:rPr>
            </w:pPr>
            <w:r w:rsidRPr="00567D48">
              <w:rPr>
                <w:rFonts w:asciiTheme="minorHAnsi" w:eastAsia="Times New Roman" w:hAnsiTheme="minorHAnsi" w:cs="Arial"/>
                <w:sz w:val="20"/>
                <w:szCs w:val="20"/>
              </w:rPr>
              <w:t>New brand of glucose indicator pharmaceutical item.</w:t>
            </w:r>
          </w:p>
        </w:tc>
      </w:tr>
    </w:tbl>
    <w:p w14:paraId="1A3326E0" w14:textId="77777777" w:rsidR="007F48F6" w:rsidRPr="00567D48" w:rsidRDefault="007F48F6" w:rsidP="00EF3B9C">
      <w:pPr>
        <w:rPr>
          <w:rFonts w:asciiTheme="minorHAnsi" w:hAnsiTheme="minorHAnsi" w:cs="Arial"/>
          <w:b/>
          <w:lang w:val="en-US"/>
        </w:rPr>
      </w:pPr>
    </w:p>
    <w:p w14:paraId="379497B6" w14:textId="77777777" w:rsidR="008D62B4" w:rsidRDefault="008D62B4">
      <w:pPr>
        <w:rPr>
          <w:rFonts w:asciiTheme="minorHAnsi" w:hAnsiTheme="minorHAnsi" w:cs="Arial"/>
          <w:b/>
          <w:lang w:val="en-US"/>
        </w:rPr>
      </w:pPr>
      <w:r>
        <w:rPr>
          <w:rFonts w:asciiTheme="minorHAnsi" w:hAnsiTheme="minorHAnsi" w:cs="Arial"/>
          <w:b/>
          <w:lang w:val="en-US"/>
        </w:rPr>
        <w:br w:type="page"/>
      </w:r>
    </w:p>
    <w:p w14:paraId="6CE3C41E" w14:textId="0367938F" w:rsidR="00640C80" w:rsidRPr="00567D48" w:rsidRDefault="005A0A21" w:rsidP="00EF3B9C">
      <w:pPr>
        <w:rPr>
          <w:rFonts w:asciiTheme="minorHAnsi" w:hAnsiTheme="minorHAnsi" w:cs="Arial"/>
          <w:b/>
          <w:lang w:val="en-US"/>
        </w:rPr>
      </w:pPr>
      <w:r w:rsidRPr="00567D48">
        <w:rPr>
          <w:rFonts w:asciiTheme="minorHAnsi" w:hAnsiTheme="minorHAnsi" w:cs="Arial"/>
          <w:b/>
          <w:lang w:val="en-US"/>
        </w:rPr>
        <w:lastRenderedPageBreak/>
        <w:t>Resubmission pathways</w:t>
      </w:r>
    </w:p>
    <w:p w14:paraId="025CE011" w14:textId="77777777" w:rsidR="005A0A21" w:rsidRPr="00567D48" w:rsidRDefault="005A0A21" w:rsidP="00640C80">
      <w:pPr>
        <w:tabs>
          <w:tab w:val="left" w:pos="5210"/>
        </w:tabs>
        <w:rPr>
          <w:rFonts w:asciiTheme="minorHAnsi" w:hAnsiTheme="minorHAnsi" w:cstheme="minorHAnsi"/>
          <w:b/>
          <w:lang w:val="en-US"/>
        </w:rPr>
      </w:pPr>
    </w:p>
    <w:tbl>
      <w:tblPr>
        <w:tblW w:w="4701" w:type="pct"/>
        <w:tblInd w:w="416" w:type="dxa"/>
        <w:tblCellMar>
          <w:left w:w="0" w:type="dxa"/>
          <w:right w:w="0" w:type="dxa"/>
        </w:tblCellMar>
        <w:tblLook w:val="04A0" w:firstRow="1" w:lastRow="0" w:firstColumn="1" w:lastColumn="0" w:noHBand="0" w:noVBand="1"/>
      </w:tblPr>
      <w:tblGrid>
        <w:gridCol w:w="2068"/>
        <w:gridCol w:w="12390"/>
      </w:tblGrid>
      <w:tr w:rsidR="004A3371" w:rsidRPr="00567D48" w14:paraId="1B32CA1F" w14:textId="77777777" w:rsidTr="00A159CA">
        <w:trPr>
          <w:cantSplit/>
        </w:trPr>
        <w:tc>
          <w:tcPr>
            <w:tcW w:w="14458" w:type="dxa"/>
            <w:gridSpan w:val="2"/>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16822E31" w14:textId="77777777" w:rsidR="004A3371" w:rsidRPr="00567D48" w:rsidRDefault="004A3371">
            <w:pPr>
              <w:rPr>
                <w:rFonts w:asciiTheme="minorHAnsi" w:hAnsiTheme="minorHAnsi" w:cs="Arial"/>
              </w:rPr>
            </w:pPr>
            <w:r w:rsidRPr="00567D48">
              <w:rPr>
                <w:rFonts w:asciiTheme="minorHAnsi" w:hAnsiTheme="minorHAnsi" w:cs="Arial"/>
                <w:color w:val="333333"/>
              </w:rPr>
              <w:t xml:space="preserve">*There are four different resubmission pathways available to applicants following a ‘not recommended’ PBAC outcome. Resubmission pathways are not available for submissions that receive a positive recommendation from the PBAC. </w:t>
            </w:r>
            <w:r w:rsidRPr="00567D48">
              <w:rPr>
                <w:rFonts w:asciiTheme="minorHAnsi" w:hAnsiTheme="minorHAnsi" w:cs="Arial"/>
              </w:rPr>
              <w:t>The resubmission pathways are classified into the following categories:</w:t>
            </w:r>
          </w:p>
        </w:tc>
      </w:tr>
      <w:tr w:rsidR="004A3371" w:rsidRPr="00567D48" w14:paraId="5A78A628" w14:textId="77777777" w:rsidTr="00A159CA">
        <w:trPr>
          <w:cantSplit/>
        </w:trPr>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14:paraId="0680C335" w14:textId="77777777" w:rsidR="004A3371" w:rsidRPr="00567D48" w:rsidRDefault="004A3371">
            <w:pPr>
              <w:spacing w:after="160" w:line="252" w:lineRule="auto"/>
              <w:contextualSpacing/>
              <w:rPr>
                <w:rFonts w:asciiTheme="minorHAnsi" w:hAnsiTheme="minorHAnsi" w:cs="Arial"/>
                <w:b/>
                <w:bCs/>
              </w:rPr>
            </w:pPr>
            <w:r w:rsidRPr="00567D48">
              <w:rPr>
                <w:rFonts w:asciiTheme="minorHAnsi" w:hAnsiTheme="minorHAnsi" w:cs="Arial"/>
                <w:b/>
                <w:bCs/>
              </w:rPr>
              <w:t>Standard re-entry</w:t>
            </w:r>
          </w:p>
          <w:p w14:paraId="14CD87B9" w14:textId="77777777" w:rsidR="004A3371" w:rsidRPr="00567D48" w:rsidRDefault="004A3371">
            <w:pPr>
              <w:spacing w:line="252" w:lineRule="auto"/>
              <w:rPr>
                <w:rFonts w:asciiTheme="minorHAnsi" w:hAnsiTheme="minorHAnsi" w:cs="Arial"/>
                <w:b/>
                <w:bCs/>
              </w:rPr>
            </w:pP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BDC71EA" w14:textId="77777777" w:rsidR="004A3371" w:rsidRPr="00567D48" w:rsidRDefault="004A3371">
            <w:pPr>
              <w:autoSpaceDE w:val="0"/>
              <w:autoSpaceDN w:val="0"/>
              <w:rPr>
                <w:rFonts w:asciiTheme="minorHAnsi" w:hAnsiTheme="minorHAnsi" w:cs="Arial"/>
                <w:color w:val="000000"/>
              </w:rPr>
            </w:pPr>
            <w:r w:rsidRPr="00567D48">
              <w:rPr>
                <w:rFonts w:asciiTheme="minorHAnsi" w:hAnsiTheme="minorHAnsi" w:cs="Arial"/>
                <w:color w:val="000000"/>
              </w:rPr>
              <w:t xml:space="preserve">The Standard Re-entry Pathway is the default pathway for resubmissions </w:t>
            </w:r>
            <w:proofErr w:type="gramStart"/>
            <w:r w:rsidRPr="00567D48">
              <w:rPr>
                <w:rFonts w:asciiTheme="minorHAnsi" w:hAnsiTheme="minorHAnsi" w:cs="Arial"/>
                <w:color w:val="000000"/>
              </w:rPr>
              <w:t>and also</w:t>
            </w:r>
            <w:proofErr w:type="gramEnd"/>
            <w:r w:rsidRPr="00567D48">
              <w:rPr>
                <w:rFonts w:asciiTheme="minorHAnsi" w:hAnsiTheme="minorHAnsi" w:cs="Arial"/>
                <w:color w:val="000000"/>
              </w:rPr>
              <w:t xml:space="preserve"> applies where: </w:t>
            </w:r>
          </w:p>
          <w:p w14:paraId="430AF034" w14:textId="77777777" w:rsidR="004A3371" w:rsidRPr="00567D48" w:rsidRDefault="004A3371" w:rsidP="00461045">
            <w:pPr>
              <w:pStyle w:val="ListParagraph"/>
              <w:numPr>
                <w:ilvl w:val="0"/>
                <w:numId w:val="1"/>
              </w:numPr>
              <w:autoSpaceDE w:val="0"/>
              <w:autoSpaceDN w:val="0"/>
              <w:contextualSpacing w:val="0"/>
              <w:rPr>
                <w:rFonts w:asciiTheme="minorHAnsi" w:hAnsiTheme="minorHAnsi" w:cs="Arial"/>
                <w:color w:val="000000"/>
                <w:sz w:val="20"/>
                <w:szCs w:val="20"/>
              </w:rPr>
            </w:pPr>
            <w:r w:rsidRPr="00567D48">
              <w:rPr>
                <w:rFonts w:asciiTheme="minorHAnsi" w:hAnsiTheme="minorHAnsi" w:cs="Arial"/>
                <w:color w:val="000000"/>
                <w:sz w:val="20"/>
                <w:szCs w:val="20"/>
              </w:rPr>
              <w:t xml:space="preserve">an applicant chooses not to accept the PBAC nominated resubmission pathway; or </w:t>
            </w:r>
          </w:p>
          <w:p w14:paraId="15ADDEB3" w14:textId="3C3608FE" w:rsidR="004A3371" w:rsidRPr="00567D48" w:rsidRDefault="004A3371" w:rsidP="00461045">
            <w:pPr>
              <w:pStyle w:val="ListParagraph"/>
              <w:numPr>
                <w:ilvl w:val="0"/>
                <w:numId w:val="1"/>
              </w:numPr>
              <w:autoSpaceDE w:val="0"/>
              <w:autoSpaceDN w:val="0"/>
              <w:contextualSpacing w:val="0"/>
              <w:rPr>
                <w:rFonts w:asciiTheme="minorHAnsi" w:hAnsiTheme="minorHAnsi" w:cs="Arial"/>
                <w:color w:val="000000"/>
                <w:sz w:val="20"/>
                <w:szCs w:val="20"/>
              </w:rPr>
            </w:pPr>
            <w:r w:rsidRPr="00567D48">
              <w:rPr>
                <w:rFonts w:asciiTheme="minorHAnsi" w:hAnsiTheme="minorHAnsi" w:cs="Arial"/>
                <w:color w:val="000000"/>
                <w:sz w:val="20"/>
                <w:szCs w:val="20"/>
              </w:rPr>
              <w:t xml:space="preserve">an Early Re-entry or Early Resolution Pathway has been nominated by the PBAC and an applicant decides to address issues other than those identified by the PBAC (including a subset of issues); or </w:t>
            </w:r>
          </w:p>
          <w:p w14:paraId="4A452A68" w14:textId="4740DC48" w:rsidR="004A3371" w:rsidRPr="00567D48" w:rsidRDefault="004A3371" w:rsidP="00461045">
            <w:pPr>
              <w:pStyle w:val="ListParagraph"/>
              <w:numPr>
                <w:ilvl w:val="0"/>
                <w:numId w:val="1"/>
              </w:numPr>
              <w:autoSpaceDE w:val="0"/>
              <w:autoSpaceDN w:val="0"/>
              <w:contextualSpacing w:val="0"/>
              <w:rPr>
                <w:rFonts w:asciiTheme="minorHAnsi" w:hAnsiTheme="minorHAnsi" w:cs="Arial"/>
                <w:color w:val="000000"/>
                <w:sz w:val="20"/>
                <w:szCs w:val="20"/>
              </w:rPr>
            </w:pPr>
            <w:r w:rsidRPr="00567D48">
              <w:rPr>
                <w:rFonts w:asciiTheme="minorHAnsi" w:hAnsiTheme="minorHAnsi" w:cs="Arial"/>
                <w:color w:val="000000"/>
                <w:sz w:val="20"/>
                <w:szCs w:val="20"/>
              </w:rPr>
              <w:t xml:space="preserve">an applicant decides to lodge later than the allowable timelines for the other pathways. </w:t>
            </w:r>
          </w:p>
        </w:tc>
      </w:tr>
      <w:tr w:rsidR="004A3371" w:rsidRPr="00567D48" w14:paraId="46BDFCAF" w14:textId="77777777" w:rsidTr="00A159CA">
        <w:trPr>
          <w:cantSplit/>
        </w:trPr>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618B2638" w14:textId="77777777" w:rsidR="004A3371" w:rsidRPr="00567D48" w:rsidRDefault="004A3371">
            <w:pPr>
              <w:spacing w:after="160" w:line="252" w:lineRule="auto"/>
              <w:contextualSpacing/>
              <w:rPr>
                <w:rFonts w:asciiTheme="minorHAnsi" w:hAnsiTheme="minorHAnsi" w:cs="Arial"/>
                <w:b/>
                <w:bCs/>
                <w:lang w:eastAsia="en-US"/>
              </w:rPr>
            </w:pPr>
            <w:r w:rsidRPr="00567D48">
              <w:rPr>
                <w:rFonts w:asciiTheme="minorHAnsi" w:hAnsiTheme="minorHAnsi" w:cs="Arial"/>
                <w:b/>
                <w:bCs/>
              </w:rPr>
              <w:t>Early re-entry pathway</w:t>
            </w: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32461C72" w14:textId="77777777" w:rsidR="004A3371" w:rsidRPr="00567D48" w:rsidRDefault="004A3371">
            <w:pPr>
              <w:spacing w:after="160" w:line="252" w:lineRule="auto"/>
              <w:contextualSpacing/>
              <w:rPr>
                <w:rFonts w:asciiTheme="minorHAnsi" w:hAnsiTheme="minorHAnsi" w:cs="Arial"/>
                <w:color w:val="000000"/>
              </w:rPr>
            </w:pPr>
            <w:r w:rsidRPr="00567D48">
              <w:rPr>
                <w:rFonts w:asciiTheme="minorHAnsi" w:hAnsiTheme="minorHAnsi" w:cs="Arial"/>
              </w:rPr>
              <w:t>An Early Re-entry Pathway may be nominated by the PBAC where the PBAC considers that the remaining issues could be easily resolved and the medicine or vaccine does not represent HATV for the proposed population. Applicants who accept this pathway are eligible for PBAC consideration at the immediate next meeting.</w:t>
            </w:r>
          </w:p>
        </w:tc>
      </w:tr>
      <w:tr w:rsidR="004A3371" w:rsidRPr="00567D48" w14:paraId="1A2475F2" w14:textId="77777777" w:rsidTr="00A159CA">
        <w:trPr>
          <w:cantSplit/>
        </w:trPr>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14:paraId="0193930E" w14:textId="77777777" w:rsidR="004A3371" w:rsidRPr="00567D48" w:rsidRDefault="004A3371">
            <w:pPr>
              <w:spacing w:line="252" w:lineRule="auto"/>
              <w:rPr>
                <w:rFonts w:asciiTheme="minorHAnsi" w:hAnsiTheme="minorHAnsi" w:cs="Arial"/>
                <w:b/>
                <w:bCs/>
                <w:lang w:eastAsia="en-US"/>
              </w:rPr>
            </w:pPr>
            <w:r w:rsidRPr="00567D48">
              <w:rPr>
                <w:rFonts w:asciiTheme="minorHAnsi" w:hAnsiTheme="minorHAnsi" w:cs="Arial"/>
                <w:b/>
                <w:bCs/>
              </w:rPr>
              <w:t>Early resolution pathway</w:t>
            </w:r>
          </w:p>
          <w:p w14:paraId="157D2C85" w14:textId="77777777" w:rsidR="004A3371" w:rsidRPr="00567D48" w:rsidRDefault="004A3371">
            <w:pPr>
              <w:rPr>
                <w:rFonts w:asciiTheme="minorHAnsi" w:hAnsiTheme="minorHAnsi" w:cs="Arial"/>
              </w:rPr>
            </w:pP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7E21B924" w14:textId="77777777" w:rsidR="004A3371" w:rsidRPr="00567D48" w:rsidRDefault="004A3371">
            <w:pPr>
              <w:autoSpaceDE w:val="0"/>
              <w:autoSpaceDN w:val="0"/>
              <w:rPr>
                <w:rFonts w:asciiTheme="minorHAnsi" w:hAnsiTheme="minorHAnsi" w:cs="Arial"/>
                <w:color w:val="000000"/>
              </w:rPr>
            </w:pPr>
            <w:r w:rsidRPr="00567D48">
              <w:rPr>
                <w:rFonts w:asciiTheme="minorHAnsi" w:hAnsiTheme="minorHAnsi" w:cs="Arial"/>
                <w:color w:val="000000"/>
              </w:rPr>
              <w:t xml:space="preserve">For medicines or vaccines deemed by the PBAC to represent High Added Therapeutic Value (HATV) AND where the PBAC considers that the remaining issues could be easily resolved, including when: </w:t>
            </w:r>
          </w:p>
          <w:p w14:paraId="6EC882B7" w14:textId="77777777" w:rsidR="004A3371" w:rsidRPr="00567D48" w:rsidRDefault="004A3371" w:rsidP="00461045">
            <w:pPr>
              <w:pStyle w:val="ListParagraph"/>
              <w:numPr>
                <w:ilvl w:val="0"/>
                <w:numId w:val="2"/>
              </w:numPr>
              <w:autoSpaceDE w:val="0"/>
              <w:autoSpaceDN w:val="0"/>
              <w:contextualSpacing w:val="0"/>
              <w:rPr>
                <w:rFonts w:asciiTheme="minorHAnsi" w:hAnsiTheme="minorHAnsi" w:cs="Arial"/>
                <w:color w:val="000000"/>
                <w:sz w:val="20"/>
                <w:szCs w:val="20"/>
              </w:rPr>
            </w:pPr>
            <w:r w:rsidRPr="00567D48">
              <w:rPr>
                <w:rFonts w:asciiTheme="minorHAnsi" w:hAnsiTheme="minorHAnsi" w:cs="Arial"/>
                <w:color w:val="000000"/>
                <w:sz w:val="20"/>
                <w:szCs w:val="20"/>
              </w:rPr>
              <w:t xml:space="preserve">new clinical study data requiring evaluation is not considered necessary by the PBAC to support new clinical claims to be made in the resubmission; and </w:t>
            </w:r>
          </w:p>
          <w:p w14:paraId="1D4B869E" w14:textId="77777777" w:rsidR="004A3371" w:rsidRPr="00567D48" w:rsidRDefault="004A3371" w:rsidP="00461045">
            <w:pPr>
              <w:pStyle w:val="ListParagraph"/>
              <w:numPr>
                <w:ilvl w:val="0"/>
                <w:numId w:val="2"/>
              </w:numPr>
              <w:autoSpaceDE w:val="0"/>
              <w:autoSpaceDN w:val="0"/>
              <w:spacing w:after="120"/>
              <w:contextualSpacing w:val="0"/>
              <w:rPr>
                <w:rFonts w:asciiTheme="minorHAnsi" w:hAnsiTheme="minorHAnsi" w:cs="Arial"/>
                <w:color w:val="000000"/>
                <w:sz w:val="20"/>
                <w:szCs w:val="20"/>
              </w:rPr>
            </w:pPr>
            <w:r w:rsidRPr="00567D48">
              <w:rPr>
                <w:rFonts w:asciiTheme="minorHAnsi" w:hAnsiTheme="minorHAnsi" w:cs="Arial"/>
                <w:color w:val="000000"/>
                <w:sz w:val="20"/>
                <w:szCs w:val="20"/>
              </w:rPr>
              <w:t xml:space="preserve">a revised model structure or input variable changes (beyond those specified by the PBAC) are not necessary to support any new economic claims, or to estimate the utilisation and financial impacts to be made in the resubmission. </w:t>
            </w:r>
          </w:p>
          <w:p w14:paraId="757810AB" w14:textId="77777777" w:rsidR="004A3371" w:rsidRPr="00567D48" w:rsidRDefault="004A3371">
            <w:pPr>
              <w:pStyle w:val="NormalWeb"/>
              <w:spacing w:before="0" w:beforeAutospacing="0" w:after="0" w:afterAutospacing="0"/>
              <w:rPr>
                <w:rFonts w:asciiTheme="minorHAnsi" w:hAnsiTheme="minorHAnsi" w:cs="Arial"/>
                <w:sz w:val="20"/>
                <w:szCs w:val="20"/>
              </w:rPr>
            </w:pPr>
            <w:r w:rsidRPr="00567D48">
              <w:rPr>
                <w:rFonts w:asciiTheme="minorHAnsi" w:hAnsiTheme="minorHAnsi" w:cs="Arial"/>
                <w:sz w:val="20"/>
                <w:szCs w:val="20"/>
              </w:rPr>
              <w:t xml:space="preserve">Applicants who accept this pathway are eligible for PBAC consideration out-of-session (before the main meeting), unless the department, in consultation with the PBAC Chair, identifies an unexpected issue such that the resubmission needs consideration at the next main PBAC meeting. </w:t>
            </w:r>
          </w:p>
        </w:tc>
      </w:tr>
      <w:tr w:rsidR="004A3371" w:rsidRPr="00567D48" w14:paraId="1CF59836" w14:textId="77777777" w:rsidTr="00A159CA">
        <w:trPr>
          <w:cantSplit/>
        </w:trPr>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03CD8847" w14:textId="77777777" w:rsidR="004A3371" w:rsidRPr="00567D48" w:rsidRDefault="004A3371">
            <w:pPr>
              <w:rPr>
                <w:rFonts w:asciiTheme="minorHAnsi" w:hAnsiTheme="minorHAnsi" w:cs="Arial"/>
              </w:rPr>
            </w:pPr>
            <w:r w:rsidRPr="00567D48">
              <w:rPr>
                <w:rFonts w:asciiTheme="minorHAnsi" w:hAnsiTheme="minorHAnsi" w:cs="Arial"/>
                <w:b/>
                <w:bCs/>
              </w:rPr>
              <w:t>Facilitated resolution pathway</w:t>
            </w: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7EF1CA94" w14:textId="77777777" w:rsidR="004A3371" w:rsidRPr="00567D48" w:rsidRDefault="004A3371">
            <w:pPr>
              <w:autoSpaceDE w:val="0"/>
              <w:autoSpaceDN w:val="0"/>
              <w:rPr>
                <w:rFonts w:asciiTheme="minorHAnsi" w:hAnsiTheme="minorHAnsi" w:cs="Arial"/>
                <w:b/>
                <w:bCs/>
                <w:highlight w:val="green"/>
              </w:rPr>
            </w:pPr>
            <w:r w:rsidRPr="00567D48">
              <w:rPr>
                <w:rFonts w:asciiTheme="minorHAnsi" w:hAnsiTheme="minorHAnsi" w:cs="Arial"/>
                <w:color w:val="000000"/>
              </w:rPr>
              <w:t>A Facilitated Resolution Pathway may be nominated by the PBAC where the PBAC considers the issues for resolution could be explored through a workshop AND where the medicine or vaccine meets the HATV criteria. Applicants who accept this pathway are eligible for a solution-focussed workshop with one or more members of the PBAC. The workshop agenda will be based on the issues for resolution outlined in the PBAC Minutes. This can be further clarified during the post-PBAC meeting with the Chair.</w:t>
            </w:r>
          </w:p>
        </w:tc>
      </w:tr>
    </w:tbl>
    <w:p w14:paraId="4455E1A3" w14:textId="4F2BEE75" w:rsidR="00AD3477" w:rsidRDefault="00AD3477" w:rsidP="004A3371">
      <w:pPr>
        <w:tabs>
          <w:tab w:val="left" w:pos="5210"/>
        </w:tabs>
        <w:rPr>
          <w:rFonts w:asciiTheme="minorHAnsi" w:hAnsiTheme="minorHAnsi" w:cstheme="minorHAnsi"/>
          <w:sz w:val="18"/>
          <w:szCs w:val="18"/>
          <w:lang w:val="en-US"/>
        </w:rPr>
      </w:pPr>
    </w:p>
    <w:p w14:paraId="6C9BA0D5" w14:textId="77777777" w:rsidR="00461045" w:rsidRPr="001D4E5E" w:rsidRDefault="00461045" w:rsidP="004A3371">
      <w:pPr>
        <w:tabs>
          <w:tab w:val="left" w:pos="5210"/>
        </w:tabs>
        <w:rPr>
          <w:rFonts w:asciiTheme="minorHAnsi" w:hAnsiTheme="minorHAnsi" w:cstheme="minorHAnsi"/>
          <w:sz w:val="18"/>
          <w:szCs w:val="18"/>
          <w:lang w:val="en-US"/>
        </w:rPr>
      </w:pPr>
    </w:p>
    <w:sectPr w:rsidR="00461045" w:rsidRPr="001D4E5E" w:rsidSect="00257615">
      <w:headerReference w:type="default" r:id="rId9"/>
      <w:footerReference w:type="even" r:id="rId10"/>
      <w:footerReference w:type="default" r:id="rId11"/>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F910F" w14:textId="77777777" w:rsidR="00CA4E3C" w:rsidRDefault="00CA4E3C">
      <w:r>
        <w:separator/>
      </w:r>
    </w:p>
  </w:endnote>
  <w:endnote w:type="continuationSeparator" w:id="0">
    <w:p w14:paraId="0B94B43F" w14:textId="77777777" w:rsidR="00CA4E3C" w:rsidRDefault="00CA4E3C">
      <w:r>
        <w:continuationSeparator/>
      </w:r>
    </w:p>
  </w:endnote>
  <w:endnote w:type="continuationNotice" w:id="1">
    <w:p w14:paraId="340BFECE" w14:textId="77777777" w:rsidR="00CA4E3C" w:rsidRDefault="00CA4E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67BCB" w14:textId="77777777" w:rsidR="00CA4E3C" w:rsidRDefault="00CA4E3C"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481329" w14:textId="77777777" w:rsidR="00CA4E3C" w:rsidRDefault="00CA4E3C"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9180A" w14:textId="5E3AFE6F" w:rsidR="00CA4E3C" w:rsidRPr="00287C89" w:rsidRDefault="00CA4E3C"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Pr>
        <w:rStyle w:val="PageNumber"/>
        <w:rFonts w:ascii="Arial" w:hAnsi="Arial" w:cs="Arial"/>
        <w:noProof/>
      </w:rPr>
      <w:t>65</w:t>
    </w:r>
    <w:r w:rsidRPr="00287C89">
      <w:rPr>
        <w:rStyle w:val="PageNumber"/>
        <w:rFonts w:ascii="Arial" w:hAnsi="Arial" w:cs="Arial"/>
      </w:rPr>
      <w:fldChar w:fldCharType="end"/>
    </w:r>
  </w:p>
  <w:p w14:paraId="5DEC0542" w14:textId="77777777" w:rsidR="00CA4E3C" w:rsidRDefault="00CA4E3C" w:rsidP="00FE2A81">
    <w:pPr>
      <w:pStyle w:val="Footer"/>
      <w:ind w:right="360"/>
    </w:pPr>
  </w:p>
  <w:p w14:paraId="429295B6" w14:textId="77777777" w:rsidR="00CA4E3C" w:rsidRDefault="00CA4E3C" w:rsidP="00FE2A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1AF80" w14:textId="77777777" w:rsidR="00CA4E3C" w:rsidRDefault="00CA4E3C">
      <w:r>
        <w:separator/>
      </w:r>
    </w:p>
  </w:footnote>
  <w:footnote w:type="continuationSeparator" w:id="0">
    <w:p w14:paraId="7F846E8F" w14:textId="77777777" w:rsidR="00CA4E3C" w:rsidRDefault="00CA4E3C">
      <w:r>
        <w:continuationSeparator/>
      </w:r>
    </w:p>
  </w:footnote>
  <w:footnote w:type="continuationNotice" w:id="1">
    <w:p w14:paraId="70FA89B9" w14:textId="77777777" w:rsidR="00CA4E3C" w:rsidRDefault="00CA4E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86D89" w14:textId="77777777" w:rsidR="00CA4E3C" w:rsidRPr="00571206" w:rsidRDefault="00CA4E3C" w:rsidP="00571206">
    <w:pPr>
      <w:autoSpaceDE w:val="0"/>
      <w:autoSpaceDN w:val="0"/>
      <w:adjustRightInd w:val="0"/>
      <w:rPr>
        <w:rFonts w:ascii="Arial" w:hAnsi="Arial" w:cs="Arial"/>
        <w:color w:val="000000"/>
        <w:sz w:val="24"/>
        <w:szCs w:val="24"/>
      </w:rPr>
    </w:pPr>
  </w:p>
  <w:p w14:paraId="117035EF" w14:textId="1E14CCFB" w:rsidR="00CA4E3C" w:rsidRDefault="00CA4E3C" w:rsidP="00571206">
    <w:pPr>
      <w:pStyle w:val="Header"/>
      <w:jc w:val="center"/>
      <w:rPr>
        <w:rFonts w:ascii="Arial" w:hAnsi="Arial" w:cs="Arial"/>
        <w:b/>
      </w:rPr>
    </w:pPr>
    <w:r w:rsidRPr="00571206">
      <w:rPr>
        <w:rFonts w:ascii="Arial" w:hAnsi="Arial" w:cs="Arial"/>
        <w:color w:val="000000"/>
        <w:sz w:val="24"/>
        <w:szCs w:val="24"/>
      </w:rPr>
      <w:t xml:space="preserve"> </w:t>
    </w:r>
    <w:r w:rsidRPr="00571206">
      <w:rPr>
        <w:rFonts w:ascii="Arial" w:hAnsi="Arial" w:cs="Arial"/>
        <w:b/>
        <w:bCs/>
        <w:color w:val="000000"/>
      </w:rPr>
      <w:t xml:space="preserve">PHARMACEUTICAL BENEFITS ADVISORY COMMITTEE (PBAC) MEETING </w:t>
    </w:r>
    <w:r w:rsidRPr="0071356F">
      <w:rPr>
        <w:rFonts w:ascii="Arial" w:hAnsi="Arial" w:cs="Arial"/>
        <w:b/>
      </w:rPr>
      <w:t>OUTCOMES</w:t>
    </w:r>
  </w:p>
  <w:p w14:paraId="69737A53" w14:textId="01E9A0B1" w:rsidR="00CA4E3C" w:rsidRDefault="00CA4E3C" w:rsidP="00571206">
    <w:pPr>
      <w:pStyle w:val="Header"/>
      <w:jc w:val="center"/>
      <w:rPr>
        <w:rFonts w:ascii="Arial" w:hAnsi="Arial" w:cs="Arial"/>
        <w:b/>
      </w:rPr>
    </w:pPr>
    <w:r>
      <w:rPr>
        <w:rFonts w:ascii="Arial" w:hAnsi="Arial" w:cs="Arial"/>
        <w:b/>
      </w:rPr>
      <w:t>MARCH 2022 PBAC MEETING</w:t>
    </w:r>
  </w:p>
  <w:p w14:paraId="0E28AC1B" w14:textId="77777777" w:rsidR="00CA4E3C" w:rsidRPr="0071356F" w:rsidRDefault="00CA4E3C" w:rsidP="0071356F">
    <w:pPr>
      <w:pStyle w:val="Header"/>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75F17"/>
    <w:multiLevelType w:val="hybridMultilevel"/>
    <w:tmpl w:val="A22AC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AF4823"/>
    <w:multiLevelType w:val="hybridMultilevel"/>
    <w:tmpl w:val="A2EEF776"/>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D30749"/>
    <w:multiLevelType w:val="hybridMultilevel"/>
    <w:tmpl w:val="33ACD6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4F0D99"/>
    <w:multiLevelType w:val="hybridMultilevel"/>
    <w:tmpl w:val="3110C4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6CF0056"/>
    <w:multiLevelType w:val="hybridMultilevel"/>
    <w:tmpl w:val="A4142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233" w:hanging="360"/>
      </w:pPr>
      <w:rPr>
        <w:rFonts w:ascii="Courier New" w:hAnsi="Courier New" w:cs="Courier New" w:hint="default"/>
      </w:rPr>
    </w:lvl>
    <w:lvl w:ilvl="2" w:tplc="0C090005" w:tentative="1">
      <w:start w:val="1"/>
      <w:numFmt w:val="bullet"/>
      <w:lvlText w:val=""/>
      <w:lvlJc w:val="left"/>
      <w:pPr>
        <w:ind w:left="1953" w:hanging="360"/>
      </w:pPr>
      <w:rPr>
        <w:rFonts w:ascii="Wingdings" w:hAnsi="Wingdings" w:hint="default"/>
      </w:rPr>
    </w:lvl>
    <w:lvl w:ilvl="3" w:tplc="0C090001" w:tentative="1">
      <w:start w:val="1"/>
      <w:numFmt w:val="bullet"/>
      <w:lvlText w:val=""/>
      <w:lvlJc w:val="left"/>
      <w:pPr>
        <w:ind w:left="2673" w:hanging="360"/>
      </w:pPr>
      <w:rPr>
        <w:rFonts w:ascii="Symbol" w:hAnsi="Symbol" w:hint="default"/>
      </w:rPr>
    </w:lvl>
    <w:lvl w:ilvl="4" w:tplc="0C090003" w:tentative="1">
      <w:start w:val="1"/>
      <w:numFmt w:val="bullet"/>
      <w:lvlText w:val="o"/>
      <w:lvlJc w:val="left"/>
      <w:pPr>
        <w:ind w:left="3393" w:hanging="360"/>
      </w:pPr>
      <w:rPr>
        <w:rFonts w:ascii="Courier New" w:hAnsi="Courier New" w:cs="Courier New" w:hint="default"/>
      </w:rPr>
    </w:lvl>
    <w:lvl w:ilvl="5" w:tplc="0C090005" w:tentative="1">
      <w:start w:val="1"/>
      <w:numFmt w:val="bullet"/>
      <w:lvlText w:val=""/>
      <w:lvlJc w:val="left"/>
      <w:pPr>
        <w:ind w:left="4113" w:hanging="360"/>
      </w:pPr>
      <w:rPr>
        <w:rFonts w:ascii="Wingdings" w:hAnsi="Wingdings" w:hint="default"/>
      </w:rPr>
    </w:lvl>
    <w:lvl w:ilvl="6" w:tplc="0C090001" w:tentative="1">
      <w:start w:val="1"/>
      <w:numFmt w:val="bullet"/>
      <w:lvlText w:val=""/>
      <w:lvlJc w:val="left"/>
      <w:pPr>
        <w:ind w:left="4833" w:hanging="360"/>
      </w:pPr>
      <w:rPr>
        <w:rFonts w:ascii="Symbol" w:hAnsi="Symbol" w:hint="default"/>
      </w:rPr>
    </w:lvl>
    <w:lvl w:ilvl="7" w:tplc="0C090003" w:tentative="1">
      <w:start w:val="1"/>
      <w:numFmt w:val="bullet"/>
      <w:lvlText w:val="o"/>
      <w:lvlJc w:val="left"/>
      <w:pPr>
        <w:ind w:left="5553" w:hanging="360"/>
      </w:pPr>
      <w:rPr>
        <w:rFonts w:ascii="Courier New" w:hAnsi="Courier New" w:cs="Courier New" w:hint="default"/>
      </w:rPr>
    </w:lvl>
    <w:lvl w:ilvl="8" w:tplc="0C090005" w:tentative="1">
      <w:start w:val="1"/>
      <w:numFmt w:val="bullet"/>
      <w:lvlText w:val=""/>
      <w:lvlJc w:val="left"/>
      <w:pPr>
        <w:ind w:left="6273" w:hanging="360"/>
      </w:pPr>
      <w:rPr>
        <w:rFonts w:ascii="Wingdings" w:hAnsi="Wingdings" w:hint="default"/>
      </w:rPr>
    </w:lvl>
  </w:abstractNum>
  <w:abstractNum w:abstractNumId="5" w15:restartNumberingAfterBreak="0">
    <w:nsid w:val="2AFD6A05"/>
    <w:multiLevelType w:val="hybridMultilevel"/>
    <w:tmpl w:val="34949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112398F"/>
    <w:multiLevelType w:val="hybridMultilevel"/>
    <w:tmpl w:val="181C3B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4393A4C"/>
    <w:multiLevelType w:val="hybridMultilevel"/>
    <w:tmpl w:val="8DAC99CE"/>
    <w:lvl w:ilvl="0" w:tplc="EDC895E8">
      <w:start w:val="1"/>
      <w:numFmt w:val="decimal"/>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5D563AF"/>
    <w:multiLevelType w:val="hybridMultilevel"/>
    <w:tmpl w:val="590237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DC32C2"/>
    <w:multiLevelType w:val="hybridMultilevel"/>
    <w:tmpl w:val="A8904258"/>
    <w:lvl w:ilvl="0" w:tplc="3A82E9D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AE3FE6"/>
    <w:multiLevelType w:val="hybridMultilevel"/>
    <w:tmpl w:val="1BBEC0E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3D203BCA"/>
    <w:multiLevelType w:val="hybridMultilevel"/>
    <w:tmpl w:val="180284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E3B13B7"/>
    <w:multiLevelType w:val="hybridMultilevel"/>
    <w:tmpl w:val="D6B45E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F8756C8"/>
    <w:multiLevelType w:val="hybridMultilevel"/>
    <w:tmpl w:val="8DAC99CE"/>
    <w:lvl w:ilvl="0" w:tplc="EDC895E8">
      <w:start w:val="1"/>
      <w:numFmt w:val="decimal"/>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92B2D4C"/>
    <w:multiLevelType w:val="multilevel"/>
    <w:tmpl w:val="34F04474"/>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17" w15:restartNumberingAfterBreak="0">
    <w:nsid w:val="4DA92195"/>
    <w:multiLevelType w:val="multilevel"/>
    <w:tmpl w:val="E1CE3240"/>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18" w15:restartNumberingAfterBreak="0">
    <w:nsid w:val="51BE2DB8"/>
    <w:multiLevelType w:val="hybridMultilevel"/>
    <w:tmpl w:val="73285FE6"/>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9" w15:restartNumberingAfterBreak="0">
    <w:nsid w:val="57C97701"/>
    <w:multiLevelType w:val="hybridMultilevel"/>
    <w:tmpl w:val="522A98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9DD1F31"/>
    <w:multiLevelType w:val="hybridMultilevel"/>
    <w:tmpl w:val="979EF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E6F75A3"/>
    <w:multiLevelType w:val="hybridMultilevel"/>
    <w:tmpl w:val="617420A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449763E"/>
    <w:multiLevelType w:val="hybridMultilevel"/>
    <w:tmpl w:val="880491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84D033C"/>
    <w:multiLevelType w:val="multilevel"/>
    <w:tmpl w:val="CC92A716"/>
    <w:lvl w:ilvl="0">
      <w:start w:val="1"/>
      <w:numFmt w:val="decimal"/>
      <w:pStyle w:val="2-SectionHeading"/>
      <w:lvlText w:val="%1"/>
      <w:lvlJc w:val="left"/>
      <w:pPr>
        <w:ind w:left="720" w:hanging="720"/>
      </w:pPr>
      <w:rPr>
        <w:b/>
      </w:rPr>
    </w:lvl>
    <w:lvl w:ilvl="1">
      <w:start w:val="1"/>
      <w:numFmt w:val="decimal"/>
      <w:pStyle w:val="ExecSum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webHidden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15:restartNumberingAfterBreak="0">
    <w:nsid w:val="7A6B2804"/>
    <w:multiLevelType w:val="hybridMultilevel"/>
    <w:tmpl w:val="9D60F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E5C58C1"/>
    <w:multiLevelType w:val="hybridMultilevel"/>
    <w:tmpl w:val="8DAC99CE"/>
    <w:lvl w:ilvl="0" w:tplc="EDC895E8">
      <w:start w:val="1"/>
      <w:numFmt w:val="decimal"/>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62460907">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995676">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9231712">
    <w:abstractNumId w:val="21"/>
  </w:num>
  <w:num w:numId="4" w16cid:durableId="1602377408">
    <w:abstractNumId w:val="2"/>
  </w:num>
  <w:num w:numId="5" w16cid:durableId="121387236">
    <w:abstractNumId w:val="4"/>
  </w:num>
  <w:num w:numId="6" w16cid:durableId="67852448">
    <w:abstractNumId w:val="0"/>
  </w:num>
  <w:num w:numId="7" w16cid:durableId="786701970">
    <w:abstractNumId w:val="6"/>
  </w:num>
  <w:num w:numId="8" w16cid:durableId="361591227">
    <w:abstractNumId w:val="19"/>
  </w:num>
  <w:num w:numId="9" w16cid:durableId="1706066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9984187">
    <w:abstractNumId w:val="13"/>
  </w:num>
  <w:num w:numId="11" w16cid:durableId="851607473">
    <w:abstractNumId w:val="3"/>
  </w:num>
  <w:num w:numId="12" w16cid:durableId="1457023101">
    <w:abstractNumId w:val="22"/>
  </w:num>
  <w:num w:numId="13" w16cid:durableId="419641233">
    <w:abstractNumId w:val="24"/>
  </w:num>
  <w:num w:numId="14" w16cid:durableId="335958768">
    <w:abstractNumId w:val="5"/>
  </w:num>
  <w:num w:numId="15" w16cid:durableId="1806577247">
    <w:abstractNumId w:val="10"/>
  </w:num>
  <w:num w:numId="16" w16cid:durableId="1483039711">
    <w:abstractNumId w:val="15"/>
  </w:num>
  <w:num w:numId="17" w16cid:durableId="1378041505">
    <w:abstractNumId w:val="23"/>
  </w:num>
  <w:num w:numId="18" w16cid:durableId="1245148428">
    <w:abstractNumId w:val="1"/>
  </w:num>
  <w:num w:numId="19" w16cid:durableId="457068262">
    <w:abstractNumId w:val="20"/>
  </w:num>
  <w:num w:numId="20" w16cid:durableId="1262685287">
    <w:abstractNumId w:val="8"/>
  </w:num>
  <w:num w:numId="21" w16cid:durableId="1370103363">
    <w:abstractNumId w:val="14"/>
  </w:num>
  <w:num w:numId="22" w16cid:durableId="1654679171">
    <w:abstractNumId w:val="25"/>
  </w:num>
  <w:num w:numId="23" w16cid:durableId="425883543">
    <w:abstractNumId w:val="18"/>
  </w:num>
  <w:num w:numId="24" w16cid:durableId="1362123236">
    <w:abstractNumId w:val="11"/>
  </w:num>
  <w:num w:numId="25" w16cid:durableId="51273129">
    <w:abstractNumId w:val="7"/>
  </w:num>
  <w:num w:numId="26" w16cid:durableId="798573387">
    <w:abstractNumId w:val="12"/>
  </w:num>
  <w:num w:numId="27" w16cid:durableId="1206718018">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788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C2B"/>
    <w:rsid w:val="00001364"/>
    <w:rsid w:val="0000162D"/>
    <w:rsid w:val="000017CE"/>
    <w:rsid w:val="00002288"/>
    <w:rsid w:val="00002E16"/>
    <w:rsid w:val="00002E7D"/>
    <w:rsid w:val="000034C3"/>
    <w:rsid w:val="00003584"/>
    <w:rsid w:val="00004628"/>
    <w:rsid w:val="0000462B"/>
    <w:rsid w:val="00004D33"/>
    <w:rsid w:val="00004D75"/>
    <w:rsid w:val="00004F9D"/>
    <w:rsid w:val="00005F17"/>
    <w:rsid w:val="00005FA7"/>
    <w:rsid w:val="000063DB"/>
    <w:rsid w:val="00006BB1"/>
    <w:rsid w:val="0000733C"/>
    <w:rsid w:val="000074BD"/>
    <w:rsid w:val="00007D69"/>
    <w:rsid w:val="000102AF"/>
    <w:rsid w:val="00010379"/>
    <w:rsid w:val="00010886"/>
    <w:rsid w:val="00010920"/>
    <w:rsid w:val="00010EF9"/>
    <w:rsid w:val="0001152D"/>
    <w:rsid w:val="000118E3"/>
    <w:rsid w:val="00011EA7"/>
    <w:rsid w:val="000120D3"/>
    <w:rsid w:val="000129ED"/>
    <w:rsid w:val="00012F78"/>
    <w:rsid w:val="00013284"/>
    <w:rsid w:val="0001362E"/>
    <w:rsid w:val="00013785"/>
    <w:rsid w:val="00014746"/>
    <w:rsid w:val="00014B96"/>
    <w:rsid w:val="00014DC1"/>
    <w:rsid w:val="00014FF8"/>
    <w:rsid w:val="000155A7"/>
    <w:rsid w:val="00015748"/>
    <w:rsid w:val="00015DFE"/>
    <w:rsid w:val="00016092"/>
    <w:rsid w:val="0001617C"/>
    <w:rsid w:val="00016211"/>
    <w:rsid w:val="0001634D"/>
    <w:rsid w:val="00016707"/>
    <w:rsid w:val="00016F44"/>
    <w:rsid w:val="00017050"/>
    <w:rsid w:val="00017870"/>
    <w:rsid w:val="000179CE"/>
    <w:rsid w:val="00017CDE"/>
    <w:rsid w:val="00020127"/>
    <w:rsid w:val="000210EB"/>
    <w:rsid w:val="000220E8"/>
    <w:rsid w:val="00022361"/>
    <w:rsid w:val="000223D3"/>
    <w:rsid w:val="00022435"/>
    <w:rsid w:val="00022686"/>
    <w:rsid w:val="000228B1"/>
    <w:rsid w:val="00022BD7"/>
    <w:rsid w:val="00022BDB"/>
    <w:rsid w:val="00022BF5"/>
    <w:rsid w:val="0002300F"/>
    <w:rsid w:val="0002305C"/>
    <w:rsid w:val="00023228"/>
    <w:rsid w:val="000235A6"/>
    <w:rsid w:val="00023817"/>
    <w:rsid w:val="0002401C"/>
    <w:rsid w:val="00024248"/>
    <w:rsid w:val="000245BC"/>
    <w:rsid w:val="0002470A"/>
    <w:rsid w:val="00024CE2"/>
    <w:rsid w:val="0002564D"/>
    <w:rsid w:val="00025967"/>
    <w:rsid w:val="00025F56"/>
    <w:rsid w:val="0002716D"/>
    <w:rsid w:val="00027346"/>
    <w:rsid w:val="00027672"/>
    <w:rsid w:val="00030320"/>
    <w:rsid w:val="00030A49"/>
    <w:rsid w:val="000311AC"/>
    <w:rsid w:val="00031946"/>
    <w:rsid w:val="00032226"/>
    <w:rsid w:val="000322EC"/>
    <w:rsid w:val="00032AB9"/>
    <w:rsid w:val="00033D0B"/>
    <w:rsid w:val="00034086"/>
    <w:rsid w:val="00034121"/>
    <w:rsid w:val="000350A9"/>
    <w:rsid w:val="00035472"/>
    <w:rsid w:val="00035622"/>
    <w:rsid w:val="00035CFA"/>
    <w:rsid w:val="000365B0"/>
    <w:rsid w:val="00036CF7"/>
    <w:rsid w:val="00037175"/>
    <w:rsid w:val="00037F52"/>
    <w:rsid w:val="0004019D"/>
    <w:rsid w:val="000407E0"/>
    <w:rsid w:val="00041467"/>
    <w:rsid w:val="0004160D"/>
    <w:rsid w:val="00041F3D"/>
    <w:rsid w:val="00042593"/>
    <w:rsid w:val="000433CA"/>
    <w:rsid w:val="00043755"/>
    <w:rsid w:val="00043C1D"/>
    <w:rsid w:val="00044146"/>
    <w:rsid w:val="00044BB4"/>
    <w:rsid w:val="00046725"/>
    <w:rsid w:val="000468C0"/>
    <w:rsid w:val="00046DA2"/>
    <w:rsid w:val="00050762"/>
    <w:rsid w:val="000507B9"/>
    <w:rsid w:val="0005150B"/>
    <w:rsid w:val="00051AF5"/>
    <w:rsid w:val="000548C7"/>
    <w:rsid w:val="00054EA7"/>
    <w:rsid w:val="00055866"/>
    <w:rsid w:val="0005661F"/>
    <w:rsid w:val="00057006"/>
    <w:rsid w:val="000575B4"/>
    <w:rsid w:val="000601EA"/>
    <w:rsid w:val="000603CB"/>
    <w:rsid w:val="0006084C"/>
    <w:rsid w:val="000608FE"/>
    <w:rsid w:val="00060E7B"/>
    <w:rsid w:val="000615B0"/>
    <w:rsid w:val="00061E01"/>
    <w:rsid w:val="0006239E"/>
    <w:rsid w:val="0006295A"/>
    <w:rsid w:val="00062EE7"/>
    <w:rsid w:val="00062FEE"/>
    <w:rsid w:val="0006357B"/>
    <w:rsid w:val="00063D17"/>
    <w:rsid w:val="000643D0"/>
    <w:rsid w:val="00065195"/>
    <w:rsid w:val="00065C22"/>
    <w:rsid w:val="000672D3"/>
    <w:rsid w:val="0006744F"/>
    <w:rsid w:val="00067A06"/>
    <w:rsid w:val="00067E91"/>
    <w:rsid w:val="00070204"/>
    <w:rsid w:val="00070612"/>
    <w:rsid w:val="0007061C"/>
    <w:rsid w:val="000714CE"/>
    <w:rsid w:val="00071D67"/>
    <w:rsid w:val="00072584"/>
    <w:rsid w:val="000728AC"/>
    <w:rsid w:val="00072F02"/>
    <w:rsid w:val="00074126"/>
    <w:rsid w:val="0007567B"/>
    <w:rsid w:val="00075B7E"/>
    <w:rsid w:val="00076287"/>
    <w:rsid w:val="00076297"/>
    <w:rsid w:val="00076AED"/>
    <w:rsid w:val="00077533"/>
    <w:rsid w:val="00077555"/>
    <w:rsid w:val="00077A40"/>
    <w:rsid w:val="00077F45"/>
    <w:rsid w:val="00080510"/>
    <w:rsid w:val="000809F7"/>
    <w:rsid w:val="00081153"/>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4D37"/>
    <w:rsid w:val="000855C9"/>
    <w:rsid w:val="00085F9C"/>
    <w:rsid w:val="00086013"/>
    <w:rsid w:val="0008687E"/>
    <w:rsid w:val="000868A3"/>
    <w:rsid w:val="00086D66"/>
    <w:rsid w:val="000872FA"/>
    <w:rsid w:val="00090385"/>
    <w:rsid w:val="00090D21"/>
    <w:rsid w:val="00090E77"/>
    <w:rsid w:val="00090F42"/>
    <w:rsid w:val="00091262"/>
    <w:rsid w:val="00091269"/>
    <w:rsid w:val="00092523"/>
    <w:rsid w:val="0009260A"/>
    <w:rsid w:val="00093960"/>
    <w:rsid w:val="0009470A"/>
    <w:rsid w:val="00095C30"/>
    <w:rsid w:val="00096B9F"/>
    <w:rsid w:val="00096E39"/>
    <w:rsid w:val="000972AC"/>
    <w:rsid w:val="00097C0E"/>
    <w:rsid w:val="00097ED4"/>
    <w:rsid w:val="000A1E1C"/>
    <w:rsid w:val="000A2697"/>
    <w:rsid w:val="000A26EE"/>
    <w:rsid w:val="000A29FA"/>
    <w:rsid w:val="000A2A86"/>
    <w:rsid w:val="000A2BAD"/>
    <w:rsid w:val="000A2C2D"/>
    <w:rsid w:val="000A2DE4"/>
    <w:rsid w:val="000A2FEC"/>
    <w:rsid w:val="000A3BB7"/>
    <w:rsid w:val="000A418B"/>
    <w:rsid w:val="000A46FC"/>
    <w:rsid w:val="000A4955"/>
    <w:rsid w:val="000A570D"/>
    <w:rsid w:val="000A59CC"/>
    <w:rsid w:val="000A64C7"/>
    <w:rsid w:val="000A7C8A"/>
    <w:rsid w:val="000A7F23"/>
    <w:rsid w:val="000B1170"/>
    <w:rsid w:val="000B1811"/>
    <w:rsid w:val="000B1A6E"/>
    <w:rsid w:val="000B21DD"/>
    <w:rsid w:val="000B2F97"/>
    <w:rsid w:val="000B2FF6"/>
    <w:rsid w:val="000B3004"/>
    <w:rsid w:val="000B3043"/>
    <w:rsid w:val="000B3252"/>
    <w:rsid w:val="000B34FA"/>
    <w:rsid w:val="000B3688"/>
    <w:rsid w:val="000B36FE"/>
    <w:rsid w:val="000B372D"/>
    <w:rsid w:val="000B38D3"/>
    <w:rsid w:val="000B5120"/>
    <w:rsid w:val="000B5B24"/>
    <w:rsid w:val="000B6487"/>
    <w:rsid w:val="000B7528"/>
    <w:rsid w:val="000B7A91"/>
    <w:rsid w:val="000B7F45"/>
    <w:rsid w:val="000C0211"/>
    <w:rsid w:val="000C040A"/>
    <w:rsid w:val="000C0497"/>
    <w:rsid w:val="000C0C31"/>
    <w:rsid w:val="000C0E21"/>
    <w:rsid w:val="000C15DB"/>
    <w:rsid w:val="000C1A94"/>
    <w:rsid w:val="000C1BA1"/>
    <w:rsid w:val="000C219D"/>
    <w:rsid w:val="000C22B0"/>
    <w:rsid w:val="000C2786"/>
    <w:rsid w:val="000C2E72"/>
    <w:rsid w:val="000C2FFA"/>
    <w:rsid w:val="000C3369"/>
    <w:rsid w:val="000C339F"/>
    <w:rsid w:val="000C3CAA"/>
    <w:rsid w:val="000C3F2C"/>
    <w:rsid w:val="000C45E3"/>
    <w:rsid w:val="000C494F"/>
    <w:rsid w:val="000C56B4"/>
    <w:rsid w:val="000C586F"/>
    <w:rsid w:val="000C5A78"/>
    <w:rsid w:val="000C5B48"/>
    <w:rsid w:val="000C661A"/>
    <w:rsid w:val="000C77A9"/>
    <w:rsid w:val="000D0D8B"/>
    <w:rsid w:val="000D14F1"/>
    <w:rsid w:val="000D1C61"/>
    <w:rsid w:val="000D2AFE"/>
    <w:rsid w:val="000D2D84"/>
    <w:rsid w:val="000D3190"/>
    <w:rsid w:val="000D3BC0"/>
    <w:rsid w:val="000D3ECA"/>
    <w:rsid w:val="000D418F"/>
    <w:rsid w:val="000D4551"/>
    <w:rsid w:val="000D53FC"/>
    <w:rsid w:val="000D5D71"/>
    <w:rsid w:val="000D5EFB"/>
    <w:rsid w:val="000D6416"/>
    <w:rsid w:val="000D7F3B"/>
    <w:rsid w:val="000E055E"/>
    <w:rsid w:val="000E08A5"/>
    <w:rsid w:val="000E0C55"/>
    <w:rsid w:val="000E1259"/>
    <w:rsid w:val="000E12D5"/>
    <w:rsid w:val="000E15F8"/>
    <w:rsid w:val="000E18FB"/>
    <w:rsid w:val="000E1E84"/>
    <w:rsid w:val="000E21D8"/>
    <w:rsid w:val="000E2360"/>
    <w:rsid w:val="000E2C73"/>
    <w:rsid w:val="000E2C8F"/>
    <w:rsid w:val="000E2EA3"/>
    <w:rsid w:val="000E31F7"/>
    <w:rsid w:val="000E4B3E"/>
    <w:rsid w:val="000E539F"/>
    <w:rsid w:val="000E5563"/>
    <w:rsid w:val="000E5739"/>
    <w:rsid w:val="000E58C5"/>
    <w:rsid w:val="000E6CF9"/>
    <w:rsid w:val="000E73BD"/>
    <w:rsid w:val="000F0297"/>
    <w:rsid w:val="000F069C"/>
    <w:rsid w:val="000F0B27"/>
    <w:rsid w:val="000F0D4C"/>
    <w:rsid w:val="000F0D73"/>
    <w:rsid w:val="000F0DFC"/>
    <w:rsid w:val="000F14EE"/>
    <w:rsid w:val="000F1D4F"/>
    <w:rsid w:val="000F26BE"/>
    <w:rsid w:val="000F2E82"/>
    <w:rsid w:val="000F305F"/>
    <w:rsid w:val="000F3A4F"/>
    <w:rsid w:val="000F3D50"/>
    <w:rsid w:val="000F5D35"/>
    <w:rsid w:val="000F5DDE"/>
    <w:rsid w:val="000F6F0D"/>
    <w:rsid w:val="000F7390"/>
    <w:rsid w:val="000F7D67"/>
    <w:rsid w:val="001000EA"/>
    <w:rsid w:val="00100B0B"/>
    <w:rsid w:val="001025E7"/>
    <w:rsid w:val="0010275F"/>
    <w:rsid w:val="0010316E"/>
    <w:rsid w:val="001038BB"/>
    <w:rsid w:val="00103F76"/>
    <w:rsid w:val="001049E3"/>
    <w:rsid w:val="00104C50"/>
    <w:rsid w:val="00105880"/>
    <w:rsid w:val="00107038"/>
    <w:rsid w:val="00107219"/>
    <w:rsid w:val="001074AC"/>
    <w:rsid w:val="001101E1"/>
    <w:rsid w:val="00110379"/>
    <w:rsid w:val="001103CF"/>
    <w:rsid w:val="00111F4C"/>
    <w:rsid w:val="00112561"/>
    <w:rsid w:val="001129E8"/>
    <w:rsid w:val="00112BA9"/>
    <w:rsid w:val="0011385A"/>
    <w:rsid w:val="00113C76"/>
    <w:rsid w:val="00114588"/>
    <w:rsid w:val="001149B9"/>
    <w:rsid w:val="00114A58"/>
    <w:rsid w:val="00114D12"/>
    <w:rsid w:val="00115629"/>
    <w:rsid w:val="001158B6"/>
    <w:rsid w:val="00115B67"/>
    <w:rsid w:val="001171CB"/>
    <w:rsid w:val="00117210"/>
    <w:rsid w:val="0011744C"/>
    <w:rsid w:val="00117AF4"/>
    <w:rsid w:val="00120A89"/>
    <w:rsid w:val="00120F0F"/>
    <w:rsid w:val="00120FAC"/>
    <w:rsid w:val="00121311"/>
    <w:rsid w:val="00121A8E"/>
    <w:rsid w:val="00121BF6"/>
    <w:rsid w:val="00123872"/>
    <w:rsid w:val="001242F1"/>
    <w:rsid w:val="00124585"/>
    <w:rsid w:val="00124D80"/>
    <w:rsid w:val="00125074"/>
    <w:rsid w:val="001261A9"/>
    <w:rsid w:val="001267DB"/>
    <w:rsid w:val="001275A6"/>
    <w:rsid w:val="001276FB"/>
    <w:rsid w:val="00130C57"/>
    <w:rsid w:val="0013141F"/>
    <w:rsid w:val="001317E4"/>
    <w:rsid w:val="00131CB1"/>
    <w:rsid w:val="00132052"/>
    <w:rsid w:val="0013270B"/>
    <w:rsid w:val="001329B7"/>
    <w:rsid w:val="00132A3A"/>
    <w:rsid w:val="00132DAB"/>
    <w:rsid w:val="00132FA5"/>
    <w:rsid w:val="001334F9"/>
    <w:rsid w:val="001335DA"/>
    <w:rsid w:val="00133B4C"/>
    <w:rsid w:val="00133D7F"/>
    <w:rsid w:val="00134ECB"/>
    <w:rsid w:val="00134F08"/>
    <w:rsid w:val="001357A1"/>
    <w:rsid w:val="00135E47"/>
    <w:rsid w:val="001362A6"/>
    <w:rsid w:val="00136B3F"/>
    <w:rsid w:val="00136DF8"/>
    <w:rsid w:val="0013745F"/>
    <w:rsid w:val="00137894"/>
    <w:rsid w:val="00137CB8"/>
    <w:rsid w:val="00140035"/>
    <w:rsid w:val="00140465"/>
    <w:rsid w:val="00140E09"/>
    <w:rsid w:val="0014101A"/>
    <w:rsid w:val="0014142D"/>
    <w:rsid w:val="0014148A"/>
    <w:rsid w:val="00141FEB"/>
    <w:rsid w:val="00142EED"/>
    <w:rsid w:val="00143743"/>
    <w:rsid w:val="001437D5"/>
    <w:rsid w:val="00143E66"/>
    <w:rsid w:val="00143FEE"/>
    <w:rsid w:val="00144CCA"/>
    <w:rsid w:val="00145D66"/>
    <w:rsid w:val="00146059"/>
    <w:rsid w:val="00146F0E"/>
    <w:rsid w:val="0014776D"/>
    <w:rsid w:val="00147845"/>
    <w:rsid w:val="00147FC1"/>
    <w:rsid w:val="001500C8"/>
    <w:rsid w:val="001502B0"/>
    <w:rsid w:val="00150381"/>
    <w:rsid w:val="0015080E"/>
    <w:rsid w:val="00151705"/>
    <w:rsid w:val="00151C88"/>
    <w:rsid w:val="00151D35"/>
    <w:rsid w:val="00152387"/>
    <w:rsid w:val="00152A0C"/>
    <w:rsid w:val="00153424"/>
    <w:rsid w:val="00153C15"/>
    <w:rsid w:val="00153EE1"/>
    <w:rsid w:val="0015402E"/>
    <w:rsid w:val="001546E8"/>
    <w:rsid w:val="00154828"/>
    <w:rsid w:val="00155698"/>
    <w:rsid w:val="00155809"/>
    <w:rsid w:val="00155BC9"/>
    <w:rsid w:val="00155C11"/>
    <w:rsid w:val="00157D22"/>
    <w:rsid w:val="00157F62"/>
    <w:rsid w:val="001600EB"/>
    <w:rsid w:val="00160327"/>
    <w:rsid w:val="00160423"/>
    <w:rsid w:val="00160AB7"/>
    <w:rsid w:val="00161C25"/>
    <w:rsid w:val="00161CC6"/>
    <w:rsid w:val="00161CD7"/>
    <w:rsid w:val="0016312E"/>
    <w:rsid w:val="00163182"/>
    <w:rsid w:val="0016341E"/>
    <w:rsid w:val="00163694"/>
    <w:rsid w:val="00164303"/>
    <w:rsid w:val="00164617"/>
    <w:rsid w:val="00164D3D"/>
    <w:rsid w:val="00164EA4"/>
    <w:rsid w:val="001654A9"/>
    <w:rsid w:val="00165A05"/>
    <w:rsid w:val="00165E5D"/>
    <w:rsid w:val="00166297"/>
    <w:rsid w:val="001663D5"/>
    <w:rsid w:val="0016683E"/>
    <w:rsid w:val="00166F24"/>
    <w:rsid w:val="00167277"/>
    <w:rsid w:val="00170573"/>
    <w:rsid w:val="001707C4"/>
    <w:rsid w:val="001711A9"/>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6E59"/>
    <w:rsid w:val="001772D4"/>
    <w:rsid w:val="0017743E"/>
    <w:rsid w:val="00177845"/>
    <w:rsid w:val="00180261"/>
    <w:rsid w:val="001806A2"/>
    <w:rsid w:val="001810C8"/>
    <w:rsid w:val="001812AE"/>
    <w:rsid w:val="00182E45"/>
    <w:rsid w:val="00183DEE"/>
    <w:rsid w:val="0018419E"/>
    <w:rsid w:val="00184E8A"/>
    <w:rsid w:val="0018519A"/>
    <w:rsid w:val="00190B36"/>
    <w:rsid w:val="00190B9C"/>
    <w:rsid w:val="00190D52"/>
    <w:rsid w:val="0019138B"/>
    <w:rsid w:val="001919D3"/>
    <w:rsid w:val="001925E9"/>
    <w:rsid w:val="00192900"/>
    <w:rsid w:val="0019395E"/>
    <w:rsid w:val="00193C35"/>
    <w:rsid w:val="0019441C"/>
    <w:rsid w:val="001950D9"/>
    <w:rsid w:val="00195379"/>
    <w:rsid w:val="00195A6E"/>
    <w:rsid w:val="00196144"/>
    <w:rsid w:val="001971B1"/>
    <w:rsid w:val="001971EA"/>
    <w:rsid w:val="00197975"/>
    <w:rsid w:val="001A0DC8"/>
    <w:rsid w:val="001A0F43"/>
    <w:rsid w:val="001A14F5"/>
    <w:rsid w:val="001A1777"/>
    <w:rsid w:val="001A1A8A"/>
    <w:rsid w:val="001A2649"/>
    <w:rsid w:val="001A307D"/>
    <w:rsid w:val="001A3986"/>
    <w:rsid w:val="001A3E19"/>
    <w:rsid w:val="001A4242"/>
    <w:rsid w:val="001A48FD"/>
    <w:rsid w:val="001A6DEF"/>
    <w:rsid w:val="001A7A6A"/>
    <w:rsid w:val="001A7A87"/>
    <w:rsid w:val="001B049D"/>
    <w:rsid w:val="001B04E4"/>
    <w:rsid w:val="001B0553"/>
    <w:rsid w:val="001B0636"/>
    <w:rsid w:val="001B1577"/>
    <w:rsid w:val="001B16C3"/>
    <w:rsid w:val="001B1838"/>
    <w:rsid w:val="001B1C67"/>
    <w:rsid w:val="001B1D5D"/>
    <w:rsid w:val="001B2234"/>
    <w:rsid w:val="001B22B4"/>
    <w:rsid w:val="001B2C7D"/>
    <w:rsid w:val="001B344B"/>
    <w:rsid w:val="001B3984"/>
    <w:rsid w:val="001B3C3B"/>
    <w:rsid w:val="001B3E1C"/>
    <w:rsid w:val="001B3FE9"/>
    <w:rsid w:val="001B46AE"/>
    <w:rsid w:val="001B5009"/>
    <w:rsid w:val="001B54F0"/>
    <w:rsid w:val="001B5950"/>
    <w:rsid w:val="001B5DCE"/>
    <w:rsid w:val="001B6AAD"/>
    <w:rsid w:val="001B71B5"/>
    <w:rsid w:val="001B76C4"/>
    <w:rsid w:val="001B77E9"/>
    <w:rsid w:val="001B78E2"/>
    <w:rsid w:val="001B7BF2"/>
    <w:rsid w:val="001B7EED"/>
    <w:rsid w:val="001C00A8"/>
    <w:rsid w:val="001C0289"/>
    <w:rsid w:val="001C11E4"/>
    <w:rsid w:val="001C181C"/>
    <w:rsid w:val="001C246E"/>
    <w:rsid w:val="001C27AF"/>
    <w:rsid w:val="001C3033"/>
    <w:rsid w:val="001C30BA"/>
    <w:rsid w:val="001C3403"/>
    <w:rsid w:val="001C342C"/>
    <w:rsid w:val="001C3AAA"/>
    <w:rsid w:val="001C3D80"/>
    <w:rsid w:val="001C43B3"/>
    <w:rsid w:val="001C4834"/>
    <w:rsid w:val="001C4C95"/>
    <w:rsid w:val="001C5BA6"/>
    <w:rsid w:val="001D0229"/>
    <w:rsid w:val="001D028A"/>
    <w:rsid w:val="001D0868"/>
    <w:rsid w:val="001D1636"/>
    <w:rsid w:val="001D181F"/>
    <w:rsid w:val="001D2755"/>
    <w:rsid w:val="001D2F4D"/>
    <w:rsid w:val="001D30A0"/>
    <w:rsid w:val="001D3816"/>
    <w:rsid w:val="001D39E8"/>
    <w:rsid w:val="001D4075"/>
    <w:rsid w:val="001D4E5E"/>
    <w:rsid w:val="001D548F"/>
    <w:rsid w:val="001D600F"/>
    <w:rsid w:val="001D6843"/>
    <w:rsid w:val="001D79BC"/>
    <w:rsid w:val="001E0221"/>
    <w:rsid w:val="001E092F"/>
    <w:rsid w:val="001E0947"/>
    <w:rsid w:val="001E152C"/>
    <w:rsid w:val="001E17F9"/>
    <w:rsid w:val="001E24EA"/>
    <w:rsid w:val="001E25FF"/>
    <w:rsid w:val="001E35D6"/>
    <w:rsid w:val="001E411C"/>
    <w:rsid w:val="001E5979"/>
    <w:rsid w:val="001E5C38"/>
    <w:rsid w:val="001E70C9"/>
    <w:rsid w:val="001E776D"/>
    <w:rsid w:val="001E777A"/>
    <w:rsid w:val="001E77D9"/>
    <w:rsid w:val="001E79E9"/>
    <w:rsid w:val="001E7D4E"/>
    <w:rsid w:val="001F0D67"/>
    <w:rsid w:val="001F1A00"/>
    <w:rsid w:val="001F1B8A"/>
    <w:rsid w:val="001F2058"/>
    <w:rsid w:val="001F23BC"/>
    <w:rsid w:val="001F29C8"/>
    <w:rsid w:val="001F2E04"/>
    <w:rsid w:val="001F3474"/>
    <w:rsid w:val="001F391D"/>
    <w:rsid w:val="001F49C4"/>
    <w:rsid w:val="001F524C"/>
    <w:rsid w:val="001F5561"/>
    <w:rsid w:val="001F5939"/>
    <w:rsid w:val="001F5B96"/>
    <w:rsid w:val="001F67F2"/>
    <w:rsid w:val="001F6895"/>
    <w:rsid w:val="001F6A3C"/>
    <w:rsid w:val="001F6DCB"/>
    <w:rsid w:val="001F7055"/>
    <w:rsid w:val="001F716B"/>
    <w:rsid w:val="001F7B95"/>
    <w:rsid w:val="001F7E44"/>
    <w:rsid w:val="001F7FE1"/>
    <w:rsid w:val="0020062A"/>
    <w:rsid w:val="002010D3"/>
    <w:rsid w:val="002017E3"/>
    <w:rsid w:val="00201885"/>
    <w:rsid w:val="002024B2"/>
    <w:rsid w:val="002028FF"/>
    <w:rsid w:val="0020322B"/>
    <w:rsid w:val="002032C8"/>
    <w:rsid w:val="00203A75"/>
    <w:rsid w:val="0020409B"/>
    <w:rsid w:val="00204E67"/>
    <w:rsid w:val="00205C7C"/>
    <w:rsid w:val="002060A5"/>
    <w:rsid w:val="0020622C"/>
    <w:rsid w:val="002068F5"/>
    <w:rsid w:val="002070E4"/>
    <w:rsid w:val="002070E6"/>
    <w:rsid w:val="0020721C"/>
    <w:rsid w:val="002072C3"/>
    <w:rsid w:val="00207813"/>
    <w:rsid w:val="0020790A"/>
    <w:rsid w:val="00207C47"/>
    <w:rsid w:val="00207E86"/>
    <w:rsid w:val="00210594"/>
    <w:rsid w:val="00210F65"/>
    <w:rsid w:val="002114F0"/>
    <w:rsid w:val="00212939"/>
    <w:rsid w:val="002129AB"/>
    <w:rsid w:val="00212B8B"/>
    <w:rsid w:val="002133B8"/>
    <w:rsid w:val="0021371C"/>
    <w:rsid w:val="002139E7"/>
    <w:rsid w:val="00213C5E"/>
    <w:rsid w:val="002144A1"/>
    <w:rsid w:val="002147A6"/>
    <w:rsid w:val="00214D4B"/>
    <w:rsid w:val="00214DAE"/>
    <w:rsid w:val="00215739"/>
    <w:rsid w:val="002157B5"/>
    <w:rsid w:val="0021638C"/>
    <w:rsid w:val="00216869"/>
    <w:rsid w:val="0021720D"/>
    <w:rsid w:val="00217D17"/>
    <w:rsid w:val="0022016A"/>
    <w:rsid w:val="00220F03"/>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0BA9"/>
    <w:rsid w:val="00231068"/>
    <w:rsid w:val="00231F8F"/>
    <w:rsid w:val="00234DBA"/>
    <w:rsid w:val="00234FCD"/>
    <w:rsid w:val="00234FD9"/>
    <w:rsid w:val="0023596F"/>
    <w:rsid w:val="00236374"/>
    <w:rsid w:val="00236F49"/>
    <w:rsid w:val="00237E07"/>
    <w:rsid w:val="00237F8D"/>
    <w:rsid w:val="002400A1"/>
    <w:rsid w:val="00240222"/>
    <w:rsid w:val="002410D8"/>
    <w:rsid w:val="002411C9"/>
    <w:rsid w:val="0024218B"/>
    <w:rsid w:val="002425FE"/>
    <w:rsid w:val="00242CD9"/>
    <w:rsid w:val="0024349D"/>
    <w:rsid w:val="00243967"/>
    <w:rsid w:val="002440F8"/>
    <w:rsid w:val="0024424C"/>
    <w:rsid w:val="002444C2"/>
    <w:rsid w:val="00244BE9"/>
    <w:rsid w:val="0024530D"/>
    <w:rsid w:val="00245A74"/>
    <w:rsid w:val="00246A8F"/>
    <w:rsid w:val="0024723D"/>
    <w:rsid w:val="0024727D"/>
    <w:rsid w:val="00247783"/>
    <w:rsid w:val="00250912"/>
    <w:rsid w:val="00250DBA"/>
    <w:rsid w:val="00251087"/>
    <w:rsid w:val="00251294"/>
    <w:rsid w:val="00251AD5"/>
    <w:rsid w:val="00251E7D"/>
    <w:rsid w:val="002523E5"/>
    <w:rsid w:val="00253058"/>
    <w:rsid w:val="00253764"/>
    <w:rsid w:val="002550D8"/>
    <w:rsid w:val="00256078"/>
    <w:rsid w:val="002564FB"/>
    <w:rsid w:val="00256907"/>
    <w:rsid w:val="00257615"/>
    <w:rsid w:val="00257EB8"/>
    <w:rsid w:val="0026049B"/>
    <w:rsid w:val="00260EFA"/>
    <w:rsid w:val="00261377"/>
    <w:rsid w:val="00261EFF"/>
    <w:rsid w:val="00262160"/>
    <w:rsid w:val="00262814"/>
    <w:rsid w:val="002629E0"/>
    <w:rsid w:val="00262E2E"/>
    <w:rsid w:val="00263457"/>
    <w:rsid w:val="00263727"/>
    <w:rsid w:val="00263EF4"/>
    <w:rsid w:val="00264A64"/>
    <w:rsid w:val="00265FE9"/>
    <w:rsid w:val="00266D5F"/>
    <w:rsid w:val="00266F46"/>
    <w:rsid w:val="0026773E"/>
    <w:rsid w:val="00267F1F"/>
    <w:rsid w:val="00271BEB"/>
    <w:rsid w:val="0027218C"/>
    <w:rsid w:val="002723FD"/>
    <w:rsid w:val="00272E01"/>
    <w:rsid w:val="00273015"/>
    <w:rsid w:val="0027463A"/>
    <w:rsid w:val="0027487A"/>
    <w:rsid w:val="00274D0D"/>
    <w:rsid w:val="00274D8B"/>
    <w:rsid w:val="00275318"/>
    <w:rsid w:val="002766B0"/>
    <w:rsid w:val="00277572"/>
    <w:rsid w:val="00277812"/>
    <w:rsid w:val="002802A1"/>
    <w:rsid w:val="002803B8"/>
    <w:rsid w:val="002808CA"/>
    <w:rsid w:val="00280926"/>
    <w:rsid w:val="00281269"/>
    <w:rsid w:val="00281922"/>
    <w:rsid w:val="00281B0A"/>
    <w:rsid w:val="00282CDE"/>
    <w:rsid w:val="00283073"/>
    <w:rsid w:val="0028348A"/>
    <w:rsid w:val="00283C7F"/>
    <w:rsid w:val="00284142"/>
    <w:rsid w:val="00284579"/>
    <w:rsid w:val="00285478"/>
    <w:rsid w:val="0028663C"/>
    <w:rsid w:val="00287C89"/>
    <w:rsid w:val="002905B5"/>
    <w:rsid w:val="002911D8"/>
    <w:rsid w:val="0029294F"/>
    <w:rsid w:val="00293203"/>
    <w:rsid w:val="0029322C"/>
    <w:rsid w:val="0029329A"/>
    <w:rsid w:val="00293A15"/>
    <w:rsid w:val="00293D58"/>
    <w:rsid w:val="00294048"/>
    <w:rsid w:val="00295693"/>
    <w:rsid w:val="002960C3"/>
    <w:rsid w:val="002969C0"/>
    <w:rsid w:val="0029707F"/>
    <w:rsid w:val="002972D4"/>
    <w:rsid w:val="002979D2"/>
    <w:rsid w:val="002979E1"/>
    <w:rsid w:val="00297AEF"/>
    <w:rsid w:val="00297F02"/>
    <w:rsid w:val="002A06E1"/>
    <w:rsid w:val="002A21E8"/>
    <w:rsid w:val="002A2DC2"/>
    <w:rsid w:val="002A3220"/>
    <w:rsid w:val="002A3596"/>
    <w:rsid w:val="002A37BE"/>
    <w:rsid w:val="002A3AA9"/>
    <w:rsid w:val="002A58F4"/>
    <w:rsid w:val="002A5AA2"/>
    <w:rsid w:val="002A5C85"/>
    <w:rsid w:val="002A5C87"/>
    <w:rsid w:val="002A5D50"/>
    <w:rsid w:val="002A5DE5"/>
    <w:rsid w:val="002A6503"/>
    <w:rsid w:val="002A659A"/>
    <w:rsid w:val="002A7542"/>
    <w:rsid w:val="002A7BE8"/>
    <w:rsid w:val="002B04C5"/>
    <w:rsid w:val="002B0687"/>
    <w:rsid w:val="002B09C6"/>
    <w:rsid w:val="002B0F52"/>
    <w:rsid w:val="002B1071"/>
    <w:rsid w:val="002B129B"/>
    <w:rsid w:val="002B1B49"/>
    <w:rsid w:val="002B1C33"/>
    <w:rsid w:val="002B29E2"/>
    <w:rsid w:val="002B2C11"/>
    <w:rsid w:val="002B3708"/>
    <w:rsid w:val="002B4D46"/>
    <w:rsid w:val="002B4FB2"/>
    <w:rsid w:val="002B5625"/>
    <w:rsid w:val="002B5F9C"/>
    <w:rsid w:val="002B6147"/>
    <w:rsid w:val="002B6282"/>
    <w:rsid w:val="002B6BB5"/>
    <w:rsid w:val="002B7E81"/>
    <w:rsid w:val="002C0170"/>
    <w:rsid w:val="002C0B1F"/>
    <w:rsid w:val="002C0E18"/>
    <w:rsid w:val="002C2427"/>
    <w:rsid w:val="002C2773"/>
    <w:rsid w:val="002C2A4F"/>
    <w:rsid w:val="002C3502"/>
    <w:rsid w:val="002C35B9"/>
    <w:rsid w:val="002C397B"/>
    <w:rsid w:val="002C3B01"/>
    <w:rsid w:val="002C3BA0"/>
    <w:rsid w:val="002C436C"/>
    <w:rsid w:val="002C47C4"/>
    <w:rsid w:val="002C5CD2"/>
    <w:rsid w:val="002C65DE"/>
    <w:rsid w:val="002C6E41"/>
    <w:rsid w:val="002C748E"/>
    <w:rsid w:val="002C7BFF"/>
    <w:rsid w:val="002C7D3C"/>
    <w:rsid w:val="002D04DB"/>
    <w:rsid w:val="002D0DDF"/>
    <w:rsid w:val="002D17A5"/>
    <w:rsid w:val="002D1AC7"/>
    <w:rsid w:val="002D347E"/>
    <w:rsid w:val="002D37D6"/>
    <w:rsid w:val="002D3C72"/>
    <w:rsid w:val="002D3D17"/>
    <w:rsid w:val="002D3DB2"/>
    <w:rsid w:val="002D42A0"/>
    <w:rsid w:val="002D440D"/>
    <w:rsid w:val="002D4C8C"/>
    <w:rsid w:val="002D4EF6"/>
    <w:rsid w:val="002D5367"/>
    <w:rsid w:val="002D545A"/>
    <w:rsid w:val="002D550B"/>
    <w:rsid w:val="002D59E5"/>
    <w:rsid w:val="002D5C23"/>
    <w:rsid w:val="002D5CBC"/>
    <w:rsid w:val="002D5DC3"/>
    <w:rsid w:val="002D6B4D"/>
    <w:rsid w:val="002E0FD6"/>
    <w:rsid w:val="002E1388"/>
    <w:rsid w:val="002E13B3"/>
    <w:rsid w:val="002E16E6"/>
    <w:rsid w:val="002E1AD3"/>
    <w:rsid w:val="002E1B83"/>
    <w:rsid w:val="002E1C1F"/>
    <w:rsid w:val="002E2688"/>
    <w:rsid w:val="002E307D"/>
    <w:rsid w:val="002E34A3"/>
    <w:rsid w:val="002E36E1"/>
    <w:rsid w:val="002E39FE"/>
    <w:rsid w:val="002E3BF5"/>
    <w:rsid w:val="002E3E6F"/>
    <w:rsid w:val="002E3F75"/>
    <w:rsid w:val="002E45B7"/>
    <w:rsid w:val="002E4721"/>
    <w:rsid w:val="002E486A"/>
    <w:rsid w:val="002E4DC4"/>
    <w:rsid w:val="002E5281"/>
    <w:rsid w:val="002E5E0E"/>
    <w:rsid w:val="002E5E2F"/>
    <w:rsid w:val="002E5F1C"/>
    <w:rsid w:val="002E5F3E"/>
    <w:rsid w:val="002E736D"/>
    <w:rsid w:val="002E78AC"/>
    <w:rsid w:val="002F0875"/>
    <w:rsid w:val="002F0884"/>
    <w:rsid w:val="002F1A5B"/>
    <w:rsid w:val="002F1B87"/>
    <w:rsid w:val="002F3470"/>
    <w:rsid w:val="002F4CA2"/>
    <w:rsid w:val="002F51B3"/>
    <w:rsid w:val="002F527B"/>
    <w:rsid w:val="002F5306"/>
    <w:rsid w:val="002F5570"/>
    <w:rsid w:val="002F55A4"/>
    <w:rsid w:val="002F5792"/>
    <w:rsid w:val="002F5C9A"/>
    <w:rsid w:val="002F6254"/>
    <w:rsid w:val="002F6432"/>
    <w:rsid w:val="002F64A0"/>
    <w:rsid w:val="002F69EB"/>
    <w:rsid w:val="002F6A64"/>
    <w:rsid w:val="002F6D11"/>
    <w:rsid w:val="002F6FC4"/>
    <w:rsid w:val="002F7255"/>
    <w:rsid w:val="002F7D6F"/>
    <w:rsid w:val="00300450"/>
    <w:rsid w:val="003005AA"/>
    <w:rsid w:val="0030078C"/>
    <w:rsid w:val="00300E4E"/>
    <w:rsid w:val="00300EA5"/>
    <w:rsid w:val="003022B8"/>
    <w:rsid w:val="003023C4"/>
    <w:rsid w:val="003023EB"/>
    <w:rsid w:val="003026B9"/>
    <w:rsid w:val="00302C73"/>
    <w:rsid w:val="003035B2"/>
    <w:rsid w:val="00303733"/>
    <w:rsid w:val="00303A2F"/>
    <w:rsid w:val="00303C94"/>
    <w:rsid w:val="00304BF7"/>
    <w:rsid w:val="00304F0A"/>
    <w:rsid w:val="00304FE8"/>
    <w:rsid w:val="0030527B"/>
    <w:rsid w:val="00305FA4"/>
    <w:rsid w:val="0030617A"/>
    <w:rsid w:val="00306989"/>
    <w:rsid w:val="00310015"/>
    <w:rsid w:val="00310992"/>
    <w:rsid w:val="00311387"/>
    <w:rsid w:val="00311EEA"/>
    <w:rsid w:val="0031351E"/>
    <w:rsid w:val="00313537"/>
    <w:rsid w:val="003135CD"/>
    <w:rsid w:val="003138AC"/>
    <w:rsid w:val="00313C59"/>
    <w:rsid w:val="00314373"/>
    <w:rsid w:val="00314425"/>
    <w:rsid w:val="003146EE"/>
    <w:rsid w:val="003153EA"/>
    <w:rsid w:val="003160B4"/>
    <w:rsid w:val="0031641C"/>
    <w:rsid w:val="00316745"/>
    <w:rsid w:val="00316CCF"/>
    <w:rsid w:val="00316D1E"/>
    <w:rsid w:val="00317EFF"/>
    <w:rsid w:val="00317FE3"/>
    <w:rsid w:val="00320015"/>
    <w:rsid w:val="00320263"/>
    <w:rsid w:val="003209C7"/>
    <w:rsid w:val="00320AB2"/>
    <w:rsid w:val="003219EA"/>
    <w:rsid w:val="003225D5"/>
    <w:rsid w:val="0032271E"/>
    <w:rsid w:val="003229A0"/>
    <w:rsid w:val="00322BC4"/>
    <w:rsid w:val="003232F1"/>
    <w:rsid w:val="0032378E"/>
    <w:rsid w:val="00323C12"/>
    <w:rsid w:val="00323C80"/>
    <w:rsid w:val="00323D04"/>
    <w:rsid w:val="003243CB"/>
    <w:rsid w:val="003245FB"/>
    <w:rsid w:val="003250E2"/>
    <w:rsid w:val="0032569E"/>
    <w:rsid w:val="00325BC7"/>
    <w:rsid w:val="00326522"/>
    <w:rsid w:val="003270BF"/>
    <w:rsid w:val="003277B3"/>
    <w:rsid w:val="00327A0C"/>
    <w:rsid w:val="003301A3"/>
    <w:rsid w:val="00330353"/>
    <w:rsid w:val="0033063D"/>
    <w:rsid w:val="00330D77"/>
    <w:rsid w:val="00331B79"/>
    <w:rsid w:val="00331DCA"/>
    <w:rsid w:val="00332129"/>
    <w:rsid w:val="00332736"/>
    <w:rsid w:val="0033322F"/>
    <w:rsid w:val="00334912"/>
    <w:rsid w:val="00335779"/>
    <w:rsid w:val="00336FF2"/>
    <w:rsid w:val="003376B5"/>
    <w:rsid w:val="003376DF"/>
    <w:rsid w:val="003402DF"/>
    <w:rsid w:val="00340A89"/>
    <w:rsid w:val="00340D16"/>
    <w:rsid w:val="00340D94"/>
    <w:rsid w:val="00340EB5"/>
    <w:rsid w:val="00341361"/>
    <w:rsid w:val="00342A29"/>
    <w:rsid w:val="00343D26"/>
    <w:rsid w:val="00343D77"/>
    <w:rsid w:val="00345308"/>
    <w:rsid w:val="003455FE"/>
    <w:rsid w:val="00345652"/>
    <w:rsid w:val="00345B4F"/>
    <w:rsid w:val="00346216"/>
    <w:rsid w:val="0034672E"/>
    <w:rsid w:val="00346BB9"/>
    <w:rsid w:val="00347577"/>
    <w:rsid w:val="0034782B"/>
    <w:rsid w:val="00347C46"/>
    <w:rsid w:val="00350DDB"/>
    <w:rsid w:val="00351A7F"/>
    <w:rsid w:val="003525C0"/>
    <w:rsid w:val="0035262D"/>
    <w:rsid w:val="00352CFB"/>
    <w:rsid w:val="00352F20"/>
    <w:rsid w:val="0035309E"/>
    <w:rsid w:val="003530B9"/>
    <w:rsid w:val="00353174"/>
    <w:rsid w:val="00353798"/>
    <w:rsid w:val="0035396F"/>
    <w:rsid w:val="003541D1"/>
    <w:rsid w:val="003548D7"/>
    <w:rsid w:val="003548F0"/>
    <w:rsid w:val="00354D94"/>
    <w:rsid w:val="003550C7"/>
    <w:rsid w:val="003566E9"/>
    <w:rsid w:val="00357214"/>
    <w:rsid w:val="0035791D"/>
    <w:rsid w:val="003607A0"/>
    <w:rsid w:val="00360CBD"/>
    <w:rsid w:val="00361072"/>
    <w:rsid w:val="00361851"/>
    <w:rsid w:val="00362461"/>
    <w:rsid w:val="003628AA"/>
    <w:rsid w:val="00362D37"/>
    <w:rsid w:val="00363DA3"/>
    <w:rsid w:val="00364B18"/>
    <w:rsid w:val="00364D63"/>
    <w:rsid w:val="00365105"/>
    <w:rsid w:val="0036579C"/>
    <w:rsid w:val="003657E7"/>
    <w:rsid w:val="00365E78"/>
    <w:rsid w:val="00366857"/>
    <w:rsid w:val="00370449"/>
    <w:rsid w:val="003708DD"/>
    <w:rsid w:val="00370EE0"/>
    <w:rsid w:val="003713B0"/>
    <w:rsid w:val="00371B3D"/>
    <w:rsid w:val="00372F44"/>
    <w:rsid w:val="00374783"/>
    <w:rsid w:val="003750B5"/>
    <w:rsid w:val="00375135"/>
    <w:rsid w:val="003763FF"/>
    <w:rsid w:val="00377224"/>
    <w:rsid w:val="00377360"/>
    <w:rsid w:val="0037737B"/>
    <w:rsid w:val="003777B8"/>
    <w:rsid w:val="00377A8B"/>
    <w:rsid w:val="00377BAD"/>
    <w:rsid w:val="00381DCB"/>
    <w:rsid w:val="00381F87"/>
    <w:rsid w:val="003821D7"/>
    <w:rsid w:val="00382EFE"/>
    <w:rsid w:val="00383A59"/>
    <w:rsid w:val="00383FF3"/>
    <w:rsid w:val="00384485"/>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2721"/>
    <w:rsid w:val="00393110"/>
    <w:rsid w:val="00393DD4"/>
    <w:rsid w:val="003946AC"/>
    <w:rsid w:val="00395338"/>
    <w:rsid w:val="00395600"/>
    <w:rsid w:val="00395B97"/>
    <w:rsid w:val="00397340"/>
    <w:rsid w:val="00397572"/>
    <w:rsid w:val="003A0717"/>
    <w:rsid w:val="003A074E"/>
    <w:rsid w:val="003A1CFF"/>
    <w:rsid w:val="003A2BB7"/>
    <w:rsid w:val="003A312D"/>
    <w:rsid w:val="003A4AB4"/>
    <w:rsid w:val="003A4C61"/>
    <w:rsid w:val="003A4D4A"/>
    <w:rsid w:val="003A4F09"/>
    <w:rsid w:val="003A546F"/>
    <w:rsid w:val="003A565B"/>
    <w:rsid w:val="003A5C29"/>
    <w:rsid w:val="003A5DEB"/>
    <w:rsid w:val="003A5F75"/>
    <w:rsid w:val="003A61D4"/>
    <w:rsid w:val="003A6240"/>
    <w:rsid w:val="003A648B"/>
    <w:rsid w:val="003A6592"/>
    <w:rsid w:val="003A6A14"/>
    <w:rsid w:val="003A6FDD"/>
    <w:rsid w:val="003A72E4"/>
    <w:rsid w:val="003A7535"/>
    <w:rsid w:val="003A7616"/>
    <w:rsid w:val="003A799B"/>
    <w:rsid w:val="003A7D18"/>
    <w:rsid w:val="003B00C2"/>
    <w:rsid w:val="003B07D1"/>
    <w:rsid w:val="003B0A3B"/>
    <w:rsid w:val="003B12DB"/>
    <w:rsid w:val="003B1AF6"/>
    <w:rsid w:val="003B1B75"/>
    <w:rsid w:val="003B2FBC"/>
    <w:rsid w:val="003B32CC"/>
    <w:rsid w:val="003B35CB"/>
    <w:rsid w:val="003B497D"/>
    <w:rsid w:val="003B4DA2"/>
    <w:rsid w:val="003B4DDF"/>
    <w:rsid w:val="003B4E68"/>
    <w:rsid w:val="003B545C"/>
    <w:rsid w:val="003B57B7"/>
    <w:rsid w:val="003B5E19"/>
    <w:rsid w:val="003B64D8"/>
    <w:rsid w:val="003B78AC"/>
    <w:rsid w:val="003C08BD"/>
    <w:rsid w:val="003C1A62"/>
    <w:rsid w:val="003C27F3"/>
    <w:rsid w:val="003C2F43"/>
    <w:rsid w:val="003C32FC"/>
    <w:rsid w:val="003C3FD4"/>
    <w:rsid w:val="003C49A9"/>
    <w:rsid w:val="003C4EBE"/>
    <w:rsid w:val="003C558C"/>
    <w:rsid w:val="003C66C3"/>
    <w:rsid w:val="003C6F87"/>
    <w:rsid w:val="003C7429"/>
    <w:rsid w:val="003C75BD"/>
    <w:rsid w:val="003C7E0E"/>
    <w:rsid w:val="003D0802"/>
    <w:rsid w:val="003D098A"/>
    <w:rsid w:val="003D0B7A"/>
    <w:rsid w:val="003D17E4"/>
    <w:rsid w:val="003D1A6C"/>
    <w:rsid w:val="003D1AEC"/>
    <w:rsid w:val="003D23D5"/>
    <w:rsid w:val="003D2533"/>
    <w:rsid w:val="003D3CD1"/>
    <w:rsid w:val="003D489A"/>
    <w:rsid w:val="003D4EA6"/>
    <w:rsid w:val="003D5944"/>
    <w:rsid w:val="003D5D05"/>
    <w:rsid w:val="003D5ECA"/>
    <w:rsid w:val="003D5FB6"/>
    <w:rsid w:val="003D6CBF"/>
    <w:rsid w:val="003D72CC"/>
    <w:rsid w:val="003D7D05"/>
    <w:rsid w:val="003E03C3"/>
    <w:rsid w:val="003E067B"/>
    <w:rsid w:val="003E0E09"/>
    <w:rsid w:val="003E11A4"/>
    <w:rsid w:val="003E1AD1"/>
    <w:rsid w:val="003E230A"/>
    <w:rsid w:val="003E236D"/>
    <w:rsid w:val="003E2512"/>
    <w:rsid w:val="003E2CFE"/>
    <w:rsid w:val="003E2E8C"/>
    <w:rsid w:val="003E3009"/>
    <w:rsid w:val="003E308A"/>
    <w:rsid w:val="003E367A"/>
    <w:rsid w:val="003E37A4"/>
    <w:rsid w:val="003E4136"/>
    <w:rsid w:val="003E4338"/>
    <w:rsid w:val="003E4E45"/>
    <w:rsid w:val="003E61CB"/>
    <w:rsid w:val="003E7AFC"/>
    <w:rsid w:val="003E7C04"/>
    <w:rsid w:val="003E7C95"/>
    <w:rsid w:val="003E7FDA"/>
    <w:rsid w:val="003F01F7"/>
    <w:rsid w:val="003F0570"/>
    <w:rsid w:val="003F0D15"/>
    <w:rsid w:val="003F1283"/>
    <w:rsid w:val="003F13F6"/>
    <w:rsid w:val="003F174E"/>
    <w:rsid w:val="003F1A53"/>
    <w:rsid w:val="003F1F13"/>
    <w:rsid w:val="003F29E1"/>
    <w:rsid w:val="003F2DAF"/>
    <w:rsid w:val="003F2ED2"/>
    <w:rsid w:val="003F3772"/>
    <w:rsid w:val="003F3ED2"/>
    <w:rsid w:val="003F4627"/>
    <w:rsid w:val="003F4850"/>
    <w:rsid w:val="003F4ABA"/>
    <w:rsid w:val="003F53B6"/>
    <w:rsid w:val="003F6169"/>
    <w:rsid w:val="003F6645"/>
    <w:rsid w:val="003F72D7"/>
    <w:rsid w:val="003F77A6"/>
    <w:rsid w:val="003F77DA"/>
    <w:rsid w:val="003F7B2D"/>
    <w:rsid w:val="003F7C7A"/>
    <w:rsid w:val="00400BA3"/>
    <w:rsid w:val="00400D40"/>
    <w:rsid w:val="0040144A"/>
    <w:rsid w:val="004014C9"/>
    <w:rsid w:val="00401B46"/>
    <w:rsid w:val="00401DDB"/>
    <w:rsid w:val="00402B5F"/>
    <w:rsid w:val="00402C3D"/>
    <w:rsid w:val="00403087"/>
    <w:rsid w:val="00403EDA"/>
    <w:rsid w:val="00403F44"/>
    <w:rsid w:val="0040409C"/>
    <w:rsid w:val="00404A45"/>
    <w:rsid w:val="00405576"/>
    <w:rsid w:val="004058B8"/>
    <w:rsid w:val="00405B3F"/>
    <w:rsid w:val="00406113"/>
    <w:rsid w:val="004063C4"/>
    <w:rsid w:val="0040647F"/>
    <w:rsid w:val="004072FC"/>
    <w:rsid w:val="004074CB"/>
    <w:rsid w:val="00407D7D"/>
    <w:rsid w:val="00407EDD"/>
    <w:rsid w:val="00410247"/>
    <w:rsid w:val="00410B00"/>
    <w:rsid w:val="00410B24"/>
    <w:rsid w:val="00410E12"/>
    <w:rsid w:val="00410E3B"/>
    <w:rsid w:val="004115C8"/>
    <w:rsid w:val="00413BE9"/>
    <w:rsid w:val="00413E03"/>
    <w:rsid w:val="00414E73"/>
    <w:rsid w:val="00415367"/>
    <w:rsid w:val="004161C2"/>
    <w:rsid w:val="004170A6"/>
    <w:rsid w:val="004176BC"/>
    <w:rsid w:val="004177A1"/>
    <w:rsid w:val="00417CB0"/>
    <w:rsid w:val="00417FB8"/>
    <w:rsid w:val="00420584"/>
    <w:rsid w:val="004207B4"/>
    <w:rsid w:val="00421048"/>
    <w:rsid w:val="0042164F"/>
    <w:rsid w:val="00422A93"/>
    <w:rsid w:val="00422BB1"/>
    <w:rsid w:val="00423EA1"/>
    <w:rsid w:val="00424D21"/>
    <w:rsid w:val="00424F3C"/>
    <w:rsid w:val="00425C24"/>
    <w:rsid w:val="004273BF"/>
    <w:rsid w:val="004311FF"/>
    <w:rsid w:val="004314B6"/>
    <w:rsid w:val="00432447"/>
    <w:rsid w:val="00432D97"/>
    <w:rsid w:val="00432F21"/>
    <w:rsid w:val="00433964"/>
    <w:rsid w:val="004349D9"/>
    <w:rsid w:val="004353AE"/>
    <w:rsid w:val="0043544F"/>
    <w:rsid w:val="004362C0"/>
    <w:rsid w:val="00436425"/>
    <w:rsid w:val="004364E6"/>
    <w:rsid w:val="00436B27"/>
    <w:rsid w:val="00437069"/>
    <w:rsid w:val="0043712E"/>
    <w:rsid w:val="00437E12"/>
    <w:rsid w:val="004400BC"/>
    <w:rsid w:val="004412E8"/>
    <w:rsid w:val="00441947"/>
    <w:rsid w:val="00443331"/>
    <w:rsid w:val="00443561"/>
    <w:rsid w:val="00443591"/>
    <w:rsid w:val="00444C04"/>
    <w:rsid w:val="0044501E"/>
    <w:rsid w:val="00445B35"/>
    <w:rsid w:val="00445DFA"/>
    <w:rsid w:val="004462BD"/>
    <w:rsid w:val="004462FA"/>
    <w:rsid w:val="0044692E"/>
    <w:rsid w:val="00446C54"/>
    <w:rsid w:val="0044732A"/>
    <w:rsid w:val="00450BC1"/>
    <w:rsid w:val="00451103"/>
    <w:rsid w:val="00451F2C"/>
    <w:rsid w:val="0045203F"/>
    <w:rsid w:val="004520DB"/>
    <w:rsid w:val="00452550"/>
    <w:rsid w:val="004525A5"/>
    <w:rsid w:val="004526B0"/>
    <w:rsid w:val="00453228"/>
    <w:rsid w:val="004534FB"/>
    <w:rsid w:val="00453DB2"/>
    <w:rsid w:val="00453E81"/>
    <w:rsid w:val="00453F45"/>
    <w:rsid w:val="00454471"/>
    <w:rsid w:val="00454D4D"/>
    <w:rsid w:val="00454F1D"/>
    <w:rsid w:val="00455817"/>
    <w:rsid w:val="00455982"/>
    <w:rsid w:val="00455AE4"/>
    <w:rsid w:val="00457034"/>
    <w:rsid w:val="00457BAA"/>
    <w:rsid w:val="00460981"/>
    <w:rsid w:val="004609DE"/>
    <w:rsid w:val="00461045"/>
    <w:rsid w:val="00461A3E"/>
    <w:rsid w:val="00461DC0"/>
    <w:rsid w:val="00462787"/>
    <w:rsid w:val="004628F0"/>
    <w:rsid w:val="00462D54"/>
    <w:rsid w:val="00462D63"/>
    <w:rsid w:val="00463886"/>
    <w:rsid w:val="00464E03"/>
    <w:rsid w:val="00464F36"/>
    <w:rsid w:val="0046507A"/>
    <w:rsid w:val="0046568B"/>
    <w:rsid w:val="0046569B"/>
    <w:rsid w:val="00466121"/>
    <w:rsid w:val="00466912"/>
    <w:rsid w:val="004670C3"/>
    <w:rsid w:val="00467686"/>
    <w:rsid w:val="00467792"/>
    <w:rsid w:val="004679AB"/>
    <w:rsid w:val="00471665"/>
    <w:rsid w:val="0047195F"/>
    <w:rsid w:val="00471A9E"/>
    <w:rsid w:val="00471B86"/>
    <w:rsid w:val="00472227"/>
    <w:rsid w:val="00472E9C"/>
    <w:rsid w:val="004732E6"/>
    <w:rsid w:val="00474927"/>
    <w:rsid w:val="00474FBE"/>
    <w:rsid w:val="0047540F"/>
    <w:rsid w:val="00475438"/>
    <w:rsid w:val="00476F8F"/>
    <w:rsid w:val="004772FF"/>
    <w:rsid w:val="00477324"/>
    <w:rsid w:val="00480310"/>
    <w:rsid w:val="0048048A"/>
    <w:rsid w:val="004807FF"/>
    <w:rsid w:val="00481705"/>
    <w:rsid w:val="00481966"/>
    <w:rsid w:val="00482044"/>
    <w:rsid w:val="00482254"/>
    <w:rsid w:val="004823C6"/>
    <w:rsid w:val="00482F51"/>
    <w:rsid w:val="00483166"/>
    <w:rsid w:val="0048365C"/>
    <w:rsid w:val="004837B4"/>
    <w:rsid w:val="00483E46"/>
    <w:rsid w:val="00484915"/>
    <w:rsid w:val="00484EEF"/>
    <w:rsid w:val="004853D8"/>
    <w:rsid w:val="0048589F"/>
    <w:rsid w:val="00486552"/>
    <w:rsid w:val="00486AEA"/>
    <w:rsid w:val="00486B59"/>
    <w:rsid w:val="00486DA8"/>
    <w:rsid w:val="00486EEE"/>
    <w:rsid w:val="0048735B"/>
    <w:rsid w:val="004875E6"/>
    <w:rsid w:val="00487AD4"/>
    <w:rsid w:val="00490275"/>
    <w:rsid w:val="00490628"/>
    <w:rsid w:val="0049071D"/>
    <w:rsid w:val="0049103F"/>
    <w:rsid w:val="00491532"/>
    <w:rsid w:val="00491F80"/>
    <w:rsid w:val="0049239D"/>
    <w:rsid w:val="004925C9"/>
    <w:rsid w:val="00492B52"/>
    <w:rsid w:val="00493577"/>
    <w:rsid w:val="00493767"/>
    <w:rsid w:val="004942A0"/>
    <w:rsid w:val="00494307"/>
    <w:rsid w:val="00494B3B"/>
    <w:rsid w:val="00495665"/>
    <w:rsid w:val="004963FE"/>
    <w:rsid w:val="00496996"/>
    <w:rsid w:val="00496DD8"/>
    <w:rsid w:val="00497AE7"/>
    <w:rsid w:val="004A020A"/>
    <w:rsid w:val="004A036F"/>
    <w:rsid w:val="004A04FE"/>
    <w:rsid w:val="004A0859"/>
    <w:rsid w:val="004A0C71"/>
    <w:rsid w:val="004A0CF6"/>
    <w:rsid w:val="004A18E6"/>
    <w:rsid w:val="004A18FA"/>
    <w:rsid w:val="004A1B4E"/>
    <w:rsid w:val="004A20DA"/>
    <w:rsid w:val="004A2509"/>
    <w:rsid w:val="004A294E"/>
    <w:rsid w:val="004A3371"/>
    <w:rsid w:val="004A3391"/>
    <w:rsid w:val="004A3C39"/>
    <w:rsid w:val="004A3FAE"/>
    <w:rsid w:val="004A4291"/>
    <w:rsid w:val="004A4AC3"/>
    <w:rsid w:val="004A4D02"/>
    <w:rsid w:val="004A4F2D"/>
    <w:rsid w:val="004A5AFA"/>
    <w:rsid w:val="004B0AF1"/>
    <w:rsid w:val="004B17CE"/>
    <w:rsid w:val="004B1903"/>
    <w:rsid w:val="004B1A9C"/>
    <w:rsid w:val="004B1B15"/>
    <w:rsid w:val="004B1CB3"/>
    <w:rsid w:val="004B21DA"/>
    <w:rsid w:val="004B2241"/>
    <w:rsid w:val="004B27D6"/>
    <w:rsid w:val="004B2EBB"/>
    <w:rsid w:val="004B36DF"/>
    <w:rsid w:val="004B3C81"/>
    <w:rsid w:val="004B47F4"/>
    <w:rsid w:val="004B4E4F"/>
    <w:rsid w:val="004B50CC"/>
    <w:rsid w:val="004B5825"/>
    <w:rsid w:val="004B61C8"/>
    <w:rsid w:val="004B622F"/>
    <w:rsid w:val="004B6415"/>
    <w:rsid w:val="004B64FA"/>
    <w:rsid w:val="004B758A"/>
    <w:rsid w:val="004B7F9F"/>
    <w:rsid w:val="004C03EA"/>
    <w:rsid w:val="004C06CE"/>
    <w:rsid w:val="004C099B"/>
    <w:rsid w:val="004C0BAC"/>
    <w:rsid w:val="004C0DB4"/>
    <w:rsid w:val="004C10A2"/>
    <w:rsid w:val="004C13F1"/>
    <w:rsid w:val="004C16F5"/>
    <w:rsid w:val="004C2E64"/>
    <w:rsid w:val="004C33E8"/>
    <w:rsid w:val="004C366F"/>
    <w:rsid w:val="004C44DD"/>
    <w:rsid w:val="004C4A96"/>
    <w:rsid w:val="004C4E5F"/>
    <w:rsid w:val="004C5875"/>
    <w:rsid w:val="004C5F28"/>
    <w:rsid w:val="004C6997"/>
    <w:rsid w:val="004C6CDB"/>
    <w:rsid w:val="004C723F"/>
    <w:rsid w:val="004C7C36"/>
    <w:rsid w:val="004C7D16"/>
    <w:rsid w:val="004D0132"/>
    <w:rsid w:val="004D080F"/>
    <w:rsid w:val="004D138E"/>
    <w:rsid w:val="004D185E"/>
    <w:rsid w:val="004D2556"/>
    <w:rsid w:val="004D29F9"/>
    <w:rsid w:val="004D4B61"/>
    <w:rsid w:val="004D606D"/>
    <w:rsid w:val="004D6B20"/>
    <w:rsid w:val="004D6C2F"/>
    <w:rsid w:val="004D71FE"/>
    <w:rsid w:val="004D72CE"/>
    <w:rsid w:val="004D7A80"/>
    <w:rsid w:val="004D7CA3"/>
    <w:rsid w:val="004E0388"/>
    <w:rsid w:val="004E04C7"/>
    <w:rsid w:val="004E0894"/>
    <w:rsid w:val="004E135A"/>
    <w:rsid w:val="004E1C50"/>
    <w:rsid w:val="004E20EE"/>
    <w:rsid w:val="004E23BB"/>
    <w:rsid w:val="004E251F"/>
    <w:rsid w:val="004E2B23"/>
    <w:rsid w:val="004E3390"/>
    <w:rsid w:val="004E37C8"/>
    <w:rsid w:val="004E416F"/>
    <w:rsid w:val="004E424D"/>
    <w:rsid w:val="004E5F45"/>
    <w:rsid w:val="004E64DC"/>
    <w:rsid w:val="004E674C"/>
    <w:rsid w:val="004E6F86"/>
    <w:rsid w:val="004E706A"/>
    <w:rsid w:val="004F0671"/>
    <w:rsid w:val="004F0C01"/>
    <w:rsid w:val="004F126D"/>
    <w:rsid w:val="004F24B5"/>
    <w:rsid w:val="004F2B02"/>
    <w:rsid w:val="004F2D1B"/>
    <w:rsid w:val="004F2E11"/>
    <w:rsid w:val="004F2E17"/>
    <w:rsid w:val="004F31BD"/>
    <w:rsid w:val="004F378C"/>
    <w:rsid w:val="004F3B34"/>
    <w:rsid w:val="004F3E23"/>
    <w:rsid w:val="004F4722"/>
    <w:rsid w:val="004F4767"/>
    <w:rsid w:val="004F498A"/>
    <w:rsid w:val="004F51B2"/>
    <w:rsid w:val="004F59C4"/>
    <w:rsid w:val="004F5D65"/>
    <w:rsid w:val="004F70F8"/>
    <w:rsid w:val="004F7230"/>
    <w:rsid w:val="004F7D65"/>
    <w:rsid w:val="004F7D7B"/>
    <w:rsid w:val="00501659"/>
    <w:rsid w:val="00501733"/>
    <w:rsid w:val="00501B75"/>
    <w:rsid w:val="00501C39"/>
    <w:rsid w:val="00502203"/>
    <w:rsid w:val="005026D4"/>
    <w:rsid w:val="005027B8"/>
    <w:rsid w:val="00503286"/>
    <w:rsid w:val="00503F42"/>
    <w:rsid w:val="0050449C"/>
    <w:rsid w:val="00504D6F"/>
    <w:rsid w:val="00505378"/>
    <w:rsid w:val="00505A66"/>
    <w:rsid w:val="00505F9F"/>
    <w:rsid w:val="00506576"/>
    <w:rsid w:val="00506710"/>
    <w:rsid w:val="00506E86"/>
    <w:rsid w:val="0050702C"/>
    <w:rsid w:val="0050723E"/>
    <w:rsid w:val="005072DD"/>
    <w:rsid w:val="00507403"/>
    <w:rsid w:val="00507430"/>
    <w:rsid w:val="005101E5"/>
    <w:rsid w:val="00511D75"/>
    <w:rsid w:val="00511FF2"/>
    <w:rsid w:val="00512232"/>
    <w:rsid w:val="00513B7E"/>
    <w:rsid w:val="00514597"/>
    <w:rsid w:val="005150AB"/>
    <w:rsid w:val="0051520F"/>
    <w:rsid w:val="005159F9"/>
    <w:rsid w:val="005164CC"/>
    <w:rsid w:val="0051769B"/>
    <w:rsid w:val="00517D26"/>
    <w:rsid w:val="0052052F"/>
    <w:rsid w:val="00520571"/>
    <w:rsid w:val="005212B6"/>
    <w:rsid w:val="00522C8A"/>
    <w:rsid w:val="00523AF8"/>
    <w:rsid w:val="00523F57"/>
    <w:rsid w:val="00523F8F"/>
    <w:rsid w:val="005248F8"/>
    <w:rsid w:val="00524E1E"/>
    <w:rsid w:val="0052565F"/>
    <w:rsid w:val="00525D92"/>
    <w:rsid w:val="0052654A"/>
    <w:rsid w:val="00526E9C"/>
    <w:rsid w:val="005278F8"/>
    <w:rsid w:val="005300ED"/>
    <w:rsid w:val="005314D8"/>
    <w:rsid w:val="00531706"/>
    <w:rsid w:val="00532121"/>
    <w:rsid w:val="00532429"/>
    <w:rsid w:val="00532850"/>
    <w:rsid w:val="005328A9"/>
    <w:rsid w:val="00532C7A"/>
    <w:rsid w:val="005331D3"/>
    <w:rsid w:val="005332FA"/>
    <w:rsid w:val="005335ED"/>
    <w:rsid w:val="00534668"/>
    <w:rsid w:val="005346BF"/>
    <w:rsid w:val="0053472D"/>
    <w:rsid w:val="00535189"/>
    <w:rsid w:val="005356B6"/>
    <w:rsid w:val="00535D75"/>
    <w:rsid w:val="00535FF9"/>
    <w:rsid w:val="0053609B"/>
    <w:rsid w:val="0053655A"/>
    <w:rsid w:val="00536ECF"/>
    <w:rsid w:val="0053740F"/>
    <w:rsid w:val="00540B60"/>
    <w:rsid w:val="00540D9E"/>
    <w:rsid w:val="0054171A"/>
    <w:rsid w:val="005420CF"/>
    <w:rsid w:val="00542C2A"/>
    <w:rsid w:val="0054337D"/>
    <w:rsid w:val="005438E3"/>
    <w:rsid w:val="00543CAC"/>
    <w:rsid w:val="005440E4"/>
    <w:rsid w:val="00545BEC"/>
    <w:rsid w:val="005468A5"/>
    <w:rsid w:val="00546A1D"/>
    <w:rsid w:val="00546C8E"/>
    <w:rsid w:val="00546CB9"/>
    <w:rsid w:val="00546E83"/>
    <w:rsid w:val="005471C3"/>
    <w:rsid w:val="00547725"/>
    <w:rsid w:val="00550292"/>
    <w:rsid w:val="005506E5"/>
    <w:rsid w:val="00551309"/>
    <w:rsid w:val="00551D80"/>
    <w:rsid w:val="00552426"/>
    <w:rsid w:val="00552604"/>
    <w:rsid w:val="00552F1A"/>
    <w:rsid w:val="0055363B"/>
    <w:rsid w:val="00553693"/>
    <w:rsid w:val="005536D5"/>
    <w:rsid w:val="00553934"/>
    <w:rsid w:val="00553B71"/>
    <w:rsid w:val="00553D3C"/>
    <w:rsid w:val="00554C4D"/>
    <w:rsid w:val="00555241"/>
    <w:rsid w:val="00555C08"/>
    <w:rsid w:val="0055622C"/>
    <w:rsid w:val="005564BE"/>
    <w:rsid w:val="00556A43"/>
    <w:rsid w:val="0055727C"/>
    <w:rsid w:val="0056087F"/>
    <w:rsid w:val="00560D8A"/>
    <w:rsid w:val="0056121A"/>
    <w:rsid w:val="00562195"/>
    <w:rsid w:val="0056261D"/>
    <w:rsid w:val="005627E1"/>
    <w:rsid w:val="005627E6"/>
    <w:rsid w:val="00562918"/>
    <w:rsid w:val="00563269"/>
    <w:rsid w:val="00564169"/>
    <w:rsid w:val="00564643"/>
    <w:rsid w:val="00564772"/>
    <w:rsid w:val="005654CF"/>
    <w:rsid w:val="00566518"/>
    <w:rsid w:val="005669DA"/>
    <w:rsid w:val="00567613"/>
    <w:rsid w:val="00567D48"/>
    <w:rsid w:val="00571206"/>
    <w:rsid w:val="00571640"/>
    <w:rsid w:val="00571902"/>
    <w:rsid w:val="0057194C"/>
    <w:rsid w:val="00571D62"/>
    <w:rsid w:val="005720AF"/>
    <w:rsid w:val="00572283"/>
    <w:rsid w:val="00572F6B"/>
    <w:rsid w:val="00573604"/>
    <w:rsid w:val="00573DE2"/>
    <w:rsid w:val="00573F29"/>
    <w:rsid w:val="00574949"/>
    <w:rsid w:val="00574AD1"/>
    <w:rsid w:val="0057501B"/>
    <w:rsid w:val="00575F52"/>
    <w:rsid w:val="005767F1"/>
    <w:rsid w:val="00576A92"/>
    <w:rsid w:val="00577417"/>
    <w:rsid w:val="005779BD"/>
    <w:rsid w:val="00580009"/>
    <w:rsid w:val="00580850"/>
    <w:rsid w:val="00580912"/>
    <w:rsid w:val="00580D6B"/>
    <w:rsid w:val="00580F14"/>
    <w:rsid w:val="005812AE"/>
    <w:rsid w:val="0058144C"/>
    <w:rsid w:val="0058159E"/>
    <w:rsid w:val="00581F46"/>
    <w:rsid w:val="00581F5D"/>
    <w:rsid w:val="00582234"/>
    <w:rsid w:val="005824FB"/>
    <w:rsid w:val="00582686"/>
    <w:rsid w:val="005829C4"/>
    <w:rsid w:val="00582D45"/>
    <w:rsid w:val="00582E8D"/>
    <w:rsid w:val="00582FA1"/>
    <w:rsid w:val="00582FFE"/>
    <w:rsid w:val="005843DF"/>
    <w:rsid w:val="005860BC"/>
    <w:rsid w:val="00587129"/>
    <w:rsid w:val="0058724D"/>
    <w:rsid w:val="0058725A"/>
    <w:rsid w:val="005879CE"/>
    <w:rsid w:val="0059000C"/>
    <w:rsid w:val="00590136"/>
    <w:rsid w:val="00590B24"/>
    <w:rsid w:val="00590B6C"/>
    <w:rsid w:val="00590E74"/>
    <w:rsid w:val="00591392"/>
    <w:rsid w:val="00591429"/>
    <w:rsid w:val="005915E6"/>
    <w:rsid w:val="00591A74"/>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050E"/>
    <w:rsid w:val="005A0A21"/>
    <w:rsid w:val="005A118A"/>
    <w:rsid w:val="005A1897"/>
    <w:rsid w:val="005A252B"/>
    <w:rsid w:val="005A3B97"/>
    <w:rsid w:val="005A45EC"/>
    <w:rsid w:val="005A4A89"/>
    <w:rsid w:val="005A55F6"/>
    <w:rsid w:val="005A57D4"/>
    <w:rsid w:val="005A5C31"/>
    <w:rsid w:val="005A5DB4"/>
    <w:rsid w:val="005A600A"/>
    <w:rsid w:val="005A74D9"/>
    <w:rsid w:val="005A7E88"/>
    <w:rsid w:val="005A7F92"/>
    <w:rsid w:val="005B01F4"/>
    <w:rsid w:val="005B05BE"/>
    <w:rsid w:val="005B0692"/>
    <w:rsid w:val="005B07C7"/>
    <w:rsid w:val="005B14C2"/>
    <w:rsid w:val="005B1B4F"/>
    <w:rsid w:val="005B2564"/>
    <w:rsid w:val="005B2E53"/>
    <w:rsid w:val="005B2F26"/>
    <w:rsid w:val="005B3076"/>
    <w:rsid w:val="005B334E"/>
    <w:rsid w:val="005B389B"/>
    <w:rsid w:val="005B4224"/>
    <w:rsid w:val="005B426C"/>
    <w:rsid w:val="005B4B88"/>
    <w:rsid w:val="005B4C25"/>
    <w:rsid w:val="005B52D8"/>
    <w:rsid w:val="005B57E9"/>
    <w:rsid w:val="005B583D"/>
    <w:rsid w:val="005B5DAD"/>
    <w:rsid w:val="005B6035"/>
    <w:rsid w:val="005B659A"/>
    <w:rsid w:val="005B65CA"/>
    <w:rsid w:val="005B79C6"/>
    <w:rsid w:val="005C04C0"/>
    <w:rsid w:val="005C0912"/>
    <w:rsid w:val="005C1912"/>
    <w:rsid w:val="005C1B46"/>
    <w:rsid w:val="005C1F7E"/>
    <w:rsid w:val="005C2057"/>
    <w:rsid w:val="005C20A0"/>
    <w:rsid w:val="005C2EF2"/>
    <w:rsid w:val="005C3234"/>
    <w:rsid w:val="005C34D5"/>
    <w:rsid w:val="005C3AE2"/>
    <w:rsid w:val="005C5258"/>
    <w:rsid w:val="005C57F7"/>
    <w:rsid w:val="005C64B4"/>
    <w:rsid w:val="005C76FD"/>
    <w:rsid w:val="005C7A6D"/>
    <w:rsid w:val="005C7DC3"/>
    <w:rsid w:val="005D09FF"/>
    <w:rsid w:val="005D0DAF"/>
    <w:rsid w:val="005D0E2B"/>
    <w:rsid w:val="005D14A4"/>
    <w:rsid w:val="005D1D83"/>
    <w:rsid w:val="005D2E2B"/>
    <w:rsid w:val="005D3D10"/>
    <w:rsid w:val="005D63D9"/>
    <w:rsid w:val="005D6E2B"/>
    <w:rsid w:val="005D71BB"/>
    <w:rsid w:val="005D7D0E"/>
    <w:rsid w:val="005E07F3"/>
    <w:rsid w:val="005E0823"/>
    <w:rsid w:val="005E0D53"/>
    <w:rsid w:val="005E1008"/>
    <w:rsid w:val="005E10B7"/>
    <w:rsid w:val="005E11E2"/>
    <w:rsid w:val="005E170E"/>
    <w:rsid w:val="005E1DDB"/>
    <w:rsid w:val="005E1F3B"/>
    <w:rsid w:val="005E1F3F"/>
    <w:rsid w:val="005E250E"/>
    <w:rsid w:val="005E2961"/>
    <w:rsid w:val="005E2FF7"/>
    <w:rsid w:val="005E3769"/>
    <w:rsid w:val="005E3B68"/>
    <w:rsid w:val="005E4148"/>
    <w:rsid w:val="005E4455"/>
    <w:rsid w:val="005E4674"/>
    <w:rsid w:val="005E4AF5"/>
    <w:rsid w:val="005E4F30"/>
    <w:rsid w:val="005E511D"/>
    <w:rsid w:val="005E56C4"/>
    <w:rsid w:val="005E5BEB"/>
    <w:rsid w:val="005E6369"/>
    <w:rsid w:val="005E652A"/>
    <w:rsid w:val="005E68B2"/>
    <w:rsid w:val="005E6C14"/>
    <w:rsid w:val="005E6F87"/>
    <w:rsid w:val="005E7038"/>
    <w:rsid w:val="005E79FE"/>
    <w:rsid w:val="005F043C"/>
    <w:rsid w:val="005F0593"/>
    <w:rsid w:val="005F1BE8"/>
    <w:rsid w:val="005F1C1F"/>
    <w:rsid w:val="005F267F"/>
    <w:rsid w:val="005F2ABB"/>
    <w:rsid w:val="005F3375"/>
    <w:rsid w:val="005F354A"/>
    <w:rsid w:val="005F74BD"/>
    <w:rsid w:val="005F7D2F"/>
    <w:rsid w:val="006003A9"/>
    <w:rsid w:val="00600E8E"/>
    <w:rsid w:val="006018CA"/>
    <w:rsid w:val="006019E6"/>
    <w:rsid w:val="00601AA5"/>
    <w:rsid w:val="006021EE"/>
    <w:rsid w:val="0060270D"/>
    <w:rsid w:val="00602A5A"/>
    <w:rsid w:val="006034A7"/>
    <w:rsid w:val="006037CC"/>
    <w:rsid w:val="00603A6B"/>
    <w:rsid w:val="006040F2"/>
    <w:rsid w:val="0060449A"/>
    <w:rsid w:val="00604805"/>
    <w:rsid w:val="0060529E"/>
    <w:rsid w:val="00605384"/>
    <w:rsid w:val="00606CD7"/>
    <w:rsid w:val="00606FBC"/>
    <w:rsid w:val="006072E8"/>
    <w:rsid w:val="00607C2D"/>
    <w:rsid w:val="006103A4"/>
    <w:rsid w:val="00610837"/>
    <w:rsid w:val="00610922"/>
    <w:rsid w:val="00611250"/>
    <w:rsid w:val="00611D8D"/>
    <w:rsid w:val="006122E2"/>
    <w:rsid w:val="006125AA"/>
    <w:rsid w:val="00612638"/>
    <w:rsid w:val="0061367E"/>
    <w:rsid w:val="00613E9D"/>
    <w:rsid w:val="0061423C"/>
    <w:rsid w:val="0061427C"/>
    <w:rsid w:val="0061444C"/>
    <w:rsid w:val="00615DED"/>
    <w:rsid w:val="00615FAB"/>
    <w:rsid w:val="006169BB"/>
    <w:rsid w:val="00616B50"/>
    <w:rsid w:val="00616F11"/>
    <w:rsid w:val="006177F0"/>
    <w:rsid w:val="0062005F"/>
    <w:rsid w:val="00620165"/>
    <w:rsid w:val="006201DC"/>
    <w:rsid w:val="0062039B"/>
    <w:rsid w:val="00620985"/>
    <w:rsid w:val="00620BD5"/>
    <w:rsid w:val="00621B17"/>
    <w:rsid w:val="00622289"/>
    <w:rsid w:val="00622543"/>
    <w:rsid w:val="0062261D"/>
    <w:rsid w:val="00622643"/>
    <w:rsid w:val="00623312"/>
    <w:rsid w:val="0062351E"/>
    <w:rsid w:val="00623E92"/>
    <w:rsid w:val="00623E93"/>
    <w:rsid w:val="00624322"/>
    <w:rsid w:val="00624406"/>
    <w:rsid w:val="006248E3"/>
    <w:rsid w:val="00625D3D"/>
    <w:rsid w:val="00625DB6"/>
    <w:rsid w:val="00626280"/>
    <w:rsid w:val="00626CAC"/>
    <w:rsid w:val="00627AD4"/>
    <w:rsid w:val="00630F33"/>
    <w:rsid w:val="006312A4"/>
    <w:rsid w:val="006312F8"/>
    <w:rsid w:val="006313C9"/>
    <w:rsid w:val="006317D2"/>
    <w:rsid w:val="00631C0F"/>
    <w:rsid w:val="0063210D"/>
    <w:rsid w:val="006337EA"/>
    <w:rsid w:val="006348ED"/>
    <w:rsid w:val="00634DF1"/>
    <w:rsid w:val="006355E6"/>
    <w:rsid w:val="00635EFB"/>
    <w:rsid w:val="00636A18"/>
    <w:rsid w:val="00636C52"/>
    <w:rsid w:val="0063771E"/>
    <w:rsid w:val="006401D2"/>
    <w:rsid w:val="006406A6"/>
    <w:rsid w:val="00640A5A"/>
    <w:rsid w:val="00640BE3"/>
    <w:rsid w:val="00640C80"/>
    <w:rsid w:val="00640E6C"/>
    <w:rsid w:val="00642351"/>
    <w:rsid w:val="006424F7"/>
    <w:rsid w:val="00642A2C"/>
    <w:rsid w:val="00642B51"/>
    <w:rsid w:val="00642C32"/>
    <w:rsid w:val="006433D0"/>
    <w:rsid w:val="00643467"/>
    <w:rsid w:val="00643A31"/>
    <w:rsid w:val="00643AAE"/>
    <w:rsid w:val="00643FAF"/>
    <w:rsid w:val="006446AE"/>
    <w:rsid w:val="00644A9F"/>
    <w:rsid w:val="00646BA0"/>
    <w:rsid w:val="00646F54"/>
    <w:rsid w:val="0065002D"/>
    <w:rsid w:val="00650254"/>
    <w:rsid w:val="006502BB"/>
    <w:rsid w:val="006515EF"/>
    <w:rsid w:val="0065219E"/>
    <w:rsid w:val="00652202"/>
    <w:rsid w:val="0065234B"/>
    <w:rsid w:val="006530E2"/>
    <w:rsid w:val="006535DE"/>
    <w:rsid w:val="0065453F"/>
    <w:rsid w:val="00654758"/>
    <w:rsid w:val="006563FC"/>
    <w:rsid w:val="00656EAE"/>
    <w:rsid w:val="00657344"/>
    <w:rsid w:val="006602CF"/>
    <w:rsid w:val="00660FB0"/>
    <w:rsid w:val="00661356"/>
    <w:rsid w:val="00662399"/>
    <w:rsid w:val="006628D0"/>
    <w:rsid w:val="00663E53"/>
    <w:rsid w:val="00664A30"/>
    <w:rsid w:val="00664B40"/>
    <w:rsid w:val="006652FD"/>
    <w:rsid w:val="00665679"/>
    <w:rsid w:val="0066568C"/>
    <w:rsid w:val="0066590A"/>
    <w:rsid w:val="00665DB7"/>
    <w:rsid w:val="00666038"/>
    <w:rsid w:val="00666370"/>
    <w:rsid w:val="0066646F"/>
    <w:rsid w:val="00666775"/>
    <w:rsid w:val="00666A5B"/>
    <w:rsid w:val="0066768F"/>
    <w:rsid w:val="00670532"/>
    <w:rsid w:val="00670EFB"/>
    <w:rsid w:val="00671380"/>
    <w:rsid w:val="006713F9"/>
    <w:rsid w:val="006715DC"/>
    <w:rsid w:val="00672F3E"/>
    <w:rsid w:val="00673BF2"/>
    <w:rsid w:val="00673C58"/>
    <w:rsid w:val="0067494B"/>
    <w:rsid w:val="00674DB0"/>
    <w:rsid w:val="00675296"/>
    <w:rsid w:val="006761BE"/>
    <w:rsid w:val="006766B8"/>
    <w:rsid w:val="00677143"/>
    <w:rsid w:val="006807E1"/>
    <w:rsid w:val="00680DE4"/>
    <w:rsid w:val="0068116A"/>
    <w:rsid w:val="00681663"/>
    <w:rsid w:val="006823D9"/>
    <w:rsid w:val="00682434"/>
    <w:rsid w:val="00683367"/>
    <w:rsid w:val="00683B8F"/>
    <w:rsid w:val="006841B1"/>
    <w:rsid w:val="0068436A"/>
    <w:rsid w:val="0068523F"/>
    <w:rsid w:val="006855A0"/>
    <w:rsid w:val="006861C4"/>
    <w:rsid w:val="00686C23"/>
    <w:rsid w:val="00687033"/>
    <w:rsid w:val="0068762F"/>
    <w:rsid w:val="00687774"/>
    <w:rsid w:val="00687D28"/>
    <w:rsid w:val="00687EC6"/>
    <w:rsid w:val="00690AC8"/>
    <w:rsid w:val="00690CCF"/>
    <w:rsid w:val="00690E24"/>
    <w:rsid w:val="00691626"/>
    <w:rsid w:val="006936CD"/>
    <w:rsid w:val="0069391C"/>
    <w:rsid w:val="00693EA8"/>
    <w:rsid w:val="0069493D"/>
    <w:rsid w:val="00694C13"/>
    <w:rsid w:val="00694FF9"/>
    <w:rsid w:val="0069620B"/>
    <w:rsid w:val="00696363"/>
    <w:rsid w:val="0069659F"/>
    <w:rsid w:val="00696801"/>
    <w:rsid w:val="0069758F"/>
    <w:rsid w:val="006978DB"/>
    <w:rsid w:val="00697989"/>
    <w:rsid w:val="006979EF"/>
    <w:rsid w:val="006A049D"/>
    <w:rsid w:val="006A0623"/>
    <w:rsid w:val="006A12AE"/>
    <w:rsid w:val="006A12E9"/>
    <w:rsid w:val="006A1BC6"/>
    <w:rsid w:val="006A272F"/>
    <w:rsid w:val="006A2842"/>
    <w:rsid w:val="006A2B81"/>
    <w:rsid w:val="006A393F"/>
    <w:rsid w:val="006A54EF"/>
    <w:rsid w:val="006A58A2"/>
    <w:rsid w:val="006A5A39"/>
    <w:rsid w:val="006A5C7F"/>
    <w:rsid w:val="006A6263"/>
    <w:rsid w:val="006A6484"/>
    <w:rsid w:val="006A652E"/>
    <w:rsid w:val="006A7EA3"/>
    <w:rsid w:val="006B022C"/>
    <w:rsid w:val="006B07D8"/>
    <w:rsid w:val="006B0CEB"/>
    <w:rsid w:val="006B13C1"/>
    <w:rsid w:val="006B1707"/>
    <w:rsid w:val="006B2194"/>
    <w:rsid w:val="006B2489"/>
    <w:rsid w:val="006B3215"/>
    <w:rsid w:val="006B3348"/>
    <w:rsid w:val="006B3448"/>
    <w:rsid w:val="006B4346"/>
    <w:rsid w:val="006B4F5C"/>
    <w:rsid w:val="006B5062"/>
    <w:rsid w:val="006B50A3"/>
    <w:rsid w:val="006B5725"/>
    <w:rsid w:val="006B6BDE"/>
    <w:rsid w:val="006B6CBE"/>
    <w:rsid w:val="006B71E4"/>
    <w:rsid w:val="006B721D"/>
    <w:rsid w:val="006C00B5"/>
    <w:rsid w:val="006C1170"/>
    <w:rsid w:val="006C17D4"/>
    <w:rsid w:val="006C2506"/>
    <w:rsid w:val="006C2793"/>
    <w:rsid w:val="006C2952"/>
    <w:rsid w:val="006C3343"/>
    <w:rsid w:val="006C348B"/>
    <w:rsid w:val="006C34C1"/>
    <w:rsid w:val="006C374C"/>
    <w:rsid w:val="006C441B"/>
    <w:rsid w:val="006C4E73"/>
    <w:rsid w:val="006C4EB7"/>
    <w:rsid w:val="006C5014"/>
    <w:rsid w:val="006C565B"/>
    <w:rsid w:val="006C5D35"/>
    <w:rsid w:val="006C6470"/>
    <w:rsid w:val="006C75FA"/>
    <w:rsid w:val="006C7FAC"/>
    <w:rsid w:val="006D002D"/>
    <w:rsid w:val="006D0421"/>
    <w:rsid w:val="006D047B"/>
    <w:rsid w:val="006D1D18"/>
    <w:rsid w:val="006D2594"/>
    <w:rsid w:val="006D2BD4"/>
    <w:rsid w:val="006D3530"/>
    <w:rsid w:val="006D3BF4"/>
    <w:rsid w:val="006D407D"/>
    <w:rsid w:val="006D477F"/>
    <w:rsid w:val="006D47BC"/>
    <w:rsid w:val="006D4ACA"/>
    <w:rsid w:val="006D5843"/>
    <w:rsid w:val="006D6871"/>
    <w:rsid w:val="006D6CA2"/>
    <w:rsid w:val="006D71D3"/>
    <w:rsid w:val="006E02F2"/>
    <w:rsid w:val="006E1D50"/>
    <w:rsid w:val="006E1FB4"/>
    <w:rsid w:val="006E24D7"/>
    <w:rsid w:val="006E3415"/>
    <w:rsid w:val="006E3962"/>
    <w:rsid w:val="006E464C"/>
    <w:rsid w:val="006E4970"/>
    <w:rsid w:val="006E4A6B"/>
    <w:rsid w:val="006E4CCB"/>
    <w:rsid w:val="006E4CCC"/>
    <w:rsid w:val="006E516B"/>
    <w:rsid w:val="006E64FC"/>
    <w:rsid w:val="006E6536"/>
    <w:rsid w:val="006E78A4"/>
    <w:rsid w:val="006E7A04"/>
    <w:rsid w:val="006F065D"/>
    <w:rsid w:val="006F0C10"/>
    <w:rsid w:val="006F14B1"/>
    <w:rsid w:val="006F290B"/>
    <w:rsid w:val="006F29B4"/>
    <w:rsid w:val="006F3C48"/>
    <w:rsid w:val="006F533D"/>
    <w:rsid w:val="006F6D3E"/>
    <w:rsid w:val="006F6DDA"/>
    <w:rsid w:val="006F7041"/>
    <w:rsid w:val="006F726F"/>
    <w:rsid w:val="006F7BBD"/>
    <w:rsid w:val="0070068B"/>
    <w:rsid w:val="00700990"/>
    <w:rsid w:val="00700CF4"/>
    <w:rsid w:val="007016BE"/>
    <w:rsid w:val="007025A3"/>
    <w:rsid w:val="007030B9"/>
    <w:rsid w:val="00703181"/>
    <w:rsid w:val="00703B08"/>
    <w:rsid w:val="007042E7"/>
    <w:rsid w:val="007044EC"/>
    <w:rsid w:val="00704571"/>
    <w:rsid w:val="007048F0"/>
    <w:rsid w:val="00705362"/>
    <w:rsid w:val="0070604E"/>
    <w:rsid w:val="00706DF0"/>
    <w:rsid w:val="0070718C"/>
    <w:rsid w:val="00710630"/>
    <w:rsid w:val="00711526"/>
    <w:rsid w:val="0071165C"/>
    <w:rsid w:val="00711CAD"/>
    <w:rsid w:val="0071201B"/>
    <w:rsid w:val="007128F7"/>
    <w:rsid w:val="0071320C"/>
    <w:rsid w:val="0071356F"/>
    <w:rsid w:val="00714166"/>
    <w:rsid w:val="007153F0"/>
    <w:rsid w:val="007154CF"/>
    <w:rsid w:val="007159A1"/>
    <w:rsid w:val="00716812"/>
    <w:rsid w:val="00716C0F"/>
    <w:rsid w:val="007171DB"/>
    <w:rsid w:val="00717651"/>
    <w:rsid w:val="0071796A"/>
    <w:rsid w:val="00717A8D"/>
    <w:rsid w:val="00717BF6"/>
    <w:rsid w:val="00717C21"/>
    <w:rsid w:val="00717F9F"/>
    <w:rsid w:val="00720493"/>
    <w:rsid w:val="00720B9E"/>
    <w:rsid w:val="00721887"/>
    <w:rsid w:val="00721962"/>
    <w:rsid w:val="00721CC5"/>
    <w:rsid w:val="00721D7F"/>
    <w:rsid w:val="00721DE0"/>
    <w:rsid w:val="007224ED"/>
    <w:rsid w:val="00722FD8"/>
    <w:rsid w:val="0072366C"/>
    <w:rsid w:val="00724291"/>
    <w:rsid w:val="00724D0C"/>
    <w:rsid w:val="0072590A"/>
    <w:rsid w:val="00725996"/>
    <w:rsid w:val="00726886"/>
    <w:rsid w:val="0072724E"/>
    <w:rsid w:val="00727381"/>
    <w:rsid w:val="00727924"/>
    <w:rsid w:val="00730896"/>
    <w:rsid w:val="007314BA"/>
    <w:rsid w:val="007319B3"/>
    <w:rsid w:val="00732A2D"/>
    <w:rsid w:val="00732D06"/>
    <w:rsid w:val="00733E70"/>
    <w:rsid w:val="00733FFC"/>
    <w:rsid w:val="0073438B"/>
    <w:rsid w:val="007343F1"/>
    <w:rsid w:val="007347C7"/>
    <w:rsid w:val="0073490E"/>
    <w:rsid w:val="0073536C"/>
    <w:rsid w:val="007359A2"/>
    <w:rsid w:val="007360A9"/>
    <w:rsid w:val="0073699B"/>
    <w:rsid w:val="0073710F"/>
    <w:rsid w:val="00737362"/>
    <w:rsid w:val="00737753"/>
    <w:rsid w:val="007409AA"/>
    <w:rsid w:val="00740EE3"/>
    <w:rsid w:val="007411F4"/>
    <w:rsid w:val="007413BF"/>
    <w:rsid w:val="00741968"/>
    <w:rsid w:val="00741BDD"/>
    <w:rsid w:val="007423E9"/>
    <w:rsid w:val="007438D0"/>
    <w:rsid w:val="00743A58"/>
    <w:rsid w:val="00743D1C"/>
    <w:rsid w:val="00743D29"/>
    <w:rsid w:val="0074406C"/>
    <w:rsid w:val="00744146"/>
    <w:rsid w:val="00744B1B"/>
    <w:rsid w:val="00745153"/>
    <w:rsid w:val="00745844"/>
    <w:rsid w:val="007460ED"/>
    <w:rsid w:val="0074661C"/>
    <w:rsid w:val="00746A2F"/>
    <w:rsid w:val="007472EF"/>
    <w:rsid w:val="00747669"/>
    <w:rsid w:val="0074771E"/>
    <w:rsid w:val="00751097"/>
    <w:rsid w:val="007519F6"/>
    <w:rsid w:val="00751E1F"/>
    <w:rsid w:val="0075296E"/>
    <w:rsid w:val="00752F33"/>
    <w:rsid w:val="0075319C"/>
    <w:rsid w:val="007531A5"/>
    <w:rsid w:val="007535E3"/>
    <w:rsid w:val="00753FCB"/>
    <w:rsid w:val="007542B1"/>
    <w:rsid w:val="007550FE"/>
    <w:rsid w:val="00755EE8"/>
    <w:rsid w:val="0075603B"/>
    <w:rsid w:val="00756609"/>
    <w:rsid w:val="007566A7"/>
    <w:rsid w:val="007567D2"/>
    <w:rsid w:val="00756E30"/>
    <w:rsid w:val="0075707E"/>
    <w:rsid w:val="00757941"/>
    <w:rsid w:val="007615C0"/>
    <w:rsid w:val="00762FCA"/>
    <w:rsid w:val="007639A5"/>
    <w:rsid w:val="00763EE9"/>
    <w:rsid w:val="00764375"/>
    <w:rsid w:val="007653BF"/>
    <w:rsid w:val="00765630"/>
    <w:rsid w:val="00765919"/>
    <w:rsid w:val="007661BB"/>
    <w:rsid w:val="0076653E"/>
    <w:rsid w:val="00766647"/>
    <w:rsid w:val="0076786D"/>
    <w:rsid w:val="007700F8"/>
    <w:rsid w:val="0077094D"/>
    <w:rsid w:val="00770E63"/>
    <w:rsid w:val="00774469"/>
    <w:rsid w:val="00774752"/>
    <w:rsid w:val="00774913"/>
    <w:rsid w:val="00775291"/>
    <w:rsid w:val="0077594E"/>
    <w:rsid w:val="00775FB9"/>
    <w:rsid w:val="00776268"/>
    <w:rsid w:val="00777495"/>
    <w:rsid w:val="0078016F"/>
    <w:rsid w:val="007804B1"/>
    <w:rsid w:val="007805EC"/>
    <w:rsid w:val="007808A4"/>
    <w:rsid w:val="00780928"/>
    <w:rsid w:val="00780B0E"/>
    <w:rsid w:val="00781689"/>
    <w:rsid w:val="00782394"/>
    <w:rsid w:val="00782848"/>
    <w:rsid w:val="007829B1"/>
    <w:rsid w:val="00782C5A"/>
    <w:rsid w:val="007834C1"/>
    <w:rsid w:val="00783873"/>
    <w:rsid w:val="007847D1"/>
    <w:rsid w:val="00784924"/>
    <w:rsid w:val="00785B0C"/>
    <w:rsid w:val="00785D82"/>
    <w:rsid w:val="00785DE4"/>
    <w:rsid w:val="0078647B"/>
    <w:rsid w:val="00786ED4"/>
    <w:rsid w:val="0078716F"/>
    <w:rsid w:val="00787256"/>
    <w:rsid w:val="007873C8"/>
    <w:rsid w:val="0078793D"/>
    <w:rsid w:val="00787F80"/>
    <w:rsid w:val="00790F50"/>
    <w:rsid w:val="00791374"/>
    <w:rsid w:val="0079263D"/>
    <w:rsid w:val="00792B66"/>
    <w:rsid w:val="0079352C"/>
    <w:rsid w:val="00793B34"/>
    <w:rsid w:val="00793B84"/>
    <w:rsid w:val="00793D87"/>
    <w:rsid w:val="00794795"/>
    <w:rsid w:val="007949E6"/>
    <w:rsid w:val="00794CC2"/>
    <w:rsid w:val="00794D98"/>
    <w:rsid w:val="00794F29"/>
    <w:rsid w:val="00795A2A"/>
    <w:rsid w:val="00795E7E"/>
    <w:rsid w:val="007964B5"/>
    <w:rsid w:val="007972FB"/>
    <w:rsid w:val="007977AD"/>
    <w:rsid w:val="007A02BC"/>
    <w:rsid w:val="007A099F"/>
    <w:rsid w:val="007A0ADA"/>
    <w:rsid w:val="007A0F0F"/>
    <w:rsid w:val="007A16EB"/>
    <w:rsid w:val="007A26C4"/>
    <w:rsid w:val="007A2742"/>
    <w:rsid w:val="007A2F96"/>
    <w:rsid w:val="007A33C4"/>
    <w:rsid w:val="007A49D9"/>
    <w:rsid w:val="007A5620"/>
    <w:rsid w:val="007B01E7"/>
    <w:rsid w:val="007B0810"/>
    <w:rsid w:val="007B104F"/>
    <w:rsid w:val="007B120B"/>
    <w:rsid w:val="007B1418"/>
    <w:rsid w:val="007B1C29"/>
    <w:rsid w:val="007B2177"/>
    <w:rsid w:val="007B2FF1"/>
    <w:rsid w:val="007B3584"/>
    <w:rsid w:val="007B3F86"/>
    <w:rsid w:val="007B482A"/>
    <w:rsid w:val="007B52BB"/>
    <w:rsid w:val="007B56E1"/>
    <w:rsid w:val="007B7BB1"/>
    <w:rsid w:val="007C0B47"/>
    <w:rsid w:val="007C1229"/>
    <w:rsid w:val="007C17AB"/>
    <w:rsid w:val="007C1DFF"/>
    <w:rsid w:val="007C1E1D"/>
    <w:rsid w:val="007C2145"/>
    <w:rsid w:val="007C21A1"/>
    <w:rsid w:val="007C2349"/>
    <w:rsid w:val="007C2687"/>
    <w:rsid w:val="007C377C"/>
    <w:rsid w:val="007C378F"/>
    <w:rsid w:val="007C3815"/>
    <w:rsid w:val="007C3B7F"/>
    <w:rsid w:val="007C5B20"/>
    <w:rsid w:val="007C65FA"/>
    <w:rsid w:val="007C685F"/>
    <w:rsid w:val="007D069C"/>
    <w:rsid w:val="007D1AFD"/>
    <w:rsid w:val="007D1E73"/>
    <w:rsid w:val="007D23C4"/>
    <w:rsid w:val="007D2FC8"/>
    <w:rsid w:val="007D310A"/>
    <w:rsid w:val="007D408D"/>
    <w:rsid w:val="007D4CD5"/>
    <w:rsid w:val="007D52A7"/>
    <w:rsid w:val="007D619D"/>
    <w:rsid w:val="007D658F"/>
    <w:rsid w:val="007D6B04"/>
    <w:rsid w:val="007D6D6F"/>
    <w:rsid w:val="007D6E6D"/>
    <w:rsid w:val="007D6F5D"/>
    <w:rsid w:val="007D7604"/>
    <w:rsid w:val="007D7729"/>
    <w:rsid w:val="007D7AA9"/>
    <w:rsid w:val="007D7F8B"/>
    <w:rsid w:val="007E075D"/>
    <w:rsid w:val="007E0803"/>
    <w:rsid w:val="007E0D86"/>
    <w:rsid w:val="007E170B"/>
    <w:rsid w:val="007E1720"/>
    <w:rsid w:val="007E18BA"/>
    <w:rsid w:val="007E18FA"/>
    <w:rsid w:val="007E1DF2"/>
    <w:rsid w:val="007E2888"/>
    <w:rsid w:val="007E2BA4"/>
    <w:rsid w:val="007E32D4"/>
    <w:rsid w:val="007E3487"/>
    <w:rsid w:val="007E3514"/>
    <w:rsid w:val="007E3829"/>
    <w:rsid w:val="007E402B"/>
    <w:rsid w:val="007E495E"/>
    <w:rsid w:val="007E5FF3"/>
    <w:rsid w:val="007E6257"/>
    <w:rsid w:val="007E65FE"/>
    <w:rsid w:val="007E6782"/>
    <w:rsid w:val="007E6B64"/>
    <w:rsid w:val="007E6F9A"/>
    <w:rsid w:val="007E7679"/>
    <w:rsid w:val="007E7683"/>
    <w:rsid w:val="007E79F5"/>
    <w:rsid w:val="007E7AF0"/>
    <w:rsid w:val="007F02BF"/>
    <w:rsid w:val="007F10B5"/>
    <w:rsid w:val="007F10D0"/>
    <w:rsid w:val="007F1BC2"/>
    <w:rsid w:val="007F1C7A"/>
    <w:rsid w:val="007F1CCC"/>
    <w:rsid w:val="007F25B4"/>
    <w:rsid w:val="007F2C38"/>
    <w:rsid w:val="007F2EFF"/>
    <w:rsid w:val="007F3395"/>
    <w:rsid w:val="007F3683"/>
    <w:rsid w:val="007F39D7"/>
    <w:rsid w:val="007F3A04"/>
    <w:rsid w:val="007F48F6"/>
    <w:rsid w:val="007F51FF"/>
    <w:rsid w:val="007F5557"/>
    <w:rsid w:val="007F57D6"/>
    <w:rsid w:val="007F5CD4"/>
    <w:rsid w:val="007F61AB"/>
    <w:rsid w:val="007F61E2"/>
    <w:rsid w:val="007F6460"/>
    <w:rsid w:val="007F6C16"/>
    <w:rsid w:val="007F730F"/>
    <w:rsid w:val="007F7527"/>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6BE"/>
    <w:rsid w:val="00805F75"/>
    <w:rsid w:val="00806071"/>
    <w:rsid w:val="00807692"/>
    <w:rsid w:val="00807C1B"/>
    <w:rsid w:val="00807E3E"/>
    <w:rsid w:val="00810489"/>
    <w:rsid w:val="00810B18"/>
    <w:rsid w:val="00811026"/>
    <w:rsid w:val="0081143A"/>
    <w:rsid w:val="00811982"/>
    <w:rsid w:val="00811B7A"/>
    <w:rsid w:val="00811E77"/>
    <w:rsid w:val="0081206F"/>
    <w:rsid w:val="00812638"/>
    <w:rsid w:val="00812656"/>
    <w:rsid w:val="00812720"/>
    <w:rsid w:val="00812AE2"/>
    <w:rsid w:val="00812CD4"/>
    <w:rsid w:val="0081303A"/>
    <w:rsid w:val="00814892"/>
    <w:rsid w:val="00814D78"/>
    <w:rsid w:val="00815167"/>
    <w:rsid w:val="008151B0"/>
    <w:rsid w:val="00815F87"/>
    <w:rsid w:val="00816744"/>
    <w:rsid w:val="0081696D"/>
    <w:rsid w:val="00816B36"/>
    <w:rsid w:val="00817452"/>
    <w:rsid w:val="0081758D"/>
    <w:rsid w:val="00817C39"/>
    <w:rsid w:val="00817C8A"/>
    <w:rsid w:val="0082098B"/>
    <w:rsid w:val="00821601"/>
    <w:rsid w:val="00821923"/>
    <w:rsid w:val="00821E84"/>
    <w:rsid w:val="00822005"/>
    <w:rsid w:val="0082256B"/>
    <w:rsid w:val="00822609"/>
    <w:rsid w:val="00822B0C"/>
    <w:rsid w:val="00822C45"/>
    <w:rsid w:val="00822F66"/>
    <w:rsid w:val="008241E4"/>
    <w:rsid w:val="00824394"/>
    <w:rsid w:val="00824912"/>
    <w:rsid w:val="00824F1A"/>
    <w:rsid w:val="00825B07"/>
    <w:rsid w:val="008265E8"/>
    <w:rsid w:val="00826634"/>
    <w:rsid w:val="00826C0C"/>
    <w:rsid w:val="0082711A"/>
    <w:rsid w:val="00827E75"/>
    <w:rsid w:val="00830810"/>
    <w:rsid w:val="008309CF"/>
    <w:rsid w:val="00830AF8"/>
    <w:rsid w:val="00830B5F"/>
    <w:rsid w:val="00830DC0"/>
    <w:rsid w:val="00831427"/>
    <w:rsid w:val="00831C09"/>
    <w:rsid w:val="00831C68"/>
    <w:rsid w:val="008322FB"/>
    <w:rsid w:val="0083272D"/>
    <w:rsid w:val="00832E6A"/>
    <w:rsid w:val="0083351E"/>
    <w:rsid w:val="00833E4E"/>
    <w:rsid w:val="0083473D"/>
    <w:rsid w:val="00834AF4"/>
    <w:rsid w:val="00834BEC"/>
    <w:rsid w:val="00834D47"/>
    <w:rsid w:val="00834DC9"/>
    <w:rsid w:val="00835389"/>
    <w:rsid w:val="00835459"/>
    <w:rsid w:val="008356D1"/>
    <w:rsid w:val="008358DA"/>
    <w:rsid w:val="00836F1C"/>
    <w:rsid w:val="00837060"/>
    <w:rsid w:val="008373F3"/>
    <w:rsid w:val="00837C5C"/>
    <w:rsid w:val="00840350"/>
    <w:rsid w:val="00840409"/>
    <w:rsid w:val="0084055F"/>
    <w:rsid w:val="0084098C"/>
    <w:rsid w:val="008411FD"/>
    <w:rsid w:val="0084138C"/>
    <w:rsid w:val="00842584"/>
    <w:rsid w:val="008429DB"/>
    <w:rsid w:val="00842BA8"/>
    <w:rsid w:val="0084324E"/>
    <w:rsid w:val="00844B2A"/>
    <w:rsid w:val="00844ED2"/>
    <w:rsid w:val="0084562E"/>
    <w:rsid w:val="008470E8"/>
    <w:rsid w:val="0084736D"/>
    <w:rsid w:val="008479BC"/>
    <w:rsid w:val="00847C79"/>
    <w:rsid w:val="00850A19"/>
    <w:rsid w:val="00850AFC"/>
    <w:rsid w:val="0085106C"/>
    <w:rsid w:val="008514EC"/>
    <w:rsid w:val="00851F31"/>
    <w:rsid w:val="0085233E"/>
    <w:rsid w:val="008524F7"/>
    <w:rsid w:val="00852A9A"/>
    <w:rsid w:val="00852F34"/>
    <w:rsid w:val="008534FA"/>
    <w:rsid w:val="00853616"/>
    <w:rsid w:val="00853704"/>
    <w:rsid w:val="008539DF"/>
    <w:rsid w:val="00853C23"/>
    <w:rsid w:val="00853EFD"/>
    <w:rsid w:val="0085413E"/>
    <w:rsid w:val="00854674"/>
    <w:rsid w:val="00854784"/>
    <w:rsid w:val="00854C8E"/>
    <w:rsid w:val="008557F4"/>
    <w:rsid w:val="00856542"/>
    <w:rsid w:val="0085729A"/>
    <w:rsid w:val="008575ED"/>
    <w:rsid w:val="00857A8B"/>
    <w:rsid w:val="00857F3D"/>
    <w:rsid w:val="00860F08"/>
    <w:rsid w:val="008611C8"/>
    <w:rsid w:val="008612F5"/>
    <w:rsid w:val="00861376"/>
    <w:rsid w:val="00861D5B"/>
    <w:rsid w:val="00861F9D"/>
    <w:rsid w:val="00862B4C"/>
    <w:rsid w:val="0086307F"/>
    <w:rsid w:val="008639AD"/>
    <w:rsid w:val="00863C1F"/>
    <w:rsid w:val="0086425E"/>
    <w:rsid w:val="00866BCC"/>
    <w:rsid w:val="00870856"/>
    <w:rsid w:val="00870F6E"/>
    <w:rsid w:val="0087157B"/>
    <w:rsid w:val="00871C4C"/>
    <w:rsid w:val="00871E03"/>
    <w:rsid w:val="00873845"/>
    <w:rsid w:val="008748D1"/>
    <w:rsid w:val="00876400"/>
    <w:rsid w:val="00876522"/>
    <w:rsid w:val="00876AE3"/>
    <w:rsid w:val="008775DB"/>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65CF"/>
    <w:rsid w:val="00886995"/>
    <w:rsid w:val="00887227"/>
    <w:rsid w:val="008900AA"/>
    <w:rsid w:val="00890211"/>
    <w:rsid w:val="00890427"/>
    <w:rsid w:val="008905B4"/>
    <w:rsid w:val="0089096B"/>
    <w:rsid w:val="008919D4"/>
    <w:rsid w:val="00892157"/>
    <w:rsid w:val="0089225A"/>
    <w:rsid w:val="00892AC0"/>
    <w:rsid w:val="008934FE"/>
    <w:rsid w:val="00893B5D"/>
    <w:rsid w:val="00893E2F"/>
    <w:rsid w:val="008944DB"/>
    <w:rsid w:val="00895260"/>
    <w:rsid w:val="00895570"/>
    <w:rsid w:val="0089594E"/>
    <w:rsid w:val="008968C4"/>
    <w:rsid w:val="00896E93"/>
    <w:rsid w:val="00897463"/>
    <w:rsid w:val="0089753B"/>
    <w:rsid w:val="00897911"/>
    <w:rsid w:val="00897B11"/>
    <w:rsid w:val="008A03BE"/>
    <w:rsid w:val="008A0FD5"/>
    <w:rsid w:val="008A17AC"/>
    <w:rsid w:val="008A1C8E"/>
    <w:rsid w:val="008A2377"/>
    <w:rsid w:val="008A2A21"/>
    <w:rsid w:val="008A2E17"/>
    <w:rsid w:val="008A344E"/>
    <w:rsid w:val="008A3721"/>
    <w:rsid w:val="008A382F"/>
    <w:rsid w:val="008A39A0"/>
    <w:rsid w:val="008A39AD"/>
    <w:rsid w:val="008A3DB6"/>
    <w:rsid w:val="008A4715"/>
    <w:rsid w:val="008A56ED"/>
    <w:rsid w:val="008A5BE4"/>
    <w:rsid w:val="008A5F0F"/>
    <w:rsid w:val="008A7E3B"/>
    <w:rsid w:val="008B0364"/>
    <w:rsid w:val="008B0379"/>
    <w:rsid w:val="008B0D70"/>
    <w:rsid w:val="008B0EA7"/>
    <w:rsid w:val="008B18C5"/>
    <w:rsid w:val="008B480A"/>
    <w:rsid w:val="008B4F76"/>
    <w:rsid w:val="008B58D9"/>
    <w:rsid w:val="008B64DC"/>
    <w:rsid w:val="008B6AFD"/>
    <w:rsid w:val="008B6B42"/>
    <w:rsid w:val="008B70D9"/>
    <w:rsid w:val="008B7236"/>
    <w:rsid w:val="008C07A9"/>
    <w:rsid w:val="008C0944"/>
    <w:rsid w:val="008C0A39"/>
    <w:rsid w:val="008C1814"/>
    <w:rsid w:val="008C18D1"/>
    <w:rsid w:val="008C3CCC"/>
    <w:rsid w:val="008C4084"/>
    <w:rsid w:val="008C4116"/>
    <w:rsid w:val="008C4162"/>
    <w:rsid w:val="008C43A5"/>
    <w:rsid w:val="008C5C81"/>
    <w:rsid w:val="008C5CDF"/>
    <w:rsid w:val="008C6580"/>
    <w:rsid w:val="008C7162"/>
    <w:rsid w:val="008C7375"/>
    <w:rsid w:val="008C79F3"/>
    <w:rsid w:val="008D0267"/>
    <w:rsid w:val="008D04D0"/>
    <w:rsid w:val="008D1097"/>
    <w:rsid w:val="008D11A8"/>
    <w:rsid w:val="008D1417"/>
    <w:rsid w:val="008D1DF5"/>
    <w:rsid w:val="008D1F27"/>
    <w:rsid w:val="008D2EFD"/>
    <w:rsid w:val="008D2F95"/>
    <w:rsid w:val="008D384C"/>
    <w:rsid w:val="008D3EF5"/>
    <w:rsid w:val="008D483E"/>
    <w:rsid w:val="008D4B98"/>
    <w:rsid w:val="008D4BD7"/>
    <w:rsid w:val="008D5469"/>
    <w:rsid w:val="008D56F1"/>
    <w:rsid w:val="008D62B4"/>
    <w:rsid w:val="008D6375"/>
    <w:rsid w:val="008D7D36"/>
    <w:rsid w:val="008E02E0"/>
    <w:rsid w:val="008E0670"/>
    <w:rsid w:val="008E114F"/>
    <w:rsid w:val="008E1153"/>
    <w:rsid w:val="008E1D76"/>
    <w:rsid w:val="008E2594"/>
    <w:rsid w:val="008E2DD0"/>
    <w:rsid w:val="008E3455"/>
    <w:rsid w:val="008E3BFB"/>
    <w:rsid w:val="008E50BD"/>
    <w:rsid w:val="008E52DB"/>
    <w:rsid w:val="008E5755"/>
    <w:rsid w:val="008E5A64"/>
    <w:rsid w:val="008E6356"/>
    <w:rsid w:val="008E6529"/>
    <w:rsid w:val="008E664D"/>
    <w:rsid w:val="008E6C51"/>
    <w:rsid w:val="008E6F7A"/>
    <w:rsid w:val="008E7734"/>
    <w:rsid w:val="008F04B2"/>
    <w:rsid w:val="008F07ED"/>
    <w:rsid w:val="008F142D"/>
    <w:rsid w:val="008F1674"/>
    <w:rsid w:val="008F192D"/>
    <w:rsid w:val="008F2699"/>
    <w:rsid w:val="008F3FE5"/>
    <w:rsid w:val="008F42D7"/>
    <w:rsid w:val="008F4382"/>
    <w:rsid w:val="008F4CE7"/>
    <w:rsid w:val="008F5536"/>
    <w:rsid w:val="008F6537"/>
    <w:rsid w:val="00900590"/>
    <w:rsid w:val="00901459"/>
    <w:rsid w:val="00901C47"/>
    <w:rsid w:val="0090328B"/>
    <w:rsid w:val="009032E9"/>
    <w:rsid w:val="00903EFE"/>
    <w:rsid w:val="009040EB"/>
    <w:rsid w:val="0090437C"/>
    <w:rsid w:val="0090472D"/>
    <w:rsid w:val="0090518E"/>
    <w:rsid w:val="0090563D"/>
    <w:rsid w:val="00906EF4"/>
    <w:rsid w:val="00907057"/>
    <w:rsid w:val="00910287"/>
    <w:rsid w:val="00910799"/>
    <w:rsid w:val="00910D9D"/>
    <w:rsid w:val="00910F33"/>
    <w:rsid w:val="00911691"/>
    <w:rsid w:val="009118B0"/>
    <w:rsid w:val="00912000"/>
    <w:rsid w:val="009120D7"/>
    <w:rsid w:val="009124E6"/>
    <w:rsid w:val="00913944"/>
    <w:rsid w:val="00915B92"/>
    <w:rsid w:val="00916440"/>
    <w:rsid w:val="00916748"/>
    <w:rsid w:val="00917332"/>
    <w:rsid w:val="009177FA"/>
    <w:rsid w:val="009202C5"/>
    <w:rsid w:val="009205FD"/>
    <w:rsid w:val="00920773"/>
    <w:rsid w:val="009209C5"/>
    <w:rsid w:val="00921817"/>
    <w:rsid w:val="00922327"/>
    <w:rsid w:val="0092265F"/>
    <w:rsid w:val="00922F1A"/>
    <w:rsid w:val="0092359E"/>
    <w:rsid w:val="00923EA0"/>
    <w:rsid w:val="0092474D"/>
    <w:rsid w:val="00924C0E"/>
    <w:rsid w:val="00925637"/>
    <w:rsid w:val="0092598F"/>
    <w:rsid w:val="00925FF9"/>
    <w:rsid w:val="009265E4"/>
    <w:rsid w:val="00927BAA"/>
    <w:rsid w:val="00927E94"/>
    <w:rsid w:val="00930743"/>
    <w:rsid w:val="00930B6B"/>
    <w:rsid w:val="00931282"/>
    <w:rsid w:val="00931457"/>
    <w:rsid w:val="009315B3"/>
    <w:rsid w:val="0093167B"/>
    <w:rsid w:val="0093175E"/>
    <w:rsid w:val="00932333"/>
    <w:rsid w:val="00932567"/>
    <w:rsid w:val="009326C6"/>
    <w:rsid w:val="00933665"/>
    <w:rsid w:val="00933695"/>
    <w:rsid w:val="00933A7E"/>
    <w:rsid w:val="00933CF4"/>
    <w:rsid w:val="00933F52"/>
    <w:rsid w:val="009344EF"/>
    <w:rsid w:val="00934513"/>
    <w:rsid w:val="0093661E"/>
    <w:rsid w:val="00936789"/>
    <w:rsid w:val="00936E0F"/>
    <w:rsid w:val="00936EF5"/>
    <w:rsid w:val="009372E1"/>
    <w:rsid w:val="00937FBA"/>
    <w:rsid w:val="009417AC"/>
    <w:rsid w:val="00942550"/>
    <w:rsid w:val="0094325C"/>
    <w:rsid w:val="00945766"/>
    <w:rsid w:val="009457AC"/>
    <w:rsid w:val="00945B1E"/>
    <w:rsid w:val="0094609D"/>
    <w:rsid w:val="00946484"/>
    <w:rsid w:val="00946970"/>
    <w:rsid w:val="00946B28"/>
    <w:rsid w:val="00947447"/>
    <w:rsid w:val="00947B1C"/>
    <w:rsid w:val="009510F9"/>
    <w:rsid w:val="009516DD"/>
    <w:rsid w:val="00951D77"/>
    <w:rsid w:val="00951F1A"/>
    <w:rsid w:val="00953586"/>
    <w:rsid w:val="0095377C"/>
    <w:rsid w:val="00953A0D"/>
    <w:rsid w:val="00954532"/>
    <w:rsid w:val="00954C5C"/>
    <w:rsid w:val="00954D4A"/>
    <w:rsid w:val="009552E3"/>
    <w:rsid w:val="00955ADE"/>
    <w:rsid w:val="00955E1B"/>
    <w:rsid w:val="00955F37"/>
    <w:rsid w:val="0095706B"/>
    <w:rsid w:val="009570F9"/>
    <w:rsid w:val="009573EB"/>
    <w:rsid w:val="00957F66"/>
    <w:rsid w:val="00960092"/>
    <w:rsid w:val="00960671"/>
    <w:rsid w:val="0096083A"/>
    <w:rsid w:val="009609E5"/>
    <w:rsid w:val="009610B1"/>
    <w:rsid w:val="009618CD"/>
    <w:rsid w:val="00961F2F"/>
    <w:rsid w:val="009621E4"/>
    <w:rsid w:val="00962429"/>
    <w:rsid w:val="00963644"/>
    <w:rsid w:val="0096451A"/>
    <w:rsid w:val="00964583"/>
    <w:rsid w:val="00964775"/>
    <w:rsid w:val="00964ACE"/>
    <w:rsid w:val="009659F8"/>
    <w:rsid w:val="009660FF"/>
    <w:rsid w:val="009664CB"/>
    <w:rsid w:val="00966CC0"/>
    <w:rsid w:val="009671A1"/>
    <w:rsid w:val="0097179C"/>
    <w:rsid w:val="0097191C"/>
    <w:rsid w:val="0097198A"/>
    <w:rsid w:val="009734BF"/>
    <w:rsid w:val="00973612"/>
    <w:rsid w:val="009737F3"/>
    <w:rsid w:val="00973917"/>
    <w:rsid w:val="00973C3E"/>
    <w:rsid w:val="00974ACC"/>
    <w:rsid w:val="00974C49"/>
    <w:rsid w:val="00974EE4"/>
    <w:rsid w:val="009754CE"/>
    <w:rsid w:val="009756B6"/>
    <w:rsid w:val="00975EF7"/>
    <w:rsid w:val="00976A74"/>
    <w:rsid w:val="009774BE"/>
    <w:rsid w:val="00977A70"/>
    <w:rsid w:val="00980140"/>
    <w:rsid w:val="009801D6"/>
    <w:rsid w:val="0098027F"/>
    <w:rsid w:val="009802D1"/>
    <w:rsid w:val="0098050A"/>
    <w:rsid w:val="00980592"/>
    <w:rsid w:val="009806B0"/>
    <w:rsid w:val="009807B8"/>
    <w:rsid w:val="00981E56"/>
    <w:rsid w:val="00982064"/>
    <w:rsid w:val="00982142"/>
    <w:rsid w:val="00982639"/>
    <w:rsid w:val="00982EEA"/>
    <w:rsid w:val="00982F82"/>
    <w:rsid w:val="009831E2"/>
    <w:rsid w:val="00983255"/>
    <w:rsid w:val="00983D12"/>
    <w:rsid w:val="00983E5F"/>
    <w:rsid w:val="00985051"/>
    <w:rsid w:val="00985C80"/>
    <w:rsid w:val="00985DA2"/>
    <w:rsid w:val="0098660C"/>
    <w:rsid w:val="00986765"/>
    <w:rsid w:val="009867E7"/>
    <w:rsid w:val="00987028"/>
    <w:rsid w:val="00987DF4"/>
    <w:rsid w:val="00987FDA"/>
    <w:rsid w:val="00990175"/>
    <w:rsid w:val="009919E9"/>
    <w:rsid w:val="00991ED6"/>
    <w:rsid w:val="009920A0"/>
    <w:rsid w:val="00992E8A"/>
    <w:rsid w:val="00992E8D"/>
    <w:rsid w:val="009937FD"/>
    <w:rsid w:val="00994F4D"/>
    <w:rsid w:val="0099582B"/>
    <w:rsid w:val="00995DAF"/>
    <w:rsid w:val="00995E94"/>
    <w:rsid w:val="00995FC3"/>
    <w:rsid w:val="00996AA6"/>
    <w:rsid w:val="00997230"/>
    <w:rsid w:val="009A0274"/>
    <w:rsid w:val="009A035E"/>
    <w:rsid w:val="009A0B9D"/>
    <w:rsid w:val="009A0C64"/>
    <w:rsid w:val="009A18AB"/>
    <w:rsid w:val="009A1C75"/>
    <w:rsid w:val="009A2D7C"/>
    <w:rsid w:val="009A30CD"/>
    <w:rsid w:val="009A30FE"/>
    <w:rsid w:val="009A3FE3"/>
    <w:rsid w:val="009A4644"/>
    <w:rsid w:val="009A468E"/>
    <w:rsid w:val="009A48A4"/>
    <w:rsid w:val="009A4908"/>
    <w:rsid w:val="009A4A3E"/>
    <w:rsid w:val="009A6258"/>
    <w:rsid w:val="009A6B3A"/>
    <w:rsid w:val="009A7442"/>
    <w:rsid w:val="009A76F7"/>
    <w:rsid w:val="009B01CF"/>
    <w:rsid w:val="009B02DB"/>
    <w:rsid w:val="009B0A50"/>
    <w:rsid w:val="009B1DA0"/>
    <w:rsid w:val="009B1F5D"/>
    <w:rsid w:val="009B2407"/>
    <w:rsid w:val="009B2D5B"/>
    <w:rsid w:val="009B34FC"/>
    <w:rsid w:val="009B3BEA"/>
    <w:rsid w:val="009B41BA"/>
    <w:rsid w:val="009B44F0"/>
    <w:rsid w:val="009B545D"/>
    <w:rsid w:val="009B5957"/>
    <w:rsid w:val="009B5C0B"/>
    <w:rsid w:val="009B6013"/>
    <w:rsid w:val="009B7273"/>
    <w:rsid w:val="009B7356"/>
    <w:rsid w:val="009B7FAC"/>
    <w:rsid w:val="009C0C99"/>
    <w:rsid w:val="009C1122"/>
    <w:rsid w:val="009C1840"/>
    <w:rsid w:val="009C1B99"/>
    <w:rsid w:val="009C1DC2"/>
    <w:rsid w:val="009C315D"/>
    <w:rsid w:val="009C323A"/>
    <w:rsid w:val="009C3A70"/>
    <w:rsid w:val="009C3AE8"/>
    <w:rsid w:val="009C4087"/>
    <w:rsid w:val="009C4959"/>
    <w:rsid w:val="009C4CFF"/>
    <w:rsid w:val="009C5961"/>
    <w:rsid w:val="009C76A3"/>
    <w:rsid w:val="009C79E5"/>
    <w:rsid w:val="009C7ACB"/>
    <w:rsid w:val="009C7C85"/>
    <w:rsid w:val="009D03F6"/>
    <w:rsid w:val="009D1578"/>
    <w:rsid w:val="009D485D"/>
    <w:rsid w:val="009D5416"/>
    <w:rsid w:val="009D6353"/>
    <w:rsid w:val="009D6B28"/>
    <w:rsid w:val="009D6CF0"/>
    <w:rsid w:val="009D6E22"/>
    <w:rsid w:val="009D71D1"/>
    <w:rsid w:val="009D75A9"/>
    <w:rsid w:val="009D7906"/>
    <w:rsid w:val="009E0A40"/>
    <w:rsid w:val="009E153F"/>
    <w:rsid w:val="009E19AE"/>
    <w:rsid w:val="009E1E60"/>
    <w:rsid w:val="009E1F86"/>
    <w:rsid w:val="009E3112"/>
    <w:rsid w:val="009E34B7"/>
    <w:rsid w:val="009E434B"/>
    <w:rsid w:val="009E480B"/>
    <w:rsid w:val="009E4986"/>
    <w:rsid w:val="009E4C2E"/>
    <w:rsid w:val="009E5772"/>
    <w:rsid w:val="009E5BAE"/>
    <w:rsid w:val="009E5BF5"/>
    <w:rsid w:val="009E5D18"/>
    <w:rsid w:val="009E5EC1"/>
    <w:rsid w:val="009E5F8E"/>
    <w:rsid w:val="009E648E"/>
    <w:rsid w:val="009E65CA"/>
    <w:rsid w:val="009E699D"/>
    <w:rsid w:val="009F1904"/>
    <w:rsid w:val="009F209E"/>
    <w:rsid w:val="009F2446"/>
    <w:rsid w:val="009F2450"/>
    <w:rsid w:val="009F259C"/>
    <w:rsid w:val="009F2BF4"/>
    <w:rsid w:val="009F2C12"/>
    <w:rsid w:val="009F2F47"/>
    <w:rsid w:val="009F385D"/>
    <w:rsid w:val="009F4B7F"/>
    <w:rsid w:val="009F555E"/>
    <w:rsid w:val="009F5C78"/>
    <w:rsid w:val="009F5E9D"/>
    <w:rsid w:val="009F5F56"/>
    <w:rsid w:val="009F697A"/>
    <w:rsid w:val="009F6DAC"/>
    <w:rsid w:val="009F7309"/>
    <w:rsid w:val="009F763F"/>
    <w:rsid w:val="009F7748"/>
    <w:rsid w:val="009F7802"/>
    <w:rsid w:val="009F791B"/>
    <w:rsid w:val="009F79D5"/>
    <w:rsid w:val="009F7D96"/>
    <w:rsid w:val="00A007E7"/>
    <w:rsid w:val="00A00F2E"/>
    <w:rsid w:val="00A01E64"/>
    <w:rsid w:val="00A02992"/>
    <w:rsid w:val="00A03470"/>
    <w:rsid w:val="00A035DE"/>
    <w:rsid w:val="00A035EA"/>
    <w:rsid w:val="00A04F59"/>
    <w:rsid w:val="00A05597"/>
    <w:rsid w:val="00A05B20"/>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F1D"/>
    <w:rsid w:val="00A121D9"/>
    <w:rsid w:val="00A1253F"/>
    <w:rsid w:val="00A12ACB"/>
    <w:rsid w:val="00A13C50"/>
    <w:rsid w:val="00A14331"/>
    <w:rsid w:val="00A145EB"/>
    <w:rsid w:val="00A14AB2"/>
    <w:rsid w:val="00A14AC9"/>
    <w:rsid w:val="00A159CA"/>
    <w:rsid w:val="00A175A7"/>
    <w:rsid w:val="00A17608"/>
    <w:rsid w:val="00A177D9"/>
    <w:rsid w:val="00A1787D"/>
    <w:rsid w:val="00A20573"/>
    <w:rsid w:val="00A207FA"/>
    <w:rsid w:val="00A20C94"/>
    <w:rsid w:val="00A21374"/>
    <w:rsid w:val="00A21C4C"/>
    <w:rsid w:val="00A220B7"/>
    <w:rsid w:val="00A227D6"/>
    <w:rsid w:val="00A227E7"/>
    <w:rsid w:val="00A22A71"/>
    <w:rsid w:val="00A22D55"/>
    <w:rsid w:val="00A22F6E"/>
    <w:rsid w:val="00A239DB"/>
    <w:rsid w:val="00A24008"/>
    <w:rsid w:val="00A24078"/>
    <w:rsid w:val="00A2475E"/>
    <w:rsid w:val="00A258E0"/>
    <w:rsid w:val="00A25FCF"/>
    <w:rsid w:val="00A269B5"/>
    <w:rsid w:val="00A26A3F"/>
    <w:rsid w:val="00A2726D"/>
    <w:rsid w:val="00A30627"/>
    <w:rsid w:val="00A30B6C"/>
    <w:rsid w:val="00A31D99"/>
    <w:rsid w:val="00A31F37"/>
    <w:rsid w:val="00A3244C"/>
    <w:rsid w:val="00A32555"/>
    <w:rsid w:val="00A32E59"/>
    <w:rsid w:val="00A33017"/>
    <w:rsid w:val="00A333C1"/>
    <w:rsid w:val="00A33D5D"/>
    <w:rsid w:val="00A33E4D"/>
    <w:rsid w:val="00A346EE"/>
    <w:rsid w:val="00A34995"/>
    <w:rsid w:val="00A34C32"/>
    <w:rsid w:val="00A34DDE"/>
    <w:rsid w:val="00A34EAB"/>
    <w:rsid w:val="00A350EA"/>
    <w:rsid w:val="00A3594F"/>
    <w:rsid w:val="00A35BF0"/>
    <w:rsid w:val="00A35D94"/>
    <w:rsid w:val="00A362F7"/>
    <w:rsid w:val="00A36940"/>
    <w:rsid w:val="00A36990"/>
    <w:rsid w:val="00A36EBD"/>
    <w:rsid w:val="00A37C51"/>
    <w:rsid w:val="00A40F98"/>
    <w:rsid w:val="00A4174E"/>
    <w:rsid w:val="00A42AD8"/>
    <w:rsid w:val="00A43813"/>
    <w:rsid w:val="00A43D47"/>
    <w:rsid w:val="00A44090"/>
    <w:rsid w:val="00A440A6"/>
    <w:rsid w:val="00A45121"/>
    <w:rsid w:val="00A45B00"/>
    <w:rsid w:val="00A4618D"/>
    <w:rsid w:val="00A464E1"/>
    <w:rsid w:val="00A46C4E"/>
    <w:rsid w:val="00A46D95"/>
    <w:rsid w:val="00A46F53"/>
    <w:rsid w:val="00A47081"/>
    <w:rsid w:val="00A47480"/>
    <w:rsid w:val="00A47E8C"/>
    <w:rsid w:val="00A50F9A"/>
    <w:rsid w:val="00A51BC0"/>
    <w:rsid w:val="00A5298C"/>
    <w:rsid w:val="00A52AD0"/>
    <w:rsid w:val="00A53497"/>
    <w:rsid w:val="00A536CB"/>
    <w:rsid w:val="00A542F8"/>
    <w:rsid w:val="00A54524"/>
    <w:rsid w:val="00A55A47"/>
    <w:rsid w:val="00A56DF0"/>
    <w:rsid w:val="00A574BF"/>
    <w:rsid w:val="00A5790F"/>
    <w:rsid w:val="00A579F8"/>
    <w:rsid w:val="00A605E1"/>
    <w:rsid w:val="00A60C15"/>
    <w:rsid w:val="00A6204A"/>
    <w:rsid w:val="00A62093"/>
    <w:rsid w:val="00A6310C"/>
    <w:rsid w:val="00A6316B"/>
    <w:rsid w:val="00A63679"/>
    <w:rsid w:val="00A639BE"/>
    <w:rsid w:val="00A63A8F"/>
    <w:rsid w:val="00A64389"/>
    <w:rsid w:val="00A64797"/>
    <w:rsid w:val="00A64817"/>
    <w:rsid w:val="00A66BE3"/>
    <w:rsid w:val="00A67102"/>
    <w:rsid w:val="00A67F2A"/>
    <w:rsid w:val="00A70347"/>
    <w:rsid w:val="00A71CDE"/>
    <w:rsid w:val="00A7252E"/>
    <w:rsid w:val="00A72BBC"/>
    <w:rsid w:val="00A72E18"/>
    <w:rsid w:val="00A730F3"/>
    <w:rsid w:val="00A73C89"/>
    <w:rsid w:val="00A74BE6"/>
    <w:rsid w:val="00A754C4"/>
    <w:rsid w:val="00A7557C"/>
    <w:rsid w:val="00A758A4"/>
    <w:rsid w:val="00A75A61"/>
    <w:rsid w:val="00A75BA0"/>
    <w:rsid w:val="00A75FDF"/>
    <w:rsid w:val="00A768A2"/>
    <w:rsid w:val="00A76A55"/>
    <w:rsid w:val="00A773B4"/>
    <w:rsid w:val="00A80733"/>
    <w:rsid w:val="00A80948"/>
    <w:rsid w:val="00A81811"/>
    <w:rsid w:val="00A833A3"/>
    <w:rsid w:val="00A835E5"/>
    <w:rsid w:val="00A83768"/>
    <w:rsid w:val="00A84373"/>
    <w:rsid w:val="00A8456A"/>
    <w:rsid w:val="00A845ED"/>
    <w:rsid w:val="00A859F5"/>
    <w:rsid w:val="00A867C8"/>
    <w:rsid w:val="00A867CD"/>
    <w:rsid w:val="00A86F87"/>
    <w:rsid w:val="00A87161"/>
    <w:rsid w:val="00A874D6"/>
    <w:rsid w:val="00A87C01"/>
    <w:rsid w:val="00A902A7"/>
    <w:rsid w:val="00A90327"/>
    <w:rsid w:val="00A904AB"/>
    <w:rsid w:val="00A90DEF"/>
    <w:rsid w:val="00A91FE5"/>
    <w:rsid w:val="00A92F34"/>
    <w:rsid w:val="00A93154"/>
    <w:rsid w:val="00A93214"/>
    <w:rsid w:val="00A93ABB"/>
    <w:rsid w:val="00A93C27"/>
    <w:rsid w:val="00A93C2B"/>
    <w:rsid w:val="00A94865"/>
    <w:rsid w:val="00A94D8C"/>
    <w:rsid w:val="00A9598F"/>
    <w:rsid w:val="00A96FC0"/>
    <w:rsid w:val="00A97BFA"/>
    <w:rsid w:val="00AA007C"/>
    <w:rsid w:val="00AA0B30"/>
    <w:rsid w:val="00AA25C9"/>
    <w:rsid w:val="00AA3676"/>
    <w:rsid w:val="00AA3726"/>
    <w:rsid w:val="00AA40AA"/>
    <w:rsid w:val="00AA4F09"/>
    <w:rsid w:val="00AA64E9"/>
    <w:rsid w:val="00AA67F0"/>
    <w:rsid w:val="00AA7897"/>
    <w:rsid w:val="00AA7A72"/>
    <w:rsid w:val="00AA7DCE"/>
    <w:rsid w:val="00AA7F8C"/>
    <w:rsid w:val="00AA7FA5"/>
    <w:rsid w:val="00AB0725"/>
    <w:rsid w:val="00AB0807"/>
    <w:rsid w:val="00AB0FB2"/>
    <w:rsid w:val="00AB10E3"/>
    <w:rsid w:val="00AB18AB"/>
    <w:rsid w:val="00AB1FAD"/>
    <w:rsid w:val="00AB2AF8"/>
    <w:rsid w:val="00AB37FD"/>
    <w:rsid w:val="00AB41AF"/>
    <w:rsid w:val="00AB42BB"/>
    <w:rsid w:val="00AB4316"/>
    <w:rsid w:val="00AB4B6A"/>
    <w:rsid w:val="00AB502F"/>
    <w:rsid w:val="00AB50C3"/>
    <w:rsid w:val="00AB57D9"/>
    <w:rsid w:val="00AB6F61"/>
    <w:rsid w:val="00AB7601"/>
    <w:rsid w:val="00AB7957"/>
    <w:rsid w:val="00AB7A15"/>
    <w:rsid w:val="00AC0BD8"/>
    <w:rsid w:val="00AC1E53"/>
    <w:rsid w:val="00AC2F56"/>
    <w:rsid w:val="00AC3669"/>
    <w:rsid w:val="00AC42FA"/>
    <w:rsid w:val="00AC455C"/>
    <w:rsid w:val="00AC45CA"/>
    <w:rsid w:val="00AC4D66"/>
    <w:rsid w:val="00AC5C0E"/>
    <w:rsid w:val="00AC5FCE"/>
    <w:rsid w:val="00AC615E"/>
    <w:rsid w:val="00AC62B7"/>
    <w:rsid w:val="00AC6BDA"/>
    <w:rsid w:val="00AC6E20"/>
    <w:rsid w:val="00AC7A38"/>
    <w:rsid w:val="00AD0404"/>
    <w:rsid w:val="00AD07F1"/>
    <w:rsid w:val="00AD20E0"/>
    <w:rsid w:val="00AD2BE1"/>
    <w:rsid w:val="00AD3477"/>
    <w:rsid w:val="00AD3C49"/>
    <w:rsid w:val="00AD3D21"/>
    <w:rsid w:val="00AD68F8"/>
    <w:rsid w:val="00AD692B"/>
    <w:rsid w:val="00AE08FD"/>
    <w:rsid w:val="00AE0B68"/>
    <w:rsid w:val="00AE0CA2"/>
    <w:rsid w:val="00AE10CD"/>
    <w:rsid w:val="00AE13BB"/>
    <w:rsid w:val="00AE1499"/>
    <w:rsid w:val="00AE2D0A"/>
    <w:rsid w:val="00AE3725"/>
    <w:rsid w:val="00AE448F"/>
    <w:rsid w:val="00AE4E58"/>
    <w:rsid w:val="00AE4F14"/>
    <w:rsid w:val="00AE5139"/>
    <w:rsid w:val="00AE54FA"/>
    <w:rsid w:val="00AE5C8B"/>
    <w:rsid w:val="00AE65CA"/>
    <w:rsid w:val="00AE6800"/>
    <w:rsid w:val="00AE6CDA"/>
    <w:rsid w:val="00AE72FC"/>
    <w:rsid w:val="00AE7389"/>
    <w:rsid w:val="00AE751E"/>
    <w:rsid w:val="00AF16A0"/>
    <w:rsid w:val="00AF17A5"/>
    <w:rsid w:val="00AF239F"/>
    <w:rsid w:val="00AF23AA"/>
    <w:rsid w:val="00AF23C2"/>
    <w:rsid w:val="00AF3040"/>
    <w:rsid w:val="00AF31DB"/>
    <w:rsid w:val="00AF39BC"/>
    <w:rsid w:val="00AF44E0"/>
    <w:rsid w:val="00AF51E5"/>
    <w:rsid w:val="00AF52E7"/>
    <w:rsid w:val="00AF575D"/>
    <w:rsid w:val="00AF5D55"/>
    <w:rsid w:val="00AF605B"/>
    <w:rsid w:val="00AF62CE"/>
    <w:rsid w:val="00AF741B"/>
    <w:rsid w:val="00AF7453"/>
    <w:rsid w:val="00AF7C3D"/>
    <w:rsid w:val="00AF7E72"/>
    <w:rsid w:val="00AF7F12"/>
    <w:rsid w:val="00B00C97"/>
    <w:rsid w:val="00B0115C"/>
    <w:rsid w:val="00B01F83"/>
    <w:rsid w:val="00B02BD8"/>
    <w:rsid w:val="00B0338C"/>
    <w:rsid w:val="00B0396C"/>
    <w:rsid w:val="00B03F9B"/>
    <w:rsid w:val="00B0432F"/>
    <w:rsid w:val="00B043ED"/>
    <w:rsid w:val="00B054FF"/>
    <w:rsid w:val="00B05CB6"/>
    <w:rsid w:val="00B0633F"/>
    <w:rsid w:val="00B06DE5"/>
    <w:rsid w:val="00B070A0"/>
    <w:rsid w:val="00B07CC0"/>
    <w:rsid w:val="00B102F5"/>
    <w:rsid w:val="00B103E9"/>
    <w:rsid w:val="00B11539"/>
    <w:rsid w:val="00B11586"/>
    <w:rsid w:val="00B11E6D"/>
    <w:rsid w:val="00B11FA4"/>
    <w:rsid w:val="00B12242"/>
    <w:rsid w:val="00B1393B"/>
    <w:rsid w:val="00B140D2"/>
    <w:rsid w:val="00B1462C"/>
    <w:rsid w:val="00B14CD1"/>
    <w:rsid w:val="00B15491"/>
    <w:rsid w:val="00B1562F"/>
    <w:rsid w:val="00B16D0D"/>
    <w:rsid w:val="00B16D63"/>
    <w:rsid w:val="00B174AB"/>
    <w:rsid w:val="00B17629"/>
    <w:rsid w:val="00B2135F"/>
    <w:rsid w:val="00B21D6E"/>
    <w:rsid w:val="00B222B5"/>
    <w:rsid w:val="00B22C39"/>
    <w:rsid w:val="00B22D8C"/>
    <w:rsid w:val="00B22DE0"/>
    <w:rsid w:val="00B2352F"/>
    <w:rsid w:val="00B23D2D"/>
    <w:rsid w:val="00B24380"/>
    <w:rsid w:val="00B24FEA"/>
    <w:rsid w:val="00B2540B"/>
    <w:rsid w:val="00B25426"/>
    <w:rsid w:val="00B258B5"/>
    <w:rsid w:val="00B25B94"/>
    <w:rsid w:val="00B25FE6"/>
    <w:rsid w:val="00B2603E"/>
    <w:rsid w:val="00B26397"/>
    <w:rsid w:val="00B26407"/>
    <w:rsid w:val="00B26CD6"/>
    <w:rsid w:val="00B27255"/>
    <w:rsid w:val="00B2749B"/>
    <w:rsid w:val="00B2763A"/>
    <w:rsid w:val="00B27A0A"/>
    <w:rsid w:val="00B30160"/>
    <w:rsid w:val="00B301E2"/>
    <w:rsid w:val="00B3068C"/>
    <w:rsid w:val="00B317DC"/>
    <w:rsid w:val="00B31A2F"/>
    <w:rsid w:val="00B31E48"/>
    <w:rsid w:val="00B327F4"/>
    <w:rsid w:val="00B32D08"/>
    <w:rsid w:val="00B32F4E"/>
    <w:rsid w:val="00B3322F"/>
    <w:rsid w:val="00B334B1"/>
    <w:rsid w:val="00B339CE"/>
    <w:rsid w:val="00B33E53"/>
    <w:rsid w:val="00B3426C"/>
    <w:rsid w:val="00B35631"/>
    <w:rsid w:val="00B3586B"/>
    <w:rsid w:val="00B3587C"/>
    <w:rsid w:val="00B35B04"/>
    <w:rsid w:val="00B36E10"/>
    <w:rsid w:val="00B36E89"/>
    <w:rsid w:val="00B37246"/>
    <w:rsid w:val="00B3733C"/>
    <w:rsid w:val="00B3775E"/>
    <w:rsid w:val="00B377BE"/>
    <w:rsid w:val="00B37810"/>
    <w:rsid w:val="00B37B94"/>
    <w:rsid w:val="00B37E95"/>
    <w:rsid w:val="00B4097F"/>
    <w:rsid w:val="00B410B3"/>
    <w:rsid w:val="00B4190C"/>
    <w:rsid w:val="00B41956"/>
    <w:rsid w:val="00B42A22"/>
    <w:rsid w:val="00B43539"/>
    <w:rsid w:val="00B45359"/>
    <w:rsid w:val="00B45535"/>
    <w:rsid w:val="00B4553C"/>
    <w:rsid w:val="00B4572C"/>
    <w:rsid w:val="00B459C8"/>
    <w:rsid w:val="00B45BAB"/>
    <w:rsid w:val="00B46739"/>
    <w:rsid w:val="00B46975"/>
    <w:rsid w:val="00B472EC"/>
    <w:rsid w:val="00B51611"/>
    <w:rsid w:val="00B518C6"/>
    <w:rsid w:val="00B52046"/>
    <w:rsid w:val="00B5259A"/>
    <w:rsid w:val="00B52CB1"/>
    <w:rsid w:val="00B53B6D"/>
    <w:rsid w:val="00B53C9A"/>
    <w:rsid w:val="00B53D31"/>
    <w:rsid w:val="00B54F0D"/>
    <w:rsid w:val="00B553DF"/>
    <w:rsid w:val="00B5563C"/>
    <w:rsid w:val="00B55939"/>
    <w:rsid w:val="00B57D54"/>
    <w:rsid w:val="00B60946"/>
    <w:rsid w:val="00B609C3"/>
    <w:rsid w:val="00B609D4"/>
    <w:rsid w:val="00B60FB5"/>
    <w:rsid w:val="00B62014"/>
    <w:rsid w:val="00B629C9"/>
    <w:rsid w:val="00B63426"/>
    <w:rsid w:val="00B63656"/>
    <w:rsid w:val="00B63F21"/>
    <w:rsid w:val="00B63FB6"/>
    <w:rsid w:val="00B64086"/>
    <w:rsid w:val="00B64519"/>
    <w:rsid w:val="00B64541"/>
    <w:rsid w:val="00B6456D"/>
    <w:rsid w:val="00B64BD0"/>
    <w:rsid w:val="00B64DCA"/>
    <w:rsid w:val="00B64FCD"/>
    <w:rsid w:val="00B65C38"/>
    <w:rsid w:val="00B65CBD"/>
    <w:rsid w:val="00B667B1"/>
    <w:rsid w:val="00B66802"/>
    <w:rsid w:val="00B67453"/>
    <w:rsid w:val="00B675F7"/>
    <w:rsid w:val="00B677EA"/>
    <w:rsid w:val="00B67A78"/>
    <w:rsid w:val="00B7086A"/>
    <w:rsid w:val="00B70A5F"/>
    <w:rsid w:val="00B70C27"/>
    <w:rsid w:val="00B70E97"/>
    <w:rsid w:val="00B715DC"/>
    <w:rsid w:val="00B71ACD"/>
    <w:rsid w:val="00B722FE"/>
    <w:rsid w:val="00B729F1"/>
    <w:rsid w:val="00B7300C"/>
    <w:rsid w:val="00B73222"/>
    <w:rsid w:val="00B74D56"/>
    <w:rsid w:val="00B75CCA"/>
    <w:rsid w:val="00B768A7"/>
    <w:rsid w:val="00B76970"/>
    <w:rsid w:val="00B76F65"/>
    <w:rsid w:val="00B7738B"/>
    <w:rsid w:val="00B77E9E"/>
    <w:rsid w:val="00B80406"/>
    <w:rsid w:val="00B80A5E"/>
    <w:rsid w:val="00B80F1F"/>
    <w:rsid w:val="00B813C8"/>
    <w:rsid w:val="00B8146F"/>
    <w:rsid w:val="00B8167D"/>
    <w:rsid w:val="00B82C49"/>
    <w:rsid w:val="00B82D90"/>
    <w:rsid w:val="00B82FB4"/>
    <w:rsid w:val="00B83B69"/>
    <w:rsid w:val="00B83DFC"/>
    <w:rsid w:val="00B83F10"/>
    <w:rsid w:val="00B84439"/>
    <w:rsid w:val="00B849A9"/>
    <w:rsid w:val="00B8654A"/>
    <w:rsid w:val="00B86B7E"/>
    <w:rsid w:val="00B87DD5"/>
    <w:rsid w:val="00B90F96"/>
    <w:rsid w:val="00B9219F"/>
    <w:rsid w:val="00B926CB"/>
    <w:rsid w:val="00B92BB9"/>
    <w:rsid w:val="00B933B2"/>
    <w:rsid w:val="00B936CB"/>
    <w:rsid w:val="00B93CAF"/>
    <w:rsid w:val="00B941B6"/>
    <w:rsid w:val="00B94A06"/>
    <w:rsid w:val="00B952E7"/>
    <w:rsid w:val="00B95B2F"/>
    <w:rsid w:val="00B95E21"/>
    <w:rsid w:val="00B97356"/>
    <w:rsid w:val="00B97A6D"/>
    <w:rsid w:val="00BA0391"/>
    <w:rsid w:val="00BA060B"/>
    <w:rsid w:val="00BA0710"/>
    <w:rsid w:val="00BA0D90"/>
    <w:rsid w:val="00BA0DCD"/>
    <w:rsid w:val="00BA22BB"/>
    <w:rsid w:val="00BA2423"/>
    <w:rsid w:val="00BA249D"/>
    <w:rsid w:val="00BA34B1"/>
    <w:rsid w:val="00BA382E"/>
    <w:rsid w:val="00BA3830"/>
    <w:rsid w:val="00BA41E7"/>
    <w:rsid w:val="00BA42E0"/>
    <w:rsid w:val="00BA5792"/>
    <w:rsid w:val="00BA7701"/>
    <w:rsid w:val="00BA7AF1"/>
    <w:rsid w:val="00BA7BAB"/>
    <w:rsid w:val="00BA7C02"/>
    <w:rsid w:val="00BA7C73"/>
    <w:rsid w:val="00BB00C3"/>
    <w:rsid w:val="00BB01F3"/>
    <w:rsid w:val="00BB073E"/>
    <w:rsid w:val="00BB0741"/>
    <w:rsid w:val="00BB17AD"/>
    <w:rsid w:val="00BB292D"/>
    <w:rsid w:val="00BB300F"/>
    <w:rsid w:val="00BB369B"/>
    <w:rsid w:val="00BB3919"/>
    <w:rsid w:val="00BB3A56"/>
    <w:rsid w:val="00BB3E2E"/>
    <w:rsid w:val="00BB49CB"/>
    <w:rsid w:val="00BB4CAE"/>
    <w:rsid w:val="00BB67F1"/>
    <w:rsid w:val="00BB6A14"/>
    <w:rsid w:val="00BB79C2"/>
    <w:rsid w:val="00BB7E42"/>
    <w:rsid w:val="00BB7F0F"/>
    <w:rsid w:val="00BC0EC7"/>
    <w:rsid w:val="00BC1722"/>
    <w:rsid w:val="00BC194A"/>
    <w:rsid w:val="00BC2214"/>
    <w:rsid w:val="00BC2825"/>
    <w:rsid w:val="00BC2E96"/>
    <w:rsid w:val="00BC365F"/>
    <w:rsid w:val="00BC3A31"/>
    <w:rsid w:val="00BC406F"/>
    <w:rsid w:val="00BC4C88"/>
    <w:rsid w:val="00BC59CA"/>
    <w:rsid w:val="00BC6970"/>
    <w:rsid w:val="00BC6BA8"/>
    <w:rsid w:val="00BC6D81"/>
    <w:rsid w:val="00BC6F87"/>
    <w:rsid w:val="00BC734E"/>
    <w:rsid w:val="00BC7713"/>
    <w:rsid w:val="00BC7C93"/>
    <w:rsid w:val="00BD0286"/>
    <w:rsid w:val="00BD0A29"/>
    <w:rsid w:val="00BD1B3F"/>
    <w:rsid w:val="00BD33A9"/>
    <w:rsid w:val="00BD33BE"/>
    <w:rsid w:val="00BD3792"/>
    <w:rsid w:val="00BD3C72"/>
    <w:rsid w:val="00BD4E12"/>
    <w:rsid w:val="00BD56F8"/>
    <w:rsid w:val="00BD5D4E"/>
    <w:rsid w:val="00BD5F7E"/>
    <w:rsid w:val="00BD7991"/>
    <w:rsid w:val="00BD7E30"/>
    <w:rsid w:val="00BE0BDD"/>
    <w:rsid w:val="00BE21E3"/>
    <w:rsid w:val="00BE305B"/>
    <w:rsid w:val="00BE5C9E"/>
    <w:rsid w:val="00BE5F4E"/>
    <w:rsid w:val="00BE618A"/>
    <w:rsid w:val="00BE62B2"/>
    <w:rsid w:val="00BE6350"/>
    <w:rsid w:val="00BE67F1"/>
    <w:rsid w:val="00BE7287"/>
    <w:rsid w:val="00BE7C93"/>
    <w:rsid w:val="00BF0362"/>
    <w:rsid w:val="00BF0479"/>
    <w:rsid w:val="00BF0D73"/>
    <w:rsid w:val="00BF1069"/>
    <w:rsid w:val="00BF1A87"/>
    <w:rsid w:val="00BF1D23"/>
    <w:rsid w:val="00BF1F82"/>
    <w:rsid w:val="00BF2520"/>
    <w:rsid w:val="00BF3470"/>
    <w:rsid w:val="00BF3B94"/>
    <w:rsid w:val="00BF3FF8"/>
    <w:rsid w:val="00BF4C53"/>
    <w:rsid w:val="00BF54DC"/>
    <w:rsid w:val="00BF5748"/>
    <w:rsid w:val="00BF6270"/>
    <w:rsid w:val="00BF67B7"/>
    <w:rsid w:val="00BF770B"/>
    <w:rsid w:val="00BF7802"/>
    <w:rsid w:val="00C007A6"/>
    <w:rsid w:val="00C01510"/>
    <w:rsid w:val="00C01CEB"/>
    <w:rsid w:val="00C01F6E"/>
    <w:rsid w:val="00C03249"/>
    <w:rsid w:val="00C036F7"/>
    <w:rsid w:val="00C03978"/>
    <w:rsid w:val="00C04BA2"/>
    <w:rsid w:val="00C04BAE"/>
    <w:rsid w:val="00C05362"/>
    <w:rsid w:val="00C05537"/>
    <w:rsid w:val="00C05896"/>
    <w:rsid w:val="00C0599A"/>
    <w:rsid w:val="00C06C42"/>
    <w:rsid w:val="00C06D80"/>
    <w:rsid w:val="00C06EB2"/>
    <w:rsid w:val="00C073DA"/>
    <w:rsid w:val="00C079DB"/>
    <w:rsid w:val="00C07C15"/>
    <w:rsid w:val="00C10B9B"/>
    <w:rsid w:val="00C10C30"/>
    <w:rsid w:val="00C1104C"/>
    <w:rsid w:val="00C11577"/>
    <w:rsid w:val="00C11DC5"/>
    <w:rsid w:val="00C11F13"/>
    <w:rsid w:val="00C11F39"/>
    <w:rsid w:val="00C11F55"/>
    <w:rsid w:val="00C12249"/>
    <w:rsid w:val="00C1250E"/>
    <w:rsid w:val="00C138E7"/>
    <w:rsid w:val="00C139A1"/>
    <w:rsid w:val="00C1448C"/>
    <w:rsid w:val="00C14D7A"/>
    <w:rsid w:val="00C16490"/>
    <w:rsid w:val="00C17059"/>
    <w:rsid w:val="00C17174"/>
    <w:rsid w:val="00C171C5"/>
    <w:rsid w:val="00C17B44"/>
    <w:rsid w:val="00C17F63"/>
    <w:rsid w:val="00C2041C"/>
    <w:rsid w:val="00C20869"/>
    <w:rsid w:val="00C20DC6"/>
    <w:rsid w:val="00C2113D"/>
    <w:rsid w:val="00C21363"/>
    <w:rsid w:val="00C215D1"/>
    <w:rsid w:val="00C21AE1"/>
    <w:rsid w:val="00C223D1"/>
    <w:rsid w:val="00C227C6"/>
    <w:rsid w:val="00C22816"/>
    <w:rsid w:val="00C230F6"/>
    <w:rsid w:val="00C23686"/>
    <w:rsid w:val="00C23832"/>
    <w:rsid w:val="00C23F8A"/>
    <w:rsid w:val="00C244B3"/>
    <w:rsid w:val="00C24B05"/>
    <w:rsid w:val="00C24D07"/>
    <w:rsid w:val="00C25052"/>
    <w:rsid w:val="00C25D31"/>
    <w:rsid w:val="00C262C1"/>
    <w:rsid w:val="00C265D0"/>
    <w:rsid w:val="00C26FE5"/>
    <w:rsid w:val="00C3022B"/>
    <w:rsid w:val="00C30723"/>
    <w:rsid w:val="00C3137D"/>
    <w:rsid w:val="00C31756"/>
    <w:rsid w:val="00C31F7F"/>
    <w:rsid w:val="00C32186"/>
    <w:rsid w:val="00C335AE"/>
    <w:rsid w:val="00C3427B"/>
    <w:rsid w:val="00C34E1F"/>
    <w:rsid w:val="00C35C70"/>
    <w:rsid w:val="00C35E26"/>
    <w:rsid w:val="00C3626A"/>
    <w:rsid w:val="00C36684"/>
    <w:rsid w:val="00C36DCC"/>
    <w:rsid w:val="00C36F0A"/>
    <w:rsid w:val="00C36F4F"/>
    <w:rsid w:val="00C372CB"/>
    <w:rsid w:val="00C4067A"/>
    <w:rsid w:val="00C41480"/>
    <w:rsid w:val="00C417F1"/>
    <w:rsid w:val="00C44052"/>
    <w:rsid w:val="00C44368"/>
    <w:rsid w:val="00C46111"/>
    <w:rsid w:val="00C46822"/>
    <w:rsid w:val="00C46CE5"/>
    <w:rsid w:val="00C4706F"/>
    <w:rsid w:val="00C47CFC"/>
    <w:rsid w:val="00C50206"/>
    <w:rsid w:val="00C50260"/>
    <w:rsid w:val="00C51395"/>
    <w:rsid w:val="00C51553"/>
    <w:rsid w:val="00C518A5"/>
    <w:rsid w:val="00C51A60"/>
    <w:rsid w:val="00C520E4"/>
    <w:rsid w:val="00C52334"/>
    <w:rsid w:val="00C5261F"/>
    <w:rsid w:val="00C52C65"/>
    <w:rsid w:val="00C53110"/>
    <w:rsid w:val="00C53B12"/>
    <w:rsid w:val="00C5406E"/>
    <w:rsid w:val="00C541B2"/>
    <w:rsid w:val="00C54928"/>
    <w:rsid w:val="00C54A44"/>
    <w:rsid w:val="00C54E2A"/>
    <w:rsid w:val="00C558CE"/>
    <w:rsid w:val="00C55F5F"/>
    <w:rsid w:val="00C5661F"/>
    <w:rsid w:val="00C57085"/>
    <w:rsid w:val="00C575AF"/>
    <w:rsid w:val="00C576FC"/>
    <w:rsid w:val="00C60361"/>
    <w:rsid w:val="00C60738"/>
    <w:rsid w:val="00C608D7"/>
    <w:rsid w:val="00C60D9F"/>
    <w:rsid w:val="00C620BA"/>
    <w:rsid w:val="00C627C5"/>
    <w:rsid w:val="00C6395F"/>
    <w:rsid w:val="00C63C3D"/>
    <w:rsid w:val="00C644BF"/>
    <w:rsid w:val="00C65163"/>
    <w:rsid w:val="00C65728"/>
    <w:rsid w:val="00C65B6B"/>
    <w:rsid w:val="00C66492"/>
    <w:rsid w:val="00C664AB"/>
    <w:rsid w:val="00C66584"/>
    <w:rsid w:val="00C66705"/>
    <w:rsid w:val="00C67754"/>
    <w:rsid w:val="00C70254"/>
    <w:rsid w:val="00C703C0"/>
    <w:rsid w:val="00C706D1"/>
    <w:rsid w:val="00C70FAE"/>
    <w:rsid w:val="00C7113D"/>
    <w:rsid w:val="00C71284"/>
    <w:rsid w:val="00C719C3"/>
    <w:rsid w:val="00C72DD5"/>
    <w:rsid w:val="00C733A6"/>
    <w:rsid w:val="00C737B0"/>
    <w:rsid w:val="00C73D39"/>
    <w:rsid w:val="00C760ED"/>
    <w:rsid w:val="00C76282"/>
    <w:rsid w:val="00C7675A"/>
    <w:rsid w:val="00C76E9D"/>
    <w:rsid w:val="00C80E18"/>
    <w:rsid w:val="00C816DF"/>
    <w:rsid w:val="00C820EE"/>
    <w:rsid w:val="00C82CD4"/>
    <w:rsid w:val="00C84475"/>
    <w:rsid w:val="00C84713"/>
    <w:rsid w:val="00C84758"/>
    <w:rsid w:val="00C853AB"/>
    <w:rsid w:val="00C85D45"/>
    <w:rsid w:val="00C85F72"/>
    <w:rsid w:val="00C86896"/>
    <w:rsid w:val="00C876E1"/>
    <w:rsid w:val="00C90162"/>
    <w:rsid w:val="00C908A9"/>
    <w:rsid w:val="00C908BE"/>
    <w:rsid w:val="00C91507"/>
    <w:rsid w:val="00C929E1"/>
    <w:rsid w:val="00C92F67"/>
    <w:rsid w:val="00C940C2"/>
    <w:rsid w:val="00C952E9"/>
    <w:rsid w:val="00C95AC8"/>
    <w:rsid w:val="00C95E95"/>
    <w:rsid w:val="00C9639C"/>
    <w:rsid w:val="00C96514"/>
    <w:rsid w:val="00C972A5"/>
    <w:rsid w:val="00C9760B"/>
    <w:rsid w:val="00C976E0"/>
    <w:rsid w:val="00C9796B"/>
    <w:rsid w:val="00C97C19"/>
    <w:rsid w:val="00CA0174"/>
    <w:rsid w:val="00CA018B"/>
    <w:rsid w:val="00CA05EE"/>
    <w:rsid w:val="00CA0C53"/>
    <w:rsid w:val="00CA0FB8"/>
    <w:rsid w:val="00CA1AE4"/>
    <w:rsid w:val="00CA1E0C"/>
    <w:rsid w:val="00CA1FA7"/>
    <w:rsid w:val="00CA20E3"/>
    <w:rsid w:val="00CA245C"/>
    <w:rsid w:val="00CA26EC"/>
    <w:rsid w:val="00CA423D"/>
    <w:rsid w:val="00CA4AAC"/>
    <w:rsid w:val="00CA4E3C"/>
    <w:rsid w:val="00CA5AF9"/>
    <w:rsid w:val="00CA5D0C"/>
    <w:rsid w:val="00CA5E13"/>
    <w:rsid w:val="00CA625D"/>
    <w:rsid w:val="00CA69FF"/>
    <w:rsid w:val="00CA6F73"/>
    <w:rsid w:val="00CA7A1F"/>
    <w:rsid w:val="00CA7DAF"/>
    <w:rsid w:val="00CB017E"/>
    <w:rsid w:val="00CB0226"/>
    <w:rsid w:val="00CB0717"/>
    <w:rsid w:val="00CB0A65"/>
    <w:rsid w:val="00CB0FDE"/>
    <w:rsid w:val="00CB1177"/>
    <w:rsid w:val="00CB1618"/>
    <w:rsid w:val="00CB1A88"/>
    <w:rsid w:val="00CB277F"/>
    <w:rsid w:val="00CB2809"/>
    <w:rsid w:val="00CB328B"/>
    <w:rsid w:val="00CB3318"/>
    <w:rsid w:val="00CB3628"/>
    <w:rsid w:val="00CB407C"/>
    <w:rsid w:val="00CB46B4"/>
    <w:rsid w:val="00CB4940"/>
    <w:rsid w:val="00CB4A70"/>
    <w:rsid w:val="00CB5D5B"/>
    <w:rsid w:val="00CB6E94"/>
    <w:rsid w:val="00CB7060"/>
    <w:rsid w:val="00CB763C"/>
    <w:rsid w:val="00CB77F2"/>
    <w:rsid w:val="00CB7DD6"/>
    <w:rsid w:val="00CC0438"/>
    <w:rsid w:val="00CC0563"/>
    <w:rsid w:val="00CC0C66"/>
    <w:rsid w:val="00CC140D"/>
    <w:rsid w:val="00CC1E56"/>
    <w:rsid w:val="00CC2270"/>
    <w:rsid w:val="00CC3277"/>
    <w:rsid w:val="00CC385B"/>
    <w:rsid w:val="00CC4207"/>
    <w:rsid w:val="00CC51BD"/>
    <w:rsid w:val="00CC5222"/>
    <w:rsid w:val="00CC5775"/>
    <w:rsid w:val="00CC62CD"/>
    <w:rsid w:val="00CC6C6A"/>
    <w:rsid w:val="00CC6F07"/>
    <w:rsid w:val="00CC7881"/>
    <w:rsid w:val="00CC7971"/>
    <w:rsid w:val="00CD0422"/>
    <w:rsid w:val="00CD083E"/>
    <w:rsid w:val="00CD0982"/>
    <w:rsid w:val="00CD0FFA"/>
    <w:rsid w:val="00CD124B"/>
    <w:rsid w:val="00CD19CF"/>
    <w:rsid w:val="00CD2987"/>
    <w:rsid w:val="00CD2A22"/>
    <w:rsid w:val="00CD2A3D"/>
    <w:rsid w:val="00CD2EE0"/>
    <w:rsid w:val="00CD3DD5"/>
    <w:rsid w:val="00CD400D"/>
    <w:rsid w:val="00CD40C7"/>
    <w:rsid w:val="00CD4F38"/>
    <w:rsid w:val="00CD5885"/>
    <w:rsid w:val="00CD5D11"/>
    <w:rsid w:val="00CD63D3"/>
    <w:rsid w:val="00CD6924"/>
    <w:rsid w:val="00CD7055"/>
    <w:rsid w:val="00CD7340"/>
    <w:rsid w:val="00CD73E8"/>
    <w:rsid w:val="00CD78B1"/>
    <w:rsid w:val="00CE047A"/>
    <w:rsid w:val="00CE06B1"/>
    <w:rsid w:val="00CE0944"/>
    <w:rsid w:val="00CE0A76"/>
    <w:rsid w:val="00CE2362"/>
    <w:rsid w:val="00CE3120"/>
    <w:rsid w:val="00CE3C60"/>
    <w:rsid w:val="00CE42DB"/>
    <w:rsid w:val="00CE4C6F"/>
    <w:rsid w:val="00CE52CC"/>
    <w:rsid w:val="00CE53F4"/>
    <w:rsid w:val="00CE5510"/>
    <w:rsid w:val="00CE5B5C"/>
    <w:rsid w:val="00CE5B69"/>
    <w:rsid w:val="00CE5CA9"/>
    <w:rsid w:val="00CE6071"/>
    <w:rsid w:val="00CE66E3"/>
    <w:rsid w:val="00CE793F"/>
    <w:rsid w:val="00CE7E6F"/>
    <w:rsid w:val="00CF15DD"/>
    <w:rsid w:val="00CF223D"/>
    <w:rsid w:val="00CF2703"/>
    <w:rsid w:val="00CF2824"/>
    <w:rsid w:val="00CF3526"/>
    <w:rsid w:val="00CF3A33"/>
    <w:rsid w:val="00CF3C7D"/>
    <w:rsid w:val="00CF4388"/>
    <w:rsid w:val="00CF45BF"/>
    <w:rsid w:val="00CF51C1"/>
    <w:rsid w:val="00CF548B"/>
    <w:rsid w:val="00CF5B47"/>
    <w:rsid w:val="00CF5B54"/>
    <w:rsid w:val="00CF5EE3"/>
    <w:rsid w:val="00CF6C01"/>
    <w:rsid w:val="00CF7105"/>
    <w:rsid w:val="00CF7271"/>
    <w:rsid w:val="00CF7305"/>
    <w:rsid w:val="00D005E0"/>
    <w:rsid w:val="00D00AD1"/>
    <w:rsid w:val="00D012FF"/>
    <w:rsid w:val="00D0157B"/>
    <w:rsid w:val="00D01CC4"/>
    <w:rsid w:val="00D01E6B"/>
    <w:rsid w:val="00D0354D"/>
    <w:rsid w:val="00D0497C"/>
    <w:rsid w:val="00D04F45"/>
    <w:rsid w:val="00D04FAA"/>
    <w:rsid w:val="00D0548B"/>
    <w:rsid w:val="00D05AEE"/>
    <w:rsid w:val="00D05D6E"/>
    <w:rsid w:val="00D0648D"/>
    <w:rsid w:val="00D06EB9"/>
    <w:rsid w:val="00D1153F"/>
    <w:rsid w:val="00D11995"/>
    <w:rsid w:val="00D11CFD"/>
    <w:rsid w:val="00D12432"/>
    <w:rsid w:val="00D12AD9"/>
    <w:rsid w:val="00D13808"/>
    <w:rsid w:val="00D146FE"/>
    <w:rsid w:val="00D1581E"/>
    <w:rsid w:val="00D15D19"/>
    <w:rsid w:val="00D15D93"/>
    <w:rsid w:val="00D15DA1"/>
    <w:rsid w:val="00D15EEC"/>
    <w:rsid w:val="00D1635E"/>
    <w:rsid w:val="00D16380"/>
    <w:rsid w:val="00D163FF"/>
    <w:rsid w:val="00D166B5"/>
    <w:rsid w:val="00D167D0"/>
    <w:rsid w:val="00D16E87"/>
    <w:rsid w:val="00D17335"/>
    <w:rsid w:val="00D2079E"/>
    <w:rsid w:val="00D21356"/>
    <w:rsid w:val="00D216EE"/>
    <w:rsid w:val="00D220B5"/>
    <w:rsid w:val="00D230C1"/>
    <w:rsid w:val="00D232D8"/>
    <w:rsid w:val="00D233CD"/>
    <w:rsid w:val="00D23500"/>
    <w:rsid w:val="00D23AD3"/>
    <w:rsid w:val="00D23FC0"/>
    <w:rsid w:val="00D23FCE"/>
    <w:rsid w:val="00D2401D"/>
    <w:rsid w:val="00D24364"/>
    <w:rsid w:val="00D2469E"/>
    <w:rsid w:val="00D2649E"/>
    <w:rsid w:val="00D27300"/>
    <w:rsid w:val="00D27875"/>
    <w:rsid w:val="00D307FD"/>
    <w:rsid w:val="00D30A3B"/>
    <w:rsid w:val="00D31E2D"/>
    <w:rsid w:val="00D321E8"/>
    <w:rsid w:val="00D328E1"/>
    <w:rsid w:val="00D329D8"/>
    <w:rsid w:val="00D32E01"/>
    <w:rsid w:val="00D33975"/>
    <w:rsid w:val="00D33A8C"/>
    <w:rsid w:val="00D3523D"/>
    <w:rsid w:val="00D35597"/>
    <w:rsid w:val="00D35689"/>
    <w:rsid w:val="00D35E06"/>
    <w:rsid w:val="00D365FA"/>
    <w:rsid w:val="00D369BC"/>
    <w:rsid w:val="00D37093"/>
    <w:rsid w:val="00D37314"/>
    <w:rsid w:val="00D40425"/>
    <w:rsid w:val="00D40BC3"/>
    <w:rsid w:val="00D40D6B"/>
    <w:rsid w:val="00D4129E"/>
    <w:rsid w:val="00D418A3"/>
    <w:rsid w:val="00D41AB6"/>
    <w:rsid w:val="00D42946"/>
    <w:rsid w:val="00D42DEC"/>
    <w:rsid w:val="00D43984"/>
    <w:rsid w:val="00D4459D"/>
    <w:rsid w:val="00D45A14"/>
    <w:rsid w:val="00D45FFF"/>
    <w:rsid w:val="00D46189"/>
    <w:rsid w:val="00D46BE9"/>
    <w:rsid w:val="00D46FA2"/>
    <w:rsid w:val="00D47451"/>
    <w:rsid w:val="00D47947"/>
    <w:rsid w:val="00D5001E"/>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2B75"/>
    <w:rsid w:val="00D63379"/>
    <w:rsid w:val="00D635B1"/>
    <w:rsid w:val="00D639C5"/>
    <w:rsid w:val="00D63DB5"/>
    <w:rsid w:val="00D63E14"/>
    <w:rsid w:val="00D63F98"/>
    <w:rsid w:val="00D64155"/>
    <w:rsid w:val="00D649A1"/>
    <w:rsid w:val="00D64BEA"/>
    <w:rsid w:val="00D65C02"/>
    <w:rsid w:val="00D65CC7"/>
    <w:rsid w:val="00D661D2"/>
    <w:rsid w:val="00D66410"/>
    <w:rsid w:val="00D66550"/>
    <w:rsid w:val="00D66648"/>
    <w:rsid w:val="00D66FDA"/>
    <w:rsid w:val="00D67292"/>
    <w:rsid w:val="00D67956"/>
    <w:rsid w:val="00D70C38"/>
    <w:rsid w:val="00D710E5"/>
    <w:rsid w:val="00D71197"/>
    <w:rsid w:val="00D7178C"/>
    <w:rsid w:val="00D72008"/>
    <w:rsid w:val="00D72192"/>
    <w:rsid w:val="00D72D32"/>
    <w:rsid w:val="00D731D1"/>
    <w:rsid w:val="00D73645"/>
    <w:rsid w:val="00D73AC1"/>
    <w:rsid w:val="00D73BD2"/>
    <w:rsid w:val="00D73BE7"/>
    <w:rsid w:val="00D73DF6"/>
    <w:rsid w:val="00D73FC4"/>
    <w:rsid w:val="00D73FE8"/>
    <w:rsid w:val="00D74538"/>
    <w:rsid w:val="00D749A0"/>
    <w:rsid w:val="00D749CB"/>
    <w:rsid w:val="00D74C9E"/>
    <w:rsid w:val="00D75F19"/>
    <w:rsid w:val="00D767AE"/>
    <w:rsid w:val="00D77AD8"/>
    <w:rsid w:val="00D80605"/>
    <w:rsid w:val="00D80973"/>
    <w:rsid w:val="00D80BD8"/>
    <w:rsid w:val="00D8261C"/>
    <w:rsid w:val="00D82A2B"/>
    <w:rsid w:val="00D8301D"/>
    <w:rsid w:val="00D8473E"/>
    <w:rsid w:val="00D85797"/>
    <w:rsid w:val="00D86255"/>
    <w:rsid w:val="00D863D1"/>
    <w:rsid w:val="00D872B7"/>
    <w:rsid w:val="00D87DCF"/>
    <w:rsid w:val="00D87F5B"/>
    <w:rsid w:val="00D90125"/>
    <w:rsid w:val="00D9057B"/>
    <w:rsid w:val="00D9096B"/>
    <w:rsid w:val="00D90ED1"/>
    <w:rsid w:val="00D91C34"/>
    <w:rsid w:val="00D925C5"/>
    <w:rsid w:val="00D9279F"/>
    <w:rsid w:val="00D935AB"/>
    <w:rsid w:val="00D94E4C"/>
    <w:rsid w:val="00D95709"/>
    <w:rsid w:val="00D958D7"/>
    <w:rsid w:val="00D96083"/>
    <w:rsid w:val="00D96AFA"/>
    <w:rsid w:val="00D96B2B"/>
    <w:rsid w:val="00D96D46"/>
    <w:rsid w:val="00D97B72"/>
    <w:rsid w:val="00D97CF6"/>
    <w:rsid w:val="00DA0BBE"/>
    <w:rsid w:val="00DA11AE"/>
    <w:rsid w:val="00DA16E5"/>
    <w:rsid w:val="00DA1BE9"/>
    <w:rsid w:val="00DA1DAA"/>
    <w:rsid w:val="00DA283D"/>
    <w:rsid w:val="00DA3E12"/>
    <w:rsid w:val="00DA4141"/>
    <w:rsid w:val="00DA417B"/>
    <w:rsid w:val="00DA45BD"/>
    <w:rsid w:val="00DA5000"/>
    <w:rsid w:val="00DA52EB"/>
    <w:rsid w:val="00DA5CD6"/>
    <w:rsid w:val="00DA6868"/>
    <w:rsid w:val="00DA7044"/>
    <w:rsid w:val="00DB0312"/>
    <w:rsid w:val="00DB115A"/>
    <w:rsid w:val="00DB31DB"/>
    <w:rsid w:val="00DB3213"/>
    <w:rsid w:val="00DB387C"/>
    <w:rsid w:val="00DB42F5"/>
    <w:rsid w:val="00DB43F8"/>
    <w:rsid w:val="00DB46DA"/>
    <w:rsid w:val="00DB5A7F"/>
    <w:rsid w:val="00DB640B"/>
    <w:rsid w:val="00DB656B"/>
    <w:rsid w:val="00DB6A23"/>
    <w:rsid w:val="00DB75BE"/>
    <w:rsid w:val="00DB7D6B"/>
    <w:rsid w:val="00DC00C2"/>
    <w:rsid w:val="00DC01DD"/>
    <w:rsid w:val="00DC02BB"/>
    <w:rsid w:val="00DC198F"/>
    <w:rsid w:val="00DC29D6"/>
    <w:rsid w:val="00DC2DA2"/>
    <w:rsid w:val="00DC2F60"/>
    <w:rsid w:val="00DC3149"/>
    <w:rsid w:val="00DC3FB4"/>
    <w:rsid w:val="00DC430F"/>
    <w:rsid w:val="00DC43B0"/>
    <w:rsid w:val="00DC478C"/>
    <w:rsid w:val="00DC47BF"/>
    <w:rsid w:val="00DC4CEC"/>
    <w:rsid w:val="00DC5F0A"/>
    <w:rsid w:val="00DC6348"/>
    <w:rsid w:val="00DC6447"/>
    <w:rsid w:val="00DC6F43"/>
    <w:rsid w:val="00DD086B"/>
    <w:rsid w:val="00DD0C80"/>
    <w:rsid w:val="00DD145B"/>
    <w:rsid w:val="00DD2409"/>
    <w:rsid w:val="00DD2798"/>
    <w:rsid w:val="00DD2A6B"/>
    <w:rsid w:val="00DD3217"/>
    <w:rsid w:val="00DD3A79"/>
    <w:rsid w:val="00DD4174"/>
    <w:rsid w:val="00DD418A"/>
    <w:rsid w:val="00DD452E"/>
    <w:rsid w:val="00DD4929"/>
    <w:rsid w:val="00DD6998"/>
    <w:rsid w:val="00DD7C32"/>
    <w:rsid w:val="00DE00A7"/>
    <w:rsid w:val="00DE0A7D"/>
    <w:rsid w:val="00DE0DC9"/>
    <w:rsid w:val="00DE12EF"/>
    <w:rsid w:val="00DE19AA"/>
    <w:rsid w:val="00DE1BFE"/>
    <w:rsid w:val="00DE367F"/>
    <w:rsid w:val="00DE3E2A"/>
    <w:rsid w:val="00DE4973"/>
    <w:rsid w:val="00DE4F7F"/>
    <w:rsid w:val="00DE5469"/>
    <w:rsid w:val="00DE54CA"/>
    <w:rsid w:val="00DE5D83"/>
    <w:rsid w:val="00DE5E44"/>
    <w:rsid w:val="00DE6EC6"/>
    <w:rsid w:val="00DE704F"/>
    <w:rsid w:val="00DE7DBA"/>
    <w:rsid w:val="00DE7FB5"/>
    <w:rsid w:val="00DF0953"/>
    <w:rsid w:val="00DF2D40"/>
    <w:rsid w:val="00DF354D"/>
    <w:rsid w:val="00DF3B05"/>
    <w:rsid w:val="00DF44BC"/>
    <w:rsid w:val="00DF46D2"/>
    <w:rsid w:val="00DF4D9D"/>
    <w:rsid w:val="00DF4F63"/>
    <w:rsid w:val="00DF5209"/>
    <w:rsid w:val="00DF5300"/>
    <w:rsid w:val="00DF6443"/>
    <w:rsid w:val="00DF649D"/>
    <w:rsid w:val="00DF64D4"/>
    <w:rsid w:val="00DF6D56"/>
    <w:rsid w:val="00E00733"/>
    <w:rsid w:val="00E00948"/>
    <w:rsid w:val="00E00C13"/>
    <w:rsid w:val="00E00C41"/>
    <w:rsid w:val="00E01D40"/>
    <w:rsid w:val="00E024F6"/>
    <w:rsid w:val="00E0287E"/>
    <w:rsid w:val="00E02D84"/>
    <w:rsid w:val="00E037FD"/>
    <w:rsid w:val="00E04271"/>
    <w:rsid w:val="00E053BA"/>
    <w:rsid w:val="00E0562D"/>
    <w:rsid w:val="00E05C05"/>
    <w:rsid w:val="00E0606D"/>
    <w:rsid w:val="00E06510"/>
    <w:rsid w:val="00E0676D"/>
    <w:rsid w:val="00E072B0"/>
    <w:rsid w:val="00E07C90"/>
    <w:rsid w:val="00E111E7"/>
    <w:rsid w:val="00E111F8"/>
    <w:rsid w:val="00E11DB5"/>
    <w:rsid w:val="00E12041"/>
    <w:rsid w:val="00E12618"/>
    <w:rsid w:val="00E129DF"/>
    <w:rsid w:val="00E12B5D"/>
    <w:rsid w:val="00E12C2E"/>
    <w:rsid w:val="00E13435"/>
    <w:rsid w:val="00E13F23"/>
    <w:rsid w:val="00E143D4"/>
    <w:rsid w:val="00E14773"/>
    <w:rsid w:val="00E1521D"/>
    <w:rsid w:val="00E154D2"/>
    <w:rsid w:val="00E155E5"/>
    <w:rsid w:val="00E16633"/>
    <w:rsid w:val="00E16C08"/>
    <w:rsid w:val="00E16E19"/>
    <w:rsid w:val="00E1769F"/>
    <w:rsid w:val="00E17930"/>
    <w:rsid w:val="00E20164"/>
    <w:rsid w:val="00E21AA6"/>
    <w:rsid w:val="00E223DC"/>
    <w:rsid w:val="00E2304B"/>
    <w:rsid w:val="00E2320D"/>
    <w:rsid w:val="00E23447"/>
    <w:rsid w:val="00E23F6C"/>
    <w:rsid w:val="00E23FBF"/>
    <w:rsid w:val="00E24A35"/>
    <w:rsid w:val="00E24B61"/>
    <w:rsid w:val="00E24E2E"/>
    <w:rsid w:val="00E2523E"/>
    <w:rsid w:val="00E25549"/>
    <w:rsid w:val="00E2575D"/>
    <w:rsid w:val="00E25ECA"/>
    <w:rsid w:val="00E264B9"/>
    <w:rsid w:val="00E26859"/>
    <w:rsid w:val="00E26E41"/>
    <w:rsid w:val="00E274C1"/>
    <w:rsid w:val="00E30920"/>
    <w:rsid w:val="00E309C7"/>
    <w:rsid w:val="00E30A90"/>
    <w:rsid w:val="00E30D47"/>
    <w:rsid w:val="00E30F4F"/>
    <w:rsid w:val="00E31008"/>
    <w:rsid w:val="00E31068"/>
    <w:rsid w:val="00E3123A"/>
    <w:rsid w:val="00E312E5"/>
    <w:rsid w:val="00E31699"/>
    <w:rsid w:val="00E31B79"/>
    <w:rsid w:val="00E32715"/>
    <w:rsid w:val="00E32D36"/>
    <w:rsid w:val="00E334B8"/>
    <w:rsid w:val="00E33C3F"/>
    <w:rsid w:val="00E3511E"/>
    <w:rsid w:val="00E35FC8"/>
    <w:rsid w:val="00E36F8A"/>
    <w:rsid w:val="00E37394"/>
    <w:rsid w:val="00E37482"/>
    <w:rsid w:val="00E37A6A"/>
    <w:rsid w:val="00E37CC3"/>
    <w:rsid w:val="00E40479"/>
    <w:rsid w:val="00E40B38"/>
    <w:rsid w:val="00E40FB5"/>
    <w:rsid w:val="00E41884"/>
    <w:rsid w:val="00E4192C"/>
    <w:rsid w:val="00E41DF6"/>
    <w:rsid w:val="00E420CB"/>
    <w:rsid w:val="00E4281D"/>
    <w:rsid w:val="00E42BB9"/>
    <w:rsid w:val="00E42FB9"/>
    <w:rsid w:val="00E446FD"/>
    <w:rsid w:val="00E451B6"/>
    <w:rsid w:val="00E454AD"/>
    <w:rsid w:val="00E458B2"/>
    <w:rsid w:val="00E4671A"/>
    <w:rsid w:val="00E474DE"/>
    <w:rsid w:val="00E47920"/>
    <w:rsid w:val="00E5019C"/>
    <w:rsid w:val="00E51311"/>
    <w:rsid w:val="00E51D11"/>
    <w:rsid w:val="00E52056"/>
    <w:rsid w:val="00E52222"/>
    <w:rsid w:val="00E522E3"/>
    <w:rsid w:val="00E52841"/>
    <w:rsid w:val="00E52FF6"/>
    <w:rsid w:val="00E530E1"/>
    <w:rsid w:val="00E532BD"/>
    <w:rsid w:val="00E53D9D"/>
    <w:rsid w:val="00E54446"/>
    <w:rsid w:val="00E54704"/>
    <w:rsid w:val="00E55CB7"/>
    <w:rsid w:val="00E55DC8"/>
    <w:rsid w:val="00E56479"/>
    <w:rsid w:val="00E567C7"/>
    <w:rsid w:val="00E56821"/>
    <w:rsid w:val="00E569DE"/>
    <w:rsid w:val="00E56F73"/>
    <w:rsid w:val="00E603AF"/>
    <w:rsid w:val="00E604FA"/>
    <w:rsid w:val="00E60FAB"/>
    <w:rsid w:val="00E6133F"/>
    <w:rsid w:val="00E615BD"/>
    <w:rsid w:val="00E61F48"/>
    <w:rsid w:val="00E62A1B"/>
    <w:rsid w:val="00E62B98"/>
    <w:rsid w:val="00E62F16"/>
    <w:rsid w:val="00E631E5"/>
    <w:rsid w:val="00E6329E"/>
    <w:rsid w:val="00E6390E"/>
    <w:rsid w:val="00E63980"/>
    <w:rsid w:val="00E65018"/>
    <w:rsid w:val="00E66EAB"/>
    <w:rsid w:val="00E67339"/>
    <w:rsid w:val="00E6734C"/>
    <w:rsid w:val="00E67560"/>
    <w:rsid w:val="00E67B4D"/>
    <w:rsid w:val="00E67B50"/>
    <w:rsid w:val="00E67EF0"/>
    <w:rsid w:val="00E705EE"/>
    <w:rsid w:val="00E70B72"/>
    <w:rsid w:val="00E70FDA"/>
    <w:rsid w:val="00E7132D"/>
    <w:rsid w:val="00E713BF"/>
    <w:rsid w:val="00E722A2"/>
    <w:rsid w:val="00E729B9"/>
    <w:rsid w:val="00E730FA"/>
    <w:rsid w:val="00E742E4"/>
    <w:rsid w:val="00E752A9"/>
    <w:rsid w:val="00E75529"/>
    <w:rsid w:val="00E75D96"/>
    <w:rsid w:val="00E75DC3"/>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0D4"/>
    <w:rsid w:val="00E8551B"/>
    <w:rsid w:val="00E878A3"/>
    <w:rsid w:val="00E900A4"/>
    <w:rsid w:val="00E9033D"/>
    <w:rsid w:val="00E9041B"/>
    <w:rsid w:val="00E90F41"/>
    <w:rsid w:val="00E91398"/>
    <w:rsid w:val="00E9159F"/>
    <w:rsid w:val="00E91897"/>
    <w:rsid w:val="00E91BF4"/>
    <w:rsid w:val="00E91E02"/>
    <w:rsid w:val="00E92398"/>
    <w:rsid w:val="00E92777"/>
    <w:rsid w:val="00E92CBF"/>
    <w:rsid w:val="00E92E0A"/>
    <w:rsid w:val="00E9381C"/>
    <w:rsid w:val="00E93CFD"/>
    <w:rsid w:val="00E94584"/>
    <w:rsid w:val="00E95C26"/>
    <w:rsid w:val="00E95CEA"/>
    <w:rsid w:val="00E962EC"/>
    <w:rsid w:val="00E967F1"/>
    <w:rsid w:val="00E97FE2"/>
    <w:rsid w:val="00EA08E8"/>
    <w:rsid w:val="00EA0F7E"/>
    <w:rsid w:val="00EA1903"/>
    <w:rsid w:val="00EA19A5"/>
    <w:rsid w:val="00EA1A5A"/>
    <w:rsid w:val="00EA258D"/>
    <w:rsid w:val="00EA2FC0"/>
    <w:rsid w:val="00EA3085"/>
    <w:rsid w:val="00EA3CD8"/>
    <w:rsid w:val="00EA3F5C"/>
    <w:rsid w:val="00EA4397"/>
    <w:rsid w:val="00EA4816"/>
    <w:rsid w:val="00EA48E1"/>
    <w:rsid w:val="00EA499D"/>
    <w:rsid w:val="00EA4E8E"/>
    <w:rsid w:val="00EA4FFF"/>
    <w:rsid w:val="00EA54AD"/>
    <w:rsid w:val="00EA58A0"/>
    <w:rsid w:val="00EA5AE3"/>
    <w:rsid w:val="00EA5C8C"/>
    <w:rsid w:val="00EA5ECB"/>
    <w:rsid w:val="00EA62F8"/>
    <w:rsid w:val="00EA6B56"/>
    <w:rsid w:val="00EA6D49"/>
    <w:rsid w:val="00EA7D0C"/>
    <w:rsid w:val="00EA7F0B"/>
    <w:rsid w:val="00EB0CCF"/>
    <w:rsid w:val="00EB0DAE"/>
    <w:rsid w:val="00EB114C"/>
    <w:rsid w:val="00EB18C0"/>
    <w:rsid w:val="00EB1B2E"/>
    <w:rsid w:val="00EB20F4"/>
    <w:rsid w:val="00EB2490"/>
    <w:rsid w:val="00EB3F05"/>
    <w:rsid w:val="00EB4207"/>
    <w:rsid w:val="00EB53CC"/>
    <w:rsid w:val="00EB56C4"/>
    <w:rsid w:val="00EB5955"/>
    <w:rsid w:val="00EB6662"/>
    <w:rsid w:val="00EB6903"/>
    <w:rsid w:val="00EB6E71"/>
    <w:rsid w:val="00EC05E1"/>
    <w:rsid w:val="00EC07BA"/>
    <w:rsid w:val="00EC08E4"/>
    <w:rsid w:val="00EC23D8"/>
    <w:rsid w:val="00EC25BB"/>
    <w:rsid w:val="00EC3785"/>
    <w:rsid w:val="00EC3B2D"/>
    <w:rsid w:val="00EC3E5A"/>
    <w:rsid w:val="00EC453E"/>
    <w:rsid w:val="00EC458A"/>
    <w:rsid w:val="00EC4DE4"/>
    <w:rsid w:val="00EC51A1"/>
    <w:rsid w:val="00EC6178"/>
    <w:rsid w:val="00EC6288"/>
    <w:rsid w:val="00EC65DD"/>
    <w:rsid w:val="00EC6A56"/>
    <w:rsid w:val="00EC7166"/>
    <w:rsid w:val="00EC75D3"/>
    <w:rsid w:val="00EC7E78"/>
    <w:rsid w:val="00ED06AD"/>
    <w:rsid w:val="00ED0BED"/>
    <w:rsid w:val="00ED1232"/>
    <w:rsid w:val="00ED1A7F"/>
    <w:rsid w:val="00ED20BB"/>
    <w:rsid w:val="00ED22C5"/>
    <w:rsid w:val="00ED307B"/>
    <w:rsid w:val="00ED3503"/>
    <w:rsid w:val="00ED4DFC"/>
    <w:rsid w:val="00ED4E42"/>
    <w:rsid w:val="00ED54D7"/>
    <w:rsid w:val="00ED5E54"/>
    <w:rsid w:val="00ED69D8"/>
    <w:rsid w:val="00ED6CFE"/>
    <w:rsid w:val="00ED7786"/>
    <w:rsid w:val="00ED7EA9"/>
    <w:rsid w:val="00EE00E5"/>
    <w:rsid w:val="00EE0B31"/>
    <w:rsid w:val="00EE1E9C"/>
    <w:rsid w:val="00EE200B"/>
    <w:rsid w:val="00EE2083"/>
    <w:rsid w:val="00EE20A8"/>
    <w:rsid w:val="00EE23BC"/>
    <w:rsid w:val="00EE25D9"/>
    <w:rsid w:val="00EE37F4"/>
    <w:rsid w:val="00EE433B"/>
    <w:rsid w:val="00EE434D"/>
    <w:rsid w:val="00EE46D0"/>
    <w:rsid w:val="00EE476D"/>
    <w:rsid w:val="00EE49A6"/>
    <w:rsid w:val="00EE4C73"/>
    <w:rsid w:val="00EE5ACC"/>
    <w:rsid w:val="00EE5C23"/>
    <w:rsid w:val="00EE67FE"/>
    <w:rsid w:val="00EE6BDD"/>
    <w:rsid w:val="00EE703E"/>
    <w:rsid w:val="00EE76F0"/>
    <w:rsid w:val="00EE7B1C"/>
    <w:rsid w:val="00EF02BD"/>
    <w:rsid w:val="00EF0986"/>
    <w:rsid w:val="00EF1350"/>
    <w:rsid w:val="00EF17B9"/>
    <w:rsid w:val="00EF1EB9"/>
    <w:rsid w:val="00EF2028"/>
    <w:rsid w:val="00EF274D"/>
    <w:rsid w:val="00EF2A0D"/>
    <w:rsid w:val="00EF3436"/>
    <w:rsid w:val="00EF34F6"/>
    <w:rsid w:val="00EF355D"/>
    <w:rsid w:val="00EF3725"/>
    <w:rsid w:val="00EF37B5"/>
    <w:rsid w:val="00EF388A"/>
    <w:rsid w:val="00EF3B9C"/>
    <w:rsid w:val="00EF3D14"/>
    <w:rsid w:val="00EF3EEE"/>
    <w:rsid w:val="00EF3F88"/>
    <w:rsid w:val="00EF4E97"/>
    <w:rsid w:val="00EF61FC"/>
    <w:rsid w:val="00EF7388"/>
    <w:rsid w:val="00EF75A6"/>
    <w:rsid w:val="00F0045E"/>
    <w:rsid w:val="00F006D2"/>
    <w:rsid w:val="00F00724"/>
    <w:rsid w:val="00F00774"/>
    <w:rsid w:val="00F0081B"/>
    <w:rsid w:val="00F00B7A"/>
    <w:rsid w:val="00F01968"/>
    <w:rsid w:val="00F01F95"/>
    <w:rsid w:val="00F0256E"/>
    <w:rsid w:val="00F03681"/>
    <w:rsid w:val="00F03E2F"/>
    <w:rsid w:val="00F04555"/>
    <w:rsid w:val="00F04D9B"/>
    <w:rsid w:val="00F05533"/>
    <w:rsid w:val="00F0588E"/>
    <w:rsid w:val="00F05AB5"/>
    <w:rsid w:val="00F05BC9"/>
    <w:rsid w:val="00F0608B"/>
    <w:rsid w:val="00F0659C"/>
    <w:rsid w:val="00F06776"/>
    <w:rsid w:val="00F06CDD"/>
    <w:rsid w:val="00F06D5D"/>
    <w:rsid w:val="00F10A31"/>
    <w:rsid w:val="00F116E1"/>
    <w:rsid w:val="00F11AA5"/>
    <w:rsid w:val="00F11E55"/>
    <w:rsid w:val="00F1210C"/>
    <w:rsid w:val="00F128DE"/>
    <w:rsid w:val="00F12B5D"/>
    <w:rsid w:val="00F12DF4"/>
    <w:rsid w:val="00F13400"/>
    <w:rsid w:val="00F13708"/>
    <w:rsid w:val="00F1411B"/>
    <w:rsid w:val="00F148AE"/>
    <w:rsid w:val="00F149A9"/>
    <w:rsid w:val="00F14C07"/>
    <w:rsid w:val="00F14C0C"/>
    <w:rsid w:val="00F14CD6"/>
    <w:rsid w:val="00F14CF7"/>
    <w:rsid w:val="00F154D7"/>
    <w:rsid w:val="00F1585C"/>
    <w:rsid w:val="00F15FFE"/>
    <w:rsid w:val="00F16901"/>
    <w:rsid w:val="00F16B69"/>
    <w:rsid w:val="00F16FA4"/>
    <w:rsid w:val="00F17267"/>
    <w:rsid w:val="00F211C9"/>
    <w:rsid w:val="00F21448"/>
    <w:rsid w:val="00F215D1"/>
    <w:rsid w:val="00F2210C"/>
    <w:rsid w:val="00F22F2A"/>
    <w:rsid w:val="00F231FB"/>
    <w:rsid w:val="00F243C4"/>
    <w:rsid w:val="00F243FF"/>
    <w:rsid w:val="00F2515E"/>
    <w:rsid w:val="00F25199"/>
    <w:rsid w:val="00F254D8"/>
    <w:rsid w:val="00F25CD3"/>
    <w:rsid w:val="00F26A46"/>
    <w:rsid w:val="00F26F86"/>
    <w:rsid w:val="00F2780A"/>
    <w:rsid w:val="00F30B28"/>
    <w:rsid w:val="00F314EF"/>
    <w:rsid w:val="00F3167E"/>
    <w:rsid w:val="00F3265E"/>
    <w:rsid w:val="00F332B2"/>
    <w:rsid w:val="00F33DD2"/>
    <w:rsid w:val="00F33E94"/>
    <w:rsid w:val="00F33F0D"/>
    <w:rsid w:val="00F34D2E"/>
    <w:rsid w:val="00F352BD"/>
    <w:rsid w:val="00F3589E"/>
    <w:rsid w:val="00F35DAE"/>
    <w:rsid w:val="00F368F2"/>
    <w:rsid w:val="00F36FB5"/>
    <w:rsid w:val="00F3715D"/>
    <w:rsid w:val="00F374F7"/>
    <w:rsid w:val="00F37A09"/>
    <w:rsid w:val="00F404BF"/>
    <w:rsid w:val="00F405B4"/>
    <w:rsid w:val="00F40EB5"/>
    <w:rsid w:val="00F40F31"/>
    <w:rsid w:val="00F41380"/>
    <w:rsid w:val="00F41421"/>
    <w:rsid w:val="00F4174A"/>
    <w:rsid w:val="00F41886"/>
    <w:rsid w:val="00F419C3"/>
    <w:rsid w:val="00F41A80"/>
    <w:rsid w:val="00F41C4B"/>
    <w:rsid w:val="00F42798"/>
    <w:rsid w:val="00F4311B"/>
    <w:rsid w:val="00F43206"/>
    <w:rsid w:val="00F435B6"/>
    <w:rsid w:val="00F43849"/>
    <w:rsid w:val="00F4392C"/>
    <w:rsid w:val="00F448F9"/>
    <w:rsid w:val="00F44EC7"/>
    <w:rsid w:val="00F452E7"/>
    <w:rsid w:val="00F4670C"/>
    <w:rsid w:val="00F467C0"/>
    <w:rsid w:val="00F47C6B"/>
    <w:rsid w:val="00F5002C"/>
    <w:rsid w:val="00F503D2"/>
    <w:rsid w:val="00F505AC"/>
    <w:rsid w:val="00F50603"/>
    <w:rsid w:val="00F50C03"/>
    <w:rsid w:val="00F50F47"/>
    <w:rsid w:val="00F5154E"/>
    <w:rsid w:val="00F51899"/>
    <w:rsid w:val="00F51E43"/>
    <w:rsid w:val="00F51F74"/>
    <w:rsid w:val="00F5253A"/>
    <w:rsid w:val="00F5325B"/>
    <w:rsid w:val="00F53AF0"/>
    <w:rsid w:val="00F544DD"/>
    <w:rsid w:val="00F55337"/>
    <w:rsid w:val="00F55BB0"/>
    <w:rsid w:val="00F55F0A"/>
    <w:rsid w:val="00F5636E"/>
    <w:rsid w:val="00F5652C"/>
    <w:rsid w:val="00F568F6"/>
    <w:rsid w:val="00F56BEF"/>
    <w:rsid w:val="00F57843"/>
    <w:rsid w:val="00F578D7"/>
    <w:rsid w:val="00F57C49"/>
    <w:rsid w:val="00F57D6B"/>
    <w:rsid w:val="00F609BF"/>
    <w:rsid w:val="00F60A98"/>
    <w:rsid w:val="00F618C5"/>
    <w:rsid w:val="00F619E0"/>
    <w:rsid w:val="00F61A38"/>
    <w:rsid w:val="00F61B54"/>
    <w:rsid w:val="00F622E5"/>
    <w:rsid w:val="00F626FF"/>
    <w:rsid w:val="00F62A13"/>
    <w:rsid w:val="00F63036"/>
    <w:rsid w:val="00F6380C"/>
    <w:rsid w:val="00F63E23"/>
    <w:rsid w:val="00F64675"/>
    <w:rsid w:val="00F64E0F"/>
    <w:rsid w:val="00F65102"/>
    <w:rsid w:val="00F652AD"/>
    <w:rsid w:val="00F652B8"/>
    <w:rsid w:val="00F65D31"/>
    <w:rsid w:val="00F666A7"/>
    <w:rsid w:val="00F66A2E"/>
    <w:rsid w:val="00F66D0C"/>
    <w:rsid w:val="00F66D58"/>
    <w:rsid w:val="00F67F09"/>
    <w:rsid w:val="00F706A0"/>
    <w:rsid w:val="00F709F5"/>
    <w:rsid w:val="00F717CC"/>
    <w:rsid w:val="00F720B7"/>
    <w:rsid w:val="00F724F5"/>
    <w:rsid w:val="00F72F11"/>
    <w:rsid w:val="00F72F51"/>
    <w:rsid w:val="00F73999"/>
    <w:rsid w:val="00F73AB3"/>
    <w:rsid w:val="00F73AB7"/>
    <w:rsid w:val="00F7566A"/>
    <w:rsid w:val="00F76268"/>
    <w:rsid w:val="00F76CF3"/>
    <w:rsid w:val="00F76CF4"/>
    <w:rsid w:val="00F76DA3"/>
    <w:rsid w:val="00F7718B"/>
    <w:rsid w:val="00F77BCA"/>
    <w:rsid w:val="00F805CA"/>
    <w:rsid w:val="00F807A4"/>
    <w:rsid w:val="00F809ED"/>
    <w:rsid w:val="00F80DD8"/>
    <w:rsid w:val="00F81914"/>
    <w:rsid w:val="00F81B7D"/>
    <w:rsid w:val="00F8215F"/>
    <w:rsid w:val="00F824D5"/>
    <w:rsid w:val="00F82628"/>
    <w:rsid w:val="00F82BC6"/>
    <w:rsid w:val="00F82D8E"/>
    <w:rsid w:val="00F8321D"/>
    <w:rsid w:val="00F83461"/>
    <w:rsid w:val="00F83883"/>
    <w:rsid w:val="00F8517B"/>
    <w:rsid w:val="00F853BE"/>
    <w:rsid w:val="00F8675D"/>
    <w:rsid w:val="00F86E2D"/>
    <w:rsid w:val="00F87B71"/>
    <w:rsid w:val="00F87EB0"/>
    <w:rsid w:val="00F9052C"/>
    <w:rsid w:val="00F90EBF"/>
    <w:rsid w:val="00F9135D"/>
    <w:rsid w:val="00F9176D"/>
    <w:rsid w:val="00F91AD8"/>
    <w:rsid w:val="00F91B71"/>
    <w:rsid w:val="00F91BA8"/>
    <w:rsid w:val="00F9207A"/>
    <w:rsid w:val="00F922F2"/>
    <w:rsid w:val="00F9260F"/>
    <w:rsid w:val="00F9308E"/>
    <w:rsid w:val="00F9493C"/>
    <w:rsid w:val="00F95E64"/>
    <w:rsid w:val="00F960B8"/>
    <w:rsid w:val="00F9649D"/>
    <w:rsid w:val="00F967C4"/>
    <w:rsid w:val="00F96A46"/>
    <w:rsid w:val="00F96BB8"/>
    <w:rsid w:val="00F97647"/>
    <w:rsid w:val="00F97724"/>
    <w:rsid w:val="00F97A19"/>
    <w:rsid w:val="00FA068B"/>
    <w:rsid w:val="00FA1B1B"/>
    <w:rsid w:val="00FA20F0"/>
    <w:rsid w:val="00FA2534"/>
    <w:rsid w:val="00FA2BC2"/>
    <w:rsid w:val="00FA2D57"/>
    <w:rsid w:val="00FA37EA"/>
    <w:rsid w:val="00FA381E"/>
    <w:rsid w:val="00FA3DE3"/>
    <w:rsid w:val="00FA52C8"/>
    <w:rsid w:val="00FA54B2"/>
    <w:rsid w:val="00FA5642"/>
    <w:rsid w:val="00FA5812"/>
    <w:rsid w:val="00FA59CD"/>
    <w:rsid w:val="00FA7990"/>
    <w:rsid w:val="00FA7A7E"/>
    <w:rsid w:val="00FA7E50"/>
    <w:rsid w:val="00FB07FC"/>
    <w:rsid w:val="00FB1180"/>
    <w:rsid w:val="00FB15B5"/>
    <w:rsid w:val="00FB174F"/>
    <w:rsid w:val="00FB1FEB"/>
    <w:rsid w:val="00FB22AB"/>
    <w:rsid w:val="00FB3935"/>
    <w:rsid w:val="00FB4250"/>
    <w:rsid w:val="00FB5638"/>
    <w:rsid w:val="00FB59AB"/>
    <w:rsid w:val="00FB5A8D"/>
    <w:rsid w:val="00FB603D"/>
    <w:rsid w:val="00FB6627"/>
    <w:rsid w:val="00FB6721"/>
    <w:rsid w:val="00FB69FF"/>
    <w:rsid w:val="00FB7318"/>
    <w:rsid w:val="00FB77DE"/>
    <w:rsid w:val="00FC0251"/>
    <w:rsid w:val="00FC05D8"/>
    <w:rsid w:val="00FC1102"/>
    <w:rsid w:val="00FC16AD"/>
    <w:rsid w:val="00FC1F94"/>
    <w:rsid w:val="00FC2E23"/>
    <w:rsid w:val="00FC3241"/>
    <w:rsid w:val="00FC374E"/>
    <w:rsid w:val="00FC3BB3"/>
    <w:rsid w:val="00FC3ED9"/>
    <w:rsid w:val="00FC501B"/>
    <w:rsid w:val="00FC54D5"/>
    <w:rsid w:val="00FC664D"/>
    <w:rsid w:val="00FC737A"/>
    <w:rsid w:val="00FC7844"/>
    <w:rsid w:val="00FD0A8B"/>
    <w:rsid w:val="00FD0CE5"/>
    <w:rsid w:val="00FD1512"/>
    <w:rsid w:val="00FD1AB4"/>
    <w:rsid w:val="00FD1DDF"/>
    <w:rsid w:val="00FD2217"/>
    <w:rsid w:val="00FD28E8"/>
    <w:rsid w:val="00FD3330"/>
    <w:rsid w:val="00FD3355"/>
    <w:rsid w:val="00FD3CF7"/>
    <w:rsid w:val="00FD472A"/>
    <w:rsid w:val="00FD4BED"/>
    <w:rsid w:val="00FD4FCC"/>
    <w:rsid w:val="00FD522F"/>
    <w:rsid w:val="00FD55AE"/>
    <w:rsid w:val="00FD5690"/>
    <w:rsid w:val="00FD5A00"/>
    <w:rsid w:val="00FD5F89"/>
    <w:rsid w:val="00FD6570"/>
    <w:rsid w:val="00FD6EA4"/>
    <w:rsid w:val="00FD6FCC"/>
    <w:rsid w:val="00FD79A7"/>
    <w:rsid w:val="00FD7DB9"/>
    <w:rsid w:val="00FE0841"/>
    <w:rsid w:val="00FE08FD"/>
    <w:rsid w:val="00FE12A5"/>
    <w:rsid w:val="00FE1352"/>
    <w:rsid w:val="00FE1B58"/>
    <w:rsid w:val="00FE1DFA"/>
    <w:rsid w:val="00FE1EDA"/>
    <w:rsid w:val="00FE1F3B"/>
    <w:rsid w:val="00FE22CB"/>
    <w:rsid w:val="00FE2859"/>
    <w:rsid w:val="00FE2A81"/>
    <w:rsid w:val="00FE303A"/>
    <w:rsid w:val="00FE345D"/>
    <w:rsid w:val="00FE486C"/>
    <w:rsid w:val="00FE4E00"/>
    <w:rsid w:val="00FE5194"/>
    <w:rsid w:val="00FE544E"/>
    <w:rsid w:val="00FE5A35"/>
    <w:rsid w:val="00FE64A9"/>
    <w:rsid w:val="00FE6BD7"/>
    <w:rsid w:val="00FE6C8F"/>
    <w:rsid w:val="00FE6F0F"/>
    <w:rsid w:val="00FF0644"/>
    <w:rsid w:val="00FF094E"/>
    <w:rsid w:val="00FF0A66"/>
    <w:rsid w:val="00FF1FCE"/>
    <w:rsid w:val="00FF2234"/>
    <w:rsid w:val="00FF290B"/>
    <w:rsid w:val="00FF320D"/>
    <w:rsid w:val="00FF33BD"/>
    <w:rsid w:val="00FF3B8C"/>
    <w:rsid w:val="00FF3C13"/>
    <w:rsid w:val="00FF3CEA"/>
    <w:rsid w:val="00FF3F18"/>
    <w:rsid w:val="00FF4169"/>
    <w:rsid w:val="00FF4B56"/>
    <w:rsid w:val="00FF4D79"/>
    <w:rsid w:val="00FF4FD5"/>
    <w:rsid w:val="00FF57C0"/>
    <w:rsid w:val="00FF582B"/>
    <w:rsid w:val="00FF6702"/>
    <w:rsid w:val="00FF7188"/>
    <w:rsid w:val="00FF72DC"/>
    <w:rsid w:val="00FF750F"/>
    <w:rsid w:val="00FF76DE"/>
    <w:rsid w:val="00FF7785"/>
    <w:rsid w:val="00FF7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81"/>
    <o:shapelayout v:ext="edit">
      <o:idmap v:ext="edit" data="1"/>
    </o:shapelayout>
  </w:shapeDefaults>
  <w:decimalSymbol w:val="."/>
  <w:listSeparator w:val=","/>
  <w14:docId w14:val="2BC2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rsid w:val="001242F1"/>
    <w:pPr>
      <w:spacing w:line="256" w:lineRule="auto"/>
    </w:pPr>
    <w:rPr>
      <w:rFonts w:ascii="Arial" w:hAnsi="Arial"/>
      <w:u w:val="single"/>
    </w:rPr>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ody Text Bullet Points,Bullet Point,Bullet point,BulletPoints,Bulletr List Paragraph,ES Paragraph,Footnote,L,List Paragraph1,List Paragraph11,Numbered para,PBAC ES Paragraph,PBAC normal points,Recommendation,Section heading,Styl moj"/>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Body Text Bullet Points Char,Bullet Point Char,Bullet point Char,BulletPoints Char,Bulletr List Paragraph Char,ES Paragraph Char,Footnote Char,L Char,List Paragraph1 Char,List Paragraph11 Char,Numbered para Char,Recommendation Char"/>
    <w:link w:val="ListParagraph"/>
    <w:uiPriority w:val="34"/>
    <w:qFormat/>
    <w:rsid w:val="001E35D6"/>
    <w:rPr>
      <w:rFonts w:eastAsia="SimSun"/>
      <w:sz w:val="24"/>
      <w:szCs w:val="24"/>
    </w:rPr>
  </w:style>
  <w:style w:type="character" w:customStyle="1" w:styleId="CommentTextChar">
    <w:name w:val="Comment Text Char"/>
    <w:basedOn w:val="DefaultParagraphFont"/>
    <w:link w:val="CommentText"/>
    <w:uiPriority w:val="99"/>
    <w:rsid w:val="00377360"/>
  </w:style>
  <w:style w:type="paragraph" w:styleId="Revision">
    <w:name w:val="Revision"/>
    <w:hidden/>
    <w:uiPriority w:val="99"/>
    <w:semiHidden/>
    <w:rsid w:val="00DA7044"/>
  </w:style>
  <w:style w:type="character" w:customStyle="1" w:styleId="FooterChar">
    <w:name w:val="Footer Char"/>
    <w:link w:val="Footer"/>
    <w:rsid w:val="00035622"/>
  </w:style>
  <w:style w:type="paragraph" w:customStyle="1" w:styleId="3Bodytext">
    <w:name w:val="3. Body text"/>
    <w:basedOn w:val="ListParagraph"/>
    <w:link w:val="3BodytextChar"/>
    <w:qFormat/>
    <w:rsid w:val="00155809"/>
    <w:pPr>
      <w:spacing w:after="120"/>
      <w:ind w:hanging="720"/>
      <w:contextualSpacing w:val="0"/>
      <w:jc w:val="both"/>
    </w:pPr>
    <w:rPr>
      <w:rFonts w:asciiTheme="minorHAnsi" w:eastAsiaTheme="minorHAnsi" w:hAnsiTheme="minorHAnsi" w:cstheme="minorBidi"/>
      <w:szCs w:val="22"/>
      <w:lang w:eastAsia="en-US"/>
    </w:rPr>
  </w:style>
  <w:style w:type="character" w:customStyle="1" w:styleId="3BodytextChar">
    <w:name w:val="3. Body text Char"/>
    <w:basedOn w:val="DefaultParagraphFont"/>
    <w:link w:val="3Bodytext"/>
    <w:rsid w:val="00155809"/>
    <w:rPr>
      <w:rFonts w:asciiTheme="minorHAnsi" w:eastAsiaTheme="minorHAnsi" w:hAnsiTheme="minorHAnsi" w:cstheme="minorBidi"/>
      <w:sz w:val="24"/>
      <w:szCs w:val="22"/>
      <w:lang w:eastAsia="en-US"/>
    </w:rPr>
  </w:style>
  <w:style w:type="paragraph" w:customStyle="1" w:styleId="2-SectionHeading">
    <w:name w:val="2-Section Heading"/>
    <w:qFormat/>
    <w:rsid w:val="00A35BF0"/>
    <w:pPr>
      <w:keepNext/>
      <w:numPr>
        <w:numId w:val="9"/>
      </w:numPr>
      <w:snapToGrid w:val="0"/>
      <w:spacing w:before="240" w:after="120"/>
      <w:outlineLvl w:val="0"/>
    </w:pPr>
    <w:rPr>
      <w:rFonts w:asciiTheme="minorHAnsi" w:hAnsiTheme="minorHAnsi" w:cs="Arial"/>
      <w:b/>
      <w:sz w:val="32"/>
      <w:szCs w:val="32"/>
    </w:rPr>
  </w:style>
  <w:style w:type="character" w:customStyle="1" w:styleId="ExecSumBodyTextChar">
    <w:name w:val="Exec Sum Body Text Char"/>
    <w:basedOn w:val="DefaultParagraphFont"/>
    <w:link w:val="ExecSumBodyText"/>
    <w:uiPriority w:val="99"/>
    <w:locked/>
    <w:rsid w:val="00A35BF0"/>
    <w:rPr>
      <w:rFonts w:asciiTheme="minorHAnsi" w:hAnsiTheme="minorHAnsi" w:cs="Arial"/>
    </w:rPr>
  </w:style>
  <w:style w:type="paragraph" w:customStyle="1" w:styleId="ExecSumBodyText">
    <w:name w:val="Exec Sum Body Text"/>
    <w:basedOn w:val="Normal"/>
    <w:link w:val="ExecSumBodyTextChar"/>
    <w:uiPriority w:val="99"/>
    <w:qFormat/>
    <w:rsid w:val="00A35BF0"/>
    <w:pPr>
      <w:numPr>
        <w:ilvl w:val="1"/>
        <w:numId w:val="9"/>
      </w:numPr>
      <w:snapToGrid w:val="0"/>
      <w:spacing w:after="120"/>
      <w:jc w:val="both"/>
    </w:pPr>
    <w:rPr>
      <w:rFonts w:asciiTheme="minorHAnsi" w:hAnsiTheme="minorHAnsi" w:cs="Arial"/>
    </w:rPr>
  </w:style>
  <w:style w:type="character" w:styleId="FollowedHyperlink">
    <w:name w:val="FollowedHyperlink"/>
    <w:basedOn w:val="DefaultParagraphFont"/>
    <w:semiHidden/>
    <w:unhideWhenUsed/>
    <w:rsid w:val="00642B51"/>
    <w:rPr>
      <w:color w:val="800080" w:themeColor="followedHyperlink"/>
      <w:u w:val="single"/>
    </w:rPr>
  </w:style>
  <w:style w:type="paragraph" w:styleId="Quote">
    <w:name w:val="Quote"/>
    <w:basedOn w:val="Normal"/>
    <w:next w:val="Normal"/>
    <w:link w:val="QuoteChar"/>
    <w:uiPriority w:val="29"/>
    <w:qFormat/>
    <w:rsid w:val="001D30A0"/>
    <w:pPr>
      <w:spacing w:before="240" w:after="60"/>
      <w:ind w:left="142" w:right="-663" w:hanging="142"/>
    </w:pPr>
    <w:rPr>
      <w:i/>
      <w:iCs/>
      <w:color w:val="000000" w:themeColor="text1"/>
      <w:sz w:val="24"/>
      <w:szCs w:val="24"/>
      <w:lang w:eastAsia="en-US"/>
    </w:rPr>
  </w:style>
  <w:style w:type="character" w:customStyle="1" w:styleId="QuoteChar">
    <w:name w:val="Quote Char"/>
    <w:basedOn w:val="DefaultParagraphFont"/>
    <w:link w:val="Quote"/>
    <w:uiPriority w:val="29"/>
    <w:rsid w:val="001D30A0"/>
    <w:rPr>
      <w:i/>
      <w:iCs/>
      <w:color w:val="000000" w:themeColor="text1"/>
      <w:sz w:val="24"/>
      <w:szCs w:val="24"/>
      <w:lang w:eastAsia="en-US"/>
    </w:rPr>
  </w:style>
  <w:style w:type="paragraph" w:styleId="NoSpacing">
    <w:name w:val="No Spacing"/>
    <w:basedOn w:val="Normal"/>
    <w:link w:val="NoSpacingChar"/>
    <w:uiPriority w:val="1"/>
    <w:qFormat/>
    <w:rsid w:val="008D62B4"/>
    <w:pPr>
      <w:jc w:val="both"/>
    </w:pPr>
    <w:rPr>
      <w:rFonts w:asciiTheme="minorHAnsi" w:hAnsiTheme="minorHAnsi" w:cstheme="minorHAnsi"/>
      <w:sz w:val="24"/>
      <w:szCs w:val="24"/>
      <w:lang w:eastAsia="en-US"/>
    </w:rPr>
  </w:style>
  <w:style w:type="character" w:customStyle="1" w:styleId="NoSpacingChar">
    <w:name w:val="No Spacing Char"/>
    <w:basedOn w:val="DefaultParagraphFont"/>
    <w:link w:val="NoSpacing"/>
    <w:uiPriority w:val="1"/>
    <w:rsid w:val="008D62B4"/>
    <w:rPr>
      <w:rFonts w:asciiTheme="minorHAnsi" w:hAnsiTheme="minorHAnsi" w:cstheme="minorHAnsi"/>
      <w:sz w:val="24"/>
      <w:szCs w:val="24"/>
      <w:lang w:eastAsia="en-US"/>
    </w:rPr>
  </w:style>
  <w:style w:type="paragraph" w:customStyle="1" w:styleId="2Sections">
    <w:name w:val="2. Sections"/>
    <w:qFormat/>
    <w:rsid w:val="0061444C"/>
    <w:pPr>
      <w:spacing w:before="240" w:after="120"/>
      <w:ind w:left="720" w:hanging="720"/>
      <w:outlineLvl w:val="0"/>
    </w:pPr>
    <w:rPr>
      <w:rFonts w:asciiTheme="minorHAnsi" w:hAnsiTheme="minorHAnsi" w:cs="Arial"/>
      <w:b/>
      <w:snapToGrid w:val="0"/>
      <w:sz w:val="32"/>
      <w:szCs w:val="32"/>
      <w:lang w:eastAsia="en-US"/>
    </w:rPr>
  </w:style>
  <w:style w:type="paragraph" w:customStyle="1" w:styleId="4Bodytextnumbered">
    <w:name w:val="4. Body text numbered"/>
    <w:basedOn w:val="ListParagraph"/>
    <w:qFormat/>
    <w:rsid w:val="0061444C"/>
    <w:pPr>
      <w:spacing w:after="120"/>
      <w:ind w:hanging="720"/>
      <w:contextualSpacing w:val="0"/>
      <w:jc w:val="both"/>
    </w:pPr>
    <w:rPr>
      <w:rFonts w:asciiTheme="minorHAnsi" w:eastAsiaTheme="minorHAnsi" w:hAnsiTheme="minorHAnsi" w:cstheme="minorBidi"/>
      <w:szCs w:val="22"/>
      <w:lang w:eastAsia="en-US"/>
    </w:rPr>
  </w:style>
  <w:style w:type="character" w:styleId="UnresolvedMention">
    <w:name w:val="Unresolved Mention"/>
    <w:basedOn w:val="DefaultParagraphFont"/>
    <w:uiPriority w:val="99"/>
    <w:semiHidden/>
    <w:unhideWhenUsed/>
    <w:rsid w:val="00C238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5848">
      <w:bodyDiv w:val="1"/>
      <w:marLeft w:val="0"/>
      <w:marRight w:val="0"/>
      <w:marTop w:val="0"/>
      <w:marBottom w:val="0"/>
      <w:divBdr>
        <w:top w:val="none" w:sz="0" w:space="0" w:color="auto"/>
        <w:left w:val="none" w:sz="0" w:space="0" w:color="auto"/>
        <w:bottom w:val="none" w:sz="0" w:space="0" w:color="auto"/>
        <w:right w:val="none" w:sz="0" w:space="0" w:color="auto"/>
      </w:divBdr>
    </w:div>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38482908">
      <w:bodyDiv w:val="1"/>
      <w:marLeft w:val="0"/>
      <w:marRight w:val="0"/>
      <w:marTop w:val="0"/>
      <w:marBottom w:val="0"/>
      <w:divBdr>
        <w:top w:val="none" w:sz="0" w:space="0" w:color="auto"/>
        <w:left w:val="none" w:sz="0" w:space="0" w:color="auto"/>
        <w:bottom w:val="none" w:sz="0" w:space="0" w:color="auto"/>
        <w:right w:val="none" w:sz="0" w:space="0" w:color="auto"/>
      </w:divBdr>
    </w:div>
    <w:div w:id="39327168">
      <w:bodyDiv w:val="1"/>
      <w:marLeft w:val="0"/>
      <w:marRight w:val="0"/>
      <w:marTop w:val="0"/>
      <w:marBottom w:val="0"/>
      <w:divBdr>
        <w:top w:val="none" w:sz="0" w:space="0" w:color="auto"/>
        <w:left w:val="none" w:sz="0" w:space="0" w:color="auto"/>
        <w:bottom w:val="none" w:sz="0" w:space="0" w:color="auto"/>
        <w:right w:val="none" w:sz="0" w:space="0" w:color="auto"/>
      </w:divBdr>
    </w:div>
    <w:div w:id="42606998">
      <w:bodyDiv w:val="1"/>
      <w:marLeft w:val="0"/>
      <w:marRight w:val="0"/>
      <w:marTop w:val="0"/>
      <w:marBottom w:val="0"/>
      <w:divBdr>
        <w:top w:val="none" w:sz="0" w:space="0" w:color="auto"/>
        <w:left w:val="none" w:sz="0" w:space="0" w:color="auto"/>
        <w:bottom w:val="none" w:sz="0" w:space="0" w:color="auto"/>
        <w:right w:val="none" w:sz="0" w:space="0" w:color="auto"/>
      </w:divBdr>
    </w:div>
    <w:div w:id="49698225">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8260771">
      <w:bodyDiv w:val="1"/>
      <w:marLeft w:val="0"/>
      <w:marRight w:val="0"/>
      <w:marTop w:val="0"/>
      <w:marBottom w:val="0"/>
      <w:divBdr>
        <w:top w:val="none" w:sz="0" w:space="0" w:color="auto"/>
        <w:left w:val="none" w:sz="0" w:space="0" w:color="auto"/>
        <w:bottom w:val="none" w:sz="0" w:space="0" w:color="auto"/>
        <w:right w:val="none" w:sz="0" w:space="0" w:color="auto"/>
      </w:divBdr>
    </w:div>
    <w:div w:id="78602948">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93676734">
      <w:bodyDiv w:val="1"/>
      <w:marLeft w:val="0"/>
      <w:marRight w:val="0"/>
      <w:marTop w:val="0"/>
      <w:marBottom w:val="0"/>
      <w:divBdr>
        <w:top w:val="none" w:sz="0" w:space="0" w:color="auto"/>
        <w:left w:val="none" w:sz="0" w:space="0" w:color="auto"/>
        <w:bottom w:val="none" w:sz="0" w:space="0" w:color="auto"/>
        <w:right w:val="none" w:sz="0" w:space="0" w:color="auto"/>
      </w:divBdr>
    </w:div>
    <w:div w:id="100035097">
      <w:bodyDiv w:val="1"/>
      <w:marLeft w:val="0"/>
      <w:marRight w:val="0"/>
      <w:marTop w:val="0"/>
      <w:marBottom w:val="0"/>
      <w:divBdr>
        <w:top w:val="none" w:sz="0" w:space="0" w:color="auto"/>
        <w:left w:val="none" w:sz="0" w:space="0" w:color="auto"/>
        <w:bottom w:val="none" w:sz="0" w:space="0" w:color="auto"/>
        <w:right w:val="none" w:sz="0" w:space="0" w:color="auto"/>
      </w:divBdr>
    </w:div>
    <w:div w:id="102237776">
      <w:bodyDiv w:val="1"/>
      <w:marLeft w:val="0"/>
      <w:marRight w:val="0"/>
      <w:marTop w:val="0"/>
      <w:marBottom w:val="0"/>
      <w:divBdr>
        <w:top w:val="none" w:sz="0" w:space="0" w:color="auto"/>
        <w:left w:val="none" w:sz="0" w:space="0" w:color="auto"/>
        <w:bottom w:val="none" w:sz="0" w:space="0" w:color="auto"/>
        <w:right w:val="none" w:sz="0" w:space="0" w:color="auto"/>
      </w:divBdr>
    </w:div>
    <w:div w:id="109008514">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45815">
      <w:bodyDiv w:val="1"/>
      <w:marLeft w:val="0"/>
      <w:marRight w:val="0"/>
      <w:marTop w:val="0"/>
      <w:marBottom w:val="0"/>
      <w:divBdr>
        <w:top w:val="none" w:sz="0" w:space="0" w:color="auto"/>
        <w:left w:val="none" w:sz="0" w:space="0" w:color="auto"/>
        <w:bottom w:val="none" w:sz="0" w:space="0" w:color="auto"/>
        <w:right w:val="none" w:sz="0" w:space="0" w:color="auto"/>
      </w:divBdr>
    </w:div>
    <w:div w:id="149106779">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59390996">
      <w:bodyDiv w:val="1"/>
      <w:marLeft w:val="0"/>
      <w:marRight w:val="0"/>
      <w:marTop w:val="0"/>
      <w:marBottom w:val="0"/>
      <w:divBdr>
        <w:top w:val="none" w:sz="0" w:space="0" w:color="auto"/>
        <w:left w:val="none" w:sz="0" w:space="0" w:color="auto"/>
        <w:bottom w:val="none" w:sz="0" w:space="0" w:color="auto"/>
        <w:right w:val="none" w:sz="0" w:space="0" w:color="auto"/>
      </w:divBdr>
    </w:div>
    <w:div w:id="170413016">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4387919">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197739570">
      <w:bodyDiv w:val="1"/>
      <w:marLeft w:val="0"/>
      <w:marRight w:val="0"/>
      <w:marTop w:val="0"/>
      <w:marBottom w:val="0"/>
      <w:divBdr>
        <w:top w:val="none" w:sz="0" w:space="0" w:color="auto"/>
        <w:left w:val="none" w:sz="0" w:space="0" w:color="auto"/>
        <w:bottom w:val="none" w:sz="0" w:space="0" w:color="auto"/>
        <w:right w:val="none" w:sz="0" w:space="0" w:color="auto"/>
      </w:divBdr>
    </w:div>
    <w:div w:id="198864661">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1452626">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50309872">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61110226">
      <w:bodyDiv w:val="1"/>
      <w:marLeft w:val="0"/>
      <w:marRight w:val="0"/>
      <w:marTop w:val="0"/>
      <w:marBottom w:val="0"/>
      <w:divBdr>
        <w:top w:val="none" w:sz="0" w:space="0" w:color="auto"/>
        <w:left w:val="none" w:sz="0" w:space="0" w:color="auto"/>
        <w:bottom w:val="none" w:sz="0" w:space="0" w:color="auto"/>
        <w:right w:val="none" w:sz="0" w:space="0" w:color="auto"/>
      </w:divBdr>
    </w:div>
    <w:div w:id="262148266">
      <w:bodyDiv w:val="1"/>
      <w:marLeft w:val="0"/>
      <w:marRight w:val="0"/>
      <w:marTop w:val="0"/>
      <w:marBottom w:val="0"/>
      <w:divBdr>
        <w:top w:val="none" w:sz="0" w:space="0" w:color="auto"/>
        <w:left w:val="none" w:sz="0" w:space="0" w:color="auto"/>
        <w:bottom w:val="none" w:sz="0" w:space="0" w:color="auto"/>
        <w:right w:val="none" w:sz="0" w:space="0" w:color="auto"/>
      </w:divBdr>
    </w:div>
    <w:div w:id="269170932">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77833250">
      <w:bodyDiv w:val="1"/>
      <w:marLeft w:val="0"/>
      <w:marRight w:val="0"/>
      <w:marTop w:val="0"/>
      <w:marBottom w:val="0"/>
      <w:divBdr>
        <w:top w:val="none" w:sz="0" w:space="0" w:color="auto"/>
        <w:left w:val="none" w:sz="0" w:space="0" w:color="auto"/>
        <w:bottom w:val="none" w:sz="0" w:space="0" w:color="auto"/>
        <w:right w:val="none" w:sz="0" w:space="0" w:color="auto"/>
      </w:divBdr>
    </w:div>
    <w:div w:id="278028945">
      <w:bodyDiv w:val="1"/>
      <w:marLeft w:val="0"/>
      <w:marRight w:val="0"/>
      <w:marTop w:val="0"/>
      <w:marBottom w:val="0"/>
      <w:divBdr>
        <w:top w:val="none" w:sz="0" w:space="0" w:color="auto"/>
        <w:left w:val="none" w:sz="0" w:space="0" w:color="auto"/>
        <w:bottom w:val="none" w:sz="0" w:space="0" w:color="auto"/>
        <w:right w:val="none" w:sz="0" w:space="0" w:color="auto"/>
      </w:divBdr>
    </w:div>
    <w:div w:id="283926532">
      <w:bodyDiv w:val="1"/>
      <w:marLeft w:val="0"/>
      <w:marRight w:val="0"/>
      <w:marTop w:val="0"/>
      <w:marBottom w:val="0"/>
      <w:divBdr>
        <w:top w:val="none" w:sz="0" w:space="0" w:color="auto"/>
        <w:left w:val="none" w:sz="0" w:space="0" w:color="auto"/>
        <w:bottom w:val="none" w:sz="0" w:space="0" w:color="auto"/>
        <w:right w:val="none" w:sz="0" w:space="0" w:color="auto"/>
      </w:divBdr>
    </w:div>
    <w:div w:id="287012127">
      <w:bodyDiv w:val="1"/>
      <w:marLeft w:val="0"/>
      <w:marRight w:val="0"/>
      <w:marTop w:val="0"/>
      <w:marBottom w:val="0"/>
      <w:divBdr>
        <w:top w:val="none" w:sz="0" w:space="0" w:color="auto"/>
        <w:left w:val="none" w:sz="0" w:space="0" w:color="auto"/>
        <w:bottom w:val="none" w:sz="0" w:space="0" w:color="auto"/>
        <w:right w:val="none" w:sz="0" w:space="0" w:color="auto"/>
      </w:divBdr>
    </w:div>
    <w:div w:id="287126852">
      <w:bodyDiv w:val="1"/>
      <w:marLeft w:val="0"/>
      <w:marRight w:val="0"/>
      <w:marTop w:val="0"/>
      <w:marBottom w:val="0"/>
      <w:divBdr>
        <w:top w:val="none" w:sz="0" w:space="0" w:color="auto"/>
        <w:left w:val="none" w:sz="0" w:space="0" w:color="auto"/>
        <w:bottom w:val="none" w:sz="0" w:space="0" w:color="auto"/>
        <w:right w:val="none" w:sz="0" w:space="0" w:color="auto"/>
      </w:divBdr>
    </w:div>
    <w:div w:id="305866709">
      <w:bodyDiv w:val="1"/>
      <w:marLeft w:val="0"/>
      <w:marRight w:val="0"/>
      <w:marTop w:val="0"/>
      <w:marBottom w:val="0"/>
      <w:divBdr>
        <w:top w:val="none" w:sz="0" w:space="0" w:color="auto"/>
        <w:left w:val="none" w:sz="0" w:space="0" w:color="auto"/>
        <w:bottom w:val="none" w:sz="0" w:space="0" w:color="auto"/>
        <w:right w:val="none" w:sz="0" w:space="0" w:color="auto"/>
      </w:divBdr>
    </w:div>
    <w:div w:id="307396148">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36277435">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50028983">
      <w:bodyDiv w:val="1"/>
      <w:marLeft w:val="0"/>
      <w:marRight w:val="0"/>
      <w:marTop w:val="0"/>
      <w:marBottom w:val="0"/>
      <w:divBdr>
        <w:top w:val="none" w:sz="0" w:space="0" w:color="auto"/>
        <w:left w:val="none" w:sz="0" w:space="0" w:color="auto"/>
        <w:bottom w:val="none" w:sz="0" w:space="0" w:color="auto"/>
        <w:right w:val="none" w:sz="0" w:space="0" w:color="auto"/>
      </w:divBdr>
    </w:div>
    <w:div w:id="36205195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621871">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6244455">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351912">
      <w:bodyDiv w:val="1"/>
      <w:marLeft w:val="0"/>
      <w:marRight w:val="0"/>
      <w:marTop w:val="0"/>
      <w:marBottom w:val="0"/>
      <w:divBdr>
        <w:top w:val="none" w:sz="0" w:space="0" w:color="auto"/>
        <w:left w:val="none" w:sz="0" w:space="0" w:color="auto"/>
        <w:bottom w:val="none" w:sz="0" w:space="0" w:color="auto"/>
        <w:right w:val="none" w:sz="0" w:space="0" w:color="auto"/>
      </w:divBdr>
    </w:div>
    <w:div w:id="437867935">
      <w:bodyDiv w:val="1"/>
      <w:marLeft w:val="0"/>
      <w:marRight w:val="0"/>
      <w:marTop w:val="0"/>
      <w:marBottom w:val="0"/>
      <w:divBdr>
        <w:top w:val="none" w:sz="0" w:space="0" w:color="auto"/>
        <w:left w:val="none" w:sz="0" w:space="0" w:color="auto"/>
        <w:bottom w:val="none" w:sz="0" w:space="0" w:color="auto"/>
        <w:right w:val="none" w:sz="0" w:space="0" w:color="auto"/>
      </w:divBdr>
    </w:div>
    <w:div w:id="437986911">
      <w:bodyDiv w:val="1"/>
      <w:marLeft w:val="0"/>
      <w:marRight w:val="0"/>
      <w:marTop w:val="0"/>
      <w:marBottom w:val="0"/>
      <w:divBdr>
        <w:top w:val="none" w:sz="0" w:space="0" w:color="auto"/>
        <w:left w:val="none" w:sz="0" w:space="0" w:color="auto"/>
        <w:bottom w:val="none" w:sz="0" w:space="0" w:color="auto"/>
        <w:right w:val="none" w:sz="0" w:space="0" w:color="auto"/>
      </w:divBdr>
    </w:div>
    <w:div w:id="44952081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66630068">
      <w:bodyDiv w:val="1"/>
      <w:marLeft w:val="0"/>
      <w:marRight w:val="0"/>
      <w:marTop w:val="0"/>
      <w:marBottom w:val="0"/>
      <w:divBdr>
        <w:top w:val="none" w:sz="0" w:space="0" w:color="auto"/>
        <w:left w:val="none" w:sz="0" w:space="0" w:color="auto"/>
        <w:bottom w:val="none" w:sz="0" w:space="0" w:color="auto"/>
        <w:right w:val="none" w:sz="0" w:space="0" w:color="auto"/>
      </w:divBdr>
    </w:div>
    <w:div w:id="473520806">
      <w:bodyDiv w:val="1"/>
      <w:marLeft w:val="0"/>
      <w:marRight w:val="0"/>
      <w:marTop w:val="0"/>
      <w:marBottom w:val="0"/>
      <w:divBdr>
        <w:top w:val="none" w:sz="0" w:space="0" w:color="auto"/>
        <w:left w:val="none" w:sz="0" w:space="0" w:color="auto"/>
        <w:bottom w:val="none" w:sz="0" w:space="0" w:color="auto"/>
        <w:right w:val="none" w:sz="0" w:space="0" w:color="auto"/>
      </w:divBdr>
    </w:div>
    <w:div w:id="475339772">
      <w:bodyDiv w:val="1"/>
      <w:marLeft w:val="0"/>
      <w:marRight w:val="0"/>
      <w:marTop w:val="0"/>
      <w:marBottom w:val="0"/>
      <w:divBdr>
        <w:top w:val="none" w:sz="0" w:space="0" w:color="auto"/>
        <w:left w:val="none" w:sz="0" w:space="0" w:color="auto"/>
        <w:bottom w:val="none" w:sz="0" w:space="0" w:color="auto"/>
        <w:right w:val="none" w:sz="0" w:space="0" w:color="auto"/>
      </w:divBdr>
    </w:div>
    <w:div w:id="478497054">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8139631">
      <w:bodyDiv w:val="1"/>
      <w:marLeft w:val="0"/>
      <w:marRight w:val="0"/>
      <w:marTop w:val="0"/>
      <w:marBottom w:val="0"/>
      <w:divBdr>
        <w:top w:val="none" w:sz="0" w:space="0" w:color="auto"/>
        <w:left w:val="none" w:sz="0" w:space="0" w:color="auto"/>
        <w:bottom w:val="none" w:sz="0" w:space="0" w:color="auto"/>
        <w:right w:val="none" w:sz="0" w:space="0" w:color="auto"/>
      </w:divBdr>
    </w:div>
    <w:div w:id="494423005">
      <w:bodyDiv w:val="1"/>
      <w:marLeft w:val="0"/>
      <w:marRight w:val="0"/>
      <w:marTop w:val="0"/>
      <w:marBottom w:val="0"/>
      <w:divBdr>
        <w:top w:val="none" w:sz="0" w:space="0" w:color="auto"/>
        <w:left w:val="none" w:sz="0" w:space="0" w:color="auto"/>
        <w:bottom w:val="none" w:sz="0" w:space="0" w:color="auto"/>
        <w:right w:val="none" w:sz="0" w:space="0" w:color="auto"/>
      </w:divBdr>
    </w:div>
    <w:div w:id="502014915">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7888676">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0385049">
      <w:bodyDiv w:val="1"/>
      <w:marLeft w:val="0"/>
      <w:marRight w:val="0"/>
      <w:marTop w:val="0"/>
      <w:marBottom w:val="0"/>
      <w:divBdr>
        <w:top w:val="none" w:sz="0" w:space="0" w:color="auto"/>
        <w:left w:val="none" w:sz="0" w:space="0" w:color="auto"/>
        <w:bottom w:val="none" w:sz="0" w:space="0" w:color="auto"/>
        <w:right w:val="none" w:sz="0" w:space="0" w:color="auto"/>
      </w:divBdr>
    </w:div>
    <w:div w:id="532499012">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39971603">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46334289">
      <w:bodyDiv w:val="1"/>
      <w:marLeft w:val="0"/>
      <w:marRight w:val="0"/>
      <w:marTop w:val="0"/>
      <w:marBottom w:val="0"/>
      <w:divBdr>
        <w:top w:val="none" w:sz="0" w:space="0" w:color="auto"/>
        <w:left w:val="none" w:sz="0" w:space="0" w:color="auto"/>
        <w:bottom w:val="none" w:sz="0" w:space="0" w:color="auto"/>
        <w:right w:val="none" w:sz="0" w:space="0" w:color="auto"/>
      </w:divBdr>
    </w:div>
    <w:div w:id="547374723">
      <w:bodyDiv w:val="1"/>
      <w:marLeft w:val="0"/>
      <w:marRight w:val="0"/>
      <w:marTop w:val="0"/>
      <w:marBottom w:val="0"/>
      <w:divBdr>
        <w:top w:val="none" w:sz="0" w:space="0" w:color="auto"/>
        <w:left w:val="none" w:sz="0" w:space="0" w:color="auto"/>
        <w:bottom w:val="none" w:sz="0" w:space="0" w:color="auto"/>
        <w:right w:val="none" w:sz="0" w:space="0" w:color="auto"/>
      </w:divBdr>
    </w:div>
    <w:div w:id="561140185">
      <w:bodyDiv w:val="1"/>
      <w:marLeft w:val="0"/>
      <w:marRight w:val="0"/>
      <w:marTop w:val="0"/>
      <w:marBottom w:val="0"/>
      <w:divBdr>
        <w:top w:val="none" w:sz="0" w:space="0" w:color="auto"/>
        <w:left w:val="none" w:sz="0" w:space="0" w:color="auto"/>
        <w:bottom w:val="none" w:sz="0" w:space="0" w:color="auto"/>
        <w:right w:val="none" w:sz="0" w:space="0" w:color="auto"/>
      </w:divBdr>
    </w:div>
    <w:div w:id="564026402">
      <w:bodyDiv w:val="1"/>
      <w:marLeft w:val="0"/>
      <w:marRight w:val="0"/>
      <w:marTop w:val="0"/>
      <w:marBottom w:val="0"/>
      <w:divBdr>
        <w:top w:val="none" w:sz="0" w:space="0" w:color="auto"/>
        <w:left w:val="none" w:sz="0" w:space="0" w:color="auto"/>
        <w:bottom w:val="none" w:sz="0" w:space="0" w:color="auto"/>
        <w:right w:val="none" w:sz="0" w:space="0" w:color="auto"/>
      </w:divBdr>
    </w:div>
    <w:div w:id="566259580">
      <w:bodyDiv w:val="1"/>
      <w:marLeft w:val="0"/>
      <w:marRight w:val="0"/>
      <w:marTop w:val="0"/>
      <w:marBottom w:val="0"/>
      <w:divBdr>
        <w:top w:val="none" w:sz="0" w:space="0" w:color="auto"/>
        <w:left w:val="none" w:sz="0" w:space="0" w:color="auto"/>
        <w:bottom w:val="none" w:sz="0" w:space="0" w:color="auto"/>
        <w:right w:val="none" w:sz="0" w:space="0" w:color="auto"/>
      </w:divBdr>
    </w:div>
    <w:div w:id="569852536">
      <w:bodyDiv w:val="1"/>
      <w:marLeft w:val="0"/>
      <w:marRight w:val="0"/>
      <w:marTop w:val="0"/>
      <w:marBottom w:val="0"/>
      <w:divBdr>
        <w:top w:val="none" w:sz="0" w:space="0" w:color="auto"/>
        <w:left w:val="none" w:sz="0" w:space="0" w:color="auto"/>
        <w:bottom w:val="none" w:sz="0" w:space="0" w:color="auto"/>
        <w:right w:val="none" w:sz="0" w:space="0" w:color="auto"/>
      </w:divBdr>
    </w:div>
    <w:div w:id="582879267">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2736795">
      <w:bodyDiv w:val="1"/>
      <w:marLeft w:val="0"/>
      <w:marRight w:val="0"/>
      <w:marTop w:val="0"/>
      <w:marBottom w:val="0"/>
      <w:divBdr>
        <w:top w:val="none" w:sz="0" w:space="0" w:color="auto"/>
        <w:left w:val="none" w:sz="0" w:space="0" w:color="auto"/>
        <w:bottom w:val="none" w:sz="0" w:space="0" w:color="auto"/>
        <w:right w:val="none" w:sz="0" w:space="0" w:color="auto"/>
      </w:divBdr>
    </w:div>
    <w:div w:id="624118739">
      <w:bodyDiv w:val="1"/>
      <w:marLeft w:val="0"/>
      <w:marRight w:val="0"/>
      <w:marTop w:val="0"/>
      <w:marBottom w:val="0"/>
      <w:divBdr>
        <w:top w:val="none" w:sz="0" w:space="0" w:color="auto"/>
        <w:left w:val="none" w:sz="0" w:space="0" w:color="auto"/>
        <w:bottom w:val="none" w:sz="0" w:space="0" w:color="auto"/>
        <w:right w:val="none" w:sz="0" w:space="0" w:color="auto"/>
      </w:divBdr>
    </w:div>
    <w:div w:id="625235949">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29169519">
      <w:bodyDiv w:val="1"/>
      <w:marLeft w:val="0"/>
      <w:marRight w:val="0"/>
      <w:marTop w:val="0"/>
      <w:marBottom w:val="0"/>
      <w:divBdr>
        <w:top w:val="none" w:sz="0" w:space="0" w:color="auto"/>
        <w:left w:val="none" w:sz="0" w:space="0" w:color="auto"/>
        <w:bottom w:val="none" w:sz="0" w:space="0" w:color="auto"/>
        <w:right w:val="none" w:sz="0" w:space="0" w:color="auto"/>
      </w:divBdr>
    </w:div>
    <w:div w:id="654918750">
      <w:bodyDiv w:val="1"/>
      <w:marLeft w:val="0"/>
      <w:marRight w:val="0"/>
      <w:marTop w:val="0"/>
      <w:marBottom w:val="0"/>
      <w:divBdr>
        <w:top w:val="none" w:sz="0" w:space="0" w:color="auto"/>
        <w:left w:val="none" w:sz="0" w:space="0" w:color="auto"/>
        <w:bottom w:val="none" w:sz="0" w:space="0" w:color="auto"/>
        <w:right w:val="none" w:sz="0" w:space="0" w:color="auto"/>
      </w:divBdr>
    </w:div>
    <w:div w:id="659891731">
      <w:bodyDiv w:val="1"/>
      <w:marLeft w:val="0"/>
      <w:marRight w:val="0"/>
      <w:marTop w:val="0"/>
      <w:marBottom w:val="0"/>
      <w:divBdr>
        <w:top w:val="none" w:sz="0" w:space="0" w:color="auto"/>
        <w:left w:val="none" w:sz="0" w:space="0" w:color="auto"/>
        <w:bottom w:val="none" w:sz="0" w:space="0" w:color="auto"/>
        <w:right w:val="none" w:sz="0" w:space="0" w:color="auto"/>
      </w:divBdr>
    </w:div>
    <w:div w:id="689454014">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9232485">
      <w:bodyDiv w:val="1"/>
      <w:marLeft w:val="0"/>
      <w:marRight w:val="0"/>
      <w:marTop w:val="0"/>
      <w:marBottom w:val="0"/>
      <w:divBdr>
        <w:top w:val="none" w:sz="0" w:space="0" w:color="auto"/>
        <w:left w:val="none" w:sz="0" w:space="0" w:color="auto"/>
        <w:bottom w:val="none" w:sz="0" w:space="0" w:color="auto"/>
        <w:right w:val="none" w:sz="0" w:space="0" w:color="auto"/>
      </w:divBdr>
    </w:div>
    <w:div w:id="755983056">
      <w:bodyDiv w:val="1"/>
      <w:marLeft w:val="0"/>
      <w:marRight w:val="0"/>
      <w:marTop w:val="0"/>
      <w:marBottom w:val="0"/>
      <w:divBdr>
        <w:top w:val="none" w:sz="0" w:space="0" w:color="auto"/>
        <w:left w:val="none" w:sz="0" w:space="0" w:color="auto"/>
        <w:bottom w:val="none" w:sz="0" w:space="0" w:color="auto"/>
        <w:right w:val="none" w:sz="0" w:space="0" w:color="auto"/>
      </w:divBdr>
    </w:div>
    <w:div w:id="765345643">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8257922">
      <w:bodyDiv w:val="1"/>
      <w:marLeft w:val="0"/>
      <w:marRight w:val="0"/>
      <w:marTop w:val="0"/>
      <w:marBottom w:val="0"/>
      <w:divBdr>
        <w:top w:val="none" w:sz="0" w:space="0" w:color="auto"/>
        <w:left w:val="none" w:sz="0" w:space="0" w:color="auto"/>
        <w:bottom w:val="none" w:sz="0" w:space="0" w:color="auto"/>
        <w:right w:val="none" w:sz="0" w:space="0" w:color="auto"/>
      </w:divBdr>
    </w:div>
    <w:div w:id="791091114">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23858419">
      <w:bodyDiv w:val="1"/>
      <w:marLeft w:val="0"/>
      <w:marRight w:val="0"/>
      <w:marTop w:val="0"/>
      <w:marBottom w:val="0"/>
      <w:divBdr>
        <w:top w:val="none" w:sz="0" w:space="0" w:color="auto"/>
        <w:left w:val="none" w:sz="0" w:space="0" w:color="auto"/>
        <w:bottom w:val="none" w:sz="0" w:space="0" w:color="auto"/>
        <w:right w:val="none" w:sz="0" w:space="0" w:color="auto"/>
      </w:divBdr>
    </w:div>
    <w:div w:id="833647241">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5824613">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55195507">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296281">
      <w:bodyDiv w:val="1"/>
      <w:marLeft w:val="0"/>
      <w:marRight w:val="0"/>
      <w:marTop w:val="0"/>
      <w:marBottom w:val="0"/>
      <w:divBdr>
        <w:top w:val="none" w:sz="0" w:space="0" w:color="auto"/>
        <w:left w:val="none" w:sz="0" w:space="0" w:color="auto"/>
        <w:bottom w:val="none" w:sz="0" w:space="0" w:color="auto"/>
        <w:right w:val="none" w:sz="0" w:space="0" w:color="auto"/>
      </w:divBdr>
    </w:div>
    <w:div w:id="882867782">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900477946">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11741290">
      <w:bodyDiv w:val="1"/>
      <w:marLeft w:val="0"/>
      <w:marRight w:val="0"/>
      <w:marTop w:val="0"/>
      <w:marBottom w:val="0"/>
      <w:divBdr>
        <w:top w:val="none" w:sz="0" w:space="0" w:color="auto"/>
        <w:left w:val="none" w:sz="0" w:space="0" w:color="auto"/>
        <w:bottom w:val="none" w:sz="0" w:space="0" w:color="auto"/>
        <w:right w:val="none" w:sz="0" w:space="0" w:color="auto"/>
      </w:divBdr>
    </w:div>
    <w:div w:id="922035327">
      <w:bodyDiv w:val="1"/>
      <w:marLeft w:val="0"/>
      <w:marRight w:val="0"/>
      <w:marTop w:val="0"/>
      <w:marBottom w:val="0"/>
      <w:divBdr>
        <w:top w:val="none" w:sz="0" w:space="0" w:color="auto"/>
        <w:left w:val="none" w:sz="0" w:space="0" w:color="auto"/>
        <w:bottom w:val="none" w:sz="0" w:space="0" w:color="auto"/>
        <w:right w:val="none" w:sz="0" w:space="0" w:color="auto"/>
      </w:divBdr>
    </w:div>
    <w:div w:id="937786799">
      <w:bodyDiv w:val="1"/>
      <w:marLeft w:val="0"/>
      <w:marRight w:val="0"/>
      <w:marTop w:val="0"/>
      <w:marBottom w:val="0"/>
      <w:divBdr>
        <w:top w:val="none" w:sz="0" w:space="0" w:color="auto"/>
        <w:left w:val="none" w:sz="0" w:space="0" w:color="auto"/>
        <w:bottom w:val="none" w:sz="0" w:space="0" w:color="auto"/>
        <w:right w:val="none" w:sz="0" w:space="0" w:color="auto"/>
      </w:divBdr>
    </w:div>
    <w:div w:id="941687883">
      <w:bodyDiv w:val="1"/>
      <w:marLeft w:val="0"/>
      <w:marRight w:val="0"/>
      <w:marTop w:val="0"/>
      <w:marBottom w:val="0"/>
      <w:divBdr>
        <w:top w:val="none" w:sz="0" w:space="0" w:color="auto"/>
        <w:left w:val="none" w:sz="0" w:space="0" w:color="auto"/>
        <w:bottom w:val="none" w:sz="0" w:space="0" w:color="auto"/>
        <w:right w:val="none" w:sz="0" w:space="0" w:color="auto"/>
      </w:divBdr>
    </w:div>
    <w:div w:id="943414502">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5256250">
      <w:bodyDiv w:val="1"/>
      <w:marLeft w:val="0"/>
      <w:marRight w:val="0"/>
      <w:marTop w:val="0"/>
      <w:marBottom w:val="0"/>
      <w:divBdr>
        <w:top w:val="none" w:sz="0" w:space="0" w:color="auto"/>
        <w:left w:val="none" w:sz="0" w:space="0" w:color="auto"/>
        <w:bottom w:val="none" w:sz="0" w:space="0" w:color="auto"/>
        <w:right w:val="none" w:sz="0" w:space="0" w:color="auto"/>
      </w:divBdr>
    </w:div>
    <w:div w:id="970019181">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79773119">
      <w:bodyDiv w:val="1"/>
      <w:marLeft w:val="0"/>
      <w:marRight w:val="0"/>
      <w:marTop w:val="0"/>
      <w:marBottom w:val="0"/>
      <w:divBdr>
        <w:top w:val="none" w:sz="0" w:space="0" w:color="auto"/>
        <w:left w:val="none" w:sz="0" w:space="0" w:color="auto"/>
        <w:bottom w:val="none" w:sz="0" w:space="0" w:color="auto"/>
        <w:right w:val="none" w:sz="0" w:space="0" w:color="auto"/>
      </w:divBdr>
    </w:div>
    <w:div w:id="985013797">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2244106">
      <w:bodyDiv w:val="1"/>
      <w:marLeft w:val="0"/>
      <w:marRight w:val="0"/>
      <w:marTop w:val="0"/>
      <w:marBottom w:val="0"/>
      <w:divBdr>
        <w:top w:val="none" w:sz="0" w:space="0" w:color="auto"/>
        <w:left w:val="none" w:sz="0" w:space="0" w:color="auto"/>
        <w:bottom w:val="none" w:sz="0" w:space="0" w:color="auto"/>
        <w:right w:val="none" w:sz="0" w:space="0" w:color="auto"/>
      </w:divBdr>
    </w:div>
    <w:div w:id="1002969706">
      <w:bodyDiv w:val="1"/>
      <w:marLeft w:val="0"/>
      <w:marRight w:val="0"/>
      <w:marTop w:val="0"/>
      <w:marBottom w:val="0"/>
      <w:divBdr>
        <w:top w:val="none" w:sz="0" w:space="0" w:color="auto"/>
        <w:left w:val="none" w:sz="0" w:space="0" w:color="auto"/>
        <w:bottom w:val="none" w:sz="0" w:space="0" w:color="auto"/>
        <w:right w:val="none" w:sz="0" w:space="0" w:color="auto"/>
      </w:divBdr>
    </w:div>
    <w:div w:id="1010523143">
      <w:bodyDiv w:val="1"/>
      <w:marLeft w:val="0"/>
      <w:marRight w:val="0"/>
      <w:marTop w:val="0"/>
      <w:marBottom w:val="0"/>
      <w:divBdr>
        <w:top w:val="none" w:sz="0" w:space="0" w:color="auto"/>
        <w:left w:val="none" w:sz="0" w:space="0" w:color="auto"/>
        <w:bottom w:val="none" w:sz="0" w:space="0" w:color="auto"/>
        <w:right w:val="none" w:sz="0" w:space="0" w:color="auto"/>
      </w:divBdr>
    </w:div>
    <w:div w:id="1026716762">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238514">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87383105">
      <w:bodyDiv w:val="1"/>
      <w:marLeft w:val="0"/>
      <w:marRight w:val="0"/>
      <w:marTop w:val="0"/>
      <w:marBottom w:val="0"/>
      <w:divBdr>
        <w:top w:val="none" w:sz="0" w:space="0" w:color="auto"/>
        <w:left w:val="none" w:sz="0" w:space="0" w:color="auto"/>
        <w:bottom w:val="none" w:sz="0" w:space="0" w:color="auto"/>
        <w:right w:val="none" w:sz="0" w:space="0" w:color="auto"/>
      </w:divBdr>
    </w:div>
    <w:div w:id="1099563873">
      <w:bodyDiv w:val="1"/>
      <w:marLeft w:val="0"/>
      <w:marRight w:val="0"/>
      <w:marTop w:val="0"/>
      <w:marBottom w:val="0"/>
      <w:divBdr>
        <w:top w:val="none" w:sz="0" w:space="0" w:color="auto"/>
        <w:left w:val="none" w:sz="0" w:space="0" w:color="auto"/>
        <w:bottom w:val="none" w:sz="0" w:space="0" w:color="auto"/>
        <w:right w:val="none" w:sz="0" w:space="0" w:color="auto"/>
      </w:divBdr>
    </w:div>
    <w:div w:id="111321038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87907883">
      <w:bodyDiv w:val="1"/>
      <w:marLeft w:val="0"/>
      <w:marRight w:val="0"/>
      <w:marTop w:val="0"/>
      <w:marBottom w:val="0"/>
      <w:divBdr>
        <w:top w:val="none" w:sz="0" w:space="0" w:color="auto"/>
        <w:left w:val="none" w:sz="0" w:space="0" w:color="auto"/>
        <w:bottom w:val="none" w:sz="0" w:space="0" w:color="auto"/>
        <w:right w:val="none" w:sz="0" w:space="0" w:color="auto"/>
      </w:divBdr>
    </w:div>
    <w:div w:id="1201016743">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13422993">
      <w:bodyDiv w:val="1"/>
      <w:marLeft w:val="0"/>
      <w:marRight w:val="0"/>
      <w:marTop w:val="0"/>
      <w:marBottom w:val="0"/>
      <w:divBdr>
        <w:top w:val="none" w:sz="0" w:space="0" w:color="auto"/>
        <w:left w:val="none" w:sz="0" w:space="0" w:color="auto"/>
        <w:bottom w:val="none" w:sz="0" w:space="0" w:color="auto"/>
        <w:right w:val="none" w:sz="0" w:space="0" w:color="auto"/>
      </w:divBdr>
    </w:div>
    <w:div w:id="1217857677">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1572122">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1083430">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716168">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11180418">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48018707">
      <w:bodyDiv w:val="1"/>
      <w:marLeft w:val="0"/>
      <w:marRight w:val="0"/>
      <w:marTop w:val="0"/>
      <w:marBottom w:val="0"/>
      <w:divBdr>
        <w:top w:val="none" w:sz="0" w:space="0" w:color="auto"/>
        <w:left w:val="none" w:sz="0" w:space="0" w:color="auto"/>
        <w:bottom w:val="none" w:sz="0" w:space="0" w:color="auto"/>
        <w:right w:val="none" w:sz="0" w:space="0" w:color="auto"/>
      </w:divBdr>
    </w:div>
    <w:div w:id="136000633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1686932">
      <w:bodyDiv w:val="1"/>
      <w:marLeft w:val="0"/>
      <w:marRight w:val="0"/>
      <w:marTop w:val="0"/>
      <w:marBottom w:val="0"/>
      <w:divBdr>
        <w:top w:val="none" w:sz="0" w:space="0" w:color="auto"/>
        <w:left w:val="none" w:sz="0" w:space="0" w:color="auto"/>
        <w:bottom w:val="none" w:sz="0" w:space="0" w:color="auto"/>
        <w:right w:val="none" w:sz="0" w:space="0" w:color="auto"/>
      </w:divBdr>
    </w:div>
    <w:div w:id="137226431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5618002">
      <w:bodyDiv w:val="1"/>
      <w:marLeft w:val="0"/>
      <w:marRight w:val="0"/>
      <w:marTop w:val="0"/>
      <w:marBottom w:val="0"/>
      <w:divBdr>
        <w:top w:val="none" w:sz="0" w:space="0" w:color="auto"/>
        <w:left w:val="none" w:sz="0" w:space="0" w:color="auto"/>
        <w:bottom w:val="none" w:sz="0" w:space="0" w:color="auto"/>
        <w:right w:val="none" w:sz="0" w:space="0" w:color="auto"/>
      </w:divBdr>
    </w:div>
    <w:div w:id="1380520609">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05951965">
      <w:bodyDiv w:val="1"/>
      <w:marLeft w:val="0"/>
      <w:marRight w:val="0"/>
      <w:marTop w:val="0"/>
      <w:marBottom w:val="0"/>
      <w:divBdr>
        <w:top w:val="none" w:sz="0" w:space="0" w:color="auto"/>
        <w:left w:val="none" w:sz="0" w:space="0" w:color="auto"/>
        <w:bottom w:val="none" w:sz="0" w:space="0" w:color="auto"/>
        <w:right w:val="none" w:sz="0" w:space="0" w:color="auto"/>
      </w:divBdr>
    </w:div>
    <w:div w:id="1407798390">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2333606">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52961696">
      <w:bodyDiv w:val="1"/>
      <w:marLeft w:val="0"/>
      <w:marRight w:val="0"/>
      <w:marTop w:val="0"/>
      <w:marBottom w:val="0"/>
      <w:divBdr>
        <w:top w:val="none" w:sz="0" w:space="0" w:color="auto"/>
        <w:left w:val="none" w:sz="0" w:space="0" w:color="auto"/>
        <w:bottom w:val="none" w:sz="0" w:space="0" w:color="auto"/>
        <w:right w:val="none" w:sz="0" w:space="0" w:color="auto"/>
      </w:divBdr>
    </w:div>
    <w:div w:id="1553077231">
      <w:bodyDiv w:val="1"/>
      <w:marLeft w:val="0"/>
      <w:marRight w:val="0"/>
      <w:marTop w:val="0"/>
      <w:marBottom w:val="0"/>
      <w:divBdr>
        <w:top w:val="none" w:sz="0" w:space="0" w:color="auto"/>
        <w:left w:val="none" w:sz="0" w:space="0" w:color="auto"/>
        <w:bottom w:val="none" w:sz="0" w:space="0" w:color="auto"/>
        <w:right w:val="none" w:sz="0" w:space="0" w:color="auto"/>
      </w:divBdr>
    </w:div>
    <w:div w:id="1555967347">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4224536">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28848946">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48314831">
      <w:bodyDiv w:val="1"/>
      <w:marLeft w:val="0"/>
      <w:marRight w:val="0"/>
      <w:marTop w:val="0"/>
      <w:marBottom w:val="0"/>
      <w:divBdr>
        <w:top w:val="none" w:sz="0" w:space="0" w:color="auto"/>
        <w:left w:val="none" w:sz="0" w:space="0" w:color="auto"/>
        <w:bottom w:val="none" w:sz="0" w:space="0" w:color="auto"/>
        <w:right w:val="none" w:sz="0" w:space="0" w:color="auto"/>
      </w:divBdr>
    </w:div>
    <w:div w:id="1649823297">
      <w:bodyDiv w:val="1"/>
      <w:marLeft w:val="0"/>
      <w:marRight w:val="0"/>
      <w:marTop w:val="0"/>
      <w:marBottom w:val="0"/>
      <w:divBdr>
        <w:top w:val="none" w:sz="0" w:space="0" w:color="auto"/>
        <w:left w:val="none" w:sz="0" w:space="0" w:color="auto"/>
        <w:bottom w:val="none" w:sz="0" w:space="0" w:color="auto"/>
        <w:right w:val="none" w:sz="0" w:space="0" w:color="auto"/>
      </w:divBdr>
    </w:div>
    <w:div w:id="1652365715">
      <w:bodyDiv w:val="1"/>
      <w:marLeft w:val="0"/>
      <w:marRight w:val="0"/>
      <w:marTop w:val="0"/>
      <w:marBottom w:val="0"/>
      <w:divBdr>
        <w:top w:val="none" w:sz="0" w:space="0" w:color="auto"/>
        <w:left w:val="none" w:sz="0" w:space="0" w:color="auto"/>
        <w:bottom w:val="none" w:sz="0" w:space="0" w:color="auto"/>
        <w:right w:val="none" w:sz="0" w:space="0" w:color="auto"/>
      </w:divBdr>
    </w:div>
    <w:div w:id="1654217766">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7367833">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96494753">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07607399">
      <w:bodyDiv w:val="1"/>
      <w:marLeft w:val="0"/>
      <w:marRight w:val="0"/>
      <w:marTop w:val="0"/>
      <w:marBottom w:val="0"/>
      <w:divBdr>
        <w:top w:val="none" w:sz="0" w:space="0" w:color="auto"/>
        <w:left w:val="none" w:sz="0" w:space="0" w:color="auto"/>
        <w:bottom w:val="none" w:sz="0" w:space="0" w:color="auto"/>
        <w:right w:val="none" w:sz="0" w:space="0" w:color="auto"/>
      </w:divBdr>
    </w:div>
    <w:div w:id="1735858038">
      <w:bodyDiv w:val="1"/>
      <w:marLeft w:val="0"/>
      <w:marRight w:val="0"/>
      <w:marTop w:val="0"/>
      <w:marBottom w:val="0"/>
      <w:divBdr>
        <w:top w:val="none" w:sz="0" w:space="0" w:color="auto"/>
        <w:left w:val="none" w:sz="0" w:space="0" w:color="auto"/>
        <w:bottom w:val="none" w:sz="0" w:space="0" w:color="auto"/>
        <w:right w:val="none" w:sz="0" w:space="0" w:color="auto"/>
      </w:divBdr>
    </w:div>
    <w:div w:id="1739547031">
      <w:bodyDiv w:val="1"/>
      <w:marLeft w:val="0"/>
      <w:marRight w:val="0"/>
      <w:marTop w:val="0"/>
      <w:marBottom w:val="0"/>
      <w:divBdr>
        <w:top w:val="none" w:sz="0" w:space="0" w:color="auto"/>
        <w:left w:val="none" w:sz="0" w:space="0" w:color="auto"/>
        <w:bottom w:val="none" w:sz="0" w:space="0" w:color="auto"/>
        <w:right w:val="none" w:sz="0" w:space="0" w:color="auto"/>
      </w:divBdr>
    </w:div>
    <w:div w:id="1743063244">
      <w:bodyDiv w:val="1"/>
      <w:marLeft w:val="0"/>
      <w:marRight w:val="0"/>
      <w:marTop w:val="0"/>
      <w:marBottom w:val="0"/>
      <w:divBdr>
        <w:top w:val="none" w:sz="0" w:space="0" w:color="auto"/>
        <w:left w:val="none" w:sz="0" w:space="0" w:color="auto"/>
        <w:bottom w:val="none" w:sz="0" w:space="0" w:color="auto"/>
        <w:right w:val="none" w:sz="0" w:space="0" w:color="auto"/>
      </w:divBdr>
    </w:div>
    <w:div w:id="1771505373">
      <w:bodyDiv w:val="1"/>
      <w:marLeft w:val="0"/>
      <w:marRight w:val="0"/>
      <w:marTop w:val="0"/>
      <w:marBottom w:val="0"/>
      <w:divBdr>
        <w:top w:val="none" w:sz="0" w:space="0" w:color="auto"/>
        <w:left w:val="none" w:sz="0" w:space="0" w:color="auto"/>
        <w:bottom w:val="none" w:sz="0" w:space="0" w:color="auto"/>
        <w:right w:val="none" w:sz="0" w:space="0" w:color="auto"/>
      </w:divBdr>
    </w:div>
    <w:div w:id="1795638705">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17529058">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3066006">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616538">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48863711">
      <w:bodyDiv w:val="1"/>
      <w:marLeft w:val="0"/>
      <w:marRight w:val="0"/>
      <w:marTop w:val="0"/>
      <w:marBottom w:val="0"/>
      <w:divBdr>
        <w:top w:val="none" w:sz="0" w:space="0" w:color="auto"/>
        <w:left w:val="none" w:sz="0" w:space="0" w:color="auto"/>
        <w:bottom w:val="none" w:sz="0" w:space="0" w:color="auto"/>
        <w:right w:val="none" w:sz="0" w:space="0" w:color="auto"/>
      </w:divBdr>
    </w:div>
    <w:div w:id="1853911105">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76380239">
      <w:bodyDiv w:val="1"/>
      <w:marLeft w:val="0"/>
      <w:marRight w:val="0"/>
      <w:marTop w:val="0"/>
      <w:marBottom w:val="0"/>
      <w:divBdr>
        <w:top w:val="none" w:sz="0" w:space="0" w:color="auto"/>
        <w:left w:val="none" w:sz="0" w:space="0" w:color="auto"/>
        <w:bottom w:val="none" w:sz="0" w:space="0" w:color="auto"/>
        <w:right w:val="none" w:sz="0" w:space="0" w:color="auto"/>
      </w:divBdr>
    </w:div>
    <w:div w:id="1877305247">
      <w:bodyDiv w:val="1"/>
      <w:marLeft w:val="0"/>
      <w:marRight w:val="0"/>
      <w:marTop w:val="0"/>
      <w:marBottom w:val="0"/>
      <w:divBdr>
        <w:top w:val="none" w:sz="0" w:space="0" w:color="auto"/>
        <w:left w:val="none" w:sz="0" w:space="0" w:color="auto"/>
        <w:bottom w:val="none" w:sz="0" w:space="0" w:color="auto"/>
        <w:right w:val="none" w:sz="0" w:space="0" w:color="auto"/>
      </w:divBdr>
    </w:div>
    <w:div w:id="1886793692">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897741001">
      <w:bodyDiv w:val="1"/>
      <w:marLeft w:val="0"/>
      <w:marRight w:val="0"/>
      <w:marTop w:val="0"/>
      <w:marBottom w:val="0"/>
      <w:divBdr>
        <w:top w:val="none" w:sz="0" w:space="0" w:color="auto"/>
        <w:left w:val="none" w:sz="0" w:space="0" w:color="auto"/>
        <w:bottom w:val="none" w:sz="0" w:space="0" w:color="auto"/>
        <w:right w:val="none" w:sz="0" w:space="0" w:color="auto"/>
      </w:divBdr>
    </w:div>
    <w:div w:id="1900633936">
      <w:bodyDiv w:val="1"/>
      <w:marLeft w:val="0"/>
      <w:marRight w:val="0"/>
      <w:marTop w:val="0"/>
      <w:marBottom w:val="0"/>
      <w:divBdr>
        <w:top w:val="none" w:sz="0" w:space="0" w:color="auto"/>
        <w:left w:val="none" w:sz="0" w:space="0" w:color="auto"/>
        <w:bottom w:val="none" w:sz="0" w:space="0" w:color="auto"/>
        <w:right w:val="none" w:sz="0" w:space="0" w:color="auto"/>
      </w:divBdr>
    </w:div>
    <w:div w:id="1904295893">
      <w:bodyDiv w:val="1"/>
      <w:marLeft w:val="0"/>
      <w:marRight w:val="0"/>
      <w:marTop w:val="0"/>
      <w:marBottom w:val="0"/>
      <w:divBdr>
        <w:top w:val="none" w:sz="0" w:space="0" w:color="auto"/>
        <w:left w:val="none" w:sz="0" w:space="0" w:color="auto"/>
        <w:bottom w:val="none" w:sz="0" w:space="0" w:color="auto"/>
        <w:right w:val="none" w:sz="0" w:space="0" w:color="auto"/>
      </w:divBdr>
    </w:div>
    <w:div w:id="1925066737">
      <w:bodyDiv w:val="1"/>
      <w:marLeft w:val="0"/>
      <w:marRight w:val="0"/>
      <w:marTop w:val="0"/>
      <w:marBottom w:val="0"/>
      <w:divBdr>
        <w:top w:val="none" w:sz="0" w:space="0" w:color="auto"/>
        <w:left w:val="none" w:sz="0" w:space="0" w:color="auto"/>
        <w:bottom w:val="none" w:sz="0" w:space="0" w:color="auto"/>
        <w:right w:val="none" w:sz="0" w:space="0" w:color="auto"/>
      </w:divBdr>
    </w:div>
    <w:div w:id="1932004456">
      <w:bodyDiv w:val="1"/>
      <w:marLeft w:val="0"/>
      <w:marRight w:val="0"/>
      <w:marTop w:val="0"/>
      <w:marBottom w:val="0"/>
      <w:divBdr>
        <w:top w:val="none" w:sz="0" w:space="0" w:color="auto"/>
        <w:left w:val="none" w:sz="0" w:space="0" w:color="auto"/>
        <w:bottom w:val="none" w:sz="0" w:space="0" w:color="auto"/>
        <w:right w:val="none" w:sz="0" w:space="0" w:color="auto"/>
      </w:divBdr>
    </w:div>
    <w:div w:id="1937203323">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86929905">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25937613">
      <w:bodyDiv w:val="1"/>
      <w:marLeft w:val="0"/>
      <w:marRight w:val="0"/>
      <w:marTop w:val="0"/>
      <w:marBottom w:val="0"/>
      <w:divBdr>
        <w:top w:val="none" w:sz="0" w:space="0" w:color="auto"/>
        <w:left w:val="none" w:sz="0" w:space="0" w:color="auto"/>
        <w:bottom w:val="none" w:sz="0" w:space="0" w:color="auto"/>
        <w:right w:val="none" w:sz="0" w:space="0" w:color="auto"/>
      </w:divBdr>
    </w:div>
    <w:div w:id="2037121866">
      <w:bodyDiv w:val="1"/>
      <w:marLeft w:val="0"/>
      <w:marRight w:val="0"/>
      <w:marTop w:val="0"/>
      <w:marBottom w:val="0"/>
      <w:divBdr>
        <w:top w:val="none" w:sz="0" w:space="0" w:color="auto"/>
        <w:left w:val="none" w:sz="0" w:space="0" w:color="auto"/>
        <w:bottom w:val="none" w:sz="0" w:space="0" w:color="auto"/>
        <w:right w:val="none" w:sz="0" w:space="0" w:color="auto"/>
      </w:divBdr>
    </w:div>
    <w:div w:id="2048291655">
      <w:bodyDiv w:val="1"/>
      <w:marLeft w:val="0"/>
      <w:marRight w:val="0"/>
      <w:marTop w:val="0"/>
      <w:marBottom w:val="0"/>
      <w:divBdr>
        <w:top w:val="none" w:sz="0" w:space="0" w:color="auto"/>
        <w:left w:val="none" w:sz="0" w:space="0" w:color="auto"/>
        <w:bottom w:val="none" w:sz="0" w:space="0" w:color="auto"/>
        <w:right w:val="none" w:sz="0" w:space="0" w:color="auto"/>
      </w:divBdr>
    </w:div>
    <w:div w:id="2063744031">
      <w:bodyDiv w:val="1"/>
      <w:marLeft w:val="0"/>
      <w:marRight w:val="0"/>
      <w:marTop w:val="0"/>
      <w:marBottom w:val="0"/>
      <w:divBdr>
        <w:top w:val="none" w:sz="0" w:space="0" w:color="auto"/>
        <w:left w:val="none" w:sz="0" w:space="0" w:color="auto"/>
        <w:bottom w:val="none" w:sz="0" w:space="0" w:color="auto"/>
        <w:right w:val="none" w:sz="0" w:space="0" w:color="auto"/>
      </w:divBdr>
    </w:div>
    <w:div w:id="2065446484">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5467349">
      <w:bodyDiv w:val="1"/>
      <w:marLeft w:val="0"/>
      <w:marRight w:val="0"/>
      <w:marTop w:val="0"/>
      <w:marBottom w:val="0"/>
      <w:divBdr>
        <w:top w:val="none" w:sz="0" w:space="0" w:color="auto"/>
        <w:left w:val="none" w:sz="0" w:space="0" w:color="auto"/>
        <w:bottom w:val="none" w:sz="0" w:space="0" w:color="auto"/>
        <w:right w:val="none" w:sz="0" w:space="0" w:color="auto"/>
      </w:divBdr>
    </w:div>
    <w:div w:id="2086874022">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01442702">
      <w:bodyDiv w:val="1"/>
      <w:marLeft w:val="0"/>
      <w:marRight w:val="0"/>
      <w:marTop w:val="0"/>
      <w:marBottom w:val="0"/>
      <w:divBdr>
        <w:top w:val="none" w:sz="0" w:space="0" w:color="auto"/>
        <w:left w:val="none" w:sz="0" w:space="0" w:color="auto"/>
        <w:bottom w:val="none" w:sz="0" w:space="0" w:color="auto"/>
        <w:right w:val="none" w:sz="0" w:space="0" w:color="auto"/>
      </w:divBdr>
    </w:div>
    <w:div w:id="2110613540">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876769">
      <w:bodyDiv w:val="1"/>
      <w:marLeft w:val="0"/>
      <w:marRight w:val="0"/>
      <w:marTop w:val="0"/>
      <w:marBottom w:val="0"/>
      <w:divBdr>
        <w:top w:val="none" w:sz="0" w:space="0" w:color="auto"/>
        <w:left w:val="none" w:sz="0" w:space="0" w:color="auto"/>
        <w:bottom w:val="none" w:sz="0" w:space="0" w:color="auto"/>
        <w:right w:val="none" w:sz="0" w:space="0" w:color="auto"/>
      </w:divBdr>
    </w:div>
    <w:div w:id="2132236234">
      <w:bodyDiv w:val="1"/>
      <w:marLeft w:val="0"/>
      <w:marRight w:val="0"/>
      <w:marTop w:val="0"/>
      <w:marBottom w:val="0"/>
      <w:divBdr>
        <w:top w:val="none" w:sz="0" w:space="0" w:color="auto"/>
        <w:left w:val="none" w:sz="0" w:space="0" w:color="auto"/>
        <w:bottom w:val="none" w:sz="0" w:space="0" w:color="auto"/>
        <w:right w:val="none" w:sz="0" w:space="0" w:color="auto"/>
      </w:divBdr>
    </w:div>
    <w:div w:id="213490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bs.gov.au/info/industry/listing/elements/pbac-meetings/pbac-outcomes/recommendations-made-out-of-session-by-the-pbac-between-me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6C467-907A-4F8E-A6C2-57DB6BACB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16912</Words>
  <Characters>100157</Characters>
  <Application>Microsoft Office Word</Application>
  <DocSecurity>0</DocSecurity>
  <Lines>834</Lines>
  <Paragraphs>233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2022-12-01T02:09:00Z</dcterms:created>
  <dcterms:modified xsi:type="dcterms:W3CDTF">2024-07-22T05:36:00Z</dcterms:modified>
</cp:coreProperties>
</file>