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904A" w14:textId="32703C2D" w:rsidR="007567D2" w:rsidRDefault="007567D2" w:rsidP="00ED6AE3">
      <w:pPr>
        <w:pStyle w:val="Default"/>
        <w:ind w:right="656"/>
        <w:rPr>
          <w:rFonts w:ascii="Arial" w:hAnsi="Arial" w:cs="Arial"/>
          <w:sz w:val="18"/>
          <w:szCs w:val="18"/>
        </w:rPr>
      </w:pPr>
      <w:r w:rsidRPr="00153C15">
        <w:rPr>
          <w:rFonts w:ascii="Arial" w:hAnsi="Arial" w:cs="Arial"/>
          <w:sz w:val="18"/>
          <w:szCs w:val="18"/>
        </w:rPr>
        <w:t xml:space="preserve">The </w:t>
      </w:r>
      <w:r w:rsidR="009E648E" w:rsidRPr="00153C15">
        <w:rPr>
          <w:rFonts w:ascii="Arial" w:hAnsi="Arial" w:cs="Arial"/>
          <w:sz w:val="18"/>
          <w:szCs w:val="18"/>
        </w:rPr>
        <w:t>PBAC outcomes and recommendations are presented</w:t>
      </w:r>
      <w:r w:rsidRPr="00153C15">
        <w:rPr>
          <w:rFonts w:ascii="Arial" w:hAnsi="Arial" w:cs="Arial"/>
          <w:sz w:val="18"/>
          <w:szCs w:val="18"/>
        </w:rPr>
        <w:t xml:space="preserve"> in alphabetical order by drug name.</w:t>
      </w:r>
    </w:p>
    <w:p w14:paraId="16C149F7" w14:textId="103F4460" w:rsidR="00C47960" w:rsidRDefault="00C47960" w:rsidP="00ED6AE3">
      <w:pPr>
        <w:pStyle w:val="Default"/>
        <w:ind w:right="656"/>
        <w:rPr>
          <w:rFonts w:ascii="Arial" w:hAnsi="Arial" w:cs="Arial"/>
          <w:sz w:val="18"/>
          <w:szCs w:val="18"/>
        </w:rPr>
      </w:pPr>
    </w:p>
    <w:p w14:paraId="662EE0D4" w14:textId="4A2D9AFD" w:rsidR="00C47960" w:rsidRPr="00153C15" w:rsidRDefault="00C47960" w:rsidP="00ED6AE3">
      <w:pPr>
        <w:pStyle w:val="Default"/>
        <w:ind w:right="656"/>
        <w:rPr>
          <w:rFonts w:ascii="Arial" w:hAnsi="Arial" w:cs="Arial"/>
          <w:sz w:val="18"/>
          <w:szCs w:val="18"/>
        </w:rPr>
      </w:pPr>
      <w:r w:rsidRPr="00ED6AE3">
        <w:rPr>
          <w:rFonts w:ascii="Arial" w:hAnsi="Arial" w:cs="Arial"/>
          <w:i/>
          <w:iCs/>
          <w:sz w:val="18"/>
          <w:szCs w:val="18"/>
        </w:rPr>
        <w:t>Submission items</w:t>
      </w:r>
    </w:p>
    <w:p w14:paraId="498951C4" w14:textId="211A8FF8" w:rsidR="007567D2" w:rsidRPr="00153C15" w:rsidRDefault="007567D2">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699"/>
        <w:gridCol w:w="2693"/>
        <w:gridCol w:w="1702"/>
        <w:gridCol w:w="6605"/>
      </w:tblGrid>
      <w:tr w:rsidR="00DE5E85" w:rsidRPr="00687774" w14:paraId="2F780D8A" w14:textId="77777777" w:rsidTr="00DE5E85">
        <w:trPr>
          <w:tblHeader/>
        </w:trPr>
        <w:tc>
          <w:tcPr>
            <w:tcW w:w="874" w:type="pct"/>
            <w:tcBorders>
              <w:bottom w:val="single" w:sz="4" w:space="0" w:color="auto"/>
            </w:tcBorders>
            <w:shd w:val="clear" w:color="auto" w:fill="auto"/>
            <w:tcMar>
              <w:top w:w="28" w:type="dxa"/>
              <w:bottom w:w="28" w:type="dxa"/>
            </w:tcMar>
          </w:tcPr>
          <w:p w14:paraId="58BB41E5" w14:textId="46F847AB" w:rsidR="00DE5E85" w:rsidRPr="003E3EC0" w:rsidRDefault="00DE5E85" w:rsidP="00F82BC6">
            <w:pPr>
              <w:widowControl w:val="0"/>
              <w:ind w:right="-106"/>
              <w:jc w:val="center"/>
              <w:rPr>
                <w:rFonts w:ascii="Arial" w:hAnsi="Arial" w:cs="Arial"/>
                <w:b/>
                <w:sz w:val="18"/>
                <w:szCs w:val="18"/>
              </w:rPr>
            </w:pPr>
            <w:r w:rsidRPr="003E3EC0">
              <w:rPr>
                <w:rFonts w:ascii="Arial" w:hAnsi="Arial" w:cs="Arial"/>
                <w:b/>
                <w:sz w:val="18"/>
                <w:szCs w:val="18"/>
              </w:rPr>
              <w:t>DRUG NAME, FORM(S), STRENGTH(S), SPONSOR, TYPE OF SUBMISSION</w:t>
            </w:r>
          </w:p>
        </w:tc>
        <w:tc>
          <w:tcPr>
            <w:tcW w:w="552" w:type="pct"/>
            <w:tcBorders>
              <w:bottom w:val="single" w:sz="4" w:space="0" w:color="auto"/>
            </w:tcBorders>
            <w:shd w:val="clear" w:color="auto" w:fill="auto"/>
            <w:tcMar>
              <w:top w:w="28" w:type="dxa"/>
              <w:bottom w:w="28" w:type="dxa"/>
            </w:tcMar>
          </w:tcPr>
          <w:p w14:paraId="22DBCABB" w14:textId="77777777" w:rsidR="00DE5E85" w:rsidRPr="003E3EC0" w:rsidRDefault="00DE5E85" w:rsidP="002A659A">
            <w:pPr>
              <w:widowControl w:val="0"/>
              <w:jc w:val="center"/>
              <w:rPr>
                <w:rFonts w:ascii="Arial" w:hAnsi="Arial" w:cs="Arial"/>
                <w:b/>
                <w:snapToGrid w:val="0"/>
                <w:sz w:val="18"/>
                <w:szCs w:val="18"/>
                <w:lang w:eastAsia="en-US"/>
              </w:rPr>
            </w:pPr>
            <w:r w:rsidRPr="003E3EC0">
              <w:rPr>
                <w:rFonts w:ascii="Arial" w:hAnsi="Arial" w:cs="Arial"/>
                <w:b/>
                <w:snapToGrid w:val="0"/>
                <w:sz w:val="18"/>
                <w:szCs w:val="18"/>
                <w:lang w:eastAsia="en-US"/>
              </w:rPr>
              <w:t>DRUG TYPE AND USE</w:t>
            </w:r>
          </w:p>
          <w:p w14:paraId="64FD3362" w14:textId="77777777" w:rsidR="00DE5E85" w:rsidRPr="003E3EC0" w:rsidRDefault="00DE5E85" w:rsidP="002A659A">
            <w:pPr>
              <w:widowControl w:val="0"/>
              <w:jc w:val="center"/>
              <w:rPr>
                <w:rFonts w:ascii="Arial" w:hAnsi="Arial" w:cs="Arial"/>
                <w:b/>
                <w:snapToGrid w:val="0"/>
                <w:sz w:val="18"/>
                <w:szCs w:val="18"/>
                <w:lang w:eastAsia="en-US"/>
              </w:rPr>
            </w:pPr>
          </w:p>
        </w:tc>
        <w:tc>
          <w:tcPr>
            <w:tcW w:w="875" w:type="pct"/>
            <w:tcBorders>
              <w:bottom w:val="single" w:sz="4" w:space="0" w:color="auto"/>
            </w:tcBorders>
            <w:shd w:val="clear" w:color="auto" w:fill="auto"/>
            <w:tcMar>
              <w:top w:w="28" w:type="dxa"/>
              <w:bottom w:w="28" w:type="dxa"/>
            </w:tcMar>
          </w:tcPr>
          <w:p w14:paraId="60A9336E" w14:textId="77777777" w:rsidR="00DE5E85" w:rsidRPr="003E3EC0" w:rsidRDefault="00DE5E85" w:rsidP="002A659A">
            <w:pPr>
              <w:widowControl w:val="0"/>
              <w:jc w:val="center"/>
              <w:rPr>
                <w:rFonts w:ascii="Arial" w:hAnsi="Arial" w:cs="Arial"/>
                <w:b/>
                <w:snapToGrid w:val="0"/>
                <w:sz w:val="18"/>
                <w:szCs w:val="18"/>
                <w:lang w:eastAsia="en-US"/>
              </w:rPr>
            </w:pPr>
            <w:r w:rsidRPr="003E3EC0">
              <w:rPr>
                <w:rFonts w:ascii="Arial" w:hAnsi="Arial" w:cs="Arial"/>
                <w:b/>
                <w:snapToGrid w:val="0"/>
                <w:sz w:val="18"/>
                <w:szCs w:val="18"/>
                <w:lang w:eastAsia="en-US"/>
              </w:rPr>
              <w:t>LISTING REQUESTED BY SPONSOR / PURPOSE OF SUBMISSION</w:t>
            </w:r>
          </w:p>
        </w:tc>
        <w:tc>
          <w:tcPr>
            <w:tcW w:w="2699" w:type="pct"/>
            <w:gridSpan w:val="2"/>
            <w:tcBorders>
              <w:bottom w:val="single" w:sz="4" w:space="0" w:color="auto"/>
            </w:tcBorders>
            <w:shd w:val="clear" w:color="auto" w:fill="auto"/>
          </w:tcPr>
          <w:p w14:paraId="5626F454" w14:textId="5D0E1C48" w:rsidR="00DE5E85" w:rsidRPr="003E3EC0" w:rsidRDefault="00DE5E85" w:rsidP="00AD3477">
            <w:pPr>
              <w:pStyle w:val="Header"/>
              <w:jc w:val="center"/>
              <w:rPr>
                <w:rFonts w:ascii="Arial" w:hAnsi="Arial" w:cs="Arial"/>
                <w:b/>
                <w:snapToGrid w:val="0"/>
                <w:sz w:val="18"/>
                <w:szCs w:val="18"/>
                <w:lang w:eastAsia="en-US"/>
              </w:rPr>
            </w:pPr>
            <w:r w:rsidRPr="003E3EC0">
              <w:rPr>
                <w:rFonts w:ascii="Arial" w:hAnsi="Arial" w:cs="Arial"/>
                <w:b/>
                <w:snapToGrid w:val="0"/>
                <w:sz w:val="18"/>
                <w:szCs w:val="18"/>
                <w:lang w:eastAsia="en-US"/>
              </w:rPr>
              <w:t xml:space="preserve">PBAC </w:t>
            </w:r>
            <w:r>
              <w:rPr>
                <w:rFonts w:ascii="Arial" w:hAnsi="Arial" w:cs="Arial"/>
                <w:b/>
                <w:snapToGrid w:val="0"/>
                <w:sz w:val="18"/>
                <w:szCs w:val="18"/>
                <w:lang w:eastAsia="en-US"/>
              </w:rPr>
              <w:t>OUTCOME</w:t>
            </w:r>
          </w:p>
        </w:tc>
      </w:tr>
      <w:tr w:rsidR="00952ADE" w:rsidRPr="00687774" w14:paraId="45D50591" w14:textId="77777777" w:rsidTr="00DE5E85">
        <w:trPr>
          <w:trHeight w:val="2057"/>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33E7CD53" w14:textId="0BC6D6AD" w:rsidR="00952ADE" w:rsidRDefault="00952ADE" w:rsidP="00B24380">
            <w:pPr>
              <w:rPr>
                <w:rFonts w:ascii="Arial" w:hAnsi="Arial" w:cs="Arial"/>
                <w:sz w:val="18"/>
                <w:szCs w:val="18"/>
              </w:rPr>
            </w:pPr>
            <w:r>
              <w:rPr>
                <w:rFonts w:ascii="Arial" w:hAnsi="Arial" w:cs="Arial"/>
                <w:sz w:val="18"/>
                <w:szCs w:val="18"/>
              </w:rPr>
              <w:t>DAPAGLIFLOZIN</w:t>
            </w:r>
          </w:p>
          <w:p w14:paraId="193CAB46" w14:textId="77777777" w:rsidR="00952ADE" w:rsidRDefault="00952ADE" w:rsidP="00B24380">
            <w:pPr>
              <w:rPr>
                <w:rFonts w:ascii="Arial" w:hAnsi="Arial" w:cs="Arial"/>
                <w:sz w:val="18"/>
                <w:szCs w:val="18"/>
              </w:rPr>
            </w:pPr>
          </w:p>
          <w:p w14:paraId="63668118" w14:textId="77777777" w:rsidR="00952ADE" w:rsidRDefault="00952ADE" w:rsidP="00B24380">
            <w:pPr>
              <w:rPr>
                <w:rFonts w:ascii="Arial" w:hAnsi="Arial" w:cs="Arial"/>
                <w:sz w:val="18"/>
                <w:szCs w:val="18"/>
              </w:rPr>
            </w:pPr>
            <w:r>
              <w:rPr>
                <w:rFonts w:ascii="Arial" w:hAnsi="Arial" w:cs="Arial"/>
                <w:sz w:val="18"/>
                <w:szCs w:val="18"/>
              </w:rPr>
              <w:t>Tablet 10 mg</w:t>
            </w:r>
          </w:p>
          <w:p w14:paraId="599D48A9" w14:textId="77777777" w:rsidR="00952ADE" w:rsidRDefault="00952ADE" w:rsidP="00B24380">
            <w:pPr>
              <w:rPr>
                <w:rFonts w:ascii="Arial" w:hAnsi="Arial" w:cs="Arial"/>
                <w:sz w:val="18"/>
                <w:szCs w:val="18"/>
              </w:rPr>
            </w:pPr>
          </w:p>
          <w:p w14:paraId="14C16A6F" w14:textId="77777777" w:rsidR="00952ADE" w:rsidRDefault="00952ADE" w:rsidP="00B24380">
            <w:pPr>
              <w:rPr>
                <w:rFonts w:ascii="Arial" w:hAnsi="Arial" w:cs="Arial"/>
                <w:sz w:val="18"/>
                <w:szCs w:val="18"/>
              </w:rPr>
            </w:pPr>
            <w:r>
              <w:rPr>
                <w:rFonts w:ascii="Arial" w:hAnsi="Arial" w:cs="Arial"/>
                <w:sz w:val="18"/>
                <w:szCs w:val="18"/>
              </w:rPr>
              <w:t>Forxiga®</w:t>
            </w:r>
          </w:p>
          <w:p w14:paraId="7DF1353C" w14:textId="77777777" w:rsidR="00952ADE" w:rsidRDefault="00952ADE" w:rsidP="00B24380">
            <w:pPr>
              <w:rPr>
                <w:rFonts w:ascii="Arial" w:hAnsi="Arial" w:cs="Arial"/>
                <w:sz w:val="18"/>
                <w:szCs w:val="18"/>
              </w:rPr>
            </w:pPr>
          </w:p>
          <w:p w14:paraId="67AC9B9F" w14:textId="77777777" w:rsidR="00952ADE" w:rsidRDefault="00952ADE" w:rsidP="00B24380">
            <w:pPr>
              <w:rPr>
                <w:rFonts w:ascii="Arial" w:hAnsi="Arial" w:cs="Arial"/>
                <w:sz w:val="18"/>
                <w:szCs w:val="18"/>
              </w:rPr>
            </w:pPr>
            <w:r>
              <w:rPr>
                <w:rFonts w:ascii="Arial" w:hAnsi="Arial" w:cs="Arial"/>
                <w:sz w:val="18"/>
                <w:szCs w:val="18"/>
              </w:rPr>
              <w:t>AstraZeneca Pty Ltd</w:t>
            </w:r>
          </w:p>
          <w:p w14:paraId="6566B71A" w14:textId="77777777" w:rsidR="00952ADE" w:rsidRDefault="00952ADE" w:rsidP="00B24380">
            <w:pPr>
              <w:rPr>
                <w:rFonts w:ascii="Arial" w:hAnsi="Arial" w:cs="Arial"/>
                <w:sz w:val="18"/>
                <w:szCs w:val="18"/>
              </w:rPr>
            </w:pPr>
          </w:p>
          <w:p w14:paraId="61EB9534" w14:textId="37AB261B" w:rsidR="00872B3A" w:rsidRDefault="00872B3A" w:rsidP="00B24380">
            <w:pPr>
              <w:rPr>
                <w:rFonts w:ascii="Arial" w:hAnsi="Arial" w:cs="Arial"/>
                <w:sz w:val="18"/>
                <w:szCs w:val="18"/>
              </w:rPr>
            </w:pPr>
            <w:r>
              <w:rPr>
                <w:rFonts w:ascii="Arial" w:hAnsi="Arial" w:cs="Arial"/>
                <w:sz w:val="18"/>
                <w:szCs w:val="18"/>
              </w:rPr>
              <w:t>Matters Outstanding</w:t>
            </w:r>
          </w:p>
          <w:p w14:paraId="4FEA4BEB" w14:textId="4F0720CF" w:rsidR="00952ADE" w:rsidRDefault="00872B3A" w:rsidP="00B24380">
            <w:pPr>
              <w:rPr>
                <w:rFonts w:ascii="Arial" w:hAnsi="Arial" w:cs="Arial"/>
                <w:sz w:val="18"/>
                <w:szCs w:val="18"/>
              </w:rPr>
            </w:pPr>
            <w:r>
              <w:rPr>
                <w:rFonts w:ascii="Arial" w:hAnsi="Arial" w:cs="Arial"/>
                <w:sz w:val="18"/>
                <w:szCs w:val="18"/>
              </w:rPr>
              <w:t>(</w:t>
            </w:r>
            <w:r w:rsidR="00952ADE">
              <w:rPr>
                <w:rFonts w:ascii="Arial" w:hAnsi="Arial" w:cs="Arial"/>
                <w:sz w:val="18"/>
                <w:szCs w:val="18"/>
              </w:rPr>
              <w:t>Change to PBS listing</w:t>
            </w:r>
            <w:r>
              <w:rPr>
                <w:rFonts w:ascii="Arial" w:hAnsi="Arial" w:cs="Arial"/>
                <w:sz w:val="18"/>
                <w:szCs w:val="18"/>
              </w:rPr>
              <w:t>)</w:t>
            </w:r>
          </w:p>
          <w:p w14:paraId="5159456E" w14:textId="4DC65DDF" w:rsidR="00872B3A" w:rsidRPr="003E3EC0" w:rsidRDefault="00872B3A" w:rsidP="00B24380">
            <w:pPr>
              <w:rPr>
                <w:rFonts w:ascii="Arial" w:hAnsi="Arial" w:cs="Arial"/>
                <w:sz w:val="18"/>
                <w:szCs w:val="18"/>
              </w:rPr>
            </w:pPr>
          </w:p>
        </w:tc>
        <w:tc>
          <w:tcPr>
            <w:tcW w:w="552" w:type="pct"/>
            <w:vMerge w:val="restart"/>
            <w:tcBorders>
              <w:top w:val="single" w:sz="4" w:space="0" w:color="auto"/>
              <w:left w:val="single" w:sz="4" w:space="0" w:color="auto"/>
              <w:right w:val="single" w:sz="4" w:space="0" w:color="auto"/>
            </w:tcBorders>
            <w:shd w:val="clear" w:color="auto" w:fill="auto"/>
          </w:tcPr>
          <w:p w14:paraId="1D1D0CED" w14:textId="529C5191" w:rsidR="00952ADE" w:rsidRDefault="00952ADE" w:rsidP="00B24380">
            <w:pPr>
              <w:widowControl w:val="0"/>
              <w:rPr>
                <w:rFonts w:ascii="Arial" w:hAnsi="Arial" w:cs="Arial"/>
                <w:snapToGrid w:val="0"/>
                <w:sz w:val="18"/>
                <w:szCs w:val="18"/>
                <w:lang w:eastAsia="en-US"/>
              </w:rPr>
            </w:pPr>
            <w:r>
              <w:rPr>
                <w:rFonts w:ascii="Arial" w:hAnsi="Arial" w:cs="Arial"/>
                <w:snapToGrid w:val="0"/>
                <w:sz w:val="18"/>
                <w:szCs w:val="18"/>
                <w:lang w:eastAsia="en-US"/>
              </w:rPr>
              <w:t>Chronic kidney disease (CKD)</w:t>
            </w:r>
          </w:p>
          <w:p w14:paraId="67472B61" w14:textId="77777777" w:rsidR="00952ADE" w:rsidRDefault="00952ADE" w:rsidP="00B24380">
            <w:pPr>
              <w:widowControl w:val="0"/>
              <w:rPr>
                <w:rFonts w:ascii="Arial" w:hAnsi="Arial" w:cs="Arial"/>
                <w:snapToGrid w:val="0"/>
                <w:sz w:val="18"/>
                <w:szCs w:val="18"/>
                <w:lang w:eastAsia="en-US"/>
              </w:rPr>
            </w:pPr>
          </w:p>
          <w:p w14:paraId="68C97FAD" w14:textId="14B17F5A" w:rsidR="00952ADE" w:rsidRPr="003E3EC0" w:rsidRDefault="00952ADE" w:rsidP="00B24380">
            <w:pPr>
              <w:widowControl w:val="0"/>
              <w:rPr>
                <w:rFonts w:ascii="Arial" w:hAnsi="Arial" w:cs="Arial"/>
                <w:snapToGrid w:val="0"/>
                <w:sz w:val="18"/>
                <w:szCs w:val="18"/>
                <w:lang w:eastAsia="en-US"/>
              </w:rPr>
            </w:pP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1533ED36" w14:textId="1A603054" w:rsidR="00952ADE" w:rsidRPr="003E3EC0" w:rsidRDefault="00952ADE" w:rsidP="00B24380">
            <w:pPr>
              <w:pStyle w:val="ListParagraph"/>
              <w:ind w:left="0"/>
              <w:rPr>
                <w:rFonts w:ascii="Arial" w:hAnsi="Arial" w:cs="Arial"/>
                <w:snapToGrid w:val="0"/>
                <w:sz w:val="18"/>
                <w:szCs w:val="18"/>
                <w:lang w:eastAsia="en-US"/>
              </w:rPr>
            </w:pPr>
            <w:r>
              <w:rPr>
                <w:rFonts w:ascii="Arial" w:hAnsi="Arial" w:cs="Arial"/>
                <w:snapToGrid w:val="0"/>
                <w:sz w:val="18"/>
                <w:szCs w:val="18"/>
                <w:lang w:eastAsia="en-US"/>
              </w:rPr>
              <w:t>To request a General Schedule, Authority Required (STREAMLINED) listing for the treatment of CKD</w:t>
            </w:r>
            <w:r w:rsidR="006D20CB">
              <w:rPr>
                <w:rFonts w:ascii="Arial" w:hAnsi="Arial" w:cs="Arial"/>
                <w:snapToGrid w:val="0"/>
                <w:sz w:val="18"/>
                <w:szCs w:val="18"/>
                <w:lang w:eastAsia="en-US"/>
              </w:rPr>
              <w:t>.</w:t>
            </w:r>
          </w:p>
        </w:tc>
        <w:tc>
          <w:tcPr>
            <w:tcW w:w="553" w:type="pct"/>
            <w:vMerge w:val="restart"/>
            <w:tcBorders>
              <w:top w:val="single" w:sz="4" w:space="0" w:color="auto"/>
              <w:left w:val="single" w:sz="4" w:space="0" w:color="auto"/>
              <w:right w:val="single" w:sz="4" w:space="0" w:color="auto"/>
            </w:tcBorders>
            <w:shd w:val="clear" w:color="auto" w:fill="auto"/>
            <w:vAlign w:val="center"/>
          </w:tcPr>
          <w:p w14:paraId="041FF089" w14:textId="5A4F781E" w:rsidR="00952ADE" w:rsidRPr="003E3EC0" w:rsidRDefault="00952ADE" w:rsidP="00B24380">
            <w:pPr>
              <w:pStyle w:val="ListParagraph"/>
              <w:ind w:left="0"/>
              <w:rPr>
                <w:rFonts w:ascii="Arial" w:hAnsi="Arial" w:cs="Arial"/>
                <w:snapToGrid w:val="0"/>
                <w:sz w:val="18"/>
                <w:szCs w:val="18"/>
                <w:lang w:eastAsia="en-US"/>
              </w:rPr>
            </w:pPr>
            <w:r>
              <w:rPr>
                <w:rFonts w:ascii="Arial" w:hAnsi="Arial" w:cs="Arial"/>
                <w:snapToGrid w:val="0"/>
                <w:sz w:val="18"/>
                <w:szCs w:val="18"/>
                <w:lang w:eastAsia="en-US"/>
              </w:rPr>
              <w:t>Not</w:t>
            </w:r>
            <w:r w:rsidR="00DE5E85">
              <w:rPr>
                <w:rFonts w:ascii="Arial" w:hAnsi="Arial" w:cs="Arial"/>
                <w:snapToGrid w:val="0"/>
                <w:sz w:val="18"/>
                <w:szCs w:val="18"/>
                <w:lang w:eastAsia="en-US"/>
              </w:rPr>
              <w:t xml:space="preserve"> R</w:t>
            </w:r>
            <w:r>
              <w:rPr>
                <w:rFonts w:ascii="Arial" w:hAnsi="Arial" w:cs="Arial"/>
                <w:snapToGrid w:val="0"/>
                <w:sz w:val="18"/>
                <w:szCs w:val="18"/>
                <w:lang w:eastAsia="en-US"/>
              </w:rPr>
              <w:t>ecommended</w:t>
            </w:r>
          </w:p>
        </w:tc>
        <w:tc>
          <w:tcPr>
            <w:tcW w:w="2146" w:type="pct"/>
            <w:tcBorders>
              <w:top w:val="single" w:sz="4" w:space="0" w:color="auto"/>
            </w:tcBorders>
            <w:shd w:val="clear" w:color="auto" w:fill="auto"/>
          </w:tcPr>
          <w:p w14:paraId="6E5DA1DB" w14:textId="5A826AC2" w:rsidR="00CB0844" w:rsidRPr="00CB0844" w:rsidRDefault="00CB0844" w:rsidP="00CB0844">
            <w:pPr>
              <w:rPr>
                <w:rFonts w:ascii="Arial" w:hAnsi="Arial" w:cs="Arial"/>
                <w:sz w:val="18"/>
                <w:szCs w:val="18"/>
              </w:rPr>
            </w:pPr>
            <w:r w:rsidRPr="00CB0844">
              <w:rPr>
                <w:rFonts w:ascii="Arial" w:hAnsi="Arial" w:cs="Arial"/>
                <w:sz w:val="18"/>
                <w:szCs w:val="18"/>
              </w:rPr>
              <w:t>The PBAC did not recommended extending the existing listing of dapagliflozin to include a General Schedule Authority Required (</w:t>
            </w:r>
            <w:r>
              <w:rPr>
                <w:rFonts w:ascii="Arial" w:hAnsi="Arial" w:cs="Arial"/>
                <w:sz w:val="18"/>
                <w:szCs w:val="18"/>
              </w:rPr>
              <w:t>STREAMLINED</w:t>
            </w:r>
            <w:r w:rsidRPr="00CB0844">
              <w:rPr>
                <w:rFonts w:ascii="Arial" w:hAnsi="Arial" w:cs="Arial"/>
                <w:sz w:val="18"/>
                <w:szCs w:val="18"/>
              </w:rPr>
              <w:t xml:space="preserve">) listing for the treatment of patients with CKD. Following a deferred decision in July 2021, the PBAC reiterated that it was satisfied that dapagliflozin added to standard care provides, for some patients, a significant improvement in efficacy over standard care alone. The PBAC remained of the view that the listing would be cost-effective at the price proposed in the pre-PBAC response from July 2021. </w:t>
            </w:r>
          </w:p>
          <w:p w14:paraId="65ECB17E" w14:textId="77777777" w:rsidR="00CB0844" w:rsidRPr="00CB0844" w:rsidRDefault="00CB0844" w:rsidP="00CB0844">
            <w:pPr>
              <w:rPr>
                <w:rFonts w:ascii="Arial" w:hAnsi="Arial" w:cs="Arial"/>
                <w:sz w:val="18"/>
                <w:szCs w:val="18"/>
              </w:rPr>
            </w:pPr>
          </w:p>
          <w:p w14:paraId="19174D44" w14:textId="48E35B0F" w:rsidR="00CB0844" w:rsidRPr="00CB0844" w:rsidRDefault="00CB0844" w:rsidP="00CB0844">
            <w:pPr>
              <w:rPr>
                <w:rFonts w:ascii="Arial" w:hAnsi="Arial" w:cs="Arial"/>
                <w:sz w:val="18"/>
                <w:szCs w:val="18"/>
              </w:rPr>
            </w:pPr>
            <w:r w:rsidRPr="00CB0844">
              <w:rPr>
                <w:rFonts w:ascii="Arial" w:hAnsi="Arial" w:cs="Arial"/>
                <w:sz w:val="18"/>
                <w:szCs w:val="18"/>
              </w:rPr>
              <w:t xml:space="preserve">In July 2021, the PBAC had been concerned that the financial estimates were high and uncertain, that the eligible population had been very significantly overestimated, and there was a risk of use outside the proposed restriction. The PBAC had made recommendations in terms of revisions required to the assumptions informing the financial estimates for CKD. The PBAC had requested additional information to estimate the overall net impact of listing for both heart failure with reduced ejection fraction and CKD, in addition to use for type 2 diabetes mellitus to inform its advice about an appropriate </w:t>
            </w:r>
            <w:r>
              <w:rPr>
                <w:rFonts w:ascii="Arial" w:hAnsi="Arial" w:cs="Arial"/>
                <w:sz w:val="18"/>
                <w:szCs w:val="18"/>
              </w:rPr>
              <w:t>Risk S</w:t>
            </w:r>
            <w:r w:rsidRPr="00CB0844">
              <w:rPr>
                <w:rFonts w:ascii="Arial" w:hAnsi="Arial" w:cs="Arial"/>
                <w:sz w:val="18"/>
                <w:szCs w:val="18"/>
              </w:rPr>
              <w:t xml:space="preserve">haring </w:t>
            </w:r>
            <w:r>
              <w:rPr>
                <w:rFonts w:ascii="Arial" w:hAnsi="Arial" w:cs="Arial"/>
                <w:sz w:val="18"/>
                <w:szCs w:val="18"/>
              </w:rPr>
              <w:t>A</w:t>
            </w:r>
            <w:r w:rsidRPr="00CB0844">
              <w:rPr>
                <w:rFonts w:ascii="Arial" w:hAnsi="Arial" w:cs="Arial"/>
                <w:sz w:val="18"/>
                <w:szCs w:val="18"/>
              </w:rPr>
              <w:t xml:space="preserve">rrangement (RSA). </w:t>
            </w:r>
          </w:p>
          <w:p w14:paraId="2DFBE32D" w14:textId="77777777" w:rsidR="00CB0844" w:rsidRPr="00CB0844" w:rsidRDefault="00CB0844" w:rsidP="00CB0844">
            <w:pPr>
              <w:rPr>
                <w:rFonts w:ascii="Arial" w:hAnsi="Arial" w:cs="Arial"/>
                <w:sz w:val="18"/>
                <w:szCs w:val="18"/>
              </w:rPr>
            </w:pPr>
          </w:p>
          <w:p w14:paraId="585B68EC" w14:textId="279F492F" w:rsidR="00952ADE" w:rsidRPr="00CB0844" w:rsidRDefault="00CB0844" w:rsidP="00CB0844">
            <w:pPr>
              <w:rPr>
                <w:rFonts w:ascii="Arial" w:hAnsi="Arial" w:cs="Arial"/>
                <w:sz w:val="18"/>
                <w:szCs w:val="18"/>
              </w:rPr>
            </w:pPr>
            <w:r w:rsidRPr="00CB0844">
              <w:rPr>
                <w:rFonts w:ascii="Arial" w:hAnsi="Arial" w:cs="Arial"/>
                <w:sz w:val="18"/>
                <w:szCs w:val="18"/>
              </w:rPr>
              <w:t>The Department obtained additional information from the sponsor, but the PBAC remained of the view that the financial estimates for CKD remained high and substantially overestimated (in terms of eligible population size), and as such did not form a reliable basis for an RSA.</w:t>
            </w:r>
            <w:r>
              <w:rPr>
                <w:rFonts w:ascii="Arial" w:hAnsi="Arial" w:cs="Arial"/>
                <w:sz w:val="18"/>
                <w:szCs w:val="18"/>
              </w:rPr>
              <w:br/>
            </w:r>
          </w:p>
        </w:tc>
      </w:tr>
      <w:tr w:rsidR="00952ADE" w:rsidRPr="00687774" w14:paraId="6F283C63" w14:textId="77777777" w:rsidTr="00872B3A">
        <w:trPr>
          <w:trHeight w:val="1208"/>
        </w:trPr>
        <w:tc>
          <w:tcPr>
            <w:tcW w:w="874" w:type="pct"/>
            <w:vMerge/>
            <w:tcBorders>
              <w:left w:val="single" w:sz="4" w:space="0" w:color="auto"/>
              <w:right w:val="nil"/>
            </w:tcBorders>
            <w:shd w:val="clear" w:color="auto" w:fill="auto"/>
            <w:tcMar>
              <w:top w:w="28" w:type="dxa"/>
              <w:bottom w:w="28" w:type="dxa"/>
            </w:tcMar>
          </w:tcPr>
          <w:p w14:paraId="7BFE526D" w14:textId="77777777" w:rsidR="00952ADE" w:rsidRDefault="00952ADE" w:rsidP="00B24380">
            <w:pPr>
              <w:rPr>
                <w:rFonts w:ascii="Arial" w:hAnsi="Arial" w:cs="Arial"/>
                <w:sz w:val="18"/>
                <w:szCs w:val="18"/>
              </w:rPr>
            </w:pPr>
          </w:p>
        </w:tc>
        <w:tc>
          <w:tcPr>
            <w:tcW w:w="552" w:type="pct"/>
            <w:vMerge/>
            <w:tcBorders>
              <w:left w:val="single" w:sz="4" w:space="0" w:color="auto"/>
              <w:right w:val="single" w:sz="4" w:space="0" w:color="auto"/>
            </w:tcBorders>
            <w:shd w:val="clear" w:color="auto" w:fill="auto"/>
          </w:tcPr>
          <w:p w14:paraId="66AD14DC" w14:textId="77777777" w:rsidR="00952ADE" w:rsidRDefault="00952ADE" w:rsidP="00B24380">
            <w:pPr>
              <w:widowControl w:val="0"/>
              <w:rPr>
                <w:rFonts w:ascii="Arial" w:hAnsi="Arial" w:cs="Arial"/>
                <w:snapToGrid w:val="0"/>
                <w:sz w:val="18"/>
                <w:szCs w:val="18"/>
                <w:lang w:eastAsia="en-US"/>
              </w:rPr>
            </w:pPr>
          </w:p>
        </w:tc>
        <w:tc>
          <w:tcPr>
            <w:tcW w:w="875" w:type="pct"/>
            <w:vMerge/>
            <w:tcBorders>
              <w:left w:val="nil"/>
              <w:right w:val="single" w:sz="4" w:space="0" w:color="auto"/>
            </w:tcBorders>
            <w:shd w:val="clear" w:color="auto" w:fill="auto"/>
            <w:tcMar>
              <w:top w:w="28" w:type="dxa"/>
              <w:bottom w:w="28" w:type="dxa"/>
            </w:tcMar>
          </w:tcPr>
          <w:p w14:paraId="1906201B" w14:textId="77777777" w:rsidR="00952ADE" w:rsidRDefault="00952ADE" w:rsidP="00B24380">
            <w:pPr>
              <w:pStyle w:val="ListParagraph"/>
              <w:ind w:left="0"/>
              <w:rPr>
                <w:rFonts w:ascii="Arial" w:hAnsi="Arial" w:cs="Arial"/>
                <w:snapToGrid w:val="0"/>
                <w:sz w:val="18"/>
                <w:szCs w:val="18"/>
                <w:lang w:eastAsia="en-US"/>
              </w:rPr>
            </w:pPr>
          </w:p>
        </w:tc>
        <w:tc>
          <w:tcPr>
            <w:tcW w:w="553" w:type="pct"/>
            <w:vMerge/>
            <w:tcBorders>
              <w:left w:val="single" w:sz="4" w:space="0" w:color="auto"/>
              <w:right w:val="single" w:sz="4" w:space="0" w:color="auto"/>
            </w:tcBorders>
            <w:shd w:val="clear" w:color="auto" w:fill="auto"/>
          </w:tcPr>
          <w:p w14:paraId="1B0A59AB" w14:textId="77777777" w:rsidR="00952ADE" w:rsidRDefault="00952ADE" w:rsidP="00B24380">
            <w:pPr>
              <w:pStyle w:val="ListParagraph"/>
              <w:ind w:left="0"/>
              <w:rPr>
                <w:rFonts w:ascii="Arial" w:hAnsi="Arial" w:cs="Arial"/>
                <w:snapToGrid w:val="0"/>
                <w:sz w:val="18"/>
                <w:szCs w:val="18"/>
                <w:lang w:eastAsia="en-US"/>
              </w:rPr>
            </w:pPr>
          </w:p>
        </w:tc>
        <w:tc>
          <w:tcPr>
            <w:tcW w:w="2146" w:type="pct"/>
            <w:tcBorders>
              <w:top w:val="single" w:sz="4" w:space="0" w:color="auto"/>
            </w:tcBorders>
            <w:shd w:val="clear" w:color="auto" w:fill="auto"/>
          </w:tcPr>
          <w:p w14:paraId="45C5EDF4" w14:textId="0AD6DF51" w:rsidR="00952ADE" w:rsidRDefault="00952ADE" w:rsidP="00C16C4B">
            <w:pPr>
              <w:spacing w:after="120"/>
              <w:rPr>
                <w:rFonts w:ascii="Arial" w:hAnsi="Arial" w:cs="Arial"/>
                <w:snapToGrid w:val="0"/>
                <w:sz w:val="18"/>
                <w:szCs w:val="18"/>
                <w:lang w:eastAsia="en-US"/>
              </w:rPr>
            </w:pPr>
            <w:r w:rsidRPr="00CC0C66">
              <w:rPr>
                <w:rFonts w:ascii="Arial" w:hAnsi="Arial" w:cs="Arial"/>
                <w:color w:val="000000"/>
                <w:sz w:val="18"/>
                <w:szCs w:val="18"/>
                <w:u w:val="single"/>
              </w:rPr>
              <w:t>Sponsor’s Comment</w:t>
            </w:r>
            <w:r>
              <w:rPr>
                <w:rFonts w:ascii="Arial" w:hAnsi="Arial" w:cs="Arial"/>
                <w:snapToGrid w:val="0"/>
                <w:sz w:val="18"/>
                <w:szCs w:val="18"/>
                <w:lang w:eastAsia="en-US"/>
              </w:rPr>
              <w:t>:</w:t>
            </w:r>
            <w:r w:rsidR="00901154">
              <w:rPr>
                <w:rFonts w:ascii="Arial" w:hAnsi="Arial" w:cs="Arial"/>
                <w:snapToGrid w:val="0"/>
                <w:sz w:val="18"/>
                <w:szCs w:val="18"/>
                <w:lang w:eastAsia="en-US"/>
              </w:rPr>
              <w:t xml:space="preserve"> The sponsor had no comment. </w:t>
            </w:r>
          </w:p>
          <w:p w14:paraId="771EAEE3" w14:textId="59BDC5E3" w:rsidR="00A77380" w:rsidRDefault="00A77380" w:rsidP="00C16C4B">
            <w:pPr>
              <w:spacing w:after="120"/>
              <w:rPr>
                <w:rFonts w:ascii="Arial" w:hAnsi="Arial" w:cs="Arial"/>
                <w:color w:val="000000"/>
                <w:sz w:val="18"/>
                <w:szCs w:val="18"/>
              </w:rPr>
            </w:pPr>
          </w:p>
        </w:tc>
      </w:tr>
      <w:tr w:rsidR="007414B9" w:rsidRPr="00687774" w14:paraId="6111200E" w14:textId="77777777" w:rsidTr="00DE5E85">
        <w:trPr>
          <w:trHeight w:val="857"/>
        </w:trPr>
        <w:tc>
          <w:tcPr>
            <w:tcW w:w="874" w:type="pct"/>
            <w:tcBorders>
              <w:top w:val="single" w:sz="4" w:space="0" w:color="auto"/>
              <w:left w:val="single" w:sz="4" w:space="0" w:color="auto"/>
              <w:right w:val="nil"/>
            </w:tcBorders>
            <w:shd w:val="clear" w:color="auto" w:fill="auto"/>
            <w:tcMar>
              <w:top w:w="28" w:type="dxa"/>
              <w:bottom w:w="28" w:type="dxa"/>
            </w:tcMar>
          </w:tcPr>
          <w:p w14:paraId="0B506931" w14:textId="77777777" w:rsidR="007414B9" w:rsidRDefault="007414B9" w:rsidP="007414B9">
            <w:pPr>
              <w:rPr>
                <w:rFonts w:ascii="Arial" w:hAnsi="Arial" w:cs="Arial"/>
                <w:sz w:val="18"/>
                <w:szCs w:val="18"/>
              </w:rPr>
            </w:pPr>
            <w:r>
              <w:rPr>
                <w:rFonts w:ascii="Arial" w:hAnsi="Arial" w:cs="Arial"/>
                <w:sz w:val="18"/>
                <w:szCs w:val="18"/>
              </w:rPr>
              <w:t>DAPAGLIFLOZIN</w:t>
            </w:r>
          </w:p>
          <w:p w14:paraId="26E043AF" w14:textId="77777777" w:rsidR="007414B9" w:rsidRDefault="007414B9" w:rsidP="007414B9">
            <w:pPr>
              <w:rPr>
                <w:rFonts w:ascii="Arial" w:hAnsi="Arial" w:cs="Arial"/>
                <w:sz w:val="18"/>
                <w:szCs w:val="18"/>
              </w:rPr>
            </w:pPr>
          </w:p>
          <w:p w14:paraId="049163F9" w14:textId="77777777" w:rsidR="007414B9" w:rsidRDefault="007414B9" w:rsidP="007414B9">
            <w:pPr>
              <w:rPr>
                <w:rFonts w:ascii="Arial" w:hAnsi="Arial" w:cs="Arial"/>
                <w:sz w:val="18"/>
                <w:szCs w:val="18"/>
              </w:rPr>
            </w:pPr>
            <w:r>
              <w:rPr>
                <w:rFonts w:ascii="Arial" w:hAnsi="Arial" w:cs="Arial"/>
                <w:sz w:val="18"/>
                <w:szCs w:val="18"/>
              </w:rPr>
              <w:t>Tablet 10 mg</w:t>
            </w:r>
          </w:p>
          <w:p w14:paraId="58B5014D" w14:textId="77777777" w:rsidR="007414B9" w:rsidRDefault="007414B9" w:rsidP="007414B9">
            <w:pPr>
              <w:rPr>
                <w:rFonts w:ascii="Arial" w:hAnsi="Arial" w:cs="Arial"/>
                <w:sz w:val="18"/>
                <w:szCs w:val="18"/>
              </w:rPr>
            </w:pPr>
          </w:p>
          <w:p w14:paraId="32FFC981" w14:textId="77777777" w:rsidR="007414B9" w:rsidRDefault="007414B9" w:rsidP="007414B9">
            <w:pPr>
              <w:rPr>
                <w:rFonts w:ascii="Arial" w:hAnsi="Arial" w:cs="Arial"/>
                <w:sz w:val="18"/>
                <w:szCs w:val="18"/>
              </w:rPr>
            </w:pPr>
            <w:r>
              <w:rPr>
                <w:rFonts w:ascii="Arial" w:hAnsi="Arial" w:cs="Arial"/>
                <w:sz w:val="18"/>
                <w:szCs w:val="18"/>
              </w:rPr>
              <w:t>Forxiga®</w:t>
            </w:r>
          </w:p>
          <w:p w14:paraId="19E22E3C" w14:textId="77777777" w:rsidR="007414B9" w:rsidRDefault="007414B9" w:rsidP="007414B9">
            <w:pPr>
              <w:rPr>
                <w:rFonts w:ascii="Arial" w:hAnsi="Arial" w:cs="Arial"/>
                <w:sz w:val="18"/>
                <w:szCs w:val="18"/>
              </w:rPr>
            </w:pPr>
          </w:p>
          <w:p w14:paraId="1FB09270" w14:textId="77777777" w:rsidR="007414B9" w:rsidRDefault="007414B9" w:rsidP="007414B9">
            <w:pPr>
              <w:rPr>
                <w:rFonts w:ascii="Arial" w:hAnsi="Arial" w:cs="Arial"/>
                <w:sz w:val="18"/>
                <w:szCs w:val="18"/>
              </w:rPr>
            </w:pPr>
            <w:r>
              <w:rPr>
                <w:rFonts w:ascii="Arial" w:hAnsi="Arial" w:cs="Arial"/>
                <w:sz w:val="18"/>
                <w:szCs w:val="18"/>
              </w:rPr>
              <w:lastRenderedPageBreak/>
              <w:t>AstraZeneca Pty Ltd</w:t>
            </w:r>
          </w:p>
          <w:p w14:paraId="057D52CE" w14:textId="77777777" w:rsidR="002F6D5A" w:rsidRDefault="002F6D5A" w:rsidP="007414B9">
            <w:pPr>
              <w:rPr>
                <w:rFonts w:ascii="Arial" w:hAnsi="Arial" w:cs="Arial"/>
                <w:sz w:val="18"/>
                <w:szCs w:val="18"/>
              </w:rPr>
            </w:pPr>
          </w:p>
          <w:p w14:paraId="4CE6E5EB" w14:textId="77777777" w:rsidR="00410E7B" w:rsidRDefault="00410E7B" w:rsidP="007414B9">
            <w:pPr>
              <w:rPr>
                <w:rFonts w:ascii="Arial" w:hAnsi="Arial" w:cs="Arial"/>
                <w:sz w:val="18"/>
                <w:szCs w:val="18"/>
              </w:rPr>
            </w:pPr>
          </w:p>
          <w:p w14:paraId="2DD482D9" w14:textId="496BF01A" w:rsidR="00872B3A" w:rsidRDefault="00872B3A" w:rsidP="007414B9">
            <w:pPr>
              <w:rPr>
                <w:rFonts w:ascii="Arial" w:hAnsi="Arial" w:cs="Arial"/>
                <w:sz w:val="18"/>
                <w:szCs w:val="18"/>
              </w:rPr>
            </w:pPr>
            <w:r>
              <w:rPr>
                <w:rFonts w:ascii="Arial" w:hAnsi="Arial" w:cs="Arial"/>
                <w:sz w:val="18"/>
                <w:szCs w:val="18"/>
              </w:rPr>
              <w:t>Matters Outstanding</w:t>
            </w:r>
          </w:p>
          <w:p w14:paraId="36D061B8" w14:textId="171AEFC1" w:rsidR="002F6D5A" w:rsidRDefault="00872B3A" w:rsidP="007414B9">
            <w:pPr>
              <w:rPr>
                <w:rFonts w:ascii="Arial" w:hAnsi="Arial" w:cs="Arial"/>
                <w:sz w:val="18"/>
                <w:szCs w:val="18"/>
              </w:rPr>
            </w:pPr>
            <w:r>
              <w:rPr>
                <w:rFonts w:ascii="Arial" w:hAnsi="Arial" w:cs="Arial"/>
                <w:sz w:val="18"/>
                <w:szCs w:val="18"/>
              </w:rPr>
              <w:t>(</w:t>
            </w:r>
            <w:r w:rsidR="002F6D5A">
              <w:rPr>
                <w:rFonts w:ascii="Arial" w:hAnsi="Arial" w:cs="Arial"/>
                <w:sz w:val="18"/>
                <w:szCs w:val="18"/>
              </w:rPr>
              <w:t>Change to PBS listing</w:t>
            </w:r>
            <w:r>
              <w:rPr>
                <w:rFonts w:ascii="Arial" w:hAnsi="Arial" w:cs="Arial"/>
                <w:sz w:val="18"/>
                <w:szCs w:val="18"/>
              </w:rPr>
              <w:t>)</w:t>
            </w:r>
          </w:p>
        </w:tc>
        <w:tc>
          <w:tcPr>
            <w:tcW w:w="552" w:type="pct"/>
            <w:tcBorders>
              <w:top w:val="single" w:sz="4" w:space="0" w:color="auto"/>
              <w:left w:val="single" w:sz="4" w:space="0" w:color="auto"/>
              <w:right w:val="single" w:sz="4" w:space="0" w:color="auto"/>
            </w:tcBorders>
            <w:shd w:val="clear" w:color="auto" w:fill="auto"/>
          </w:tcPr>
          <w:p w14:paraId="7341B392" w14:textId="24B9BE05" w:rsidR="007414B9" w:rsidRDefault="007414B9" w:rsidP="007414B9">
            <w:pPr>
              <w:widowControl w:val="0"/>
              <w:rPr>
                <w:rFonts w:ascii="Arial" w:hAnsi="Arial" w:cs="Arial"/>
                <w:snapToGrid w:val="0"/>
                <w:sz w:val="18"/>
                <w:szCs w:val="18"/>
                <w:lang w:eastAsia="en-US"/>
              </w:rPr>
            </w:pPr>
            <w:r>
              <w:rPr>
                <w:rFonts w:ascii="Arial" w:hAnsi="Arial" w:cs="Arial"/>
                <w:snapToGrid w:val="0"/>
                <w:sz w:val="18"/>
                <w:szCs w:val="18"/>
                <w:lang w:eastAsia="en-US"/>
              </w:rPr>
              <w:lastRenderedPageBreak/>
              <w:t>Heart failure</w:t>
            </w:r>
          </w:p>
        </w:tc>
        <w:tc>
          <w:tcPr>
            <w:tcW w:w="875" w:type="pct"/>
            <w:tcBorders>
              <w:top w:val="single" w:sz="4" w:space="0" w:color="auto"/>
              <w:left w:val="nil"/>
              <w:right w:val="single" w:sz="4" w:space="0" w:color="auto"/>
            </w:tcBorders>
            <w:shd w:val="clear" w:color="auto" w:fill="auto"/>
            <w:tcMar>
              <w:top w:w="28" w:type="dxa"/>
              <w:bottom w:w="28" w:type="dxa"/>
            </w:tcMar>
          </w:tcPr>
          <w:p w14:paraId="3A92DF2D" w14:textId="772AD629" w:rsidR="007414B9" w:rsidRPr="0003174F" w:rsidRDefault="006D20CB" w:rsidP="007414B9">
            <w:pPr>
              <w:pStyle w:val="ListParagraph"/>
              <w:ind w:left="0"/>
              <w:rPr>
                <w:rFonts w:ascii="Arial" w:hAnsi="Arial" w:cs="Arial"/>
                <w:snapToGrid w:val="0"/>
                <w:sz w:val="18"/>
                <w:szCs w:val="18"/>
                <w:highlight w:val="yellow"/>
                <w:lang w:eastAsia="en-US"/>
              </w:rPr>
            </w:pPr>
            <w:r>
              <w:rPr>
                <w:rFonts w:ascii="Arial" w:hAnsi="Arial" w:cs="Arial"/>
                <w:snapToGrid w:val="0"/>
                <w:sz w:val="18"/>
                <w:szCs w:val="18"/>
                <w:lang w:eastAsia="en-US"/>
              </w:rPr>
              <w:t>T</w:t>
            </w:r>
            <w:r w:rsidR="007414B9">
              <w:rPr>
                <w:rFonts w:ascii="Arial" w:hAnsi="Arial" w:cs="Arial"/>
                <w:snapToGrid w:val="0"/>
                <w:sz w:val="18"/>
                <w:szCs w:val="18"/>
                <w:lang w:eastAsia="en-US"/>
              </w:rPr>
              <w:t>o request a General Schedule, Authority Required (STREAMLINED) listing for the treatment of heart failure with reduced ejection fraction</w:t>
            </w:r>
            <w:r w:rsidR="000B2350">
              <w:rPr>
                <w:rFonts w:ascii="Arial" w:hAnsi="Arial" w:cs="Arial"/>
                <w:snapToGrid w:val="0"/>
                <w:sz w:val="18"/>
                <w:szCs w:val="18"/>
                <w:lang w:eastAsia="en-US"/>
              </w:rPr>
              <w:t xml:space="preserve"> (</w:t>
            </w:r>
            <w:proofErr w:type="spellStart"/>
            <w:r w:rsidR="000B2350">
              <w:rPr>
                <w:rFonts w:ascii="Arial" w:hAnsi="Arial" w:cs="Arial"/>
                <w:snapToGrid w:val="0"/>
                <w:sz w:val="18"/>
                <w:szCs w:val="18"/>
                <w:lang w:eastAsia="en-US"/>
              </w:rPr>
              <w:t>HFrEF</w:t>
            </w:r>
            <w:proofErr w:type="spellEnd"/>
            <w:r w:rsidR="000B2350">
              <w:rPr>
                <w:rFonts w:ascii="Arial" w:hAnsi="Arial" w:cs="Arial"/>
                <w:snapToGrid w:val="0"/>
                <w:sz w:val="18"/>
                <w:szCs w:val="18"/>
                <w:lang w:eastAsia="en-US"/>
              </w:rPr>
              <w:t>)</w:t>
            </w:r>
            <w:r>
              <w:rPr>
                <w:rFonts w:ascii="Arial" w:hAnsi="Arial" w:cs="Arial"/>
                <w:snapToGrid w:val="0"/>
                <w:sz w:val="18"/>
                <w:szCs w:val="18"/>
                <w:lang w:eastAsia="en-US"/>
              </w:rPr>
              <w:t>.</w:t>
            </w:r>
          </w:p>
        </w:tc>
        <w:tc>
          <w:tcPr>
            <w:tcW w:w="553" w:type="pct"/>
            <w:tcBorders>
              <w:top w:val="single" w:sz="4" w:space="0" w:color="auto"/>
              <w:left w:val="single" w:sz="4" w:space="0" w:color="auto"/>
              <w:right w:val="single" w:sz="4" w:space="0" w:color="auto"/>
            </w:tcBorders>
            <w:shd w:val="clear" w:color="auto" w:fill="auto"/>
            <w:vAlign w:val="center"/>
          </w:tcPr>
          <w:p w14:paraId="2F8893FF" w14:textId="48BAC11C" w:rsidR="007414B9" w:rsidRDefault="007414B9" w:rsidP="007414B9">
            <w:pPr>
              <w:pStyle w:val="ListParagraph"/>
              <w:ind w:left="0"/>
              <w:rPr>
                <w:rFonts w:ascii="Arial" w:hAnsi="Arial" w:cs="Arial"/>
                <w:snapToGrid w:val="0"/>
                <w:sz w:val="18"/>
                <w:szCs w:val="18"/>
                <w:lang w:eastAsia="en-US"/>
              </w:rPr>
            </w:pPr>
            <w:r>
              <w:rPr>
                <w:rFonts w:ascii="Arial" w:hAnsi="Arial" w:cs="Arial"/>
                <w:snapToGrid w:val="0"/>
                <w:sz w:val="18"/>
                <w:szCs w:val="18"/>
                <w:lang w:eastAsia="en-US"/>
              </w:rPr>
              <w:t>Recommended</w:t>
            </w:r>
          </w:p>
        </w:tc>
        <w:tc>
          <w:tcPr>
            <w:tcW w:w="2146" w:type="pct"/>
            <w:tcBorders>
              <w:top w:val="single" w:sz="4" w:space="0" w:color="auto"/>
            </w:tcBorders>
            <w:shd w:val="clear" w:color="auto" w:fill="auto"/>
          </w:tcPr>
          <w:p w14:paraId="2E985F84" w14:textId="77777777" w:rsidR="008A6AA0" w:rsidRDefault="00C16C4B" w:rsidP="00C16C4B">
            <w:pPr>
              <w:spacing w:after="120"/>
              <w:rPr>
                <w:rFonts w:ascii="Arial" w:hAnsi="Arial" w:cs="Arial"/>
                <w:color w:val="000000"/>
                <w:sz w:val="18"/>
                <w:szCs w:val="18"/>
              </w:rPr>
            </w:pPr>
            <w:r w:rsidRPr="00C16C4B">
              <w:rPr>
                <w:rFonts w:ascii="Arial" w:hAnsi="Arial" w:cs="Arial"/>
                <w:color w:val="000000"/>
                <w:sz w:val="18"/>
                <w:szCs w:val="18"/>
              </w:rPr>
              <w:t>The PBAC recommended extending the existing listing of dapagliflozin to include a General Schedule Authority Required (S</w:t>
            </w:r>
            <w:r w:rsidR="006D20CB">
              <w:rPr>
                <w:rFonts w:ascii="Arial" w:hAnsi="Arial" w:cs="Arial"/>
                <w:color w:val="000000"/>
                <w:sz w:val="18"/>
                <w:szCs w:val="18"/>
              </w:rPr>
              <w:t>TREAMLINED</w:t>
            </w:r>
            <w:r w:rsidRPr="00C16C4B">
              <w:rPr>
                <w:rFonts w:ascii="Arial" w:hAnsi="Arial" w:cs="Arial"/>
                <w:color w:val="000000"/>
                <w:sz w:val="18"/>
                <w:szCs w:val="18"/>
              </w:rPr>
              <w:t xml:space="preserve">) listing for the treatment of patients with </w:t>
            </w:r>
            <w:proofErr w:type="spellStart"/>
            <w:r w:rsidRPr="00C16C4B">
              <w:rPr>
                <w:rFonts w:ascii="Arial" w:hAnsi="Arial" w:cs="Arial"/>
                <w:color w:val="000000"/>
                <w:sz w:val="18"/>
                <w:szCs w:val="18"/>
              </w:rPr>
              <w:t>HFrEF</w:t>
            </w:r>
            <w:proofErr w:type="spellEnd"/>
            <w:r w:rsidR="00FC3935">
              <w:rPr>
                <w:rFonts w:ascii="Arial" w:hAnsi="Arial" w:cs="Arial"/>
                <w:color w:val="000000"/>
                <w:sz w:val="18"/>
                <w:szCs w:val="18"/>
              </w:rPr>
              <w:t xml:space="preserve">. </w:t>
            </w:r>
            <w:r w:rsidRPr="00C16C4B">
              <w:rPr>
                <w:rFonts w:ascii="Arial" w:hAnsi="Arial" w:cs="Arial"/>
                <w:color w:val="000000"/>
                <w:sz w:val="18"/>
                <w:szCs w:val="18"/>
              </w:rPr>
              <w:t xml:space="preserve">Following a deferred decision in July 2021, the PBAC reiterated that it was satisfied that dapagliflozin added to standard care provides, for some patients, a significant improvement in efficacy over </w:t>
            </w:r>
            <w:r w:rsidRPr="00C16C4B">
              <w:rPr>
                <w:rFonts w:ascii="Arial" w:hAnsi="Arial" w:cs="Arial"/>
                <w:color w:val="000000"/>
                <w:sz w:val="18"/>
                <w:szCs w:val="18"/>
              </w:rPr>
              <w:lastRenderedPageBreak/>
              <w:t xml:space="preserve">standard care alone. The PBAC remained of the view that the listing would be cost-effective at the price proposed in the pre-PBAC response from July 2021. </w:t>
            </w:r>
          </w:p>
          <w:p w14:paraId="6B269E78" w14:textId="0FDEDD20" w:rsidR="008A6AA0" w:rsidRPr="008A6AA0" w:rsidRDefault="008A6AA0" w:rsidP="008A6AA0">
            <w:pPr>
              <w:rPr>
                <w:rFonts w:ascii="Arial" w:hAnsi="Arial" w:cs="Arial"/>
                <w:sz w:val="18"/>
                <w:szCs w:val="18"/>
              </w:rPr>
            </w:pPr>
            <w:r w:rsidRPr="008A6AA0">
              <w:rPr>
                <w:rFonts w:ascii="Arial" w:hAnsi="Arial" w:cs="Arial"/>
                <w:sz w:val="18"/>
                <w:szCs w:val="18"/>
              </w:rPr>
              <w:t xml:space="preserve">In July 2021, the PBAC had been concerned about the risk of use outside the proposed PBS restriction. The PBAC had requested additional information to estimate the overall net impact of listing for both </w:t>
            </w:r>
            <w:proofErr w:type="spellStart"/>
            <w:r w:rsidRPr="008A6AA0">
              <w:rPr>
                <w:rFonts w:ascii="Arial" w:hAnsi="Arial" w:cs="Arial"/>
                <w:sz w:val="18"/>
                <w:szCs w:val="18"/>
              </w:rPr>
              <w:t>HFrEF</w:t>
            </w:r>
            <w:proofErr w:type="spellEnd"/>
            <w:r w:rsidRPr="008A6AA0">
              <w:rPr>
                <w:rFonts w:ascii="Arial" w:hAnsi="Arial" w:cs="Arial"/>
                <w:sz w:val="18"/>
                <w:szCs w:val="18"/>
              </w:rPr>
              <w:t xml:space="preserve"> and </w:t>
            </w:r>
            <w:r>
              <w:rPr>
                <w:rFonts w:ascii="Arial" w:hAnsi="Arial" w:cs="Arial"/>
                <w:sz w:val="18"/>
                <w:szCs w:val="18"/>
              </w:rPr>
              <w:t>chronic kidney disease</w:t>
            </w:r>
            <w:r w:rsidRPr="008A6AA0">
              <w:rPr>
                <w:rFonts w:ascii="Arial" w:hAnsi="Arial" w:cs="Arial"/>
                <w:sz w:val="18"/>
                <w:szCs w:val="18"/>
              </w:rPr>
              <w:t>, in addition to use for type 2 diabetes mellitus to inform its advice about an appropriate Risk Sharing Arrangement (RSA).</w:t>
            </w:r>
          </w:p>
          <w:p w14:paraId="439A4912" w14:textId="77777777" w:rsidR="008A6AA0" w:rsidRPr="008A6AA0" w:rsidRDefault="008A6AA0" w:rsidP="008A6AA0">
            <w:pPr>
              <w:rPr>
                <w:rFonts w:ascii="Arial" w:hAnsi="Arial" w:cs="Arial"/>
                <w:sz w:val="18"/>
                <w:szCs w:val="18"/>
              </w:rPr>
            </w:pPr>
          </w:p>
          <w:p w14:paraId="028065D2" w14:textId="77777777" w:rsidR="007414B9" w:rsidRPr="008A6AA0" w:rsidRDefault="008A6AA0" w:rsidP="008A6AA0">
            <w:pPr>
              <w:rPr>
                <w:rFonts w:ascii="Arial" w:hAnsi="Arial" w:cs="Arial"/>
                <w:sz w:val="18"/>
                <w:szCs w:val="18"/>
              </w:rPr>
            </w:pPr>
            <w:r w:rsidRPr="008A6AA0">
              <w:rPr>
                <w:rFonts w:ascii="Arial" w:hAnsi="Arial" w:cs="Arial"/>
                <w:sz w:val="18"/>
                <w:szCs w:val="18"/>
              </w:rPr>
              <w:t xml:space="preserve">The Department obtained additional information from the sponsor, and the PBAC considered that the estimates provided for </w:t>
            </w:r>
            <w:proofErr w:type="spellStart"/>
            <w:r w:rsidRPr="008A6AA0">
              <w:rPr>
                <w:rFonts w:ascii="Arial" w:hAnsi="Arial" w:cs="Arial"/>
                <w:sz w:val="18"/>
                <w:szCs w:val="18"/>
              </w:rPr>
              <w:t>HFrEF</w:t>
            </w:r>
            <w:proofErr w:type="spellEnd"/>
            <w:r w:rsidRPr="008A6AA0">
              <w:rPr>
                <w:rFonts w:ascii="Arial" w:hAnsi="Arial" w:cs="Arial"/>
                <w:sz w:val="18"/>
                <w:szCs w:val="18"/>
              </w:rPr>
              <w:t xml:space="preserve"> were broadly reasonable, and would be an appropriate basis for an RSA for this indication (with minor reductions to the expected uptake in Year 1).</w:t>
            </w:r>
          </w:p>
          <w:p w14:paraId="25A25E87" w14:textId="3F74E4F5" w:rsidR="008A6AA0" w:rsidRPr="008A6AA0" w:rsidRDefault="008A6AA0" w:rsidP="008A6AA0">
            <w:pPr>
              <w:rPr>
                <w:rFonts w:asciiTheme="minorHAnsi" w:hAnsiTheme="minorHAnsi"/>
                <w:highlight w:val="cyan"/>
              </w:rPr>
            </w:pPr>
          </w:p>
        </w:tc>
      </w:tr>
      <w:tr w:rsidR="007414B9" w:rsidRPr="00687774" w14:paraId="2D9E5DF5" w14:textId="77777777" w:rsidTr="00DE5E85">
        <w:trPr>
          <w:trHeight w:val="729"/>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tcPr>
          <w:p w14:paraId="5878B006" w14:textId="3D9750CA" w:rsidR="007414B9" w:rsidRDefault="007414B9" w:rsidP="007414B9">
            <w:pPr>
              <w:rPr>
                <w:rFonts w:ascii="Arial" w:hAnsi="Arial" w:cs="Arial"/>
                <w:sz w:val="18"/>
                <w:szCs w:val="18"/>
              </w:rPr>
            </w:pPr>
            <w:r>
              <w:rPr>
                <w:rFonts w:ascii="Arial" w:hAnsi="Arial" w:cs="Arial"/>
                <w:sz w:val="18"/>
                <w:szCs w:val="18"/>
              </w:rPr>
              <w:lastRenderedPageBreak/>
              <w:t>METHOXSALEN</w:t>
            </w:r>
          </w:p>
          <w:p w14:paraId="6D1EC866" w14:textId="77777777" w:rsidR="007414B9" w:rsidRDefault="007414B9" w:rsidP="007414B9">
            <w:pPr>
              <w:rPr>
                <w:rFonts w:ascii="Arial" w:hAnsi="Arial" w:cs="Arial"/>
                <w:sz w:val="18"/>
                <w:szCs w:val="18"/>
              </w:rPr>
            </w:pPr>
          </w:p>
          <w:p w14:paraId="62DF6BAE" w14:textId="4D578512" w:rsidR="00EE2AFA" w:rsidRPr="00EE2AFA" w:rsidRDefault="00EE2AFA" w:rsidP="007414B9">
            <w:pPr>
              <w:rPr>
                <w:rFonts w:ascii="Arial" w:hAnsi="Arial" w:cs="Arial"/>
                <w:sz w:val="18"/>
                <w:szCs w:val="18"/>
              </w:rPr>
            </w:pPr>
            <w:r w:rsidRPr="00EE2AFA">
              <w:rPr>
                <w:rFonts w:ascii="Arial" w:hAnsi="Arial" w:cs="Arial"/>
                <w:sz w:val="18"/>
                <w:szCs w:val="18"/>
              </w:rPr>
              <w:t>Solution for blood fraction 20 microgram per mL, 10 mL</w:t>
            </w:r>
          </w:p>
          <w:p w14:paraId="2896F737" w14:textId="77777777" w:rsidR="00EE2AFA" w:rsidRDefault="00EE2AFA" w:rsidP="007414B9">
            <w:pPr>
              <w:rPr>
                <w:rFonts w:ascii="Arial" w:hAnsi="Arial" w:cs="Arial"/>
                <w:sz w:val="18"/>
                <w:szCs w:val="18"/>
              </w:rPr>
            </w:pPr>
          </w:p>
          <w:p w14:paraId="63A58B92" w14:textId="77777777" w:rsidR="007414B9" w:rsidRDefault="007414B9" w:rsidP="007414B9">
            <w:pPr>
              <w:rPr>
                <w:rFonts w:ascii="Arial" w:hAnsi="Arial" w:cs="Arial"/>
                <w:sz w:val="18"/>
                <w:szCs w:val="18"/>
              </w:rPr>
            </w:pPr>
            <w:proofErr w:type="spellStart"/>
            <w:r>
              <w:rPr>
                <w:rFonts w:ascii="Arial" w:hAnsi="Arial" w:cs="Arial"/>
                <w:sz w:val="18"/>
                <w:szCs w:val="18"/>
              </w:rPr>
              <w:t>Uvadex</w:t>
            </w:r>
            <w:proofErr w:type="spellEnd"/>
            <w:r>
              <w:rPr>
                <w:rFonts w:ascii="Arial" w:hAnsi="Arial" w:cs="Arial"/>
                <w:sz w:val="18"/>
                <w:szCs w:val="18"/>
              </w:rPr>
              <w:t>®</w:t>
            </w:r>
          </w:p>
          <w:p w14:paraId="4C0EEFB9" w14:textId="77777777" w:rsidR="007414B9" w:rsidRDefault="007414B9" w:rsidP="007414B9">
            <w:pPr>
              <w:rPr>
                <w:rFonts w:ascii="Arial" w:hAnsi="Arial" w:cs="Arial"/>
                <w:sz w:val="18"/>
                <w:szCs w:val="18"/>
              </w:rPr>
            </w:pPr>
          </w:p>
          <w:p w14:paraId="08C152A3" w14:textId="77777777" w:rsidR="007414B9" w:rsidRDefault="007414B9" w:rsidP="007414B9">
            <w:pPr>
              <w:rPr>
                <w:rFonts w:ascii="Arial" w:hAnsi="Arial" w:cs="Arial"/>
                <w:sz w:val="18"/>
                <w:szCs w:val="18"/>
              </w:rPr>
            </w:pPr>
            <w:r>
              <w:rPr>
                <w:rFonts w:ascii="Arial" w:hAnsi="Arial" w:cs="Arial"/>
                <w:sz w:val="18"/>
                <w:szCs w:val="18"/>
              </w:rPr>
              <w:t>Terumo BCT Australia Pty Ltd</w:t>
            </w:r>
          </w:p>
          <w:p w14:paraId="418C3BEA" w14:textId="77777777" w:rsidR="002F6D5A" w:rsidRDefault="002F6D5A" w:rsidP="007414B9">
            <w:pPr>
              <w:rPr>
                <w:rFonts w:ascii="Arial" w:hAnsi="Arial" w:cs="Arial"/>
                <w:sz w:val="18"/>
                <w:szCs w:val="18"/>
              </w:rPr>
            </w:pPr>
          </w:p>
          <w:p w14:paraId="77B07E9D" w14:textId="28E1E4DC" w:rsidR="00872B3A" w:rsidRDefault="00872B3A" w:rsidP="007414B9">
            <w:pPr>
              <w:rPr>
                <w:rFonts w:ascii="Arial" w:hAnsi="Arial" w:cs="Arial"/>
                <w:sz w:val="18"/>
                <w:szCs w:val="18"/>
              </w:rPr>
            </w:pPr>
            <w:r>
              <w:rPr>
                <w:rFonts w:ascii="Arial" w:hAnsi="Arial" w:cs="Arial"/>
                <w:sz w:val="18"/>
                <w:szCs w:val="18"/>
              </w:rPr>
              <w:t xml:space="preserve">Matters Outstanding </w:t>
            </w:r>
          </w:p>
          <w:p w14:paraId="437DE230" w14:textId="404BD51E" w:rsidR="002F6D5A" w:rsidRPr="003E3EC0" w:rsidRDefault="00872B3A" w:rsidP="007414B9">
            <w:pPr>
              <w:rPr>
                <w:rFonts w:ascii="Arial" w:hAnsi="Arial" w:cs="Arial"/>
                <w:sz w:val="18"/>
                <w:szCs w:val="18"/>
              </w:rPr>
            </w:pPr>
            <w:r>
              <w:rPr>
                <w:rFonts w:ascii="Arial" w:hAnsi="Arial" w:cs="Arial"/>
                <w:sz w:val="18"/>
                <w:szCs w:val="18"/>
              </w:rPr>
              <w:t>(</w:t>
            </w:r>
            <w:r w:rsidR="002F6D5A">
              <w:rPr>
                <w:rFonts w:ascii="Arial" w:hAnsi="Arial" w:cs="Arial"/>
                <w:sz w:val="18"/>
                <w:szCs w:val="18"/>
              </w:rPr>
              <w:t>Change to PBS listing</w:t>
            </w:r>
            <w:r>
              <w:rPr>
                <w:rFonts w:ascii="Arial" w:hAnsi="Arial" w:cs="Arial"/>
                <w:sz w:val="18"/>
                <w:szCs w:val="18"/>
              </w:rPr>
              <w:t>)</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4F5B116B" w14:textId="40FF4B3B" w:rsidR="007414B9" w:rsidRPr="003E3EC0" w:rsidRDefault="007414B9" w:rsidP="007414B9">
            <w:pPr>
              <w:widowControl w:val="0"/>
              <w:rPr>
                <w:rFonts w:ascii="Arial" w:hAnsi="Arial" w:cs="Arial"/>
                <w:snapToGrid w:val="0"/>
                <w:sz w:val="18"/>
                <w:szCs w:val="18"/>
                <w:lang w:eastAsia="en-US"/>
              </w:rPr>
            </w:pPr>
            <w:r w:rsidRPr="00AB71B1">
              <w:rPr>
                <w:rFonts w:ascii="Arial" w:hAnsi="Arial" w:cs="Arial"/>
                <w:snapToGrid w:val="0"/>
                <w:sz w:val="18"/>
                <w:szCs w:val="18"/>
                <w:lang w:eastAsia="en-US"/>
              </w:rPr>
              <w:t>Steroid dependent or steroid intolerant or steroid refractory chronic graft versus host disease (cGVHD)</w:t>
            </w:r>
          </w:p>
        </w:tc>
        <w:tc>
          <w:tcPr>
            <w:tcW w:w="87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73B828BC" w14:textId="063432F6" w:rsidR="007414B9" w:rsidRPr="003E3EC0" w:rsidRDefault="007414B9" w:rsidP="007414B9">
            <w:pPr>
              <w:pStyle w:val="ListParagraph"/>
              <w:ind w:left="0"/>
              <w:rPr>
                <w:rFonts w:ascii="Arial" w:hAnsi="Arial" w:cs="Arial"/>
                <w:snapToGrid w:val="0"/>
                <w:sz w:val="18"/>
                <w:szCs w:val="18"/>
                <w:lang w:eastAsia="en-US"/>
              </w:rPr>
            </w:pPr>
            <w:r w:rsidRPr="00AB71B1">
              <w:rPr>
                <w:rFonts w:ascii="Arial" w:hAnsi="Arial" w:cs="Arial"/>
                <w:snapToGrid w:val="0"/>
                <w:sz w:val="18"/>
                <w:szCs w:val="18"/>
                <w:lang w:eastAsia="en-US"/>
              </w:rPr>
              <w:t>To request a Section 100 (Highly Specialised Drugs Program) Authority Required (STREAMLINED) listing for the treatment of patients with steroid dependent or steroid intolerant or steroid refractory cGVHD, as part of treatment with integrated, closed system extracorporeal photopheresis</w:t>
            </w:r>
            <w:r w:rsidR="00534AF9">
              <w:rPr>
                <w:rFonts w:ascii="Arial" w:hAnsi="Arial" w:cs="Arial"/>
                <w:snapToGrid w:val="0"/>
                <w:sz w:val="18"/>
                <w:szCs w:val="18"/>
                <w:lang w:eastAsia="en-US"/>
              </w:rPr>
              <w:t xml:space="preserve"> (ECP)</w:t>
            </w:r>
            <w:r w:rsidR="006D20CB">
              <w:rPr>
                <w:rFonts w:ascii="Arial" w:hAnsi="Arial" w:cs="Arial"/>
                <w:snapToGrid w:val="0"/>
                <w:sz w:val="18"/>
                <w:szCs w:val="18"/>
                <w:lang w:eastAsia="en-US"/>
              </w:rPr>
              <w:t>.</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AFF9F97" w14:textId="58E6266F" w:rsidR="007414B9" w:rsidRPr="003E3EC0" w:rsidRDefault="007414B9" w:rsidP="007414B9">
            <w:pPr>
              <w:pStyle w:val="ListParagraph"/>
              <w:ind w:left="0"/>
              <w:rPr>
                <w:rFonts w:ascii="Arial" w:hAnsi="Arial" w:cs="Arial"/>
                <w:snapToGrid w:val="0"/>
                <w:sz w:val="18"/>
                <w:szCs w:val="18"/>
                <w:lang w:eastAsia="en-US"/>
              </w:rPr>
            </w:pPr>
            <w:r>
              <w:rPr>
                <w:rFonts w:ascii="Arial" w:hAnsi="Arial" w:cs="Arial"/>
                <w:snapToGrid w:val="0"/>
                <w:sz w:val="18"/>
                <w:szCs w:val="18"/>
                <w:lang w:eastAsia="en-US"/>
              </w:rPr>
              <w:t>Recommended</w:t>
            </w:r>
          </w:p>
        </w:tc>
        <w:tc>
          <w:tcPr>
            <w:tcW w:w="2146" w:type="pct"/>
            <w:tcBorders>
              <w:top w:val="single" w:sz="4" w:space="0" w:color="auto"/>
              <w:bottom w:val="single" w:sz="4" w:space="0" w:color="auto"/>
            </w:tcBorders>
            <w:shd w:val="clear" w:color="auto" w:fill="auto"/>
          </w:tcPr>
          <w:p w14:paraId="3B9A6841" w14:textId="467C1D3B" w:rsidR="000B2350" w:rsidRPr="000B2350" w:rsidRDefault="00A205B6" w:rsidP="000B2350">
            <w:pPr>
              <w:pStyle w:val="3Bodytext"/>
              <w:ind w:left="0" w:firstLine="0"/>
              <w:rPr>
                <w:rFonts w:ascii="Arial" w:hAnsi="Arial" w:cs="Arial"/>
                <w:bCs/>
                <w:snapToGrid w:val="0"/>
                <w:sz w:val="18"/>
                <w:szCs w:val="18"/>
                <w:lang w:val="en-GB"/>
              </w:rPr>
            </w:pPr>
            <w:r w:rsidRPr="00A205B6">
              <w:rPr>
                <w:rFonts w:ascii="Arial" w:hAnsi="Arial" w:cs="Arial"/>
                <w:bCs/>
                <w:snapToGrid w:val="0"/>
                <w:sz w:val="18"/>
                <w:szCs w:val="18"/>
                <w:lang w:val="en-GB"/>
              </w:rPr>
              <w:t xml:space="preserve">The PBAC recommended the Section 100 (Highly Specialised Drugs Program – Public and Private Hospital) Authority Required (STREAMLINED) listing </w:t>
            </w:r>
            <w:r w:rsidR="00AA1053">
              <w:rPr>
                <w:rFonts w:ascii="Arial" w:hAnsi="Arial" w:cs="Arial"/>
                <w:bCs/>
                <w:snapToGrid w:val="0"/>
                <w:sz w:val="18"/>
                <w:szCs w:val="18"/>
                <w:lang w:val="en-GB"/>
              </w:rPr>
              <w:t>for</w:t>
            </w:r>
            <w:r w:rsidRPr="00A205B6">
              <w:rPr>
                <w:rFonts w:ascii="Arial" w:hAnsi="Arial" w:cs="Arial"/>
                <w:bCs/>
                <w:snapToGrid w:val="0"/>
                <w:sz w:val="18"/>
                <w:szCs w:val="18"/>
                <w:lang w:val="en-GB"/>
              </w:rPr>
              <w:t xml:space="preserve"> methoxsalen, delivered as part of an integrated, closed system ECP</w:t>
            </w:r>
            <w:r w:rsidR="00534AF9">
              <w:rPr>
                <w:rFonts w:ascii="Arial" w:hAnsi="Arial" w:cs="Arial"/>
                <w:bCs/>
                <w:snapToGrid w:val="0"/>
                <w:sz w:val="18"/>
                <w:szCs w:val="18"/>
                <w:lang w:val="en-GB"/>
              </w:rPr>
              <w:t xml:space="preserve"> </w:t>
            </w:r>
            <w:r w:rsidRPr="00A205B6">
              <w:rPr>
                <w:rFonts w:ascii="Arial" w:hAnsi="Arial" w:cs="Arial"/>
                <w:bCs/>
                <w:snapToGrid w:val="0"/>
                <w:sz w:val="18"/>
                <w:szCs w:val="18"/>
                <w:lang w:val="en-GB"/>
              </w:rPr>
              <w:t>service for the treatment of patients with steroid dependent, steroid intolerant or steroid refractory cGVHD</w:t>
            </w:r>
            <w:r w:rsidR="00AA1053">
              <w:rPr>
                <w:rFonts w:ascii="Arial" w:hAnsi="Arial" w:cs="Arial"/>
                <w:bCs/>
                <w:snapToGrid w:val="0"/>
                <w:sz w:val="18"/>
                <w:szCs w:val="18"/>
                <w:lang w:val="en-GB"/>
              </w:rPr>
              <w:t xml:space="preserve">. </w:t>
            </w:r>
            <w:r w:rsidRPr="00A205B6">
              <w:rPr>
                <w:rFonts w:ascii="Arial" w:hAnsi="Arial" w:cs="Arial"/>
                <w:bCs/>
                <w:snapToGrid w:val="0"/>
                <w:sz w:val="18"/>
                <w:szCs w:val="18"/>
                <w:lang w:val="en-GB"/>
              </w:rPr>
              <w:t xml:space="preserve">The PBAC was satisfied that ECP involving methoxsalen provides, for some patients, a significant improvement in efficacy over current standard of care. </w:t>
            </w:r>
            <w:r>
              <w:rPr>
                <w:rFonts w:ascii="Arial" w:hAnsi="Arial" w:cs="Arial"/>
                <w:bCs/>
                <w:snapToGrid w:val="0"/>
                <w:sz w:val="18"/>
                <w:szCs w:val="18"/>
                <w:lang w:val="en-GB"/>
              </w:rPr>
              <w:br/>
            </w:r>
            <w:r>
              <w:rPr>
                <w:rFonts w:ascii="Arial" w:hAnsi="Arial" w:cs="Arial"/>
                <w:bCs/>
                <w:snapToGrid w:val="0"/>
                <w:sz w:val="18"/>
                <w:szCs w:val="18"/>
                <w:lang w:val="en-GB"/>
              </w:rPr>
              <w:br/>
            </w:r>
            <w:r w:rsidRPr="00A205B6">
              <w:rPr>
                <w:rFonts w:ascii="Arial" w:hAnsi="Arial" w:cs="Arial"/>
                <w:bCs/>
                <w:snapToGrid w:val="0"/>
                <w:sz w:val="18"/>
                <w:szCs w:val="18"/>
                <w:lang w:val="en-GB"/>
              </w:rPr>
              <w:t>The PBAC noted that MSAC accepted that ECP had likely superior clinical effectiveness and non-inferior safety compared with current standard of care. Further, the PBAC noted that MSAC advised that ECP plus methoxsalen has acceptable cost-effectiveness in the treatment of cGVHD compared with current standard of care for the proposed patient population.</w:t>
            </w:r>
          </w:p>
        </w:tc>
      </w:tr>
      <w:tr w:rsidR="007414B9" w:rsidRPr="00687774" w14:paraId="47854D95" w14:textId="77777777" w:rsidTr="00DE5E85">
        <w:trPr>
          <w:trHeight w:val="2031"/>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tcPr>
          <w:p w14:paraId="67C4A9FA" w14:textId="127F1020" w:rsidR="007414B9" w:rsidRDefault="007414B9" w:rsidP="007414B9">
            <w:pPr>
              <w:rPr>
                <w:rFonts w:ascii="Arial" w:hAnsi="Arial" w:cs="Arial"/>
                <w:sz w:val="18"/>
                <w:szCs w:val="18"/>
              </w:rPr>
            </w:pPr>
            <w:r>
              <w:rPr>
                <w:rFonts w:ascii="Arial" w:hAnsi="Arial" w:cs="Arial"/>
                <w:sz w:val="18"/>
                <w:szCs w:val="18"/>
              </w:rPr>
              <w:t>NINTEDANIB</w:t>
            </w:r>
          </w:p>
          <w:p w14:paraId="693BF3EF" w14:textId="77777777" w:rsidR="007414B9" w:rsidRDefault="007414B9" w:rsidP="007414B9">
            <w:pPr>
              <w:rPr>
                <w:rFonts w:ascii="Arial" w:hAnsi="Arial" w:cs="Arial"/>
                <w:sz w:val="18"/>
                <w:szCs w:val="18"/>
              </w:rPr>
            </w:pPr>
          </w:p>
          <w:p w14:paraId="518B31CE" w14:textId="368ED689" w:rsidR="007414B9" w:rsidRDefault="007414B9" w:rsidP="007414B9">
            <w:pPr>
              <w:rPr>
                <w:rFonts w:ascii="Arial" w:hAnsi="Arial" w:cs="Arial"/>
                <w:sz w:val="18"/>
                <w:szCs w:val="18"/>
              </w:rPr>
            </w:pPr>
            <w:r>
              <w:rPr>
                <w:rFonts w:ascii="Arial" w:hAnsi="Arial" w:cs="Arial"/>
                <w:sz w:val="18"/>
                <w:szCs w:val="18"/>
              </w:rPr>
              <w:t>Capsule 100 mg</w:t>
            </w:r>
          </w:p>
          <w:p w14:paraId="767651F8" w14:textId="311BD418" w:rsidR="007414B9" w:rsidRDefault="007414B9" w:rsidP="007414B9">
            <w:pPr>
              <w:rPr>
                <w:rFonts w:ascii="Arial" w:hAnsi="Arial" w:cs="Arial"/>
                <w:sz w:val="18"/>
                <w:szCs w:val="18"/>
              </w:rPr>
            </w:pPr>
            <w:r>
              <w:rPr>
                <w:rFonts w:ascii="Arial" w:hAnsi="Arial" w:cs="Arial"/>
                <w:sz w:val="18"/>
                <w:szCs w:val="18"/>
              </w:rPr>
              <w:t>Capsule 150 mg</w:t>
            </w:r>
          </w:p>
          <w:p w14:paraId="3B038790" w14:textId="77777777" w:rsidR="007414B9" w:rsidRDefault="007414B9" w:rsidP="007414B9">
            <w:pPr>
              <w:rPr>
                <w:rFonts w:ascii="Arial" w:hAnsi="Arial" w:cs="Arial"/>
                <w:sz w:val="18"/>
                <w:szCs w:val="18"/>
              </w:rPr>
            </w:pPr>
          </w:p>
          <w:p w14:paraId="49970C28" w14:textId="77777777" w:rsidR="007414B9" w:rsidRDefault="007414B9" w:rsidP="007414B9">
            <w:pPr>
              <w:rPr>
                <w:rFonts w:ascii="Arial" w:hAnsi="Arial" w:cs="Arial"/>
                <w:sz w:val="18"/>
                <w:szCs w:val="18"/>
              </w:rPr>
            </w:pPr>
            <w:proofErr w:type="spellStart"/>
            <w:r>
              <w:rPr>
                <w:rFonts w:ascii="Arial" w:hAnsi="Arial" w:cs="Arial"/>
                <w:sz w:val="18"/>
                <w:szCs w:val="18"/>
              </w:rPr>
              <w:t>Ofev</w:t>
            </w:r>
            <w:proofErr w:type="spellEnd"/>
            <w:r>
              <w:rPr>
                <w:rFonts w:ascii="Arial" w:hAnsi="Arial" w:cs="Arial"/>
                <w:sz w:val="18"/>
                <w:szCs w:val="18"/>
              </w:rPr>
              <w:t>®</w:t>
            </w:r>
          </w:p>
          <w:p w14:paraId="7EF61578" w14:textId="77777777" w:rsidR="007414B9" w:rsidRDefault="007414B9" w:rsidP="007414B9">
            <w:pPr>
              <w:rPr>
                <w:rFonts w:ascii="Arial" w:hAnsi="Arial" w:cs="Arial"/>
                <w:sz w:val="18"/>
                <w:szCs w:val="18"/>
              </w:rPr>
            </w:pPr>
          </w:p>
          <w:p w14:paraId="48223A77" w14:textId="77777777" w:rsidR="007414B9" w:rsidRDefault="007414B9" w:rsidP="007414B9">
            <w:pPr>
              <w:rPr>
                <w:rFonts w:ascii="Arial" w:hAnsi="Arial" w:cs="Arial"/>
                <w:sz w:val="18"/>
                <w:szCs w:val="18"/>
              </w:rPr>
            </w:pPr>
            <w:r>
              <w:rPr>
                <w:rFonts w:ascii="Arial" w:hAnsi="Arial" w:cs="Arial"/>
                <w:sz w:val="18"/>
                <w:szCs w:val="18"/>
              </w:rPr>
              <w:t>Boehringer Ingelheim Pty Ltd</w:t>
            </w:r>
          </w:p>
          <w:p w14:paraId="67CCC842" w14:textId="77777777" w:rsidR="00872B3A" w:rsidRDefault="00872B3A" w:rsidP="007414B9">
            <w:pPr>
              <w:rPr>
                <w:rFonts w:ascii="Arial" w:hAnsi="Arial" w:cs="Arial"/>
                <w:sz w:val="18"/>
                <w:szCs w:val="18"/>
              </w:rPr>
            </w:pPr>
          </w:p>
          <w:p w14:paraId="3E93DF0F" w14:textId="42C6906B" w:rsidR="00872B3A" w:rsidRDefault="00872B3A" w:rsidP="007414B9">
            <w:pPr>
              <w:rPr>
                <w:rFonts w:ascii="Arial" w:hAnsi="Arial" w:cs="Arial"/>
                <w:sz w:val="18"/>
                <w:szCs w:val="18"/>
              </w:rPr>
            </w:pPr>
            <w:r>
              <w:rPr>
                <w:rFonts w:ascii="Arial" w:hAnsi="Arial" w:cs="Arial"/>
                <w:sz w:val="18"/>
                <w:szCs w:val="18"/>
              </w:rPr>
              <w:t xml:space="preserve">Early Resolution Resubmission </w:t>
            </w:r>
          </w:p>
          <w:p w14:paraId="1B2379B2" w14:textId="34FBDB32" w:rsidR="002F6D5A" w:rsidRDefault="00872B3A" w:rsidP="007414B9">
            <w:pPr>
              <w:rPr>
                <w:rFonts w:ascii="Arial" w:hAnsi="Arial" w:cs="Arial"/>
                <w:sz w:val="18"/>
                <w:szCs w:val="18"/>
              </w:rPr>
            </w:pPr>
            <w:r>
              <w:rPr>
                <w:rFonts w:ascii="Arial" w:hAnsi="Arial" w:cs="Arial"/>
                <w:sz w:val="18"/>
                <w:szCs w:val="18"/>
              </w:rPr>
              <w:t>(</w:t>
            </w:r>
            <w:r w:rsidR="002F6D5A">
              <w:rPr>
                <w:rFonts w:ascii="Arial" w:hAnsi="Arial" w:cs="Arial"/>
                <w:sz w:val="18"/>
                <w:szCs w:val="18"/>
              </w:rPr>
              <w:t>Change to PBS listing</w:t>
            </w:r>
            <w:r>
              <w:rPr>
                <w:rFonts w:ascii="Arial" w:hAnsi="Arial" w:cs="Arial"/>
                <w:sz w:val="18"/>
                <w:szCs w:val="18"/>
              </w:rPr>
              <w:t>)</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3B005E95" w14:textId="44DF9913" w:rsidR="007414B9" w:rsidRPr="003E3EC0" w:rsidRDefault="007414B9" w:rsidP="007414B9">
            <w:pPr>
              <w:widowControl w:val="0"/>
              <w:rPr>
                <w:rFonts w:ascii="Arial" w:hAnsi="Arial" w:cs="Arial"/>
                <w:snapToGrid w:val="0"/>
                <w:sz w:val="18"/>
                <w:szCs w:val="18"/>
                <w:lang w:eastAsia="en-US"/>
              </w:rPr>
            </w:pPr>
            <w:r>
              <w:rPr>
                <w:rFonts w:ascii="Arial" w:hAnsi="Arial" w:cs="Arial"/>
                <w:snapToGrid w:val="0"/>
                <w:sz w:val="18"/>
                <w:szCs w:val="18"/>
                <w:lang w:eastAsia="en-US"/>
              </w:rPr>
              <w:t>Progressive fibrosing interstitial lung disease (PF-ILD)</w:t>
            </w:r>
          </w:p>
        </w:tc>
        <w:tc>
          <w:tcPr>
            <w:tcW w:w="87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18394775" w14:textId="79B3C158" w:rsidR="007414B9" w:rsidRPr="003E3EC0" w:rsidRDefault="006D20CB" w:rsidP="007414B9">
            <w:pPr>
              <w:pStyle w:val="ListParagraph"/>
              <w:ind w:left="0"/>
              <w:rPr>
                <w:rFonts w:ascii="Arial" w:hAnsi="Arial" w:cs="Arial"/>
                <w:snapToGrid w:val="0"/>
                <w:sz w:val="18"/>
                <w:szCs w:val="18"/>
                <w:lang w:eastAsia="en-US"/>
              </w:rPr>
            </w:pPr>
            <w:r>
              <w:rPr>
                <w:rFonts w:ascii="Arial" w:hAnsi="Arial" w:cs="Arial"/>
                <w:snapToGrid w:val="0"/>
                <w:sz w:val="18"/>
                <w:szCs w:val="18"/>
                <w:lang w:eastAsia="en-US"/>
              </w:rPr>
              <w:t>Resubmission t</w:t>
            </w:r>
            <w:r w:rsidR="007414B9">
              <w:rPr>
                <w:rFonts w:ascii="Arial" w:hAnsi="Arial" w:cs="Arial"/>
                <w:snapToGrid w:val="0"/>
                <w:sz w:val="18"/>
                <w:szCs w:val="18"/>
                <w:lang w:eastAsia="en-US"/>
              </w:rPr>
              <w:t>o request an Authority Required (Written) listing for the treatment of PF-ILD</w:t>
            </w:r>
            <w:r>
              <w:rPr>
                <w:rFonts w:ascii="Arial" w:hAnsi="Arial" w:cs="Arial"/>
                <w:snapToGrid w:val="0"/>
                <w:sz w:val="18"/>
                <w:szCs w:val="18"/>
                <w:lang w:eastAsia="en-US"/>
              </w:rPr>
              <w:t>.</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877185C" w14:textId="6449244E" w:rsidR="007414B9" w:rsidRPr="003E3EC0" w:rsidRDefault="007414B9" w:rsidP="007414B9">
            <w:pPr>
              <w:pStyle w:val="ListParagraph"/>
              <w:ind w:left="0"/>
              <w:rPr>
                <w:rFonts w:ascii="Arial" w:hAnsi="Arial" w:cs="Arial"/>
                <w:snapToGrid w:val="0"/>
                <w:sz w:val="18"/>
                <w:szCs w:val="18"/>
                <w:lang w:eastAsia="en-US"/>
              </w:rPr>
            </w:pPr>
            <w:r>
              <w:rPr>
                <w:rFonts w:ascii="Arial" w:hAnsi="Arial" w:cs="Arial"/>
                <w:snapToGrid w:val="0"/>
                <w:sz w:val="18"/>
                <w:szCs w:val="18"/>
                <w:lang w:eastAsia="en-US"/>
              </w:rPr>
              <w:t>Recommended</w:t>
            </w:r>
          </w:p>
        </w:tc>
        <w:tc>
          <w:tcPr>
            <w:tcW w:w="2146" w:type="pct"/>
            <w:tcBorders>
              <w:top w:val="single" w:sz="4" w:space="0" w:color="auto"/>
              <w:bottom w:val="single" w:sz="4" w:space="0" w:color="auto"/>
            </w:tcBorders>
            <w:shd w:val="clear" w:color="auto" w:fill="auto"/>
          </w:tcPr>
          <w:p w14:paraId="0B52DD92" w14:textId="0A9E139C" w:rsidR="00C12A29" w:rsidRPr="00C12A29" w:rsidRDefault="00C12A29" w:rsidP="00C12A29">
            <w:pPr>
              <w:pStyle w:val="3-BodyText"/>
              <w:spacing w:after="0"/>
              <w:ind w:left="0" w:firstLine="0"/>
              <w:jc w:val="left"/>
              <w:rPr>
                <w:rFonts w:ascii="Arial" w:hAnsi="Arial"/>
                <w:b/>
                <w:bCs/>
                <w:sz w:val="18"/>
                <w:szCs w:val="18"/>
              </w:rPr>
            </w:pPr>
            <w:r>
              <w:rPr>
                <w:rFonts w:ascii="Arial" w:eastAsia="Calibri" w:hAnsi="Arial"/>
                <w:sz w:val="18"/>
                <w:szCs w:val="18"/>
              </w:rPr>
              <w:t xml:space="preserve">The </w:t>
            </w:r>
            <w:r w:rsidRPr="00C12A29">
              <w:rPr>
                <w:rFonts w:ascii="Arial" w:eastAsia="Calibri" w:hAnsi="Arial"/>
                <w:sz w:val="18"/>
                <w:szCs w:val="18"/>
              </w:rPr>
              <w:t xml:space="preserve">PBAC recommended the listing of nintedanib for the treatment of patients with </w:t>
            </w:r>
            <w:r w:rsidRPr="00C12A29">
              <w:rPr>
                <w:rFonts w:ascii="Arial" w:hAnsi="Arial"/>
                <w:sz w:val="18"/>
                <w:szCs w:val="18"/>
              </w:rPr>
              <w:t>PF-ILD. The PBAC was satisfied that nintedanib provides, for some patients, a significant improvement in effectiveness compared with best supportive care. The PBAC considered that the remaining uncertainty around the cost-effectiveness of nintedanib could be adequately managed by a price reduction. The PBAC was satisfied that the proposed Risk Sharing Arrangement would manage the financial risk of utilisation outside the eligible patient population. The PBAC also considered that the revised estimated utilisation and financial estimates were reasonable</w:t>
            </w:r>
            <w:r w:rsidRPr="00C12A29">
              <w:rPr>
                <w:rFonts w:ascii="Arial" w:hAnsi="Arial"/>
                <w:bCs/>
                <w:sz w:val="18"/>
                <w:szCs w:val="18"/>
              </w:rPr>
              <w:t>.</w:t>
            </w:r>
          </w:p>
          <w:p w14:paraId="3BEE7EDA" w14:textId="4408193E" w:rsidR="00872B3A" w:rsidRPr="003E3EC0" w:rsidRDefault="00872B3A" w:rsidP="007414B9">
            <w:pPr>
              <w:spacing w:after="120"/>
              <w:rPr>
                <w:rFonts w:ascii="Arial" w:hAnsi="Arial" w:cs="Arial"/>
                <w:snapToGrid w:val="0"/>
                <w:sz w:val="18"/>
                <w:szCs w:val="18"/>
                <w:lang w:eastAsia="en-US"/>
              </w:rPr>
            </w:pPr>
          </w:p>
        </w:tc>
      </w:tr>
      <w:tr w:rsidR="007414B9" w:rsidRPr="00687774" w14:paraId="20FC5251" w14:textId="77777777" w:rsidTr="00DE5E85">
        <w:trPr>
          <w:trHeight w:val="2031"/>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tcPr>
          <w:p w14:paraId="24C47BE3" w14:textId="4CF47DC3" w:rsidR="007414B9" w:rsidRDefault="007414B9" w:rsidP="007414B9">
            <w:pPr>
              <w:rPr>
                <w:rFonts w:ascii="Arial" w:hAnsi="Arial" w:cs="Arial"/>
                <w:sz w:val="18"/>
                <w:szCs w:val="18"/>
              </w:rPr>
            </w:pPr>
            <w:r>
              <w:rPr>
                <w:rFonts w:ascii="Arial" w:hAnsi="Arial" w:cs="Arial"/>
                <w:sz w:val="18"/>
                <w:szCs w:val="18"/>
              </w:rPr>
              <w:lastRenderedPageBreak/>
              <w:t>ONASEMNOGENE ABEPARVOVEC</w:t>
            </w:r>
          </w:p>
          <w:p w14:paraId="3C5B4AB6" w14:textId="77777777" w:rsidR="007414B9" w:rsidRDefault="007414B9" w:rsidP="007414B9">
            <w:pPr>
              <w:rPr>
                <w:rFonts w:ascii="Arial" w:hAnsi="Arial" w:cs="Arial"/>
                <w:sz w:val="18"/>
                <w:szCs w:val="18"/>
              </w:rPr>
            </w:pPr>
          </w:p>
          <w:p w14:paraId="4AFB32B7" w14:textId="135A514E" w:rsidR="007414B9" w:rsidRDefault="007414B9" w:rsidP="007414B9">
            <w:pPr>
              <w:rPr>
                <w:rFonts w:ascii="Arial" w:hAnsi="Arial" w:cs="Arial"/>
                <w:sz w:val="18"/>
                <w:szCs w:val="18"/>
              </w:rPr>
            </w:pPr>
            <w:r>
              <w:rPr>
                <w:rFonts w:ascii="Arial" w:hAnsi="Arial" w:cs="Arial"/>
                <w:sz w:val="18"/>
                <w:szCs w:val="18"/>
              </w:rPr>
              <w:t>Solution for injection, customised based on patient weight</w:t>
            </w:r>
          </w:p>
          <w:p w14:paraId="15CC99BF" w14:textId="77777777" w:rsidR="007414B9" w:rsidRDefault="007414B9" w:rsidP="007414B9">
            <w:pPr>
              <w:rPr>
                <w:rFonts w:ascii="Arial" w:hAnsi="Arial" w:cs="Arial"/>
                <w:sz w:val="18"/>
                <w:szCs w:val="18"/>
              </w:rPr>
            </w:pPr>
          </w:p>
          <w:p w14:paraId="398CEEAB" w14:textId="77777777" w:rsidR="007414B9" w:rsidRDefault="007414B9" w:rsidP="007414B9">
            <w:pPr>
              <w:rPr>
                <w:rFonts w:ascii="Arial" w:hAnsi="Arial" w:cs="Arial"/>
                <w:sz w:val="18"/>
                <w:szCs w:val="18"/>
              </w:rPr>
            </w:pPr>
            <w:r>
              <w:rPr>
                <w:rFonts w:ascii="Arial" w:hAnsi="Arial" w:cs="Arial"/>
                <w:sz w:val="18"/>
                <w:szCs w:val="18"/>
              </w:rPr>
              <w:t>Zolgensma®</w:t>
            </w:r>
          </w:p>
          <w:p w14:paraId="7B47E47E" w14:textId="77777777" w:rsidR="007414B9" w:rsidRDefault="007414B9" w:rsidP="007414B9">
            <w:pPr>
              <w:rPr>
                <w:rFonts w:ascii="Arial" w:hAnsi="Arial" w:cs="Arial"/>
                <w:sz w:val="18"/>
                <w:szCs w:val="18"/>
              </w:rPr>
            </w:pPr>
          </w:p>
          <w:p w14:paraId="312062CE" w14:textId="77777777" w:rsidR="007414B9" w:rsidRDefault="007414B9" w:rsidP="007414B9">
            <w:pPr>
              <w:rPr>
                <w:rFonts w:ascii="Arial" w:hAnsi="Arial" w:cs="Arial"/>
                <w:sz w:val="18"/>
                <w:szCs w:val="18"/>
              </w:rPr>
            </w:pPr>
            <w:r>
              <w:rPr>
                <w:rFonts w:ascii="Arial" w:hAnsi="Arial" w:cs="Arial"/>
                <w:sz w:val="18"/>
                <w:szCs w:val="18"/>
              </w:rPr>
              <w:t>Novartis Pharmaceuticals Australia Pty Ltd</w:t>
            </w:r>
          </w:p>
          <w:p w14:paraId="0E0BC073" w14:textId="77777777" w:rsidR="002F6D5A" w:rsidRDefault="002F6D5A" w:rsidP="007414B9">
            <w:pPr>
              <w:rPr>
                <w:rFonts w:ascii="Arial" w:hAnsi="Arial" w:cs="Arial"/>
                <w:sz w:val="18"/>
                <w:szCs w:val="18"/>
              </w:rPr>
            </w:pPr>
          </w:p>
          <w:p w14:paraId="120EE3BA" w14:textId="4F02055D" w:rsidR="00872B3A" w:rsidRDefault="00872B3A" w:rsidP="007414B9">
            <w:pPr>
              <w:rPr>
                <w:rFonts w:ascii="Arial" w:hAnsi="Arial" w:cs="Arial"/>
                <w:sz w:val="18"/>
                <w:szCs w:val="18"/>
              </w:rPr>
            </w:pPr>
            <w:r>
              <w:rPr>
                <w:rFonts w:ascii="Arial" w:hAnsi="Arial" w:cs="Arial"/>
                <w:sz w:val="18"/>
                <w:szCs w:val="18"/>
              </w:rPr>
              <w:t>Matters Outstanding</w:t>
            </w:r>
          </w:p>
          <w:p w14:paraId="2E982253" w14:textId="69BE3DCF" w:rsidR="002F6D5A" w:rsidRDefault="00872B3A" w:rsidP="007414B9">
            <w:pPr>
              <w:rPr>
                <w:rFonts w:ascii="Arial" w:hAnsi="Arial" w:cs="Arial"/>
                <w:sz w:val="18"/>
                <w:szCs w:val="18"/>
              </w:rPr>
            </w:pPr>
            <w:r>
              <w:rPr>
                <w:rFonts w:ascii="Arial" w:hAnsi="Arial" w:cs="Arial"/>
                <w:sz w:val="18"/>
                <w:szCs w:val="18"/>
              </w:rPr>
              <w:t xml:space="preserve">(New </w:t>
            </w:r>
            <w:r w:rsidR="002F6D5A">
              <w:rPr>
                <w:rFonts w:ascii="Arial" w:hAnsi="Arial" w:cs="Arial"/>
                <w:sz w:val="18"/>
                <w:szCs w:val="18"/>
              </w:rPr>
              <w:t>PBS listing</w:t>
            </w:r>
            <w:r>
              <w:rPr>
                <w:rFonts w:ascii="Arial" w:hAnsi="Arial" w:cs="Arial"/>
                <w:sz w:val="18"/>
                <w:szCs w:val="18"/>
              </w:rPr>
              <w:t>)</w:t>
            </w:r>
          </w:p>
          <w:p w14:paraId="06097D90" w14:textId="1B949801" w:rsidR="00872B3A" w:rsidRDefault="00872B3A" w:rsidP="007414B9">
            <w:pPr>
              <w:rPr>
                <w:rFonts w:ascii="Arial" w:hAnsi="Arial" w:cs="Arial"/>
                <w:sz w:val="18"/>
                <w:szCs w:val="18"/>
              </w:rPr>
            </w:pP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35229EA8" w14:textId="3911EA58" w:rsidR="007414B9" w:rsidRPr="003E3EC0" w:rsidRDefault="007414B9" w:rsidP="007414B9">
            <w:pPr>
              <w:widowControl w:val="0"/>
              <w:rPr>
                <w:rFonts w:ascii="Arial" w:hAnsi="Arial" w:cs="Arial"/>
                <w:snapToGrid w:val="0"/>
                <w:sz w:val="18"/>
                <w:szCs w:val="18"/>
                <w:lang w:eastAsia="en-US"/>
              </w:rPr>
            </w:pPr>
            <w:r>
              <w:rPr>
                <w:rFonts w:ascii="Arial" w:hAnsi="Arial" w:cs="Arial"/>
                <w:snapToGrid w:val="0"/>
                <w:sz w:val="18"/>
                <w:szCs w:val="18"/>
                <w:lang w:eastAsia="en-US"/>
              </w:rPr>
              <w:t>Spinal muscular atrophy (SMA)</w:t>
            </w:r>
          </w:p>
        </w:tc>
        <w:tc>
          <w:tcPr>
            <w:tcW w:w="87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0C2D665B" w14:textId="489DB30E" w:rsidR="007414B9" w:rsidRPr="003E3EC0" w:rsidRDefault="007414B9" w:rsidP="007414B9">
            <w:pPr>
              <w:pStyle w:val="ListParagraph"/>
              <w:ind w:left="0"/>
              <w:rPr>
                <w:rFonts w:ascii="Arial" w:hAnsi="Arial" w:cs="Arial"/>
                <w:snapToGrid w:val="0"/>
                <w:sz w:val="18"/>
                <w:szCs w:val="18"/>
                <w:lang w:eastAsia="en-US"/>
              </w:rPr>
            </w:pPr>
            <w:r>
              <w:rPr>
                <w:rFonts w:ascii="Arial" w:hAnsi="Arial" w:cs="Arial"/>
                <w:snapToGrid w:val="0"/>
                <w:sz w:val="18"/>
                <w:szCs w:val="18"/>
                <w:lang w:eastAsia="en-US"/>
              </w:rPr>
              <w:t>To request an Authority Required (Written) listing for the treatment of paediatric patients with Type 1 SMA</w:t>
            </w:r>
            <w:r w:rsidR="006D20CB">
              <w:rPr>
                <w:rFonts w:ascii="Arial" w:hAnsi="Arial" w:cs="Arial"/>
                <w:snapToGrid w:val="0"/>
                <w:sz w:val="18"/>
                <w:szCs w:val="18"/>
                <w:lang w:eastAsia="en-US"/>
              </w:rPr>
              <w:t>.</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4BC63EF" w14:textId="62D7DDF3" w:rsidR="007414B9" w:rsidRPr="003E3EC0" w:rsidRDefault="007414B9" w:rsidP="007414B9">
            <w:pPr>
              <w:pStyle w:val="ListParagraph"/>
              <w:ind w:left="0"/>
              <w:rPr>
                <w:rFonts w:ascii="Arial" w:hAnsi="Arial" w:cs="Arial"/>
                <w:snapToGrid w:val="0"/>
                <w:sz w:val="18"/>
                <w:szCs w:val="18"/>
                <w:lang w:eastAsia="en-US"/>
              </w:rPr>
            </w:pPr>
            <w:r>
              <w:rPr>
                <w:rFonts w:ascii="Arial" w:hAnsi="Arial" w:cs="Arial"/>
                <w:snapToGrid w:val="0"/>
                <w:sz w:val="18"/>
                <w:szCs w:val="18"/>
                <w:lang w:eastAsia="en-US"/>
              </w:rPr>
              <w:t>Recommended</w:t>
            </w:r>
          </w:p>
        </w:tc>
        <w:tc>
          <w:tcPr>
            <w:tcW w:w="2146" w:type="pct"/>
            <w:tcBorders>
              <w:top w:val="single" w:sz="4" w:space="0" w:color="auto"/>
              <w:bottom w:val="single" w:sz="4" w:space="0" w:color="auto"/>
            </w:tcBorders>
            <w:shd w:val="clear" w:color="auto" w:fill="auto"/>
          </w:tcPr>
          <w:p w14:paraId="7B5AD7E9" w14:textId="459D3A1D" w:rsidR="0049362A" w:rsidRPr="0049362A" w:rsidRDefault="0049362A" w:rsidP="0049362A">
            <w:pPr>
              <w:pStyle w:val="3-BodyText"/>
              <w:ind w:left="0" w:firstLine="0"/>
              <w:jc w:val="left"/>
              <w:rPr>
                <w:rFonts w:ascii="Arial" w:hAnsi="Arial"/>
                <w:b/>
                <w:bCs/>
                <w:sz w:val="18"/>
                <w:szCs w:val="18"/>
              </w:rPr>
            </w:pPr>
            <w:r w:rsidRPr="0049362A">
              <w:rPr>
                <w:rFonts w:ascii="Arial" w:hAnsi="Arial"/>
                <w:sz w:val="18"/>
                <w:szCs w:val="18"/>
                <w:lang w:val="en-GB"/>
              </w:rPr>
              <w:t xml:space="preserve">The PBAC recommended the </w:t>
            </w:r>
            <w:r w:rsidRPr="0049362A">
              <w:rPr>
                <w:rFonts w:ascii="Arial" w:hAnsi="Arial"/>
                <w:sz w:val="18"/>
                <w:szCs w:val="18"/>
              </w:rPr>
              <w:t xml:space="preserve">Section 100 (Highly Specialised Drugs Program) </w:t>
            </w:r>
            <w:r w:rsidRPr="0049362A">
              <w:rPr>
                <w:rFonts w:ascii="Arial" w:hAnsi="Arial"/>
                <w:sz w:val="18"/>
                <w:szCs w:val="18"/>
                <w:lang w:val="en-GB"/>
              </w:rPr>
              <w:t xml:space="preserve">listing of onasemnogene abeparvovec (ONA) for the treatment </w:t>
            </w:r>
            <w:r w:rsidR="000B2350">
              <w:rPr>
                <w:rFonts w:ascii="Arial" w:hAnsi="Arial"/>
                <w:sz w:val="18"/>
                <w:szCs w:val="18"/>
                <w:lang w:val="en-GB"/>
              </w:rPr>
              <w:t xml:space="preserve">of </w:t>
            </w:r>
            <w:r w:rsidRPr="0049362A">
              <w:rPr>
                <w:rFonts w:ascii="Arial" w:hAnsi="Arial"/>
                <w:sz w:val="18"/>
                <w:szCs w:val="18"/>
              </w:rPr>
              <w:t xml:space="preserve">SMA in patients aged less than 9 months, with Type 1 SMA or pre-symptomatic patients with 1-2 copies of the SMN2 gene. The PBAC’s recommendation for listing was based on, among other matters, its assessment that the cost-effectiveness of ONA would be acceptable if it were cost-minimised to the least costly </w:t>
            </w:r>
            <w:r w:rsidRPr="0049362A">
              <w:rPr>
                <w:rFonts w:ascii="Arial" w:eastAsiaTheme="minorHAnsi" w:hAnsi="Arial"/>
                <w:snapToGrid/>
                <w:sz w:val="18"/>
                <w:szCs w:val="18"/>
                <w:lang w:eastAsia="en-US"/>
              </w:rPr>
              <w:t xml:space="preserve">disease-modifying therapy for this condition, which is </w:t>
            </w:r>
            <w:r w:rsidRPr="0049362A">
              <w:rPr>
                <w:rFonts w:ascii="Arial" w:hAnsi="Arial"/>
                <w:sz w:val="18"/>
                <w:szCs w:val="18"/>
              </w:rPr>
              <w:t xml:space="preserve">risdiplam. The PBAC also considered that an outcomes-based </w:t>
            </w:r>
            <w:r w:rsidR="00AA1053">
              <w:rPr>
                <w:rFonts w:ascii="Arial" w:hAnsi="Arial"/>
                <w:sz w:val="18"/>
                <w:szCs w:val="18"/>
              </w:rPr>
              <w:t>R</w:t>
            </w:r>
            <w:r w:rsidRPr="0049362A">
              <w:rPr>
                <w:rFonts w:ascii="Arial" w:hAnsi="Arial"/>
                <w:sz w:val="18"/>
                <w:szCs w:val="18"/>
              </w:rPr>
              <w:t xml:space="preserve">isk </w:t>
            </w:r>
            <w:r w:rsidR="00AA1053">
              <w:rPr>
                <w:rFonts w:ascii="Arial" w:hAnsi="Arial"/>
                <w:sz w:val="18"/>
                <w:szCs w:val="18"/>
              </w:rPr>
              <w:t>S</w:t>
            </w:r>
            <w:r w:rsidRPr="0049362A">
              <w:rPr>
                <w:rFonts w:ascii="Arial" w:hAnsi="Arial"/>
                <w:sz w:val="18"/>
                <w:szCs w:val="18"/>
              </w:rPr>
              <w:t>har</w:t>
            </w:r>
            <w:r w:rsidR="00AA1053">
              <w:rPr>
                <w:rFonts w:ascii="Arial" w:hAnsi="Arial"/>
                <w:sz w:val="18"/>
                <w:szCs w:val="18"/>
              </w:rPr>
              <w:t>ing</w:t>
            </w:r>
            <w:r w:rsidRPr="0049362A">
              <w:rPr>
                <w:rFonts w:ascii="Arial" w:hAnsi="Arial"/>
                <w:sz w:val="18"/>
                <w:szCs w:val="18"/>
              </w:rPr>
              <w:t xml:space="preserve"> </w:t>
            </w:r>
            <w:r w:rsidR="00AA1053">
              <w:rPr>
                <w:rFonts w:ascii="Arial" w:hAnsi="Arial"/>
                <w:sz w:val="18"/>
                <w:szCs w:val="18"/>
              </w:rPr>
              <w:t>A</w:t>
            </w:r>
            <w:r w:rsidRPr="0049362A">
              <w:rPr>
                <w:rFonts w:ascii="Arial" w:hAnsi="Arial"/>
                <w:sz w:val="18"/>
                <w:szCs w:val="18"/>
              </w:rPr>
              <w:t>rrangement would be required to mitigate the financial risk to the Commonwealth associated with upfront payment for ONA where the treatment fails, resulting in death, permanent ventilation or lack of efficacy.</w:t>
            </w:r>
          </w:p>
          <w:p w14:paraId="0A52AE7B" w14:textId="77777777" w:rsidR="007414B9" w:rsidRPr="003E3EC0" w:rsidRDefault="007414B9" w:rsidP="007414B9">
            <w:pPr>
              <w:spacing w:after="120"/>
              <w:rPr>
                <w:rFonts w:ascii="Arial" w:hAnsi="Arial" w:cs="Arial"/>
                <w:snapToGrid w:val="0"/>
                <w:sz w:val="18"/>
                <w:szCs w:val="18"/>
                <w:lang w:eastAsia="en-US"/>
              </w:rPr>
            </w:pPr>
          </w:p>
        </w:tc>
      </w:tr>
      <w:tr w:rsidR="00872B3A" w:rsidRPr="00687774" w14:paraId="3D825D1E" w14:textId="77777777" w:rsidTr="00DE5E85">
        <w:trPr>
          <w:trHeight w:val="1497"/>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2E614433" w14:textId="77777777" w:rsidR="00872B3A" w:rsidRDefault="00872B3A" w:rsidP="007414B9">
            <w:pPr>
              <w:rPr>
                <w:rFonts w:ascii="Arial" w:hAnsi="Arial" w:cs="Arial"/>
                <w:sz w:val="18"/>
                <w:szCs w:val="18"/>
              </w:rPr>
            </w:pPr>
            <w:r>
              <w:rPr>
                <w:rFonts w:ascii="Arial" w:hAnsi="Arial" w:cs="Arial"/>
                <w:sz w:val="18"/>
                <w:szCs w:val="18"/>
              </w:rPr>
              <w:t>TAFAMIDIS</w:t>
            </w:r>
          </w:p>
          <w:p w14:paraId="7029A4F5" w14:textId="77777777" w:rsidR="00872B3A" w:rsidRDefault="00872B3A" w:rsidP="007414B9">
            <w:pPr>
              <w:rPr>
                <w:rFonts w:ascii="Arial" w:hAnsi="Arial" w:cs="Arial"/>
                <w:sz w:val="18"/>
                <w:szCs w:val="18"/>
              </w:rPr>
            </w:pPr>
          </w:p>
          <w:p w14:paraId="3F626BE5" w14:textId="77777777" w:rsidR="00872B3A" w:rsidRDefault="00872B3A" w:rsidP="007414B9">
            <w:pPr>
              <w:rPr>
                <w:rFonts w:ascii="Arial" w:hAnsi="Arial" w:cs="Arial"/>
                <w:sz w:val="18"/>
                <w:szCs w:val="18"/>
              </w:rPr>
            </w:pPr>
            <w:r>
              <w:rPr>
                <w:rFonts w:ascii="Arial" w:hAnsi="Arial" w:cs="Arial"/>
                <w:sz w:val="18"/>
                <w:szCs w:val="18"/>
              </w:rPr>
              <w:t>Capsule 61 mg</w:t>
            </w:r>
          </w:p>
          <w:p w14:paraId="3C4AF86D" w14:textId="77777777" w:rsidR="00872B3A" w:rsidRDefault="00872B3A" w:rsidP="007414B9">
            <w:pPr>
              <w:rPr>
                <w:rFonts w:ascii="Arial" w:hAnsi="Arial" w:cs="Arial"/>
                <w:sz w:val="18"/>
                <w:szCs w:val="18"/>
              </w:rPr>
            </w:pPr>
          </w:p>
          <w:p w14:paraId="42B3F3D7" w14:textId="77777777" w:rsidR="00872B3A" w:rsidRDefault="00872B3A" w:rsidP="007414B9">
            <w:pPr>
              <w:rPr>
                <w:rFonts w:ascii="Arial" w:hAnsi="Arial" w:cs="Arial"/>
                <w:sz w:val="18"/>
                <w:szCs w:val="18"/>
              </w:rPr>
            </w:pPr>
            <w:r>
              <w:rPr>
                <w:rFonts w:ascii="Arial" w:hAnsi="Arial" w:cs="Arial"/>
                <w:sz w:val="18"/>
                <w:szCs w:val="18"/>
              </w:rPr>
              <w:t>Vyndamax®</w:t>
            </w:r>
          </w:p>
          <w:p w14:paraId="306B3D3C" w14:textId="77777777" w:rsidR="00872B3A" w:rsidRDefault="00872B3A" w:rsidP="007414B9">
            <w:pPr>
              <w:rPr>
                <w:rFonts w:ascii="Arial" w:hAnsi="Arial" w:cs="Arial"/>
                <w:sz w:val="18"/>
                <w:szCs w:val="18"/>
              </w:rPr>
            </w:pPr>
          </w:p>
          <w:p w14:paraId="5B1EB918" w14:textId="77777777" w:rsidR="00872B3A" w:rsidRDefault="00872B3A" w:rsidP="007414B9">
            <w:pPr>
              <w:rPr>
                <w:rFonts w:ascii="Arial" w:hAnsi="Arial" w:cs="Arial"/>
                <w:sz w:val="18"/>
                <w:szCs w:val="18"/>
              </w:rPr>
            </w:pPr>
            <w:r>
              <w:rPr>
                <w:rFonts w:ascii="Arial" w:hAnsi="Arial" w:cs="Arial"/>
                <w:sz w:val="18"/>
                <w:szCs w:val="18"/>
              </w:rPr>
              <w:t>Pfizer Australia Pty Ltd</w:t>
            </w:r>
          </w:p>
          <w:p w14:paraId="2176EDBA" w14:textId="77777777" w:rsidR="00872B3A" w:rsidRDefault="00872B3A" w:rsidP="007414B9">
            <w:pPr>
              <w:rPr>
                <w:rFonts w:ascii="Arial" w:hAnsi="Arial" w:cs="Arial"/>
                <w:sz w:val="18"/>
                <w:szCs w:val="18"/>
              </w:rPr>
            </w:pPr>
          </w:p>
          <w:p w14:paraId="44E81777" w14:textId="11649C18" w:rsidR="00872B3A" w:rsidRDefault="00872B3A" w:rsidP="007414B9">
            <w:pPr>
              <w:rPr>
                <w:rFonts w:ascii="Arial" w:hAnsi="Arial" w:cs="Arial"/>
                <w:sz w:val="18"/>
                <w:szCs w:val="18"/>
              </w:rPr>
            </w:pPr>
            <w:r>
              <w:rPr>
                <w:rFonts w:ascii="Arial" w:hAnsi="Arial" w:cs="Arial"/>
                <w:sz w:val="18"/>
                <w:szCs w:val="18"/>
              </w:rPr>
              <w:t>Early Resolution Resubmission</w:t>
            </w:r>
          </w:p>
          <w:p w14:paraId="1A01B154" w14:textId="0607AD6A" w:rsidR="00872B3A" w:rsidRDefault="00872B3A" w:rsidP="007414B9">
            <w:pPr>
              <w:rPr>
                <w:rFonts w:ascii="Arial" w:hAnsi="Arial" w:cs="Arial"/>
                <w:sz w:val="18"/>
                <w:szCs w:val="18"/>
              </w:rPr>
            </w:pPr>
            <w:r>
              <w:rPr>
                <w:rFonts w:ascii="Arial" w:hAnsi="Arial" w:cs="Arial"/>
                <w:sz w:val="18"/>
                <w:szCs w:val="18"/>
              </w:rPr>
              <w:t>(New PBS listing)</w:t>
            </w:r>
          </w:p>
        </w:tc>
        <w:tc>
          <w:tcPr>
            <w:tcW w:w="552" w:type="pct"/>
            <w:vMerge w:val="restart"/>
            <w:tcBorders>
              <w:top w:val="single" w:sz="4" w:space="0" w:color="auto"/>
              <w:left w:val="single" w:sz="4" w:space="0" w:color="auto"/>
              <w:right w:val="single" w:sz="4" w:space="0" w:color="auto"/>
            </w:tcBorders>
            <w:shd w:val="clear" w:color="auto" w:fill="auto"/>
          </w:tcPr>
          <w:p w14:paraId="4DFCA467" w14:textId="0D89D8A0" w:rsidR="00872B3A" w:rsidRPr="00AE3AE0" w:rsidRDefault="00AE3AE0" w:rsidP="007414B9">
            <w:pPr>
              <w:widowControl w:val="0"/>
              <w:rPr>
                <w:rFonts w:ascii="Arial" w:hAnsi="Arial" w:cs="Arial"/>
                <w:snapToGrid w:val="0"/>
                <w:sz w:val="18"/>
                <w:szCs w:val="18"/>
                <w:lang w:eastAsia="en-US"/>
              </w:rPr>
            </w:pPr>
            <w:r w:rsidRPr="00AE3AE0">
              <w:rPr>
                <w:rFonts w:ascii="Arial" w:hAnsi="Arial" w:cs="Arial"/>
                <w:sz w:val="18"/>
                <w:szCs w:val="18"/>
              </w:rPr>
              <w:t>Transthyretin amyloid cardiomyopathy (ATTR-CM)</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703BE8CB" w14:textId="640901FA" w:rsidR="00872B3A" w:rsidRPr="003E3EC0" w:rsidRDefault="006D20CB" w:rsidP="007414B9">
            <w:pPr>
              <w:pStyle w:val="ListParagraph"/>
              <w:ind w:left="0"/>
              <w:rPr>
                <w:rFonts w:ascii="Arial" w:hAnsi="Arial" w:cs="Arial"/>
                <w:snapToGrid w:val="0"/>
                <w:sz w:val="18"/>
                <w:szCs w:val="18"/>
                <w:lang w:eastAsia="en-US"/>
              </w:rPr>
            </w:pPr>
            <w:r>
              <w:rPr>
                <w:rFonts w:ascii="Arial" w:hAnsi="Arial" w:cs="Arial"/>
                <w:snapToGrid w:val="0"/>
                <w:sz w:val="18"/>
                <w:szCs w:val="18"/>
                <w:lang w:eastAsia="en-US"/>
              </w:rPr>
              <w:t>R</w:t>
            </w:r>
            <w:r w:rsidR="00872B3A">
              <w:rPr>
                <w:rFonts w:ascii="Arial" w:hAnsi="Arial" w:cs="Arial"/>
                <w:snapToGrid w:val="0"/>
                <w:sz w:val="18"/>
                <w:szCs w:val="18"/>
                <w:lang w:eastAsia="en-US"/>
              </w:rPr>
              <w:t xml:space="preserve">esubmission </w:t>
            </w:r>
            <w:r>
              <w:rPr>
                <w:rFonts w:ascii="Arial" w:hAnsi="Arial" w:cs="Arial"/>
                <w:snapToGrid w:val="0"/>
                <w:sz w:val="18"/>
                <w:szCs w:val="18"/>
                <w:lang w:eastAsia="en-US"/>
              </w:rPr>
              <w:t>to request</w:t>
            </w:r>
            <w:r w:rsidR="00AE3AE0">
              <w:rPr>
                <w:rFonts w:ascii="Arial" w:hAnsi="Arial" w:cs="Arial"/>
                <w:snapToGrid w:val="0"/>
                <w:sz w:val="18"/>
                <w:szCs w:val="18"/>
                <w:lang w:eastAsia="en-US"/>
              </w:rPr>
              <w:t xml:space="preserve"> an Authority Required </w:t>
            </w:r>
            <w:r>
              <w:rPr>
                <w:rFonts w:ascii="Arial" w:hAnsi="Arial" w:cs="Arial"/>
                <w:snapToGrid w:val="0"/>
                <w:sz w:val="18"/>
                <w:szCs w:val="18"/>
                <w:lang w:eastAsia="en-US"/>
              </w:rPr>
              <w:t>l</w:t>
            </w:r>
            <w:r w:rsidR="00AE3AE0">
              <w:rPr>
                <w:rFonts w:ascii="Arial" w:hAnsi="Arial" w:cs="Arial"/>
                <w:snapToGrid w:val="0"/>
                <w:sz w:val="18"/>
                <w:szCs w:val="18"/>
                <w:lang w:eastAsia="en-US"/>
              </w:rPr>
              <w:t xml:space="preserve">isting for the treatment of ATTR-CM. </w:t>
            </w:r>
          </w:p>
        </w:tc>
        <w:tc>
          <w:tcPr>
            <w:tcW w:w="553" w:type="pct"/>
            <w:vMerge w:val="restart"/>
            <w:tcBorders>
              <w:top w:val="single" w:sz="4" w:space="0" w:color="auto"/>
              <w:left w:val="single" w:sz="4" w:space="0" w:color="auto"/>
              <w:right w:val="single" w:sz="4" w:space="0" w:color="auto"/>
            </w:tcBorders>
            <w:shd w:val="clear" w:color="auto" w:fill="auto"/>
            <w:vAlign w:val="center"/>
          </w:tcPr>
          <w:p w14:paraId="455EAABB" w14:textId="22DBEDCC" w:rsidR="00872B3A" w:rsidRPr="003E3EC0" w:rsidRDefault="00872B3A" w:rsidP="007414B9">
            <w:pPr>
              <w:pStyle w:val="ListParagraph"/>
              <w:ind w:left="0"/>
              <w:rPr>
                <w:rFonts w:ascii="Arial" w:hAnsi="Arial" w:cs="Arial"/>
                <w:snapToGrid w:val="0"/>
                <w:sz w:val="18"/>
                <w:szCs w:val="18"/>
                <w:lang w:eastAsia="en-US"/>
              </w:rPr>
            </w:pPr>
            <w:r>
              <w:rPr>
                <w:rFonts w:ascii="Arial" w:hAnsi="Arial" w:cs="Arial"/>
                <w:snapToGrid w:val="0"/>
                <w:sz w:val="18"/>
                <w:szCs w:val="18"/>
                <w:lang w:eastAsia="en-US"/>
              </w:rPr>
              <w:t xml:space="preserve">Not </w:t>
            </w:r>
            <w:r w:rsidR="00DE5E85">
              <w:rPr>
                <w:rFonts w:ascii="Arial" w:hAnsi="Arial" w:cs="Arial"/>
                <w:snapToGrid w:val="0"/>
                <w:sz w:val="18"/>
                <w:szCs w:val="18"/>
                <w:lang w:eastAsia="en-US"/>
              </w:rPr>
              <w:t>R</w:t>
            </w:r>
            <w:r>
              <w:rPr>
                <w:rFonts w:ascii="Arial" w:hAnsi="Arial" w:cs="Arial"/>
                <w:snapToGrid w:val="0"/>
                <w:sz w:val="18"/>
                <w:szCs w:val="18"/>
                <w:lang w:eastAsia="en-US"/>
              </w:rPr>
              <w:t>ecommended</w:t>
            </w:r>
          </w:p>
        </w:tc>
        <w:tc>
          <w:tcPr>
            <w:tcW w:w="2146" w:type="pct"/>
            <w:tcBorders>
              <w:top w:val="single" w:sz="4" w:space="0" w:color="auto"/>
              <w:bottom w:val="single" w:sz="4" w:space="0" w:color="auto"/>
            </w:tcBorders>
            <w:shd w:val="clear" w:color="auto" w:fill="auto"/>
          </w:tcPr>
          <w:p w14:paraId="5BC8B2DB" w14:textId="0678B37D" w:rsidR="00872B3A" w:rsidRPr="003E3EC0" w:rsidRDefault="00D02045" w:rsidP="007414B9">
            <w:pPr>
              <w:spacing w:after="120"/>
              <w:rPr>
                <w:rFonts w:ascii="Arial" w:hAnsi="Arial" w:cs="Arial"/>
                <w:snapToGrid w:val="0"/>
                <w:sz w:val="18"/>
                <w:szCs w:val="18"/>
                <w:lang w:eastAsia="en-US"/>
              </w:rPr>
            </w:pPr>
            <w:r w:rsidRPr="00D02045">
              <w:rPr>
                <w:rFonts w:ascii="Arial" w:hAnsi="Arial" w:cs="Arial"/>
                <w:snapToGrid w:val="0"/>
                <w:sz w:val="18"/>
                <w:szCs w:val="18"/>
                <w:lang w:eastAsia="en-US"/>
              </w:rPr>
              <w:t xml:space="preserve">The PBAC did not recommend the listing of tafamidis for the treatment of ATTR-CM. The PBAC considered that its previous concerns were not adequately addressed. In particular, the PBAC considered that the </w:t>
            </w:r>
            <w:r w:rsidR="00534AF9">
              <w:rPr>
                <w:rFonts w:ascii="Arial" w:hAnsi="Arial" w:cs="Arial"/>
                <w:snapToGrid w:val="0"/>
                <w:sz w:val="18"/>
                <w:szCs w:val="18"/>
                <w:lang w:eastAsia="en-US"/>
              </w:rPr>
              <w:t>incremental cost-effectiveness ratio (</w:t>
            </w:r>
            <w:r w:rsidRPr="00D02045">
              <w:rPr>
                <w:rFonts w:ascii="Arial" w:hAnsi="Arial" w:cs="Arial"/>
                <w:snapToGrid w:val="0"/>
                <w:sz w:val="18"/>
                <w:szCs w:val="18"/>
                <w:lang w:eastAsia="en-US"/>
              </w:rPr>
              <w:t>ICER</w:t>
            </w:r>
            <w:r w:rsidR="00534AF9">
              <w:rPr>
                <w:rFonts w:ascii="Arial" w:hAnsi="Arial" w:cs="Arial"/>
                <w:snapToGrid w:val="0"/>
                <w:sz w:val="18"/>
                <w:szCs w:val="18"/>
                <w:lang w:eastAsia="en-US"/>
              </w:rPr>
              <w:t>)</w:t>
            </w:r>
            <w:r w:rsidRPr="00D02045">
              <w:rPr>
                <w:rFonts w:ascii="Arial" w:hAnsi="Arial" w:cs="Arial"/>
                <w:snapToGrid w:val="0"/>
                <w:sz w:val="18"/>
                <w:szCs w:val="18"/>
                <w:lang w:eastAsia="en-US"/>
              </w:rPr>
              <w:t xml:space="preserve"> stated in the resubmission was significantly higher than the ICER requested. Further, the PBAC considered that the proposed </w:t>
            </w:r>
            <w:r w:rsidR="00AA1053">
              <w:rPr>
                <w:rFonts w:ascii="Arial" w:hAnsi="Arial" w:cs="Arial"/>
                <w:snapToGrid w:val="0"/>
                <w:sz w:val="18"/>
                <w:szCs w:val="18"/>
                <w:lang w:eastAsia="en-US"/>
              </w:rPr>
              <w:t>R</w:t>
            </w:r>
            <w:r w:rsidR="00534AF9">
              <w:rPr>
                <w:rFonts w:ascii="Arial" w:hAnsi="Arial" w:cs="Arial"/>
                <w:snapToGrid w:val="0"/>
                <w:sz w:val="18"/>
                <w:szCs w:val="18"/>
                <w:lang w:eastAsia="en-US"/>
              </w:rPr>
              <w:t xml:space="preserve">isk </w:t>
            </w:r>
            <w:r w:rsidR="00AA1053">
              <w:rPr>
                <w:rFonts w:ascii="Arial" w:hAnsi="Arial" w:cs="Arial"/>
                <w:snapToGrid w:val="0"/>
                <w:sz w:val="18"/>
                <w:szCs w:val="18"/>
                <w:lang w:eastAsia="en-US"/>
              </w:rPr>
              <w:t>S</w:t>
            </w:r>
            <w:r w:rsidR="00534AF9">
              <w:rPr>
                <w:rFonts w:ascii="Arial" w:hAnsi="Arial" w:cs="Arial"/>
                <w:snapToGrid w:val="0"/>
                <w:sz w:val="18"/>
                <w:szCs w:val="18"/>
                <w:lang w:eastAsia="en-US"/>
              </w:rPr>
              <w:t xml:space="preserve">haring </w:t>
            </w:r>
            <w:r w:rsidR="00AA1053">
              <w:rPr>
                <w:rFonts w:ascii="Arial" w:hAnsi="Arial" w:cs="Arial"/>
                <w:snapToGrid w:val="0"/>
                <w:sz w:val="18"/>
                <w:szCs w:val="18"/>
                <w:lang w:eastAsia="en-US"/>
              </w:rPr>
              <w:t>A</w:t>
            </w:r>
            <w:r w:rsidR="00534AF9">
              <w:rPr>
                <w:rFonts w:ascii="Arial" w:hAnsi="Arial" w:cs="Arial"/>
                <w:snapToGrid w:val="0"/>
                <w:sz w:val="18"/>
                <w:szCs w:val="18"/>
                <w:lang w:eastAsia="en-US"/>
              </w:rPr>
              <w:t>rrangement</w:t>
            </w:r>
            <w:r w:rsidRPr="00D02045">
              <w:rPr>
                <w:rFonts w:ascii="Arial" w:hAnsi="Arial" w:cs="Arial"/>
                <w:snapToGrid w:val="0"/>
                <w:sz w:val="18"/>
                <w:szCs w:val="18"/>
                <w:lang w:eastAsia="en-US"/>
              </w:rPr>
              <w:t>, with expenditure caps higher than the resubmission’s estimated financial expenditure, would not adequately manage the risk associated with use in a broader population in which cost-effectiveness is unknown.</w:t>
            </w:r>
            <w:r w:rsidR="00FC3935">
              <w:rPr>
                <w:rFonts w:ascii="Arial" w:hAnsi="Arial" w:cs="Arial"/>
                <w:snapToGrid w:val="0"/>
                <w:sz w:val="18"/>
                <w:szCs w:val="18"/>
                <w:lang w:eastAsia="en-US"/>
              </w:rPr>
              <w:br/>
            </w:r>
            <w:r w:rsidR="00FC3935">
              <w:rPr>
                <w:rFonts w:ascii="Arial" w:hAnsi="Arial" w:cs="Arial"/>
                <w:snapToGrid w:val="0"/>
                <w:sz w:val="18"/>
                <w:szCs w:val="18"/>
                <w:lang w:eastAsia="en-US"/>
              </w:rPr>
              <w:br/>
            </w:r>
            <w:r w:rsidRPr="00D02045">
              <w:rPr>
                <w:rFonts w:ascii="Arial" w:hAnsi="Arial" w:cs="Arial"/>
                <w:snapToGrid w:val="0"/>
                <w:sz w:val="18"/>
                <w:szCs w:val="18"/>
                <w:lang w:eastAsia="en-US"/>
              </w:rPr>
              <w:t>The resubmission was lodged under the Early Resolution resubmission pathway. The comparator, clinical claim and economic claim were unchanged from the previous submission.</w:t>
            </w:r>
          </w:p>
        </w:tc>
      </w:tr>
      <w:tr w:rsidR="00872B3A" w:rsidRPr="00687774" w14:paraId="3558F9A0" w14:textId="77777777" w:rsidTr="00C1177A">
        <w:trPr>
          <w:trHeight w:val="1497"/>
        </w:trPr>
        <w:tc>
          <w:tcPr>
            <w:tcW w:w="874" w:type="pct"/>
            <w:vMerge/>
            <w:tcBorders>
              <w:left w:val="single" w:sz="4" w:space="0" w:color="auto"/>
              <w:bottom w:val="single" w:sz="4" w:space="0" w:color="auto"/>
              <w:right w:val="nil"/>
            </w:tcBorders>
            <w:shd w:val="clear" w:color="auto" w:fill="auto"/>
            <w:tcMar>
              <w:top w:w="28" w:type="dxa"/>
              <w:bottom w:w="28" w:type="dxa"/>
            </w:tcMar>
          </w:tcPr>
          <w:p w14:paraId="4A5EFDB6" w14:textId="77777777" w:rsidR="00872B3A" w:rsidRDefault="00872B3A" w:rsidP="007414B9">
            <w:pPr>
              <w:rPr>
                <w:rFonts w:ascii="Arial" w:hAnsi="Arial" w:cs="Arial"/>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3938182B" w14:textId="77777777" w:rsidR="00872B3A" w:rsidRDefault="00872B3A" w:rsidP="007414B9">
            <w:pPr>
              <w:widowControl w:val="0"/>
              <w:rPr>
                <w:rFonts w:ascii="Arial" w:hAnsi="Arial" w:cs="Arial"/>
                <w:snapToGrid w:val="0"/>
                <w:sz w:val="18"/>
                <w:szCs w:val="18"/>
                <w:lang w:eastAsia="en-US"/>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3803F66C" w14:textId="77777777" w:rsidR="00872B3A" w:rsidRDefault="00872B3A" w:rsidP="007414B9">
            <w:pPr>
              <w:pStyle w:val="ListParagraph"/>
              <w:ind w:left="0"/>
              <w:rPr>
                <w:rFonts w:ascii="Arial" w:hAnsi="Arial" w:cs="Arial"/>
                <w:snapToGrid w:val="0"/>
                <w:sz w:val="18"/>
                <w:szCs w:val="18"/>
                <w:lang w:eastAsia="en-US"/>
              </w:rPr>
            </w:pPr>
          </w:p>
        </w:tc>
        <w:tc>
          <w:tcPr>
            <w:tcW w:w="553" w:type="pct"/>
            <w:vMerge/>
            <w:tcBorders>
              <w:left w:val="single" w:sz="4" w:space="0" w:color="auto"/>
              <w:bottom w:val="single" w:sz="4" w:space="0" w:color="auto"/>
              <w:right w:val="single" w:sz="4" w:space="0" w:color="auto"/>
            </w:tcBorders>
            <w:shd w:val="clear" w:color="auto" w:fill="auto"/>
          </w:tcPr>
          <w:p w14:paraId="0B116E0C" w14:textId="77777777" w:rsidR="00872B3A" w:rsidRDefault="00872B3A" w:rsidP="007414B9">
            <w:pPr>
              <w:pStyle w:val="ListParagraph"/>
              <w:ind w:left="0"/>
              <w:rPr>
                <w:rFonts w:ascii="Arial" w:hAnsi="Arial" w:cs="Arial"/>
                <w:snapToGrid w:val="0"/>
                <w:sz w:val="18"/>
                <w:szCs w:val="18"/>
                <w:lang w:eastAsia="en-US"/>
              </w:rPr>
            </w:pPr>
          </w:p>
        </w:tc>
        <w:tc>
          <w:tcPr>
            <w:tcW w:w="2146" w:type="pct"/>
            <w:tcBorders>
              <w:top w:val="single" w:sz="4" w:space="0" w:color="auto"/>
              <w:bottom w:val="single" w:sz="4" w:space="0" w:color="auto"/>
            </w:tcBorders>
            <w:shd w:val="clear" w:color="auto" w:fill="auto"/>
          </w:tcPr>
          <w:p w14:paraId="05D11CD9" w14:textId="650CF096" w:rsidR="00AD0721" w:rsidRPr="00AD0721" w:rsidRDefault="00872B3A" w:rsidP="00AD0721">
            <w:pPr>
              <w:rPr>
                <w:rFonts w:ascii="Segoe UI" w:eastAsiaTheme="minorHAnsi" w:hAnsi="Segoe UI" w:cs="Segoe UI"/>
                <w:sz w:val="21"/>
                <w:szCs w:val="21"/>
                <w:shd w:val="clear" w:color="auto" w:fill="FFFFFF"/>
                <w:lang w:eastAsia="en-US"/>
              </w:rPr>
            </w:pPr>
            <w:r w:rsidRPr="00CC0C66">
              <w:rPr>
                <w:rFonts w:ascii="Arial" w:hAnsi="Arial" w:cs="Arial"/>
                <w:color w:val="000000"/>
                <w:sz w:val="18"/>
                <w:szCs w:val="18"/>
                <w:u w:val="single"/>
              </w:rPr>
              <w:t>Sponsor’s Comment</w:t>
            </w:r>
            <w:r>
              <w:rPr>
                <w:rFonts w:ascii="Arial" w:hAnsi="Arial" w:cs="Arial"/>
                <w:snapToGrid w:val="0"/>
                <w:sz w:val="18"/>
                <w:szCs w:val="18"/>
                <w:lang w:eastAsia="en-US"/>
              </w:rPr>
              <w:t>:</w:t>
            </w:r>
            <w:r w:rsidR="00901154">
              <w:rPr>
                <w:rFonts w:ascii="Arial" w:hAnsi="Arial" w:cs="Arial"/>
                <w:snapToGrid w:val="0"/>
                <w:sz w:val="18"/>
                <w:szCs w:val="18"/>
                <w:lang w:eastAsia="en-US"/>
              </w:rPr>
              <w:t xml:space="preserve"> </w:t>
            </w:r>
            <w:r w:rsidR="00AD0721" w:rsidRPr="00AD0721">
              <w:rPr>
                <w:rFonts w:ascii="Arial" w:eastAsiaTheme="minorHAnsi" w:hAnsi="Arial" w:cs="Arial"/>
                <w:sz w:val="18"/>
                <w:szCs w:val="18"/>
                <w:shd w:val="clear" w:color="auto" w:fill="FFFFFF"/>
                <w:lang w:eastAsia="en-US"/>
              </w:rPr>
              <w:t>Pfizer is disappointed that the substantial changes proposed were not adequate to secure a positive recommendation from the PBAC to make tafamidis available for Australian patients with ATTR-CM.</w:t>
            </w:r>
          </w:p>
          <w:p w14:paraId="36B7698C" w14:textId="424C6236" w:rsidR="00872B3A" w:rsidRDefault="00872B3A" w:rsidP="007414B9">
            <w:pPr>
              <w:spacing w:after="120"/>
              <w:rPr>
                <w:rFonts w:ascii="Arial" w:hAnsi="Arial" w:cs="Arial"/>
                <w:snapToGrid w:val="0"/>
                <w:sz w:val="18"/>
                <w:szCs w:val="18"/>
                <w:lang w:eastAsia="en-US"/>
              </w:rPr>
            </w:pPr>
          </w:p>
        </w:tc>
      </w:tr>
    </w:tbl>
    <w:p w14:paraId="4081BEC2" w14:textId="635180E2" w:rsidR="00AC2F56" w:rsidRPr="001D4E5E" w:rsidRDefault="00AC2F56">
      <w:pPr>
        <w:rPr>
          <w:rFonts w:asciiTheme="minorHAnsi" w:hAnsiTheme="minorHAnsi" w:cstheme="minorHAnsi"/>
          <w:sz w:val="18"/>
          <w:szCs w:val="18"/>
          <w:lang w:val="en-US"/>
        </w:rPr>
      </w:pPr>
    </w:p>
    <w:p w14:paraId="50C821D7" w14:textId="77777777" w:rsidR="003E3EC0" w:rsidRDefault="003E3EC0">
      <w:pPr>
        <w:rPr>
          <w:rFonts w:asciiTheme="minorHAnsi" w:hAnsiTheme="minorHAnsi" w:cstheme="minorHAnsi"/>
          <w:sz w:val="18"/>
          <w:szCs w:val="18"/>
          <w:lang w:val="en-US"/>
        </w:rPr>
      </w:pPr>
    </w:p>
    <w:p w14:paraId="7E15F77F" w14:textId="007FB1A8" w:rsidR="00952ADE" w:rsidRDefault="00952ADE">
      <w:pPr>
        <w:rPr>
          <w:rFonts w:asciiTheme="minorHAnsi" w:hAnsiTheme="minorHAnsi" w:cstheme="minorHAnsi"/>
          <w:sz w:val="18"/>
          <w:szCs w:val="18"/>
          <w:lang w:val="en-US"/>
        </w:rPr>
      </w:pPr>
    </w:p>
    <w:p w14:paraId="3DCF312E" w14:textId="51DED862" w:rsidR="00ED6AE3" w:rsidRDefault="00ED6AE3">
      <w:pPr>
        <w:rPr>
          <w:rFonts w:ascii="Arial" w:hAnsi="Arial" w:cs="Arial"/>
          <w:i/>
          <w:iCs/>
          <w:sz w:val="18"/>
          <w:szCs w:val="18"/>
        </w:rPr>
      </w:pPr>
      <w:r>
        <w:rPr>
          <w:rFonts w:ascii="Arial" w:hAnsi="Arial" w:cs="Arial"/>
          <w:i/>
          <w:iCs/>
          <w:sz w:val="18"/>
          <w:szCs w:val="18"/>
        </w:rPr>
        <w:lastRenderedPageBreak/>
        <w:t>Non-s</w:t>
      </w:r>
      <w:r w:rsidRPr="00ED6AE3">
        <w:rPr>
          <w:rFonts w:ascii="Arial" w:hAnsi="Arial" w:cs="Arial"/>
          <w:i/>
          <w:iCs/>
          <w:sz w:val="18"/>
          <w:szCs w:val="18"/>
        </w:rPr>
        <w:t>ubmission items</w:t>
      </w:r>
    </w:p>
    <w:p w14:paraId="305BBCEA" w14:textId="77777777" w:rsidR="00ED6AE3" w:rsidRDefault="00ED6AE3">
      <w:pPr>
        <w:rPr>
          <w:rFonts w:asciiTheme="minorHAnsi" w:hAnsiTheme="minorHAnsi" w:cstheme="minorHAnsi"/>
          <w:sz w:val="18"/>
          <w:szCs w:val="18"/>
          <w:lang w:val="en-US"/>
        </w:rPr>
      </w:pPr>
    </w:p>
    <w:tbl>
      <w:tblPr>
        <w:tblW w:w="6752" w:type="pct"/>
        <w:tblLayout w:type="fixed"/>
        <w:tblLook w:val="04A0" w:firstRow="1" w:lastRow="0" w:firstColumn="1" w:lastColumn="0" w:noHBand="0" w:noVBand="1"/>
      </w:tblPr>
      <w:tblGrid>
        <w:gridCol w:w="2689"/>
        <w:gridCol w:w="1700"/>
        <w:gridCol w:w="2693"/>
        <w:gridCol w:w="8312"/>
        <w:gridCol w:w="2693"/>
        <w:gridCol w:w="2693"/>
      </w:tblGrid>
      <w:tr w:rsidR="00952ADE" w:rsidRPr="00A159CA" w14:paraId="6ADE83BF" w14:textId="77777777" w:rsidTr="00872B3A">
        <w:trPr>
          <w:gridAfter w:val="2"/>
          <w:wAfter w:w="1296" w:type="pct"/>
          <w:cantSplit/>
          <w:trHeight w:val="58"/>
          <w:tblHeader/>
        </w:trPr>
        <w:tc>
          <w:tcPr>
            <w:tcW w:w="647" w:type="pct"/>
            <w:tcBorders>
              <w:top w:val="single" w:sz="4" w:space="0" w:color="auto"/>
              <w:left w:val="single" w:sz="4" w:space="0" w:color="auto"/>
              <w:bottom w:val="single" w:sz="4" w:space="0" w:color="auto"/>
              <w:right w:val="single" w:sz="4" w:space="0" w:color="auto"/>
            </w:tcBorders>
            <w:shd w:val="clear" w:color="auto" w:fill="auto"/>
          </w:tcPr>
          <w:p w14:paraId="5E0B65F2" w14:textId="77777777" w:rsidR="00952ADE" w:rsidRPr="00A159CA" w:rsidRDefault="00952ADE" w:rsidP="00442D9F">
            <w:pPr>
              <w:keepLines/>
              <w:widowControl w:val="0"/>
              <w:spacing w:after="120"/>
              <w:jc w:val="center"/>
              <w:rPr>
                <w:rFonts w:ascii="Arial" w:hAnsi="Arial" w:cs="Arial"/>
                <w:b/>
                <w:sz w:val="18"/>
                <w:szCs w:val="18"/>
              </w:rPr>
            </w:pPr>
            <w:bookmarkStart w:id="0" w:name="_Hlk84500855"/>
            <w:r w:rsidRPr="00A159CA">
              <w:rPr>
                <w:rFonts w:ascii="Arial" w:hAnsi="Arial" w:cs="Arial"/>
                <w:b/>
                <w:sz w:val="18"/>
                <w:szCs w:val="18"/>
              </w:rPr>
              <w:t>DRUG NAME, FORM(S), STRENGTH(S), SPONSOR, TYPE OF SUBMISSION</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7652D7AB" w14:textId="77777777" w:rsidR="00952ADE" w:rsidRPr="00A159CA" w:rsidRDefault="00952ADE" w:rsidP="00442D9F">
            <w:pPr>
              <w:keepLines/>
              <w:widowControl w:val="0"/>
              <w:spacing w:after="120"/>
              <w:jc w:val="center"/>
              <w:rPr>
                <w:rFonts w:ascii="Arial" w:hAnsi="Arial" w:cs="Arial"/>
                <w:b/>
                <w:sz w:val="18"/>
                <w:szCs w:val="18"/>
              </w:rPr>
            </w:pPr>
            <w:r w:rsidRPr="00A159CA">
              <w:rPr>
                <w:rFonts w:ascii="Arial" w:hAnsi="Arial" w:cs="Arial"/>
                <w:b/>
                <w:sz w:val="18"/>
                <w:szCs w:val="18"/>
              </w:rPr>
              <w:t>DRUG TYPE AND USE</w:t>
            </w:r>
          </w:p>
          <w:p w14:paraId="6328A465" w14:textId="77777777" w:rsidR="00952ADE" w:rsidRPr="00A159CA" w:rsidRDefault="00952ADE" w:rsidP="00442D9F">
            <w:pPr>
              <w:keepLines/>
              <w:widowControl w:val="0"/>
              <w:spacing w:after="120"/>
              <w:jc w:val="center"/>
              <w:rPr>
                <w:rFonts w:ascii="Arial" w:hAnsi="Arial" w:cs="Arial"/>
                <w:b/>
                <w:sz w:val="18"/>
                <w:szCs w:val="18"/>
              </w:rPr>
            </w:pP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29379879" w14:textId="77777777" w:rsidR="00952ADE" w:rsidRPr="00A159CA" w:rsidRDefault="00952ADE" w:rsidP="00442D9F">
            <w:pPr>
              <w:keepLines/>
              <w:widowControl w:val="0"/>
              <w:spacing w:after="120"/>
              <w:jc w:val="center"/>
              <w:rPr>
                <w:rFonts w:ascii="Arial" w:hAnsi="Arial" w:cs="Arial"/>
                <w:b/>
                <w:sz w:val="18"/>
                <w:szCs w:val="18"/>
              </w:rPr>
            </w:pPr>
            <w:r w:rsidRPr="00A159CA">
              <w:rPr>
                <w:rFonts w:ascii="Arial" w:hAnsi="Arial" w:cs="Arial"/>
                <w:b/>
                <w:sz w:val="18"/>
                <w:szCs w:val="18"/>
              </w:rPr>
              <w:t>LISTING REQUESTED BY SPONSOR / PURPOSE OF SUBMISSION</w:t>
            </w:r>
          </w:p>
        </w:tc>
        <w:tc>
          <w:tcPr>
            <w:tcW w:w="2000" w:type="pct"/>
            <w:tcBorders>
              <w:top w:val="single" w:sz="4" w:space="0" w:color="auto"/>
              <w:left w:val="single" w:sz="4" w:space="0" w:color="auto"/>
              <w:bottom w:val="single" w:sz="4" w:space="0" w:color="auto"/>
              <w:right w:val="single" w:sz="4" w:space="0" w:color="auto"/>
            </w:tcBorders>
            <w:shd w:val="clear" w:color="auto" w:fill="auto"/>
          </w:tcPr>
          <w:p w14:paraId="54E1355E" w14:textId="77777777" w:rsidR="00952ADE" w:rsidRPr="00A159CA" w:rsidRDefault="00952ADE" w:rsidP="00442D9F">
            <w:pPr>
              <w:keepLines/>
              <w:spacing w:after="120"/>
              <w:jc w:val="center"/>
              <w:rPr>
                <w:rFonts w:ascii="Arial" w:hAnsi="Arial" w:cs="Arial"/>
                <w:b/>
                <w:sz w:val="18"/>
                <w:szCs w:val="18"/>
              </w:rPr>
            </w:pPr>
            <w:r w:rsidRPr="00A159CA">
              <w:rPr>
                <w:rFonts w:ascii="Arial" w:hAnsi="Arial" w:cs="Arial"/>
                <w:b/>
                <w:sz w:val="18"/>
                <w:szCs w:val="18"/>
              </w:rPr>
              <w:t>PBAC OUTCOME</w:t>
            </w:r>
          </w:p>
          <w:p w14:paraId="5EC94810" w14:textId="77777777" w:rsidR="00952ADE" w:rsidRPr="00A159CA" w:rsidRDefault="00952ADE" w:rsidP="00442D9F">
            <w:pPr>
              <w:keepLines/>
              <w:spacing w:after="120"/>
              <w:jc w:val="center"/>
              <w:rPr>
                <w:rFonts w:ascii="Arial" w:hAnsi="Arial" w:cs="Arial"/>
                <w:b/>
                <w:sz w:val="18"/>
                <w:szCs w:val="18"/>
              </w:rPr>
            </w:pPr>
          </w:p>
        </w:tc>
      </w:tr>
      <w:tr w:rsidR="00952ADE" w:rsidRPr="00D2401D" w14:paraId="44EDF77D" w14:textId="77777777" w:rsidTr="00872B3A">
        <w:trPr>
          <w:gridAfter w:val="2"/>
          <w:wAfter w:w="1296" w:type="pct"/>
          <w:cantSplit/>
          <w:trHeight w:val="58"/>
        </w:trPr>
        <w:tc>
          <w:tcPr>
            <w:tcW w:w="647" w:type="pct"/>
            <w:tcBorders>
              <w:top w:val="single" w:sz="4" w:space="0" w:color="auto"/>
              <w:left w:val="single" w:sz="4" w:space="0" w:color="auto"/>
              <w:bottom w:val="single" w:sz="4" w:space="0" w:color="auto"/>
              <w:right w:val="single" w:sz="4" w:space="0" w:color="auto"/>
            </w:tcBorders>
            <w:shd w:val="clear" w:color="auto" w:fill="auto"/>
          </w:tcPr>
          <w:p w14:paraId="00AC8325" w14:textId="77777777" w:rsidR="00952ADE" w:rsidRDefault="00952ADE" w:rsidP="00952ADE">
            <w:pPr>
              <w:rPr>
                <w:rFonts w:ascii="Arial" w:hAnsi="Arial" w:cs="Arial"/>
                <w:sz w:val="18"/>
                <w:szCs w:val="18"/>
              </w:rPr>
            </w:pPr>
            <w:r>
              <w:rPr>
                <w:rFonts w:ascii="Arial" w:hAnsi="Arial" w:cs="Arial"/>
                <w:sz w:val="18"/>
                <w:szCs w:val="18"/>
              </w:rPr>
              <w:t>CHORIOGONADOTROPIN ALFA</w:t>
            </w:r>
          </w:p>
          <w:p w14:paraId="752FCC8C" w14:textId="77777777" w:rsidR="00952ADE" w:rsidRDefault="00952ADE" w:rsidP="00952ADE">
            <w:pPr>
              <w:rPr>
                <w:rFonts w:ascii="Arial" w:hAnsi="Arial" w:cs="Arial"/>
                <w:sz w:val="18"/>
                <w:szCs w:val="18"/>
              </w:rPr>
            </w:pPr>
          </w:p>
          <w:p w14:paraId="3C2AFF11" w14:textId="692013B1" w:rsidR="00605D25" w:rsidRPr="00605D25" w:rsidRDefault="00605D25" w:rsidP="00952ADE">
            <w:pPr>
              <w:rPr>
                <w:rFonts w:ascii="Arial" w:hAnsi="Arial" w:cs="Arial"/>
                <w:sz w:val="18"/>
                <w:szCs w:val="18"/>
              </w:rPr>
            </w:pPr>
            <w:r w:rsidRPr="00605D25">
              <w:rPr>
                <w:rFonts w:ascii="Arial" w:hAnsi="Arial" w:cs="Arial"/>
                <w:color w:val="333333"/>
                <w:sz w:val="18"/>
                <w:szCs w:val="18"/>
                <w:shd w:val="clear" w:color="auto" w:fill="FFFFFF"/>
              </w:rPr>
              <w:t>Solution for injection 250 micrograms in 0.5 mL pre-filled pen</w:t>
            </w:r>
          </w:p>
          <w:p w14:paraId="75D18FFE" w14:textId="77777777" w:rsidR="00605D25" w:rsidRDefault="00605D25" w:rsidP="00952ADE">
            <w:pPr>
              <w:rPr>
                <w:rFonts w:ascii="Arial" w:hAnsi="Arial" w:cs="Arial"/>
                <w:sz w:val="18"/>
                <w:szCs w:val="18"/>
              </w:rPr>
            </w:pPr>
          </w:p>
          <w:p w14:paraId="5017E761" w14:textId="77777777" w:rsidR="00952ADE" w:rsidRDefault="00952ADE" w:rsidP="00952ADE">
            <w:pPr>
              <w:rPr>
                <w:rFonts w:ascii="Arial" w:hAnsi="Arial" w:cs="Arial"/>
                <w:sz w:val="18"/>
                <w:szCs w:val="18"/>
              </w:rPr>
            </w:pPr>
            <w:r>
              <w:rPr>
                <w:rFonts w:ascii="Arial" w:hAnsi="Arial" w:cs="Arial"/>
                <w:sz w:val="18"/>
                <w:szCs w:val="18"/>
              </w:rPr>
              <w:t>Ovidrel®</w:t>
            </w:r>
          </w:p>
          <w:p w14:paraId="40144E3A" w14:textId="77777777" w:rsidR="00952ADE" w:rsidRDefault="00952ADE" w:rsidP="00952ADE">
            <w:pPr>
              <w:rPr>
                <w:rFonts w:ascii="Arial" w:hAnsi="Arial" w:cs="Arial"/>
                <w:sz w:val="18"/>
                <w:szCs w:val="18"/>
              </w:rPr>
            </w:pPr>
          </w:p>
          <w:p w14:paraId="6609E6AD" w14:textId="77777777" w:rsidR="00952ADE" w:rsidRDefault="00952ADE" w:rsidP="00952ADE">
            <w:pPr>
              <w:rPr>
                <w:rFonts w:ascii="Arial" w:hAnsi="Arial" w:cs="Arial"/>
                <w:sz w:val="18"/>
                <w:szCs w:val="18"/>
              </w:rPr>
            </w:pPr>
            <w:r>
              <w:rPr>
                <w:rFonts w:ascii="Arial" w:hAnsi="Arial" w:cs="Arial"/>
                <w:sz w:val="18"/>
                <w:szCs w:val="18"/>
              </w:rPr>
              <w:t>Merck Healthcare Pty Ltd</w:t>
            </w:r>
          </w:p>
          <w:p w14:paraId="5BC0103D" w14:textId="77777777" w:rsidR="00952ADE" w:rsidRDefault="00952ADE" w:rsidP="00952ADE">
            <w:pPr>
              <w:keepLines/>
              <w:widowControl w:val="0"/>
              <w:spacing w:after="120"/>
              <w:rPr>
                <w:rFonts w:ascii="Arial" w:hAnsi="Arial" w:cs="Arial"/>
                <w:sz w:val="18"/>
                <w:szCs w:val="18"/>
              </w:rPr>
            </w:pPr>
          </w:p>
          <w:p w14:paraId="440ECE84" w14:textId="2E3C561B" w:rsidR="006A1809" w:rsidRPr="00D2401D" w:rsidRDefault="006A1809" w:rsidP="00952ADE">
            <w:pPr>
              <w:keepLines/>
              <w:widowControl w:val="0"/>
              <w:spacing w:after="120"/>
              <w:rPr>
                <w:rFonts w:ascii="Arial" w:hAnsi="Arial" w:cs="Arial"/>
                <w:sz w:val="18"/>
                <w:szCs w:val="18"/>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07156AD5" w14:textId="0B4F99AF" w:rsidR="00952ADE" w:rsidRDefault="00952ADE" w:rsidP="00032DC4">
            <w:pPr>
              <w:keepLines/>
              <w:widowControl w:val="0"/>
              <w:spacing w:after="120"/>
              <w:rPr>
                <w:rFonts w:ascii="Arial" w:hAnsi="Arial" w:cs="Arial"/>
                <w:sz w:val="18"/>
                <w:szCs w:val="18"/>
              </w:rPr>
            </w:pPr>
            <w:r>
              <w:rPr>
                <w:rFonts w:ascii="Arial" w:hAnsi="Arial" w:cs="Arial"/>
                <w:snapToGrid w:val="0"/>
                <w:sz w:val="18"/>
                <w:szCs w:val="18"/>
                <w:lang w:eastAsia="en-US"/>
              </w:rPr>
              <w:t>In-vitro fertilisation</w:t>
            </w:r>
            <w:r w:rsidR="00537BDF">
              <w:rPr>
                <w:rFonts w:ascii="Arial" w:hAnsi="Arial" w:cs="Arial"/>
                <w:snapToGrid w:val="0"/>
                <w:sz w:val="18"/>
                <w:szCs w:val="18"/>
                <w:lang w:eastAsia="en-US"/>
              </w:rPr>
              <w:t xml:space="preserve"> and infertility</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5BB02ECA" w14:textId="1D011C89" w:rsidR="006A1809" w:rsidRPr="006A1809" w:rsidRDefault="006A1809" w:rsidP="006A1809">
            <w:pPr>
              <w:keepLines/>
              <w:widowControl w:val="0"/>
              <w:spacing w:after="120"/>
              <w:rPr>
                <w:rFonts w:ascii="Arial" w:hAnsi="Arial" w:cs="Arial"/>
                <w:snapToGrid w:val="0"/>
                <w:sz w:val="18"/>
                <w:szCs w:val="18"/>
                <w:lang w:eastAsia="en-US"/>
              </w:rPr>
            </w:pPr>
            <w:r w:rsidRPr="006A1809">
              <w:rPr>
                <w:rFonts w:ascii="Arial" w:hAnsi="Arial" w:cs="Arial"/>
                <w:sz w:val="18"/>
                <w:szCs w:val="18"/>
              </w:rPr>
              <w:t>The PBAC to consider a new, Section 85 listing for choriogonadotropin alfa, in addition to its Section 100 listing, following discussion of the discontinuation of human chorionic gonadotrophin (Pregnyl®) at the July 2021 PBAC Meeting.</w:t>
            </w:r>
          </w:p>
        </w:tc>
        <w:tc>
          <w:tcPr>
            <w:tcW w:w="2000" w:type="pct"/>
            <w:tcBorders>
              <w:top w:val="single" w:sz="4" w:space="0" w:color="auto"/>
              <w:left w:val="single" w:sz="4" w:space="0" w:color="auto"/>
              <w:bottom w:val="single" w:sz="4" w:space="0" w:color="auto"/>
              <w:right w:val="single" w:sz="4" w:space="0" w:color="auto"/>
            </w:tcBorders>
            <w:shd w:val="clear" w:color="auto" w:fill="auto"/>
          </w:tcPr>
          <w:p w14:paraId="6477D603" w14:textId="47C6A267" w:rsidR="00D02045" w:rsidRPr="00D02045" w:rsidRDefault="00D02045" w:rsidP="00D02045">
            <w:pPr>
              <w:rPr>
                <w:rFonts w:ascii="Arial" w:hAnsi="Arial" w:cs="Arial"/>
                <w:sz w:val="18"/>
                <w:szCs w:val="18"/>
              </w:rPr>
            </w:pPr>
            <w:r w:rsidRPr="00D02045">
              <w:rPr>
                <w:rFonts w:ascii="Arial" w:hAnsi="Arial" w:cs="Arial"/>
                <w:sz w:val="18"/>
                <w:szCs w:val="18"/>
              </w:rPr>
              <w:t>The PBAC recommended the General Schedule listing of choriogonadotropin alfa solution for injection 250 micrograms in 0.5 mL pre-filled pen (Ovidrel) for the treatment of infertility (not associated with assisted reproductive technology).</w:t>
            </w:r>
          </w:p>
          <w:p w14:paraId="5193AF3D" w14:textId="77777777" w:rsidR="00952ADE" w:rsidRDefault="00952ADE" w:rsidP="00952ADE">
            <w:pPr>
              <w:keepLines/>
              <w:spacing w:after="120"/>
              <w:rPr>
                <w:rFonts w:ascii="Arial" w:hAnsi="Arial" w:cs="Arial"/>
                <w:color w:val="000000"/>
                <w:sz w:val="18"/>
                <w:szCs w:val="21"/>
                <w:shd w:val="clear" w:color="auto" w:fill="FFFFFF"/>
              </w:rPr>
            </w:pPr>
          </w:p>
          <w:p w14:paraId="5BD15F93" w14:textId="77777777" w:rsidR="006A1809" w:rsidRDefault="006A1809" w:rsidP="00952ADE">
            <w:pPr>
              <w:keepLines/>
              <w:spacing w:after="120"/>
              <w:rPr>
                <w:rFonts w:ascii="Arial" w:hAnsi="Arial" w:cs="Arial"/>
                <w:color w:val="000000"/>
                <w:sz w:val="18"/>
                <w:szCs w:val="21"/>
                <w:shd w:val="clear" w:color="auto" w:fill="FFFFFF"/>
              </w:rPr>
            </w:pPr>
          </w:p>
          <w:p w14:paraId="33EFDF2F" w14:textId="77777777" w:rsidR="006A1809" w:rsidRDefault="006A1809" w:rsidP="00952ADE">
            <w:pPr>
              <w:keepLines/>
              <w:spacing w:after="120"/>
              <w:rPr>
                <w:rFonts w:ascii="Arial" w:hAnsi="Arial" w:cs="Arial"/>
                <w:color w:val="000000"/>
                <w:sz w:val="18"/>
                <w:szCs w:val="21"/>
                <w:shd w:val="clear" w:color="auto" w:fill="FFFFFF"/>
              </w:rPr>
            </w:pPr>
          </w:p>
          <w:p w14:paraId="7F0107F0" w14:textId="77777777" w:rsidR="006A1809" w:rsidRDefault="006A1809" w:rsidP="00952ADE">
            <w:pPr>
              <w:keepLines/>
              <w:spacing w:after="120"/>
              <w:rPr>
                <w:rFonts w:ascii="Arial" w:hAnsi="Arial" w:cs="Arial"/>
                <w:color w:val="000000"/>
                <w:sz w:val="18"/>
                <w:szCs w:val="21"/>
                <w:shd w:val="clear" w:color="auto" w:fill="FFFFFF"/>
              </w:rPr>
            </w:pPr>
          </w:p>
          <w:p w14:paraId="7086AABB" w14:textId="77777777" w:rsidR="00ED6AE3" w:rsidRDefault="00ED6AE3" w:rsidP="00952ADE">
            <w:pPr>
              <w:keepLines/>
              <w:spacing w:after="120"/>
              <w:rPr>
                <w:rFonts w:ascii="Arial" w:hAnsi="Arial" w:cs="Arial"/>
                <w:color w:val="000000"/>
                <w:sz w:val="18"/>
                <w:szCs w:val="21"/>
                <w:shd w:val="clear" w:color="auto" w:fill="FFFFFF"/>
              </w:rPr>
            </w:pPr>
          </w:p>
          <w:p w14:paraId="2ADE5B41" w14:textId="77777777" w:rsidR="00ED6AE3" w:rsidRDefault="00ED6AE3" w:rsidP="00952ADE">
            <w:pPr>
              <w:keepLines/>
              <w:spacing w:after="120"/>
              <w:rPr>
                <w:rFonts w:ascii="Arial" w:hAnsi="Arial" w:cs="Arial"/>
                <w:color w:val="000000"/>
                <w:sz w:val="18"/>
                <w:szCs w:val="21"/>
                <w:shd w:val="clear" w:color="auto" w:fill="FFFFFF"/>
              </w:rPr>
            </w:pPr>
          </w:p>
          <w:p w14:paraId="01429BAF" w14:textId="77777777" w:rsidR="00ED6AE3" w:rsidRDefault="00ED6AE3" w:rsidP="00952ADE">
            <w:pPr>
              <w:keepLines/>
              <w:spacing w:after="120"/>
              <w:rPr>
                <w:rFonts w:ascii="Arial" w:hAnsi="Arial" w:cs="Arial"/>
                <w:color w:val="000000"/>
                <w:sz w:val="18"/>
                <w:szCs w:val="21"/>
                <w:shd w:val="clear" w:color="auto" w:fill="FFFFFF"/>
              </w:rPr>
            </w:pPr>
          </w:p>
          <w:p w14:paraId="0B137351" w14:textId="77777777" w:rsidR="00ED6AE3" w:rsidRDefault="00ED6AE3" w:rsidP="00952ADE">
            <w:pPr>
              <w:keepLines/>
              <w:spacing w:after="120"/>
              <w:rPr>
                <w:rFonts w:ascii="Arial" w:hAnsi="Arial" w:cs="Arial"/>
                <w:color w:val="000000"/>
                <w:sz w:val="18"/>
                <w:szCs w:val="21"/>
                <w:shd w:val="clear" w:color="auto" w:fill="FFFFFF"/>
              </w:rPr>
            </w:pPr>
          </w:p>
          <w:p w14:paraId="7FD4A530" w14:textId="77777777" w:rsidR="00ED6AE3" w:rsidRDefault="00ED6AE3" w:rsidP="00952ADE">
            <w:pPr>
              <w:keepLines/>
              <w:spacing w:after="120"/>
              <w:rPr>
                <w:rFonts w:ascii="Arial" w:hAnsi="Arial" w:cs="Arial"/>
                <w:color w:val="000000"/>
                <w:sz w:val="18"/>
                <w:szCs w:val="21"/>
                <w:shd w:val="clear" w:color="auto" w:fill="FFFFFF"/>
              </w:rPr>
            </w:pPr>
          </w:p>
          <w:p w14:paraId="66CFC79A" w14:textId="77777777" w:rsidR="00ED6AE3" w:rsidRDefault="00ED6AE3" w:rsidP="00952ADE">
            <w:pPr>
              <w:keepLines/>
              <w:spacing w:after="120"/>
              <w:rPr>
                <w:rFonts w:ascii="Arial" w:hAnsi="Arial" w:cs="Arial"/>
                <w:color w:val="000000"/>
                <w:sz w:val="18"/>
                <w:szCs w:val="21"/>
                <w:shd w:val="clear" w:color="auto" w:fill="FFFFFF"/>
              </w:rPr>
            </w:pPr>
          </w:p>
          <w:p w14:paraId="10FFEB2E" w14:textId="1BD21DD9" w:rsidR="00ED6AE3" w:rsidRPr="001C4557" w:rsidRDefault="00ED6AE3" w:rsidP="00952ADE">
            <w:pPr>
              <w:keepLines/>
              <w:spacing w:after="120"/>
              <w:rPr>
                <w:rFonts w:ascii="Arial" w:hAnsi="Arial" w:cs="Arial"/>
                <w:color w:val="000000"/>
                <w:sz w:val="18"/>
                <w:szCs w:val="21"/>
                <w:shd w:val="clear" w:color="auto" w:fill="FFFFFF"/>
              </w:rPr>
            </w:pPr>
          </w:p>
        </w:tc>
      </w:tr>
      <w:bookmarkEnd w:id="0"/>
      <w:tr w:rsidR="00952ADE" w:rsidRPr="00D2401D" w14:paraId="17B74272" w14:textId="77777777" w:rsidTr="00872B3A">
        <w:trPr>
          <w:gridAfter w:val="2"/>
          <w:wAfter w:w="1296" w:type="pct"/>
          <w:cantSplit/>
          <w:trHeight w:val="58"/>
        </w:trPr>
        <w:tc>
          <w:tcPr>
            <w:tcW w:w="647" w:type="pct"/>
            <w:tcBorders>
              <w:top w:val="single" w:sz="4" w:space="0" w:color="auto"/>
              <w:left w:val="single" w:sz="4" w:space="0" w:color="auto"/>
              <w:bottom w:val="single" w:sz="4" w:space="0" w:color="auto"/>
              <w:right w:val="single" w:sz="4" w:space="0" w:color="auto"/>
            </w:tcBorders>
            <w:shd w:val="clear" w:color="auto" w:fill="auto"/>
          </w:tcPr>
          <w:p w14:paraId="67A4DE0C" w14:textId="4D900960" w:rsidR="00952ADE" w:rsidRPr="00605D25" w:rsidRDefault="00952ADE" w:rsidP="00952ADE">
            <w:pPr>
              <w:rPr>
                <w:rFonts w:ascii="Arial" w:hAnsi="Arial" w:cs="Arial"/>
                <w:sz w:val="18"/>
                <w:szCs w:val="18"/>
              </w:rPr>
            </w:pPr>
            <w:r w:rsidRPr="00605D25">
              <w:rPr>
                <w:rFonts w:ascii="Arial" w:hAnsi="Arial" w:cs="Arial"/>
                <w:sz w:val="18"/>
                <w:szCs w:val="18"/>
              </w:rPr>
              <w:lastRenderedPageBreak/>
              <w:t>DOXORUBICIN</w:t>
            </w:r>
            <w:r w:rsidR="00605D25" w:rsidRPr="00605D25">
              <w:rPr>
                <w:rFonts w:ascii="Arial" w:hAnsi="Arial" w:cs="Arial"/>
                <w:sz w:val="18"/>
                <w:szCs w:val="18"/>
              </w:rPr>
              <w:t xml:space="preserve"> (AS PEGYLATED LIPOSOMAL)</w:t>
            </w:r>
          </w:p>
          <w:p w14:paraId="17885856" w14:textId="77777777" w:rsidR="00605D25" w:rsidRPr="00605D25" w:rsidRDefault="00605D25" w:rsidP="00952ADE">
            <w:pPr>
              <w:rPr>
                <w:rFonts w:ascii="Arial" w:hAnsi="Arial" w:cs="Arial"/>
                <w:sz w:val="18"/>
                <w:szCs w:val="18"/>
              </w:rPr>
            </w:pPr>
          </w:p>
          <w:p w14:paraId="041A392F" w14:textId="77777777" w:rsidR="00605D25" w:rsidRPr="00605D25" w:rsidRDefault="00605D25" w:rsidP="00605D25">
            <w:pPr>
              <w:rPr>
                <w:rFonts w:ascii="Arial" w:hAnsi="Arial" w:cs="Arial"/>
                <w:sz w:val="18"/>
                <w:szCs w:val="18"/>
              </w:rPr>
            </w:pPr>
            <w:r w:rsidRPr="00605D25">
              <w:rPr>
                <w:rFonts w:ascii="Arial" w:hAnsi="Arial" w:cs="Arial"/>
                <w:color w:val="333333"/>
                <w:sz w:val="18"/>
                <w:szCs w:val="18"/>
                <w:shd w:val="clear" w:color="auto" w:fill="FFFFFF"/>
              </w:rPr>
              <w:t xml:space="preserve">Suspension for I.V. infusion containing pegylated liposomal doxorubicin hydrochloride 20 mg in 10 mL </w:t>
            </w:r>
          </w:p>
          <w:p w14:paraId="0C804637" w14:textId="77777777" w:rsidR="00605D25" w:rsidRPr="00605D25" w:rsidRDefault="00605D25" w:rsidP="00952ADE">
            <w:pPr>
              <w:rPr>
                <w:rFonts w:ascii="Arial" w:hAnsi="Arial" w:cs="Arial"/>
                <w:sz w:val="18"/>
                <w:szCs w:val="18"/>
              </w:rPr>
            </w:pPr>
          </w:p>
          <w:p w14:paraId="57615072" w14:textId="3B14AC7A" w:rsidR="00605D25" w:rsidRPr="00605D25" w:rsidRDefault="00605D25" w:rsidP="00605D25">
            <w:pPr>
              <w:rPr>
                <w:rFonts w:ascii="Arial" w:hAnsi="Arial" w:cs="Arial"/>
                <w:sz w:val="18"/>
                <w:szCs w:val="18"/>
              </w:rPr>
            </w:pPr>
            <w:r w:rsidRPr="00605D25">
              <w:rPr>
                <w:rFonts w:ascii="Arial" w:hAnsi="Arial" w:cs="Arial"/>
                <w:color w:val="333333"/>
                <w:sz w:val="18"/>
                <w:szCs w:val="18"/>
                <w:shd w:val="clear" w:color="auto" w:fill="FFFFFF"/>
              </w:rPr>
              <w:t xml:space="preserve">Suspension for I.V. infusion containing pegylated liposomal doxorubicin hydrochloride 50 mg in 25 mL </w:t>
            </w:r>
          </w:p>
          <w:p w14:paraId="5ADE7F9E" w14:textId="77777777" w:rsidR="00952ADE" w:rsidRPr="00605D25" w:rsidRDefault="00952ADE" w:rsidP="00952ADE">
            <w:pPr>
              <w:rPr>
                <w:rFonts w:ascii="Arial" w:hAnsi="Arial" w:cs="Arial"/>
                <w:sz w:val="18"/>
                <w:szCs w:val="18"/>
              </w:rPr>
            </w:pPr>
          </w:p>
          <w:p w14:paraId="24D2C0CB" w14:textId="77777777" w:rsidR="00952ADE" w:rsidRPr="00605D25" w:rsidRDefault="00952ADE" w:rsidP="00952ADE">
            <w:pPr>
              <w:rPr>
                <w:rFonts w:ascii="Arial" w:hAnsi="Arial" w:cs="Arial"/>
                <w:sz w:val="18"/>
                <w:szCs w:val="18"/>
              </w:rPr>
            </w:pPr>
            <w:r w:rsidRPr="00605D25">
              <w:rPr>
                <w:rFonts w:ascii="Arial" w:hAnsi="Arial" w:cs="Arial"/>
                <w:sz w:val="18"/>
                <w:szCs w:val="18"/>
              </w:rPr>
              <w:t>Caelyx®</w:t>
            </w:r>
          </w:p>
          <w:p w14:paraId="443AF0E8" w14:textId="77777777" w:rsidR="00952ADE" w:rsidRPr="00605D25" w:rsidRDefault="00952ADE" w:rsidP="00952ADE">
            <w:pPr>
              <w:rPr>
                <w:rFonts w:ascii="Arial" w:hAnsi="Arial" w:cs="Arial"/>
                <w:sz w:val="18"/>
                <w:szCs w:val="18"/>
              </w:rPr>
            </w:pPr>
            <w:r w:rsidRPr="00605D25">
              <w:rPr>
                <w:rFonts w:ascii="Arial" w:hAnsi="Arial" w:cs="Arial"/>
                <w:sz w:val="18"/>
                <w:szCs w:val="18"/>
              </w:rPr>
              <w:t>Liposomal Doxorubicin Sun®</w:t>
            </w:r>
          </w:p>
          <w:p w14:paraId="2438C0DC" w14:textId="77777777" w:rsidR="00952ADE" w:rsidRPr="00605D25" w:rsidRDefault="00952ADE" w:rsidP="00952ADE">
            <w:pPr>
              <w:rPr>
                <w:rFonts w:ascii="Arial" w:hAnsi="Arial" w:cs="Arial"/>
                <w:sz w:val="18"/>
                <w:szCs w:val="18"/>
              </w:rPr>
            </w:pPr>
          </w:p>
          <w:p w14:paraId="304B83D3" w14:textId="77777777" w:rsidR="00952ADE" w:rsidRPr="00605D25" w:rsidRDefault="00952ADE" w:rsidP="00952ADE">
            <w:pPr>
              <w:rPr>
                <w:rFonts w:ascii="Arial" w:hAnsi="Arial" w:cs="Arial"/>
                <w:sz w:val="18"/>
                <w:szCs w:val="18"/>
              </w:rPr>
            </w:pPr>
            <w:r w:rsidRPr="00605D25">
              <w:rPr>
                <w:rFonts w:ascii="Arial" w:hAnsi="Arial" w:cs="Arial"/>
                <w:sz w:val="18"/>
                <w:szCs w:val="18"/>
              </w:rPr>
              <w:t>Janssen-Cilag Pty Ltd</w:t>
            </w:r>
          </w:p>
          <w:p w14:paraId="5C0D0F91" w14:textId="77777777" w:rsidR="00952ADE" w:rsidRPr="00605D25" w:rsidRDefault="00952ADE" w:rsidP="00952ADE">
            <w:pPr>
              <w:rPr>
                <w:rFonts w:ascii="Arial" w:hAnsi="Arial" w:cs="Arial"/>
                <w:sz w:val="18"/>
                <w:szCs w:val="18"/>
              </w:rPr>
            </w:pPr>
            <w:r w:rsidRPr="00605D25">
              <w:rPr>
                <w:rFonts w:ascii="Arial" w:hAnsi="Arial" w:cs="Arial"/>
                <w:sz w:val="18"/>
                <w:szCs w:val="18"/>
              </w:rPr>
              <w:t>Sun Pharma ANZ Pty Ltd</w:t>
            </w:r>
          </w:p>
          <w:p w14:paraId="17BD616F" w14:textId="774EBABD" w:rsidR="006A1809" w:rsidRPr="00605D25" w:rsidRDefault="00197D0D" w:rsidP="006A1809">
            <w:pPr>
              <w:rPr>
                <w:rFonts w:ascii="Arial" w:hAnsi="Arial" w:cs="Arial"/>
                <w:sz w:val="18"/>
                <w:szCs w:val="18"/>
              </w:rPr>
            </w:pPr>
            <w:r>
              <w:rPr>
                <w:rFonts w:ascii="Arial" w:hAnsi="Arial" w:cs="Arial"/>
                <w:sz w:val="18"/>
                <w:szCs w:val="18"/>
              </w:rPr>
              <w:br/>
            </w:r>
            <w:r>
              <w:rPr>
                <w:rFonts w:ascii="Arial" w:hAnsi="Arial" w:cs="Arial"/>
                <w:sz w:val="18"/>
                <w:szCs w:val="18"/>
              </w:rPr>
              <w:br/>
            </w:r>
            <w:r w:rsidR="006A1809" w:rsidRPr="00605D25">
              <w:rPr>
                <w:rFonts w:ascii="Arial" w:hAnsi="Arial" w:cs="Arial"/>
                <w:sz w:val="18"/>
                <w:szCs w:val="18"/>
              </w:rPr>
              <w:t>RALTITREXED</w:t>
            </w:r>
          </w:p>
          <w:p w14:paraId="501F4143" w14:textId="77777777" w:rsidR="00605D25" w:rsidRPr="00605D25" w:rsidRDefault="00605D25" w:rsidP="00605D25">
            <w:pPr>
              <w:rPr>
                <w:rFonts w:ascii="Arial" w:hAnsi="Arial" w:cs="Arial"/>
                <w:color w:val="333333"/>
                <w:sz w:val="18"/>
                <w:szCs w:val="18"/>
                <w:shd w:val="clear" w:color="auto" w:fill="FFFFFF"/>
              </w:rPr>
            </w:pPr>
          </w:p>
          <w:p w14:paraId="767FC2D8" w14:textId="3B70A8DB" w:rsidR="00605D25" w:rsidRPr="00605D25" w:rsidRDefault="00605D25" w:rsidP="006A1809">
            <w:pPr>
              <w:rPr>
                <w:rFonts w:ascii="Arial" w:hAnsi="Arial" w:cs="Arial"/>
                <w:sz w:val="18"/>
                <w:szCs w:val="18"/>
              </w:rPr>
            </w:pPr>
            <w:r w:rsidRPr="00605D25">
              <w:rPr>
                <w:rFonts w:ascii="Arial" w:hAnsi="Arial" w:cs="Arial"/>
                <w:color w:val="333333"/>
                <w:sz w:val="18"/>
                <w:szCs w:val="18"/>
                <w:shd w:val="clear" w:color="auto" w:fill="FFFFFF"/>
              </w:rPr>
              <w:t>Powder for I.V. infusion 2 mg in single use vial</w:t>
            </w:r>
          </w:p>
          <w:p w14:paraId="4D7BBA22" w14:textId="77777777" w:rsidR="00605D25" w:rsidRPr="00605D25" w:rsidRDefault="00605D25" w:rsidP="006A1809">
            <w:pPr>
              <w:rPr>
                <w:rFonts w:ascii="Arial" w:hAnsi="Arial" w:cs="Arial"/>
                <w:sz w:val="18"/>
                <w:szCs w:val="18"/>
              </w:rPr>
            </w:pPr>
          </w:p>
          <w:p w14:paraId="282E4744" w14:textId="77777777" w:rsidR="006A1809" w:rsidRPr="00605D25" w:rsidRDefault="006A1809" w:rsidP="006A1809">
            <w:pPr>
              <w:rPr>
                <w:rFonts w:ascii="Arial" w:hAnsi="Arial" w:cs="Arial"/>
                <w:sz w:val="18"/>
                <w:szCs w:val="18"/>
              </w:rPr>
            </w:pPr>
            <w:r w:rsidRPr="00605D25">
              <w:rPr>
                <w:rFonts w:ascii="Arial" w:hAnsi="Arial" w:cs="Arial"/>
                <w:sz w:val="18"/>
                <w:szCs w:val="18"/>
              </w:rPr>
              <w:t>Tomudex®</w:t>
            </w:r>
          </w:p>
          <w:p w14:paraId="1270BB3F" w14:textId="77777777" w:rsidR="006A1809" w:rsidRPr="00605D25" w:rsidRDefault="006A1809" w:rsidP="006A1809">
            <w:pPr>
              <w:rPr>
                <w:rFonts w:ascii="Arial" w:hAnsi="Arial" w:cs="Arial"/>
                <w:sz w:val="18"/>
                <w:szCs w:val="18"/>
              </w:rPr>
            </w:pPr>
          </w:p>
          <w:p w14:paraId="09CC1491" w14:textId="77777777" w:rsidR="006A1809" w:rsidRPr="00605D25" w:rsidRDefault="006A1809" w:rsidP="006A1809">
            <w:pPr>
              <w:rPr>
                <w:rFonts w:ascii="Arial" w:hAnsi="Arial" w:cs="Arial"/>
                <w:sz w:val="18"/>
                <w:szCs w:val="18"/>
              </w:rPr>
            </w:pPr>
            <w:r w:rsidRPr="00605D25">
              <w:rPr>
                <w:rFonts w:ascii="Arial" w:hAnsi="Arial" w:cs="Arial"/>
                <w:sz w:val="18"/>
                <w:szCs w:val="18"/>
              </w:rPr>
              <w:t>Pfizer Australia Pty Ltd</w:t>
            </w:r>
          </w:p>
          <w:p w14:paraId="753DA663" w14:textId="77777777" w:rsidR="006A1809" w:rsidRDefault="006A1809" w:rsidP="006A1809">
            <w:pPr>
              <w:rPr>
                <w:rFonts w:ascii="Arial" w:hAnsi="Arial" w:cs="Arial"/>
                <w:sz w:val="18"/>
                <w:szCs w:val="18"/>
              </w:rPr>
            </w:pPr>
          </w:p>
          <w:p w14:paraId="59250825" w14:textId="3061614A" w:rsidR="006A1809" w:rsidRDefault="006A1809" w:rsidP="006A1809">
            <w:pPr>
              <w:rPr>
                <w:rFonts w:ascii="Arial" w:hAnsi="Arial" w:cs="Arial"/>
                <w:sz w:val="18"/>
                <w:szCs w:val="18"/>
              </w:rPr>
            </w:pPr>
          </w:p>
          <w:p w14:paraId="0CA833EE" w14:textId="2BDCD727" w:rsidR="006A1809" w:rsidRDefault="006A1809" w:rsidP="00952ADE">
            <w:pPr>
              <w:rPr>
                <w:rFonts w:ascii="Arial" w:hAnsi="Arial" w:cs="Arial"/>
                <w:sz w:val="18"/>
                <w:szCs w:val="18"/>
              </w:rPr>
            </w:pPr>
          </w:p>
          <w:p w14:paraId="18EE5C59" w14:textId="77777777" w:rsidR="006A1809" w:rsidRDefault="006A1809" w:rsidP="00952ADE">
            <w:pPr>
              <w:rPr>
                <w:rFonts w:ascii="Arial" w:hAnsi="Arial" w:cs="Arial"/>
                <w:sz w:val="18"/>
                <w:szCs w:val="18"/>
              </w:rPr>
            </w:pPr>
          </w:p>
          <w:p w14:paraId="0211F77D" w14:textId="77777777" w:rsidR="006A1809" w:rsidRDefault="006A1809" w:rsidP="00952ADE">
            <w:pPr>
              <w:rPr>
                <w:rFonts w:ascii="Arial" w:hAnsi="Arial" w:cs="Arial"/>
                <w:sz w:val="18"/>
                <w:szCs w:val="18"/>
              </w:rPr>
            </w:pPr>
          </w:p>
          <w:p w14:paraId="50550D79" w14:textId="0B597609" w:rsidR="006A1809" w:rsidRDefault="006A1809" w:rsidP="00952ADE">
            <w:pPr>
              <w:rPr>
                <w:rFonts w:ascii="Arial" w:hAnsi="Arial" w:cs="Arial"/>
                <w:sz w:val="18"/>
                <w:szCs w:val="18"/>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69F2CC06" w14:textId="6F8BFC3A" w:rsidR="00952ADE" w:rsidRPr="006A1809" w:rsidRDefault="00032DC4" w:rsidP="006A1809">
            <w:pPr>
              <w:keepLines/>
              <w:widowControl w:val="0"/>
              <w:spacing w:after="120"/>
              <w:rPr>
                <w:rFonts w:ascii="Arial" w:hAnsi="Arial" w:cs="Arial"/>
                <w:snapToGrid w:val="0"/>
                <w:sz w:val="18"/>
                <w:szCs w:val="18"/>
                <w:lang w:eastAsia="en-US"/>
              </w:rPr>
            </w:pPr>
            <w:r>
              <w:rPr>
                <w:rFonts w:ascii="Arial" w:hAnsi="Arial" w:cs="Arial"/>
                <w:snapToGrid w:val="0"/>
                <w:sz w:val="18"/>
                <w:szCs w:val="18"/>
                <w:lang w:eastAsia="en-US"/>
              </w:rPr>
              <w:t>Multiple indications</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2289DFB1" w14:textId="67A59F9F" w:rsidR="00952ADE" w:rsidRPr="006A1809" w:rsidRDefault="006A1809" w:rsidP="006A1809">
            <w:pPr>
              <w:keepLines/>
              <w:widowControl w:val="0"/>
              <w:spacing w:after="120"/>
              <w:rPr>
                <w:rFonts w:ascii="Arial" w:hAnsi="Arial" w:cs="Arial"/>
                <w:snapToGrid w:val="0"/>
                <w:sz w:val="18"/>
                <w:szCs w:val="18"/>
                <w:lang w:eastAsia="en-US"/>
              </w:rPr>
            </w:pPr>
            <w:r w:rsidRPr="006A1809">
              <w:rPr>
                <w:rFonts w:ascii="Arial" w:hAnsi="Arial" w:cs="Arial"/>
                <w:sz w:val="18"/>
                <w:szCs w:val="18"/>
              </w:rPr>
              <w:t>The PBAC to consider a Medical Oncology Group of Australia submission seeking the complete derestriction of raltitrexed, and to also consider a potential unrestricted listing for liposomal doxorubicin.</w:t>
            </w:r>
          </w:p>
        </w:tc>
        <w:tc>
          <w:tcPr>
            <w:tcW w:w="2000" w:type="pct"/>
            <w:tcBorders>
              <w:top w:val="single" w:sz="4" w:space="0" w:color="auto"/>
              <w:left w:val="single" w:sz="4" w:space="0" w:color="auto"/>
              <w:bottom w:val="single" w:sz="4" w:space="0" w:color="auto"/>
              <w:right w:val="single" w:sz="4" w:space="0" w:color="auto"/>
            </w:tcBorders>
            <w:shd w:val="clear" w:color="auto" w:fill="auto"/>
          </w:tcPr>
          <w:p w14:paraId="1E575727" w14:textId="0CF0094D" w:rsidR="006A1809" w:rsidRPr="006A1809" w:rsidRDefault="000B2350" w:rsidP="0032768B">
            <w:pPr>
              <w:keepLines/>
              <w:spacing w:after="120"/>
              <w:rPr>
                <w:rFonts w:ascii="Arial" w:hAnsi="Arial" w:cs="Arial"/>
                <w:color w:val="000000"/>
                <w:sz w:val="18"/>
                <w:szCs w:val="21"/>
                <w:shd w:val="clear" w:color="auto" w:fill="FFFFFF"/>
              </w:rPr>
            </w:pPr>
            <w:r>
              <w:rPr>
                <w:rFonts w:ascii="Arial" w:hAnsi="Arial" w:cs="Arial"/>
                <w:color w:val="000000"/>
                <w:sz w:val="18"/>
                <w:szCs w:val="21"/>
                <w:shd w:val="clear" w:color="auto" w:fill="FFFFFF"/>
              </w:rPr>
              <w:t xml:space="preserve">The PBAC recommended that the PBS listings for doxorubicin (as pegylated liposomal) and raltitrexed be changed to </w:t>
            </w:r>
            <w:r w:rsidR="0032768B">
              <w:rPr>
                <w:rFonts w:ascii="Arial" w:hAnsi="Arial" w:cs="Arial"/>
                <w:color w:val="000000"/>
                <w:sz w:val="18"/>
                <w:szCs w:val="21"/>
                <w:shd w:val="clear" w:color="auto" w:fill="FFFFFF"/>
              </w:rPr>
              <w:t>Unrestricted Benefit</w:t>
            </w:r>
            <w:r w:rsidR="00AE3AE0">
              <w:rPr>
                <w:rFonts w:ascii="Arial" w:hAnsi="Arial" w:cs="Arial"/>
                <w:color w:val="000000"/>
                <w:sz w:val="18"/>
                <w:szCs w:val="21"/>
                <w:shd w:val="clear" w:color="auto" w:fill="FFFFFF"/>
              </w:rPr>
              <w:t xml:space="preserve"> listings.</w:t>
            </w:r>
            <w:r w:rsidR="0032768B">
              <w:rPr>
                <w:rFonts w:ascii="Arial" w:hAnsi="Arial" w:cs="Arial"/>
                <w:color w:val="000000"/>
                <w:sz w:val="18"/>
                <w:szCs w:val="21"/>
                <w:shd w:val="clear" w:color="auto" w:fill="FFFFFF"/>
              </w:rPr>
              <w:t xml:space="preserve"> For doxorubicin, the PBAC considered that a potential benefit of an unrestricted listing would be improved access for patients with rare sarcomas, endometrial cancer, and frail patients unable to tolerate standard treatment. For raltitrexed, the PBAC considered that an unrestricted listing would enable more effective ongoing combination chemotherapy if there is fluorouracil cardiotoxicity. The PBAC considered there would be acceptable cost-effectiveness in the broader populations and minimal financial impact. </w:t>
            </w:r>
          </w:p>
        </w:tc>
      </w:tr>
      <w:tr w:rsidR="000D3E04" w:rsidRPr="00D2401D" w14:paraId="770B527E" w14:textId="77777777" w:rsidTr="00872B3A">
        <w:trPr>
          <w:gridAfter w:val="2"/>
          <w:wAfter w:w="1296" w:type="pct"/>
          <w:cantSplit/>
          <w:trHeight w:val="58"/>
        </w:trPr>
        <w:tc>
          <w:tcPr>
            <w:tcW w:w="647" w:type="pct"/>
            <w:tcBorders>
              <w:top w:val="single" w:sz="4" w:space="0" w:color="auto"/>
              <w:left w:val="single" w:sz="4" w:space="0" w:color="auto"/>
              <w:bottom w:val="single" w:sz="4" w:space="0" w:color="auto"/>
              <w:right w:val="single" w:sz="4" w:space="0" w:color="auto"/>
            </w:tcBorders>
            <w:shd w:val="clear" w:color="auto" w:fill="auto"/>
          </w:tcPr>
          <w:p w14:paraId="01E461CD" w14:textId="77777777" w:rsidR="000D3E04" w:rsidRDefault="000D3E04" w:rsidP="00952ADE">
            <w:pPr>
              <w:rPr>
                <w:rFonts w:ascii="Arial" w:hAnsi="Arial" w:cs="Arial"/>
                <w:sz w:val="18"/>
                <w:szCs w:val="18"/>
              </w:rPr>
            </w:pPr>
            <w:r>
              <w:rPr>
                <w:rFonts w:ascii="Arial" w:hAnsi="Arial" w:cs="Arial"/>
                <w:sz w:val="18"/>
                <w:szCs w:val="18"/>
              </w:rPr>
              <w:lastRenderedPageBreak/>
              <w:t>OSTEOPOROSIS THERAPY RESTRICTIONS REVIEW</w:t>
            </w:r>
          </w:p>
          <w:p w14:paraId="63F13680" w14:textId="77777777" w:rsidR="000D3E04" w:rsidRDefault="000D3E04" w:rsidP="00952ADE">
            <w:pPr>
              <w:rPr>
                <w:rFonts w:ascii="Arial" w:hAnsi="Arial" w:cs="Arial"/>
                <w:sz w:val="18"/>
                <w:szCs w:val="18"/>
              </w:rPr>
            </w:pPr>
          </w:p>
          <w:p w14:paraId="19C19044" w14:textId="0E5FEF96" w:rsidR="000D3E04" w:rsidRDefault="000D3E04" w:rsidP="00952ADE">
            <w:pPr>
              <w:rPr>
                <w:rFonts w:ascii="Arial" w:hAnsi="Arial" w:cs="Arial"/>
                <w:sz w:val="18"/>
                <w:szCs w:val="18"/>
              </w:rPr>
            </w:pPr>
            <w:r>
              <w:rPr>
                <w:rFonts w:ascii="Arial" w:hAnsi="Arial" w:cs="Arial"/>
                <w:sz w:val="18"/>
                <w:szCs w:val="18"/>
              </w:rPr>
              <w:t>Multiple forms and strengths</w:t>
            </w:r>
          </w:p>
          <w:p w14:paraId="6C2430BD" w14:textId="77777777" w:rsidR="000D3E04" w:rsidRDefault="000D3E04" w:rsidP="00952ADE">
            <w:pPr>
              <w:rPr>
                <w:rFonts w:ascii="Arial" w:hAnsi="Arial" w:cs="Arial"/>
                <w:sz w:val="18"/>
                <w:szCs w:val="18"/>
              </w:rPr>
            </w:pPr>
          </w:p>
          <w:p w14:paraId="0C3AEDBA" w14:textId="77777777" w:rsidR="000D3E04" w:rsidRDefault="000D3E04" w:rsidP="00952ADE">
            <w:pPr>
              <w:rPr>
                <w:rFonts w:ascii="Arial" w:hAnsi="Arial" w:cs="Arial"/>
                <w:sz w:val="18"/>
                <w:szCs w:val="18"/>
              </w:rPr>
            </w:pPr>
            <w:r>
              <w:rPr>
                <w:rFonts w:ascii="Arial" w:hAnsi="Arial" w:cs="Arial"/>
                <w:sz w:val="18"/>
                <w:szCs w:val="18"/>
              </w:rPr>
              <w:t>Multiple brands and sponsors</w:t>
            </w:r>
          </w:p>
          <w:p w14:paraId="4AE167CB" w14:textId="61BF8AC1" w:rsidR="000D3E04" w:rsidRPr="00605D25" w:rsidRDefault="000D3E04" w:rsidP="00952ADE">
            <w:pPr>
              <w:rPr>
                <w:rFonts w:ascii="Arial" w:hAnsi="Arial" w:cs="Arial"/>
                <w:sz w:val="18"/>
                <w:szCs w:val="18"/>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4457A62C" w14:textId="53E05F94" w:rsidR="000D3E04" w:rsidRDefault="000D3E04" w:rsidP="006A1809">
            <w:pPr>
              <w:keepLines/>
              <w:widowControl w:val="0"/>
              <w:spacing w:after="120"/>
              <w:rPr>
                <w:rFonts w:ascii="Arial" w:hAnsi="Arial" w:cs="Arial"/>
                <w:snapToGrid w:val="0"/>
                <w:sz w:val="18"/>
                <w:szCs w:val="18"/>
                <w:lang w:eastAsia="en-US"/>
              </w:rPr>
            </w:pPr>
            <w:r>
              <w:rPr>
                <w:rFonts w:ascii="Arial" w:hAnsi="Arial" w:cs="Arial"/>
                <w:snapToGrid w:val="0"/>
                <w:sz w:val="18"/>
                <w:szCs w:val="18"/>
                <w:lang w:eastAsia="en-US"/>
              </w:rPr>
              <w:t>Osteoporosis</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718EAE23" w14:textId="6FA4B176" w:rsidR="000D3E04" w:rsidRPr="006A1809" w:rsidRDefault="000D3E04" w:rsidP="006A1809">
            <w:pPr>
              <w:keepLines/>
              <w:widowControl w:val="0"/>
              <w:spacing w:after="120"/>
              <w:rPr>
                <w:rFonts w:ascii="Arial" w:hAnsi="Arial" w:cs="Arial"/>
                <w:sz w:val="18"/>
                <w:szCs w:val="18"/>
              </w:rPr>
            </w:pPr>
            <w:r w:rsidRPr="000D3E04">
              <w:rPr>
                <w:rFonts w:ascii="Arial" w:hAnsi="Arial" w:cs="Arial"/>
                <w:sz w:val="18"/>
                <w:szCs w:val="18"/>
              </w:rPr>
              <w:t>The PBAC to consider the impact of potential broadening of restrictions for osteoporosis therapies.</w:t>
            </w:r>
          </w:p>
        </w:tc>
        <w:tc>
          <w:tcPr>
            <w:tcW w:w="2000" w:type="pct"/>
            <w:tcBorders>
              <w:top w:val="single" w:sz="4" w:space="0" w:color="auto"/>
              <w:left w:val="single" w:sz="4" w:space="0" w:color="auto"/>
              <w:bottom w:val="single" w:sz="4" w:space="0" w:color="auto"/>
              <w:right w:val="single" w:sz="4" w:space="0" w:color="auto"/>
            </w:tcBorders>
            <w:shd w:val="clear" w:color="auto" w:fill="auto"/>
          </w:tcPr>
          <w:p w14:paraId="09BB71D9" w14:textId="559CB324" w:rsidR="000D3E04" w:rsidRDefault="005446E0" w:rsidP="0032768B">
            <w:pPr>
              <w:keepLines/>
              <w:spacing w:after="120"/>
              <w:rPr>
                <w:rFonts w:ascii="Arial" w:hAnsi="Arial" w:cs="Arial"/>
                <w:color w:val="000000"/>
                <w:sz w:val="18"/>
                <w:szCs w:val="21"/>
                <w:shd w:val="clear" w:color="auto" w:fill="FFFFFF"/>
              </w:rPr>
            </w:pPr>
            <w:r w:rsidRPr="005446E0">
              <w:rPr>
                <w:rFonts w:ascii="Arial" w:hAnsi="Arial" w:cs="Arial"/>
                <w:color w:val="000000"/>
                <w:sz w:val="18"/>
                <w:szCs w:val="21"/>
                <w:shd w:val="clear" w:color="auto" w:fill="FFFFFF"/>
              </w:rPr>
              <w:t>The PBAC deferred the consideration of alendronate, risedronate, and zoledronic acid for the treatment of osteoporosis in patients diagnosed with breast cancer who are taking an aromatase inhibitor, and in patients aged under 70 who have not had a prior fracture due to minimal trauma. The PBAC was of a mind to recommend alendronate and zoledronic acid for both populations, but deferred consideration pending a review of the Medical Benefits Scheme (MBS) implications, to ensure that the bone densitometry MBS items could be aligned with the PBAC recommendations. The PBAC was also of a mind to recommend risedronate for both populations on a cost-minimisation basis to alendronate. The PBAC did not recommend denosumab for either population.</w:t>
            </w:r>
          </w:p>
        </w:tc>
      </w:tr>
      <w:tr w:rsidR="00872B3A" w:rsidRPr="00D2401D" w14:paraId="1E787895" w14:textId="77777777" w:rsidTr="00605D25">
        <w:trPr>
          <w:gridAfter w:val="2"/>
          <w:wAfter w:w="1296" w:type="pct"/>
          <w:cantSplit/>
          <w:trHeight w:val="3396"/>
        </w:trPr>
        <w:tc>
          <w:tcPr>
            <w:tcW w:w="647" w:type="pct"/>
            <w:tcBorders>
              <w:top w:val="single" w:sz="4" w:space="0" w:color="auto"/>
              <w:left w:val="single" w:sz="4" w:space="0" w:color="auto"/>
              <w:bottom w:val="single" w:sz="4" w:space="0" w:color="auto"/>
              <w:right w:val="single" w:sz="4" w:space="0" w:color="auto"/>
            </w:tcBorders>
            <w:shd w:val="clear" w:color="auto" w:fill="auto"/>
          </w:tcPr>
          <w:p w14:paraId="1C08CC56" w14:textId="77777777" w:rsidR="00872B3A" w:rsidRPr="00EE2AFA" w:rsidRDefault="00872B3A" w:rsidP="00872B3A">
            <w:pPr>
              <w:rPr>
                <w:rFonts w:ascii="Arial" w:hAnsi="Arial" w:cs="Arial"/>
                <w:sz w:val="18"/>
                <w:szCs w:val="18"/>
              </w:rPr>
            </w:pPr>
            <w:r w:rsidRPr="00EE2AFA">
              <w:rPr>
                <w:rFonts w:ascii="Arial" w:hAnsi="Arial" w:cs="Arial"/>
                <w:sz w:val="18"/>
                <w:szCs w:val="18"/>
              </w:rPr>
              <w:t>RITUXIMAB</w:t>
            </w:r>
          </w:p>
          <w:p w14:paraId="1893B678" w14:textId="77777777" w:rsidR="00872B3A" w:rsidRPr="00EE2AFA" w:rsidRDefault="00872B3A" w:rsidP="00872B3A">
            <w:pPr>
              <w:rPr>
                <w:rFonts w:ascii="Arial" w:hAnsi="Arial" w:cs="Arial"/>
                <w:sz w:val="18"/>
                <w:szCs w:val="18"/>
              </w:rPr>
            </w:pPr>
          </w:p>
          <w:p w14:paraId="508014B9" w14:textId="4350212D" w:rsidR="00EE2AFA" w:rsidRPr="00EE2AFA" w:rsidRDefault="00EE2AFA" w:rsidP="00872B3A">
            <w:pPr>
              <w:rPr>
                <w:rFonts w:ascii="Arial" w:hAnsi="Arial" w:cs="Arial"/>
                <w:sz w:val="18"/>
                <w:szCs w:val="18"/>
              </w:rPr>
            </w:pPr>
            <w:r w:rsidRPr="00EE2AFA">
              <w:rPr>
                <w:rFonts w:ascii="Arial" w:hAnsi="Arial" w:cs="Arial"/>
                <w:color w:val="333333"/>
                <w:sz w:val="18"/>
                <w:szCs w:val="18"/>
                <w:shd w:val="clear" w:color="auto" w:fill="FFFFFF"/>
              </w:rPr>
              <w:t>Solution for I.V. infusion 100 mg in 10 mL</w:t>
            </w:r>
          </w:p>
          <w:p w14:paraId="26765CAF" w14:textId="54CAD6A8" w:rsidR="00872B3A" w:rsidRPr="00EE2AFA" w:rsidRDefault="00EE2AFA" w:rsidP="00872B3A">
            <w:pPr>
              <w:rPr>
                <w:rFonts w:ascii="Arial" w:hAnsi="Arial" w:cs="Arial"/>
                <w:sz w:val="18"/>
                <w:szCs w:val="18"/>
              </w:rPr>
            </w:pPr>
            <w:r w:rsidRPr="00EE2AFA">
              <w:rPr>
                <w:rFonts w:ascii="Arial" w:hAnsi="Arial" w:cs="Arial"/>
                <w:color w:val="333333"/>
                <w:sz w:val="18"/>
                <w:szCs w:val="18"/>
                <w:shd w:val="clear" w:color="auto" w:fill="FFFFFF"/>
              </w:rPr>
              <w:t>Solution for I.V. infusion 500 mg in 50 mL</w:t>
            </w:r>
          </w:p>
          <w:p w14:paraId="49127873" w14:textId="77777777" w:rsidR="00EE2AFA" w:rsidRDefault="00EE2AFA" w:rsidP="00872B3A">
            <w:pPr>
              <w:rPr>
                <w:rFonts w:ascii="Arial" w:hAnsi="Arial" w:cs="Arial"/>
                <w:sz w:val="18"/>
                <w:szCs w:val="18"/>
              </w:rPr>
            </w:pPr>
          </w:p>
          <w:p w14:paraId="224BF053" w14:textId="5E9B342A" w:rsidR="006729B8" w:rsidRPr="006729B8" w:rsidRDefault="006729B8" w:rsidP="006729B8">
            <w:pPr>
              <w:rPr>
                <w:rFonts w:ascii="Arial" w:hAnsi="Arial" w:cs="Arial"/>
                <w:sz w:val="18"/>
                <w:szCs w:val="18"/>
              </w:rPr>
            </w:pPr>
            <w:r w:rsidRPr="006729B8">
              <w:rPr>
                <w:rFonts w:ascii="Arial" w:hAnsi="Arial" w:cs="Arial"/>
                <w:sz w:val="18"/>
                <w:szCs w:val="18"/>
              </w:rPr>
              <w:t>Riximyo</w:t>
            </w:r>
            <w:r>
              <w:rPr>
                <w:rFonts w:ascii="Arial" w:hAnsi="Arial" w:cs="Arial"/>
                <w:sz w:val="18"/>
                <w:szCs w:val="18"/>
              </w:rPr>
              <w:t>®</w:t>
            </w:r>
          </w:p>
          <w:p w14:paraId="3D3C6E2B" w14:textId="0E9AEE67" w:rsidR="006729B8" w:rsidRPr="006729B8" w:rsidRDefault="006729B8" w:rsidP="006729B8">
            <w:pPr>
              <w:rPr>
                <w:rFonts w:ascii="Arial" w:hAnsi="Arial" w:cs="Arial"/>
                <w:sz w:val="18"/>
                <w:szCs w:val="18"/>
              </w:rPr>
            </w:pPr>
            <w:r w:rsidRPr="006729B8">
              <w:rPr>
                <w:rFonts w:ascii="Arial" w:hAnsi="Arial" w:cs="Arial"/>
                <w:sz w:val="18"/>
                <w:szCs w:val="18"/>
              </w:rPr>
              <w:t>Truxima</w:t>
            </w:r>
            <w:r>
              <w:rPr>
                <w:rFonts w:ascii="Arial" w:hAnsi="Arial" w:cs="Arial"/>
                <w:sz w:val="18"/>
                <w:szCs w:val="18"/>
              </w:rPr>
              <w:t>®</w:t>
            </w:r>
          </w:p>
          <w:p w14:paraId="525B3BFD" w14:textId="5232F865" w:rsidR="006729B8" w:rsidRDefault="006729B8" w:rsidP="006729B8">
            <w:pPr>
              <w:rPr>
                <w:rFonts w:ascii="Arial" w:hAnsi="Arial" w:cs="Arial"/>
                <w:sz w:val="18"/>
                <w:szCs w:val="18"/>
              </w:rPr>
            </w:pPr>
          </w:p>
          <w:p w14:paraId="08700CBE" w14:textId="68B8ADB9" w:rsidR="006729B8" w:rsidRPr="006729B8" w:rsidRDefault="006729B8" w:rsidP="006729B8">
            <w:pPr>
              <w:rPr>
                <w:rFonts w:ascii="Arial" w:hAnsi="Arial" w:cs="Arial"/>
                <w:sz w:val="18"/>
                <w:szCs w:val="18"/>
              </w:rPr>
            </w:pPr>
            <w:r w:rsidRPr="006729B8">
              <w:rPr>
                <w:rFonts w:ascii="Arial" w:hAnsi="Arial" w:cs="Arial"/>
                <w:sz w:val="18"/>
                <w:szCs w:val="18"/>
              </w:rPr>
              <w:t xml:space="preserve">Sandoz Pty Ltd </w:t>
            </w:r>
          </w:p>
          <w:p w14:paraId="773CAD13" w14:textId="111946FC" w:rsidR="00EE2AFA" w:rsidRDefault="006729B8" w:rsidP="006729B8">
            <w:pPr>
              <w:rPr>
                <w:rFonts w:ascii="Arial" w:hAnsi="Arial" w:cs="Arial"/>
                <w:sz w:val="18"/>
                <w:szCs w:val="18"/>
              </w:rPr>
            </w:pPr>
            <w:r w:rsidRPr="006729B8">
              <w:rPr>
                <w:rFonts w:ascii="Arial" w:hAnsi="Arial" w:cs="Arial"/>
                <w:sz w:val="18"/>
                <w:szCs w:val="18"/>
              </w:rPr>
              <w:t>Cellitron Healthcare Australia Pty Ltd</w:t>
            </w:r>
          </w:p>
          <w:p w14:paraId="4693B112" w14:textId="77777777" w:rsidR="00EE2AFA" w:rsidRDefault="00EE2AFA" w:rsidP="00872B3A">
            <w:pPr>
              <w:rPr>
                <w:rFonts w:ascii="Arial" w:hAnsi="Arial" w:cs="Arial"/>
                <w:sz w:val="18"/>
                <w:szCs w:val="18"/>
              </w:rPr>
            </w:pPr>
          </w:p>
          <w:p w14:paraId="5BDB807D" w14:textId="2834DBC8" w:rsidR="00EE2AFA" w:rsidRDefault="00EE2AFA" w:rsidP="00872B3A">
            <w:pPr>
              <w:rPr>
                <w:rFonts w:ascii="Arial" w:hAnsi="Arial" w:cs="Arial"/>
                <w:sz w:val="18"/>
                <w:szCs w:val="18"/>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0EDD33D3" w14:textId="3FC4310A" w:rsidR="00872B3A" w:rsidRDefault="00032DC4" w:rsidP="006A1809">
            <w:pPr>
              <w:keepLines/>
              <w:widowControl w:val="0"/>
              <w:spacing w:after="120"/>
              <w:rPr>
                <w:rFonts w:ascii="Arial" w:hAnsi="Arial" w:cs="Arial"/>
                <w:snapToGrid w:val="0"/>
                <w:sz w:val="18"/>
                <w:szCs w:val="18"/>
                <w:lang w:eastAsia="en-US"/>
              </w:rPr>
            </w:pPr>
            <w:r>
              <w:rPr>
                <w:rFonts w:ascii="Arial" w:hAnsi="Arial" w:cs="Arial"/>
                <w:snapToGrid w:val="0"/>
                <w:sz w:val="18"/>
                <w:szCs w:val="18"/>
                <w:lang w:eastAsia="en-US"/>
              </w:rPr>
              <w:t>Multiple indications</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5719D528" w14:textId="019AF42B" w:rsidR="00872B3A" w:rsidRPr="006A1809" w:rsidRDefault="006A1809" w:rsidP="006A1809">
            <w:pPr>
              <w:keepLines/>
              <w:widowControl w:val="0"/>
              <w:spacing w:after="120"/>
              <w:rPr>
                <w:rFonts w:ascii="Arial" w:hAnsi="Arial" w:cs="Arial"/>
                <w:snapToGrid w:val="0"/>
                <w:sz w:val="18"/>
                <w:szCs w:val="18"/>
                <w:lang w:eastAsia="en-US"/>
              </w:rPr>
            </w:pPr>
            <w:r w:rsidRPr="006A1809">
              <w:rPr>
                <w:rFonts w:ascii="Arial" w:hAnsi="Arial" w:cs="Arial"/>
                <w:sz w:val="18"/>
                <w:szCs w:val="18"/>
              </w:rPr>
              <w:t xml:space="preserve">The PBAC to consider a number of rituximab issues at the same time. This includes the impact on the existing biosimilar brands (Riximyo and Truxima) and biosimilar uptake drivers due to the delisting of the reference brand of rituximab IV (MabThera®). Other issues include the potential extension of the rituximab PBS listings following numerous enquiries/requests in previous years.  </w:t>
            </w:r>
          </w:p>
        </w:tc>
        <w:tc>
          <w:tcPr>
            <w:tcW w:w="2000" w:type="pct"/>
            <w:tcBorders>
              <w:top w:val="single" w:sz="4" w:space="0" w:color="auto"/>
              <w:left w:val="single" w:sz="4" w:space="0" w:color="auto"/>
              <w:bottom w:val="single" w:sz="4" w:space="0" w:color="auto"/>
              <w:right w:val="single" w:sz="4" w:space="0" w:color="auto"/>
            </w:tcBorders>
            <w:shd w:val="clear" w:color="auto" w:fill="auto"/>
          </w:tcPr>
          <w:p w14:paraId="15133F84" w14:textId="5943C8A2" w:rsidR="00872B3A" w:rsidRPr="001C4557" w:rsidRDefault="00D02045" w:rsidP="00D02045">
            <w:pPr>
              <w:keepLines/>
              <w:spacing w:after="120"/>
              <w:rPr>
                <w:rFonts w:ascii="Arial" w:hAnsi="Arial" w:cs="Arial"/>
                <w:color w:val="000000"/>
                <w:sz w:val="18"/>
                <w:szCs w:val="21"/>
                <w:shd w:val="clear" w:color="auto" w:fill="FFFFFF"/>
              </w:rPr>
            </w:pPr>
            <w:r w:rsidRPr="00D02045">
              <w:rPr>
                <w:rFonts w:ascii="Arial" w:hAnsi="Arial" w:cs="Arial"/>
                <w:color w:val="000000"/>
                <w:sz w:val="18"/>
                <w:szCs w:val="21"/>
                <w:shd w:val="clear" w:color="auto" w:fill="FFFFFF"/>
              </w:rPr>
              <w:t>The PBAC recommended removal of the administrative notes related to the biosimilar uptake drivers for rituximab, in light of the removal of the reference brand of rituximab, Ma</w:t>
            </w:r>
            <w:r w:rsidR="00220F49">
              <w:rPr>
                <w:rFonts w:ascii="Arial" w:hAnsi="Arial" w:cs="Arial"/>
                <w:color w:val="000000"/>
                <w:sz w:val="18"/>
                <w:szCs w:val="21"/>
                <w:shd w:val="clear" w:color="auto" w:fill="FFFFFF"/>
              </w:rPr>
              <w:t>bT</w:t>
            </w:r>
            <w:r w:rsidRPr="00D02045">
              <w:rPr>
                <w:rFonts w:ascii="Arial" w:hAnsi="Arial" w:cs="Arial"/>
                <w:color w:val="000000"/>
                <w:sz w:val="18"/>
                <w:szCs w:val="21"/>
                <w:shd w:val="clear" w:color="auto" w:fill="FFFFFF"/>
              </w:rPr>
              <w:t xml:space="preserve">hera, from the PBS. </w:t>
            </w:r>
            <w:r w:rsidR="00FC3935">
              <w:rPr>
                <w:rFonts w:ascii="Arial" w:hAnsi="Arial" w:cs="Arial"/>
                <w:color w:val="000000"/>
                <w:sz w:val="18"/>
                <w:szCs w:val="21"/>
                <w:shd w:val="clear" w:color="auto" w:fill="FFFFFF"/>
              </w:rPr>
              <w:br/>
            </w:r>
            <w:r w:rsidR="00FC3935">
              <w:rPr>
                <w:rFonts w:ascii="Arial" w:hAnsi="Arial" w:cs="Arial"/>
                <w:color w:val="000000"/>
                <w:sz w:val="18"/>
                <w:szCs w:val="21"/>
                <w:shd w:val="clear" w:color="auto" w:fill="FFFFFF"/>
              </w:rPr>
              <w:br/>
            </w:r>
            <w:r w:rsidRPr="00D02045">
              <w:rPr>
                <w:rFonts w:ascii="Arial" w:hAnsi="Arial" w:cs="Arial"/>
                <w:color w:val="000000"/>
                <w:sz w:val="18"/>
                <w:szCs w:val="21"/>
                <w:shd w:val="clear" w:color="auto" w:fill="FFFFFF"/>
              </w:rPr>
              <w:t>The PBAC recommended that the PBS listings for all listed brands of rituximab be changed to Unrestricted Benefit listings</w:t>
            </w:r>
            <w:r w:rsidR="00AE3AE0">
              <w:rPr>
                <w:rFonts w:ascii="Arial" w:hAnsi="Arial" w:cs="Arial"/>
                <w:color w:val="000000"/>
                <w:sz w:val="18"/>
                <w:szCs w:val="21"/>
                <w:shd w:val="clear" w:color="auto" w:fill="FFFFFF"/>
              </w:rPr>
              <w:t xml:space="preserve">. </w:t>
            </w:r>
            <w:r w:rsidRPr="00D02045">
              <w:rPr>
                <w:rFonts w:ascii="Arial" w:hAnsi="Arial" w:cs="Arial"/>
                <w:color w:val="000000"/>
                <w:sz w:val="18"/>
                <w:szCs w:val="21"/>
                <w:shd w:val="clear" w:color="auto" w:fill="FFFFFF"/>
              </w:rPr>
              <w:t xml:space="preserve">The PBAC considered that changing the rituximab listings to unrestricted would provide subsidised access to treatment for patients with conditions where there are no alternative PBS listed medicines. The PBAC considered the expanded use would be cost effective given the price reductions to rituximab to date and scheduled from 1 October 2021. The PBAC noted the increased projected utilisation and requested that utilisation be reviewed after 18 months of the unrestricted listing.   </w:t>
            </w:r>
          </w:p>
        </w:tc>
      </w:tr>
      <w:tr w:rsidR="00872B3A" w:rsidRPr="00D2401D" w14:paraId="2555B7BA" w14:textId="7AC7E342" w:rsidTr="00872B3A">
        <w:trPr>
          <w:cantSplit/>
          <w:trHeight w:val="58"/>
        </w:trPr>
        <w:tc>
          <w:tcPr>
            <w:tcW w:w="647" w:type="pct"/>
            <w:tcBorders>
              <w:top w:val="single" w:sz="4" w:space="0" w:color="auto"/>
              <w:left w:val="single" w:sz="4" w:space="0" w:color="auto"/>
              <w:bottom w:val="single" w:sz="4" w:space="0" w:color="auto"/>
              <w:right w:val="single" w:sz="4" w:space="0" w:color="auto"/>
            </w:tcBorders>
            <w:shd w:val="clear" w:color="auto" w:fill="auto"/>
          </w:tcPr>
          <w:p w14:paraId="366F69E3" w14:textId="77777777" w:rsidR="00872B3A" w:rsidRPr="00EE2AFA" w:rsidRDefault="00872B3A" w:rsidP="00872B3A">
            <w:pPr>
              <w:rPr>
                <w:rFonts w:ascii="Arial" w:hAnsi="Arial" w:cs="Arial"/>
                <w:sz w:val="18"/>
                <w:szCs w:val="18"/>
              </w:rPr>
            </w:pPr>
            <w:r w:rsidRPr="00EE2AFA">
              <w:rPr>
                <w:rFonts w:ascii="Arial" w:hAnsi="Arial" w:cs="Arial"/>
                <w:sz w:val="18"/>
                <w:szCs w:val="18"/>
              </w:rPr>
              <w:lastRenderedPageBreak/>
              <w:t>ROMOSOZUMAB</w:t>
            </w:r>
          </w:p>
          <w:p w14:paraId="6B3DF930" w14:textId="77777777" w:rsidR="00872B3A" w:rsidRPr="00EE2AFA" w:rsidRDefault="00872B3A" w:rsidP="00872B3A">
            <w:pPr>
              <w:rPr>
                <w:rFonts w:ascii="Arial" w:hAnsi="Arial" w:cs="Arial"/>
                <w:sz w:val="18"/>
                <w:szCs w:val="18"/>
              </w:rPr>
            </w:pPr>
          </w:p>
          <w:p w14:paraId="3B6CA42E" w14:textId="72214F39" w:rsidR="00EE2AFA" w:rsidRPr="00EE2AFA" w:rsidRDefault="00EE2AFA" w:rsidP="00872B3A">
            <w:pPr>
              <w:rPr>
                <w:rFonts w:ascii="Arial" w:hAnsi="Arial" w:cs="Arial"/>
                <w:sz w:val="18"/>
                <w:szCs w:val="18"/>
              </w:rPr>
            </w:pPr>
            <w:r w:rsidRPr="00EE2AFA">
              <w:rPr>
                <w:rFonts w:ascii="Arial" w:hAnsi="Arial" w:cs="Arial"/>
                <w:color w:val="333333"/>
                <w:sz w:val="18"/>
                <w:szCs w:val="18"/>
                <w:shd w:val="clear" w:color="auto" w:fill="FFFFFF"/>
              </w:rPr>
              <w:t>Injection 105 mg in 1.17 mL single use pre-filled syringe</w:t>
            </w:r>
          </w:p>
          <w:p w14:paraId="2805E3F4" w14:textId="77777777" w:rsidR="00872B3A" w:rsidRPr="00EE2AFA" w:rsidRDefault="00872B3A" w:rsidP="00872B3A">
            <w:pPr>
              <w:rPr>
                <w:rFonts w:ascii="Arial" w:hAnsi="Arial" w:cs="Arial"/>
                <w:sz w:val="18"/>
                <w:szCs w:val="18"/>
              </w:rPr>
            </w:pPr>
          </w:p>
          <w:p w14:paraId="0506D0A0" w14:textId="77777777" w:rsidR="00872B3A" w:rsidRPr="00EE2AFA" w:rsidRDefault="00872B3A" w:rsidP="00872B3A">
            <w:pPr>
              <w:rPr>
                <w:rFonts w:ascii="Arial" w:hAnsi="Arial" w:cs="Arial"/>
                <w:sz w:val="18"/>
                <w:szCs w:val="18"/>
              </w:rPr>
            </w:pPr>
            <w:r w:rsidRPr="00EE2AFA">
              <w:rPr>
                <w:rFonts w:ascii="Arial" w:hAnsi="Arial" w:cs="Arial"/>
                <w:sz w:val="18"/>
                <w:szCs w:val="18"/>
              </w:rPr>
              <w:t>Evenity®</w:t>
            </w:r>
          </w:p>
          <w:p w14:paraId="717E3A73" w14:textId="77777777" w:rsidR="00872B3A" w:rsidRPr="00EE2AFA" w:rsidRDefault="00872B3A" w:rsidP="00872B3A">
            <w:pPr>
              <w:rPr>
                <w:rFonts w:ascii="Arial" w:hAnsi="Arial" w:cs="Arial"/>
                <w:sz w:val="18"/>
                <w:szCs w:val="18"/>
              </w:rPr>
            </w:pPr>
          </w:p>
          <w:p w14:paraId="1295540D" w14:textId="77777777" w:rsidR="00872B3A" w:rsidRPr="00EE2AFA" w:rsidRDefault="00872B3A" w:rsidP="00872B3A">
            <w:pPr>
              <w:rPr>
                <w:rFonts w:ascii="Arial" w:hAnsi="Arial" w:cs="Arial"/>
                <w:sz w:val="18"/>
                <w:szCs w:val="18"/>
              </w:rPr>
            </w:pPr>
            <w:r w:rsidRPr="00EE2AFA">
              <w:rPr>
                <w:rFonts w:ascii="Arial" w:hAnsi="Arial" w:cs="Arial"/>
                <w:sz w:val="18"/>
                <w:szCs w:val="18"/>
              </w:rPr>
              <w:t>Amgen Australia Pty Ltd</w:t>
            </w:r>
          </w:p>
          <w:p w14:paraId="05C63D62" w14:textId="77777777" w:rsidR="00872B3A" w:rsidRPr="00EE2AFA" w:rsidRDefault="00872B3A" w:rsidP="00872B3A">
            <w:pPr>
              <w:rPr>
                <w:rFonts w:ascii="Arial" w:hAnsi="Arial" w:cs="Arial"/>
                <w:sz w:val="18"/>
                <w:szCs w:val="18"/>
              </w:rPr>
            </w:pPr>
          </w:p>
          <w:p w14:paraId="772DC013" w14:textId="7541F738" w:rsidR="00872B3A" w:rsidRPr="00EE2AFA" w:rsidRDefault="00872B3A" w:rsidP="00872B3A">
            <w:pPr>
              <w:rPr>
                <w:rFonts w:ascii="Arial" w:hAnsi="Arial" w:cs="Arial"/>
                <w:sz w:val="18"/>
                <w:szCs w:val="18"/>
              </w:rPr>
            </w:pPr>
          </w:p>
          <w:p w14:paraId="2A47223B" w14:textId="77777777" w:rsidR="006A1809" w:rsidRPr="00EE2AFA" w:rsidRDefault="006A1809" w:rsidP="006A1809">
            <w:pPr>
              <w:rPr>
                <w:rFonts w:ascii="Arial" w:hAnsi="Arial" w:cs="Arial"/>
                <w:sz w:val="18"/>
                <w:szCs w:val="18"/>
              </w:rPr>
            </w:pPr>
            <w:r w:rsidRPr="00EE2AFA">
              <w:rPr>
                <w:rFonts w:ascii="Arial" w:hAnsi="Arial" w:cs="Arial"/>
                <w:sz w:val="18"/>
                <w:szCs w:val="18"/>
              </w:rPr>
              <w:t>TERIPARATIDE</w:t>
            </w:r>
          </w:p>
          <w:p w14:paraId="05F8FD7D" w14:textId="77777777" w:rsidR="006A1809" w:rsidRPr="00EE2AFA" w:rsidRDefault="006A1809" w:rsidP="006A1809">
            <w:pPr>
              <w:rPr>
                <w:rFonts w:ascii="Arial" w:hAnsi="Arial" w:cs="Arial"/>
                <w:sz w:val="18"/>
                <w:szCs w:val="18"/>
              </w:rPr>
            </w:pPr>
          </w:p>
          <w:p w14:paraId="59AB7250" w14:textId="7B6D8CE4" w:rsidR="00EE2AFA" w:rsidRPr="00EE2AFA" w:rsidRDefault="00EE2AFA" w:rsidP="006A1809">
            <w:pPr>
              <w:rPr>
                <w:rFonts w:ascii="Arial" w:hAnsi="Arial" w:cs="Arial"/>
                <w:sz w:val="18"/>
                <w:szCs w:val="18"/>
              </w:rPr>
            </w:pPr>
            <w:r w:rsidRPr="00EE2AFA">
              <w:rPr>
                <w:rFonts w:ascii="Arial" w:hAnsi="Arial" w:cs="Arial"/>
                <w:color w:val="333333"/>
                <w:sz w:val="18"/>
                <w:szCs w:val="18"/>
                <w:shd w:val="clear" w:color="auto" w:fill="FFFFFF"/>
              </w:rPr>
              <w:t>Injection 250 micrograms per mL, 2.4 mL in multi-dose pre-filled pen</w:t>
            </w:r>
          </w:p>
          <w:p w14:paraId="2FCA8C7F" w14:textId="77777777" w:rsidR="00EE2AFA" w:rsidRPr="00EE2AFA" w:rsidRDefault="00EE2AFA" w:rsidP="006A1809">
            <w:pPr>
              <w:rPr>
                <w:rFonts w:ascii="Arial" w:hAnsi="Arial" w:cs="Arial"/>
                <w:sz w:val="18"/>
                <w:szCs w:val="18"/>
              </w:rPr>
            </w:pPr>
          </w:p>
          <w:p w14:paraId="38B17EA9" w14:textId="77777777" w:rsidR="006A1809" w:rsidRPr="00EE2AFA" w:rsidRDefault="006A1809" w:rsidP="006A1809">
            <w:pPr>
              <w:rPr>
                <w:rFonts w:ascii="Arial" w:hAnsi="Arial" w:cs="Arial"/>
                <w:sz w:val="18"/>
                <w:szCs w:val="18"/>
              </w:rPr>
            </w:pPr>
            <w:r w:rsidRPr="00EE2AFA">
              <w:rPr>
                <w:rFonts w:ascii="Arial" w:hAnsi="Arial" w:cs="Arial"/>
                <w:sz w:val="18"/>
                <w:szCs w:val="18"/>
              </w:rPr>
              <w:t>Forteo®</w:t>
            </w:r>
          </w:p>
          <w:p w14:paraId="0C54E0F4" w14:textId="77777777" w:rsidR="006A1809" w:rsidRPr="00EE2AFA" w:rsidRDefault="006A1809" w:rsidP="006A1809">
            <w:pPr>
              <w:rPr>
                <w:rFonts w:ascii="Arial" w:hAnsi="Arial" w:cs="Arial"/>
                <w:sz w:val="18"/>
                <w:szCs w:val="18"/>
              </w:rPr>
            </w:pPr>
          </w:p>
          <w:p w14:paraId="2F46B607" w14:textId="77777777" w:rsidR="006A1809" w:rsidRPr="00EE2AFA" w:rsidRDefault="006A1809" w:rsidP="006A1809">
            <w:pPr>
              <w:rPr>
                <w:rFonts w:ascii="Arial" w:hAnsi="Arial" w:cs="Arial"/>
                <w:sz w:val="18"/>
                <w:szCs w:val="18"/>
              </w:rPr>
            </w:pPr>
            <w:r w:rsidRPr="00EE2AFA">
              <w:rPr>
                <w:rFonts w:ascii="Arial" w:hAnsi="Arial" w:cs="Arial"/>
                <w:sz w:val="18"/>
                <w:szCs w:val="18"/>
              </w:rPr>
              <w:t>Eli Lilly Australia Pty Ltd</w:t>
            </w:r>
          </w:p>
          <w:p w14:paraId="29955157" w14:textId="7128723A" w:rsidR="00872B3A" w:rsidRPr="00EE2AFA" w:rsidRDefault="00872B3A" w:rsidP="00872B3A">
            <w:pPr>
              <w:rPr>
                <w:rFonts w:ascii="Arial" w:hAnsi="Arial" w:cs="Arial"/>
                <w:sz w:val="18"/>
                <w:szCs w:val="18"/>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605E4847" w14:textId="6D0A39ED" w:rsidR="00872B3A" w:rsidRDefault="00872B3A" w:rsidP="006A1809">
            <w:pPr>
              <w:keepLines/>
              <w:widowControl w:val="0"/>
              <w:spacing w:after="120"/>
              <w:jc w:val="both"/>
              <w:rPr>
                <w:rFonts w:ascii="Arial" w:hAnsi="Arial" w:cs="Arial"/>
                <w:snapToGrid w:val="0"/>
                <w:sz w:val="18"/>
                <w:szCs w:val="18"/>
                <w:lang w:eastAsia="en-US"/>
              </w:rPr>
            </w:pPr>
            <w:r>
              <w:rPr>
                <w:rFonts w:ascii="Arial" w:hAnsi="Arial" w:cs="Arial"/>
                <w:snapToGrid w:val="0"/>
                <w:sz w:val="18"/>
                <w:szCs w:val="18"/>
                <w:lang w:eastAsia="en-US"/>
              </w:rPr>
              <w:t>Osteoporosis</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0CCBE969" w14:textId="566E33DD" w:rsidR="006A1809" w:rsidRDefault="006A1809" w:rsidP="006A1809">
            <w:pPr>
              <w:keepLines/>
              <w:widowControl w:val="0"/>
              <w:spacing w:after="120"/>
              <w:rPr>
                <w:rFonts w:ascii="Arial" w:hAnsi="Arial" w:cs="Arial"/>
                <w:sz w:val="18"/>
                <w:szCs w:val="18"/>
              </w:rPr>
            </w:pPr>
            <w:r>
              <w:rPr>
                <w:rFonts w:ascii="Arial" w:hAnsi="Arial" w:cs="Arial"/>
                <w:sz w:val="18"/>
                <w:szCs w:val="18"/>
              </w:rPr>
              <w:t xml:space="preserve">The PBAC to </w:t>
            </w:r>
            <w:r w:rsidR="00605D25">
              <w:rPr>
                <w:rFonts w:ascii="Arial" w:hAnsi="Arial" w:cs="Arial"/>
                <w:sz w:val="18"/>
                <w:szCs w:val="18"/>
              </w:rPr>
              <w:t>consider correspondence</w:t>
            </w:r>
            <w:r>
              <w:rPr>
                <w:rFonts w:ascii="Arial" w:hAnsi="Arial" w:cs="Arial"/>
                <w:sz w:val="18"/>
                <w:szCs w:val="18"/>
              </w:rPr>
              <w:t xml:space="preserve"> from </w:t>
            </w:r>
            <w:r w:rsidRPr="006A1809">
              <w:rPr>
                <w:rFonts w:ascii="Arial" w:hAnsi="Arial" w:cs="Arial"/>
                <w:sz w:val="18"/>
                <w:szCs w:val="18"/>
              </w:rPr>
              <w:t>Healthy Bones Australia</w:t>
            </w:r>
            <w:r>
              <w:rPr>
                <w:rFonts w:ascii="Arial" w:hAnsi="Arial" w:cs="Arial"/>
                <w:sz w:val="18"/>
                <w:szCs w:val="18"/>
              </w:rPr>
              <w:t xml:space="preserve"> </w:t>
            </w:r>
            <w:r w:rsidR="00605D25">
              <w:rPr>
                <w:rFonts w:ascii="Arial" w:hAnsi="Arial" w:cs="Arial"/>
                <w:sz w:val="18"/>
                <w:szCs w:val="18"/>
              </w:rPr>
              <w:t xml:space="preserve">requesting that </w:t>
            </w:r>
            <w:r>
              <w:rPr>
                <w:rFonts w:ascii="Arial" w:hAnsi="Arial" w:cs="Arial"/>
                <w:sz w:val="18"/>
                <w:szCs w:val="18"/>
              </w:rPr>
              <w:t xml:space="preserve">the romosozumab listing be corrected so that previous non-PBS patients can now be eligible to receive subsidy for these medicines. </w:t>
            </w:r>
          </w:p>
          <w:p w14:paraId="1E1CE663" w14:textId="77777777" w:rsidR="006A1809" w:rsidRDefault="006A1809" w:rsidP="006A1809">
            <w:pPr>
              <w:keepLines/>
              <w:widowControl w:val="0"/>
              <w:spacing w:after="120"/>
              <w:rPr>
                <w:rFonts w:ascii="Arial" w:hAnsi="Arial" w:cs="Arial"/>
                <w:sz w:val="18"/>
                <w:szCs w:val="18"/>
              </w:rPr>
            </w:pPr>
          </w:p>
          <w:p w14:paraId="1C07A52F" w14:textId="39754DE9" w:rsidR="00872B3A" w:rsidRPr="006A1809" w:rsidRDefault="00872B3A" w:rsidP="006A1809">
            <w:pPr>
              <w:keepLines/>
              <w:widowControl w:val="0"/>
              <w:spacing w:after="120"/>
              <w:rPr>
                <w:rFonts w:ascii="Arial" w:hAnsi="Arial" w:cs="Arial"/>
                <w:snapToGrid w:val="0"/>
                <w:sz w:val="18"/>
                <w:szCs w:val="18"/>
                <w:lang w:eastAsia="en-US"/>
              </w:rPr>
            </w:pPr>
          </w:p>
        </w:tc>
        <w:tc>
          <w:tcPr>
            <w:tcW w:w="2000" w:type="pct"/>
            <w:tcBorders>
              <w:top w:val="single" w:sz="4" w:space="0" w:color="auto"/>
              <w:left w:val="single" w:sz="4" w:space="0" w:color="auto"/>
              <w:bottom w:val="single" w:sz="4" w:space="0" w:color="auto"/>
              <w:right w:val="single" w:sz="4" w:space="0" w:color="auto"/>
            </w:tcBorders>
            <w:shd w:val="clear" w:color="auto" w:fill="auto"/>
          </w:tcPr>
          <w:p w14:paraId="6C58CA4C" w14:textId="7FA1ED8E" w:rsidR="00872B3A" w:rsidRPr="001C4557" w:rsidRDefault="00D02045" w:rsidP="00872B3A">
            <w:pPr>
              <w:keepLines/>
              <w:spacing w:after="120"/>
              <w:rPr>
                <w:rFonts w:ascii="Arial" w:hAnsi="Arial" w:cs="Arial"/>
                <w:color w:val="000000"/>
                <w:sz w:val="18"/>
                <w:szCs w:val="21"/>
                <w:shd w:val="clear" w:color="auto" w:fill="FFFFFF"/>
              </w:rPr>
            </w:pPr>
            <w:r w:rsidRPr="00D02045">
              <w:rPr>
                <w:rFonts w:ascii="Arial" w:hAnsi="Arial" w:cs="Arial"/>
                <w:color w:val="000000"/>
                <w:sz w:val="18"/>
                <w:szCs w:val="21"/>
                <w:shd w:val="clear" w:color="auto" w:fill="FFFFFF"/>
              </w:rPr>
              <w:t>The PBAC recommended the addition of the words ‘PBS-subsidised treatment’ to the romosozumab and teriparatide restrictions to ensure that patients who previously self-funded their romosozumab or teriparatide treatment are not excluded</w:t>
            </w:r>
            <w:r w:rsidR="00197D0D">
              <w:rPr>
                <w:rFonts w:ascii="Arial" w:hAnsi="Arial" w:cs="Arial"/>
                <w:color w:val="000000"/>
                <w:sz w:val="18"/>
                <w:szCs w:val="21"/>
                <w:shd w:val="clear" w:color="auto" w:fill="FFFFFF"/>
              </w:rPr>
              <w:t xml:space="preserve">. </w:t>
            </w:r>
            <w:r w:rsidRPr="00D02045">
              <w:rPr>
                <w:rFonts w:ascii="Arial" w:hAnsi="Arial" w:cs="Arial"/>
                <w:color w:val="000000"/>
                <w:sz w:val="18"/>
                <w:szCs w:val="21"/>
                <w:shd w:val="clear" w:color="auto" w:fill="FFFFFF"/>
              </w:rPr>
              <w:t xml:space="preserve">This reflects the intent of </w:t>
            </w:r>
            <w:r w:rsidR="00197D0D">
              <w:rPr>
                <w:rFonts w:ascii="Arial" w:hAnsi="Arial" w:cs="Arial"/>
                <w:color w:val="000000"/>
                <w:sz w:val="18"/>
                <w:szCs w:val="21"/>
                <w:shd w:val="clear" w:color="auto" w:fill="FFFFFF"/>
              </w:rPr>
              <w:t>the Committee’s</w:t>
            </w:r>
            <w:r w:rsidRPr="00D02045">
              <w:rPr>
                <w:rFonts w:ascii="Arial" w:hAnsi="Arial" w:cs="Arial"/>
                <w:color w:val="000000"/>
                <w:sz w:val="18"/>
                <w:szCs w:val="21"/>
                <w:shd w:val="clear" w:color="auto" w:fill="FFFFFF"/>
              </w:rPr>
              <w:t xml:space="preserve"> recommendation </w:t>
            </w:r>
            <w:r w:rsidR="00197D0D">
              <w:rPr>
                <w:rFonts w:ascii="Arial" w:hAnsi="Arial" w:cs="Arial"/>
                <w:color w:val="000000"/>
                <w:sz w:val="18"/>
                <w:szCs w:val="21"/>
                <w:shd w:val="clear" w:color="auto" w:fill="FFFFFF"/>
              </w:rPr>
              <w:t>for</w:t>
            </w:r>
            <w:r w:rsidRPr="00D02045">
              <w:rPr>
                <w:rFonts w:ascii="Arial" w:hAnsi="Arial" w:cs="Arial"/>
                <w:color w:val="000000"/>
                <w:sz w:val="18"/>
                <w:szCs w:val="21"/>
                <w:shd w:val="clear" w:color="auto" w:fill="FFFFFF"/>
              </w:rPr>
              <w:t xml:space="preserve"> romosozumab at the March 2020 PBAC meeting.</w:t>
            </w:r>
          </w:p>
        </w:tc>
        <w:tc>
          <w:tcPr>
            <w:tcW w:w="648" w:type="pct"/>
          </w:tcPr>
          <w:p w14:paraId="61664214" w14:textId="50AAF9F1" w:rsidR="00872B3A" w:rsidRPr="00D2401D" w:rsidRDefault="00872B3A" w:rsidP="00872B3A">
            <w:pPr>
              <w:rPr>
                <w:rFonts w:ascii="Arial" w:hAnsi="Arial" w:cs="Arial"/>
                <w:sz w:val="18"/>
                <w:szCs w:val="18"/>
              </w:rPr>
            </w:pPr>
          </w:p>
        </w:tc>
        <w:tc>
          <w:tcPr>
            <w:tcW w:w="648" w:type="pct"/>
          </w:tcPr>
          <w:p w14:paraId="2B01D0B5" w14:textId="08765C6B" w:rsidR="00872B3A" w:rsidRPr="00D2401D" w:rsidRDefault="00872B3A" w:rsidP="00872B3A">
            <w:pPr>
              <w:rPr>
                <w:rFonts w:ascii="Arial" w:hAnsi="Arial" w:cs="Arial"/>
                <w:sz w:val="18"/>
                <w:szCs w:val="18"/>
              </w:rPr>
            </w:pPr>
          </w:p>
        </w:tc>
      </w:tr>
      <w:tr w:rsidR="00872B3A" w:rsidRPr="00D2401D" w14:paraId="4559079B" w14:textId="77777777" w:rsidTr="00872B3A">
        <w:trPr>
          <w:gridAfter w:val="2"/>
          <w:wAfter w:w="1296" w:type="pct"/>
          <w:cantSplit/>
          <w:trHeight w:val="58"/>
        </w:trPr>
        <w:tc>
          <w:tcPr>
            <w:tcW w:w="647" w:type="pct"/>
            <w:tcBorders>
              <w:top w:val="single" w:sz="4" w:space="0" w:color="auto"/>
              <w:left w:val="single" w:sz="4" w:space="0" w:color="auto"/>
              <w:bottom w:val="single" w:sz="4" w:space="0" w:color="auto"/>
              <w:right w:val="single" w:sz="4" w:space="0" w:color="auto"/>
            </w:tcBorders>
            <w:shd w:val="clear" w:color="auto" w:fill="auto"/>
          </w:tcPr>
          <w:p w14:paraId="5ACEA5CC" w14:textId="77777777" w:rsidR="00872B3A" w:rsidRDefault="00872B3A" w:rsidP="00872B3A">
            <w:pPr>
              <w:rPr>
                <w:rFonts w:ascii="Arial" w:hAnsi="Arial" w:cs="Arial"/>
                <w:sz w:val="18"/>
                <w:szCs w:val="18"/>
              </w:rPr>
            </w:pPr>
            <w:r>
              <w:rPr>
                <w:rFonts w:ascii="Arial" w:hAnsi="Arial" w:cs="Arial"/>
                <w:sz w:val="18"/>
                <w:szCs w:val="18"/>
              </w:rPr>
              <w:t>SOMATROPIN</w:t>
            </w:r>
          </w:p>
          <w:p w14:paraId="44BB6245" w14:textId="77777777" w:rsidR="00872B3A" w:rsidRDefault="00872B3A" w:rsidP="00872B3A">
            <w:pPr>
              <w:rPr>
                <w:rFonts w:ascii="Arial" w:hAnsi="Arial" w:cs="Arial"/>
                <w:sz w:val="18"/>
                <w:szCs w:val="18"/>
              </w:rPr>
            </w:pPr>
          </w:p>
          <w:p w14:paraId="63B5BEC4" w14:textId="77777777" w:rsidR="00872B3A" w:rsidRDefault="00872B3A" w:rsidP="00872B3A">
            <w:pPr>
              <w:rPr>
                <w:rFonts w:ascii="Arial" w:hAnsi="Arial" w:cs="Arial"/>
                <w:sz w:val="18"/>
                <w:szCs w:val="18"/>
              </w:rPr>
            </w:pPr>
            <w:r>
              <w:rPr>
                <w:rFonts w:ascii="Arial" w:hAnsi="Arial" w:cs="Arial"/>
                <w:sz w:val="18"/>
                <w:szCs w:val="18"/>
              </w:rPr>
              <w:t>Multiple forms and strengths</w:t>
            </w:r>
          </w:p>
          <w:p w14:paraId="4E644CE7" w14:textId="77777777" w:rsidR="00872B3A" w:rsidRDefault="00872B3A" w:rsidP="00872B3A">
            <w:pPr>
              <w:rPr>
                <w:rFonts w:ascii="Arial" w:hAnsi="Arial" w:cs="Arial"/>
                <w:sz w:val="18"/>
                <w:szCs w:val="18"/>
              </w:rPr>
            </w:pPr>
          </w:p>
          <w:p w14:paraId="78E722BD" w14:textId="158AD2AA" w:rsidR="00872B3A" w:rsidRDefault="00872B3A" w:rsidP="00872B3A">
            <w:pPr>
              <w:rPr>
                <w:rFonts w:ascii="Arial" w:hAnsi="Arial" w:cs="Arial"/>
                <w:sz w:val="18"/>
                <w:szCs w:val="18"/>
              </w:rPr>
            </w:pPr>
            <w:r>
              <w:rPr>
                <w:rFonts w:ascii="Arial" w:hAnsi="Arial" w:cs="Arial"/>
                <w:sz w:val="18"/>
                <w:szCs w:val="18"/>
              </w:rPr>
              <w:t>Multiple brands</w:t>
            </w:r>
            <w:r w:rsidR="006729B8">
              <w:rPr>
                <w:rFonts w:ascii="Arial" w:hAnsi="Arial" w:cs="Arial"/>
                <w:sz w:val="18"/>
                <w:szCs w:val="18"/>
              </w:rPr>
              <w:t xml:space="preserve"> and sponsors</w:t>
            </w:r>
          </w:p>
          <w:p w14:paraId="562CB148" w14:textId="77777777" w:rsidR="00872B3A" w:rsidRDefault="00872B3A" w:rsidP="00872B3A">
            <w:pPr>
              <w:rPr>
                <w:rFonts w:ascii="Arial" w:hAnsi="Arial" w:cs="Arial"/>
                <w:sz w:val="18"/>
                <w:szCs w:val="18"/>
              </w:rPr>
            </w:pPr>
          </w:p>
          <w:p w14:paraId="22663665" w14:textId="77777777" w:rsidR="00872B3A" w:rsidRDefault="00872B3A" w:rsidP="00872B3A">
            <w:pPr>
              <w:rPr>
                <w:rFonts w:ascii="Arial" w:hAnsi="Arial" w:cs="Arial"/>
                <w:sz w:val="18"/>
                <w:szCs w:val="18"/>
              </w:rPr>
            </w:pPr>
          </w:p>
          <w:p w14:paraId="09F08B87" w14:textId="46418001" w:rsidR="006A1809" w:rsidRDefault="006A1809" w:rsidP="00872B3A">
            <w:pPr>
              <w:rPr>
                <w:rFonts w:ascii="Arial" w:hAnsi="Arial" w:cs="Arial"/>
                <w:sz w:val="18"/>
                <w:szCs w:val="18"/>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6C257F6D" w14:textId="373784AC" w:rsidR="00872B3A" w:rsidRDefault="00872B3A" w:rsidP="006A1809">
            <w:pPr>
              <w:keepLines/>
              <w:widowControl w:val="0"/>
              <w:spacing w:after="120"/>
              <w:rPr>
                <w:rFonts w:ascii="Arial" w:hAnsi="Arial" w:cs="Arial"/>
                <w:snapToGrid w:val="0"/>
                <w:sz w:val="18"/>
                <w:szCs w:val="18"/>
                <w:lang w:eastAsia="en-US"/>
              </w:rPr>
            </w:pPr>
            <w:r>
              <w:rPr>
                <w:rFonts w:ascii="Arial" w:hAnsi="Arial" w:cs="Arial"/>
                <w:snapToGrid w:val="0"/>
                <w:sz w:val="18"/>
                <w:szCs w:val="18"/>
                <w:lang w:eastAsia="en-US"/>
              </w:rPr>
              <w:t>Severe Growth Hormone Deficiency</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2948FFB3" w14:textId="5D43F6B3" w:rsidR="00872B3A" w:rsidRDefault="006D20CB" w:rsidP="006A1809">
            <w:pPr>
              <w:keepLines/>
              <w:widowControl w:val="0"/>
              <w:spacing w:after="120"/>
              <w:rPr>
                <w:rFonts w:ascii="Arial" w:hAnsi="Arial" w:cs="Arial"/>
                <w:snapToGrid w:val="0"/>
                <w:sz w:val="18"/>
                <w:szCs w:val="18"/>
                <w:lang w:eastAsia="en-US"/>
              </w:rPr>
            </w:pPr>
            <w:r>
              <w:rPr>
                <w:rFonts w:ascii="Arial" w:hAnsi="Arial" w:cs="Arial"/>
                <w:snapToGrid w:val="0"/>
                <w:sz w:val="18"/>
                <w:szCs w:val="18"/>
                <w:lang w:eastAsia="en-US"/>
              </w:rPr>
              <w:t>The PBAC t</w:t>
            </w:r>
            <w:r w:rsidR="00872B3A">
              <w:rPr>
                <w:rFonts w:ascii="Arial" w:hAnsi="Arial" w:cs="Arial"/>
                <w:snapToGrid w:val="0"/>
                <w:sz w:val="18"/>
                <w:szCs w:val="18"/>
                <w:lang w:eastAsia="en-US"/>
              </w:rPr>
              <w:t xml:space="preserve">o consider </w:t>
            </w:r>
            <w:r w:rsidR="006729B8">
              <w:rPr>
                <w:rFonts w:ascii="Arial" w:hAnsi="Arial" w:cs="Arial"/>
                <w:snapToGrid w:val="0"/>
                <w:sz w:val="18"/>
                <w:szCs w:val="18"/>
                <w:lang w:eastAsia="en-US"/>
              </w:rPr>
              <w:t>requests from the Australasian Paediatric Endocrine Group (</w:t>
            </w:r>
            <w:r w:rsidR="00872B3A">
              <w:rPr>
                <w:rFonts w:ascii="Arial" w:hAnsi="Arial" w:cs="Arial"/>
                <w:snapToGrid w:val="0"/>
                <w:sz w:val="18"/>
                <w:szCs w:val="18"/>
                <w:lang w:eastAsia="en-US"/>
              </w:rPr>
              <w:t>APEG</w:t>
            </w:r>
            <w:r w:rsidR="006729B8">
              <w:rPr>
                <w:rFonts w:ascii="Arial" w:hAnsi="Arial" w:cs="Arial"/>
                <w:snapToGrid w:val="0"/>
                <w:sz w:val="18"/>
                <w:szCs w:val="18"/>
                <w:lang w:eastAsia="en-US"/>
              </w:rPr>
              <w:t xml:space="preserve">) </w:t>
            </w:r>
            <w:r w:rsidR="00872B3A">
              <w:rPr>
                <w:rFonts w:ascii="Arial" w:hAnsi="Arial" w:cs="Arial"/>
                <w:snapToGrid w:val="0"/>
                <w:sz w:val="18"/>
                <w:szCs w:val="18"/>
                <w:lang w:eastAsia="en-US"/>
              </w:rPr>
              <w:t>to change the somatropin eligibility criteria</w:t>
            </w:r>
            <w:r w:rsidR="006A1809">
              <w:rPr>
                <w:rFonts w:ascii="Arial" w:hAnsi="Arial" w:cs="Arial"/>
                <w:snapToGrid w:val="0"/>
                <w:sz w:val="18"/>
                <w:szCs w:val="18"/>
                <w:lang w:eastAsia="en-US"/>
              </w:rPr>
              <w:t>.</w:t>
            </w:r>
          </w:p>
          <w:p w14:paraId="75965A14" w14:textId="70863CAF" w:rsidR="006729B8" w:rsidRDefault="006729B8" w:rsidP="006729B8">
            <w:pPr>
              <w:rPr>
                <w:rFonts w:ascii="Arial" w:hAnsi="Arial" w:cs="Arial"/>
                <w:snapToGrid w:val="0"/>
                <w:sz w:val="18"/>
                <w:szCs w:val="18"/>
                <w:lang w:eastAsia="en-US"/>
              </w:rPr>
            </w:pPr>
          </w:p>
        </w:tc>
        <w:tc>
          <w:tcPr>
            <w:tcW w:w="2000" w:type="pct"/>
            <w:tcBorders>
              <w:top w:val="single" w:sz="4" w:space="0" w:color="auto"/>
              <w:left w:val="single" w:sz="4" w:space="0" w:color="auto"/>
              <w:bottom w:val="single" w:sz="4" w:space="0" w:color="auto"/>
              <w:right w:val="single" w:sz="4" w:space="0" w:color="auto"/>
            </w:tcBorders>
            <w:shd w:val="clear" w:color="auto" w:fill="auto"/>
          </w:tcPr>
          <w:p w14:paraId="4B38E94E" w14:textId="01595CDF" w:rsidR="00872B3A" w:rsidRPr="00952ADE" w:rsidRDefault="00872B3A" w:rsidP="00872B3A">
            <w:pPr>
              <w:pStyle w:val="4Bodytextnumbered"/>
              <w:tabs>
                <w:tab w:val="left" w:pos="0"/>
              </w:tabs>
              <w:ind w:left="0" w:firstLine="0"/>
              <w:jc w:val="left"/>
              <w:rPr>
                <w:rFonts w:ascii="Arial" w:hAnsi="Arial" w:cs="Arial"/>
                <w:sz w:val="18"/>
                <w:szCs w:val="18"/>
              </w:rPr>
            </w:pPr>
            <w:r w:rsidRPr="00952ADE">
              <w:rPr>
                <w:rFonts w:ascii="Arial" w:hAnsi="Arial" w:cs="Arial"/>
                <w:sz w:val="18"/>
                <w:szCs w:val="18"/>
              </w:rPr>
              <w:t>The PBAC accepted several requested changes to the restrictions for somatropin from the A</w:t>
            </w:r>
            <w:r w:rsidR="006729B8">
              <w:rPr>
                <w:rFonts w:ascii="Arial" w:hAnsi="Arial" w:cs="Arial"/>
                <w:sz w:val="18"/>
                <w:szCs w:val="18"/>
              </w:rPr>
              <w:t>PEG.</w:t>
            </w:r>
            <w:r w:rsidRPr="00952ADE">
              <w:rPr>
                <w:rFonts w:ascii="Arial" w:hAnsi="Arial" w:cs="Arial"/>
                <w:sz w:val="18"/>
                <w:szCs w:val="18"/>
              </w:rPr>
              <w:t xml:space="preserve"> The PBAC noted that the proposed restriction changes would have a high clinical benefit. The PBAC considered that the estimated financial impact was acceptable. </w:t>
            </w:r>
          </w:p>
          <w:p w14:paraId="240A973F" w14:textId="77777777" w:rsidR="00872B3A" w:rsidRPr="001C4557" w:rsidRDefault="00872B3A" w:rsidP="00872B3A">
            <w:pPr>
              <w:keepLines/>
              <w:spacing w:after="120"/>
              <w:rPr>
                <w:rFonts w:ascii="Arial" w:hAnsi="Arial" w:cs="Arial"/>
                <w:color w:val="000000"/>
                <w:sz w:val="18"/>
                <w:szCs w:val="21"/>
                <w:shd w:val="clear" w:color="auto" w:fill="FFFFFF"/>
              </w:rPr>
            </w:pPr>
          </w:p>
        </w:tc>
      </w:tr>
      <w:tr w:rsidR="00872B3A" w:rsidRPr="00D2401D" w14:paraId="3888151B" w14:textId="77777777" w:rsidTr="00872B3A">
        <w:trPr>
          <w:gridAfter w:val="2"/>
          <w:wAfter w:w="1296" w:type="pct"/>
          <w:cantSplit/>
          <w:trHeight w:val="58"/>
        </w:trPr>
        <w:tc>
          <w:tcPr>
            <w:tcW w:w="647" w:type="pct"/>
            <w:tcBorders>
              <w:top w:val="single" w:sz="4" w:space="0" w:color="auto"/>
              <w:left w:val="single" w:sz="4" w:space="0" w:color="auto"/>
              <w:bottom w:val="single" w:sz="4" w:space="0" w:color="auto"/>
              <w:right w:val="single" w:sz="4" w:space="0" w:color="auto"/>
            </w:tcBorders>
            <w:shd w:val="clear" w:color="auto" w:fill="auto"/>
          </w:tcPr>
          <w:p w14:paraId="7E461577" w14:textId="77777777" w:rsidR="00872B3A" w:rsidRDefault="00872B3A" w:rsidP="00872B3A">
            <w:pPr>
              <w:rPr>
                <w:rFonts w:ascii="Arial" w:hAnsi="Arial" w:cs="Arial"/>
                <w:sz w:val="18"/>
                <w:szCs w:val="18"/>
              </w:rPr>
            </w:pPr>
            <w:r>
              <w:rPr>
                <w:rFonts w:ascii="Arial" w:hAnsi="Arial" w:cs="Arial"/>
                <w:sz w:val="18"/>
                <w:szCs w:val="18"/>
              </w:rPr>
              <w:lastRenderedPageBreak/>
              <w:t>TOCILIZUMAB</w:t>
            </w:r>
          </w:p>
          <w:p w14:paraId="12A18E70" w14:textId="54540E48" w:rsidR="00B94F32" w:rsidRDefault="00B94F32" w:rsidP="00872B3A"/>
          <w:p w14:paraId="77D89C0D" w14:textId="6BDF6610" w:rsidR="00B94F32" w:rsidRPr="00B94F32" w:rsidRDefault="00B94F32" w:rsidP="00872B3A">
            <w:pPr>
              <w:rPr>
                <w:rFonts w:ascii="Arial" w:hAnsi="Arial" w:cs="Arial"/>
                <w:color w:val="333333"/>
                <w:sz w:val="18"/>
                <w:szCs w:val="18"/>
                <w:shd w:val="clear" w:color="auto" w:fill="FFFFFF"/>
              </w:rPr>
            </w:pPr>
            <w:r w:rsidRPr="00B94F32">
              <w:rPr>
                <w:rFonts w:ascii="Arial" w:hAnsi="Arial" w:cs="Arial"/>
                <w:color w:val="333333"/>
                <w:sz w:val="18"/>
                <w:szCs w:val="18"/>
                <w:shd w:val="clear" w:color="auto" w:fill="FFFFFF"/>
              </w:rPr>
              <w:t>Concentrate for injection 80 mg in 4 mL</w:t>
            </w:r>
          </w:p>
          <w:p w14:paraId="37B4B247" w14:textId="036C968F" w:rsidR="00B94F32" w:rsidRPr="00B94F32" w:rsidRDefault="00B94F32" w:rsidP="00872B3A">
            <w:pPr>
              <w:rPr>
                <w:rFonts w:ascii="Arial" w:hAnsi="Arial" w:cs="Arial"/>
                <w:color w:val="333333"/>
                <w:sz w:val="18"/>
                <w:szCs w:val="18"/>
                <w:shd w:val="clear" w:color="auto" w:fill="FFFFFF"/>
              </w:rPr>
            </w:pPr>
            <w:r w:rsidRPr="00B94F32">
              <w:rPr>
                <w:rFonts w:ascii="Arial" w:hAnsi="Arial" w:cs="Arial"/>
                <w:color w:val="333333"/>
                <w:sz w:val="18"/>
                <w:szCs w:val="18"/>
                <w:shd w:val="clear" w:color="auto" w:fill="FFFFFF"/>
              </w:rPr>
              <w:t>Concentrate for injection 200 mg in 10 mL</w:t>
            </w:r>
          </w:p>
          <w:p w14:paraId="2CFF7105" w14:textId="4956ED4D" w:rsidR="00B94F32" w:rsidRPr="00B94F32" w:rsidRDefault="00B94F32" w:rsidP="00872B3A">
            <w:pPr>
              <w:rPr>
                <w:rFonts w:ascii="Arial" w:hAnsi="Arial" w:cs="Arial"/>
                <w:color w:val="333333"/>
                <w:sz w:val="18"/>
                <w:szCs w:val="18"/>
                <w:shd w:val="clear" w:color="auto" w:fill="FFFFFF"/>
              </w:rPr>
            </w:pPr>
            <w:r w:rsidRPr="00B94F32">
              <w:rPr>
                <w:rFonts w:ascii="Arial" w:hAnsi="Arial" w:cs="Arial"/>
                <w:color w:val="333333"/>
                <w:sz w:val="18"/>
                <w:szCs w:val="18"/>
                <w:shd w:val="clear" w:color="auto" w:fill="FFFFFF"/>
              </w:rPr>
              <w:t>Concentrate for injection 400 mg in 20 mL</w:t>
            </w:r>
          </w:p>
          <w:p w14:paraId="79613B2F" w14:textId="60FCF9BF" w:rsidR="00B94F32" w:rsidRDefault="00B94F32" w:rsidP="00872B3A">
            <w:pPr>
              <w:rPr>
                <w:rFonts w:ascii="Arial" w:hAnsi="Arial" w:cs="Arial"/>
                <w:sz w:val="18"/>
                <w:szCs w:val="18"/>
              </w:rPr>
            </w:pPr>
            <w:r w:rsidRPr="00B94F32">
              <w:rPr>
                <w:rFonts w:ascii="Arial" w:hAnsi="Arial" w:cs="Arial"/>
                <w:sz w:val="18"/>
                <w:szCs w:val="18"/>
              </w:rPr>
              <w:t>Injection 162 mg in 0.9 mL single use pre-filled syringe</w:t>
            </w:r>
          </w:p>
          <w:p w14:paraId="024FF0EE" w14:textId="77777777" w:rsidR="00B94F32" w:rsidRDefault="00B94F32" w:rsidP="00872B3A">
            <w:pPr>
              <w:rPr>
                <w:rFonts w:ascii="Arial" w:hAnsi="Arial" w:cs="Arial"/>
                <w:sz w:val="18"/>
                <w:szCs w:val="18"/>
              </w:rPr>
            </w:pPr>
          </w:p>
          <w:p w14:paraId="3EC471BC" w14:textId="77777777" w:rsidR="00872B3A" w:rsidRDefault="00872B3A" w:rsidP="00872B3A">
            <w:pPr>
              <w:rPr>
                <w:rFonts w:ascii="Arial" w:hAnsi="Arial" w:cs="Arial"/>
                <w:sz w:val="18"/>
                <w:szCs w:val="18"/>
              </w:rPr>
            </w:pPr>
            <w:r>
              <w:rPr>
                <w:rFonts w:ascii="Arial" w:hAnsi="Arial" w:cs="Arial"/>
                <w:sz w:val="18"/>
                <w:szCs w:val="18"/>
              </w:rPr>
              <w:t>Actemra®</w:t>
            </w:r>
          </w:p>
          <w:p w14:paraId="114C10BE" w14:textId="77777777" w:rsidR="00872B3A" w:rsidRDefault="00872B3A" w:rsidP="00872B3A">
            <w:pPr>
              <w:rPr>
                <w:rFonts w:ascii="Arial" w:hAnsi="Arial" w:cs="Arial"/>
                <w:sz w:val="18"/>
                <w:szCs w:val="18"/>
              </w:rPr>
            </w:pPr>
          </w:p>
          <w:p w14:paraId="23F2CEB2" w14:textId="77777777" w:rsidR="00872B3A" w:rsidRDefault="00872B3A" w:rsidP="00872B3A">
            <w:pPr>
              <w:rPr>
                <w:rFonts w:ascii="Arial" w:hAnsi="Arial" w:cs="Arial"/>
                <w:sz w:val="18"/>
                <w:szCs w:val="18"/>
              </w:rPr>
            </w:pPr>
            <w:r>
              <w:rPr>
                <w:rFonts w:ascii="Arial" w:hAnsi="Arial" w:cs="Arial"/>
                <w:sz w:val="18"/>
                <w:szCs w:val="18"/>
              </w:rPr>
              <w:t>Roche Products Pty Ltd</w:t>
            </w:r>
          </w:p>
          <w:p w14:paraId="3191C7F3" w14:textId="36F9B072" w:rsidR="006A1809" w:rsidRDefault="006A1809" w:rsidP="00872B3A">
            <w:pPr>
              <w:rPr>
                <w:rFonts w:ascii="Arial" w:hAnsi="Arial" w:cs="Arial"/>
                <w:sz w:val="18"/>
                <w:szCs w:val="18"/>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40B07C9C" w14:textId="274E8A78" w:rsidR="00872B3A" w:rsidRDefault="00EE2AFA" w:rsidP="006A1809">
            <w:pPr>
              <w:keepLines/>
              <w:widowControl w:val="0"/>
              <w:spacing w:after="120"/>
              <w:rPr>
                <w:rFonts w:ascii="Arial" w:hAnsi="Arial" w:cs="Arial"/>
                <w:snapToGrid w:val="0"/>
                <w:sz w:val="18"/>
                <w:szCs w:val="18"/>
                <w:lang w:eastAsia="en-US"/>
              </w:rPr>
            </w:pPr>
            <w:r>
              <w:rPr>
                <w:rFonts w:ascii="Arial" w:hAnsi="Arial" w:cs="Arial"/>
                <w:snapToGrid w:val="0"/>
                <w:sz w:val="18"/>
                <w:szCs w:val="18"/>
                <w:lang w:eastAsia="en-US"/>
              </w:rPr>
              <w:t>Multiple indications</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4DA94383" w14:textId="5B0E6E88" w:rsidR="00872B3A" w:rsidRPr="006A1809" w:rsidRDefault="006A1809" w:rsidP="006A1809">
            <w:pPr>
              <w:keepLines/>
              <w:widowControl w:val="0"/>
              <w:spacing w:after="120"/>
              <w:rPr>
                <w:rFonts w:ascii="Arial" w:hAnsi="Arial" w:cs="Arial"/>
                <w:snapToGrid w:val="0"/>
                <w:sz w:val="18"/>
                <w:szCs w:val="18"/>
                <w:lang w:eastAsia="en-US"/>
              </w:rPr>
            </w:pPr>
            <w:r w:rsidRPr="006A1809">
              <w:rPr>
                <w:rFonts w:ascii="Arial" w:hAnsi="Arial" w:cs="Arial"/>
                <w:sz w:val="18"/>
                <w:szCs w:val="18"/>
              </w:rPr>
              <w:t>The PBAC to consider the suggested changes from the Australian Rheumatology Association regarding the management of switching between bDMARDs during the tocilizumab shortage.</w:t>
            </w:r>
          </w:p>
        </w:tc>
        <w:tc>
          <w:tcPr>
            <w:tcW w:w="2000" w:type="pct"/>
            <w:tcBorders>
              <w:top w:val="single" w:sz="4" w:space="0" w:color="auto"/>
              <w:left w:val="single" w:sz="4" w:space="0" w:color="auto"/>
              <w:bottom w:val="single" w:sz="4" w:space="0" w:color="auto"/>
              <w:right w:val="single" w:sz="4" w:space="0" w:color="auto"/>
            </w:tcBorders>
            <w:shd w:val="clear" w:color="auto" w:fill="auto"/>
          </w:tcPr>
          <w:p w14:paraId="7DA47808" w14:textId="77777777" w:rsidR="00EE2AFA" w:rsidRPr="00EE2AFA" w:rsidRDefault="00EE2AFA" w:rsidP="00EE2AFA">
            <w:pPr>
              <w:pStyle w:val="NoSpacing"/>
              <w:jc w:val="left"/>
              <w:rPr>
                <w:rFonts w:ascii="Arial" w:hAnsi="Arial" w:cs="Arial"/>
                <w:sz w:val="18"/>
                <w:szCs w:val="18"/>
              </w:rPr>
            </w:pPr>
            <w:r w:rsidRPr="00EE2AFA">
              <w:rPr>
                <w:rFonts w:ascii="Arial" w:hAnsi="Arial" w:cs="Arial"/>
                <w:sz w:val="18"/>
                <w:szCs w:val="18"/>
              </w:rPr>
              <w:t xml:space="preserve">The PBAC recommended the implementation of new temporary listings under General Schedule and Section 100 (Highly Specialised Drugs) to facilitate the switch to other bDMARDs and return to tocilizumab therapy during the tocilizumab shortage. The PBAC was supportive of extending the requirement of a demonstrated response from 16 to 24 weeks. The PBAC advised these temporary arrangements should be in place for the duration of the tocilizumab shortage, with the arrangements ceasing on resolution of the shortage. </w:t>
            </w:r>
          </w:p>
          <w:p w14:paraId="718FE66F" w14:textId="77777777" w:rsidR="00872B3A" w:rsidRPr="00952ADE" w:rsidRDefault="00872B3A" w:rsidP="00872B3A">
            <w:pPr>
              <w:pStyle w:val="4Bodytextnumbered"/>
              <w:tabs>
                <w:tab w:val="left" w:pos="0"/>
              </w:tabs>
              <w:ind w:left="0" w:firstLine="0"/>
              <w:jc w:val="left"/>
              <w:rPr>
                <w:rFonts w:ascii="Arial" w:hAnsi="Arial" w:cs="Arial"/>
                <w:sz w:val="18"/>
                <w:szCs w:val="18"/>
              </w:rPr>
            </w:pPr>
          </w:p>
        </w:tc>
      </w:tr>
    </w:tbl>
    <w:p w14:paraId="34534BB3" w14:textId="7A8BF47B" w:rsidR="00952ADE" w:rsidRDefault="00952ADE">
      <w:pPr>
        <w:rPr>
          <w:rFonts w:asciiTheme="minorHAnsi" w:hAnsiTheme="minorHAnsi" w:cstheme="minorHAnsi"/>
          <w:sz w:val="18"/>
          <w:szCs w:val="18"/>
          <w:lang w:val="en-US"/>
        </w:rPr>
      </w:pPr>
    </w:p>
    <w:p w14:paraId="662F0672" w14:textId="351735AE" w:rsidR="00952ADE" w:rsidRDefault="00952ADE">
      <w:pPr>
        <w:rPr>
          <w:rFonts w:asciiTheme="minorHAnsi" w:hAnsiTheme="minorHAnsi" w:cstheme="minorHAnsi"/>
          <w:sz w:val="18"/>
          <w:szCs w:val="18"/>
          <w:lang w:val="en-US"/>
        </w:rPr>
      </w:pPr>
    </w:p>
    <w:p w14:paraId="46DC0B41" w14:textId="77777777" w:rsidR="000D3E04" w:rsidRPr="00CD5930" w:rsidRDefault="000D3E04" w:rsidP="000D3E04">
      <w:pPr>
        <w:rPr>
          <w:b/>
          <w:bCs/>
        </w:rPr>
      </w:pPr>
      <w:r w:rsidRPr="00CD5930">
        <w:rPr>
          <w:b/>
          <w:bCs/>
        </w:rPr>
        <w:t xml:space="preserve">Version 2 </w:t>
      </w:r>
    </w:p>
    <w:p w14:paraId="02A8A9F0" w14:textId="77777777" w:rsidR="000D3E04" w:rsidRDefault="000D3E04" w:rsidP="000D3E04">
      <w:r>
        <w:t xml:space="preserve">Amendment </w:t>
      </w:r>
    </w:p>
    <w:p w14:paraId="56732E20" w14:textId="589282CE" w:rsidR="00952ADE" w:rsidRPr="000D3E04" w:rsidRDefault="000D3E04" w:rsidP="000D3E04">
      <w:pPr>
        <w:pStyle w:val="ListParagraph"/>
        <w:numPr>
          <w:ilvl w:val="0"/>
          <w:numId w:val="48"/>
        </w:numPr>
        <w:rPr>
          <w:rFonts w:asciiTheme="minorHAnsi" w:hAnsiTheme="minorHAnsi" w:cstheme="minorHAnsi"/>
          <w:sz w:val="20"/>
          <w:szCs w:val="20"/>
          <w:lang w:val="en-US"/>
        </w:rPr>
      </w:pPr>
      <w:r w:rsidRPr="000D3E04">
        <w:rPr>
          <w:sz w:val="20"/>
          <w:szCs w:val="20"/>
        </w:rPr>
        <w:t xml:space="preserve">Osteoporosis </w:t>
      </w:r>
      <w:r>
        <w:rPr>
          <w:sz w:val="20"/>
          <w:szCs w:val="20"/>
        </w:rPr>
        <w:t xml:space="preserve">therapy restrictions review </w:t>
      </w:r>
      <w:r w:rsidRPr="000D3E04">
        <w:rPr>
          <w:sz w:val="20"/>
          <w:szCs w:val="20"/>
        </w:rPr>
        <w:t>– item added</w:t>
      </w:r>
    </w:p>
    <w:p w14:paraId="4A3CB7F9" w14:textId="39DD5A91" w:rsidR="00952ADE" w:rsidRDefault="00952ADE">
      <w:pPr>
        <w:rPr>
          <w:rFonts w:asciiTheme="minorHAnsi" w:hAnsiTheme="minorHAnsi" w:cstheme="minorHAnsi"/>
          <w:sz w:val="18"/>
          <w:szCs w:val="18"/>
          <w:lang w:val="en-US"/>
        </w:rPr>
      </w:pPr>
    </w:p>
    <w:p w14:paraId="7BE8411E" w14:textId="181727F1" w:rsidR="00952ADE" w:rsidRDefault="00952ADE">
      <w:pPr>
        <w:rPr>
          <w:rFonts w:asciiTheme="minorHAnsi" w:hAnsiTheme="minorHAnsi" w:cstheme="minorHAnsi"/>
          <w:sz w:val="18"/>
          <w:szCs w:val="18"/>
          <w:lang w:val="en-US"/>
        </w:rPr>
      </w:pPr>
    </w:p>
    <w:p w14:paraId="4B640EC2" w14:textId="589709E2" w:rsidR="00952ADE" w:rsidRDefault="00952ADE">
      <w:pPr>
        <w:rPr>
          <w:rFonts w:asciiTheme="minorHAnsi" w:hAnsiTheme="minorHAnsi" w:cstheme="minorHAnsi"/>
          <w:sz w:val="18"/>
          <w:szCs w:val="18"/>
          <w:lang w:val="en-US"/>
        </w:rPr>
      </w:pPr>
    </w:p>
    <w:p w14:paraId="35630209" w14:textId="3251F26E" w:rsidR="00952ADE" w:rsidRDefault="00952ADE">
      <w:pPr>
        <w:rPr>
          <w:rFonts w:asciiTheme="minorHAnsi" w:hAnsiTheme="minorHAnsi" w:cstheme="minorHAnsi"/>
          <w:sz w:val="18"/>
          <w:szCs w:val="18"/>
          <w:lang w:val="en-US"/>
        </w:rPr>
      </w:pPr>
    </w:p>
    <w:p w14:paraId="0CCE33AA" w14:textId="5DA0C218" w:rsidR="00952ADE" w:rsidRDefault="00952ADE">
      <w:pPr>
        <w:rPr>
          <w:rFonts w:asciiTheme="minorHAnsi" w:hAnsiTheme="minorHAnsi" w:cstheme="minorHAnsi"/>
          <w:sz w:val="18"/>
          <w:szCs w:val="18"/>
          <w:lang w:val="en-US"/>
        </w:rPr>
      </w:pPr>
    </w:p>
    <w:p w14:paraId="7B42FB8A" w14:textId="53B8E1C1" w:rsidR="00952ADE" w:rsidRDefault="00952ADE">
      <w:pPr>
        <w:rPr>
          <w:rFonts w:asciiTheme="minorHAnsi" w:hAnsiTheme="minorHAnsi" w:cstheme="minorHAnsi"/>
          <w:sz w:val="18"/>
          <w:szCs w:val="18"/>
          <w:lang w:val="en-US"/>
        </w:rPr>
      </w:pPr>
    </w:p>
    <w:p w14:paraId="76B9966E" w14:textId="48CCFAB0" w:rsidR="00952ADE" w:rsidRDefault="00952ADE">
      <w:pPr>
        <w:rPr>
          <w:rFonts w:asciiTheme="minorHAnsi" w:hAnsiTheme="minorHAnsi" w:cstheme="minorHAnsi"/>
          <w:sz w:val="18"/>
          <w:szCs w:val="18"/>
          <w:lang w:val="en-US"/>
        </w:rPr>
      </w:pPr>
    </w:p>
    <w:p w14:paraId="7ABA0E2C" w14:textId="4EBE9ED3" w:rsidR="00952ADE" w:rsidRDefault="00952ADE">
      <w:pPr>
        <w:rPr>
          <w:rFonts w:asciiTheme="minorHAnsi" w:hAnsiTheme="minorHAnsi" w:cstheme="minorHAnsi"/>
          <w:sz w:val="18"/>
          <w:szCs w:val="18"/>
          <w:lang w:val="en-US"/>
        </w:rPr>
      </w:pPr>
    </w:p>
    <w:p w14:paraId="01DFF3C6" w14:textId="0797B4B8" w:rsidR="00952ADE" w:rsidRDefault="00952ADE">
      <w:pPr>
        <w:rPr>
          <w:rFonts w:asciiTheme="minorHAnsi" w:hAnsiTheme="minorHAnsi" w:cstheme="minorHAnsi"/>
          <w:sz w:val="18"/>
          <w:szCs w:val="18"/>
          <w:lang w:val="en-US"/>
        </w:rPr>
      </w:pPr>
    </w:p>
    <w:p w14:paraId="61FCBCC1" w14:textId="37E214A4" w:rsidR="00952ADE" w:rsidRDefault="00952ADE">
      <w:pPr>
        <w:rPr>
          <w:rFonts w:asciiTheme="minorHAnsi" w:hAnsiTheme="minorHAnsi" w:cstheme="minorHAnsi"/>
          <w:sz w:val="18"/>
          <w:szCs w:val="18"/>
          <w:lang w:val="en-US"/>
        </w:rPr>
      </w:pPr>
    </w:p>
    <w:p w14:paraId="44B18B02" w14:textId="6A2E930E" w:rsidR="00952ADE" w:rsidRDefault="00952ADE">
      <w:pPr>
        <w:rPr>
          <w:rFonts w:asciiTheme="minorHAnsi" w:hAnsiTheme="minorHAnsi" w:cstheme="minorHAnsi"/>
          <w:sz w:val="18"/>
          <w:szCs w:val="18"/>
          <w:lang w:val="en-US"/>
        </w:rPr>
      </w:pPr>
    </w:p>
    <w:p w14:paraId="12A4F9AF" w14:textId="77777777" w:rsidR="00952ADE" w:rsidRPr="001D4E5E" w:rsidRDefault="00952ADE">
      <w:pPr>
        <w:rPr>
          <w:rFonts w:asciiTheme="minorHAnsi" w:hAnsiTheme="minorHAnsi" w:cstheme="minorHAnsi"/>
          <w:sz w:val="18"/>
          <w:szCs w:val="18"/>
          <w:lang w:val="en-US"/>
        </w:rPr>
      </w:pPr>
    </w:p>
    <w:p w14:paraId="2B8317E9" w14:textId="77777777" w:rsidR="0046477C" w:rsidRDefault="0046477C">
      <w:pPr>
        <w:rPr>
          <w:rFonts w:ascii="Arial" w:hAnsi="Arial" w:cs="Arial"/>
          <w:b/>
          <w:sz w:val="18"/>
          <w:szCs w:val="18"/>
          <w:lang w:val="en-US"/>
        </w:rPr>
      </w:pPr>
      <w:r>
        <w:rPr>
          <w:rFonts w:ascii="Arial" w:hAnsi="Arial" w:cs="Arial"/>
          <w:b/>
          <w:sz w:val="18"/>
          <w:szCs w:val="18"/>
          <w:lang w:val="en-US"/>
        </w:rPr>
        <w:br w:type="page"/>
      </w:r>
    </w:p>
    <w:p w14:paraId="6CE3C41E" w14:textId="48060F3B" w:rsidR="00640C80" w:rsidRPr="001D4E5E" w:rsidRDefault="005A0A21" w:rsidP="00EF3B9C">
      <w:pPr>
        <w:rPr>
          <w:rFonts w:ascii="Arial" w:hAnsi="Arial" w:cs="Arial"/>
          <w:b/>
          <w:sz w:val="18"/>
          <w:szCs w:val="18"/>
          <w:lang w:val="en-US"/>
        </w:rPr>
      </w:pPr>
      <w:r w:rsidRPr="001D4E5E">
        <w:rPr>
          <w:rFonts w:ascii="Arial" w:hAnsi="Arial" w:cs="Arial"/>
          <w:b/>
          <w:sz w:val="18"/>
          <w:szCs w:val="18"/>
          <w:lang w:val="en-US"/>
        </w:rPr>
        <w:lastRenderedPageBreak/>
        <w:t>Resubmission pathways</w:t>
      </w:r>
    </w:p>
    <w:p w14:paraId="025CE011" w14:textId="77777777" w:rsidR="005A0A21" w:rsidRPr="001D4E5E" w:rsidRDefault="005A0A21" w:rsidP="00640C80">
      <w:pPr>
        <w:tabs>
          <w:tab w:val="left" w:pos="5210"/>
        </w:tabs>
        <w:rPr>
          <w:rFonts w:asciiTheme="minorHAnsi" w:hAnsiTheme="minorHAnsi" w:cstheme="minorHAnsi"/>
          <w:b/>
          <w:sz w:val="18"/>
          <w:szCs w:val="18"/>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687774" w14:paraId="1B32CA1F" w14:textId="77777777" w:rsidTr="004A3371">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77777777" w:rsidR="004A3371" w:rsidRPr="001D4E5E" w:rsidRDefault="004A3371">
            <w:pPr>
              <w:rPr>
                <w:rFonts w:ascii="Arial" w:hAnsi="Arial" w:cs="Arial"/>
                <w:sz w:val="18"/>
                <w:szCs w:val="18"/>
              </w:rPr>
            </w:pPr>
            <w:r w:rsidRPr="001D4E5E">
              <w:rPr>
                <w:rFonts w:ascii="Arial" w:hAnsi="Arial" w:cs="Arial"/>
                <w:color w:val="333333"/>
                <w:sz w:val="18"/>
                <w:szCs w:val="18"/>
              </w:rPr>
              <w:t xml:space="preserve">*There are four different resubmission pathways available to applicants following a ‘not recommended’ PBAC outcome. Resubmission pathways are not available for submissions that receive a positive recommendation from the PBAC. </w:t>
            </w:r>
            <w:r w:rsidRPr="001D4E5E">
              <w:rPr>
                <w:rFonts w:ascii="Arial" w:hAnsi="Arial" w:cs="Arial"/>
                <w:sz w:val="18"/>
                <w:szCs w:val="18"/>
              </w:rPr>
              <w:t>The resubmission pathways are classified into the following categories:</w:t>
            </w:r>
          </w:p>
        </w:tc>
      </w:tr>
      <w:tr w:rsidR="004A3371" w:rsidRPr="00687774" w14:paraId="5A78A628"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77777777" w:rsidR="004A3371" w:rsidRPr="001D4E5E" w:rsidRDefault="004A3371">
            <w:pPr>
              <w:spacing w:after="160" w:line="252" w:lineRule="auto"/>
              <w:contextualSpacing/>
              <w:rPr>
                <w:rFonts w:ascii="Arial" w:hAnsi="Arial" w:cs="Arial"/>
                <w:b/>
                <w:bCs/>
                <w:sz w:val="18"/>
                <w:szCs w:val="18"/>
              </w:rPr>
            </w:pPr>
            <w:r w:rsidRPr="001D4E5E">
              <w:rPr>
                <w:rFonts w:ascii="Arial" w:hAnsi="Arial" w:cs="Arial"/>
                <w:b/>
                <w:bCs/>
                <w:sz w:val="18"/>
                <w:szCs w:val="18"/>
              </w:rPr>
              <w:t>Standard re-entry</w:t>
            </w:r>
          </w:p>
          <w:p w14:paraId="14CD87B9" w14:textId="77777777" w:rsidR="004A3371" w:rsidRPr="001D4E5E" w:rsidRDefault="004A3371">
            <w:pPr>
              <w:spacing w:line="252" w:lineRule="auto"/>
              <w:rPr>
                <w:rFonts w:ascii="Arial" w:hAnsi="Arial" w:cs="Arial"/>
                <w:b/>
                <w:bCs/>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77777777"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The Standard Re-entry Pathway is the default pathway for resubmissions and also applies where: </w:t>
            </w:r>
          </w:p>
          <w:p w14:paraId="430AF034" w14:textId="77777777" w:rsidR="004A3371" w:rsidRPr="001D4E5E" w:rsidRDefault="004A3371" w:rsidP="004A3371">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applicant chooses not to accept the PBAC nominated resubmission pathway; or </w:t>
            </w:r>
          </w:p>
          <w:p w14:paraId="15ADDEB3" w14:textId="3C3608FE" w:rsidR="004A3371" w:rsidRPr="001D4E5E" w:rsidRDefault="004A3371" w:rsidP="004A3371">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1D4E5E" w:rsidRDefault="004A3371" w:rsidP="00F1210C">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applicant decides to lodge later than the allowable timelines for the other pathways. </w:t>
            </w:r>
          </w:p>
        </w:tc>
      </w:tr>
      <w:tr w:rsidR="004A3371" w:rsidRPr="00687774" w14:paraId="46BDFCAF"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77777777" w:rsidR="004A3371" w:rsidRPr="001D4E5E" w:rsidRDefault="004A3371">
            <w:pPr>
              <w:spacing w:after="160" w:line="252" w:lineRule="auto"/>
              <w:contextualSpacing/>
              <w:rPr>
                <w:rFonts w:ascii="Arial" w:hAnsi="Arial" w:cs="Arial"/>
                <w:b/>
                <w:bCs/>
                <w:sz w:val="18"/>
                <w:szCs w:val="18"/>
                <w:lang w:eastAsia="en-US"/>
              </w:rPr>
            </w:pPr>
            <w:r w:rsidRPr="001D4E5E">
              <w:rPr>
                <w:rFonts w:ascii="Arial" w:hAnsi="Arial" w:cs="Arial"/>
                <w:b/>
                <w:bCs/>
                <w:sz w:val="18"/>
                <w:szCs w:val="18"/>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77777777" w:rsidR="004A3371" w:rsidRPr="001D4E5E" w:rsidRDefault="004A3371">
            <w:pPr>
              <w:spacing w:after="160" w:line="252" w:lineRule="auto"/>
              <w:contextualSpacing/>
              <w:rPr>
                <w:rFonts w:ascii="Arial" w:hAnsi="Arial" w:cs="Arial"/>
                <w:color w:val="000000"/>
                <w:sz w:val="18"/>
                <w:szCs w:val="18"/>
              </w:rPr>
            </w:pPr>
            <w:r w:rsidRPr="001D4E5E">
              <w:rPr>
                <w:rFonts w:ascii="Arial" w:hAnsi="Arial" w:cs="Arial"/>
                <w:sz w:val="18"/>
                <w:szCs w:val="18"/>
              </w:rPr>
              <w:t>An Early Re-entry Pathway may be nominated by the PBAC where the PBAC considers that the remaining issues could be easily resolved and the medicine or vaccine does not represent HATV for the proposed population. Applicants who accept this pathway are eligible for PBAC consideration at the immediate next meeting.</w:t>
            </w:r>
          </w:p>
        </w:tc>
      </w:tr>
      <w:tr w:rsidR="004A3371" w:rsidRPr="00687774" w14:paraId="1A2475F2"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1D4E5E" w:rsidRDefault="004A3371">
            <w:pPr>
              <w:spacing w:line="252" w:lineRule="auto"/>
              <w:rPr>
                <w:rFonts w:ascii="Arial" w:hAnsi="Arial" w:cs="Arial"/>
                <w:b/>
                <w:bCs/>
                <w:sz w:val="18"/>
                <w:szCs w:val="18"/>
                <w:lang w:eastAsia="en-US"/>
              </w:rPr>
            </w:pPr>
            <w:r w:rsidRPr="001D4E5E">
              <w:rPr>
                <w:rFonts w:ascii="Arial" w:hAnsi="Arial" w:cs="Arial"/>
                <w:b/>
                <w:bCs/>
                <w:sz w:val="18"/>
                <w:szCs w:val="18"/>
              </w:rPr>
              <w:t>Early resolution pathway</w:t>
            </w:r>
          </w:p>
          <w:p w14:paraId="157D2C85" w14:textId="77777777" w:rsidR="004A3371" w:rsidRPr="001D4E5E" w:rsidRDefault="004A3371">
            <w:pPr>
              <w:rPr>
                <w:rFonts w:ascii="Arial" w:hAnsi="Arial" w:cs="Arial"/>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77777777"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For medicines or vaccines deemed by the PBAC to represent High Added Therapeutic Value (HATV) AND where the PBAC considers that the remaining issues could be easily resolved, including when: </w:t>
            </w:r>
          </w:p>
          <w:p w14:paraId="6EC882B7" w14:textId="77777777" w:rsidR="004A3371" w:rsidRPr="001D4E5E" w:rsidRDefault="004A3371" w:rsidP="004A3371">
            <w:pPr>
              <w:pStyle w:val="ListParagraph"/>
              <w:numPr>
                <w:ilvl w:val="0"/>
                <w:numId w:val="47"/>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new clinical study data requiring evaluation is not considered necessary by the PBAC to support new clinical claims to be made in the resubmission; and </w:t>
            </w:r>
          </w:p>
          <w:p w14:paraId="1D4B869E" w14:textId="77777777" w:rsidR="004A3371" w:rsidRPr="001D4E5E" w:rsidRDefault="004A3371" w:rsidP="004A3371">
            <w:pPr>
              <w:pStyle w:val="ListParagraph"/>
              <w:numPr>
                <w:ilvl w:val="0"/>
                <w:numId w:val="47"/>
              </w:numPr>
              <w:autoSpaceDE w:val="0"/>
              <w:autoSpaceDN w:val="0"/>
              <w:spacing w:after="120"/>
              <w:contextualSpacing w:val="0"/>
              <w:rPr>
                <w:rFonts w:ascii="Arial" w:hAnsi="Arial" w:cs="Arial"/>
                <w:color w:val="000000"/>
                <w:sz w:val="18"/>
                <w:szCs w:val="18"/>
              </w:rPr>
            </w:pPr>
            <w:r w:rsidRPr="001D4E5E">
              <w:rPr>
                <w:rFonts w:ascii="Arial" w:hAnsi="Arial" w:cs="Arial"/>
                <w:color w:val="000000"/>
                <w:sz w:val="18"/>
                <w:szCs w:val="18"/>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77777777" w:rsidR="004A3371" w:rsidRPr="001D4E5E" w:rsidRDefault="004A3371">
            <w:pPr>
              <w:pStyle w:val="NormalWeb"/>
              <w:spacing w:before="0" w:beforeAutospacing="0" w:after="0" w:afterAutospacing="0"/>
              <w:rPr>
                <w:rFonts w:ascii="Arial" w:hAnsi="Arial" w:cs="Arial"/>
                <w:sz w:val="18"/>
                <w:szCs w:val="18"/>
              </w:rPr>
            </w:pPr>
            <w:r w:rsidRPr="001D4E5E">
              <w:rPr>
                <w:rFonts w:ascii="Arial" w:hAnsi="Arial" w:cs="Arial"/>
                <w:sz w:val="18"/>
                <w:szCs w:val="18"/>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687774" w14:paraId="1CF59836"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1D4E5E" w:rsidRDefault="004A3371">
            <w:pPr>
              <w:rPr>
                <w:rFonts w:ascii="Arial" w:hAnsi="Arial" w:cs="Arial"/>
                <w:sz w:val="18"/>
                <w:szCs w:val="18"/>
              </w:rPr>
            </w:pPr>
            <w:r w:rsidRPr="001D4E5E">
              <w:rPr>
                <w:rFonts w:ascii="Arial" w:hAnsi="Arial" w:cs="Arial"/>
                <w:b/>
                <w:bCs/>
                <w:sz w:val="18"/>
                <w:szCs w:val="18"/>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77777777" w:rsidR="004A3371" w:rsidRPr="001D4E5E" w:rsidRDefault="004A3371">
            <w:pPr>
              <w:autoSpaceDE w:val="0"/>
              <w:autoSpaceDN w:val="0"/>
              <w:rPr>
                <w:rFonts w:ascii="Arial" w:hAnsi="Arial" w:cs="Arial"/>
                <w:b/>
                <w:bCs/>
                <w:sz w:val="18"/>
                <w:szCs w:val="18"/>
                <w:highlight w:val="green"/>
              </w:rPr>
            </w:pPr>
            <w:r w:rsidRPr="001D4E5E">
              <w:rPr>
                <w:rFonts w:ascii="Arial" w:hAnsi="Arial" w:cs="Arial"/>
                <w:color w:val="000000"/>
                <w:sz w:val="18"/>
                <w:szCs w:val="18"/>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1C843216" w:rsidR="00AD3477" w:rsidRPr="001D4E5E" w:rsidRDefault="00AD3477" w:rsidP="004A3371">
      <w:pPr>
        <w:tabs>
          <w:tab w:val="left" w:pos="5210"/>
        </w:tabs>
        <w:rPr>
          <w:rFonts w:asciiTheme="minorHAnsi" w:hAnsiTheme="minorHAnsi" w:cstheme="minorHAnsi"/>
          <w:sz w:val="18"/>
          <w:szCs w:val="18"/>
          <w:lang w:val="en-US"/>
        </w:rPr>
      </w:pPr>
    </w:p>
    <w:sectPr w:rsidR="00AD3477" w:rsidRPr="001D4E5E" w:rsidSect="00257615">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910F" w14:textId="77777777" w:rsidR="00762FCA" w:rsidRDefault="00762FCA">
      <w:r>
        <w:separator/>
      </w:r>
    </w:p>
  </w:endnote>
  <w:endnote w:type="continuationSeparator" w:id="0">
    <w:p w14:paraId="0B94B43F" w14:textId="77777777" w:rsidR="00762FCA" w:rsidRDefault="0076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BCB" w14:textId="77777777" w:rsidR="00762FCA" w:rsidRDefault="00762FCA"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762FCA" w:rsidRDefault="00762FCA"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80A" w14:textId="5187CDB7" w:rsidR="00762FCA" w:rsidRPr="00287C89" w:rsidRDefault="00762FCA"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3E3EC0">
      <w:rPr>
        <w:rStyle w:val="PageNumber"/>
        <w:rFonts w:ascii="Arial" w:hAnsi="Arial" w:cs="Arial"/>
        <w:noProof/>
      </w:rPr>
      <w:t>5</w:t>
    </w:r>
    <w:r w:rsidRPr="00287C89">
      <w:rPr>
        <w:rStyle w:val="PageNumber"/>
        <w:rFonts w:ascii="Arial" w:hAnsi="Arial" w:cs="Arial"/>
      </w:rPr>
      <w:fldChar w:fldCharType="end"/>
    </w:r>
  </w:p>
  <w:p w14:paraId="5DEC0542" w14:textId="77777777" w:rsidR="00762FCA" w:rsidRDefault="00762FCA" w:rsidP="00FE2A81">
    <w:pPr>
      <w:pStyle w:val="Footer"/>
      <w:ind w:right="360"/>
    </w:pPr>
  </w:p>
  <w:p w14:paraId="429295B6" w14:textId="77777777" w:rsidR="00762FCA" w:rsidRDefault="00762FCA"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AF80" w14:textId="77777777" w:rsidR="00762FCA" w:rsidRDefault="00762FCA">
      <w:r>
        <w:separator/>
      </w:r>
    </w:p>
  </w:footnote>
  <w:footnote w:type="continuationSeparator" w:id="0">
    <w:p w14:paraId="7F846E8F" w14:textId="77777777" w:rsidR="00762FCA" w:rsidRDefault="0076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D89" w14:textId="77777777" w:rsidR="00762FCA" w:rsidRPr="00571206" w:rsidRDefault="00762FCA" w:rsidP="00571206">
    <w:pPr>
      <w:autoSpaceDE w:val="0"/>
      <w:autoSpaceDN w:val="0"/>
      <w:adjustRightInd w:val="0"/>
      <w:rPr>
        <w:rFonts w:ascii="Arial" w:hAnsi="Arial" w:cs="Arial"/>
        <w:color w:val="000000"/>
        <w:sz w:val="24"/>
        <w:szCs w:val="24"/>
      </w:rPr>
    </w:pPr>
  </w:p>
  <w:p w14:paraId="117035EF" w14:textId="1E14CCFB" w:rsidR="00762FCA" w:rsidRDefault="00762FCA"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6EA7A9AD" w:rsidR="00762FCA" w:rsidRDefault="00411A4D" w:rsidP="00571206">
    <w:pPr>
      <w:pStyle w:val="Header"/>
      <w:jc w:val="center"/>
      <w:rPr>
        <w:rFonts w:ascii="Arial" w:hAnsi="Arial" w:cs="Arial"/>
        <w:b/>
      </w:rPr>
    </w:pPr>
    <w:r>
      <w:rPr>
        <w:rFonts w:ascii="Arial" w:hAnsi="Arial" w:cs="Arial"/>
        <w:b/>
      </w:rPr>
      <w:t>SEPTEMBER</w:t>
    </w:r>
    <w:r w:rsidR="00762FCA">
      <w:rPr>
        <w:rFonts w:ascii="Arial" w:hAnsi="Arial" w:cs="Arial"/>
        <w:b/>
      </w:rPr>
      <w:t xml:space="preserve"> 2021 PBAC MEETING</w:t>
    </w:r>
  </w:p>
  <w:p w14:paraId="0E28AC1B" w14:textId="77777777" w:rsidR="00762FCA" w:rsidRPr="0071356F" w:rsidRDefault="00762FCA" w:rsidP="0071356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410BE4"/>
    <w:multiLevelType w:val="hybridMultilevel"/>
    <w:tmpl w:val="F6D83D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8" w15:restartNumberingAfterBreak="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3" w15:restartNumberingAfterBreak="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5"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7" w15:restartNumberingAfterBreak="0">
    <w:nsid w:val="535B1360"/>
    <w:multiLevelType w:val="hybridMultilevel"/>
    <w:tmpl w:val="718C8A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94066C"/>
    <w:multiLevelType w:val="hybridMultilevel"/>
    <w:tmpl w:val="9A80C8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2" w15:restartNumberingAfterBreak="0">
    <w:nsid w:val="5D3B7667"/>
    <w:multiLevelType w:val="hybridMultilevel"/>
    <w:tmpl w:val="8326B8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503B80"/>
    <w:multiLevelType w:val="hybridMultilevel"/>
    <w:tmpl w:val="A0CEA1B2"/>
    <w:lvl w:ilvl="0" w:tplc="0C09000F">
      <w:start w:val="1"/>
      <w:numFmt w:val="decimal"/>
      <w:lvlText w:val="%1."/>
      <w:lvlJc w:val="left"/>
      <w:pPr>
        <w:ind w:left="720" w:hanging="360"/>
      </w:pPr>
      <w:rPr>
        <w:rFonts w:ascii="Times New Roman" w:hAnsi="Times New Roman" w:cs="Times New Roman"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CA428E5"/>
    <w:multiLevelType w:val="hybridMultilevel"/>
    <w:tmpl w:val="1F8CA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0" w15:restartNumberingAfterBreak="0">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3" w15:restartNumberingAfterBreak="0">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6" w15:restartNumberingAfterBreak="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5"/>
  </w:num>
  <w:num w:numId="3">
    <w:abstractNumId w:val="34"/>
  </w:num>
  <w:num w:numId="4">
    <w:abstractNumId w:val="25"/>
  </w:num>
  <w:num w:numId="5">
    <w:abstractNumId w:val="13"/>
  </w:num>
  <w:num w:numId="6">
    <w:abstractNumId w:val="6"/>
  </w:num>
  <w:num w:numId="7">
    <w:abstractNumId w:val="3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1"/>
  </w:num>
  <w:num w:numId="11">
    <w:abstractNumId w:val="29"/>
  </w:num>
  <w:num w:numId="12">
    <w:abstractNumId w:val="31"/>
  </w:num>
  <w:num w:numId="13">
    <w:abstractNumId w:val="8"/>
  </w:num>
  <w:num w:numId="14">
    <w:abstractNumId w:val="30"/>
  </w:num>
  <w:num w:numId="15">
    <w:abstractNumId w:val="33"/>
  </w:num>
  <w:num w:numId="16">
    <w:abstractNumId w:val="26"/>
  </w:num>
  <w:num w:numId="17">
    <w:abstractNumId w:val="45"/>
  </w:num>
  <w:num w:numId="18">
    <w:abstractNumId w:val="47"/>
  </w:num>
  <w:num w:numId="19">
    <w:abstractNumId w:val="5"/>
  </w:num>
  <w:num w:numId="20">
    <w:abstractNumId w:val="14"/>
  </w:num>
  <w:num w:numId="21">
    <w:abstractNumId w:val="16"/>
  </w:num>
  <w:num w:numId="22">
    <w:abstractNumId w:val="43"/>
  </w:num>
  <w:num w:numId="23">
    <w:abstractNumId w:val="4"/>
  </w:num>
  <w:num w:numId="24">
    <w:abstractNumId w:val="19"/>
  </w:num>
  <w:num w:numId="25">
    <w:abstractNumId w:val="11"/>
  </w:num>
  <w:num w:numId="26">
    <w:abstractNumId w:val="9"/>
  </w:num>
  <w:num w:numId="27">
    <w:abstractNumId w:val="21"/>
  </w:num>
  <w:num w:numId="28">
    <w:abstractNumId w:val="23"/>
  </w:num>
  <w:num w:numId="29">
    <w:abstractNumId w:val="20"/>
  </w:num>
  <w:num w:numId="30">
    <w:abstractNumId w:val="46"/>
  </w:num>
  <w:num w:numId="31">
    <w:abstractNumId w:val="17"/>
  </w:num>
  <w:num w:numId="32">
    <w:abstractNumId w:val="39"/>
  </w:num>
  <w:num w:numId="33">
    <w:abstractNumId w:val="44"/>
  </w:num>
  <w:num w:numId="34">
    <w:abstractNumId w:val="42"/>
  </w:num>
  <w:num w:numId="35">
    <w:abstractNumId w:val="3"/>
  </w:num>
  <w:num w:numId="36">
    <w:abstractNumId w:val="40"/>
  </w:num>
  <w:num w:numId="37">
    <w:abstractNumId w:val="2"/>
  </w:num>
  <w:num w:numId="38">
    <w:abstractNumId w:val="18"/>
  </w:num>
  <w:num w:numId="39">
    <w:abstractNumId w:val="1"/>
  </w:num>
  <w:num w:numId="40">
    <w:abstractNumId w:val="27"/>
  </w:num>
  <w:num w:numId="41">
    <w:abstractNumId w:val="7"/>
  </w:num>
  <w:num w:numId="42">
    <w:abstractNumId w:val="32"/>
  </w:num>
  <w:num w:numId="43">
    <w:abstractNumId w:val="28"/>
  </w:num>
  <w:num w:numId="44">
    <w:abstractNumId w:val="38"/>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6BB1"/>
    <w:rsid w:val="0000733C"/>
    <w:rsid w:val="000074BD"/>
    <w:rsid w:val="00007D69"/>
    <w:rsid w:val="000102AF"/>
    <w:rsid w:val="00010379"/>
    <w:rsid w:val="00010886"/>
    <w:rsid w:val="00010920"/>
    <w:rsid w:val="0001152D"/>
    <w:rsid w:val="000118E3"/>
    <w:rsid w:val="00011EA7"/>
    <w:rsid w:val="000120D3"/>
    <w:rsid w:val="00012806"/>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DB"/>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0A49"/>
    <w:rsid w:val="0003174F"/>
    <w:rsid w:val="00031946"/>
    <w:rsid w:val="000322EC"/>
    <w:rsid w:val="00032AB9"/>
    <w:rsid w:val="00032DC4"/>
    <w:rsid w:val="00033D0B"/>
    <w:rsid w:val="00034086"/>
    <w:rsid w:val="00034121"/>
    <w:rsid w:val="000350A9"/>
    <w:rsid w:val="00035472"/>
    <w:rsid w:val="000365B0"/>
    <w:rsid w:val="00036CF7"/>
    <w:rsid w:val="00037175"/>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50B"/>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36C"/>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242"/>
    <w:rsid w:val="000855C9"/>
    <w:rsid w:val="00085F9C"/>
    <w:rsid w:val="00086013"/>
    <w:rsid w:val="0008687E"/>
    <w:rsid w:val="000868A3"/>
    <w:rsid w:val="00086D66"/>
    <w:rsid w:val="000872FA"/>
    <w:rsid w:val="00090385"/>
    <w:rsid w:val="00090D21"/>
    <w:rsid w:val="00090F42"/>
    <w:rsid w:val="00091262"/>
    <w:rsid w:val="00091269"/>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350"/>
    <w:rsid w:val="000B2F97"/>
    <w:rsid w:val="000B3004"/>
    <w:rsid w:val="000B3043"/>
    <w:rsid w:val="000B34FA"/>
    <w:rsid w:val="000B3688"/>
    <w:rsid w:val="000B36FE"/>
    <w:rsid w:val="000B372D"/>
    <w:rsid w:val="000B38D3"/>
    <w:rsid w:val="000B5120"/>
    <w:rsid w:val="000B5B24"/>
    <w:rsid w:val="000B6487"/>
    <w:rsid w:val="000B7A91"/>
    <w:rsid w:val="000B7F45"/>
    <w:rsid w:val="000C040A"/>
    <w:rsid w:val="000C0497"/>
    <w:rsid w:val="000C0E21"/>
    <w:rsid w:val="000C1A94"/>
    <w:rsid w:val="000C1BA1"/>
    <w:rsid w:val="000C219D"/>
    <w:rsid w:val="000C22B0"/>
    <w:rsid w:val="000C2786"/>
    <w:rsid w:val="000C2E72"/>
    <w:rsid w:val="000C2FFA"/>
    <w:rsid w:val="000C3369"/>
    <w:rsid w:val="000C3CAA"/>
    <w:rsid w:val="000C45E3"/>
    <w:rsid w:val="000C56B4"/>
    <w:rsid w:val="000C586F"/>
    <w:rsid w:val="000C5B48"/>
    <w:rsid w:val="000C661A"/>
    <w:rsid w:val="000C77A9"/>
    <w:rsid w:val="000D0D8B"/>
    <w:rsid w:val="000D115C"/>
    <w:rsid w:val="000D14F1"/>
    <w:rsid w:val="000D1C61"/>
    <w:rsid w:val="000D2AFE"/>
    <w:rsid w:val="000D2D84"/>
    <w:rsid w:val="000D3190"/>
    <w:rsid w:val="000D3E04"/>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360"/>
    <w:rsid w:val="000E2C73"/>
    <w:rsid w:val="000E2C8F"/>
    <w:rsid w:val="000E2EA3"/>
    <w:rsid w:val="000E31F7"/>
    <w:rsid w:val="000E4B3E"/>
    <w:rsid w:val="000E539F"/>
    <w:rsid w:val="000E6CF9"/>
    <w:rsid w:val="000E73BD"/>
    <w:rsid w:val="000F069C"/>
    <w:rsid w:val="000F0B27"/>
    <w:rsid w:val="000F1D4F"/>
    <w:rsid w:val="000F26BE"/>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7038"/>
    <w:rsid w:val="00107219"/>
    <w:rsid w:val="001074AC"/>
    <w:rsid w:val="001101E1"/>
    <w:rsid w:val="00110379"/>
    <w:rsid w:val="001103CF"/>
    <w:rsid w:val="00111F4C"/>
    <w:rsid w:val="00112561"/>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5A6"/>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059"/>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C15"/>
    <w:rsid w:val="00153EE1"/>
    <w:rsid w:val="0015402E"/>
    <w:rsid w:val="001546E8"/>
    <w:rsid w:val="00154828"/>
    <w:rsid w:val="00155698"/>
    <w:rsid w:val="00155BC9"/>
    <w:rsid w:val="00155C11"/>
    <w:rsid w:val="00157D22"/>
    <w:rsid w:val="00157F62"/>
    <w:rsid w:val="001600EB"/>
    <w:rsid w:val="00160423"/>
    <w:rsid w:val="00161C25"/>
    <w:rsid w:val="00161CD7"/>
    <w:rsid w:val="0016312E"/>
    <w:rsid w:val="00163182"/>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97D0D"/>
    <w:rsid w:val="001A0DC8"/>
    <w:rsid w:val="001A14F5"/>
    <w:rsid w:val="001A1777"/>
    <w:rsid w:val="001A1A8A"/>
    <w:rsid w:val="001A2649"/>
    <w:rsid w:val="001A307D"/>
    <w:rsid w:val="001A3986"/>
    <w:rsid w:val="001A3E19"/>
    <w:rsid w:val="001A4242"/>
    <w:rsid w:val="001A48FD"/>
    <w:rsid w:val="001A6DEF"/>
    <w:rsid w:val="001A7A6A"/>
    <w:rsid w:val="001A7A87"/>
    <w:rsid w:val="001B049D"/>
    <w:rsid w:val="001B04E4"/>
    <w:rsid w:val="001B0553"/>
    <w:rsid w:val="001B0636"/>
    <w:rsid w:val="001B1577"/>
    <w:rsid w:val="001B16C3"/>
    <w:rsid w:val="001B1838"/>
    <w:rsid w:val="001B1C67"/>
    <w:rsid w:val="001B2234"/>
    <w:rsid w:val="001B3984"/>
    <w:rsid w:val="001B3FE9"/>
    <w:rsid w:val="001B46AE"/>
    <w:rsid w:val="001B5009"/>
    <w:rsid w:val="001B54F0"/>
    <w:rsid w:val="001B5950"/>
    <w:rsid w:val="001B5DCE"/>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4E5E"/>
    <w:rsid w:val="001D600F"/>
    <w:rsid w:val="001D6843"/>
    <w:rsid w:val="001D79BC"/>
    <w:rsid w:val="001E092F"/>
    <w:rsid w:val="001E0947"/>
    <w:rsid w:val="001E152C"/>
    <w:rsid w:val="001E17F9"/>
    <w:rsid w:val="001E24EA"/>
    <w:rsid w:val="001E25FF"/>
    <w:rsid w:val="001E35D6"/>
    <w:rsid w:val="001E411C"/>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7E3"/>
    <w:rsid w:val="00201885"/>
    <w:rsid w:val="002028FF"/>
    <w:rsid w:val="0020322B"/>
    <w:rsid w:val="002032C8"/>
    <w:rsid w:val="00203A75"/>
    <w:rsid w:val="0020409B"/>
    <w:rsid w:val="00205901"/>
    <w:rsid w:val="00205C7C"/>
    <w:rsid w:val="002060A5"/>
    <w:rsid w:val="002068F5"/>
    <w:rsid w:val="002070E4"/>
    <w:rsid w:val="0020721C"/>
    <w:rsid w:val="002072C3"/>
    <w:rsid w:val="00207813"/>
    <w:rsid w:val="0020790A"/>
    <w:rsid w:val="00207E86"/>
    <w:rsid w:val="00210594"/>
    <w:rsid w:val="00210F65"/>
    <w:rsid w:val="002114F0"/>
    <w:rsid w:val="00212939"/>
    <w:rsid w:val="00212B8B"/>
    <w:rsid w:val="0021371C"/>
    <w:rsid w:val="002139E7"/>
    <w:rsid w:val="002144A1"/>
    <w:rsid w:val="002147A6"/>
    <w:rsid w:val="00214D4B"/>
    <w:rsid w:val="00214DAE"/>
    <w:rsid w:val="00215739"/>
    <w:rsid w:val="002157B5"/>
    <w:rsid w:val="00216869"/>
    <w:rsid w:val="0021720D"/>
    <w:rsid w:val="0022016A"/>
    <w:rsid w:val="00220F03"/>
    <w:rsid w:val="00220F49"/>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2D3D"/>
    <w:rsid w:val="00234DBA"/>
    <w:rsid w:val="00234FCD"/>
    <w:rsid w:val="00234FD9"/>
    <w:rsid w:val="00236374"/>
    <w:rsid w:val="00236F49"/>
    <w:rsid w:val="00237E07"/>
    <w:rsid w:val="00237F8D"/>
    <w:rsid w:val="002400A1"/>
    <w:rsid w:val="00240222"/>
    <w:rsid w:val="002411C9"/>
    <w:rsid w:val="0024218B"/>
    <w:rsid w:val="002425FE"/>
    <w:rsid w:val="00242CD9"/>
    <w:rsid w:val="0024349D"/>
    <w:rsid w:val="00243967"/>
    <w:rsid w:val="0024424C"/>
    <w:rsid w:val="002444C2"/>
    <w:rsid w:val="00244BE9"/>
    <w:rsid w:val="0024530D"/>
    <w:rsid w:val="00245A74"/>
    <w:rsid w:val="00246A8F"/>
    <w:rsid w:val="0024727D"/>
    <w:rsid w:val="00247783"/>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67F1F"/>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922"/>
    <w:rsid w:val="00281B0A"/>
    <w:rsid w:val="00282CDE"/>
    <w:rsid w:val="00283073"/>
    <w:rsid w:val="0028348A"/>
    <w:rsid w:val="00285478"/>
    <w:rsid w:val="0028663C"/>
    <w:rsid w:val="00287C89"/>
    <w:rsid w:val="002905B5"/>
    <w:rsid w:val="002911D8"/>
    <w:rsid w:val="00293203"/>
    <w:rsid w:val="0029329A"/>
    <w:rsid w:val="00293A15"/>
    <w:rsid w:val="00295693"/>
    <w:rsid w:val="002960C3"/>
    <w:rsid w:val="002969C0"/>
    <w:rsid w:val="002972D4"/>
    <w:rsid w:val="00297AEF"/>
    <w:rsid w:val="00297F02"/>
    <w:rsid w:val="002A06E1"/>
    <w:rsid w:val="002A21E8"/>
    <w:rsid w:val="002A3220"/>
    <w:rsid w:val="002A3596"/>
    <w:rsid w:val="002A37BE"/>
    <w:rsid w:val="002A3AA9"/>
    <w:rsid w:val="002A58F4"/>
    <w:rsid w:val="002A5AA2"/>
    <w:rsid w:val="002A5C85"/>
    <w:rsid w:val="002A5C87"/>
    <w:rsid w:val="002A5D50"/>
    <w:rsid w:val="002A5DE5"/>
    <w:rsid w:val="002A6503"/>
    <w:rsid w:val="002A659A"/>
    <w:rsid w:val="002A7542"/>
    <w:rsid w:val="002A7BE8"/>
    <w:rsid w:val="002B09C6"/>
    <w:rsid w:val="002B0F52"/>
    <w:rsid w:val="002B1071"/>
    <w:rsid w:val="002B129B"/>
    <w:rsid w:val="002B29E2"/>
    <w:rsid w:val="002B3708"/>
    <w:rsid w:val="002B4D46"/>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4DB"/>
    <w:rsid w:val="002D0DDF"/>
    <w:rsid w:val="002D17A5"/>
    <w:rsid w:val="002D1AC7"/>
    <w:rsid w:val="002D347E"/>
    <w:rsid w:val="002D3D17"/>
    <w:rsid w:val="002D42A0"/>
    <w:rsid w:val="002D440D"/>
    <w:rsid w:val="002D4C8C"/>
    <w:rsid w:val="002D4EF6"/>
    <w:rsid w:val="002D545A"/>
    <w:rsid w:val="002D550B"/>
    <w:rsid w:val="002D59E5"/>
    <w:rsid w:val="002D5C23"/>
    <w:rsid w:val="002D5CBC"/>
    <w:rsid w:val="002D5DC3"/>
    <w:rsid w:val="002D6B4D"/>
    <w:rsid w:val="002E0FD6"/>
    <w:rsid w:val="002E1388"/>
    <w:rsid w:val="002E16E6"/>
    <w:rsid w:val="002E1B83"/>
    <w:rsid w:val="002E1C1F"/>
    <w:rsid w:val="002E2688"/>
    <w:rsid w:val="002E307D"/>
    <w:rsid w:val="002E34A3"/>
    <w:rsid w:val="002E36E1"/>
    <w:rsid w:val="002E3E6F"/>
    <w:rsid w:val="002E3F75"/>
    <w:rsid w:val="002E45B7"/>
    <w:rsid w:val="002E4721"/>
    <w:rsid w:val="002E486A"/>
    <w:rsid w:val="002E4DB5"/>
    <w:rsid w:val="002E4DC4"/>
    <w:rsid w:val="002E5281"/>
    <w:rsid w:val="002E5E0E"/>
    <w:rsid w:val="002E5E2F"/>
    <w:rsid w:val="002E5F1C"/>
    <w:rsid w:val="002E5F3E"/>
    <w:rsid w:val="002E736D"/>
    <w:rsid w:val="002F0875"/>
    <w:rsid w:val="002F0884"/>
    <w:rsid w:val="002F1A5B"/>
    <w:rsid w:val="002F1B87"/>
    <w:rsid w:val="002F3470"/>
    <w:rsid w:val="002F4CA2"/>
    <w:rsid w:val="002F51B3"/>
    <w:rsid w:val="002F527B"/>
    <w:rsid w:val="002F5306"/>
    <w:rsid w:val="002F5570"/>
    <w:rsid w:val="002F5792"/>
    <w:rsid w:val="002F5C9A"/>
    <w:rsid w:val="002F6254"/>
    <w:rsid w:val="002F6432"/>
    <w:rsid w:val="002F64A0"/>
    <w:rsid w:val="002F69EB"/>
    <w:rsid w:val="002F6D11"/>
    <w:rsid w:val="002F6D5A"/>
    <w:rsid w:val="002F6FC4"/>
    <w:rsid w:val="002F7255"/>
    <w:rsid w:val="002F7D6F"/>
    <w:rsid w:val="00300450"/>
    <w:rsid w:val="003005AA"/>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10015"/>
    <w:rsid w:val="00310992"/>
    <w:rsid w:val="00311387"/>
    <w:rsid w:val="00311EEA"/>
    <w:rsid w:val="0031351E"/>
    <w:rsid w:val="00313537"/>
    <w:rsid w:val="003135CD"/>
    <w:rsid w:val="003138AC"/>
    <w:rsid w:val="00313C59"/>
    <w:rsid w:val="00314373"/>
    <w:rsid w:val="00314425"/>
    <w:rsid w:val="003146EE"/>
    <w:rsid w:val="003153EA"/>
    <w:rsid w:val="00316745"/>
    <w:rsid w:val="00316D1E"/>
    <w:rsid w:val="00320015"/>
    <w:rsid w:val="00320263"/>
    <w:rsid w:val="003209C7"/>
    <w:rsid w:val="00320AB2"/>
    <w:rsid w:val="003219EA"/>
    <w:rsid w:val="003225D5"/>
    <w:rsid w:val="0032271E"/>
    <w:rsid w:val="003229A0"/>
    <w:rsid w:val="00322DA7"/>
    <w:rsid w:val="003232F1"/>
    <w:rsid w:val="0032378E"/>
    <w:rsid w:val="00323C12"/>
    <w:rsid w:val="00323D04"/>
    <w:rsid w:val="003243CB"/>
    <w:rsid w:val="003245FB"/>
    <w:rsid w:val="003250E2"/>
    <w:rsid w:val="0032569E"/>
    <w:rsid w:val="00326522"/>
    <w:rsid w:val="003270BF"/>
    <w:rsid w:val="0032768B"/>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51"/>
    <w:rsid w:val="00362461"/>
    <w:rsid w:val="003628AA"/>
    <w:rsid w:val="00362D37"/>
    <w:rsid w:val="00363DA3"/>
    <w:rsid w:val="00364D63"/>
    <w:rsid w:val="00365105"/>
    <w:rsid w:val="0036579C"/>
    <w:rsid w:val="003657E7"/>
    <w:rsid w:val="00365E78"/>
    <w:rsid w:val="00366857"/>
    <w:rsid w:val="00370449"/>
    <w:rsid w:val="003708DD"/>
    <w:rsid w:val="00370EE0"/>
    <w:rsid w:val="003713B0"/>
    <w:rsid w:val="00371B3D"/>
    <w:rsid w:val="00372F44"/>
    <w:rsid w:val="00374783"/>
    <w:rsid w:val="003750B5"/>
    <w:rsid w:val="00375135"/>
    <w:rsid w:val="00377224"/>
    <w:rsid w:val="00377360"/>
    <w:rsid w:val="0037737B"/>
    <w:rsid w:val="003777B8"/>
    <w:rsid w:val="00377BAD"/>
    <w:rsid w:val="00381DCB"/>
    <w:rsid w:val="00381F87"/>
    <w:rsid w:val="003821D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340"/>
    <w:rsid w:val="00397572"/>
    <w:rsid w:val="003A074E"/>
    <w:rsid w:val="003A1CFF"/>
    <w:rsid w:val="003A2BB7"/>
    <w:rsid w:val="003A312D"/>
    <w:rsid w:val="003A3C93"/>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0A3B"/>
    <w:rsid w:val="003B1AF6"/>
    <w:rsid w:val="003B1B75"/>
    <w:rsid w:val="003B2FBC"/>
    <w:rsid w:val="003B32CC"/>
    <w:rsid w:val="003B35CB"/>
    <w:rsid w:val="003B4DA2"/>
    <w:rsid w:val="003B4DDF"/>
    <w:rsid w:val="003B4E68"/>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983"/>
    <w:rsid w:val="003D5D05"/>
    <w:rsid w:val="003D5ECA"/>
    <w:rsid w:val="003D5FB6"/>
    <w:rsid w:val="003D6CBF"/>
    <w:rsid w:val="003D72CC"/>
    <w:rsid w:val="003D7D05"/>
    <w:rsid w:val="003E03C3"/>
    <w:rsid w:val="003E067B"/>
    <w:rsid w:val="003E11A4"/>
    <w:rsid w:val="003E1AD1"/>
    <w:rsid w:val="003E230A"/>
    <w:rsid w:val="003E236D"/>
    <w:rsid w:val="003E2E8C"/>
    <w:rsid w:val="003E3009"/>
    <w:rsid w:val="003E308A"/>
    <w:rsid w:val="003E367A"/>
    <w:rsid w:val="003E37A4"/>
    <w:rsid w:val="003E3EC0"/>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576"/>
    <w:rsid w:val="004058B8"/>
    <w:rsid w:val="00405B3F"/>
    <w:rsid w:val="00406113"/>
    <w:rsid w:val="004063C4"/>
    <w:rsid w:val="004072FC"/>
    <w:rsid w:val="004074CB"/>
    <w:rsid w:val="00407D7D"/>
    <w:rsid w:val="00407EDD"/>
    <w:rsid w:val="00410247"/>
    <w:rsid w:val="00410B00"/>
    <w:rsid w:val="00410B24"/>
    <w:rsid w:val="00410E12"/>
    <w:rsid w:val="00410E3B"/>
    <w:rsid w:val="00410E7B"/>
    <w:rsid w:val="004115C8"/>
    <w:rsid w:val="00411A4D"/>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3964"/>
    <w:rsid w:val="004349D9"/>
    <w:rsid w:val="0043544F"/>
    <w:rsid w:val="004362C0"/>
    <w:rsid w:val="00436425"/>
    <w:rsid w:val="004364E6"/>
    <w:rsid w:val="00436B27"/>
    <w:rsid w:val="0043712E"/>
    <w:rsid w:val="004400BC"/>
    <w:rsid w:val="004412E8"/>
    <w:rsid w:val="00441947"/>
    <w:rsid w:val="00443331"/>
    <w:rsid w:val="00443561"/>
    <w:rsid w:val="00443591"/>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471"/>
    <w:rsid w:val="00454D4D"/>
    <w:rsid w:val="00454F1D"/>
    <w:rsid w:val="00455817"/>
    <w:rsid w:val="00455982"/>
    <w:rsid w:val="00455AE4"/>
    <w:rsid w:val="00457034"/>
    <w:rsid w:val="00457BAA"/>
    <w:rsid w:val="00460981"/>
    <w:rsid w:val="004609DE"/>
    <w:rsid w:val="00461DC0"/>
    <w:rsid w:val="00462787"/>
    <w:rsid w:val="004628F0"/>
    <w:rsid w:val="00462D54"/>
    <w:rsid w:val="00462D63"/>
    <w:rsid w:val="00463886"/>
    <w:rsid w:val="0046477C"/>
    <w:rsid w:val="00464E03"/>
    <w:rsid w:val="00464F36"/>
    <w:rsid w:val="0046568B"/>
    <w:rsid w:val="00466121"/>
    <w:rsid w:val="00466912"/>
    <w:rsid w:val="004670C3"/>
    <w:rsid w:val="00467686"/>
    <w:rsid w:val="00467792"/>
    <w:rsid w:val="004679AB"/>
    <w:rsid w:val="00471665"/>
    <w:rsid w:val="0047195F"/>
    <w:rsid w:val="00471A9E"/>
    <w:rsid w:val="00471B86"/>
    <w:rsid w:val="00472227"/>
    <w:rsid w:val="00472E9C"/>
    <w:rsid w:val="004732E6"/>
    <w:rsid w:val="00474927"/>
    <w:rsid w:val="00474FBE"/>
    <w:rsid w:val="0047540F"/>
    <w:rsid w:val="00476F8F"/>
    <w:rsid w:val="004772FF"/>
    <w:rsid w:val="00480310"/>
    <w:rsid w:val="0048048A"/>
    <w:rsid w:val="00481705"/>
    <w:rsid w:val="00481966"/>
    <w:rsid w:val="00482044"/>
    <w:rsid w:val="00482254"/>
    <w:rsid w:val="004823C6"/>
    <w:rsid w:val="00482F51"/>
    <w:rsid w:val="00483166"/>
    <w:rsid w:val="0048365C"/>
    <w:rsid w:val="004837B4"/>
    <w:rsid w:val="00484915"/>
    <w:rsid w:val="00484EEF"/>
    <w:rsid w:val="004853D8"/>
    <w:rsid w:val="0048589F"/>
    <w:rsid w:val="00486552"/>
    <w:rsid w:val="00486AEA"/>
    <w:rsid w:val="00486EEE"/>
    <w:rsid w:val="0048735B"/>
    <w:rsid w:val="004875E6"/>
    <w:rsid w:val="00487AD4"/>
    <w:rsid w:val="00490275"/>
    <w:rsid w:val="00490628"/>
    <w:rsid w:val="0049071D"/>
    <w:rsid w:val="0049103F"/>
    <w:rsid w:val="00491532"/>
    <w:rsid w:val="00491F80"/>
    <w:rsid w:val="0049239D"/>
    <w:rsid w:val="004925C9"/>
    <w:rsid w:val="00493577"/>
    <w:rsid w:val="0049362A"/>
    <w:rsid w:val="004942A0"/>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71"/>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415"/>
    <w:rsid w:val="004B64FA"/>
    <w:rsid w:val="004B758A"/>
    <w:rsid w:val="004B7F9F"/>
    <w:rsid w:val="004C06CE"/>
    <w:rsid w:val="004C099B"/>
    <w:rsid w:val="004C0BAC"/>
    <w:rsid w:val="004C0DB4"/>
    <w:rsid w:val="004C10A2"/>
    <w:rsid w:val="004C13F1"/>
    <w:rsid w:val="004C16F5"/>
    <w:rsid w:val="004C33E8"/>
    <w:rsid w:val="004C4A96"/>
    <w:rsid w:val="004C4E5F"/>
    <w:rsid w:val="004C5875"/>
    <w:rsid w:val="004C5F28"/>
    <w:rsid w:val="004C6997"/>
    <w:rsid w:val="004C6CDB"/>
    <w:rsid w:val="004C723F"/>
    <w:rsid w:val="004C7C36"/>
    <w:rsid w:val="004C7D16"/>
    <w:rsid w:val="004D0132"/>
    <w:rsid w:val="004D080F"/>
    <w:rsid w:val="004D138E"/>
    <w:rsid w:val="004D185E"/>
    <w:rsid w:val="004D2556"/>
    <w:rsid w:val="004D29F9"/>
    <w:rsid w:val="004D4B61"/>
    <w:rsid w:val="004D606D"/>
    <w:rsid w:val="004D6B20"/>
    <w:rsid w:val="004D6C2F"/>
    <w:rsid w:val="004D71FE"/>
    <w:rsid w:val="004D72CE"/>
    <w:rsid w:val="004D7A80"/>
    <w:rsid w:val="004D7CA3"/>
    <w:rsid w:val="004E0388"/>
    <w:rsid w:val="004E04C7"/>
    <w:rsid w:val="004E0894"/>
    <w:rsid w:val="004E135A"/>
    <w:rsid w:val="004E1C50"/>
    <w:rsid w:val="004E20EE"/>
    <w:rsid w:val="004E23BB"/>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78C"/>
    <w:rsid w:val="004F3B34"/>
    <w:rsid w:val="004F3E23"/>
    <w:rsid w:val="004F4767"/>
    <w:rsid w:val="004F498A"/>
    <w:rsid w:val="004F51B2"/>
    <w:rsid w:val="004F59C4"/>
    <w:rsid w:val="004F5D65"/>
    <w:rsid w:val="004F70F8"/>
    <w:rsid w:val="004F7230"/>
    <w:rsid w:val="004F7D65"/>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2DD"/>
    <w:rsid w:val="00507403"/>
    <w:rsid w:val="00507430"/>
    <w:rsid w:val="005101E5"/>
    <w:rsid w:val="00511D75"/>
    <w:rsid w:val="00511FF2"/>
    <w:rsid w:val="00512232"/>
    <w:rsid w:val="00513B7E"/>
    <w:rsid w:val="00514597"/>
    <w:rsid w:val="005150AB"/>
    <w:rsid w:val="0051520F"/>
    <w:rsid w:val="005159F9"/>
    <w:rsid w:val="0051769B"/>
    <w:rsid w:val="0052052F"/>
    <w:rsid w:val="00520571"/>
    <w:rsid w:val="00522C8A"/>
    <w:rsid w:val="00523AF8"/>
    <w:rsid w:val="00523F57"/>
    <w:rsid w:val="00523F8F"/>
    <w:rsid w:val="005248F8"/>
    <w:rsid w:val="00524E1E"/>
    <w:rsid w:val="0052565F"/>
    <w:rsid w:val="0052654A"/>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4AF9"/>
    <w:rsid w:val="00535189"/>
    <w:rsid w:val="005356B6"/>
    <w:rsid w:val="00535D75"/>
    <w:rsid w:val="00535FF9"/>
    <w:rsid w:val="0053609B"/>
    <w:rsid w:val="0053655A"/>
    <w:rsid w:val="00536ECF"/>
    <w:rsid w:val="0053740F"/>
    <w:rsid w:val="00537BDF"/>
    <w:rsid w:val="00540D9E"/>
    <w:rsid w:val="0054171A"/>
    <w:rsid w:val="005420CF"/>
    <w:rsid w:val="00542C2A"/>
    <w:rsid w:val="0054337D"/>
    <w:rsid w:val="005438E3"/>
    <w:rsid w:val="00543CAC"/>
    <w:rsid w:val="005440E4"/>
    <w:rsid w:val="005446E0"/>
    <w:rsid w:val="00545BEC"/>
    <w:rsid w:val="005468A5"/>
    <w:rsid w:val="00546A1D"/>
    <w:rsid w:val="00546C8E"/>
    <w:rsid w:val="00546CB9"/>
    <w:rsid w:val="00546E83"/>
    <w:rsid w:val="00547725"/>
    <w:rsid w:val="00550292"/>
    <w:rsid w:val="005506E5"/>
    <w:rsid w:val="00551309"/>
    <w:rsid w:val="00552426"/>
    <w:rsid w:val="00552F1A"/>
    <w:rsid w:val="0055363B"/>
    <w:rsid w:val="00553693"/>
    <w:rsid w:val="005536D5"/>
    <w:rsid w:val="00553934"/>
    <w:rsid w:val="00553B71"/>
    <w:rsid w:val="00554C4D"/>
    <w:rsid w:val="00555C08"/>
    <w:rsid w:val="00556A43"/>
    <w:rsid w:val="0056087F"/>
    <w:rsid w:val="0056121A"/>
    <w:rsid w:val="00562195"/>
    <w:rsid w:val="0056261D"/>
    <w:rsid w:val="00562918"/>
    <w:rsid w:val="00563269"/>
    <w:rsid w:val="00564169"/>
    <w:rsid w:val="00564643"/>
    <w:rsid w:val="00564772"/>
    <w:rsid w:val="00566518"/>
    <w:rsid w:val="005669DA"/>
    <w:rsid w:val="00567613"/>
    <w:rsid w:val="00571206"/>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2FA1"/>
    <w:rsid w:val="005843DF"/>
    <w:rsid w:val="005860BC"/>
    <w:rsid w:val="00587129"/>
    <w:rsid w:val="0058725A"/>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07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3D9"/>
    <w:rsid w:val="005D6652"/>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D25"/>
    <w:rsid w:val="006072E8"/>
    <w:rsid w:val="00607C2D"/>
    <w:rsid w:val="006103A4"/>
    <w:rsid w:val="00610922"/>
    <w:rsid w:val="00611250"/>
    <w:rsid w:val="00611D8D"/>
    <w:rsid w:val="006122E2"/>
    <w:rsid w:val="006125AA"/>
    <w:rsid w:val="00613E9D"/>
    <w:rsid w:val="0061423C"/>
    <w:rsid w:val="0061427C"/>
    <w:rsid w:val="00615DED"/>
    <w:rsid w:val="00615FAB"/>
    <w:rsid w:val="006169BB"/>
    <w:rsid w:val="00616F11"/>
    <w:rsid w:val="006177F0"/>
    <w:rsid w:val="0062005F"/>
    <w:rsid w:val="00620165"/>
    <w:rsid w:val="006201DC"/>
    <w:rsid w:val="00620985"/>
    <w:rsid w:val="00620BD5"/>
    <w:rsid w:val="00621B17"/>
    <w:rsid w:val="00622289"/>
    <w:rsid w:val="00622543"/>
    <w:rsid w:val="0062261D"/>
    <w:rsid w:val="00622643"/>
    <w:rsid w:val="00623312"/>
    <w:rsid w:val="0062351E"/>
    <w:rsid w:val="00623E92"/>
    <w:rsid w:val="00623E93"/>
    <w:rsid w:val="00624322"/>
    <w:rsid w:val="00624406"/>
    <w:rsid w:val="006248E3"/>
    <w:rsid w:val="00625D3D"/>
    <w:rsid w:val="00625DB6"/>
    <w:rsid w:val="00626280"/>
    <w:rsid w:val="00626CAC"/>
    <w:rsid w:val="00627AD4"/>
    <w:rsid w:val="00630F33"/>
    <w:rsid w:val="006312A4"/>
    <w:rsid w:val="006312F8"/>
    <w:rsid w:val="006313C9"/>
    <w:rsid w:val="006317D2"/>
    <w:rsid w:val="00631C0F"/>
    <w:rsid w:val="006337EA"/>
    <w:rsid w:val="006348ED"/>
    <w:rsid w:val="006355E6"/>
    <w:rsid w:val="00635EFB"/>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9B8"/>
    <w:rsid w:val="00672F3E"/>
    <w:rsid w:val="00673BF2"/>
    <w:rsid w:val="00673C58"/>
    <w:rsid w:val="0067494B"/>
    <w:rsid w:val="00674DB0"/>
    <w:rsid w:val="00675296"/>
    <w:rsid w:val="006766B8"/>
    <w:rsid w:val="00677143"/>
    <w:rsid w:val="006807E1"/>
    <w:rsid w:val="00680DE4"/>
    <w:rsid w:val="0068116A"/>
    <w:rsid w:val="006823D9"/>
    <w:rsid w:val="00682434"/>
    <w:rsid w:val="00683367"/>
    <w:rsid w:val="00683B8F"/>
    <w:rsid w:val="006841B1"/>
    <w:rsid w:val="0068436A"/>
    <w:rsid w:val="0068523F"/>
    <w:rsid w:val="006855A0"/>
    <w:rsid w:val="006861C4"/>
    <w:rsid w:val="00686C23"/>
    <w:rsid w:val="00687033"/>
    <w:rsid w:val="00687774"/>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80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0A3"/>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470"/>
    <w:rsid w:val="006C75FA"/>
    <w:rsid w:val="006C7FAC"/>
    <w:rsid w:val="006D002D"/>
    <w:rsid w:val="006D0421"/>
    <w:rsid w:val="006D047B"/>
    <w:rsid w:val="006D1D18"/>
    <w:rsid w:val="006D20CB"/>
    <w:rsid w:val="006D2594"/>
    <w:rsid w:val="006D2BD4"/>
    <w:rsid w:val="006D3530"/>
    <w:rsid w:val="006D3BF4"/>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533D"/>
    <w:rsid w:val="006F6D3E"/>
    <w:rsid w:val="006F6DDA"/>
    <w:rsid w:val="006F7041"/>
    <w:rsid w:val="006F726F"/>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20C"/>
    <w:rsid w:val="0071356F"/>
    <w:rsid w:val="00714166"/>
    <w:rsid w:val="007153F0"/>
    <w:rsid w:val="007154CF"/>
    <w:rsid w:val="007159A1"/>
    <w:rsid w:val="00716812"/>
    <w:rsid w:val="007171DB"/>
    <w:rsid w:val="00717651"/>
    <w:rsid w:val="0071796A"/>
    <w:rsid w:val="00717A8D"/>
    <w:rsid w:val="00717BF6"/>
    <w:rsid w:val="00717C21"/>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4B9"/>
    <w:rsid w:val="00741968"/>
    <w:rsid w:val="00741BDD"/>
    <w:rsid w:val="007423E9"/>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51097"/>
    <w:rsid w:val="00751E1F"/>
    <w:rsid w:val="0075296E"/>
    <w:rsid w:val="00752F33"/>
    <w:rsid w:val="0075319C"/>
    <w:rsid w:val="007531A5"/>
    <w:rsid w:val="007535E3"/>
    <w:rsid w:val="00753FCB"/>
    <w:rsid w:val="007542B1"/>
    <w:rsid w:val="007550FE"/>
    <w:rsid w:val="00755EE8"/>
    <w:rsid w:val="00756609"/>
    <w:rsid w:val="007566A7"/>
    <w:rsid w:val="007567D2"/>
    <w:rsid w:val="00756E30"/>
    <w:rsid w:val="0075707E"/>
    <w:rsid w:val="00757941"/>
    <w:rsid w:val="00762FCA"/>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4C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3F00"/>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3F86"/>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C685F"/>
    <w:rsid w:val="007D069C"/>
    <w:rsid w:val="007D1AFD"/>
    <w:rsid w:val="007D1E73"/>
    <w:rsid w:val="007D23C4"/>
    <w:rsid w:val="007D2FC8"/>
    <w:rsid w:val="007D310A"/>
    <w:rsid w:val="007D408D"/>
    <w:rsid w:val="007D4CD5"/>
    <w:rsid w:val="007D52A7"/>
    <w:rsid w:val="007D619D"/>
    <w:rsid w:val="007D658F"/>
    <w:rsid w:val="007D6B04"/>
    <w:rsid w:val="007D6D6F"/>
    <w:rsid w:val="007D6E6D"/>
    <w:rsid w:val="007D6F5D"/>
    <w:rsid w:val="007D7604"/>
    <w:rsid w:val="007D7729"/>
    <w:rsid w:val="007D7AA9"/>
    <w:rsid w:val="007E075D"/>
    <w:rsid w:val="007E0D86"/>
    <w:rsid w:val="007E170B"/>
    <w:rsid w:val="007E18BA"/>
    <w:rsid w:val="007E18FA"/>
    <w:rsid w:val="007E1DF2"/>
    <w:rsid w:val="007E2888"/>
    <w:rsid w:val="007E2BA4"/>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06F"/>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601"/>
    <w:rsid w:val="00821E84"/>
    <w:rsid w:val="00822005"/>
    <w:rsid w:val="0082256B"/>
    <w:rsid w:val="00822609"/>
    <w:rsid w:val="00822B0C"/>
    <w:rsid w:val="00822C45"/>
    <w:rsid w:val="008241E4"/>
    <w:rsid w:val="00824394"/>
    <w:rsid w:val="00824912"/>
    <w:rsid w:val="00824F1A"/>
    <w:rsid w:val="00825B07"/>
    <w:rsid w:val="008265E8"/>
    <w:rsid w:val="00826634"/>
    <w:rsid w:val="00826C0C"/>
    <w:rsid w:val="00827E75"/>
    <w:rsid w:val="00830810"/>
    <w:rsid w:val="008309CF"/>
    <w:rsid w:val="00830AF8"/>
    <w:rsid w:val="00830B5F"/>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70E8"/>
    <w:rsid w:val="0084736D"/>
    <w:rsid w:val="008479BC"/>
    <w:rsid w:val="00847C79"/>
    <w:rsid w:val="00850A19"/>
    <w:rsid w:val="0085106C"/>
    <w:rsid w:val="008514EC"/>
    <w:rsid w:val="00851F31"/>
    <w:rsid w:val="0085233E"/>
    <w:rsid w:val="008524F7"/>
    <w:rsid w:val="00852A9A"/>
    <w:rsid w:val="00852F34"/>
    <w:rsid w:val="008534FA"/>
    <w:rsid w:val="00853616"/>
    <w:rsid w:val="00853704"/>
    <w:rsid w:val="00853C23"/>
    <w:rsid w:val="00853EFD"/>
    <w:rsid w:val="0085413E"/>
    <w:rsid w:val="00854674"/>
    <w:rsid w:val="00854784"/>
    <w:rsid w:val="00854C8E"/>
    <w:rsid w:val="00856542"/>
    <w:rsid w:val="0085729A"/>
    <w:rsid w:val="008575ED"/>
    <w:rsid w:val="00857F3D"/>
    <w:rsid w:val="00860F08"/>
    <w:rsid w:val="008612F5"/>
    <w:rsid w:val="00861F9D"/>
    <w:rsid w:val="0086307F"/>
    <w:rsid w:val="008639AD"/>
    <w:rsid w:val="00863C1F"/>
    <w:rsid w:val="00866BCC"/>
    <w:rsid w:val="00870856"/>
    <w:rsid w:val="0087157B"/>
    <w:rsid w:val="00872B3A"/>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995"/>
    <w:rsid w:val="00887227"/>
    <w:rsid w:val="008900AA"/>
    <w:rsid w:val="00890427"/>
    <w:rsid w:val="008905B4"/>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A21"/>
    <w:rsid w:val="008A2E17"/>
    <w:rsid w:val="008A344E"/>
    <w:rsid w:val="008A3721"/>
    <w:rsid w:val="008A382F"/>
    <w:rsid w:val="008A39A0"/>
    <w:rsid w:val="008A39AD"/>
    <w:rsid w:val="008A3DB6"/>
    <w:rsid w:val="008A56ED"/>
    <w:rsid w:val="008A5BE4"/>
    <w:rsid w:val="008A6AA0"/>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D7D36"/>
    <w:rsid w:val="008E02E0"/>
    <w:rsid w:val="008E0670"/>
    <w:rsid w:val="008E114F"/>
    <w:rsid w:val="008E1153"/>
    <w:rsid w:val="008E1D76"/>
    <w:rsid w:val="008E2594"/>
    <w:rsid w:val="008E2DD0"/>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55D1"/>
    <w:rsid w:val="008F6537"/>
    <w:rsid w:val="00900590"/>
    <w:rsid w:val="00901154"/>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513"/>
    <w:rsid w:val="0093661E"/>
    <w:rsid w:val="00936789"/>
    <w:rsid w:val="00936EF5"/>
    <w:rsid w:val="009372E1"/>
    <w:rsid w:val="00937FBA"/>
    <w:rsid w:val="009417AC"/>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2ADE"/>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3644"/>
    <w:rsid w:val="00964583"/>
    <w:rsid w:val="00964775"/>
    <w:rsid w:val="00964ACE"/>
    <w:rsid w:val="009659F8"/>
    <w:rsid w:val="009660FF"/>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6765"/>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8A4"/>
    <w:rsid w:val="009A4908"/>
    <w:rsid w:val="009A4A3E"/>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70"/>
    <w:rsid w:val="009C3AE8"/>
    <w:rsid w:val="009C4087"/>
    <w:rsid w:val="009C4959"/>
    <w:rsid w:val="009C4CFF"/>
    <w:rsid w:val="009C5961"/>
    <w:rsid w:val="009C76A3"/>
    <w:rsid w:val="009C79E5"/>
    <w:rsid w:val="009C7ACB"/>
    <w:rsid w:val="009C7C85"/>
    <w:rsid w:val="009D03F6"/>
    <w:rsid w:val="009D1578"/>
    <w:rsid w:val="009D6353"/>
    <w:rsid w:val="009D6CF0"/>
    <w:rsid w:val="009D6E22"/>
    <w:rsid w:val="009D75A9"/>
    <w:rsid w:val="009D7906"/>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48E"/>
    <w:rsid w:val="009E65CA"/>
    <w:rsid w:val="009E699D"/>
    <w:rsid w:val="009F1904"/>
    <w:rsid w:val="009F209E"/>
    <w:rsid w:val="009F2446"/>
    <w:rsid w:val="009F2450"/>
    <w:rsid w:val="009F2BF4"/>
    <w:rsid w:val="009F2C12"/>
    <w:rsid w:val="009F2F47"/>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1E64"/>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87D"/>
    <w:rsid w:val="00A20573"/>
    <w:rsid w:val="00A205B6"/>
    <w:rsid w:val="00A207FA"/>
    <w:rsid w:val="00A20C9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555"/>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99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0C15"/>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80"/>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1053"/>
    <w:rsid w:val="00AA1A77"/>
    <w:rsid w:val="00AA25C9"/>
    <w:rsid w:val="00AA3676"/>
    <w:rsid w:val="00AA3726"/>
    <w:rsid w:val="00AA40AA"/>
    <w:rsid w:val="00AA4F09"/>
    <w:rsid w:val="00AA67F0"/>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316"/>
    <w:rsid w:val="00AB4B6A"/>
    <w:rsid w:val="00AB502F"/>
    <w:rsid w:val="00AB50C3"/>
    <w:rsid w:val="00AB57D9"/>
    <w:rsid w:val="00AB6F61"/>
    <w:rsid w:val="00AB71B1"/>
    <w:rsid w:val="00AB7601"/>
    <w:rsid w:val="00AB7957"/>
    <w:rsid w:val="00AB7A15"/>
    <w:rsid w:val="00AC0BD8"/>
    <w:rsid w:val="00AC1E53"/>
    <w:rsid w:val="00AC2F56"/>
    <w:rsid w:val="00AC42FA"/>
    <w:rsid w:val="00AC455C"/>
    <w:rsid w:val="00AC45CA"/>
    <w:rsid w:val="00AC4D66"/>
    <w:rsid w:val="00AC5C0E"/>
    <w:rsid w:val="00AC5FCE"/>
    <w:rsid w:val="00AC615E"/>
    <w:rsid w:val="00AC62B7"/>
    <w:rsid w:val="00AC6BDA"/>
    <w:rsid w:val="00AC6E20"/>
    <w:rsid w:val="00AC7A38"/>
    <w:rsid w:val="00AD0404"/>
    <w:rsid w:val="00AD0721"/>
    <w:rsid w:val="00AD07F1"/>
    <w:rsid w:val="00AD20E0"/>
    <w:rsid w:val="00AD2BE1"/>
    <w:rsid w:val="00AD3477"/>
    <w:rsid w:val="00AD3C49"/>
    <w:rsid w:val="00AD3D21"/>
    <w:rsid w:val="00AD68F8"/>
    <w:rsid w:val="00AD692B"/>
    <w:rsid w:val="00AE0B68"/>
    <w:rsid w:val="00AE0CA2"/>
    <w:rsid w:val="00AE10CD"/>
    <w:rsid w:val="00AE1499"/>
    <w:rsid w:val="00AE2D0A"/>
    <w:rsid w:val="00AE3725"/>
    <w:rsid w:val="00AE3AE0"/>
    <w:rsid w:val="00AE448F"/>
    <w:rsid w:val="00AE4E58"/>
    <w:rsid w:val="00AE4F14"/>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75D"/>
    <w:rsid w:val="00AF5D55"/>
    <w:rsid w:val="00AF605B"/>
    <w:rsid w:val="00AF741B"/>
    <w:rsid w:val="00AF7453"/>
    <w:rsid w:val="00AF7C3D"/>
    <w:rsid w:val="00AF7E72"/>
    <w:rsid w:val="00B00C97"/>
    <w:rsid w:val="00B0115C"/>
    <w:rsid w:val="00B01F83"/>
    <w:rsid w:val="00B0338C"/>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0D"/>
    <w:rsid w:val="00B16D63"/>
    <w:rsid w:val="00B17629"/>
    <w:rsid w:val="00B21D6E"/>
    <w:rsid w:val="00B22C39"/>
    <w:rsid w:val="00B22DE0"/>
    <w:rsid w:val="00B23D2D"/>
    <w:rsid w:val="00B24380"/>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A2F"/>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097F"/>
    <w:rsid w:val="00B410B3"/>
    <w:rsid w:val="00B4190C"/>
    <w:rsid w:val="00B41956"/>
    <w:rsid w:val="00B42A22"/>
    <w:rsid w:val="00B43539"/>
    <w:rsid w:val="00B45535"/>
    <w:rsid w:val="00B4553C"/>
    <w:rsid w:val="00B4572C"/>
    <w:rsid w:val="00B459C8"/>
    <w:rsid w:val="00B45BAB"/>
    <w:rsid w:val="00B46975"/>
    <w:rsid w:val="00B472EC"/>
    <w:rsid w:val="00B52046"/>
    <w:rsid w:val="00B5259A"/>
    <w:rsid w:val="00B52CB1"/>
    <w:rsid w:val="00B53B6D"/>
    <w:rsid w:val="00B53C9A"/>
    <w:rsid w:val="00B53D31"/>
    <w:rsid w:val="00B54F0D"/>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38"/>
    <w:rsid w:val="00B65CBD"/>
    <w:rsid w:val="00B66802"/>
    <w:rsid w:val="00B67453"/>
    <w:rsid w:val="00B675F7"/>
    <w:rsid w:val="00B677EA"/>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4F32"/>
    <w:rsid w:val="00B952E7"/>
    <w:rsid w:val="00B95B2F"/>
    <w:rsid w:val="00B95E21"/>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3A31"/>
    <w:rsid w:val="00BC406F"/>
    <w:rsid w:val="00BC4C88"/>
    <w:rsid w:val="00BC59CA"/>
    <w:rsid w:val="00BC6970"/>
    <w:rsid w:val="00BC6BA8"/>
    <w:rsid w:val="00BC6D81"/>
    <w:rsid w:val="00BC6F87"/>
    <w:rsid w:val="00BC734E"/>
    <w:rsid w:val="00BC7713"/>
    <w:rsid w:val="00BC7C93"/>
    <w:rsid w:val="00BD0286"/>
    <w:rsid w:val="00BD0A29"/>
    <w:rsid w:val="00BD1B3F"/>
    <w:rsid w:val="00BD33A9"/>
    <w:rsid w:val="00BD33BE"/>
    <w:rsid w:val="00BD3792"/>
    <w:rsid w:val="00BD3C72"/>
    <w:rsid w:val="00BD4E12"/>
    <w:rsid w:val="00BD56F8"/>
    <w:rsid w:val="00BD5D4E"/>
    <w:rsid w:val="00BD5F7E"/>
    <w:rsid w:val="00BD7991"/>
    <w:rsid w:val="00BE0BDD"/>
    <w:rsid w:val="00BE21E3"/>
    <w:rsid w:val="00BE305B"/>
    <w:rsid w:val="00BE5F4E"/>
    <w:rsid w:val="00BE62B2"/>
    <w:rsid w:val="00BE6350"/>
    <w:rsid w:val="00BE67F1"/>
    <w:rsid w:val="00BE6B55"/>
    <w:rsid w:val="00BE7287"/>
    <w:rsid w:val="00BE7C93"/>
    <w:rsid w:val="00BF0362"/>
    <w:rsid w:val="00BF0479"/>
    <w:rsid w:val="00BF0D73"/>
    <w:rsid w:val="00BF1A87"/>
    <w:rsid w:val="00BF1D23"/>
    <w:rsid w:val="00BF1F82"/>
    <w:rsid w:val="00BF2520"/>
    <w:rsid w:val="00BF3470"/>
    <w:rsid w:val="00BF3B94"/>
    <w:rsid w:val="00BF3FF8"/>
    <w:rsid w:val="00BF4C53"/>
    <w:rsid w:val="00BF54DC"/>
    <w:rsid w:val="00BF5748"/>
    <w:rsid w:val="00BF6270"/>
    <w:rsid w:val="00BF67B7"/>
    <w:rsid w:val="00BF770B"/>
    <w:rsid w:val="00BF7802"/>
    <w:rsid w:val="00C01510"/>
    <w:rsid w:val="00C01CEB"/>
    <w:rsid w:val="00C01F6E"/>
    <w:rsid w:val="00C03249"/>
    <w:rsid w:val="00C04BAE"/>
    <w:rsid w:val="00C05896"/>
    <w:rsid w:val="00C0599A"/>
    <w:rsid w:val="00C06C42"/>
    <w:rsid w:val="00C06EB2"/>
    <w:rsid w:val="00C073DA"/>
    <w:rsid w:val="00C07C15"/>
    <w:rsid w:val="00C10B9B"/>
    <w:rsid w:val="00C10C30"/>
    <w:rsid w:val="00C1104C"/>
    <w:rsid w:val="00C11577"/>
    <w:rsid w:val="00C11DC5"/>
    <w:rsid w:val="00C11F13"/>
    <w:rsid w:val="00C11F39"/>
    <w:rsid w:val="00C11F55"/>
    <w:rsid w:val="00C12249"/>
    <w:rsid w:val="00C1250E"/>
    <w:rsid w:val="00C12A29"/>
    <w:rsid w:val="00C138E7"/>
    <w:rsid w:val="00C139A1"/>
    <w:rsid w:val="00C1448C"/>
    <w:rsid w:val="00C14D7A"/>
    <w:rsid w:val="00C16C4B"/>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686"/>
    <w:rsid w:val="00C23F8A"/>
    <w:rsid w:val="00C24B05"/>
    <w:rsid w:val="00C25052"/>
    <w:rsid w:val="00C25D31"/>
    <w:rsid w:val="00C262C1"/>
    <w:rsid w:val="00C265D0"/>
    <w:rsid w:val="00C26FE5"/>
    <w:rsid w:val="00C3022B"/>
    <w:rsid w:val="00C30723"/>
    <w:rsid w:val="00C31756"/>
    <w:rsid w:val="00C31F7F"/>
    <w:rsid w:val="00C32186"/>
    <w:rsid w:val="00C335AE"/>
    <w:rsid w:val="00C3427B"/>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960"/>
    <w:rsid w:val="00C47CFC"/>
    <w:rsid w:val="00C50260"/>
    <w:rsid w:val="00C51395"/>
    <w:rsid w:val="00C51553"/>
    <w:rsid w:val="00C518A5"/>
    <w:rsid w:val="00C51A60"/>
    <w:rsid w:val="00C520E4"/>
    <w:rsid w:val="00C52334"/>
    <w:rsid w:val="00C52C65"/>
    <w:rsid w:val="00C53110"/>
    <w:rsid w:val="00C53B12"/>
    <w:rsid w:val="00C5406E"/>
    <w:rsid w:val="00C541B2"/>
    <w:rsid w:val="00C54928"/>
    <w:rsid w:val="00C54A44"/>
    <w:rsid w:val="00C54E2A"/>
    <w:rsid w:val="00C5661F"/>
    <w:rsid w:val="00C57085"/>
    <w:rsid w:val="00C575AF"/>
    <w:rsid w:val="00C576FC"/>
    <w:rsid w:val="00C60361"/>
    <w:rsid w:val="00C60738"/>
    <w:rsid w:val="00C608D7"/>
    <w:rsid w:val="00C60D9F"/>
    <w:rsid w:val="00C6171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816DF"/>
    <w:rsid w:val="00C820EE"/>
    <w:rsid w:val="00C82CD4"/>
    <w:rsid w:val="00C84713"/>
    <w:rsid w:val="00C84758"/>
    <w:rsid w:val="00C853AB"/>
    <w:rsid w:val="00C85F72"/>
    <w:rsid w:val="00C86896"/>
    <w:rsid w:val="00C876E1"/>
    <w:rsid w:val="00C90162"/>
    <w:rsid w:val="00C908A9"/>
    <w:rsid w:val="00C908BE"/>
    <w:rsid w:val="00C90B93"/>
    <w:rsid w:val="00C91507"/>
    <w:rsid w:val="00C940C2"/>
    <w:rsid w:val="00C952E9"/>
    <w:rsid w:val="00C95AC8"/>
    <w:rsid w:val="00C95E95"/>
    <w:rsid w:val="00C9639C"/>
    <w:rsid w:val="00C9760B"/>
    <w:rsid w:val="00C976E0"/>
    <w:rsid w:val="00C9796B"/>
    <w:rsid w:val="00C97C19"/>
    <w:rsid w:val="00CA0174"/>
    <w:rsid w:val="00CA018B"/>
    <w:rsid w:val="00CA05EE"/>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844"/>
    <w:rsid w:val="00CB0A65"/>
    <w:rsid w:val="00CB1177"/>
    <w:rsid w:val="00CB1618"/>
    <w:rsid w:val="00CB1A88"/>
    <w:rsid w:val="00CB277F"/>
    <w:rsid w:val="00CB328B"/>
    <w:rsid w:val="00CB3318"/>
    <w:rsid w:val="00CB3628"/>
    <w:rsid w:val="00CB407C"/>
    <w:rsid w:val="00CB46B4"/>
    <w:rsid w:val="00CB4940"/>
    <w:rsid w:val="00CB5D5B"/>
    <w:rsid w:val="00CB6E94"/>
    <w:rsid w:val="00CB7060"/>
    <w:rsid w:val="00CB763C"/>
    <w:rsid w:val="00CB77F2"/>
    <w:rsid w:val="00CB7DD6"/>
    <w:rsid w:val="00CC0438"/>
    <w:rsid w:val="00CC0563"/>
    <w:rsid w:val="00CC140D"/>
    <w:rsid w:val="00CC1E56"/>
    <w:rsid w:val="00CC2270"/>
    <w:rsid w:val="00CC3277"/>
    <w:rsid w:val="00CC385B"/>
    <w:rsid w:val="00CC4207"/>
    <w:rsid w:val="00CC5222"/>
    <w:rsid w:val="00CC5775"/>
    <w:rsid w:val="00CC62CD"/>
    <w:rsid w:val="00CC6C6A"/>
    <w:rsid w:val="00CC7881"/>
    <w:rsid w:val="00CC7971"/>
    <w:rsid w:val="00CD0422"/>
    <w:rsid w:val="00CD083E"/>
    <w:rsid w:val="00CD0982"/>
    <w:rsid w:val="00CD124B"/>
    <w:rsid w:val="00CD19CF"/>
    <w:rsid w:val="00CD2987"/>
    <w:rsid w:val="00CD2A22"/>
    <w:rsid w:val="00CD2A3D"/>
    <w:rsid w:val="00CD2EE0"/>
    <w:rsid w:val="00CD3DD5"/>
    <w:rsid w:val="00CD400D"/>
    <w:rsid w:val="00CD40C7"/>
    <w:rsid w:val="00CD5885"/>
    <w:rsid w:val="00CD5D11"/>
    <w:rsid w:val="00CD63D3"/>
    <w:rsid w:val="00CD6924"/>
    <w:rsid w:val="00CD7055"/>
    <w:rsid w:val="00CD7340"/>
    <w:rsid w:val="00CD73E8"/>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15DD"/>
    <w:rsid w:val="00CF223D"/>
    <w:rsid w:val="00CF2703"/>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2045"/>
    <w:rsid w:val="00D0354D"/>
    <w:rsid w:val="00D0497C"/>
    <w:rsid w:val="00D04F45"/>
    <w:rsid w:val="00D04FAA"/>
    <w:rsid w:val="00D0548B"/>
    <w:rsid w:val="00D05AEE"/>
    <w:rsid w:val="00D05D6E"/>
    <w:rsid w:val="00D0648D"/>
    <w:rsid w:val="00D06EB9"/>
    <w:rsid w:val="00D1153F"/>
    <w:rsid w:val="00D11995"/>
    <w:rsid w:val="00D11CFD"/>
    <w:rsid w:val="00D12432"/>
    <w:rsid w:val="00D12AD9"/>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23D"/>
    <w:rsid w:val="00D35597"/>
    <w:rsid w:val="00D35689"/>
    <w:rsid w:val="00D365FA"/>
    <w:rsid w:val="00D369BC"/>
    <w:rsid w:val="00D37093"/>
    <w:rsid w:val="00D40425"/>
    <w:rsid w:val="00D40BC3"/>
    <w:rsid w:val="00D40D6B"/>
    <w:rsid w:val="00D4129E"/>
    <w:rsid w:val="00D418A3"/>
    <w:rsid w:val="00D41AB6"/>
    <w:rsid w:val="00D42946"/>
    <w:rsid w:val="00D43984"/>
    <w:rsid w:val="00D4459D"/>
    <w:rsid w:val="00D45A14"/>
    <w:rsid w:val="00D46BE9"/>
    <w:rsid w:val="00D46FA2"/>
    <w:rsid w:val="00D47451"/>
    <w:rsid w:val="00D47564"/>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9A1"/>
    <w:rsid w:val="00D64BEA"/>
    <w:rsid w:val="00D65C02"/>
    <w:rsid w:val="00D65CC7"/>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67AE"/>
    <w:rsid w:val="00D77AD8"/>
    <w:rsid w:val="00D80605"/>
    <w:rsid w:val="00D80973"/>
    <w:rsid w:val="00D80BD8"/>
    <w:rsid w:val="00D82A2B"/>
    <w:rsid w:val="00D8301D"/>
    <w:rsid w:val="00D8473E"/>
    <w:rsid w:val="00D86255"/>
    <w:rsid w:val="00D863D1"/>
    <w:rsid w:val="00D872B7"/>
    <w:rsid w:val="00D8798B"/>
    <w:rsid w:val="00D87DCF"/>
    <w:rsid w:val="00D87F5B"/>
    <w:rsid w:val="00D90125"/>
    <w:rsid w:val="00D9057B"/>
    <w:rsid w:val="00D9096B"/>
    <w:rsid w:val="00D90ED1"/>
    <w:rsid w:val="00D91C34"/>
    <w:rsid w:val="00D925C5"/>
    <w:rsid w:val="00D9279F"/>
    <w:rsid w:val="00D948F3"/>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000"/>
    <w:rsid w:val="00DA52EB"/>
    <w:rsid w:val="00DA5CD6"/>
    <w:rsid w:val="00DA6868"/>
    <w:rsid w:val="00DA7044"/>
    <w:rsid w:val="00DB0312"/>
    <w:rsid w:val="00DB115A"/>
    <w:rsid w:val="00DB31DB"/>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2DA2"/>
    <w:rsid w:val="00DC2F60"/>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1BFE"/>
    <w:rsid w:val="00DE367F"/>
    <w:rsid w:val="00DE3E2A"/>
    <w:rsid w:val="00DE4973"/>
    <w:rsid w:val="00DE5469"/>
    <w:rsid w:val="00DE5D83"/>
    <w:rsid w:val="00DE5E85"/>
    <w:rsid w:val="00DE704F"/>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510"/>
    <w:rsid w:val="00E072B0"/>
    <w:rsid w:val="00E07C90"/>
    <w:rsid w:val="00E111E7"/>
    <w:rsid w:val="00E111F8"/>
    <w:rsid w:val="00E12041"/>
    <w:rsid w:val="00E12618"/>
    <w:rsid w:val="00E129DF"/>
    <w:rsid w:val="00E12B5D"/>
    <w:rsid w:val="00E12C2E"/>
    <w:rsid w:val="00E13435"/>
    <w:rsid w:val="00E13F23"/>
    <w:rsid w:val="00E143D4"/>
    <w:rsid w:val="00E14773"/>
    <w:rsid w:val="00E1521D"/>
    <w:rsid w:val="00E154D2"/>
    <w:rsid w:val="00E155E5"/>
    <w:rsid w:val="00E16C08"/>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34B8"/>
    <w:rsid w:val="00E33C3F"/>
    <w:rsid w:val="00E3511E"/>
    <w:rsid w:val="00E36F8A"/>
    <w:rsid w:val="00E37394"/>
    <w:rsid w:val="00E37A6A"/>
    <w:rsid w:val="00E37CC3"/>
    <w:rsid w:val="00E40479"/>
    <w:rsid w:val="00E40FB5"/>
    <w:rsid w:val="00E41884"/>
    <w:rsid w:val="00E4192C"/>
    <w:rsid w:val="00E41DF6"/>
    <w:rsid w:val="00E420CB"/>
    <w:rsid w:val="00E42BB9"/>
    <w:rsid w:val="00E42FB9"/>
    <w:rsid w:val="00E451B6"/>
    <w:rsid w:val="00E454AD"/>
    <w:rsid w:val="00E45F16"/>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603AF"/>
    <w:rsid w:val="00E604FA"/>
    <w:rsid w:val="00E60FAB"/>
    <w:rsid w:val="00E6133F"/>
    <w:rsid w:val="00E615BD"/>
    <w:rsid w:val="00E61F48"/>
    <w:rsid w:val="00E62A1B"/>
    <w:rsid w:val="00E62B98"/>
    <w:rsid w:val="00E62F16"/>
    <w:rsid w:val="00E631E5"/>
    <w:rsid w:val="00E6329E"/>
    <w:rsid w:val="00E6390E"/>
    <w:rsid w:val="00E63980"/>
    <w:rsid w:val="00E65018"/>
    <w:rsid w:val="00E66EAB"/>
    <w:rsid w:val="00E67339"/>
    <w:rsid w:val="00E6734C"/>
    <w:rsid w:val="00E67560"/>
    <w:rsid w:val="00E67B4D"/>
    <w:rsid w:val="00E67B50"/>
    <w:rsid w:val="00E67EF0"/>
    <w:rsid w:val="00E705EE"/>
    <w:rsid w:val="00E70B72"/>
    <w:rsid w:val="00E70FDA"/>
    <w:rsid w:val="00E7132D"/>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58D"/>
    <w:rsid w:val="00EA2FC0"/>
    <w:rsid w:val="00EA3F5C"/>
    <w:rsid w:val="00EA4397"/>
    <w:rsid w:val="00EA4816"/>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6AE3"/>
    <w:rsid w:val="00ED7786"/>
    <w:rsid w:val="00ED7EA9"/>
    <w:rsid w:val="00EE00E5"/>
    <w:rsid w:val="00EE0B31"/>
    <w:rsid w:val="00EE1E9C"/>
    <w:rsid w:val="00EE200B"/>
    <w:rsid w:val="00EE2083"/>
    <w:rsid w:val="00EE20A8"/>
    <w:rsid w:val="00EE2140"/>
    <w:rsid w:val="00EE23BC"/>
    <w:rsid w:val="00EE25D9"/>
    <w:rsid w:val="00EE2AFA"/>
    <w:rsid w:val="00EE433B"/>
    <w:rsid w:val="00EE46D0"/>
    <w:rsid w:val="00EE476D"/>
    <w:rsid w:val="00EE49A6"/>
    <w:rsid w:val="00EE4C73"/>
    <w:rsid w:val="00EE5ACC"/>
    <w:rsid w:val="00EE5C23"/>
    <w:rsid w:val="00EE67FE"/>
    <w:rsid w:val="00EE6BDD"/>
    <w:rsid w:val="00EE703E"/>
    <w:rsid w:val="00EE76F0"/>
    <w:rsid w:val="00EE7B1C"/>
    <w:rsid w:val="00EF02BD"/>
    <w:rsid w:val="00EF17B9"/>
    <w:rsid w:val="00EF1EB9"/>
    <w:rsid w:val="00EF274D"/>
    <w:rsid w:val="00EF2A0D"/>
    <w:rsid w:val="00EF3436"/>
    <w:rsid w:val="00EF34F6"/>
    <w:rsid w:val="00EF355D"/>
    <w:rsid w:val="00EF3725"/>
    <w:rsid w:val="00EF37B5"/>
    <w:rsid w:val="00EF388A"/>
    <w:rsid w:val="00EF3B9C"/>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AA5"/>
    <w:rsid w:val="00F11E55"/>
    <w:rsid w:val="00F1210C"/>
    <w:rsid w:val="00F128DE"/>
    <w:rsid w:val="00F12DF4"/>
    <w:rsid w:val="00F13400"/>
    <w:rsid w:val="00F1411B"/>
    <w:rsid w:val="00F149A9"/>
    <w:rsid w:val="00F14C07"/>
    <w:rsid w:val="00F14C0C"/>
    <w:rsid w:val="00F14CD6"/>
    <w:rsid w:val="00F154D7"/>
    <w:rsid w:val="00F1585C"/>
    <w:rsid w:val="00F15FFE"/>
    <w:rsid w:val="00F16901"/>
    <w:rsid w:val="00F16FA4"/>
    <w:rsid w:val="00F17267"/>
    <w:rsid w:val="00F21448"/>
    <w:rsid w:val="00F2210C"/>
    <w:rsid w:val="00F231FB"/>
    <w:rsid w:val="00F243C4"/>
    <w:rsid w:val="00F243FF"/>
    <w:rsid w:val="00F25199"/>
    <w:rsid w:val="00F254D8"/>
    <w:rsid w:val="00F26A46"/>
    <w:rsid w:val="00F26F86"/>
    <w:rsid w:val="00F2780A"/>
    <w:rsid w:val="00F30B28"/>
    <w:rsid w:val="00F314EF"/>
    <w:rsid w:val="00F3167E"/>
    <w:rsid w:val="00F332B2"/>
    <w:rsid w:val="00F33DD2"/>
    <w:rsid w:val="00F33E94"/>
    <w:rsid w:val="00F33F0D"/>
    <w:rsid w:val="00F352BD"/>
    <w:rsid w:val="00F3589E"/>
    <w:rsid w:val="00F35DAE"/>
    <w:rsid w:val="00F368F2"/>
    <w:rsid w:val="00F3715D"/>
    <w:rsid w:val="00F37A09"/>
    <w:rsid w:val="00F404BF"/>
    <w:rsid w:val="00F405B4"/>
    <w:rsid w:val="00F40EB5"/>
    <w:rsid w:val="00F40F31"/>
    <w:rsid w:val="00F41380"/>
    <w:rsid w:val="00F41421"/>
    <w:rsid w:val="00F41886"/>
    <w:rsid w:val="00F419C3"/>
    <w:rsid w:val="00F41A80"/>
    <w:rsid w:val="00F41C4B"/>
    <w:rsid w:val="00F43206"/>
    <w:rsid w:val="00F435B6"/>
    <w:rsid w:val="00F43849"/>
    <w:rsid w:val="00F4392C"/>
    <w:rsid w:val="00F448F9"/>
    <w:rsid w:val="00F44EC7"/>
    <w:rsid w:val="00F452E7"/>
    <w:rsid w:val="00F4670C"/>
    <w:rsid w:val="00F467C0"/>
    <w:rsid w:val="00F47C6B"/>
    <w:rsid w:val="00F5002C"/>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4675"/>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77BCA"/>
    <w:rsid w:val="00F805CA"/>
    <w:rsid w:val="00F807A4"/>
    <w:rsid w:val="00F809ED"/>
    <w:rsid w:val="00F80DD8"/>
    <w:rsid w:val="00F81914"/>
    <w:rsid w:val="00F81B7D"/>
    <w:rsid w:val="00F824D5"/>
    <w:rsid w:val="00F82628"/>
    <w:rsid w:val="00F82BC6"/>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7C4"/>
    <w:rsid w:val="00F96A46"/>
    <w:rsid w:val="00F96BB8"/>
    <w:rsid w:val="00F97647"/>
    <w:rsid w:val="00F97A19"/>
    <w:rsid w:val="00FA068B"/>
    <w:rsid w:val="00FA1B1B"/>
    <w:rsid w:val="00FA2534"/>
    <w:rsid w:val="00FA2BC2"/>
    <w:rsid w:val="00FA37EA"/>
    <w:rsid w:val="00FA381E"/>
    <w:rsid w:val="00FA3DE3"/>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935"/>
    <w:rsid w:val="00FC3BB3"/>
    <w:rsid w:val="00FC3ED9"/>
    <w:rsid w:val="00FC54D5"/>
    <w:rsid w:val="00FC664D"/>
    <w:rsid w:val="00FC737A"/>
    <w:rsid w:val="00FC7844"/>
    <w:rsid w:val="00FC7DBB"/>
    <w:rsid w:val="00FD0A8B"/>
    <w:rsid w:val="00FD1512"/>
    <w:rsid w:val="00FD1AB4"/>
    <w:rsid w:val="00FD1DDF"/>
    <w:rsid w:val="00FD28E8"/>
    <w:rsid w:val="00FD3330"/>
    <w:rsid w:val="00FD3355"/>
    <w:rsid w:val="00FD3CF7"/>
    <w:rsid w:val="00FD472A"/>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3CEA"/>
    <w:rsid w:val="00FF3F18"/>
    <w:rsid w:val="00FF4169"/>
    <w:rsid w:val="00FF4B56"/>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character" w:customStyle="1" w:styleId="CommentTextChar">
    <w:name w:val="Comment Text Char"/>
    <w:basedOn w:val="DefaultParagraphFont"/>
    <w:link w:val="CommentText"/>
    <w:rsid w:val="00377360"/>
  </w:style>
  <w:style w:type="paragraph" w:styleId="Revision">
    <w:name w:val="Revision"/>
    <w:hidden/>
    <w:uiPriority w:val="99"/>
    <w:semiHidden/>
    <w:rsid w:val="00DA7044"/>
  </w:style>
  <w:style w:type="paragraph" w:customStyle="1" w:styleId="3Bodytext">
    <w:name w:val="3. Body text"/>
    <w:basedOn w:val="ListParagraph"/>
    <w:link w:val="3BodytextChar"/>
    <w:qFormat/>
    <w:rsid w:val="00A205B6"/>
    <w:pPr>
      <w:spacing w:after="120"/>
      <w:ind w:hanging="720"/>
      <w:contextualSpacing w:val="0"/>
    </w:pPr>
    <w:rPr>
      <w:rFonts w:asciiTheme="minorHAnsi" w:eastAsiaTheme="minorHAnsi" w:hAnsiTheme="minorHAnsi" w:cstheme="minorBidi"/>
      <w:szCs w:val="22"/>
    </w:rPr>
  </w:style>
  <w:style w:type="character" w:customStyle="1" w:styleId="3BodytextChar">
    <w:name w:val="3. Body text Char"/>
    <w:basedOn w:val="DefaultParagraphFont"/>
    <w:link w:val="3Bodytext"/>
    <w:rsid w:val="00A205B6"/>
    <w:rPr>
      <w:rFonts w:asciiTheme="minorHAnsi" w:eastAsiaTheme="minorHAnsi" w:hAnsiTheme="minorHAnsi" w:cstheme="minorBidi"/>
      <w:sz w:val="24"/>
      <w:szCs w:val="22"/>
    </w:rPr>
  </w:style>
  <w:style w:type="paragraph" w:customStyle="1" w:styleId="2-SectionHeading">
    <w:name w:val="2-Section Heading"/>
    <w:qFormat/>
    <w:rsid w:val="00A205B6"/>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C12A29"/>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C12A29"/>
    <w:rPr>
      <w:rFonts w:asciiTheme="minorHAnsi" w:hAnsiTheme="minorHAnsi" w:cs="Arial"/>
      <w:snapToGrid w:val="0"/>
      <w:sz w:val="24"/>
      <w:szCs w:val="24"/>
    </w:rPr>
  </w:style>
  <w:style w:type="paragraph" w:customStyle="1" w:styleId="4Bodytextnumbered">
    <w:name w:val="4. Body text numbered"/>
    <w:basedOn w:val="ListParagraph"/>
    <w:qFormat/>
    <w:rsid w:val="00952ADE"/>
    <w:pPr>
      <w:spacing w:after="120"/>
      <w:ind w:hanging="720"/>
      <w:contextualSpacing w:val="0"/>
      <w:jc w:val="both"/>
    </w:pPr>
    <w:rPr>
      <w:rFonts w:asciiTheme="minorHAnsi" w:eastAsiaTheme="minorHAnsi" w:hAnsiTheme="minorHAnsi" w:cstheme="minorBidi"/>
      <w:szCs w:val="22"/>
      <w:lang w:eastAsia="en-US"/>
    </w:rPr>
  </w:style>
  <w:style w:type="paragraph" w:styleId="NoSpacing">
    <w:name w:val="No Spacing"/>
    <w:basedOn w:val="Normal"/>
    <w:link w:val="NoSpacingChar"/>
    <w:uiPriority w:val="1"/>
    <w:qFormat/>
    <w:rsid w:val="00EE2AFA"/>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EE2AFA"/>
    <w:rPr>
      <w:rFonts w:asciiTheme="minorHAnsi" w:hAnsiTheme="minorHAnsi" w:cstheme="minorHAnsi"/>
      <w:sz w:val="24"/>
      <w:szCs w:val="24"/>
      <w:lang w:eastAsia="en-US"/>
    </w:rPr>
  </w:style>
  <w:style w:type="paragraph" w:customStyle="1" w:styleId="2Sections">
    <w:name w:val="2. Sections"/>
    <w:qFormat/>
    <w:rsid w:val="000B2350"/>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
    <w:name w:val="4. Body text"/>
    <w:basedOn w:val="4Bodytextnumbered"/>
    <w:link w:val="4BodytextChar"/>
    <w:qFormat/>
    <w:rsid w:val="000B2350"/>
  </w:style>
  <w:style w:type="character" w:customStyle="1" w:styleId="4BodytextChar">
    <w:name w:val="4. Body text Char"/>
    <w:basedOn w:val="DefaultParagraphFont"/>
    <w:link w:val="4Bodytext"/>
    <w:rsid w:val="000B2350"/>
    <w:rPr>
      <w:rFonts w:asciiTheme="minorHAnsi" w:eastAsiaTheme="minorHAnsi" w:hAnsi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79263660">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94AD9-CF87-4623-89D7-215FA1AA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2547</Words>
  <Characters>15015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2021-09-16T01:39:00Z</dcterms:created>
  <dcterms:modified xsi:type="dcterms:W3CDTF">2022-09-09T05:06:00Z</dcterms:modified>
</cp:coreProperties>
</file>