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B0EE" w14:textId="77777777" w:rsidR="00D7136A" w:rsidRDefault="00464DA0" w:rsidP="00267A9D">
      <w:pPr>
        <w:contextualSpacing/>
        <w:jc w:val="both"/>
        <w:rPr>
          <w:rFonts w:ascii="Arial" w:hAnsi="Arial" w:cs="Arial"/>
          <w:b/>
          <w:szCs w:val="20"/>
          <w:lang w:val="en-AU" w:eastAsia="en-AU"/>
        </w:rPr>
      </w:pPr>
      <w:bookmarkStart w:id="0" w:name="_GoBack"/>
      <w:bookmarkEnd w:id="0"/>
      <w:r>
        <w:rPr>
          <w:rFonts w:ascii="Arial" w:hAnsi="Arial" w:cs="Arial"/>
          <w:b/>
          <w:sz w:val="28"/>
          <w:lang w:val="en-AU" w:eastAsia="en-AU"/>
        </w:rPr>
        <w:t xml:space="preserve">PBAC CONSIDERATION OF THE </w:t>
      </w:r>
      <w:r w:rsidR="00D7136A">
        <w:rPr>
          <w:rFonts w:ascii="Arial" w:hAnsi="Arial" w:cs="Arial"/>
          <w:b/>
          <w:sz w:val="28"/>
          <w:lang w:val="en-AU" w:eastAsia="en-AU"/>
        </w:rPr>
        <w:t>REPORT</w:t>
      </w:r>
      <w:r w:rsidR="00267A9D">
        <w:rPr>
          <w:rFonts w:ascii="Arial" w:hAnsi="Arial" w:cs="Arial"/>
          <w:b/>
          <w:sz w:val="28"/>
          <w:lang w:val="en-AU" w:eastAsia="en-AU"/>
        </w:rPr>
        <w:t xml:space="preserve"> OF THE DRUG </w:t>
      </w:r>
      <w:r w:rsidR="00D7136A" w:rsidRPr="00B94022">
        <w:rPr>
          <w:rFonts w:ascii="Arial" w:hAnsi="Arial" w:cs="Arial"/>
          <w:b/>
          <w:sz w:val="28"/>
          <w:lang w:val="en-AU" w:eastAsia="en-AU"/>
        </w:rPr>
        <w:t>UTILISATION SUB-COMMITTEE</w:t>
      </w:r>
    </w:p>
    <w:p w14:paraId="7F124E9C" w14:textId="77777777" w:rsidR="00D7136A" w:rsidRPr="006951BF" w:rsidRDefault="00D7136A" w:rsidP="00D7136A">
      <w:pPr>
        <w:jc w:val="both"/>
        <w:rPr>
          <w:rFonts w:ascii="Arial" w:hAnsi="Arial" w:cs="Arial"/>
          <w:b/>
          <w:sz w:val="28"/>
          <w:szCs w:val="20"/>
          <w:lang w:val="en-AU" w:eastAsia="en-AU"/>
        </w:rPr>
      </w:pPr>
    </w:p>
    <w:p w14:paraId="7C5EA0B1" w14:textId="6E3C82F0" w:rsidR="00D7136A" w:rsidRPr="006951BF" w:rsidRDefault="00D7136A" w:rsidP="00BD0BA3">
      <w:pPr>
        <w:contextualSpacing/>
        <w:rPr>
          <w:rFonts w:ascii="Arial" w:hAnsi="Arial" w:cs="Arial"/>
          <w:color w:val="A6A6A6"/>
          <w:sz w:val="22"/>
          <w:lang w:val="en-AU" w:eastAsia="en-AU"/>
        </w:rPr>
      </w:pPr>
      <w:r w:rsidRPr="006951BF">
        <w:rPr>
          <w:rFonts w:ascii="Arial" w:hAnsi="Arial" w:cs="Arial"/>
          <w:sz w:val="22"/>
          <w:lang w:val="en-AU" w:eastAsia="en-AU"/>
        </w:rPr>
        <w:t xml:space="preserve">The PBAC noted utilisation reports with associated stakeholder responses from the </w:t>
      </w:r>
      <w:r w:rsidR="00BD0BA3">
        <w:rPr>
          <w:rFonts w:ascii="Arial" w:hAnsi="Arial" w:cs="Arial"/>
          <w:sz w:val="22"/>
          <w:lang w:val="en-AU" w:eastAsia="en-AU"/>
        </w:rPr>
        <w:t xml:space="preserve">February </w:t>
      </w:r>
      <w:r w:rsidR="00DB4B4C">
        <w:rPr>
          <w:rFonts w:ascii="Arial" w:hAnsi="Arial" w:cs="Arial"/>
          <w:sz w:val="22"/>
          <w:lang w:val="en-AU" w:eastAsia="en-AU"/>
        </w:rPr>
        <w:t>202</w:t>
      </w:r>
      <w:r w:rsidR="00BD0BA3">
        <w:rPr>
          <w:rFonts w:ascii="Arial" w:hAnsi="Arial" w:cs="Arial"/>
          <w:sz w:val="22"/>
          <w:lang w:val="en-AU" w:eastAsia="en-AU"/>
        </w:rPr>
        <w:t>1</w:t>
      </w:r>
      <w:r w:rsidR="00DB4B4C">
        <w:rPr>
          <w:rFonts w:ascii="Arial" w:hAnsi="Arial" w:cs="Arial"/>
          <w:sz w:val="22"/>
          <w:lang w:val="en-AU" w:eastAsia="en-AU"/>
        </w:rPr>
        <w:t xml:space="preserve"> </w:t>
      </w:r>
      <w:r w:rsidR="00A31269" w:rsidRPr="006951BF">
        <w:rPr>
          <w:rFonts w:ascii="Arial" w:hAnsi="Arial" w:cs="Arial"/>
          <w:sz w:val="22"/>
          <w:lang w:val="en-AU" w:eastAsia="en-AU"/>
        </w:rPr>
        <w:t xml:space="preserve">Drug Utilisation Sub-Committee (DUSC) </w:t>
      </w:r>
      <w:r w:rsidRPr="006951BF">
        <w:rPr>
          <w:rFonts w:ascii="Arial" w:hAnsi="Arial" w:cs="Arial"/>
          <w:sz w:val="22"/>
          <w:lang w:val="en-AU" w:eastAsia="en-AU"/>
        </w:rPr>
        <w:t>meeting, which were provided in Item</w:t>
      </w:r>
      <w:r w:rsidR="00A31269" w:rsidRPr="006951BF">
        <w:rPr>
          <w:rFonts w:ascii="Arial" w:hAnsi="Arial" w:cs="Arial"/>
          <w:sz w:val="22"/>
          <w:lang w:val="en-AU" w:eastAsia="en-AU"/>
        </w:rPr>
        <w:t>s 10.0</w:t>
      </w:r>
      <w:r w:rsidR="00AF6DA0">
        <w:rPr>
          <w:rFonts w:ascii="Arial" w:hAnsi="Arial" w:cs="Arial"/>
          <w:sz w:val="22"/>
          <w:lang w:val="en-AU" w:eastAsia="en-AU"/>
        </w:rPr>
        <w:t>5</w:t>
      </w:r>
      <w:r w:rsidR="00A31269" w:rsidRPr="006951BF">
        <w:rPr>
          <w:rFonts w:ascii="Arial" w:hAnsi="Arial" w:cs="Arial"/>
          <w:sz w:val="22"/>
          <w:lang w:val="en-AU" w:eastAsia="en-AU"/>
        </w:rPr>
        <w:t xml:space="preserve"> </w:t>
      </w:r>
      <w:r w:rsidR="00BD0BA3">
        <w:rPr>
          <w:rFonts w:ascii="Arial" w:hAnsi="Arial" w:cs="Arial"/>
          <w:sz w:val="22"/>
          <w:lang w:val="en-AU" w:eastAsia="en-AU"/>
        </w:rPr>
        <w:t xml:space="preserve">and </w:t>
      </w:r>
      <w:r w:rsidR="00A31269" w:rsidRPr="006951BF">
        <w:rPr>
          <w:rFonts w:ascii="Arial" w:hAnsi="Arial" w:cs="Arial"/>
          <w:sz w:val="22"/>
          <w:lang w:val="en-AU" w:eastAsia="en-AU"/>
        </w:rPr>
        <w:t>10.0</w:t>
      </w:r>
      <w:r w:rsidR="00BD0BA3">
        <w:rPr>
          <w:rFonts w:ascii="Arial" w:hAnsi="Arial" w:cs="Arial"/>
          <w:sz w:val="22"/>
          <w:lang w:val="en-AU" w:eastAsia="en-AU"/>
        </w:rPr>
        <w:t>6</w:t>
      </w:r>
      <w:r w:rsidRPr="006951BF">
        <w:rPr>
          <w:rFonts w:ascii="Arial" w:hAnsi="Arial" w:cs="Arial"/>
          <w:sz w:val="22"/>
          <w:lang w:val="en-AU" w:eastAsia="en-AU"/>
        </w:rPr>
        <w:t xml:space="preserve"> of the PBAC Agenda. </w:t>
      </w:r>
      <w:r w:rsidR="00A31269" w:rsidRPr="006951BF">
        <w:rPr>
          <w:rFonts w:ascii="Arial" w:hAnsi="Arial" w:cs="Arial"/>
          <w:sz w:val="22"/>
          <w:lang w:val="en-AU" w:eastAsia="en-AU"/>
        </w:rPr>
        <w:t>DUSC minutes relating to these items were provided to the PBAC</w:t>
      </w:r>
      <w:r w:rsidR="00F8213A">
        <w:rPr>
          <w:rFonts w:ascii="Arial" w:hAnsi="Arial" w:cs="Arial"/>
          <w:sz w:val="22"/>
          <w:lang w:val="en-AU" w:eastAsia="en-AU"/>
        </w:rPr>
        <w:t>. The outcomes of the DUSC consideration of these items are available in</w:t>
      </w:r>
      <w:r w:rsidR="00CB6BC5">
        <w:rPr>
          <w:rFonts w:ascii="Arial" w:hAnsi="Arial" w:cs="Arial"/>
          <w:sz w:val="22"/>
          <w:lang w:val="en-AU" w:eastAsia="en-AU"/>
        </w:rPr>
        <w:t xml:space="preserve"> the</w:t>
      </w:r>
      <w:r w:rsidR="00BD0BA3">
        <w:rPr>
          <w:rFonts w:ascii="Arial" w:hAnsi="Arial" w:cs="Arial"/>
          <w:sz w:val="22"/>
          <w:lang w:val="en-AU" w:eastAsia="en-AU"/>
        </w:rPr>
        <w:t xml:space="preserve"> </w:t>
      </w:r>
      <w:hyperlink r:id="rId8" w:history="1">
        <w:r w:rsidR="00BD0BA3" w:rsidRPr="00BD0BA3">
          <w:rPr>
            <w:rStyle w:val="Hyperlink"/>
            <w:rFonts w:ascii="Arial" w:hAnsi="Arial" w:cs="Arial"/>
            <w:sz w:val="22"/>
            <w:lang w:val="en-AU" w:eastAsia="en-AU"/>
          </w:rPr>
          <w:t>February 2021 DUSC outcome statement</w:t>
        </w:r>
      </w:hyperlink>
      <w:r w:rsidR="00BD0BA3">
        <w:rPr>
          <w:rFonts w:ascii="Arial" w:hAnsi="Arial" w:cs="Arial"/>
          <w:sz w:val="22"/>
          <w:lang w:val="en-AU" w:eastAsia="en-AU"/>
        </w:rPr>
        <w:t>.</w:t>
      </w:r>
    </w:p>
    <w:p w14:paraId="2BEF9007" w14:textId="25603A75" w:rsidR="005616CC" w:rsidRPr="006951BF" w:rsidRDefault="005616CC" w:rsidP="008866E8">
      <w:pPr>
        <w:contextualSpacing/>
        <w:jc w:val="both"/>
        <w:rPr>
          <w:rFonts w:ascii="Arial" w:hAnsi="Arial" w:cs="Arial"/>
          <w:b/>
          <w:sz w:val="22"/>
          <w:lang w:val="en-AU" w:eastAsia="en-AU"/>
        </w:rPr>
      </w:pPr>
    </w:p>
    <w:p w14:paraId="38EDF30F" w14:textId="077B39D9" w:rsidR="007C758A" w:rsidRPr="00362AC3" w:rsidRDefault="00BD0BA3" w:rsidP="00362AC3">
      <w:pPr>
        <w:spacing w:after="120"/>
        <w:rPr>
          <w:rFonts w:ascii="Arial" w:hAnsi="Arial" w:cs="Arial"/>
          <w:b/>
          <w:sz w:val="22"/>
          <w:lang w:val="en-AU" w:eastAsia="en-AU"/>
        </w:rPr>
      </w:pPr>
      <w:proofErr w:type="spellStart"/>
      <w:r w:rsidRPr="00362AC3">
        <w:rPr>
          <w:rFonts w:ascii="Arial" w:hAnsi="Arial" w:cs="Arial"/>
          <w:b/>
          <w:sz w:val="22"/>
          <w:lang w:val="en-AU" w:eastAsia="en-AU"/>
        </w:rPr>
        <w:t>Nusinersen</w:t>
      </w:r>
      <w:proofErr w:type="spellEnd"/>
      <w:r w:rsidRPr="00362AC3">
        <w:rPr>
          <w:rFonts w:ascii="Arial" w:hAnsi="Arial" w:cs="Arial"/>
          <w:b/>
          <w:sz w:val="22"/>
          <w:lang w:val="en-AU" w:eastAsia="en-AU"/>
        </w:rPr>
        <w:t xml:space="preserve"> for spinal muscular atrophy (SMA)</w:t>
      </w:r>
    </w:p>
    <w:p w14:paraId="58D57071" w14:textId="0303B9D6" w:rsidR="00B1693A" w:rsidRPr="00362AC3" w:rsidRDefault="00B13AD3" w:rsidP="00362AC3">
      <w:pPr>
        <w:spacing w:after="120"/>
        <w:rPr>
          <w:rFonts w:ascii="Arial" w:hAnsi="Arial" w:cs="Arial"/>
          <w:sz w:val="22"/>
          <w:szCs w:val="22"/>
        </w:rPr>
      </w:pPr>
      <w:r w:rsidRPr="00362AC3">
        <w:rPr>
          <w:rFonts w:ascii="Arial" w:hAnsi="Arial" w:cs="Arial"/>
          <w:sz w:val="22"/>
          <w:szCs w:val="22"/>
        </w:rPr>
        <w:t xml:space="preserve">This report considered </w:t>
      </w:r>
      <w:r w:rsidR="008934F5" w:rsidRPr="00362AC3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8934F5" w:rsidRPr="00362AC3">
        <w:rPr>
          <w:rFonts w:ascii="Arial" w:hAnsi="Arial" w:cs="Arial"/>
          <w:sz w:val="22"/>
          <w:szCs w:val="22"/>
        </w:rPr>
        <w:t>utilisation</w:t>
      </w:r>
      <w:proofErr w:type="spellEnd"/>
      <w:r w:rsidR="008934F5" w:rsidRPr="00362AC3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BD0BA3" w:rsidRPr="00362AC3">
        <w:rPr>
          <w:rFonts w:ascii="Arial" w:hAnsi="Arial" w:cs="Arial"/>
          <w:sz w:val="22"/>
          <w:szCs w:val="22"/>
        </w:rPr>
        <w:t>nusinersen</w:t>
      </w:r>
      <w:proofErr w:type="spellEnd"/>
      <w:r w:rsidR="00BD0BA3" w:rsidRPr="00362AC3">
        <w:rPr>
          <w:rFonts w:ascii="Arial" w:hAnsi="Arial" w:cs="Arial"/>
          <w:sz w:val="22"/>
          <w:szCs w:val="22"/>
        </w:rPr>
        <w:t xml:space="preserve"> for SMA.</w:t>
      </w:r>
    </w:p>
    <w:p w14:paraId="4711D0AD" w14:textId="77777777" w:rsidR="00A31269" w:rsidRPr="00362AC3" w:rsidRDefault="00A31269" w:rsidP="00362AC3">
      <w:pPr>
        <w:spacing w:after="120"/>
        <w:rPr>
          <w:rFonts w:ascii="Arial" w:hAnsi="Arial" w:cs="Arial"/>
          <w:i/>
          <w:sz w:val="22"/>
          <w:szCs w:val="22"/>
        </w:rPr>
      </w:pPr>
      <w:r w:rsidRPr="00362AC3">
        <w:rPr>
          <w:rFonts w:ascii="Arial" w:hAnsi="Arial" w:cs="Arial"/>
          <w:i/>
          <w:sz w:val="22"/>
          <w:szCs w:val="22"/>
        </w:rPr>
        <w:t>Outcome</w:t>
      </w:r>
    </w:p>
    <w:p w14:paraId="14B9CF10" w14:textId="7F2D9B97" w:rsidR="00EE523C" w:rsidRDefault="008934F5" w:rsidP="00EE523C">
      <w:pPr>
        <w:spacing w:after="120"/>
        <w:rPr>
          <w:rFonts w:ascii="Arial" w:hAnsi="Arial" w:cs="Arial"/>
          <w:sz w:val="22"/>
          <w:szCs w:val="22"/>
        </w:rPr>
      </w:pPr>
      <w:r w:rsidRPr="001F312C">
        <w:rPr>
          <w:rFonts w:ascii="Arial" w:hAnsi="Arial" w:cs="Arial"/>
          <w:sz w:val="22"/>
          <w:szCs w:val="22"/>
        </w:rPr>
        <w:t>PBAC noted</w:t>
      </w:r>
      <w:r w:rsidR="00EE523C">
        <w:rPr>
          <w:rFonts w:ascii="Arial" w:hAnsi="Arial" w:cs="Arial"/>
          <w:sz w:val="22"/>
          <w:szCs w:val="22"/>
        </w:rPr>
        <w:t xml:space="preserve"> that </w:t>
      </w:r>
      <w:r w:rsidR="00BD0BA3" w:rsidRPr="00301E55">
        <w:rPr>
          <w:rFonts w:ascii="Arial" w:hAnsi="Arial" w:cs="Arial"/>
          <w:sz w:val="22"/>
          <w:szCs w:val="22"/>
        </w:rPr>
        <w:t>the</w:t>
      </w:r>
      <w:r w:rsidR="00EE523C">
        <w:rPr>
          <w:rFonts w:ascii="Arial" w:hAnsi="Arial" w:cs="Arial"/>
          <w:sz w:val="22"/>
          <w:szCs w:val="22"/>
        </w:rPr>
        <w:t xml:space="preserve">re was </w:t>
      </w:r>
      <w:r w:rsidR="009203A6">
        <w:rPr>
          <w:rFonts w:ascii="Arial" w:hAnsi="Arial" w:cs="Arial"/>
          <w:sz w:val="22"/>
          <w:szCs w:val="22"/>
        </w:rPr>
        <w:t xml:space="preserve">a </w:t>
      </w:r>
      <w:r w:rsidR="00EE523C">
        <w:rPr>
          <w:rFonts w:ascii="Arial" w:hAnsi="Arial" w:cs="Arial"/>
          <w:sz w:val="22"/>
          <w:szCs w:val="22"/>
        </w:rPr>
        <w:t xml:space="preserve">higher initial uptake </w:t>
      </w:r>
      <w:r w:rsidR="00D51F57">
        <w:rPr>
          <w:rFonts w:ascii="Arial" w:hAnsi="Arial" w:cs="Arial"/>
          <w:sz w:val="22"/>
          <w:szCs w:val="22"/>
        </w:rPr>
        <w:t xml:space="preserve">of </w:t>
      </w:r>
      <w:proofErr w:type="spellStart"/>
      <w:r w:rsidR="00D51F57">
        <w:rPr>
          <w:rFonts w:ascii="Arial" w:hAnsi="Arial" w:cs="Arial"/>
          <w:sz w:val="22"/>
          <w:szCs w:val="22"/>
        </w:rPr>
        <w:t>nusinersen</w:t>
      </w:r>
      <w:proofErr w:type="spellEnd"/>
      <w:r w:rsidR="00D51F57">
        <w:rPr>
          <w:rFonts w:ascii="Arial" w:hAnsi="Arial" w:cs="Arial"/>
          <w:sz w:val="22"/>
          <w:szCs w:val="22"/>
        </w:rPr>
        <w:t xml:space="preserve"> </w:t>
      </w:r>
      <w:r w:rsidR="00EE523C">
        <w:rPr>
          <w:rFonts w:ascii="Arial" w:hAnsi="Arial" w:cs="Arial"/>
          <w:sz w:val="22"/>
          <w:szCs w:val="22"/>
        </w:rPr>
        <w:t>than expected, however it appear</w:t>
      </w:r>
      <w:r w:rsidR="009203A6">
        <w:rPr>
          <w:rFonts w:ascii="Arial" w:hAnsi="Arial" w:cs="Arial"/>
          <w:sz w:val="22"/>
          <w:szCs w:val="22"/>
        </w:rPr>
        <w:t>ed</w:t>
      </w:r>
      <w:r w:rsidR="00EE523C">
        <w:rPr>
          <w:rFonts w:ascii="Arial" w:hAnsi="Arial" w:cs="Arial"/>
          <w:sz w:val="22"/>
          <w:szCs w:val="22"/>
        </w:rPr>
        <w:t xml:space="preserve"> that the number of patients</w:t>
      </w:r>
      <w:r w:rsidR="00D51F57">
        <w:rPr>
          <w:rFonts w:ascii="Arial" w:hAnsi="Arial" w:cs="Arial"/>
          <w:sz w:val="22"/>
          <w:szCs w:val="22"/>
        </w:rPr>
        <w:t xml:space="preserve"> supplied this treatment</w:t>
      </w:r>
      <w:r w:rsidR="00EE523C">
        <w:rPr>
          <w:rFonts w:ascii="Arial" w:hAnsi="Arial" w:cs="Arial"/>
          <w:sz w:val="22"/>
          <w:szCs w:val="22"/>
        </w:rPr>
        <w:t xml:space="preserve"> </w:t>
      </w:r>
      <w:r w:rsidR="002E7273">
        <w:rPr>
          <w:rFonts w:ascii="Arial" w:hAnsi="Arial" w:cs="Arial"/>
          <w:sz w:val="22"/>
          <w:szCs w:val="22"/>
        </w:rPr>
        <w:t>through the PBS wa</w:t>
      </w:r>
      <w:r w:rsidR="00EE523C">
        <w:rPr>
          <w:rFonts w:ascii="Arial" w:hAnsi="Arial" w:cs="Arial"/>
          <w:sz w:val="22"/>
          <w:szCs w:val="22"/>
        </w:rPr>
        <w:t xml:space="preserve">s </w:t>
      </w:r>
      <w:proofErr w:type="spellStart"/>
      <w:r w:rsidR="00EE523C">
        <w:rPr>
          <w:rFonts w:ascii="Arial" w:hAnsi="Arial" w:cs="Arial"/>
          <w:sz w:val="22"/>
          <w:szCs w:val="22"/>
        </w:rPr>
        <w:t>stabilising</w:t>
      </w:r>
      <w:proofErr w:type="spellEnd"/>
      <w:r w:rsidR="00EE523C">
        <w:rPr>
          <w:rFonts w:ascii="Arial" w:hAnsi="Arial" w:cs="Arial"/>
          <w:sz w:val="22"/>
          <w:szCs w:val="22"/>
        </w:rPr>
        <w:t xml:space="preserve">. </w:t>
      </w:r>
      <w:r w:rsidR="00D51F57">
        <w:rPr>
          <w:rFonts w:ascii="Arial" w:hAnsi="Arial" w:cs="Arial"/>
          <w:sz w:val="22"/>
          <w:szCs w:val="22"/>
        </w:rPr>
        <w:t>PBAC considered that this may</w:t>
      </w:r>
      <w:r w:rsidR="002E7273">
        <w:rPr>
          <w:rFonts w:ascii="Arial" w:hAnsi="Arial" w:cs="Arial"/>
          <w:sz w:val="22"/>
          <w:szCs w:val="22"/>
        </w:rPr>
        <w:t xml:space="preserve"> partly be due to some patients</w:t>
      </w:r>
      <w:r w:rsidR="00D51F57">
        <w:rPr>
          <w:rFonts w:ascii="Arial" w:hAnsi="Arial" w:cs="Arial"/>
          <w:sz w:val="22"/>
          <w:szCs w:val="22"/>
        </w:rPr>
        <w:t xml:space="preserve"> </w:t>
      </w:r>
      <w:r w:rsidR="002E7273">
        <w:rPr>
          <w:rFonts w:ascii="Arial" w:hAnsi="Arial" w:cs="Arial"/>
          <w:sz w:val="22"/>
          <w:szCs w:val="22"/>
        </w:rPr>
        <w:t>receiving treatment through participation in clinical trials</w:t>
      </w:r>
      <w:r w:rsidR="00D51F57">
        <w:rPr>
          <w:rFonts w:ascii="Arial" w:hAnsi="Arial" w:cs="Arial"/>
          <w:sz w:val="22"/>
          <w:szCs w:val="22"/>
        </w:rPr>
        <w:t>.</w:t>
      </w:r>
    </w:p>
    <w:p w14:paraId="327490F6" w14:textId="68DE7E19" w:rsidR="00EE523C" w:rsidRPr="00EE523C" w:rsidRDefault="00EE523C" w:rsidP="00EE523C">
      <w:pPr>
        <w:spacing w:after="120"/>
        <w:rPr>
          <w:rFonts w:ascii="Arial" w:hAnsi="Arial" w:cs="Arial"/>
          <w:sz w:val="22"/>
          <w:szCs w:val="22"/>
        </w:rPr>
      </w:pPr>
      <w:r w:rsidRPr="00EE523C">
        <w:rPr>
          <w:rFonts w:ascii="Arial" w:hAnsi="Arial" w:cs="Arial"/>
          <w:sz w:val="22"/>
          <w:szCs w:val="22"/>
        </w:rPr>
        <w:t xml:space="preserve">PBAC </w:t>
      </w:r>
      <w:r w:rsidR="00D51F57">
        <w:rPr>
          <w:rFonts w:ascii="Arial" w:hAnsi="Arial" w:cs="Arial"/>
          <w:sz w:val="22"/>
          <w:szCs w:val="22"/>
        </w:rPr>
        <w:t>noted</w:t>
      </w:r>
      <w:r w:rsidRPr="00EE523C">
        <w:rPr>
          <w:rFonts w:ascii="Arial" w:hAnsi="Arial" w:cs="Arial"/>
          <w:sz w:val="22"/>
          <w:szCs w:val="22"/>
        </w:rPr>
        <w:t xml:space="preserve"> consumer advice from SMA Australia that patients had moved from overseas to Australia to access </w:t>
      </w:r>
      <w:proofErr w:type="spellStart"/>
      <w:r w:rsidRPr="00EE523C">
        <w:rPr>
          <w:rFonts w:ascii="Arial" w:hAnsi="Arial" w:cs="Arial"/>
          <w:sz w:val="22"/>
          <w:szCs w:val="22"/>
        </w:rPr>
        <w:t>nusinersen</w:t>
      </w:r>
      <w:proofErr w:type="spellEnd"/>
      <w:r w:rsidR="002E7273">
        <w:rPr>
          <w:rFonts w:ascii="Arial" w:hAnsi="Arial" w:cs="Arial"/>
          <w:sz w:val="22"/>
          <w:szCs w:val="22"/>
        </w:rPr>
        <w:t>. PBAC considered that this may have contributed to some of the higher</w:t>
      </w:r>
      <w:r w:rsidR="00D51F57">
        <w:rPr>
          <w:rFonts w:ascii="Arial" w:hAnsi="Arial" w:cs="Arial"/>
          <w:sz w:val="22"/>
          <w:szCs w:val="22"/>
        </w:rPr>
        <w:t xml:space="preserve"> than expected </w:t>
      </w:r>
      <w:r w:rsidR="002E7273">
        <w:rPr>
          <w:rFonts w:ascii="Arial" w:hAnsi="Arial" w:cs="Arial"/>
          <w:sz w:val="22"/>
          <w:szCs w:val="22"/>
        </w:rPr>
        <w:t xml:space="preserve">use </w:t>
      </w:r>
      <w:r w:rsidR="009203A6">
        <w:rPr>
          <w:rFonts w:ascii="Arial" w:hAnsi="Arial" w:cs="Arial"/>
          <w:sz w:val="22"/>
          <w:szCs w:val="22"/>
        </w:rPr>
        <w:t xml:space="preserve">of </w:t>
      </w:r>
      <w:proofErr w:type="spellStart"/>
      <w:r w:rsidR="009203A6">
        <w:rPr>
          <w:rFonts w:ascii="Arial" w:hAnsi="Arial" w:cs="Arial"/>
          <w:sz w:val="22"/>
          <w:szCs w:val="22"/>
        </w:rPr>
        <w:t>nusinersen</w:t>
      </w:r>
      <w:proofErr w:type="spellEnd"/>
      <w:r w:rsidR="009203A6">
        <w:rPr>
          <w:rFonts w:ascii="Arial" w:hAnsi="Arial" w:cs="Arial"/>
          <w:sz w:val="22"/>
          <w:szCs w:val="22"/>
        </w:rPr>
        <w:t xml:space="preserve"> </w:t>
      </w:r>
      <w:r w:rsidR="00D51F57">
        <w:rPr>
          <w:rFonts w:ascii="Arial" w:hAnsi="Arial" w:cs="Arial"/>
          <w:sz w:val="22"/>
          <w:szCs w:val="22"/>
        </w:rPr>
        <w:t>during the initial years of listing</w:t>
      </w:r>
      <w:r w:rsidRPr="00EE523C">
        <w:rPr>
          <w:rFonts w:ascii="Arial" w:hAnsi="Arial" w:cs="Arial"/>
          <w:sz w:val="22"/>
          <w:szCs w:val="22"/>
        </w:rPr>
        <w:t>.</w:t>
      </w:r>
    </w:p>
    <w:p w14:paraId="3CE9F35A" w14:textId="4112E3D1" w:rsidR="00EE523C" w:rsidRPr="00EE523C" w:rsidRDefault="00D51F57" w:rsidP="00EE523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PBAC a</w:t>
      </w:r>
      <w:r w:rsidR="00EE523C" w:rsidRPr="00EE523C">
        <w:rPr>
          <w:rFonts w:ascii="Arial" w:hAnsi="Arial" w:cs="Arial"/>
          <w:sz w:val="22"/>
          <w:szCs w:val="22"/>
        </w:rPr>
        <w:t xml:space="preserve">lso noted </w:t>
      </w:r>
      <w:r>
        <w:rPr>
          <w:rFonts w:ascii="Arial" w:hAnsi="Arial" w:cs="Arial"/>
          <w:sz w:val="22"/>
          <w:szCs w:val="22"/>
        </w:rPr>
        <w:t>advice from SMA Australia</w:t>
      </w:r>
      <w:r w:rsidR="00EE523C" w:rsidRPr="00EE523C">
        <w:rPr>
          <w:rFonts w:ascii="Arial" w:hAnsi="Arial" w:cs="Arial"/>
          <w:sz w:val="22"/>
          <w:szCs w:val="22"/>
        </w:rPr>
        <w:t xml:space="preserve"> that Type 1 </w:t>
      </w:r>
      <w:r>
        <w:rPr>
          <w:rFonts w:ascii="Arial" w:hAnsi="Arial" w:cs="Arial"/>
          <w:sz w:val="22"/>
          <w:szCs w:val="22"/>
        </w:rPr>
        <w:t>SMA children</w:t>
      </w:r>
      <w:r w:rsidR="00EE523C" w:rsidRPr="00EE523C">
        <w:rPr>
          <w:rFonts w:ascii="Arial" w:hAnsi="Arial" w:cs="Arial"/>
          <w:sz w:val="22"/>
          <w:szCs w:val="22"/>
        </w:rPr>
        <w:t xml:space="preserve"> were surviving longer</w:t>
      </w:r>
      <w:r>
        <w:rPr>
          <w:rFonts w:ascii="Arial" w:hAnsi="Arial" w:cs="Arial"/>
          <w:sz w:val="22"/>
          <w:szCs w:val="22"/>
        </w:rPr>
        <w:t xml:space="preserve"> </w:t>
      </w:r>
      <w:r w:rsidR="00D068D4">
        <w:rPr>
          <w:rFonts w:ascii="Arial" w:hAnsi="Arial" w:cs="Arial"/>
          <w:sz w:val="22"/>
          <w:szCs w:val="22"/>
        </w:rPr>
        <w:t>with some children now attending</w:t>
      </w:r>
      <w:r w:rsidR="00EE523C" w:rsidRPr="00EE523C">
        <w:rPr>
          <w:rFonts w:ascii="Arial" w:hAnsi="Arial" w:cs="Arial"/>
          <w:sz w:val="22"/>
          <w:szCs w:val="22"/>
        </w:rPr>
        <w:t xml:space="preserve"> school</w:t>
      </w:r>
      <w:r>
        <w:rPr>
          <w:rFonts w:ascii="Arial" w:hAnsi="Arial" w:cs="Arial"/>
          <w:sz w:val="22"/>
          <w:szCs w:val="22"/>
        </w:rPr>
        <w:t>.</w:t>
      </w:r>
    </w:p>
    <w:p w14:paraId="4DD4C270" w14:textId="1F96544D" w:rsidR="00EE523C" w:rsidRPr="00EE523C" w:rsidRDefault="00EE523C" w:rsidP="00EE523C">
      <w:pPr>
        <w:spacing w:after="120"/>
        <w:rPr>
          <w:rFonts w:ascii="Arial" w:hAnsi="Arial" w:cs="Arial"/>
          <w:sz w:val="22"/>
          <w:szCs w:val="22"/>
        </w:rPr>
      </w:pPr>
      <w:r w:rsidRPr="00EE523C">
        <w:rPr>
          <w:rFonts w:ascii="Arial" w:hAnsi="Arial" w:cs="Arial"/>
          <w:sz w:val="22"/>
          <w:szCs w:val="22"/>
        </w:rPr>
        <w:t xml:space="preserve">PBAC considered that the distribution of SMA type </w:t>
      </w:r>
      <w:r w:rsidR="002E7273">
        <w:rPr>
          <w:rFonts w:ascii="Arial" w:hAnsi="Arial" w:cs="Arial"/>
          <w:sz w:val="22"/>
          <w:szCs w:val="22"/>
        </w:rPr>
        <w:t xml:space="preserve">by disease severity </w:t>
      </w:r>
      <w:r w:rsidR="00D068D4">
        <w:rPr>
          <w:rFonts w:ascii="Arial" w:hAnsi="Arial" w:cs="Arial"/>
          <w:sz w:val="22"/>
          <w:szCs w:val="22"/>
        </w:rPr>
        <w:t>for patients</w:t>
      </w:r>
      <w:r w:rsidR="002E7273">
        <w:rPr>
          <w:rFonts w:ascii="Arial" w:hAnsi="Arial" w:cs="Arial"/>
          <w:sz w:val="22"/>
          <w:szCs w:val="22"/>
        </w:rPr>
        <w:t xml:space="preserve"> </w:t>
      </w:r>
      <w:r w:rsidRPr="00EE523C">
        <w:rPr>
          <w:rFonts w:ascii="Arial" w:hAnsi="Arial" w:cs="Arial"/>
          <w:sz w:val="22"/>
          <w:szCs w:val="22"/>
        </w:rPr>
        <w:t xml:space="preserve">supplied </w:t>
      </w:r>
      <w:r w:rsidR="002E7273">
        <w:rPr>
          <w:rFonts w:ascii="Arial" w:hAnsi="Arial" w:cs="Arial"/>
          <w:sz w:val="22"/>
          <w:szCs w:val="22"/>
        </w:rPr>
        <w:t xml:space="preserve">PBS </w:t>
      </w:r>
      <w:proofErr w:type="spellStart"/>
      <w:r w:rsidRPr="00EE523C">
        <w:rPr>
          <w:rFonts w:ascii="Arial" w:hAnsi="Arial" w:cs="Arial"/>
          <w:sz w:val="22"/>
          <w:szCs w:val="22"/>
        </w:rPr>
        <w:t>nusinersen</w:t>
      </w:r>
      <w:proofErr w:type="spellEnd"/>
      <w:r w:rsidRPr="00EE523C">
        <w:rPr>
          <w:rFonts w:ascii="Arial" w:hAnsi="Arial" w:cs="Arial"/>
          <w:sz w:val="22"/>
          <w:szCs w:val="22"/>
        </w:rPr>
        <w:t xml:space="preserve"> was consistent with </w:t>
      </w:r>
      <w:r w:rsidR="00D068D4">
        <w:rPr>
          <w:rFonts w:ascii="Arial" w:hAnsi="Arial" w:cs="Arial"/>
          <w:sz w:val="22"/>
          <w:szCs w:val="22"/>
        </w:rPr>
        <w:t xml:space="preserve">the </w:t>
      </w:r>
      <w:r w:rsidRPr="00EE523C">
        <w:rPr>
          <w:rFonts w:ascii="Arial" w:hAnsi="Arial" w:cs="Arial"/>
          <w:sz w:val="22"/>
          <w:szCs w:val="22"/>
        </w:rPr>
        <w:t xml:space="preserve">anticipated </w:t>
      </w:r>
      <w:r w:rsidR="002E7273">
        <w:rPr>
          <w:rFonts w:ascii="Arial" w:hAnsi="Arial" w:cs="Arial"/>
          <w:sz w:val="22"/>
          <w:szCs w:val="22"/>
        </w:rPr>
        <w:t>treated population</w:t>
      </w:r>
      <w:r w:rsidRPr="00EE523C">
        <w:rPr>
          <w:rFonts w:ascii="Arial" w:hAnsi="Arial" w:cs="Arial"/>
          <w:sz w:val="22"/>
          <w:szCs w:val="22"/>
        </w:rPr>
        <w:t>.</w:t>
      </w:r>
    </w:p>
    <w:p w14:paraId="4CDC273E" w14:textId="77777777" w:rsidR="00EE523C" w:rsidRDefault="00EE523C" w:rsidP="00EE523C">
      <w:pPr>
        <w:rPr>
          <w:sz w:val="22"/>
          <w:szCs w:val="22"/>
          <w:lang w:val="en-AU"/>
        </w:rPr>
      </w:pPr>
    </w:p>
    <w:p w14:paraId="190DC920" w14:textId="4DC171E2" w:rsidR="00301E55" w:rsidRPr="00301E55" w:rsidRDefault="00301E55" w:rsidP="00362AC3">
      <w:pPr>
        <w:spacing w:after="120"/>
        <w:rPr>
          <w:rFonts w:ascii="Arial" w:hAnsi="Arial" w:cs="Arial"/>
          <w:b/>
          <w:sz w:val="22"/>
          <w:lang w:val="en-AU" w:eastAsia="en-AU"/>
        </w:rPr>
      </w:pPr>
      <w:r w:rsidRPr="00301E55">
        <w:rPr>
          <w:rFonts w:ascii="Arial" w:hAnsi="Arial" w:cs="Arial"/>
          <w:b/>
          <w:sz w:val="22"/>
          <w:lang w:val="en-AU" w:eastAsia="en-AU"/>
        </w:rPr>
        <w:t xml:space="preserve">Ocular lubricants for severe dry eye syndrome </w:t>
      </w:r>
    </w:p>
    <w:p w14:paraId="4B9FD2F0" w14:textId="46D20C45" w:rsidR="00400159" w:rsidRPr="00362AC3" w:rsidRDefault="00400159" w:rsidP="00362AC3">
      <w:pPr>
        <w:spacing w:after="120"/>
        <w:rPr>
          <w:rFonts w:ascii="Arial" w:hAnsi="Arial" w:cs="Arial"/>
          <w:sz w:val="22"/>
          <w:szCs w:val="22"/>
        </w:rPr>
      </w:pPr>
      <w:r w:rsidRPr="00362AC3">
        <w:rPr>
          <w:rFonts w:ascii="Arial" w:hAnsi="Arial" w:cs="Arial"/>
          <w:sz w:val="22"/>
          <w:szCs w:val="22"/>
        </w:rPr>
        <w:t xml:space="preserve">This report considered the </w:t>
      </w:r>
      <w:proofErr w:type="spellStart"/>
      <w:r w:rsidRPr="00362AC3">
        <w:rPr>
          <w:rFonts w:ascii="Arial" w:hAnsi="Arial" w:cs="Arial"/>
          <w:sz w:val="22"/>
          <w:szCs w:val="22"/>
        </w:rPr>
        <w:t>utilisation</w:t>
      </w:r>
      <w:proofErr w:type="spellEnd"/>
      <w:r w:rsidRPr="00362AC3">
        <w:rPr>
          <w:rFonts w:ascii="Arial" w:hAnsi="Arial" w:cs="Arial"/>
          <w:sz w:val="22"/>
          <w:szCs w:val="22"/>
        </w:rPr>
        <w:t xml:space="preserve"> of </w:t>
      </w:r>
      <w:r w:rsidR="001B5725" w:rsidRPr="00362AC3">
        <w:rPr>
          <w:rFonts w:ascii="Arial" w:hAnsi="Arial" w:cs="Arial"/>
          <w:sz w:val="22"/>
          <w:szCs w:val="22"/>
        </w:rPr>
        <w:t>ocular lubricants for severe dry eye syndrome</w:t>
      </w:r>
      <w:r w:rsidRPr="00362AC3">
        <w:rPr>
          <w:rFonts w:ascii="Arial" w:hAnsi="Arial" w:cs="Arial"/>
          <w:sz w:val="22"/>
          <w:szCs w:val="22"/>
        </w:rPr>
        <w:t>.</w:t>
      </w:r>
    </w:p>
    <w:p w14:paraId="5E685844" w14:textId="4E35B458" w:rsidR="00400159" w:rsidRPr="00362AC3" w:rsidRDefault="00400159" w:rsidP="00362AC3">
      <w:pPr>
        <w:spacing w:after="120"/>
        <w:rPr>
          <w:rFonts w:ascii="Arial" w:hAnsi="Arial" w:cs="Arial"/>
          <w:i/>
          <w:sz w:val="22"/>
          <w:szCs w:val="22"/>
        </w:rPr>
      </w:pPr>
      <w:r w:rsidRPr="00362AC3">
        <w:rPr>
          <w:rFonts w:ascii="Arial" w:hAnsi="Arial" w:cs="Arial"/>
          <w:i/>
          <w:sz w:val="22"/>
          <w:szCs w:val="22"/>
        </w:rPr>
        <w:t>Outcome</w:t>
      </w:r>
    </w:p>
    <w:p w14:paraId="593F744D" w14:textId="1AF2AD73" w:rsidR="00362AC3" w:rsidRPr="00362AC3" w:rsidRDefault="00362AC3" w:rsidP="00362AC3">
      <w:pPr>
        <w:spacing w:after="120"/>
        <w:rPr>
          <w:rFonts w:ascii="Arial" w:hAnsi="Arial" w:cs="Arial"/>
          <w:sz w:val="22"/>
          <w:szCs w:val="22"/>
        </w:rPr>
      </w:pPr>
      <w:r w:rsidRPr="00362AC3">
        <w:rPr>
          <w:rFonts w:ascii="Arial" w:hAnsi="Arial" w:cs="Arial"/>
          <w:sz w:val="22"/>
          <w:szCs w:val="22"/>
        </w:rPr>
        <w:t xml:space="preserve">PBAC noted </w:t>
      </w:r>
      <w:r w:rsidR="00AA5E4E">
        <w:rPr>
          <w:rFonts w:ascii="Arial" w:hAnsi="Arial" w:cs="Arial"/>
          <w:sz w:val="22"/>
          <w:szCs w:val="22"/>
        </w:rPr>
        <w:t>that</w:t>
      </w:r>
      <w:r w:rsidR="009203A6">
        <w:rPr>
          <w:rFonts w:ascii="Arial" w:hAnsi="Arial" w:cs="Arial"/>
          <w:sz w:val="22"/>
          <w:szCs w:val="22"/>
        </w:rPr>
        <w:t xml:space="preserve"> </w:t>
      </w:r>
      <w:r w:rsidRPr="00362AC3">
        <w:rPr>
          <w:rFonts w:ascii="Arial" w:hAnsi="Arial" w:cs="Arial"/>
          <w:sz w:val="22"/>
          <w:szCs w:val="22"/>
        </w:rPr>
        <w:t xml:space="preserve">preservative-free </w:t>
      </w:r>
      <w:r>
        <w:rPr>
          <w:rFonts w:ascii="Arial" w:hAnsi="Arial" w:cs="Arial"/>
          <w:sz w:val="22"/>
          <w:szCs w:val="22"/>
        </w:rPr>
        <w:t xml:space="preserve">(PF) </w:t>
      </w:r>
      <w:r w:rsidRPr="00362AC3">
        <w:rPr>
          <w:rFonts w:ascii="Arial" w:hAnsi="Arial" w:cs="Arial"/>
          <w:sz w:val="22"/>
          <w:szCs w:val="22"/>
        </w:rPr>
        <w:t xml:space="preserve">preparations </w:t>
      </w:r>
      <w:r w:rsidR="00AA5E4E">
        <w:rPr>
          <w:rFonts w:ascii="Arial" w:hAnsi="Arial" w:cs="Arial"/>
          <w:sz w:val="22"/>
          <w:szCs w:val="22"/>
        </w:rPr>
        <w:t xml:space="preserve">were being supplied to patients </w:t>
      </w:r>
      <w:r w:rsidRPr="00362AC3">
        <w:rPr>
          <w:rFonts w:ascii="Arial" w:hAnsi="Arial" w:cs="Arial"/>
          <w:sz w:val="22"/>
          <w:szCs w:val="22"/>
        </w:rPr>
        <w:t xml:space="preserve">without </w:t>
      </w:r>
      <w:r w:rsidR="00AA5E4E">
        <w:rPr>
          <w:rFonts w:ascii="Arial" w:hAnsi="Arial" w:cs="Arial"/>
          <w:sz w:val="22"/>
          <w:szCs w:val="22"/>
        </w:rPr>
        <w:t xml:space="preserve">a </w:t>
      </w:r>
      <w:r w:rsidRPr="00362AC3">
        <w:rPr>
          <w:rFonts w:ascii="Arial" w:hAnsi="Arial" w:cs="Arial"/>
          <w:sz w:val="22"/>
          <w:szCs w:val="22"/>
        </w:rPr>
        <w:t xml:space="preserve">prior </w:t>
      </w:r>
      <w:r w:rsidR="00AA5E4E">
        <w:rPr>
          <w:rFonts w:ascii="Arial" w:hAnsi="Arial" w:cs="Arial"/>
          <w:sz w:val="22"/>
          <w:szCs w:val="22"/>
        </w:rPr>
        <w:t>supply</w:t>
      </w:r>
      <w:r w:rsidRPr="00362AC3">
        <w:rPr>
          <w:rFonts w:ascii="Arial" w:hAnsi="Arial" w:cs="Arial"/>
          <w:sz w:val="22"/>
          <w:szCs w:val="22"/>
        </w:rPr>
        <w:t xml:space="preserve"> of preservative-containing</w:t>
      </w:r>
      <w:r>
        <w:rPr>
          <w:rFonts w:ascii="Arial" w:hAnsi="Arial" w:cs="Arial"/>
          <w:sz w:val="22"/>
          <w:szCs w:val="22"/>
        </w:rPr>
        <w:t xml:space="preserve"> (PC)</w:t>
      </w:r>
      <w:r w:rsidRPr="00362AC3">
        <w:rPr>
          <w:rFonts w:ascii="Arial" w:hAnsi="Arial" w:cs="Arial"/>
          <w:sz w:val="22"/>
          <w:szCs w:val="22"/>
        </w:rPr>
        <w:t xml:space="preserve"> products</w:t>
      </w:r>
      <w:r w:rsidR="00AA5E4E">
        <w:rPr>
          <w:rFonts w:ascii="Arial" w:hAnsi="Arial" w:cs="Arial"/>
          <w:sz w:val="22"/>
          <w:szCs w:val="22"/>
        </w:rPr>
        <w:t xml:space="preserve">. PBAC considered that </w:t>
      </w:r>
      <w:r w:rsidR="00AA5E4E">
        <w:rPr>
          <w:rFonts w:ascii="Arial" w:hAnsi="Arial" w:cs="Arial"/>
          <w:sz w:val="22"/>
          <w:szCs w:val="22"/>
        </w:rPr>
        <w:lastRenderedPageBreak/>
        <w:t>this may reflect a perception among prescribers that PF products might be better tolerated that PC preparations.</w:t>
      </w:r>
      <w:r w:rsidR="009203A6">
        <w:rPr>
          <w:rFonts w:ascii="Arial" w:hAnsi="Arial" w:cs="Arial"/>
          <w:sz w:val="22"/>
          <w:szCs w:val="22"/>
        </w:rPr>
        <w:t xml:space="preserve"> PBAC noted that some patients supplied a PBS listed PF ocular lubricant may have previously been treated with an over-the-counter PC product and that this prior use was not captured in the PBS data.</w:t>
      </w:r>
    </w:p>
    <w:p w14:paraId="0B329117" w14:textId="48C5633F" w:rsidR="00362AC3" w:rsidRPr="00362AC3" w:rsidRDefault="00362AC3" w:rsidP="00362A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PBAC n</w:t>
      </w:r>
      <w:r w:rsidRPr="00362AC3">
        <w:rPr>
          <w:rFonts w:ascii="Arial" w:hAnsi="Arial" w:cs="Arial"/>
          <w:sz w:val="22"/>
          <w:szCs w:val="22"/>
        </w:rPr>
        <w:t>oted that</w:t>
      </w:r>
      <w:r w:rsidR="009203A6">
        <w:rPr>
          <w:rFonts w:ascii="Arial" w:hAnsi="Arial" w:cs="Arial"/>
          <w:sz w:val="22"/>
          <w:szCs w:val="22"/>
        </w:rPr>
        <w:t xml:space="preserve"> PBS expenditure on ocular lubricants was increasing, mainly driven by a greater use of PF products, in particular sodium </w:t>
      </w:r>
      <w:proofErr w:type="spellStart"/>
      <w:r w:rsidR="009203A6">
        <w:rPr>
          <w:rFonts w:ascii="Arial" w:hAnsi="Arial" w:cs="Arial"/>
          <w:sz w:val="22"/>
          <w:szCs w:val="22"/>
        </w:rPr>
        <w:t>hyaluronate</w:t>
      </w:r>
      <w:proofErr w:type="spellEnd"/>
      <w:r w:rsidR="009203A6">
        <w:rPr>
          <w:rFonts w:ascii="Arial" w:hAnsi="Arial" w:cs="Arial"/>
          <w:sz w:val="22"/>
          <w:szCs w:val="22"/>
        </w:rPr>
        <w:t xml:space="preserve">. </w:t>
      </w:r>
    </w:p>
    <w:p w14:paraId="2DF4C9B1" w14:textId="598459DD" w:rsidR="00362AC3" w:rsidRPr="00362AC3" w:rsidRDefault="00362AC3" w:rsidP="00362AC3">
      <w:pPr>
        <w:spacing w:after="120"/>
        <w:ind w:right="-199"/>
        <w:rPr>
          <w:rFonts w:ascii="Arial" w:hAnsi="Arial" w:cs="Arial"/>
          <w:sz w:val="22"/>
          <w:szCs w:val="22"/>
        </w:rPr>
      </w:pPr>
      <w:r w:rsidRPr="00362AC3">
        <w:rPr>
          <w:rFonts w:ascii="Arial" w:hAnsi="Arial" w:cs="Arial"/>
          <w:sz w:val="22"/>
          <w:szCs w:val="22"/>
        </w:rPr>
        <w:t>PBAC did not</w:t>
      </w:r>
      <w:r w:rsidR="00AA5E4E">
        <w:rPr>
          <w:rFonts w:ascii="Arial" w:hAnsi="Arial" w:cs="Arial"/>
          <w:sz w:val="22"/>
          <w:szCs w:val="22"/>
        </w:rPr>
        <w:t xml:space="preserve"> consider there was a need to change</w:t>
      </w:r>
      <w:r w:rsidRPr="00362AC3">
        <w:rPr>
          <w:rFonts w:ascii="Arial" w:hAnsi="Arial" w:cs="Arial"/>
          <w:sz w:val="22"/>
          <w:szCs w:val="22"/>
        </w:rPr>
        <w:t xml:space="preserve"> the restrictions for PF products at this time.</w:t>
      </w:r>
    </w:p>
    <w:p w14:paraId="03FC874F" w14:textId="77777777" w:rsidR="001F312C" w:rsidRDefault="001F312C" w:rsidP="001F312C">
      <w:pPr>
        <w:spacing w:after="120"/>
        <w:rPr>
          <w:rFonts w:ascii="Arial" w:hAnsi="Arial" w:cs="Arial"/>
          <w:sz w:val="22"/>
          <w:lang w:val="en-AU" w:eastAsia="en-AU"/>
        </w:rPr>
      </w:pPr>
    </w:p>
    <w:p w14:paraId="709D0950" w14:textId="77777777" w:rsidR="001D0ACE" w:rsidRPr="006D0A58" w:rsidRDefault="001D0ACE" w:rsidP="00EF7DF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D0ACE" w:rsidRPr="006D0A58" w:rsidSect="007A2421">
      <w:headerReference w:type="default" r:id="rId9"/>
      <w:footerReference w:type="default" r:id="rId10"/>
      <w:pgSz w:w="11906" w:h="16838"/>
      <w:pgMar w:top="1440" w:right="1800" w:bottom="1440" w:left="180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0FFAC" w14:textId="77777777" w:rsidR="001F312C" w:rsidRDefault="001F312C">
      <w:r>
        <w:separator/>
      </w:r>
    </w:p>
  </w:endnote>
  <w:endnote w:type="continuationSeparator" w:id="0">
    <w:p w14:paraId="1EBA2AEF" w14:textId="77777777" w:rsidR="001F312C" w:rsidRDefault="001F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F5BA" w14:textId="77777777" w:rsidR="001F312C" w:rsidRPr="004630FE" w:rsidRDefault="001F312C">
    <w:pPr>
      <w:pStyle w:val="Footer"/>
      <w:jc w:val="center"/>
      <w:rPr>
        <w:rFonts w:ascii="Arial" w:hAnsi="Arial" w:cs="Arial"/>
        <w:sz w:val="22"/>
      </w:rPr>
    </w:pPr>
  </w:p>
  <w:p w14:paraId="2DAABEFB" w14:textId="0E7918E6" w:rsidR="001F312C" w:rsidRPr="004630FE" w:rsidRDefault="001F312C">
    <w:pPr>
      <w:pStyle w:val="Footer"/>
      <w:jc w:val="center"/>
      <w:rPr>
        <w:rFonts w:ascii="Arial" w:hAnsi="Arial" w:cs="Arial"/>
        <w:sz w:val="22"/>
      </w:rPr>
    </w:pPr>
    <w:r w:rsidRPr="004630FE">
      <w:rPr>
        <w:rFonts w:ascii="Arial" w:hAnsi="Arial" w:cs="Arial"/>
        <w:sz w:val="22"/>
      </w:rPr>
      <w:fldChar w:fldCharType="begin"/>
    </w:r>
    <w:r w:rsidRPr="004630FE">
      <w:rPr>
        <w:rFonts w:ascii="Arial" w:hAnsi="Arial" w:cs="Arial"/>
        <w:sz w:val="22"/>
      </w:rPr>
      <w:instrText xml:space="preserve"> PAGE   \* MERGEFORMAT </w:instrText>
    </w:r>
    <w:r w:rsidRPr="004630FE">
      <w:rPr>
        <w:rFonts w:ascii="Arial" w:hAnsi="Arial" w:cs="Arial"/>
        <w:sz w:val="22"/>
      </w:rPr>
      <w:fldChar w:fldCharType="separate"/>
    </w:r>
    <w:r w:rsidR="00BB5497">
      <w:rPr>
        <w:rFonts w:ascii="Arial" w:hAnsi="Arial" w:cs="Arial"/>
        <w:noProof/>
        <w:sz w:val="22"/>
      </w:rPr>
      <w:t>1</w:t>
    </w:r>
    <w:r w:rsidRPr="004630FE">
      <w:rPr>
        <w:rFonts w:ascii="Arial" w:hAnsi="Arial" w:cs="Arial"/>
        <w:noProof/>
        <w:sz w:val="22"/>
      </w:rPr>
      <w:fldChar w:fldCharType="end"/>
    </w:r>
  </w:p>
  <w:p w14:paraId="0A6D77EE" w14:textId="77777777" w:rsidR="001F312C" w:rsidRDefault="001F3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E734C" w14:textId="77777777" w:rsidR="001F312C" w:rsidRDefault="001F312C">
      <w:r>
        <w:separator/>
      </w:r>
    </w:p>
  </w:footnote>
  <w:footnote w:type="continuationSeparator" w:id="0">
    <w:p w14:paraId="13C39C5A" w14:textId="77777777" w:rsidR="001F312C" w:rsidRDefault="001F3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587D6" w14:textId="28C25C4A" w:rsidR="001F312C" w:rsidRPr="00520B6E" w:rsidRDefault="00BD0BA3" w:rsidP="004630FE">
    <w:pPr>
      <w:tabs>
        <w:tab w:val="center" w:pos="4153"/>
        <w:tab w:val="right" w:pos="8306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MARCH </w:t>
    </w:r>
    <w:r w:rsidR="001F312C">
      <w:rPr>
        <w:rFonts w:ascii="Arial" w:hAnsi="Arial" w:cs="Arial"/>
        <w:b/>
        <w:sz w:val="20"/>
      </w:rPr>
      <w:t>202</w:t>
    </w:r>
    <w:r>
      <w:rPr>
        <w:rFonts w:ascii="Arial" w:hAnsi="Arial" w:cs="Arial"/>
        <w:b/>
        <w:sz w:val="20"/>
      </w:rPr>
      <w:t>1</w:t>
    </w:r>
    <w:r w:rsidR="001F312C" w:rsidRPr="00341E66">
      <w:rPr>
        <w:rFonts w:ascii="Arial" w:hAnsi="Arial" w:cs="Arial"/>
        <w:b/>
        <w:sz w:val="20"/>
      </w:rPr>
      <w:t xml:space="preserve"> </w:t>
    </w:r>
    <w:r w:rsidR="001F312C" w:rsidRPr="00520B6E">
      <w:rPr>
        <w:rFonts w:ascii="Arial" w:hAnsi="Arial" w:cs="Arial"/>
        <w:b/>
        <w:sz w:val="20"/>
      </w:rPr>
      <w:t>PBAC M</w:t>
    </w:r>
    <w:r w:rsidR="001F312C">
      <w:rPr>
        <w:rFonts w:ascii="Arial" w:hAnsi="Arial" w:cs="Arial"/>
        <w:b/>
        <w:sz w:val="20"/>
      </w:rPr>
      <w:t>EETING – CONSIDERATION OF THE</w:t>
    </w:r>
    <w:r w:rsidR="001F312C" w:rsidRPr="00520B6E">
      <w:rPr>
        <w:rFonts w:ascii="Arial" w:hAnsi="Arial" w:cs="Arial"/>
        <w:b/>
        <w:sz w:val="20"/>
      </w:rPr>
      <w:t xml:space="preserve"> </w:t>
    </w:r>
    <w:r w:rsidR="001F312C">
      <w:rPr>
        <w:rFonts w:ascii="Arial" w:hAnsi="Arial" w:cs="Arial"/>
        <w:b/>
        <w:sz w:val="20"/>
      </w:rPr>
      <w:t>REPORT OF THE DRUG UTILISATION SUB</w:t>
    </w:r>
    <w:r w:rsidR="001F312C">
      <w:rPr>
        <w:rFonts w:ascii="Arial" w:hAnsi="Arial" w:cs="Arial"/>
        <w:b/>
        <w:sz w:val="20"/>
      </w:rPr>
      <w:noBreakHyphen/>
      <w:t>COMMITTEE</w:t>
    </w:r>
  </w:p>
  <w:p w14:paraId="6758E2CC" w14:textId="77777777" w:rsidR="001F312C" w:rsidRDefault="001F3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B16DE"/>
    <w:multiLevelType w:val="multilevel"/>
    <w:tmpl w:val="51AA4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AB031B9"/>
    <w:multiLevelType w:val="multilevel"/>
    <w:tmpl w:val="6A0E1B1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4C1A3A"/>
    <w:multiLevelType w:val="hybridMultilevel"/>
    <w:tmpl w:val="C1B245C0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8DD109F"/>
    <w:multiLevelType w:val="multilevel"/>
    <w:tmpl w:val="95D6B7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5F050041"/>
    <w:multiLevelType w:val="multilevel"/>
    <w:tmpl w:val="5CB87B6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0FC76BD"/>
    <w:multiLevelType w:val="hybridMultilevel"/>
    <w:tmpl w:val="F474C00E"/>
    <w:lvl w:ilvl="0" w:tplc="BF768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522C5"/>
    <w:multiLevelType w:val="multilevel"/>
    <w:tmpl w:val="4E1A9C7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7F874411"/>
    <w:multiLevelType w:val="multilevel"/>
    <w:tmpl w:val="29F890D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6A"/>
    <w:rsid w:val="0002143A"/>
    <w:rsid w:val="00034F16"/>
    <w:rsid w:val="000413ED"/>
    <w:rsid w:val="00046F5C"/>
    <w:rsid w:val="0006056A"/>
    <w:rsid w:val="00060A45"/>
    <w:rsid w:val="00095F78"/>
    <w:rsid w:val="000A2CDC"/>
    <w:rsid w:val="000B2DD0"/>
    <w:rsid w:val="000C6902"/>
    <w:rsid w:val="0014056F"/>
    <w:rsid w:val="001416A4"/>
    <w:rsid w:val="00156D69"/>
    <w:rsid w:val="00176F11"/>
    <w:rsid w:val="001B5725"/>
    <w:rsid w:val="001D0ACE"/>
    <w:rsid w:val="001D0B69"/>
    <w:rsid w:val="001D45AF"/>
    <w:rsid w:val="001E7E86"/>
    <w:rsid w:val="001F0355"/>
    <w:rsid w:val="001F312C"/>
    <w:rsid w:val="00250A1C"/>
    <w:rsid w:val="00251848"/>
    <w:rsid w:val="00265781"/>
    <w:rsid w:val="00267A9D"/>
    <w:rsid w:val="0028590B"/>
    <w:rsid w:val="002D4006"/>
    <w:rsid w:val="002E7273"/>
    <w:rsid w:val="002F7591"/>
    <w:rsid w:val="002F775E"/>
    <w:rsid w:val="00301E55"/>
    <w:rsid w:val="003172AB"/>
    <w:rsid w:val="00326328"/>
    <w:rsid w:val="00341E66"/>
    <w:rsid w:val="00362AC3"/>
    <w:rsid w:val="00385940"/>
    <w:rsid w:val="00397836"/>
    <w:rsid w:val="003B79EE"/>
    <w:rsid w:val="003C2B83"/>
    <w:rsid w:val="00400159"/>
    <w:rsid w:val="0040140B"/>
    <w:rsid w:val="00407FAA"/>
    <w:rsid w:val="004630FE"/>
    <w:rsid w:val="00464B70"/>
    <w:rsid w:val="00464DA0"/>
    <w:rsid w:val="004669DB"/>
    <w:rsid w:val="004A1627"/>
    <w:rsid w:val="004D4DEE"/>
    <w:rsid w:val="004E76AE"/>
    <w:rsid w:val="00507F23"/>
    <w:rsid w:val="00514593"/>
    <w:rsid w:val="005166A6"/>
    <w:rsid w:val="00553E58"/>
    <w:rsid w:val="005616CC"/>
    <w:rsid w:val="005642B3"/>
    <w:rsid w:val="00565336"/>
    <w:rsid w:val="005732A3"/>
    <w:rsid w:val="00575B2C"/>
    <w:rsid w:val="00582F85"/>
    <w:rsid w:val="005C202C"/>
    <w:rsid w:val="005D081A"/>
    <w:rsid w:val="005F2273"/>
    <w:rsid w:val="006102C6"/>
    <w:rsid w:val="00641F0C"/>
    <w:rsid w:val="00647788"/>
    <w:rsid w:val="00652D57"/>
    <w:rsid w:val="00666863"/>
    <w:rsid w:val="00677683"/>
    <w:rsid w:val="006847AC"/>
    <w:rsid w:val="006951BF"/>
    <w:rsid w:val="006A2EB2"/>
    <w:rsid w:val="006A5F26"/>
    <w:rsid w:val="006D0A58"/>
    <w:rsid w:val="006D36DC"/>
    <w:rsid w:val="006D4F54"/>
    <w:rsid w:val="006D593A"/>
    <w:rsid w:val="006E57A3"/>
    <w:rsid w:val="0070348A"/>
    <w:rsid w:val="007178BA"/>
    <w:rsid w:val="0073297F"/>
    <w:rsid w:val="00793AF0"/>
    <w:rsid w:val="007A2421"/>
    <w:rsid w:val="007C758A"/>
    <w:rsid w:val="007F4E20"/>
    <w:rsid w:val="00801B19"/>
    <w:rsid w:val="00816A6C"/>
    <w:rsid w:val="008545D1"/>
    <w:rsid w:val="008842CE"/>
    <w:rsid w:val="008866E8"/>
    <w:rsid w:val="00890D53"/>
    <w:rsid w:val="008934F5"/>
    <w:rsid w:val="008A4311"/>
    <w:rsid w:val="008A4B6F"/>
    <w:rsid w:val="008B4388"/>
    <w:rsid w:val="008D020C"/>
    <w:rsid w:val="008E354F"/>
    <w:rsid w:val="009203A6"/>
    <w:rsid w:val="00922E47"/>
    <w:rsid w:val="00925E21"/>
    <w:rsid w:val="00933952"/>
    <w:rsid w:val="00997EA7"/>
    <w:rsid w:val="009E7E00"/>
    <w:rsid w:val="00A03E25"/>
    <w:rsid w:val="00A0539F"/>
    <w:rsid w:val="00A25973"/>
    <w:rsid w:val="00A31269"/>
    <w:rsid w:val="00A32269"/>
    <w:rsid w:val="00A47E2F"/>
    <w:rsid w:val="00A70179"/>
    <w:rsid w:val="00A74CCD"/>
    <w:rsid w:val="00A76D1B"/>
    <w:rsid w:val="00A9331B"/>
    <w:rsid w:val="00AA5E4E"/>
    <w:rsid w:val="00AC0FFB"/>
    <w:rsid w:val="00AD2551"/>
    <w:rsid w:val="00AD37E5"/>
    <w:rsid w:val="00AF2F79"/>
    <w:rsid w:val="00AF3B3E"/>
    <w:rsid w:val="00AF6DA0"/>
    <w:rsid w:val="00B13AD3"/>
    <w:rsid w:val="00B1693A"/>
    <w:rsid w:val="00B20C0D"/>
    <w:rsid w:val="00B26B58"/>
    <w:rsid w:val="00B445D9"/>
    <w:rsid w:val="00B50A69"/>
    <w:rsid w:val="00B532C3"/>
    <w:rsid w:val="00B94AFC"/>
    <w:rsid w:val="00B95F3B"/>
    <w:rsid w:val="00BA0860"/>
    <w:rsid w:val="00BB5497"/>
    <w:rsid w:val="00BC3BE5"/>
    <w:rsid w:val="00BD0BA3"/>
    <w:rsid w:val="00BD4745"/>
    <w:rsid w:val="00BE182E"/>
    <w:rsid w:val="00BE4405"/>
    <w:rsid w:val="00C22340"/>
    <w:rsid w:val="00C22AB9"/>
    <w:rsid w:val="00C636C2"/>
    <w:rsid w:val="00CB56CD"/>
    <w:rsid w:val="00CB6BC5"/>
    <w:rsid w:val="00CD04DF"/>
    <w:rsid w:val="00CD2ADF"/>
    <w:rsid w:val="00CD4158"/>
    <w:rsid w:val="00D03290"/>
    <w:rsid w:val="00D068D4"/>
    <w:rsid w:val="00D47451"/>
    <w:rsid w:val="00D51F57"/>
    <w:rsid w:val="00D7136A"/>
    <w:rsid w:val="00D72D36"/>
    <w:rsid w:val="00DA25F6"/>
    <w:rsid w:val="00DA2A81"/>
    <w:rsid w:val="00DB4B4C"/>
    <w:rsid w:val="00DC7A41"/>
    <w:rsid w:val="00DE6CA5"/>
    <w:rsid w:val="00E11B1E"/>
    <w:rsid w:val="00E16015"/>
    <w:rsid w:val="00E24412"/>
    <w:rsid w:val="00E25A33"/>
    <w:rsid w:val="00E37984"/>
    <w:rsid w:val="00E659DB"/>
    <w:rsid w:val="00E65BFD"/>
    <w:rsid w:val="00EA43F8"/>
    <w:rsid w:val="00EB38E2"/>
    <w:rsid w:val="00ED0E5B"/>
    <w:rsid w:val="00EE523C"/>
    <w:rsid w:val="00EE68E4"/>
    <w:rsid w:val="00EF7DF2"/>
    <w:rsid w:val="00F32FEB"/>
    <w:rsid w:val="00F514E4"/>
    <w:rsid w:val="00F628C7"/>
    <w:rsid w:val="00F66E50"/>
    <w:rsid w:val="00F8213A"/>
    <w:rsid w:val="00F87883"/>
    <w:rsid w:val="00FA4D8A"/>
    <w:rsid w:val="00FB5E27"/>
    <w:rsid w:val="00FD0680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."/>
  <w:listSeparator w:val=","/>
  <w14:docId w14:val="220B9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36A"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36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13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7136A"/>
    <w:rPr>
      <w:rFonts w:eastAsia="Times New Roman" w:cs="Times New Roman"/>
      <w:szCs w:val="24"/>
      <w:lang w:val="en-US"/>
    </w:rPr>
  </w:style>
  <w:style w:type="paragraph" w:customStyle="1" w:styleId="DepartmentalHeading2">
    <w:name w:val="Departmental Heading 2"/>
    <w:basedOn w:val="Heading2"/>
    <w:rsid w:val="00D7136A"/>
    <w:pPr>
      <w:keepLines w:val="0"/>
      <w:spacing w:before="240" w:after="60"/>
    </w:pPr>
    <w:rPr>
      <w:rFonts w:ascii="Arial" w:hAnsi="Arial"/>
      <w:bCs w:val="0"/>
      <w:color w:val="auto"/>
      <w:sz w:val="24"/>
      <w:szCs w:val="20"/>
      <w:lang w:val="en-AU" w:eastAsia="en-AU"/>
    </w:rPr>
  </w:style>
  <w:style w:type="character" w:styleId="Hyperlink">
    <w:name w:val="Hyperlink"/>
    <w:rsid w:val="00D7136A"/>
    <w:rPr>
      <w:color w:val="0000FF"/>
      <w:u w:val="single"/>
    </w:rPr>
  </w:style>
  <w:style w:type="character" w:styleId="CommentReference">
    <w:name w:val="annotation reference"/>
    <w:rsid w:val="00D713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36A"/>
    <w:rPr>
      <w:sz w:val="20"/>
      <w:szCs w:val="20"/>
    </w:rPr>
  </w:style>
  <w:style w:type="character" w:customStyle="1" w:styleId="CommentTextChar">
    <w:name w:val="Comment Text Char"/>
    <w:link w:val="CommentText"/>
    <w:rsid w:val="00D7136A"/>
    <w:rPr>
      <w:rFonts w:eastAsia="Times New Roman" w:cs="Times New Roman"/>
      <w:sz w:val="20"/>
      <w:szCs w:val="20"/>
      <w:lang w:val="en-US"/>
    </w:rPr>
  </w:style>
  <w:style w:type="character" w:customStyle="1" w:styleId="Heading2Char">
    <w:name w:val="Heading 2 Char"/>
    <w:link w:val="Heading2"/>
    <w:uiPriority w:val="9"/>
    <w:semiHidden/>
    <w:rsid w:val="00D7136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D7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7136A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30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30FE"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31269"/>
    <w:pPr>
      <w:ind w:left="720" w:hanging="720"/>
      <w:contextualSpacing/>
    </w:pPr>
    <w:rPr>
      <w:rFonts w:ascii="Arial" w:hAnsi="Arial"/>
      <w:sz w:val="22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2AB"/>
    <w:rPr>
      <w:rFonts w:eastAsia="Times New Roman" w:cs="Times New Roman"/>
      <w:b/>
      <w:bCs/>
      <w:sz w:val="20"/>
      <w:szCs w:val="20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A70179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.gov.au/industry/listing/elements/dusc-meetings/dos/DUSC-Outcome-Statement-February-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7D925-C7DF-4953-8F4E-2D0B9533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2021-04-14T00:09:00Z</dcterms:created>
  <dcterms:modified xsi:type="dcterms:W3CDTF">2021-04-14T00:09:00Z</dcterms:modified>
</cp:coreProperties>
</file>