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392" w:type="dxa"/>
        <w:tblInd w:w="-714" w:type="dxa"/>
        <w:tblLook w:val="04A0" w:firstRow="1" w:lastRow="0" w:firstColumn="1" w:lastColumn="0" w:noHBand="0" w:noVBand="1"/>
      </w:tblPr>
      <w:tblGrid>
        <w:gridCol w:w="3679"/>
        <w:gridCol w:w="2404"/>
        <w:gridCol w:w="2704"/>
        <w:gridCol w:w="6605"/>
      </w:tblGrid>
      <w:tr w:rsidR="00DB7ABC" w:rsidRPr="00F34B4E" w14:paraId="51DAC449" w14:textId="77777777" w:rsidTr="00D04644">
        <w:trPr>
          <w:cantSplit/>
          <w:trHeight w:val="760"/>
          <w:tblHeader/>
        </w:trPr>
        <w:tc>
          <w:tcPr>
            <w:tcW w:w="3679" w:type="dxa"/>
          </w:tcPr>
          <w:p w14:paraId="7D33E71E" w14:textId="010C178A" w:rsidR="00DB7ABC" w:rsidRPr="00DB7ABC" w:rsidRDefault="00DB7ABC" w:rsidP="00DB7ABC">
            <w:pPr>
              <w:widowControl w:val="0"/>
              <w:jc w:val="center"/>
              <w:rPr>
                <w:rFonts w:ascii="Arial" w:eastAsia="Calibri" w:hAnsi="Arial" w:cs="Arial"/>
                <w:b/>
                <w:sz w:val="20"/>
                <w:szCs w:val="20"/>
              </w:rPr>
            </w:pPr>
            <w:r w:rsidRPr="00DB7ABC">
              <w:rPr>
                <w:rFonts w:ascii="Arial" w:hAnsi="Arial" w:cs="Arial"/>
                <w:b/>
                <w:sz w:val="20"/>
                <w:szCs w:val="20"/>
              </w:rPr>
              <w:t>DRUG NAME, FORM(S), STRENGTH(S), SPONSOR, TYPE OF SUBMISSION</w:t>
            </w:r>
          </w:p>
        </w:tc>
        <w:tc>
          <w:tcPr>
            <w:tcW w:w="2404" w:type="dxa"/>
          </w:tcPr>
          <w:p w14:paraId="53A1F8A7" w14:textId="77777777" w:rsidR="00DB7ABC" w:rsidRPr="00DB7ABC" w:rsidRDefault="00DB7ABC" w:rsidP="00DB7ABC">
            <w:pPr>
              <w:widowControl w:val="0"/>
              <w:jc w:val="center"/>
              <w:rPr>
                <w:rFonts w:ascii="Arial" w:hAnsi="Arial" w:cs="Arial"/>
                <w:b/>
                <w:snapToGrid w:val="0"/>
                <w:sz w:val="20"/>
                <w:szCs w:val="20"/>
              </w:rPr>
            </w:pPr>
            <w:r w:rsidRPr="00DB7ABC">
              <w:rPr>
                <w:rFonts w:ascii="Arial" w:hAnsi="Arial" w:cs="Arial"/>
                <w:b/>
                <w:snapToGrid w:val="0"/>
                <w:sz w:val="20"/>
                <w:szCs w:val="20"/>
              </w:rPr>
              <w:t>DRUG TYPE AND USE</w:t>
            </w:r>
          </w:p>
          <w:p w14:paraId="4B365A97" w14:textId="47EFBFE8" w:rsidR="00DB7ABC" w:rsidRPr="00DB7ABC" w:rsidRDefault="00DB7ABC" w:rsidP="00DB7ABC">
            <w:pPr>
              <w:widowControl w:val="0"/>
              <w:jc w:val="center"/>
              <w:rPr>
                <w:rFonts w:ascii="Arial" w:eastAsia="Calibri" w:hAnsi="Arial" w:cs="Arial"/>
                <w:b/>
                <w:i/>
                <w:snapToGrid w:val="0"/>
                <w:sz w:val="20"/>
                <w:szCs w:val="20"/>
              </w:rPr>
            </w:pPr>
          </w:p>
        </w:tc>
        <w:tc>
          <w:tcPr>
            <w:tcW w:w="2704" w:type="dxa"/>
          </w:tcPr>
          <w:p w14:paraId="7F3E33E2" w14:textId="609F5FC8" w:rsidR="00DB7ABC" w:rsidRPr="00DB7ABC" w:rsidRDefault="00DB7ABC" w:rsidP="00DB7ABC">
            <w:pPr>
              <w:widowControl w:val="0"/>
              <w:jc w:val="center"/>
              <w:rPr>
                <w:rFonts w:ascii="Arial" w:eastAsia="Calibri" w:hAnsi="Arial" w:cs="Arial"/>
                <w:i/>
                <w:snapToGrid w:val="0"/>
                <w:sz w:val="20"/>
                <w:szCs w:val="20"/>
              </w:rPr>
            </w:pPr>
            <w:r w:rsidRPr="00DB7ABC">
              <w:rPr>
                <w:rFonts w:ascii="Arial" w:hAnsi="Arial" w:cs="Arial"/>
                <w:b/>
                <w:snapToGrid w:val="0"/>
                <w:sz w:val="20"/>
                <w:szCs w:val="20"/>
              </w:rPr>
              <w:t>LISTING REQUESTED BY SPONSOR / PURPOSE OF SUBMISSION</w:t>
            </w:r>
          </w:p>
        </w:tc>
        <w:tc>
          <w:tcPr>
            <w:tcW w:w="6605" w:type="dxa"/>
            <w:noWrap/>
          </w:tcPr>
          <w:p w14:paraId="10596DED" w14:textId="3D079055" w:rsidR="00DB7ABC" w:rsidRPr="00DB7ABC" w:rsidRDefault="00DB7ABC" w:rsidP="00DB7ABC">
            <w:pPr>
              <w:widowControl w:val="0"/>
              <w:jc w:val="center"/>
              <w:rPr>
                <w:rFonts w:ascii="Arial" w:eastAsia="Calibri" w:hAnsi="Arial" w:cs="Arial"/>
                <w:b/>
                <w:snapToGrid w:val="0"/>
                <w:sz w:val="20"/>
                <w:szCs w:val="20"/>
              </w:rPr>
            </w:pPr>
            <w:r w:rsidRPr="00DB7ABC">
              <w:rPr>
                <w:rFonts w:ascii="Arial" w:hAnsi="Arial" w:cs="Arial"/>
                <w:b/>
                <w:snapToGrid w:val="0"/>
                <w:sz w:val="20"/>
                <w:szCs w:val="20"/>
              </w:rPr>
              <w:t>PBAC OUTCOME</w:t>
            </w:r>
          </w:p>
        </w:tc>
      </w:tr>
      <w:tr w:rsidR="00C0692D" w:rsidRPr="00F34B4E" w14:paraId="053915BC" w14:textId="77777777" w:rsidTr="00C0692D">
        <w:trPr>
          <w:cantSplit/>
          <w:trHeight w:val="3049"/>
        </w:trPr>
        <w:tc>
          <w:tcPr>
            <w:tcW w:w="3679" w:type="dxa"/>
          </w:tcPr>
          <w:p w14:paraId="3282A03E" w14:textId="60537FA0" w:rsidR="00C0692D" w:rsidRPr="00C0692D" w:rsidRDefault="00C0692D" w:rsidP="00C0692D">
            <w:pPr>
              <w:rPr>
                <w:rFonts w:ascii="Arial" w:hAnsi="Arial" w:cs="Arial"/>
                <w:sz w:val="20"/>
                <w:szCs w:val="20"/>
              </w:rPr>
            </w:pPr>
            <w:r w:rsidRPr="00C0692D">
              <w:rPr>
                <w:rFonts w:ascii="Arial" w:hAnsi="Arial" w:cs="Arial"/>
                <w:snapToGrid w:val="0"/>
                <w:sz w:val="20"/>
                <w:szCs w:val="20"/>
              </w:rPr>
              <w:t>GLECAPREVIR + PIBRENTASVIR</w:t>
            </w:r>
            <w:r w:rsidRPr="00C0692D">
              <w:rPr>
                <w:rFonts w:ascii="Arial" w:hAnsi="Arial" w:cs="Arial"/>
                <w:snapToGrid w:val="0"/>
                <w:sz w:val="20"/>
                <w:szCs w:val="20"/>
              </w:rPr>
              <w:br/>
            </w:r>
            <w:r w:rsidRPr="00C0692D">
              <w:rPr>
                <w:rFonts w:ascii="Arial" w:hAnsi="Arial" w:cs="Arial"/>
                <w:snapToGrid w:val="0"/>
                <w:sz w:val="20"/>
                <w:szCs w:val="20"/>
              </w:rPr>
              <w:br/>
              <w:t xml:space="preserve">Tablet containing 100 mg </w:t>
            </w:r>
            <w:proofErr w:type="spellStart"/>
            <w:r w:rsidRPr="00C0692D">
              <w:rPr>
                <w:rFonts w:ascii="Arial" w:hAnsi="Arial" w:cs="Arial"/>
                <w:snapToGrid w:val="0"/>
                <w:sz w:val="20"/>
                <w:szCs w:val="20"/>
              </w:rPr>
              <w:t>glecaprevir</w:t>
            </w:r>
            <w:proofErr w:type="spellEnd"/>
            <w:r w:rsidRPr="00C0692D">
              <w:rPr>
                <w:rFonts w:ascii="Arial" w:hAnsi="Arial" w:cs="Arial"/>
                <w:snapToGrid w:val="0"/>
                <w:sz w:val="20"/>
                <w:szCs w:val="20"/>
              </w:rPr>
              <w:t xml:space="preserve"> with 40 mg </w:t>
            </w:r>
            <w:proofErr w:type="spellStart"/>
            <w:r w:rsidRPr="00C0692D">
              <w:rPr>
                <w:rFonts w:ascii="Arial" w:hAnsi="Arial" w:cs="Arial"/>
                <w:snapToGrid w:val="0"/>
                <w:sz w:val="20"/>
                <w:szCs w:val="20"/>
              </w:rPr>
              <w:t>pibrentasvir</w:t>
            </w:r>
            <w:proofErr w:type="spellEnd"/>
            <w:r w:rsidRPr="00C0692D">
              <w:rPr>
                <w:rFonts w:ascii="Arial" w:hAnsi="Arial" w:cs="Arial"/>
                <w:snapToGrid w:val="0"/>
                <w:sz w:val="20"/>
                <w:szCs w:val="20"/>
              </w:rPr>
              <w:br/>
            </w:r>
            <w:r w:rsidRPr="00C0692D">
              <w:rPr>
                <w:rFonts w:ascii="Arial" w:hAnsi="Arial" w:cs="Arial"/>
                <w:snapToGrid w:val="0"/>
                <w:sz w:val="20"/>
                <w:szCs w:val="20"/>
              </w:rPr>
              <w:br/>
            </w:r>
            <w:proofErr w:type="spellStart"/>
            <w:r w:rsidRPr="00C0692D">
              <w:rPr>
                <w:rFonts w:ascii="Arial" w:hAnsi="Arial" w:cs="Arial"/>
                <w:snapToGrid w:val="0"/>
                <w:sz w:val="20"/>
                <w:szCs w:val="20"/>
              </w:rPr>
              <w:t>Maviret</w:t>
            </w:r>
            <w:proofErr w:type="spellEnd"/>
            <w:r w:rsidRPr="00C0692D">
              <w:rPr>
                <w:rFonts w:ascii="Arial" w:hAnsi="Arial" w:cs="Arial"/>
                <w:snapToGrid w:val="0"/>
                <w:sz w:val="20"/>
                <w:szCs w:val="20"/>
              </w:rPr>
              <w:t>®</w:t>
            </w:r>
            <w:r w:rsidRPr="00C0692D">
              <w:rPr>
                <w:rFonts w:ascii="Arial" w:hAnsi="Arial" w:cs="Arial"/>
                <w:snapToGrid w:val="0"/>
                <w:sz w:val="20"/>
                <w:szCs w:val="20"/>
              </w:rPr>
              <w:br/>
            </w:r>
            <w:r w:rsidRPr="00C0692D">
              <w:rPr>
                <w:rFonts w:ascii="Arial" w:hAnsi="Arial" w:cs="Arial"/>
                <w:snapToGrid w:val="0"/>
                <w:sz w:val="20"/>
                <w:szCs w:val="20"/>
              </w:rPr>
              <w:br/>
              <w:t>AbbVie Pty Ltd</w:t>
            </w:r>
            <w:r w:rsidRPr="00C0692D">
              <w:rPr>
                <w:rFonts w:ascii="Arial" w:hAnsi="Arial" w:cs="Arial"/>
                <w:snapToGrid w:val="0"/>
                <w:sz w:val="20"/>
                <w:szCs w:val="20"/>
              </w:rPr>
              <w:br/>
            </w:r>
            <w:r w:rsidRPr="00C0692D">
              <w:rPr>
                <w:rFonts w:ascii="Arial" w:hAnsi="Arial" w:cs="Arial"/>
                <w:snapToGrid w:val="0"/>
                <w:sz w:val="20"/>
                <w:szCs w:val="20"/>
              </w:rPr>
              <w:br/>
              <w:t>Change to listing</w:t>
            </w:r>
            <w:r w:rsidRPr="00C0692D">
              <w:rPr>
                <w:rFonts w:ascii="Arial" w:hAnsi="Arial" w:cs="Arial"/>
                <w:snapToGrid w:val="0"/>
                <w:sz w:val="20"/>
                <w:szCs w:val="20"/>
              </w:rPr>
              <w:br/>
            </w:r>
            <w:r>
              <w:rPr>
                <w:rFonts w:ascii="Arial" w:hAnsi="Arial" w:cs="Arial"/>
                <w:snapToGrid w:val="0"/>
                <w:sz w:val="20"/>
                <w:szCs w:val="20"/>
              </w:rPr>
              <w:t>(Matters outstanding</w:t>
            </w:r>
            <w:r w:rsidRPr="00C0692D">
              <w:rPr>
                <w:rFonts w:ascii="Arial" w:hAnsi="Arial" w:cs="Arial"/>
                <w:snapToGrid w:val="0"/>
                <w:sz w:val="20"/>
                <w:szCs w:val="20"/>
              </w:rPr>
              <w:t>)</w:t>
            </w:r>
          </w:p>
        </w:tc>
        <w:tc>
          <w:tcPr>
            <w:tcW w:w="2404" w:type="dxa"/>
          </w:tcPr>
          <w:p w14:paraId="584A372D" w14:textId="68E13861" w:rsidR="00C0692D" w:rsidRPr="00C0692D" w:rsidRDefault="00C0692D" w:rsidP="00C0692D">
            <w:pPr>
              <w:rPr>
                <w:rFonts w:ascii="Arial" w:hAnsi="Arial" w:cs="Arial"/>
                <w:sz w:val="20"/>
                <w:szCs w:val="20"/>
              </w:rPr>
            </w:pPr>
            <w:r w:rsidRPr="00C0692D">
              <w:rPr>
                <w:rFonts w:ascii="Arial" w:hAnsi="Arial" w:cs="Arial"/>
                <w:snapToGrid w:val="0"/>
                <w:sz w:val="20"/>
                <w:szCs w:val="20"/>
              </w:rPr>
              <w:t>Chronic hepatitis C infection</w:t>
            </w:r>
          </w:p>
        </w:tc>
        <w:tc>
          <w:tcPr>
            <w:tcW w:w="2704" w:type="dxa"/>
          </w:tcPr>
          <w:p w14:paraId="32338C38" w14:textId="233CCD83" w:rsidR="00C0692D" w:rsidRPr="00C0692D" w:rsidRDefault="00C0692D" w:rsidP="00C0692D">
            <w:pPr>
              <w:rPr>
                <w:rFonts w:ascii="Arial" w:hAnsi="Arial" w:cs="Arial"/>
                <w:sz w:val="20"/>
                <w:szCs w:val="20"/>
              </w:rPr>
            </w:pPr>
            <w:r w:rsidRPr="00C0692D">
              <w:rPr>
                <w:rFonts w:ascii="Arial" w:hAnsi="Arial" w:cs="Arial"/>
                <w:snapToGrid w:val="0"/>
                <w:sz w:val="20"/>
                <w:szCs w:val="20"/>
              </w:rPr>
              <w:t>To request an amendment to the Section 100 (Highly Specialised Drugs Program) and General Schedule Authority Required listings to reduce the duration of treatment from 12 weeks to 8 weeks for treatment naïve patients with chronic hepatitis C with compensated cirrhosis.</w:t>
            </w:r>
          </w:p>
        </w:tc>
        <w:tc>
          <w:tcPr>
            <w:tcW w:w="6605" w:type="dxa"/>
          </w:tcPr>
          <w:p w14:paraId="242DBB45" w14:textId="77777777" w:rsidR="00C0692D" w:rsidRDefault="00C0692D" w:rsidP="00C0692D">
            <w:pPr>
              <w:pStyle w:val="3-BodyText"/>
              <w:numPr>
                <w:ilvl w:val="0"/>
                <w:numId w:val="0"/>
              </w:numPr>
              <w:spacing w:after="0"/>
              <w:jc w:val="left"/>
              <w:rPr>
                <w:rFonts w:ascii="Arial" w:hAnsi="Arial" w:cs="Arial"/>
                <w:sz w:val="20"/>
                <w:szCs w:val="20"/>
              </w:rPr>
            </w:pPr>
            <w:r w:rsidRPr="00C0692D">
              <w:rPr>
                <w:rFonts w:ascii="Arial" w:hAnsi="Arial" w:cs="Arial"/>
                <w:sz w:val="20"/>
                <w:szCs w:val="20"/>
              </w:rPr>
              <w:t xml:space="preserve">The PBAC recommended amending the listing of </w:t>
            </w:r>
            <w:proofErr w:type="spellStart"/>
            <w:r w:rsidRPr="00C0692D">
              <w:rPr>
                <w:rFonts w:ascii="Arial" w:hAnsi="Arial" w:cs="Arial"/>
                <w:sz w:val="20"/>
                <w:szCs w:val="20"/>
              </w:rPr>
              <w:t>glecaprevir</w:t>
            </w:r>
            <w:proofErr w:type="spellEnd"/>
            <w:r w:rsidRPr="00C0692D">
              <w:rPr>
                <w:rFonts w:ascii="Arial" w:hAnsi="Arial" w:cs="Arial"/>
                <w:sz w:val="20"/>
                <w:szCs w:val="20"/>
              </w:rPr>
              <w:t xml:space="preserve"> with </w:t>
            </w:r>
            <w:proofErr w:type="spellStart"/>
            <w:r w:rsidRPr="00C0692D">
              <w:rPr>
                <w:rFonts w:ascii="Arial" w:hAnsi="Arial" w:cs="Arial"/>
                <w:sz w:val="20"/>
                <w:szCs w:val="20"/>
              </w:rPr>
              <w:t>pibrentasvir</w:t>
            </w:r>
            <w:proofErr w:type="spellEnd"/>
            <w:r w:rsidRPr="00C0692D">
              <w:rPr>
                <w:rFonts w:ascii="Arial" w:hAnsi="Arial" w:cs="Arial"/>
                <w:sz w:val="20"/>
                <w:szCs w:val="20"/>
              </w:rPr>
              <w:t xml:space="preserve"> (GLE/PIB) to include an 8-week treatment option for the treatment of chronic hepatitis C (CHC) infection in patients who are treatment-naïve with compensated cirrhosis (TN/CC). The PBAC’s recommendation was based on, among other matters, its assessment that an 8-week regimen of GLE/PIB in TN/CC patients achieves similar therapeutic outcomes to the currently PBS-listed 12-week regimen.</w:t>
            </w:r>
            <w:r>
              <w:rPr>
                <w:rFonts w:ascii="Arial" w:hAnsi="Arial" w:cs="Arial"/>
                <w:sz w:val="20"/>
                <w:szCs w:val="20"/>
              </w:rPr>
              <w:br/>
            </w:r>
            <w:r>
              <w:rPr>
                <w:rFonts w:ascii="Arial" w:hAnsi="Arial" w:cs="Arial"/>
                <w:sz w:val="20"/>
                <w:szCs w:val="20"/>
              </w:rPr>
              <w:br/>
            </w:r>
            <w:r w:rsidRPr="00C0692D">
              <w:rPr>
                <w:rFonts w:ascii="Arial" w:hAnsi="Arial" w:cs="Arial"/>
                <w:sz w:val="20"/>
                <w:szCs w:val="20"/>
              </w:rPr>
              <w:t>In making this recommendation, the PBAC noted the TGA registration had now been finalised, which included retention of the 12-week regimen for the TN/CC population as an option for use at the discretion of the treating clinician. Consistent with its view expressed at its November 2020 meeting, the PBAC agreed that this regimen should be retained as an option and included as a footnote to the General Statement for simplicity.</w:t>
            </w:r>
          </w:p>
          <w:p w14:paraId="7E971622" w14:textId="356CA61F" w:rsidR="00C0692D" w:rsidRPr="00C0692D" w:rsidRDefault="00C0692D" w:rsidP="00C0692D">
            <w:pPr>
              <w:pStyle w:val="3-BodyText"/>
              <w:numPr>
                <w:ilvl w:val="0"/>
                <w:numId w:val="0"/>
              </w:numPr>
              <w:spacing w:after="0"/>
              <w:jc w:val="left"/>
              <w:rPr>
                <w:rFonts w:ascii="Arial" w:hAnsi="Arial" w:cs="Arial"/>
                <w:sz w:val="20"/>
                <w:szCs w:val="20"/>
              </w:rPr>
            </w:pPr>
          </w:p>
        </w:tc>
      </w:tr>
      <w:tr w:rsidR="00E17191" w:rsidRPr="00F34B4E" w14:paraId="42320FE8" w14:textId="77777777" w:rsidTr="00C0692D">
        <w:trPr>
          <w:cantSplit/>
          <w:trHeight w:val="3049"/>
        </w:trPr>
        <w:tc>
          <w:tcPr>
            <w:tcW w:w="3679" w:type="dxa"/>
          </w:tcPr>
          <w:p w14:paraId="704E5094" w14:textId="77777777" w:rsidR="00E17191" w:rsidRDefault="00E17191" w:rsidP="00E17191">
            <w:pPr>
              <w:rPr>
                <w:rFonts w:ascii="Arial" w:hAnsi="Arial" w:cs="Arial"/>
                <w:sz w:val="20"/>
                <w:szCs w:val="20"/>
              </w:rPr>
            </w:pPr>
            <w:r>
              <w:rPr>
                <w:rFonts w:ascii="Arial" w:hAnsi="Arial" w:cs="Arial"/>
                <w:sz w:val="20"/>
                <w:szCs w:val="20"/>
              </w:rPr>
              <w:t>SAPROPTERIN</w:t>
            </w:r>
          </w:p>
          <w:p w14:paraId="596E7BE1" w14:textId="77777777" w:rsidR="00E17191" w:rsidRDefault="00E17191" w:rsidP="00E17191">
            <w:pPr>
              <w:rPr>
                <w:rFonts w:ascii="Arial" w:hAnsi="Arial" w:cs="Arial"/>
                <w:sz w:val="20"/>
                <w:szCs w:val="20"/>
              </w:rPr>
            </w:pPr>
          </w:p>
          <w:p w14:paraId="0D64EF0C" w14:textId="77777777" w:rsidR="00E17191" w:rsidRDefault="00E17191" w:rsidP="00E17191">
            <w:pPr>
              <w:rPr>
                <w:rFonts w:ascii="Arial" w:hAnsi="Arial" w:cs="Arial"/>
                <w:sz w:val="20"/>
                <w:szCs w:val="20"/>
              </w:rPr>
            </w:pPr>
            <w:r>
              <w:rPr>
                <w:rFonts w:ascii="Arial" w:hAnsi="Arial" w:cs="Arial"/>
                <w:sz w:val="20"/>
                <w:szCs w:val="20"/>
              </w:rPr>
              <w:t>Powder for oral solution 500 mg</w:t>
            </w:r>
          </w:p>
          <w:p w14:paraId="5B2B2689" w14:textId="0E6850E0" w:rsidR="00E17191" w:rsidRDefault="00C0692D" w:rsidP="00E17191">
            <w:pPr>
              <w:rPr>
                <w:rFonts w:ascii="Arial" w:hAnsi="Arial" w:cs="Arial"/>
                <w:sz w:val="20"/>
                <w:szCs w:val="20"/>
              </w:rPr>
            </w:pPr>
            <w:r>
              <w:rPr>
                <w:rFonts w:ascii="Arial" w:hAnsi="Arial" w:cs="Arial"/>
                <w:sz w:val="20"/>
                <w:szCs w:val="20"/>
              </w:rPr>
              <w:t>Tablet (soluble) 100 mg</w:t>
            </w:r>
          </w:p>
          <w:p w14:paraId="3703498A" w14:textId="77777777" w:rsidR="00E17191" w:rsidRDefault="00E17191" w:rsidP="00E17191">
            <w:pPr>
              <w:rPr>
                <w:rFonts w:ascii="Arial" w:hAnsi="Arial" w:cs="Arial"/>
                <w:sz w:val="20"/>
                <w:szCs w:val="20"/>
              </w:rPr>
            </w:pPr>
          </w:p>
          <w:p w14:paraId="74F2C94F" w14:textId="77777777" w:rsidR="00E17191" w:rsidRDefault="00E17191" w:rsidP="00E17191">
            <w:pPr>
              <w:rPr>
                <w:rFonts w:ascii="Arial" w:hAnsi="Arial" w:cs="Arial"/>
                <w:sz w:val="20"/>
                <w:szCs w:val="20"/>
              </w:rPr>
            </w:pPr>
            <w:proofErr w:type="spellStart"/>
            <w:r>
              <w:rPr>
                <w:rFonts w:ascii="Arial" w:hAnsi="Arial" w:cs="Arial"/>
                <w:sz w:val="20"/>
                <w:szCs w:val="20"/>
              </w:rPr>
              <w:t>Kuvan</w:t>
            </w:r>
            <w:proofErr w:type="spellEnd"/>
            <w:r>
              <w:rPr>
                <w:rFonts w:ascii="Arial" w:hAnsi="Arial" w:cs="Arial"/>
                <w:sz w:val="20"/>
                <w:szCs w:val="20"/>
              </w:rPr>
              <w:t>®</w:t>
            </w:r>
          </w:p>
          <w:p w14:paraId="292973AC" w14:textId="77777777" w:rsidR="00E17191" w:rsidRDefault="00E17191" w:rsidP="00E17191">
            <w:pPr>
              <w:rPr>
                <w:rFonts w:ascii="Arial" w:hAnsi="Arial" w:cs="Arial"/>
                <w:sz w:val="20"/>
                <w:szCs w:val="20"/>
              </w:rPr>
            </w:pPr>
          </w:p>
          <w:p w14:paraId="6970EE0F" w14:textId="77777777" w:rsidR="00E17191" w:rsidRDefault="00E17191" w:rsidP="00E17191">
            <w:pPr>
              <w:rPr>
                <w:rFonts w:ascii="Arial" w:hAnsi="Arial" w:cs="Arial"/>
                <w:sz w:val="20"/>
                <w:szCs w:val="20"/>
              </w:rPr>
            </w:pPr>
            <w:proofErr w:type="spellStart"/>
            <w:r w:rsidRPr="00E17191">
              <w:rPr>
                <w:rFonts w:ascii="Arial" w:hAnsi="Arial" w:cs="Arial"/>
                <w:sz w:val="20"/>
                <w:szCs w:val="20"/>
              </w:rPr>
              <w:t>Biomarin</w:t>
            </w:r>
            <w:proofErr w:type="spellEnd"/>
            <w:r w:rsidRPr="00E17191">
              <w:rPr>
                <w:rFonts w:ascii="Arial" w:hAnsi="Arial" w:cs="Arial"/>
                <w:sz w:val="20"/>
                <w:szCs w:val="20"/>
              </w:rPr>
              <w:t xml:space="preserve"> Pharmaceutical Australia Pty Ltd </w:t>
            </w:r>
          </w:p>
          <w:p w14:paraId="6C17941C" w14:textId="77777777" w:rsidR="00E17191" w:rsidRDefault="00E17191" w:rsidP="00E17191">
            <w:pPr>
              <w:rPr>
                <w:rFonts w:ascii="Arial" w:hAnsi="Arial" w:cs="Arial"/>
                <w:sz w:val="20"/>
                <w:szCs w:val="20"/>
              </w:rPr>
            </w:pPr>
          </w:p>
          <w:p w14:paraId="4CFE7EC2" w14:textId="77777777" w:rsidR="00E17191" w:rsidRDefault="00E17191" w:rsidP="00E17191">
            <w:pPr>
              <w:rPr>
                <w:rFonts w:ascii="Arial" w:hAnsi="Arial" w:cs="Arial"/>
                <w:sz w:val="20"/>
                <w:szCs w:val="20"/>
              </w:rPr>
            </w:pPr>
            <w:r>
              <w:rPr>
                <w:rFonts w:ascii="Arial" w:hAnsi="Arial" w:cs="Arial"/>
                <w:sz w:val="20"/>
                <w:szCs w:val="20"/>
              </w:rPr>
              <w:t>Change to listing</w:t>
            </w:r>
          </w:p>
          <w:p w14:paraId="09155FF3" w14:textId="3E250E9F" w:rsidR="00E17191" w:rsidRPr="00E17191" w:rsidRDefault="00E17191" w:rsidP="00E17191">
            <w:pPr>
              <w:rPr>
                <w:rFonts w:ascii="Arial" w:eastAsia="Calibri" w:hAnsi="Arial" w:cs="Arial"/>
                <w:sz w:val="20"/>
                <w:szCs w:val="20"/>
              </w:rPr>
            </w:pPr>
            <w:r>
              <w:rPr>
                <w:rFonts w:ascii="Arial" w:hAnsi="Arial" w:cs="Arial"/>
                <w:sz w:val="20"/>
                <w:szCs w:val="20"/>
              </w:rPr>
              <w:t>(Matters outstanding</w:t>
            </w:r>
            <w:r w:rsidRPr="00E17191">
              <w:rPr>
                <w:rFonts w:ascii="Arial" w:hAnsi="Arial" w:cs="Arial"/>
                <w:sz w:val="20"/>
                <w:szCs w:val="20"/>
              </w:rPr>
              <w:t xml:space="preserve">) </w:t>
            </w:r>
          </w:p>
        </w:tc>
        <w:tc>
          <w:tcPr>
            <w:tcW w:w="2404" w:type="dxa"/>
          </w:tcPr>
          <w:p w14:paraId="140EA9D3" w14:textId="1B0A31C7" w:rsidR="00E17191" w:rsidRPr="00E17191" w:rsidRDefault="00E17191" w:rsidP="00E17191">
            <w:pPr>
              <w:rPr>
                <w:rFonts w:ascii="Arial" w:eastAsia="Calibri" w:hAnsi="Arial" w:cs="Arial"/>
                <w:sz w:val="20"/>
                <w:szCs w:val="20"/>
              </w:rPr>
            </w:pPr>
            <w:r w:rsidRPr="00E17191">
              <w:rPr>
                <w:rFonts w:ascii="Arial" w:hAnsi="Arial" w:cs="Arial"/>
                <w:sz w:val="20"/>
                <w:szCs w:val="20"/>
              </w:rPr>
              <w:t xml:space="preserve">Maternal phenylketonuria (MPKU) </w:t>
            </w:r>
          </w:p>
        </w:tc>
        <w:tc>
          <w:tcPr>
            <w:tcW w:w="2704" w:type="dxa"/>
          </w:tcPr>
          <w:p w14:paraId="1195AE24" w14:textId="71245F94" w:rsidR="00E17191" w:rsidRPr="00E17191" w:rsidRDefault="00E17191" w:rsidP="00E17191">
            <w:pPr>
              <w:rPr>
                <w:rFonts w:ascii="Arial" w:eastAsia="Calibri" w:hAnsi="Arial" w:cs="Arial"/>
                <w:sz w:val="20"/>
                <w:szCs w:val="20"/>
              </w:rPr>
            </w:pPr>
            <w:r w:rsidRPr="00E17191">
              <w:rPr>
                <w:rFonts w:ascii="Arial" w:hAnsi="Arial" w:cs="Arial"/>
                <w:sz w:val="20"/>
                <w:szCs w:val="20"/>
              </w:rPr>
              <w:t>Resubmission to request an Authority Required listing in combination with a phenylalanine (</w:t>
            </w:r>
            <w:proofErr w:type="spellStart"/>
            <w:r w:rsidRPr="00E17191">
              <w:rPr>
                <w:rFonts w:ascii="Arial" w:hAnsi="Arial" w:cs="Arial"/>
                <w:sz w:val="20"/>
                <w:szCs w:val="20"/>
              </w:rPr>
              <w:t>Phe</w:t>
            </w:r>
            <w:proofErr w:type="spellEnd"/>
            <w:r w:rsidRPr="00E17191">
              <w:rPr>
                <w:rFonts w:ascii="Arial" w:hAnsi="Arial" w:cs="Arial"/>
                <w:sz w:val="20"/>
                <w:szCs w:val="20"/>
              </w:rPr>
              <w:t xml:space="preserve">)-restricted diet for the treatment of MPKU where a </w:t>
            </w:r>
            <w:proofErr w:type="spellStart"/>
            <w:r w:rsidRPr="00E17191">
              <w:rPr>
                <w:rFonts w:ascii="Arial" w:hAnsi="Arial" w:cs="Arial"/>
                <w:sz w:val="20"/>
                <w:szCs w:val="20"/>
              </w:rPr>
              <w:t>Phe</w:t>
            </w:r>
            <w:proofErr w:type="spellEnd"/>
            <w:r w:rsidRPr="00E17191">
              <w:rPr>
                <w:rFonts w:ascii="Arial" w:hAnsi="Arial" w:cs="Arial"/>
                <w:sz w:val="20"/>
                <w:szCs w:val="20"/>
              </w:rPr>
              <w:t xml:space="preserve">-restricted diet does not adequately reduce blood </w:t>
            </w:r>
            <w:proofErr w:type="spellStart"/>
            <w:r w:rsidRPr="00E17191">
              <w:rPr>
                <w:rFonts w:ascii="Arial" w:hAnsi="Arial" w:cs="Arial"/>
                <w:sz w:val="20"/>
                <w:szCs w:val="20"/>
              </w:rPr>
              <w:t>Phe</w:t>
            </w:r>
            <w:proofErr w:type="spellEnd"/>
            <w:r w:rsidRPr="00E17191">
              <w:rPr>
                <w:rFonts w:ascii="Arial" w:hAnsi="Arial" w:cs="Arial"/>
                <w:sz w:val="20"/>
                <w:szCs w:val="20"/>
              </w:rPr>
              <w:t xml:space="preserve"> levels. </w:t>
            </w:r>
          </w:p>
        </w:tc>
        <w:tc>
          <w:tcPr>
            <w:tcW w:w="6605" w:type="dxa"/>
          </w:tcPr>
          <w:p w14:paraId="294FA84A" w14:textId="06B45D68" w:rsidR="00C0692D" w:rsidRPr="00F34B4E" w:rsidRDefault="00C0692D" w:rsidP="00C0692D">
            <w:pPr>
              <w:pStyle w:val="3-BodyText"/>
              <w:numPr>
                <w:ilvl w:val="0"/>
                <w:numId w:val="0"/>
              </w:numPr>
              <w:jc w:val="left"/>
              <w:rPr>
                <w:rFonts w:ascii="Arial" w:eastAsia="Calibri" w:hAnsi="Arial" w:cs="Arial"/>
                <w:snapToGrid/>
                <w:sz w:val="20"/>
                <w:szCs w:val="20"/>
              </w:rPr>
            </w:pPr>
            <w:r w:rsidRPr="00F34B4E">
              <w:rPr>
                <w:rFonts w:ascii="Arial" w:eastAsia="Calibri" w:hAnsi="Arial" w:cs="Arial"/>
                <w:snapToGrid/>
                <w:sz w:val="20"/>
                <w:szCs w:val="20"/>
              </w:rPr>
              <w:t xml:space="preserve">The PBAC recommended the Authority Required listing of </w:t>
            </w:r>
            <w:proofErr w:type="spellStart"/>
            <w:r w:rsidRPr="00F34B4E">
              <w:rPr>
                <w:rFonts w:ascii="Arial" w:eastAsia="Calibri" w:hAnsi="Arial" w:cs="Arial"/>
                <w:snapToGrid/>
                <w:sz w:val="20"/>
                <w:szCs w:val="20"/>
              </w:rPr>
              <w:t>sapropterin</w:t>
            </w:r>
            <w:proofErr w:type="spellEnd"/>
            <w:r w:rsidRPr="00F34B4E">
              <w:rPr>
                <w:rFonts w:ascii="Arial" w:eastAsia="Calibri" w:hAnsi="Arial" w:cs="Arial"/>
                <w:snapToGrid/>
                <w:sz w:val="20"/>
                <w:szCs w:val="20"/>
              </w:rPr>
              <w:t xml:space="preserve"> in combination with a phenylalanine (</w:t>
            </w:r>
            <w:proofErr w:type="spellStart"/>
            <w:r w:rsidRPr="00F34B4E">
              <w:rPr>
                <w:rFonts w:ascii="Arial" w:eastAsia="Calibri" w:hAnsi="Arial" w:cs="Arial"/>
                <w:snapToGrid/>
                <w:sz w:val="20"/>
                <w:szCs w:val="20"/>
              </w:rPr>
              <w:t>Phe</w:t>
            </w:r>
            <w:proofErr w:type="spellEnd"/>
            <w:r w:rsidRPr="00F34B4E">
              <w:rPr>
                <w:rFonts w:ascii="Arial" w:eastAsia="Calibri" w:hAnsi="Arial" w:cs="Arial"/>
                <w:snapToGrid/>
                <w:sz w:val="20"/>
                <w:szCs w:val="20"/>
              </w:rPr>
              <w:t>)-restricted diet for the treatment of MPKU</w:t>
            </w:r>
            <w:bookmarkStart w:id="0" w:name="_GoBack"/>
            <w:bookmarkEnd w:id="0"/>
            <w:r w:rsidRPr="00F34B4E">
              <w:rPr>
                <w:rFonts w:ascii="Arial" w:eastAsia="Calibri" w:hAnsi="Arial" w:cs="Arial"/>
                <w:snapToGrid/>
                <w:sz w:val="20"/>
                <w:szCs w:val="20"/>
              </w:rPr>
              <w:t>.</w:t>
            </w:r>
            <w:r>
              <w:rPr>
                <w:rFonts w:ascii="Arial" w:eastAsia="Calibri" w:hAnsi="Arial" w:cs="Arial"/>
                <w:snapToGrid/>
                <w:sz w:val="20"/>
                <w:szCs w:val="20"/>
              </w:rPr>
              <w:br/>
            </w:r>
            <w:r>
              <w:rPr>
                <w:rFonts w:ascii="Arial" w:eastAsia="Calibri" w:hAnsi="Arial" w:cs="Arial"/>
                <w:snapToGrid/>
                <w:sz w:val="20"/>
                <w:szCs w:val="20"/>
              </w:rPr>
              <w:br/>
            </w:r>
            <w:r w:rsidRPr="00F34B4E">
              <w:rPr>
                <w:rFonts w:ascii="Arial" w:eastAsia="Calibri" w:hAnsi="Arial" w:cs="Arial"/>
                <w:snapToGrid/>
                <w:sz w:val="20"/>
                <w:szCs w:val="20"/>
              </w:rPr>
              <w:t xml:space="preserve">The PBAC noted there is a high clinical need in a small patient population, and acknowledged the input received from individuals, organisations and health professionals in relation to the November 2020 submission. Further, the PBAC noted the strong consumer feedback describing the very high clinical need for access to </w:t>
            </w:r>
            <w:proofErr w:type="spellStart"/>
            <w:r w:rsidRPr="00F34B4E">
              <w:rPr>
                <w:rFonts w:ascii="Arial" w:eastAsia="Calibri" w:hAnsi="Arial" w:cs="Arial"/>
                <w:snapToGrid/>
                <w:sz w:val="20"/>
                <w:szCs w:val="20"/>
              </w:rPr>
              <w:t>sapropterin</w:t>
            </w:r>
            <w:proofErr w:type="spellEnd"/>
            <w:r w:rsidRPr="00F34B4E">
              <w:rPr>
                <w:rFonts w:ascii="Arial" w:eastAsia="Calibri" w:hAnsi="Arial" w:cs="Arial"/>
                <w:snapToGrid/>
                <w:sz w:val="20"/>
                <w:szCs w:val="20"/>
              </w:rPr>
              <w:t xml:space="preserve"> for any adult with PKU. The PBAC would welcome a major resubmission for this broader population.</w:t>
            </w:r>
          </w:p>
          <w:p w14:paraId="36464E2E" w14:textId="77777777" w:rsidR="00E17191" w:rsidRPr="00F34B4E" w:rsidRDefault="00E17191" w:rsidP="00E17191">
            <w:pPr>
              <w:pStyle w:val="3-BodyText"/>
              <w:numPr>
                <w:ilvl w:val="0"/>
                <w:numId w:val="0"/>
              </w:numPr>
              <w:jc w:val="left"/>
              <w:rPr>
                <w:rFonts w:ascii="Arial" w:eastAsia="Calibri" w:hAnsi="Arial" w:cs="Arial"/>
                <w:snapToGrid/>
                <w:sz w:val="20"/>
                <w:szCs w:val="20"/>
              </w:rPr>
            </w:pPr>
          </w:p>
        </w:tc>
      </w:tr>
    </w:tbl>
    <w:p w14:paraId="7348B7C8" w14:textId="77777777" w:rsidR="00A45EF8" w:rsidRDefault="00A45EF8"/>
    <w:sectPr w:rsidR="00A45EF8" w:rsidSect="00F34B4E">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DC061" w14:textId="77777777" w:rsidR="00DB7ABC" w:rsidRDefault="00DB7ABC" w:rsidP="00DB7ABC">
      <w:pPr>
        <w:spacing w:after="0" w:line="240" w:lineRule="auto"/>
      </w:pPr>
      <w:r>
        <w:separator/>
      </w:r>
    </w:p>
  </w:endnote>
  <w:endnote w:type="continuationSeparator" w:id="0">
    <w:p w14:paraId="7F2FA173" w14:textId="77777777" w:rsidR="00DB7ABC" w:rsidRDefault="00DB7ABC" w:rsidP="00DB7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0A80C" w14:textId="77777777" w:rsidR="00DB7ABC" w:rsidRDefault="00DB7ABC" w:rsidP="00DB7ABC">
      <w:pPr>
        <w:spacing w:after="0" w:line="240" w:lineRule="auto"/>
      </w:pPr>
      <w:r>
        <w:separator/>
      </w:r>
    </w:p>
  </w:footnote>
  <w:footnote w:type="continuationSeparator" w:id="0">
    <w:p w14:paraId="2BF25BD0" w14:textId="77777777" w:rsidR="00DB7ABC" w:rsidRDefault="00DB7ABC" w:rsidP="00DB7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7671A" w14:textId="5673AC95" w:rsidR="00DB7ABC" w:rsidRPr="00DB7ABC" w:rsidRDefault="00DB7ABC" w:rsidP="00DB7ABC">
    <w:pPr>
      <w:pStyle w:val="Header"/>
      <w:jc w:val="center"/>
      <w:rPr>
        <w:rFonts w:ascii="Arial" w:hAnsi="Arial" w:cs="Arial"/>
        <w:b/>
      </w:rPr>
    </w:pPr>
    <w:r>
      <w:rPr>
        <w:rFonts w:ascii="Arial" w:hAnsi="Arial" w:cs="Arial"/>
        <w:b/>
      </w:rPr>
      <w:t xml:space="preserve">DECEMBER 2020 </w:t>
    </w:r>
    <w:r w:rsidRPr="0071356F">
      <w:rPr>
        <w:rFonts w:ascii="Arial" w:hAnsi="Arial" w:cs="Arial"/>
        <w:b/>
      </w:rPr>
      <w:t>PBAC OUTCOMES –</w:t>
    </w:r>
    <w:r>
      <w:rPr>
        <w:rFonts w:ascii="Arial" w:hAnsi="Arial" w:cs="Arial"/>
        <w:b/>
      </w:rPr>
      <w:t xml:space="preserve"> POSITIVE RECOMMENDATIONS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4D033C"/>
    <w:multiLevelType w:val="multilevel"/>
    <w:tmpl w:val="DA581298"/>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4FC"/>
    <w:rsid w:val="004F7A28"/>
    <w:rsid w:val="00A024FC"/>
    <w:rsid w:val="00A45EF8"/>
    <w:rsid w:val="00C0692D"/>
    <w:rsid w:val="00C4054B"/>
    <w:rsid w:val="00DB7ABC"/>
    <w:rsid w:val="00E17191"/>
    <w:rsid w:val="00F34B4E"/>
    <w:rsid w:val="00F401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7A0F"/>
  <w15:chartTrackingRefBased/>
  <w15:docId w15:val="{C890DFBE-0F6F-4E76-ACB8-ED3F8CEF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4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SectionHeading">
    <w:name w:val="2-Section Heading"/>
    <w:qFormat/>
    <w:rsid w:val="00F34B4E"/>
    <w:pPr>
      <w:keepNext/>
      <w:numPr>
        <w:numId w:val="1"/>
      </w:numPr>
      <w:spacing w:before="240" w:after="120" w:line="240" w:lineRule="auto"/>
      <w:outlineLvl w:val="0"/>
    </w:pPr>
    <w:rPr>
      <w:rFonts w:eastAsia="Times New Roman" w:cs="Arial"/>
      <w:b/>
      <w:snapToGrid w:val="0"/>
      <w:sz w:val="32"/>
      <w:szCs w:val="32"/>
    </w:rPr>
  </w:style>
  <w:style w:type="paragraph" w:customStyle="1" w:styleId="3-BodyText">
    <w:name w:val="3-Body Text"/>
    <w:basedOn w:val="ListParagraph"/>
    <w:link w:val="3-BodyTextChar"/>
    <w:qFormat/>
    <w:rsid w:val="00F34B4E"/>
    <w:pPr>
      <w:numPr>
        <w:ilvl w:val="1"/>
        <w:numId w:val="1"/>
      </w:numPr>
      <w:spacing w:after="120" w:line="240" w:lineRule="auto"/>
      <w:contextualSpacing w:val="0"/>
      <w:jc w:val="both"/>
    </w:pPr>
    <w:rPr>
      <w:rFonts w:eastAsia="Times New Roman"/>
      <w:snapToGrid w:val="0"/>
      <w:sz w:val="24"/>
    </w:rPr>
  </w:style>
  <w:style w:type="character" w:customStyle="1" w:styleId="3-BodyTextChar">
    <w:name w:val="3-Body Text Char"/>
    <w:basedOn w:val="DefaultParagraphFont"/>
    <w:link w:val="3-BodyText"/>
    <w:rsid w:val="00F34B4E"/>
    <w:rPr>
      <w:rFonts w:eastAsia="Times New Roman"/>
      <w:snapToGrid w:val="0"/>
      <w:sz w:val="24"/>
    </w:rPr>
  </w:style>
  <w:style w:type="paragraph" w:styleId="ListParagraph">
    <w:name w:val="List Paragraph"/>
    <w:basedOn w:val="Normal"/>
    <w:uiPriority w:val="34"/>
    <w:qFormat/>
    <w:rsid w:val="00F34B4E"/>
    <w:pPr>
      <w:ind w:left="720"/>
      <w:contextualSpacing/>
    </w:pPr>
  </w:style>
  <w:style w:type="character" w:styleId="CommentReference">
    <w:name w:val="annotation reference"/>
    <w:basedOn w:val="DefaultParagraphFont"/>
    <w:uiPriority w:val="99"/>
    <w:semiHidden/>
    <w:unhideWhenUsed/>
    <w:rsid w:val="00F34B4E"/>
    <w:rPr>
      <w:sz w:val="16"/>
      <w:szCs w:val="16"/>
    </w:rPr>
  </w:style>
  <w:style w:type="paragraph" w:styleId="CommentText">
    <w:name w:val="annotation text"/>
    <w:basedOn w:val="Normal"/>
    <w:link w:val="CommentTextChar"/>
    <w:uiPriority w:val="99"/>
    <w:semiHidden/>
    <w:unhideWhenUsed/>
    <w:rsid w:val="00F34B4E"/>
    <w:pPr>
      <w:spacing w:line="240" w:lineRule="auto"/>
    </w:pPr>
    <w:rPr>
      <w:sz w:val="20"/>
      <w:szCs w:val="20"/>
    </w:rPr>
  </w:style>
  <w:style w:type="character" w:customStyle="1" w:styleId="CommentTextChar">
    <w:name w:val="Comment Text Char"/>
    <w:basedOn w:val="DefaultParagraphFont"/>
    <w:link w:val="CommentText"/>
    <w:uiPriority w:val="99"/>
    <w:semiHidden/>
    <w:rsid w:val="00F34B4E"/>
    <w:rPr>
      <w:sz w:val="20"/>
      <w:szCs w:val="20"/>
    </w:rPr>
  </w:style>
  <w:style w:type="paragraph" w:styleId="CommentSubject">
    <w:name w:val="annotation subject"/>
    <w:basedOn w:val="CommentText"/>
    <w:next w:val="CommentText"/>
    <w:link w:val="CommentSubjectChar"/>
    <w:uiPriority w:val="99"/>
    <w:semiHidden/>
    <w:unhideWhenUsed/>
    <w:rsid w:val="00F34B4E"/>
    <w:rPr>
      <w:b/>
      <w:bCs/>
    </w:rPr>
  </w:style>
  <w:style w:type="character" w:customStyle="1" w:styleId="CommentSubjectChar">
    <w:name w:val="Comment Subject Char"/>
    <w:basedOn w:val="CommentTextChar"/>
    <w:link w:val="CommentSubject"/>
    <w:uiPriority w:val="99"/>
    <w:semiHidden/>
    <w:rsid w:val="00F34B4E"/>
    <w:rPr>
      <w:b/>
      <w:bCs/>
      <w:sz w:val="20"/>
      <w:szCs w:val="20"/>
    </w:rPr>
  </w:style>
  <w:style w:type="paragraph" w:styleId="BalloonText">
    <w:name w:val="Balloon Text"/>
    <w:basedOn w:val="Normal"/>
    <w:link w:val="BalloonTextChar"/>
    <w:uiPriority w:val="99"/>
    <w:semiHidden/>
    <w:unhideWhenUsed/>
    <w:rsid w:val="00F34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B4E"/>
    <w:rPr>
      <w:rFonts w:ascii="Segoe UI" w:hAnsi="Segoe UI" w:cs="Segoe UI"/>
      <w:sz w:val="18"/>
      <w:szCs w:val="18"/>
    </w:rPr>
  </w:style>
  <w:style w:type="paragraph" w:styleId="Header">
    <w:name w:val="header"/>
    <w:aliases w:val="Page Header,Header title,he=header,cntr/bld"/>
    <w:basedOn w:val="Normal"/>
    <w:link w:val="HeaderChar"/>
    <w:unhideWhenUsed/>
    <w:rsid w:val="00DB7ABC"/>
    <w:pPr>
      <w:tabs>
        <w:tab w:val="center" w:pos="4513"/>
        <w:tab w:val="right" w:pos="9026"/>
      </w:tabs>
      <w:spacing w:after="0" w:line="240" w:lineRule="auto"/>
    </w:pPr>
  </w:style>
  <w:style w:type="character" w:customStyle="1" w:styleId="HeaderChar">
    <w:name w:val="Header Char"/>
    <w:aliases w:val="Page Header Char,Header title Char,he=header Char,cntr/bld Char"/>
    <w:basedOn w:val="DefaultParagraphFont"/>
    <w:link w:val="Header"/>
    <w:rsid w:val="00DB7ABC"/>
  </w:style>
  <w:style w:type="paragraph" w:styleId="Footer">
    <w:name w:val="footer"/>
    <w:basedOn w:val="Normal"/>
    <w:link w:val="FooterChar"/>
    <w:uiPriority w:val="99"/>
    <w:unhideWhenUsed/>
    <w:rsid w:val="00DB7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DONOHUE, Maria</dc:creator>
  <cp:keywords/>
  <dc:description/>
  <cp:lastModifiedBy>ZHONG, Yun</cp:lastModifiedBy>
  <cp:revision>7</cp:revision>
  <dcterms:created xsi:type="dcterms:W3CDTF">2021-01-08T05:14:00Z</dcterms:created>
  <dcterms:modified xsi:type="dcterms:W3CDTF">2021-01-24T22:29:00Z</dcterms:modified>
</cp:coreProperties>
</file>