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D3523D" w14:paraId="2F780D8A" w14:textId="77777777" w:rsidTr="004C54F7">
        <w:trPr>
          <w:tblHeader/>
        </w:trPr>
        <w:tc>
          <w:tcPr>
            <w:tcW w:w="2694" w:type="dxa"/>
            <w:tcMar>
              <w:top w:w="28" w:type="dxa"/>
              <w:bottom w:w="28" w:type="dxa"/>
            </w:tcMar>
          </w:tcPr>
          <w:p w14:paraId="58BB41E5" w14:textId="46F847AB" w:rsidR="00257615" w:rsidRPr="00D3523D" w:rsidRDefault="002960C3" w:rsidP="00F10A31">
            <w:pPr>
              <w:widowControl w:val="0"/>
              <w:jc w:val="center"/>
              <w:rPr>
                <w:rFonts w:ascii="Arial" w:hAnsi="Arial" w:cs="Arial"/>
                <w:b/>
              </w:rPr>
            </w:pPr>
            <w:r w:rsidRPr="00D3523D">
              <w:rPr>
                <w:rFonts w:ascii="Arial" w:hAnsi="Arial" w:cs="Arial"/>
                <w:b/>
              </w:rPr>
              <w:t>DRUG NAME, FORM(S), STRENGTH(S), SPONSOR, TYPE OF SUBMISSION</w:t>
            </w:r>
          </w:p>
        </w:tc>
        <w:tc>
          <w:tcPr>
            <w:tcW w:w="2409" w:type="dxa"/>
            <w:tcMar>
              <w:top w:w="28" w:type="dxa"/>
              <w:bottom w:w="28" w:type="dxa"/>
            </w:tcMar>
          </w:tcPr>
          <w:p w14:paraId="22DBCABB"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DRUG TYPE AND USE</w:t>
            </w:r>
          </w:p>
          <w:p w14:paraId="64FD3362" w14:textId="77777777" w:rsidR="00987FDA" w:rsidRPr="00D3523D" w:rsidRDefault="00987FDA" w:rsidP="002960C3">
            <w:pPr>
              <w:widowControl w:val="0"/>
              <w:jc w:val="center"/>
              <w:rPr>
                <w:rFonts w:ascii="Arial" w:hAnsi="Arial" w:cs="Arial"/>
                <w:b/>
                <w:snapToGrid w:val="0"/>
                <w:lang w:eastAsia="en-US"/>
              </w:rPr>
            </w:pPr>
          </w:p>
        </w:tc>
        <w:tc>
          <w:tcPr>
            <w:tcW w:w="3261" w:type="dxa"/>
            <w:tcMar>
              <w:top w:w="28" w:type="dxa"/>
              <w:bottom w:w="28" w:type="dxa"/>
            </w:tcMar>
          </w:tcPr>
          <w:p w14:paraId="60A9336E"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LISTING REQUESTED BY SPONSOR / PURPOSE OF SUBMISSION</w:t>
            </w:r>
          </w:p>
        </w:tc>
        <w:tc>
          <w:tcPr>
            <w:tcW w:w="6947" w:type="dxa"/>
          </w:tcPr>
          <w:p w14:paraId="5626F454" w14:textId="77777777" w:rsidR="00987FDA" w:rsidRPr="00D3523D" w:rsidRDefault="00987FDA" w:rsidP="00D167D0">
            <w:pPr>
              <w:pStyle w:val="Header"/>
              <w:jc w:val="center"/>
              <w:rPr>
                <w:rFonts w:ascii="Arial" w:hAnsi="Arial" w:cs="Arial"/>
                <w:b/>
                <w:snapToGrid w:val="0"/>
                <w:lang w:eastAsia="en-US"/>
              </w:rPr>
            </w:pPr>
            <w:r w:rsidRPr="00D3523D">
              <w:rPr>
                <w:rFonts w:ascii="Arial" w:hAnsi="Arial" w:cs="Arial"/>
                <w:b/>
                <w:snapToGrid w:val="0"/>
                <w:lang w:eastAsia="en-US"/>
              </w:rPr>
              <w:t xml:space="preserve">PBAC </w:t>
            </w:r>
            <w:r w:rsidR="002960C3" w:rsidRPr="00D3523D">
              <w:rPr>
                <w:rFonts w:ascii="Arial" w:hAnsi="Arial" w:cs="Arial"/>
                <w:b/>
                <w:snapToGrid w:val="0"/>
                <w:lang w:eastAsia="en-US"/>
              </w:rPr>
              <w:t>OUTCOME</w:t>
            </w:r>
          </w:p>
        </w:tc>
      </w:tr>
      <w:tr w:rsidR="00203527" w:rsidRPr="00D3523D" w14:paraId="45C2F38A" w14:textId="77777777" w:rsidTr="00203527">
        <w:trPr>
          <w:cantSplit/>
          <w:trHeight w:val="3031"/>
        </w:trPr>
        <w:tc>
          <w:tcPr>
            <w:tcW w:w="2694" w:type="dxa"/>
            <w:vMerge w:val="restart"/>
            <w:tcMar>
              <w:top w:w="28" w:type="dxa"/>
              <w:bottom w:w="28" w:type="dxa"/>
            </w:tcMar>
          </w:tcPr>
          <w:p w14:paraId="063B4BC7" w14:textId="77777777" w:rsidR="00203527" w:rsidRPr="00203527" w:rsidRDefault="00203527" w:rsidP="00203527">
            <w:pPr>
              <w:widowControl w:val="0"/>
              <w:rPr>
                <w:rFonts w:ascii="Arial" w:hAnsi="Arial" w:cs="Arial"/>
                <w:snapToGrid w:val="0"/>
                <w:lang w:eastAsia="en-US"/>
              </w:rPr>
            </w:pPr>
            <w:r w:rsidRPr="00203527">
              <w:rPr>
                <w:rFonts w:ascii="Arial" w:hAnsi="Arial" w:cs="Arial"/>
                <w:snapToGrid w:val="0"/>
                <w:lang w:eastAsia="en-US"/>
              </w:rPr>
              <w:t>ADALIMUMAB</w:t>
            </w:r>
          </w:p>
          <w:p w14:paraId="2BD6BE1A" w14:textId="77777777" w:rsidR="00203527" w:rsidRPr="00203527" w:rsidRDefault="00203527" w:rsidP="00203527">
            <w:pPr>
              <w:widowControl w:val="0"/>
              <w:rPr>
                <w:rFonts w:ascii="Arial" w:hAnsi="Arial" w:cs="Arial"/>
                <w:snapToGrid w:val="0"/>
                <w:lang w:eastAsia="en-US"/>
              </w:rPr>
            </w:pPr>
          </w:p>
          <w:p w14:paraId="6847B6BF" w14:textId="77777777" w:rsidR="00203527" w:rsidRPr="00203527" w:rsidRDefault="00203527" w:rsidP="00203527">
            <w:pPr>
              <w:widowControl w:val="0"/>
              <w:rPr>
                <w:rFonts w:ascii="Arial" w:hAnsi="Arial" w:cs="Arial"/>
                <w:snapToGrid w:val="0"/>
                <w:lang w:eastAsia="en-US"/>
              </w:rPr>
            </w:pPr>
            <w:r w:rsidRPr="00203527">
              <w:rPr>
                <w:rFonts w:ascii="Arial" w:hAnsi="Arial" w:cs="Arial"/>
                <w:snapToGrid w:val="0"/>
                <w:lang w:eastAsia="en-US"/>
              </w:rPr>
              <w:t>Injection 40 mg pre-filled syringe</w:t>
            </w:r>
          </w:p>
          <w:p w14:paraId="223AAC48" w14:textId="77777777" w:rsidR="00203527" w:rsidRPr="00203527" w:rsidRDefault="00203527" w:rsidP="00203527">
            <w:pPr>
              <w:widowControl w:val="0"/>
              <w:rPr>
                <w:rFonts w:ascii="Arial" w:hAnsi="Arial" w:cs="Arial"/>
                <w:snapToGrid w:val="0"/>
                <w:lang w:eastAsia="en-US"/>
              </w:rPr>
            </w:pPr>
            <w:r w:rsidRPr="00203527">
              <w:rPr>
                <w:rFonts w:ascii="Arial" w:hAnsi="Arial" w:cs="Arial"/>
                <w:snapToGrid w:val="0"/>
                <w:lang w:eastAsia="en-US"/>
              </w:rPr>
              <w:t>Injection 40 mg auto-injector</w:t>
            </w:r>
          </w:p>
          <w:p w14:paraId="3FF01967" w14:textId="77777777" w:rsidR="00203527" w:rsidRPr="00203527" w:rsidRDefault="00203527" w:rsidP="00203527">
            <w:pPr>
              <w:widowControl w:val="0"/>
              <w:rPr>
                <w:rFonts w:ascii="Arial" w:hAnsi="Arial" w:cs="Arial"/>
                <w:snapToGrid w:val="0"/>
                <w:lang w:eastAsia="en-US"/>
              </w:rPr>
            </w:pPr>
          </w:p>
          <w:p w14:paraId="790B56B0" w14:textId="77777777" w:rsidR="00203527" w:rsidRPr="00203527" w:rsidRDefault="00203527" w:rsidP="00203527">
            <w:pPr>
              <w:widowControl w:val="0"/>
              <w:rPr>
                <w:rFonts w:ascii="Arial" w:hAnsi="Arial" w:cs="Arial"/>
                <w:snapToGrid w:val="0"/>
                <w:lang w:eastAsia="en-US"/>
              </w:rPr>
            </w:pPr>
            <w:proofErr w:type="spellStart"/>
            <w:r w:rsidRPr="00203527">
              <w:rPr>
                <w:rFonts w:ascii="Arial" w:hAnsi="Arial" w:cs="Arial"/>
                <w:snapToGrid w:val="0"/>
                <w:lang w:eastAsia="en-US"/>
              </w:rPr>
              <w:t>Hadlima</w:t>
            </w:r>
            <w:proofErr w:type="spellEnd"/>
            <w:r w:rsidRPr="00203527">
              <w:rPr>
                <w:rFonts w:ascii="Arial" w:hAnsi="Arial" w:cs="Arial"/>
                <w:snapToGrid w:val="0"/>
                <w:lang w:eastAsia="en-US"/>
              </w:rPr>
              <w:t>®</w:t>
            </w:r>
          </w:p>
          <w:p w14:paraId="430988B6" w14:textId="77777777" w:rsidR="00203527" w:rsidRPr="00203527" w:rsidRDefault="00203527" w:rsidP="00203527">
            <w:pPr>
              <w:widowControl w:val="0"/>
              <w:rPr>
                <w:rFonts w:ascii="Arial" w:hAnsi="Arial" w:cs="Arial"/>
                <w:snapToGrid w:val="0"/>
                <w:lang w:eastAsia="en-US"/>
              </w:rPr>
            </w:pPr>
          </w:p>
          <w:p w14:paraId="5FCE81CF" w14:textId="77777777" w:rsidR="00203527" w:rsidRPr="00203527" w:rsidRDefault="00203527" w:rsidP="00203527">
            <w:pPr>
              <w:widowControl w:val="0"/>
              <w:rPr>
                <w:rFonts w:ascii="Arial" w:hAnsi="Arial" w:cs="Arial"/>
                <w:snapToGrid w:val="0"/>
                <w:lang w:eastAsia="en-US"/>
              </w:rPr>
            </w:pPr>
            <w:r w:rsidRPr="00203527">
              <w:rPr>
                <w:rFonts w:ascii="Arial" w:hAnsi="Arial" w:cs="Arial"/>
                <w:snapToGrid w:val="0"/>
                <w:lang w:eastAsia="en-US"/>
              </w:rPr>
              <w:t>Merck Sharp &amp; Dohme (Australia) Pty Ltd</w:t>
            </w:r>
          </w:p>
          <w:p w14:paraId="1056DE49" w14:textId="77777777" w:rsidR="00203527" w:rsidRPr="00203527" w:rsidRDefault="00203527" w:rsidP="00203527">
            <w:pPr>
              <w:widowControl w:val="0"/>
              <w:rPr>
                <w:rFonts w:ascii="Arial" w:hAnsi="Arial" w:cs="Arial"/>
                <w:snapToGrid w:val="0"/>
                <w:lang w:eastAsia="en-US"/>
              </w:rPr>
            </w:pPr>
          </w:p>
          <w:p w14:paraId="6F9A4233" w14:textId="77777777" w:rsidR="00203527" w:rsidRPr="00203527" w:rsidRDefault="00203527" w:rsidP="00203527">
            <w:pPr>
              <w:widowControl w:val="0"/>
              <w:rPr>
                <w:rFonts w:ascii="Arial" w:hAnsi="Arial" w:cs="Arial"/>
                <w:snapToGrid w:val="0"/>
                <w:lang w:eastAsia="en-US"/>
              </w:rPr>
            </w:pPr>
            <w:r w:rsidRPr="00203527">
              <w:rPr>
                <w:rFonts w:ascii="Arial" w:hAnsi="Arial" w:cs="Arial"/>
                <w:snapToGrid w:val="0"/>
                <w:lang w:eastAsia="en-US"/>
              </w:rPr>
              <w:t xml:space="preserve">Change to listing </w:t>
            </w:r>
          </w:p>
          <w:p w14:paraId="4B11A59F" w14:textId="3AB95E8B" w:rsidR="00203527" w:rsidRPr="00203527" w:rsidRDefault="00203527" w:rsidP="00203527">
            <w:pPr>
              <w:rPr>
                <w:rFonts w:ascii="Arial" w:hAnsi="Arial" w:cs="Arial"/>
              </w:rPr>
            </w:pPr>
            <w:r>
              <w:rPr>
                <w:rFonts w:ascii="Arial" w:hAnsi="Arial" w:cs="Arial"/>
                <w:snapToGrid w:val="0"/>
                <w:lang w:eastAsia="en-US"/>
              </w:rPr>
              <w:t>(Matters outstanding</w:t>
            </w:r>
            <w:r w:rsidRPr="00203527">
              <w:rPr>
                <w:rFonts w:ascii="Arial" w:hAnsi="Arial" w:cs="Arial"/>
                <w:snapToGrid w:val="0"/>
                <w:lang w:eastAsia="en-US"/>
              </w:rPr>
              <w:t>)</w:t>
            </w:r>
          </w:p>
        </w:tc>
        <w:tc>
          <w:tcPr>
            <w:tcW w:w="2409" w:type="dxa"/>
            <w:vMerge w:val="restart"/>
          </w:tcPr>
          <w:p w14:paraId="7F0B9E39" w14:textId="423FE49C" w:rsidR="00203527" w:rsidRPr="00203527" w:rsidRDefault="00203527" w:rsidP="00203527">
            <w:pPr>
              <w:pStyle w:val="Default"/>
              <w:rPr>
                <w:rFonts w:ascii="Arial" w:hAnsi="Arial" w:cs="Arial"/>
                <w:sz w:val="20"/>
                <w:szCs w:val="20"/>
              </w:rPr>
            </w:pPr>
            <w:r w:rsidRPr="00203527">
              <w:rPr>
                <w:rFonts w:ascii="Arial" w:hAnsi="Arial" w:cs="Arial"/>
                <w:snapToGrid w:val="0"/>
                <w:sz w:val="20"/>
                <w:szCs w:val="20"/>
                <w:lang w:eastAsia="en-US"/>
              </w:rPr>
              <w:t>Severe Crohn disease; complex refractory fistulising Crohn disease; moderate to severe ulcerative colitis; severe active juvenile idiopathic arthritis; adult patients with a history of juvenile idiopathic arthritis; severe psoriatic arthritis; ankylosing spondylitis; severe chronic plaque psoriasis; severe active rheumatoid arthritis</w:t>
            </w:r>
          </w:p>
        </w:tc>
        <w:tc>
          <w:tcPr>
            <w:tcW w:w="3261" w:type="dxa"/>
            <w:tcMar>
              <w:top w:w="28" w:type="dxa"/>
              <w:bottom w:w="28" w:type="dxa"/>
            </w:tcMar>
          </w:tcPr>
          <w:p w14:paraId="7BC1EC43" w14:textId="152E7E52" w:rsidR="00203527" w:rsidRPr="00203527" w:rsidRDefault="00203527" w:rsidP="00203527">
            <w:pPr>
              <w:pStyle w:val="Default"/>
              <w:rPr>
                <w:rFonts w:ascii="Arial" w:hAnsi="Arial" w:cs="Arial"/>
                <w:sz w:val="20"/>
                <w:szCs w:val="20"/>
              </w:rPr>
            </w:pPr>
            <w:r w:rsidRPr="00203527">
              <w:rPr>
                <w:rFonts w:ascii="Arial" w:hAnsi="Arial" w:cs="Arial"/>
                <w:snapToGrid w:val="0"/>
                <w:sz w:val="20"/>
                <w:szCs w:val="20"/>
                <w:lang w:eastAsia="en-US"/>
              </w:rPr>
              <w:t xml:space="preserve">To request an Authority Required (STREAMLINED) listing for the biosimilar in the continuing treatment phase; to </w:t>
            </w:r>
            <w:r>
              <w:rPr>
                <w:rFonts w:ascii="Arial" w:hAnsi="Arial" w:cs="Arial"/>
                <w:snapToGrid w:val="0"/>
                <w:sz w:val="20"/>
                <w:szCs w:val="20"/>
                <w:lang w:eastAsia="en-US"/>
              </w:rPr>
              <w:t>request an Authority Required (T</w:t>
            </w:r>
            <w:r w:rsidRPr="00203527">
              <w:rPr>
                <w:rFonts w:ascii="Arial" w:hAnsi="Arial" w:cs="Arial"/>
                <w:snapToGrid w:val="0"/>
                <w:sz w:val="20"/>
                <w:szCs w:val="20"/>
                <w:lang w:eastAsia="en-US"/>
              </w:rPr>
              <w:t>elephone</w:t>
            </w:r>
            <w:r w:rsidR="00E35FF4">
              <w:rPr>
                <w:rFonts w:ascii="Arial" w:hAnsi="Arial" w:cs="Arial"/>
                <w:snapToGrid w:val="0"/>
                <w:sz w:val="20"/>
                <w:szCs w:val="20"/>
                <w:lang w:eastAsia="en-US"/>
              </w:rPr>
              <w:t>/Online</w:t>
            </w:r>
            <w:r w:rsidRPr="00203527">
              <w:rPr>
                <w:rFonts w:ascii="Arial" w:hAnsi="Arial" w:cs="Arial"/>
                <w:snapToGrid w:val="0"/>
                <w:sz w:val="20"/>
                <w:szCs w:val="20"/>
                <w:lang w:eastAsia="en-US"/>
              </w:rPr>
              <w:t xml:space="preserve">) for the biosimilar in the initial treatment phase; and to request that use of the biosimilar not count as treatment failure. </w:t>
            </w:r>
          </w:p>
        </w:tc>
        <w:tc>
          <w:tcPr>
            <w:tcW w:w="6947" w:type="dxa"/>
          </w:tcPr>
          <w:p w14:paraId="0E376868" w14:textId="3C02F846" w:rsidR="00FF5E89" w:rsidRPr="00FF5E89" w:rsidRDefault="00FF5E89" w:rsidP="00FF5E89">
            <w:pPr>
              <w:pStyle w:val="3Bodytext"/>
              <w:spacing w:after="0"/>
              <w:ind w:left="0" w:hanging="11"/>
              <w:rPr>
                <w:rFonts w:ascii="Arial" w:hAnsi="Arial" w:cs="Arial"/>
                <w:sz w:val="20"/>
                <w:szCs w:val="20"/>
              </w:rPr>
            </w:pPr>
            <w:r w:rsidRPr="00FF5E89">
              <w:rPr>
                <w:rFonts w:ascii="Arial" w:hAnsi="Arial" w:cs="Arial"/>
                <w:sz w:val="20"/>
                <w:szCs w:val="20"/>
              </w:rPr>
              <w:t xml:space="preserve">The PBAC did not recommend changing the authority levels for </w:t>
            </w:r>
            <w:proofErr w:type="spellStart"/>
            <w:r w:rsidRPr="00FF5E89">
              <w:rPr>
                <w:rFonts w:ascii="Arial" w:hAnsi="Arial" w:cs="Arial"/>
                <w:sz w:val="20"/>
                <w:szCs w:val="20"/>
              </w:rPr>
              <w:t>Hadlima</w:t>
            </w:r>
            <w:proofErr w:type="spellEnd"/>
            <w:r w:rsidRPr="00FF5E89">
              <w:rPr>
                <w:rFonts w:ascii="Arial" w:hAnsi="Arial" w:cs="Arial"/>
                <w:sz w:val="20"/>
                <w:szCs w:val="20"/>
              </w:rPr>
              <w:t xml:space="preserve"> from Authority Required (Written) to Authority Required (Telephone</w:t>
            </w:r>
            <w:r w:rsidR="00E35FF4">
              <w:rPr>
                <w:rFonts w:ascii="Arial" w:hAnsi="Arial" w:cs="Arial"/>
                <w:sz w:val="20"/>
                <w:szCs w:val="20"/>
              </w:rPr>
              <w:t>/Online</w:t>
            </w:r>
            <w:r w:rsidRPr="00FF5E89">
              <w:rPr>
                <w:rFonts w:ascii="Arial" w:hAnsi="Arial" w:cs="Arial"/>
                <w:sz w:val="20"/>
                <w:szCs w:val="20"/>
              </w:rPr>
              <w:t xml:space="preserve">) for initial prescribing, and from Authority Required (Telephone) to Authority Required (STREAMLINED) for first continuing prescribing. For initial prescribing, the PBAC considered that a full assessment (written) is appropriate for </w:t>
            </w:r>
            <w:proofErr w:type="spellStart"/>
            <w:r w:rsidRPr="00FF5E89">
              <w:rPr>
                <w:rFonts w:ascii="Arial" w:hAnsi="Arial" w:cs="Arial"/>
                <w:sz w:val="20"/>
                <w:szCs w:val="20"/>
              </w:rPr>
              <w:t>Hadlima</w:t>
            </w:r>
            <w:proofErr w:type="spellEnd"/>
            <w:r w:rsidRPr="00FF5E89">
              <w:rPr>
                <w:rFonts w:ascii="Arial" w:hAnsi="Arial" w:cs="Arial"/>
                <w:sz w:val="20"/>
                <w:szCs w:val="20"/>
              </w:rPr>
              <w:t xml:space="preserve"> on the basis that the restrictions are complex and require prescribers to provide detailed clinical information to support the relevant PBS authority application. The PBAC noted that the Department is working with Services Australia to assess the requirements of PBS </w:t>
            </w:r>
            <w:proofErr w:type="gramStart"/>
            <w:r w:rsidRPr="00FF5E89">
              <w:rPr>
                <w:rFonts w:ascii="Arial" w:hAnsi="Arial" w:cs="Arial"/>
                <w:sz w:val="20"/>
                <w:szCs w:val="20"/>
              </w:rPr>
              <w:t>items which</w:t>
            </w:r>
            <w:proofErr w:type="gramEnd"/>
            <w:r w:rsidRPr="00FF5E89">
              <w:rPr>
                <w:rFonts w:ascii="Arial" w:hAnsi="Arial" w:cs="Arial"/>
                <w:sz w:val="20"/>
                <w:szCs w:val="20"/>
              </w:rPr>
              <w:t xml:space="preserve"> require paper based evidence (such as </w:t>
            </w:r>
            <w:proofErr w:type="spellStart"/>
            <w:r w:rsidRPr="00FF5E89">
              <w:rPr>
                <w:rFonts w:ascii="Arial" w:hAnsi="Arial" w:cs="Arial"/>
                <w:sz w:val="20"/>
                <w:szCs w:val="20"/>
              </w:rPr>
              <w:t>Hadlima</w:t>
            </w:r>
            <w:proofErr w:type="spellEnd"/>
            <w:r w:rsidRPr="00FF5E89">
              <w:rPr>
                <w:rFonts w:ascii="Arial" w:hAnsi="Arial" w:cs="Arial"/>
                <w:sz w:val="20"/>
                <w:szCs w:val="20"/>
              </w:rPr>
              <w:t>) and will seek the PBAC’s advice for change where appropriate.</w:t>
            </w:r>
          </w:p>
          <w:p w14:paraId="4BFCF9C6" w14:textId="6F60D636" w:rsidR="00FF5E89" w:rsidRDefault="00FF5E89" w:rsidP="00FF5E89">
            <w:pPr>
              <w:pStyle w:val="3Bodytext"/>
              <w:spacing w:after="0"/>
              <w:ind w:left="0" w:firstLine="0"/>
              <w:rPr>
                <w:rFonts w:ascii="Arial" w:hAnsi="Arial" w:cs="Arial"/>
                <w:sz w:val="20"/>
                <w:szCs w:val="20"/>
              </w:rPr>
            </w:pPr>
            <w:r>
              <w:rPr>
                <w:rFonts w:ascii="Arial" w:hAnsi="Arial" w:cs="Arial"/>
                <w:sz w:val="20"/>
                <w:szCs w:val="20"/>
              </w:rPr>
              <w:br/>
            </w:r>
            <w:r w:rsidRPr="00FF5E89">
              <w:rPr>
                <w:rFonts w:ascii="Arial" w:hAnsi="Arial" w:cs="Arial"/>
                <w:sz w:val="20"/>
                <w:szCs w:val="20"/>
              </w:rPr>
              <w:t xml:space="preserve">For </w:t>
            </w:r>
            <w:proofErr w:type="spellStart"/>
            <w:r w:rsidRPr="00FF5E89">
              <w:rPr>
                <w:rFonts w:ascii="Arial" w:hAnsi="Arial" w:cs="Arial"/>
                <w:sz w:val="20"/>
                <w:szCs w:val="20"/>
              </w:rPr>
              <w:t>bDMARD</w:t>
            </w:r>
            <w:proofErr w:type="spellEnd"/>
            <w:r w:rsidRPr="00FF5E89">
              <w:rPr>
                <w:rFonts w:ascii="Arial" w:hAnsi="Arial" w:cs="Arial"/>
                <w:sz w:val="20"/>
                <w:szCs w:val="20"/>
              </w:rPr>
              <w:t xml:space="preserve">/biologic-naïve patients, the PBAC noted the sponsor’s request </w:t>
            </w:r>
            <w:r w:rsidR="00C60A2D">
              <w:rPr>
                <w:rFonts w:ascii="Arial" w:hAnsi="Arial" w:cs="Arial"/>
                <w:sz w:val="20"/>
                <w:szCs w:val="20"/>
              </w:rPr>
              <w:t>to have</w:t>
            </w:r>
            <w:r w:rsidRPr="00FF5E89">
              <w:rPr>
                <w:rFonts w:ascii="Arial" w:hAnsi="Arial" w:cs="Arial"/>
                <w:sz w:val="20"/>
                <w:szCs w:val="20"/>
              </w:rPr>
              <w:t xml:space="preserve"> the use of a biosimilar in the first instance not count as a treatment failure as part of a treatment cycle, as one of five agents in </w:t>
            </w:r>
            <w:r w:rsidRPr="00FF5E89">
              <w:rPr>
                <w:rFonts w:ascii="Arial" w:hAnsi="Arial" w:cs="Arial"/>
                <w:snapToGrid/>
                <w:sz w:val="20"/>
                <w:szCs w:val="20"/>
              </w:rPr>
              <w:t>rheumatoid arthritis or three agents in ankylosing spondylitis, psoriatic arthritis or chronic plaque psoriasis.</w:t>
            </w:r>
            <w:r w:rsidRPr="00FF5E89">
              <w:rPr>
                <w:rFonts w:ascii="Arial" w:hAnsi="Arial" w:cs="Arial"/>
                <w:sz w:val="20"/>
                <w:szCs w:val="20"/>
              </w:rPr>
              <w:t xml:space="preserve"> The PBAC did not support this request on the basis that a biosimilar medicine is a highly similar version of a reference biological medicine and contemporary clinical evidence does not support that the biosimilar be exempt from the treatment failure rule.</w:t>
            </w:r>
          </w:p>
          <w:p w14:paraId="5991B469" w14:textId="1CCEFE42" w:rsidR="00FF5E89" w:rsidRPr="00EB002B" w:rsidRDefault="00FF5E89" w:rsidP="00FF5E89">
            <w:pPr>
              <w:pStyle w:val="3Bodytext"/>
              <w:spacing w:after="0"/>
              <w:ind w:left="0" w:firstLine="0"/>
              <w:rPr>
                <w:rFonts w:ascii="Arial" w:hAnsi="Arial" w:cs="Arial"/>
                <w:sz w:val="20"/>
                <w:szCs w:val="20"/>
              </w:rPr>
            </w:pPr>
          </w:p>
        </w:tc>
      </w:tr>
      <w:tr w:rsidR="00203527" w:rsidRPr="00D3523D" w14:paraId="15127070" w14:textId="77777777" w:rsidTr="0069672A">
        <w:trPr>
          <w:cantSplit/>
          <w:trHeight w:val="813"/>
        </w:trPr>
        <w:tc>
          <w:tcPr>
            <w:tcW w:w="2694" w:type="dxa"/>
            <w:vMerge/>
            <w:tcMar>
              <w:top w:w="28" w:type="dxa"/>
              <w:bottom w:w="28" w:type="dxa"/>
            </w:tcMar>
          </w:tcPr>
          <w:p w14:paraId="1E3B170E" w14:textId="77777777" w:rsidR="00203527" w:rsidRPr="00203527" w:rsidRDefault="00203527" w:rsidP="00203527">
            <w:pPr>
              <w:widowControl w:val="0"/>
              <w:rPr>
                <w:rFonts w:ascii="Arial" w:hAnsi="Arial" w:cs="Arial"/>
                <w:snapToGrid w:val="0"/>
                <w:lang w:eastAsia="en-US"/>
              </w:rPr>
            </w:pPr>
          </w:p>
        </w:tc>
        <w:tc>
          <w:tcPr>
            <w:tcW w:w="2409" w:type="dxa"/>
            <w:vMerge/>
          </w:tcPr>
          <w:p w14:paraId="5BF03306" w14:textId="77777777" w:rsidR="00203527" w:rsidRPr="00203527" w:rsidRDefault="00203527" w:rsidP="00203527">
            <w:pPr>
              <w:pStyle w:val="Default"/>
              <w:rPr>
                <w:rFonts w:ascii="Arial" w:hAnsi="Arial" w:cs="Arial"/>
                <w:snapToGrid w:val="0"/>
                <w:sz w:val="20"/>
                <w:szCs w:val="20"/>
                <w:lang w:eastAsia="en-US"/>
              </w:rPr>
            </w:pPr>
          </w:p>
        </w:tc>
        <w:tc>
          <w:tcPr>
            <w:tcW w:w="3261" w:type="dxa"/>
            <w:tcMar>
              <w:top w:w="28" w:type="dxa"/>
              <w:bottom w:w="28" w:type="dxa"/>
            </w:tcMar>
          </w:tcPr>
          <w:p w14:paraId="28E25D33" w14:textId="7BD9C7D0" w:rsidR="00203527" w:rsidRPr="00203527" w:rsidRDefault="00203527" w:rsidP="00203527">
            <w:pPr>
              <w:pStyle w:val="Default"/>
              <w:jc w:val="right"/>
              <w:rPr>
                <w:rFonts w:ascii="Arial" w:hAnsi="Arial" w:cs="Arial"/>
                <w:snapToGrid w:val="0"/>
                <w:sz w:val="20"/>
                <w:szCs w:val="20"/>
                <w:lang w:eastAsia="en-US"/>
              </w:rPr>
            </w:pPr>
            <w:r>
              <w:rPr>
                <w:rFonts w:ascii="Arial" w:hAnsi="Arial" w:cs="Arial"/>
                <w:snapToGrid w:val="0"/>
                <w:sz w:val="20"/>
                <w:szCs w:val="20"/>
                <w:lang w:eastAsia="en-US"/>
              </w:rPr>
              <w:t>Sponsor’s comment:</w:t>
            </w:r>
          </w:p>
        </w:tc>
        <w:tc>
          <w:tcPr>
            <w:tcW w:w="6947" w:type="dxa"/>
          </w:tcPr>
          <w:p w14:paraId="062024E5" w14:textId="77777777" w:rsidR="004E7F8F" w:rsidRPr="004E7F8F" w:rsidRDefault="004E7F8F" w:rsidP="004E7F8F">
            <w:pPr>
              <w:rPr>
                <w:rFonts w:ascii="Arial" w:eastAsiaTheme="minorHAnsi" w:hAnsi="Arial" w:cs="Arial"/>
                <w:iCs/>
                <w:lang w:eastAsia="en-US"/>
              </w:rPr>
            </w:pPr>
            <w:r w:rsidRPr="004E7F8F">
              <w:rPr>
                <w:rFonts w:ascii="Arial" w:eastAsiaTheme="minorHAnsi" w:hAnsi="Arial" w:cs="Arial"/>
                <w:iCs/>
                <w:lang w:eastAsia="en-US"/>
              </w:rPr>
              <w:t xml:space="preserve">MSD is disappointed the PBAC has rejected additional biosimilar uptake drivers proposed to support patient and clinician use of biosimilars which are in line with government policy and the Medicines Australia Strategic Agreement. </w:t>
            </w:r>
          </w:p>
          <w:p w14:paraId="1A341885" w14:textId="77777777" w:rsidR="004E7F8F" w:rsidRPr="004E7F8F" w:rsidRDefault="004E7F8F" w:rsidP="004E7F8F">
            <w:pPr>
              <w:rPr>
                <w:rFonts w:ascii="Arial" w:eastAsiaTheme="minorHAnsi" w:hAnsi="Arial" w:cs="Arial"/>
                <w:iCs/>
                <w:lang w:eastAsia="en-US"/>
              </w:rPr>
            </w:pPr>
          </w:p>
          <w:p w14:paraId="5B9D758C" w14:textId="77777777" w:rsidR="004E7F8F" w:rsidRPr="004E7F8F" w:rsidRDefault="004E7F8F" w:rsidP="004E7F8F">
            <w:pPr>
              <w:rPr>
                <w:rFonts w:ascii="Arial" w:eastAsiaTheme="minorHAnsi" w:hAnsi="Arial" w:cs="Arial"/>
                <w:iCs/>
                <w:lang w:eastAsia="en-US"/>
              </w:rPr>
            </w:pPr>
            <w:r w:rsidRPr="004E7F8F">
              <w:rPr>
                <w:rFonts w:ascii="Arial" w:eastAsiaTheme="minorHAnsi" w:hAnsi="Arial" w:cs="Arial"/>
                <w:iCs/>
                <w:lang w:eastAsia="en-US"/>
              </w:rPr>
              <w:t xml:space="preserve">Existing biosimilar uptake drivers continue to be insufficient to create a viable biosimilar market and deliver the full potential of savings. Urgent action is required to ensure the PBS is set up for success in supporting and benefiting from current and future biosimilars. </w:t>
            </w:r>
          </w:p>
          <w:p w14:paraId="42B36484" w14:textId="77777777" w:rsidR="004E7F8F" w:rsidRPr="004E7F8F" w:rsidRDefault="004E7F8F" w:rsidP="004E7F8F">
            <w:pPr>
              <w:rPr>
                <w:rFonts w:ascii="Arial" w:eastAsiaTheme="minorHAnsi" w:hAnsi="Arial" w:cs="Arial"/>
                <w:iCs/>
                <w:lang w:eastAsia="en-US"/>
              </w:rPr>
            </w:pPr>
          </w:p>
          <w:p w14:paraId="0F1E3636" w14:textId="5EF6F77E" w:rsidR="0069672A" w:rsidRPr="00EB002B" w:rsidRDefault="004E7F8F" w:rsidP="00203527">
            <w:pPr>
              <w:pStyle w:val="4Bodytextnumbered"/>
              <w:spacing w:after="0"/>
              <w:ind w:left="0" w:firstLine="0"/>
              <w:jc w:val="left"/>
              <w:rPr>
                <w:rFonts w:ascii="Arial" w:hAnsi="Arial" w:cs="Arial"/>
                <w:sz w:val="20"/>
                <w:szCs w:val="20"/>
              </w:rPr>
            </w:pPr>
            <w:r w:rsidRPr="004E7F8F">
              <w:rPr>
                <w:rFonts w:ascii="Arial" w:hAnsi="Arial" w:cs="Arial"/>
                <w:iCs/>
                <w:sz w:val="20"/>
                <w:szCs w:val="20"/>
              </w:rPr>
              <w:t>We remain ready to engage productively in discussions with the government, PBAC and relevant stakeholders to deliver benefits to patients and the health system.</w:t>
            </w:r>
          </w:p>
        </w:tc>
      </w:tr>
      <w:tr w:rsidR="0069672A" w:rsidRPr="00D3523D" w14:paraId="768BCEEC" w14:textId="77777777" w:rsidTr="0069672A">
        <w:trPr>
          <w:cantSplit/>
          <w:trHeight w:val="3604"/>
        </w:trPr>
        <w:tc>
          <w:tcPr>
            <w:tcW w:w="2694" w:type="dxa"/>
            <w:vMerge w:val="restart"/>
            <w:tcMar>
              <w:top w:w="28" w:type="dxa"/>
              <w:bottom w:w="28" w:type="dxa"/>
            </w:tcMar>
          </w:tcPr>
          <w:p w14:paraId="25490733"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lastRenderedPageBreak/>
              <w:t>ETANERCEPT</w:t>
            </w:r>
          </w:p>
          <w:p w14:paraId="507F94C1" w14:textId="77777777" w:rsidR="0069672A" w:rsidRPr="00DA5111" w:rsidRDefault="0069672A" w:rsidP="007C1CC6">
            <w:pPr>
              <w:autoSpaceDE w:val="0"/>
              <w:autoSpaceDN w:val="0"/>
              <w:adjustRightInd w:val="0"/>
              <w:rPr>
                <w:rFonts w:ascii="Arial" w:hAnsi="Arial" w:cs="Arial"/>
                <w:snapToGrid w:val="0"/>
                <w:color w:val="000000"/>
                <w:lang w:eastAsia="en-US"/>
              </w:rPr>
            </w:pPr>
          </w:p>
          <w:p w14:paraId="636967D9" w14:textId="2B6180B2"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Injection 50 mg in 1 mL single use auto-injector, 4</w:t>
            </w:r>
          </w:p>
          <w:p w14:paraId="70EC3FED" w14:textId="2574AEDF"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Injection 50 mg in 1 mL single use pre-filled syringe, 4</w:t>
            </w:r>
          </w:p>
          <w:p w14:paraId="3743742E" w14:textId="77777777" w:rsidR="0069672A" w:rsidRPr="00DA5111" w:rsidRDefault="0069672A" w:rsidP="007C1CC6">
            <w:pPr>
              <w:autoSpaceDE w:val="0"/>
              <w:autoSpaceDN w:val="0"/>
              <w:adjustRightInd w:val="0"/>
              <w:rPr>
                <w:rFonts w:ascii="Arial" w:hAnsi="Arial" w:cs="Arial"/>
                <w:snapToGrid w:val="0"/>
                <w:color w:val="000000"/>
                <w:lang w:eastAsia="en-US"/>
              </w:rPr>
            </w:pPr>
          </w:p>
          <w:p w14:paraId="325D5C36" w14:textId="08FEEFD5"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Brenzys®</w:t>
            </w:r>
          </w:p>
          <w:p w14:paraId="43108E8A" w14:textId="77777777" w:rsidR="0069672A" w:rsidRPr="00DA5111" w:rsidRDefault="0069672A" w:rsidP="007C1CC6">
            <w:pPr>
              <w:autoSpaceDE w:val="0"/>
              <w:autoSpaceDN w:val="0"/>
              <w:adjustRightInd w:val="0"/>
              <w:rPr>
                <w:rFonts w:ascii="Arial" w:hAnsi="Arial" w:cs="Arial"/>
                <w:snapToGrid w:val="0"/>
                <w:color w:val="000000"/>
                <w:lang w:eastAsia="en-US"/>
              </w:rPr>
            </w:pPr>
          </w:p>
          <w:p w14:paraId="42A759DC" w14:textId="3429CFAA"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Merck Sharp &amp; Dohme</w:t>
            </w:r>
          </w:p>
          <w:p w14:paraId="292F2963"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(Australia) Pty Limited</w:t>
            </w:r>
          </w:p>
          <w:p w14:paraId="445892CD" w14:textId="7830DA1E" w:rsidR="0069672A" w:rsidRPr="00DA5111" w:rsidRDefault="0069672A" w:rsidP="007C1CC6">
            <w:pPr>
              <w:autoSpaceDE w:val="0"/>
              <w:autoSpaceDN w:val="0"/>
              <w:adjustRightInd w:val="0"/>
              <w:rPr>
                <w:rFonts w:ascii="Arial" w:hAnsi="Arial" w:cs="Arial"/>
                <w:snapToGrid w:val="0"/>
                <w:color w:val="000000"/>
                <w:lang w:eastAsia="en-US"/>
              </w:rPr>
            </w:pPr>
          </w:p>
          <w:p w14:paraId="63CA5FB1" w14:textId="5A46BE1B" w:rsidR="0069672A" w:rsidRPr="00DA5111" w:rsidRDefault="0069672A" w:rsidP="00DA5111">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Change to listing</w:t>
            </w:r>
          </w:p>
          <w:p w14:paraId="6D35E8A8" w14:textId="40893C98" w:rsidR="0069672A" w:rsidRPr="00DA5111" w:rsidRDefault="0069672A" w:rsidP="00DA5111">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(Matters outstanding)</w:t>
            </w:r>
          </w:p>
          <w:p w14:paraId="7FCE43C6" w14:textId="63D13D9F" w:rsidR="0069672A" w:rsidRPr="00203527" w:rsidRDefault="0069672A" w:rsidP="00203527">
            <w:pPr>
              <w:widowControl w:val="0"/>
              <w:rPr>
                <w:rFonts w:ascii="Arial" w:hAnsi="Arial" w:cs="Arial"/>
                <w:snapToGrid w:val="0"/>
                <w:lang w:eastAsia="en-US"/>
              </w:rPr>
            </w:pPr>
          </w:p>
        </w:tc>
        <w:tc>
          <w:tcPr>
            <w:tcW w:w="2409" w:type="dxa"/>
            <w:vMerge w:val="restart"/>
          </w:tcPr>
          <w:p w14:paraId="485F3618"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Severe active</w:t>
            </w:r>
          </w:p>
          <w:p w14:paraId="07AB0579"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rheumatoid arthritis</w:t>
            </w:r>
          </w:p>
          <w:p w14:paraId="46FDA2C3"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Ankylosing spondylitis</w:t>
            </w:r>
          </w:p>
          <w:p w14:paraId="0B59E856"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Severe psoriatic arthritis</w:t>
            </w:r>
          </w:p>
          <w:p w14:paraId="1332E863"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Severe chronic plaque</w:t>
            </w:r>
          </w:p>
          <w:p w14:paraId="270B1292" w14:textId="2309D9D6" w:rsidR="0069672A" w:rsidRPr="00203527" w:rsidRDefault="0069672A" w:rsidP="00DA5111">
            <w:pPr>
              <w:autoSpaceDE w:val="0"/>
              <w:autoSpaceDN w:val="0"/>
              <w:adjustRightInd w:val="0"/>
              <w:rPr>
                <w:rFonts w:ascii="Arial" w:hAnsi="Arial" w:cs="Arial"/>
                <w:snapToGrid w:val="0"/>
                <w:lang w:eastAsia="en-US"/>
              </w:rPr>
            </w:pPr>
            <w:r w:rsidRPr="00DA5111">
              <w:rPr>
                <w:rFonts w:ascii="Arial" w:hAnsi="Arial" w:cs="Arial"/>
                <w:snapToGrid w:val="0"/>
                <w:color w:val="000000"/>
                <w:lang w:eastAsia="en-US"/>
              </w:rPr>
              <w:t>psoriasis</w:t>
            </w:r>
          </w:p>
        </w:tc>
        <w:tc>
          <w:tcPr>
            <w:tcW w:w="3261" w:type="dxa"/>
            <w:tcMar>
              <w:top w:w="28" w:type="dxa"/>
              <w:bottom w:w="28" w:type="dxa"/>
            </w:tcMar>
          </w:tcPr>
          <w:p w14:paraId="4AE24EB1" w14:textId="77777777"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To request changes to the</w:t>
            </w:r>
          </w:p>
          <w:p w14:paraId="66F1BA55" w14:textId="73F33A65" w:rsidR="0069672A" w:rsidRPr="00DA5111" w:rsidRDefault="0069672A" w:rsidP="007C1CC6">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 xml:space="preserve">current </w:t>
            </w:r>
            <w:r w:rsidR="00585522">
              <w:rPr>
                <w:rFonts w:ascii="Arial" w:hAnsi="Arial" w:cs="Arial"/>
                <w:snapToGrid w:val="0"/>
                <w:color w:val="000000"/>
                <w:lang w:eastAsia="en-US"/>
              </w:rPr>
              <w:t>i</w:t>
            </w:r>
            <w:r w:rsidRPr="00DA5111">
              <w:rPr>
                <w:rFonts w:ascii="Arial" w:hAnsi="Arial" w:cs="Arial"/>
                <w:snapToGrid w:val="0"/>
                <w:color w:val="000000"/>
                <w:lang w:eastAsia="en-US"/>
              </w:rPr>
              <w:t xml:space="preserve">nitial 1, </w:t>
            </w:r>
            <w:r w:rsidR="00585522">
              <w:rPr>
                <w:rFonts w:ascii="Arial" w:hAnsi="Arial" w:cs="Arial"/>
                <w:snapToGrid w:val="0"/>
                <w:color w:val="000000"/>
                <w:lang w:eastAsia="en-US"/>
              </w:rPr>
              <w:t>i</w:t>
            </w:r>
            <w:r w:rsidRPr="00DA5111">
              <w:rPr>
                <w:rFonts w:ascii="Arial" w:hAnsi="Arial" w:cs="Arial"/>
                <w:snapToGrid w:val="0"/>
                <w:color w:val="000000"/>
                <w:lang w:eastAsia="en-US"/>
              </w:rPr>
              <w:t xml:space="preserve">nitial 2 and </w:t>
            </w:r>
            <w:r w:rsidR="00585522">
              <w:rPr>
                <w:rFonts w:ascii="Arial" w:hAnsi="Arial" w:cs="Arial"/>
                <w:snapToGrid w:val="0"/>
                <w:color w:val="000000"/>
                <w:lang w:eastAsia="en-US"/>
              </w:rPr>
              <w:t>f</w:t>
            </w:r>
            <w:r w:rsidRPr="00DA5111">
              <w:rPr>
                <w:rFonts w:ascii="Arial" w:hAnsi="Arial" w:cs="Arial"/>
                <w:snapToGrid w:val="0"/>
                <w:color w:val="000000"/>
                <w:lang w:eastAsia="en-US"/>
              </w:rPr>
              <w:t>irst</w:t>
            </w:r>
          </w:p>
          <w:p w14:paraId="6ED42674" w14:textId="48B3176F" w:rsidR="0069672A" w:rsidRPr="007C1CC6" w:rsidRDefault="00585522" w:rsidP="007C1CC6">
            <w:pPr>
              <w:autoSpaceDE w:val="0"/>
              <w:autoSpaceDN w:val="0"/>
              <w:adjustRightInd w:val="0"/>
              <w:rPr>
                <w:rFonts w:ascii="CIDFont+F3" w:hAnsi="CIDFont+F3" w:cs="CIDFont+F3"/>
              </w:rPr>
            </w:pPr>
            <w:proofErr w:type="gramStart"/>
            <w:r>
              <w:rPr>
                <w:rFonts w:ascii="Arial" w:hAnsi="Arial" w:cs="Arial"/>
                <w:snapToGrid w:val="0"/>
                <w:color w:val="000000"/>
                <w:lang w:eastAsia="en-US"/>
              </w:rPr>
              <w:t>c</w:t>
            </w:r>
            <w:r w:rsidR="0069672A" w:rsidRPr="00DA5111">
              <w:rPr>
                <w:rFonts w:ascii="Arial" w:hAnsi="Arial" w:cs="Arial"/>
                <w:snapToGrid w:val="0"/>
                <w:color w:val="000000"/>
                <w:lang w:eastAsia="en-US"/>
              </w:rPr>
              <w:t>ontinuing</w:t>
            </w:r>
            <w:proofErr w:type="gramEnd"/>
            <w:r w:rsidR="0069672A" w:rsidRPr="00DA5111">
              <w:rPr>
                <w:rFonts w:ascii="Arial" w:hAnsi="Arial" w:cs="Arial"/>
                <w:snapToGrid w:val="0"/>
                <w:color w:val="000000"/>
                <w:lang w:eastAsia="en-US"/>
              </w:rPr>
              <w:t xml:space="preserve"> restrictions, including changing the restriction level to allow telephone</w:t>
            </w:r>
            <w:r w:rsidR="00DA5111" w:rsidRPr="00DA5111">
              <w:rPr>
                <w:rFonts w:ascii="Arial" w:hAnsi="Arial" w:cs="Arial"/>
                <w:snapToGrid w:val="0"/>
                <w:color w:val="000000"/>
                <w:lang w:eastAsia="en-US"/>
              </w:rPr>
              <w:t>/online</w:t>
            </w:r>
            <w:r w:rsidR="0069672A" w:rsidRPr="00DA5111">
              <w:rPr>
                <w:rFonts w:ascii="Arial" w:hAnsi="Arial" w:cs="Arial"/>
                <w:snapToGrid w:val="0"/>
                <w:color w:val="000000"/>
                <w:lang w:eastAsia="en-US"/>
              </w:rPr>
              <w:t xml:space="preserve"> authority; and to request that use of the biosimilar not count as treatment failure.</w:t>
            </w:r>
          </w:p>
        </w:tc>
        <w:tc>
          <w:tcPr>
            <w:tcW w:w="6947" w:type="dxa"/>
          </w:tcPr>
          <w:p w14:paraId="0BD7C125" w14:textId="3107B9AE" w:rsidR="00FF5E89" w:rsidRPr="00DA5111" w:rsidRDefault="00FF5E89" w:rsidP="00DA5111">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The PBAC did not recommend changing the authority level for initial 1, initial 2 and first continuing prescribing from Authority Required (Written) to Authority Required (Telephone</w:t>
            </w:r>
            <w:r w:rsidR="00DA5111" w:rsidRPr="00DA5111">
              <w:rPr>
                <w:rFonts w:ascii="Arial" w:hAnsi="Arial" w:cs="Arial"/>
                <w:snapToGrid w:val="0"/>
                <w:color w:val="000000"/>
                <w:lang w:eastAsia="en-US"/>
              </w:rPr>
              <w:t>/Online</w:t>
            </w:r>
            <w:r w:rsidRPr="00DA5111">
              <w:rPr>
                <w:rFonts w:ascii="Arial" w:hAnsi="Arial" w:cs="Arial"/>
                <w:snapToGrid w:val="0"/>
                <w:color w:val="000000"/>
                <w:lang w:eastAsia="en-US"/>
              </w:rPr>
              <w:t xml:space="preserve">) for Brenzys. The PBAC considered that a full assessment (written) is appropriate for Brenzys on the basis that the restrictions are complex and require prescribers to provide detailed clinical information to support the relevant PBS authority application. The PBAC noted that the Department is working with Services Australia to assess the requirements of PBS </w:t>
            </w:r>
            <w:proofErr w:type="gramStart"/>
            <w:r w:rsidRPr="00DA5111">
              <w:rPr>
                <w:rFonts w:ascii="Arial" w:hAnsi="Arial" w:cs="Arial"/>
                <w:snapToGrid w:val="0"/>
                <w:color w:val="000000"/>
                <w:lang w:eastAsia="en-US"/>
              </w:rPr>
              <w:t>items which</w:t>
            </w:r>
            <w:proofErr w:type="gramEnd"/>
            <w:r w:rsidRPr="00DA5111">
              <w:rPr>
                <w:rFonts w:ascii="Arial" w:hAnsi="Arial" w:cs="Arial"/>
                <w:snapToGrid w:val="0"/>
                <w:color w:val="000000"/>
                <w:lang w:eastAsia="en-US"/>
              </w:rPr>
              <w:t xml:space="preserve"> require paper based evidence (such as Brenzys) and will seek the PBAC’s advice for change where appropriate.</w:t>
            </w:r>
          </w:p>
          <w:p w14:paraId="10BA8621" w14:textId="77777777" w:rsidR="00FF5E89" w:rsidRPr="00DA5111" w:rsidRDefault="00FF5E89" w:rsidP="00DA5111">
            <w:pPr>
              <w:autoSpaceDE w:val="0"/>
              <w:autoSpaceDN w:val="0"/>
              <w:adjustRightInd w:val="0"/>
              <w:rPr>
                <w:rFonts w:ascii="Arial" w:hAnsi="Arial" w:cs="Arial"/>
                <w:snapToGrid w:val="0"/>
                <w:color w:val="000000"/>
                <w:lang w:eastAsia="en-US"/>
              </w:rPr>
            </w:pPr>
          </w:p>
          <w:p w14:paraId="0DF4170A" w14:textId="77777777" w:rsidR="0069672A" w:rsidRPr="00DA5111" w:rsidRDefault="00FF5E89" w:rsidP="00DA5111">
            <w:pPr>
              <w:autoSpaceDE w:val="0"/>
              <w:autoSpaceDN w:val="0"/>
              <w:adjustRightInd w:val="0"/>
              <w:rPr>
                <w:rFonts w:ascii="Arial" w:hAnsi="Arial" w:cs="Arial"/>
                <w:snapToGrid w:val="0"/>
                <w:color w:val="000000"/>
                <w:lang w:eastAsia="en-US"/>
              </w:rPr>
            </w:pPr>
            <w:r w:rsidRPr="00DA5111">
              <w:rPr>
                <w:rFonts w:ascii="Arial" w:hAnsi="Arial" w:cs="Arial"/>
                <w:snapToGrid w:val="0"/>
                <w:color w:val="000000"/>
                <w:lang w:eastAsia="en-US"/>
              </w:rPr>
              <w:t xml:space="preserve">For </w:t>
            </w:r>
            <w:proofErr w:type="spellStart"/>
            <w:r w:rsidRPr="00DA5111">
              <w:rPr>
                <w:rFonts w:ascii="Arial" w:hAnsi="Arial" w:cs="Arial"/>
                <w:snapToGrid w:val="0"/>
                <w:color w:val="000000"/>
                <w:lang w:eastAsia="en-US"/>
              </w:rPr>
              <w:t>bDMARD</w:t>
            </w:r>
            <w:proofErr w:type="spellEnd"/>
            <w:r w:rsidRPr="00DA5111">
              <w:rPr>
                <w:rFonts w:ascii="Arial" w:hAnsi="Arial" w:cs="Arial"/>
                <w:snapToGrid w:val="0"/>
                <w:color w:val="000000"/>
                <w:lang w:eastAsia="en-US"/>
              </w:rPr>
              <w:t>/biologic-naïve patients, the PBAC noted the sponsor’s request for having the use of a biosimilar in the first instance not count as a treatment failure as part of a treatment cycle, as one of five agents in rheumatoid arthritis or three agents in ankylosing spondylitis, psoriatic arthritis or chronic plaque psoriasis. The PBAC did not support this request on the basis that a biosimilar medicine is a highly similar version of a reference biological medicine and contemporary clinical evidence does not support that the biosimilar be exempt from the treatment failure rule.</w:t>
            </w:r>
          </w:p>
          <w:p w14:paraId="5BD431EA" w14:textId="60A751A5" w:rsidR="00FF5E89" w:rsidRPr="00DA5111" w:rsidRDefault="00FF5E89" w:rsidP="00DA5111">
            <w:pPr>
              <w:autoSpaceDE w:val="0"/>
              <w:autoSpaceDN w:val="0"/>
              <w:adjustRightInd w:val="0"/>
              <w:rPr>
                <w:rFonts w:ascii="Arial" w:hAnsi="Arial" w:cs="Arial"/>
                <w:snapToGrid w:val="0"/>
                <w:color w:val="000000"/>
                <w:lang w:eastAsia="en-US"/>
              </w:rPr>
            </w:pPr>
          </w:p>
        </w:tc>
      </w:tr>
      <w:tr w:rsidR="0069672A" w:rsidRPr="00D3523D" w14:paraId="4C5A3C38" w14:textId="77777777" w:rsidTr="0069672A">
        <w:trPr>
          <w:cantSplit/>
          <w:trHeight w:val="1374"/>
        </w:trPr>
        <w:tc>
          <w:tcPr>
            <w:tcW w:w="2694" w:type="dxa"/>
            <w:vMerge/>
            <w:tcMar>
              <w:top w:w="28" w:type="dxa"/>
              <w:bottom w:w="28" w:type="dxa"/>
            </w:tcMar>
          </w:tcPr>
          <w:p w14:paraId="6E4829CC" w14:textId="77777777" w:rsidR="0069672A" w:rsidRDefault="0069672A" w:rsidP="007C1CC6">
            <w:pPr>
              <w:autoSpaceDE w:val="0"/>
              <w:autoSpaceDN w:val="0"/>
              <w:adjustRightInd w:val="0"/>
              <w:rPr>
                <w:rFonts w:ascii="CIDFont+F3" w:hAnsi="CIDFont+F3" w:cs="CIDFont+F3"/>
              </w:rPr>
            </w:pPr>
          </w:p>
        </w:tc>
        <w:tc>
          <w:tcPr>
            <w:tcW w:w="2409" w:type="dxa"/>
            <w:vMerge/>
          </w:tcPr>
          <w:p w14:paraId="61786E8B" w14:textId="77777777" w:rsidR="0069672A" w:rsidRDefault="0069672A" w:rsidP="007C1CC6">
            <w:pPr>
              <w:autoSpaceDE w:val="0"/>
              <w:autoSpaceDN w:val="0"/>
              <w:adjustRightInd w:val="0"/>
              <w:rPr>
                <w:rFonts w:ascii="CIDFont+F3" w:hAnsi="CIDFont+F3" w:cs="CIDFont+F3"/>
              </w:rPr>
            </w:pPr>
          </w:p>
        </w:tc>
        <w:tc>
          <w:tcPr>
            <w:tcW w:w="3261" w:type="dxa"/>
            <w:tcMar>
              <w:top w:w="28" w:type="dxa"/>
              <w:bottom w:w="28" w:type="dxa"/>
            </w:tcMar>
          </w:tcPr>
          <w:p w14:paraId="6435B903" w14:textId="089F5FC5" w:rsidR="0069672A" w:rsidRPr="00DA5111" w:rsidRDefault="0069672A" w:rsidP="0069672A">
            <w:pPr>
              <w:autoSpaceDE w:val="0"/>
              <w:autoSpaceDN w:val="0"/>
              <w:adjustRightInd w:val="0"/>
              <w:jc w:val="right"/>
              <w:rPr>
                <w:rFonts w:ascii="Arial" w:hAnsi="Arial" w:cs="Arial"/>
                <w:snapToGrid w:val="0"/>
                <w:color w:val="000000"/>
                <w:lang w:eastAsia="en-US"/>
              </w:rPr>
            </w:pPr>
            <w:r w:rsidRPr="00DA5111">
              <w:rPr>
                <w:rFonts w:ascii="Arial" w:hAnsi="Arial" w:cs="Arial"/>
                <w:snapToGrid w:val="0"/>
                <w:color w:val="000000"/>
                <w:lang w:eastAsia="en-US"/>
              </w:rPr>
              <w:t>Sponsor’s comment:</w:t>
            </w:r>
          </w:p>
        </w:tc>
        <w:tc>
          <w:tcPr>
            <w:tcW w:w="6947" w:type="dxa"/>
          </w:tcPr>
          <w:p w14:paraId="5A48790B" w14:textId="3A55CA45" w:rsidR="004E7F8F" w:rsidRPr="004E7F8F" w:rsidRDefault="004E7F8F" w:rsidP="004E7F8F">
            <w:pPr>
              <w:rPr>
                <w:rFonts w:ascii="Arial" w:eastAsiaTheme="minorHAnsi" w:hAnsi="Arial" w:cs="Arial"/>
                <w:iCs/>
                <w:lang w:eastAsia="en-US"/>
              </w:rPr>
            </w:pPr>
            <w:r w:rsidRPr="004E7F8F">
              <w:rPr>
                <w:rFonts w:ascii="Arial" w:eastAsiaTheme="minorHAnsi" w:hAnsi="Arial" w:cs="Arial"/>
                <w:iCs/>
                <w:lang w:eastAsia="en-US"/>
              </w:rPr>
              <w:t xml:space="preserve">MSD is disappointed the PBAC has rejected additional biosimilar uptake drivers proposed to support patient and clinician use of biosimilars which are in line with government policy and the Medicines Australia Strategic Agreement. </w:t>
            </w:r>
          </w:p>
          <w:p w14:paraId="29588120" w14:textId="77777777" w:rsidR="004E7F8F" w:rsidRPr="004E7F8F" w:rsidRDefault="004E7F8F" w:rsidP="004E7F8F">
            <w:pPr>
              <w:rPr>
                <w:rFonts w:ascii="Arial" w:eastAsiaTheme="minorHAnsi" w:hAnsi="Arial" w:cs="Arial"/>
                <w:iCs/>
                <w:lang w:eastAsia="en-US"/>
              </w:rPr>
            </w:pPr>
          </w:p>
          <w:p w14:paraId="435E7234" w14:textId="77777777" w:rsidR="004E7F8F" w:rsidRPr="004E7F8F" w:rsidRDefault="004E7F8F" w:rsidP="004E7F8F">
            <w:pPr>
              <w:rPr>
                <w:rFonts w:ascii="Arial" w:eastAsiaTheme="minorHAnsi" w:hAnsi="Arial" w:cs="Arial"/>
                <w:iCs/>
                <w:lang w:eastAsia="en-US"/>
              </w:rPr>
            </w:pPr>
            <w:r w:rsidRPr="004E7F8F">
              <w:rPr>
                <w:rFonts w:ascii="Arial" w:eastAsiaTheme="minorHAnsi" w:hAnsi="Arial" w:cs="Arial"/>
                <w:iCs/>
                <w:lang w:eastAsia="en-US"/>
              </w:rPr>
              <w:t xml:space="preserve">Existing biosimilar uptake drivers continue to be insufficient to create a viable biosimilar market and deliver the full potential of savings. Urgent action is required to ensure the PBS is set up for success in supporting and benefiting from current and future biosimilars. </w:t>
            </w:r>
          </w:p>
          <w:p w14:paraId="19501CF8" w14:textId="77777777" w:rsidR="004E7F8F" w:rsidRPr="004E7F8F" w:rsidRDefault="004E7F8F" w:rsidP="004E7F8F">
            <w:pPr>
              <w:rPr>
                <w:rFonts w:ascii="Arial" w:eastAsiaTheme="minorHAnsi" w:hAnsi="Arial" w:cs="Arial"/>
                <w:iCs/>
                <w:lang w:eastAsia="en-US"/>
              </w:rPr>
            </w:pPr>
          </w:p>
          <w:p w14:paraId="7C07A537" w14:textId="5ECAF038" w:rsidR="0069672A" w:rsidRPr="004E7F8F" w:rsidRDefault="004E7F8F" w:rsidP="004E7F8F">
            <w:pPr>
              <w:rPr>
                <w:rFonts w:ascii="Arial" w:eastAsiaTheme="minorHAnsi" w:hAnsi="Arial" w:cs="Arial"/>
                <w:iCs/>
                <w:lang w:eastAsia="en-US"/>
              </w:rPr>
            </w:pPr>
            <w:r w:rsidRPr="004E7F8F">
              <w:rPr>
                <w:rFonts w:ascii="Arial" w:eastAsiaTheme="minorHAnsi" w:hAnsi="Arial" w:cs="Arial"/>
                <w:iCs/>
                <w:lang w:eastAsia="en-US"/>
              </w:rPr>
              <w:t>We remain ready to engage productively in discussions with the government, PBAC and relevant stakeholders to deliver benefits to p</w:t>
            </w:r>
            <w:r w:rsidRPr="004E7F8F">
              <w:rPr>
                <w:rFonts w:ascii="Arial" w:eastAsiaTheme="minorHAnsi" w:hAnsi="Arial" w:cs="Arial"/>
                <w:iCs/>
                <w:lang w:eastAsia="en-US"/>
              </w:rPr>
              <w:t>atients and the health system.</w:t>
            </w:r>
          </w:p>
        </w:tc>
      </w:tr>
      <w:tr w:rsidR="00F16FA4" w:rsidRPr="00D3523D" w14:paraId="3E063046" w14:textId="77777777" w:rsidTr="004C54F7">
        <w:trPr>
          <w:cantSplit/>
          <w:trHeight w:val="896"/>
        </w:trPr>
        <w:tc>
          <w:tcPr>
            <w:tcW w:w="2694" w:type="dxa"/>
            <w:vMerge w:val="restart"/>
            <w:tcMar>
              <w:top w:w="28" w:type="dxa"/>
              <w:bottom w:w="28" w:type="dxa"/>
            </w:tcMar>
          </w:tcPr>
          <w:p w14:paraId="667060CF" w14:textId="77777777" w:rsidR="00EB002B" w:rsidRDefault="00EB002B" w:rsidP="00EB002B">
            <w:pPr>
              <w:rPr>
                <w:rFonts w:ascii="Arial" w:hAnsi="Arial" w:cs="Arial"/>
              </w:rPr>
            </w:pPr>
            <w:r>
              <w:rPr>
                <w:rFonts w:ascii="Arial" w:hAnsi="Arial" w:cs="Arial"/>
              </w:rPr>
              <w:lastRenderedPageBreak/>
              <w:t>LAROTRECTINIB</w:t>
            </w:r>
            <w:r>
              <w:rPr>
                <w:rFonts w:ascii="Arial" w:hAnsi="Arial" w:cs="Arial"/>
              </w:rPr>
              <w:br/>
            </w:r>
          </w:p>
          <w:p w14:paraId="51018513" w14:textId="77777777" w:rsidR="00EB002B" w:rsidRDefault="00EB002B" w:rsidP="00EB002B">
            <w:pPr>
              <w:rPr>
                <w:rFonts w:ascii="Arial" w:hAnsi="Arial" w:cs="Arial"/>
              </w:rPr>
            </w:pPr>
            <w:r>
              <w:rPr>
                <w:rFonts w:ascii="Arial" w:hAnsi="Arial" w:cs="Arial"/>
              </w:rPr>
              <w:t>Capsule 25 mg</w:t>
            </w:r>
          </w:p>
          <w:p w14:paraId="381903A8" w14:textId="77777777" w:rsidR="00EB002B" w:rsidRDefault="00EB002B" w:rsidP="00EB002B">
            <w:pPr>
              <w:rPr>
                <w:rFonts w:ascii="Arial" w:hAnsi="Arial" w:cs="Arial"/>
              </w:rPr>
            </w:pPr>
            <w:r>
              <w:rPr>
                <w:rFonts w:ascii="Arial" w:hAnsi="Arial" w:cs="Arial"/>
              </w:rPr>
              <w:t>Capsule 100 mg</w:t>
            </w:r>
          </w:p>
          <w:p w14:paraId="260F3A1A" w14:textId="77777777" w:rsidR="00EB002B" w:rsidRDefault="00EB002B" w:rsidP="00EB002B">
            <w:pPr>
              <w:rPr>
                <w:rFonts w:ascii="Arial" w:hAnsi="Arial" w:cs="Arial"/>
              </w:rPr>
            </w:pPr>
            <w:r w:rsidRPr="00EB002B">
              <w:rPr>
                <w:rFonts w:ascii="Arial" w:hAnsi="Arial" w:cs="Arial"/>
              </w:rPr>
              <w:t>Ora</w:t>
            </w:r>
            <w:r>
              <w:rPr>
                <w:rFonts w:ascii="Arial" w:hAnsi="Arial" w:cs="Arial"/>
              </w:rPr>
              <w:t>l solution 20 mg per mL, 100 mL</w:t>
            </w:r>
          </w:p>
          <w:p w14:paraId="6D10F1A7" w14:textId="77777777" w:rsidR="00EB002B" w:rsidRDefault="00EB002B" w:rsidP="00EB002B">
            <w:pPr>
              <w:rPr>
                <w:rFonts w:ascii="Arial" w:hAnsi="Arial" w:cs="Arial"/>
              </w:rPr>
            </w:pPr>
          </w:p>
          <w:p w14:paraId="7B13048A" w14:textId="77777777" w:rsidR="00EB002B" w:rsidRDefault="00EB002B" w:rsidP="00EB002B">
            <w:pPr>
              <w:rPr>
                <w:rFonts w:ascii="Arial" w:hAnsi="Arial" w:cs="Arial"/>
              </w:rPr>
            </w:pPr>
            <w:proofErr w:type="spellStart"/>
            <w:r>
              <w:rPr>
                <w:rFonts w:ascii="Arial" w:hAnsi="Arial" w:cs="Arial"/>
              </w:rPr>
              <w:t>Vitrakvi</w:t>
            </w:r>
            <w:proofErr w:type="spellEnd"/>
            <w:r>
              <w:rPr>
                <w:rFonts w:ascii="Arial" w:hAnsi="Arial" w:cs="Arial"/>
              </w:rPr>
              <w:t>®</w:t>
            </w:r>
          </w:p>
          <w:p w14:paraId="406842A7" w14:textId="77777777" w:rsidR="00EB002B" w:rsidRDefault="00EB002B" w:rsidP="00EB002B">
            <w:pPr>
              <w:rPr>
                <w:rFonts w:ascii="Arial" w:hAnsi="Arial" w:cs="Arial"/>
              </w:rPr>
            </w:pPr>
          </w:p>
          <w:p w14:paraId="2D2907B5" w14:textId="549DAFA5" w:rsidR="00EB002B" w:rsidRPr="00EB002B" w:rsidRDefault="00EB002B" w:rsidP="00EB002B">
            <w:pPr>
              <w:rPr>
                <w:rFonts w:ascii="Arial" w:hAnsi="Arial" w:cs="Arial"/>
                <w:highlight w:val="yellow"/>
              </w:rPr>
            </w:pPr>
            <w:r w:rsidRPr="00EB002B">
              <w:rPr>
                <w:rFonts w:ascii="Arial" w:hAnsi="Arial" w:cs="Arial"/>
              </w:rPr>
              <w:t xml:space="preserve">Bayer Australia Ltd </w:t>
            </w:r>
          </w:p>
          <w:p w14:paraId="6AF1A159" w14:textId="2FA41B8F" w:rsidR="00F16FA4" w:rsidRPr="008A64B3" w:rsidRDefault="005B1FB0" w:rsidP="002B6A6F">
            <w:pPr>
              <w:rPr>
                <w:rFonts w:ascii="Arial" w:hAnsi="Arial" w:cs="Arial"/>
              </w:rPr>
            </w:pPr>
            <w:r>
              <w:rPr>
                <w:rFonts w:ascii="Arial" w:hAnsi="Arial" w:cs="Arial"/>
              </w:rPr>
              <w:br/>
            </w:r>
            <w:r w:rsidR="002B6A6F" w:rsidRPr="002B6A6F">
              <w:rPr>
                <w:rFonts w:ascii="Arial" w:hAnsi="Arial" w:cs="Arial"/>
              </w:rPr>
              <w:t>New listing</w:t>
            </w:r>
            <w:r>
              <w:rPr>
                <w:rFonts w:ascii="Arial" w:hAnsi="Arial" w:cs="Arial"/>
              </w:rPr>
              <w:br/>
            </w:r>
            <w:r w:rsidR="00EB002B">
              <w:rPr>
                <w:rFonts w:ascii="Arial" w:hAnsi="Arial" w:cs="Arial"/>
              </w:rPr>
              <w:t>(Matters outstanding</w:t>
            </w:r>
            <w:r w:rsidR="00CC6231">
              <w:rPr>
                <w:rFonts w:ascii="Arial" w:hAnsi="Arial" w:cs="Arial"/>
              </w:rPr>
              <w:t>)</w:t>
            </w:r>
          </w:p>
        </w:tc>
        <w:tc>
          <w:tcPr>
            <w:tcW w:w="2409" w:type="dxa"/>
            <w:vMerge w:val="restart"/>
          </w:tcPr>
          <w:p w14:paraId="020CDDBC" w14:textId="77777777" w:rsidR="00EB002B" w:rsidRPr="00EB002B" w:rsidRDefault="00EB002B" w:rsidP="00EB002B">
            <w:pPr>
              <w:pStyle w:val="Default"/>
              <w:rPr>
                <w:rFonts w:ascii="Arial" w:hAnsi="Arial" w:cs="Arial"/>
              </w:rPr>
            </w:pPr>
            <w:r w:rsidRPr="00EB002B">
              <w:rPr>
                <w:rFonts w:ascii="Arial" w:hAnsi="Arial" w:cs="Arial"/>
                <w:sz w:val="20"/>
                <w:szCs w:val="20"/>
              </w:rPr>
              <w:t xml:space="preserve">Solid tumours harbouring neurotrophic receptor tyrosine kinase (NTRK) gene fusions </w:t>
            </w:r>
          </w:p>
          <w:p w14:paraId="52C7B078" w14:textId="50C79B07" w:rsidR="00F16FA4" w:rsidRPr="00EB002B" w:rsidRDefault="00F16FA4" w:rsidP="001A199E">
            <w:pPr>
              <w:rPr>
                <w:rFonts w:ascii="Arial" w:hAnsi="Arial" w:cs="Arial"/>
                <w:highlight w:val="yellow"/>
              </w:rPr>
            </w:pPr>
          </w:p>
        </w:tc>
        <w:tc>
          <w:tcPr>
            <w:tcW w:w="3261" w:type="dxa"/>
            <w:tcMar>
              <w:top w:w="28" w:type="dxa"/>
              <w:bottom w:w="28" w:type="dxa"/>
            </w:tcMar>
          </w:tcPr>
          <w:p w14:paraId="1318ED76" w14:textId="77777777" w:rsidR="00EB002B" w:rsidRPr="00EB002B" w:rsidRDefault="00EB002B" w:rsidP="00EB002B">
            <w:pPr>
              <w:pStyle w:val="Default"/>
              <w:rPr>
                <w:rFonts w:ascii="Arial" w:hAnsi="Arial" w:cs="Arial"/>
              </w:rPr>
            </w:pPr>
            <w:r w:rsidRPr="00EB002B">
              <w:rPr>
                <w:rFonts w:ascii="Arial" w:hAnsi="Arial" w:cs="Arial"/>
                <w:sz w:val="20"/>
                <w:szCs w:val="20"/>
              </w:rPr>
              <w:t xml:space="preserve">To request a Section 100 (Highly Specialised Drugs Program) Authority Required (Written) listing for the treatment of locally advanced or metastatic solid tumours harbouring </w:t>
            </w:r>
            <w:proofErr w:type="gramStart"/>
            <w:r w:rsidRPr="00EB002B">
              <w:rPr>
                <w:rFonts w:ascii="Arial" w:hAnsi="Arial" w:cs="Arial"/>
                <w:sz w:val="20"/>
                <w:szCs w:val="20"/>
              </w:rPr>
              <w:t>tropomyosin receptor kinase NTRK gene fusions</w:t>
            </w:r>
            <w:proofErr w:type="gramEnd"/>
            <w:r w:rsidRPr="00EB002B">
              <w:rPr>
                <w:rFonts w:ascii="Arial" w:hAnsi="Arial" w:cs="Arial"/>
                <w:sz w:val="20"/>
                <w:szCs w:val="20"/>
              </w:rPr>
              <w:t xml:space="preserve">. </w:t>
            </w:r>
          </w:p>
          <w:p w14:paraId="51C9BD0A" w14:textId="2C4D6ADC" w:rsidR="00F16FA4" w:rsidRPr="00EB002B" w:rsidRDefault="00F16FA4" w:rsidP="001A199E">
            <w:pPr>
              <w:rPr>
                <w:rFonts w:ascii="Arial" w:hAnsi="Arial" w:cs="Arial"/>
                <w:color w:val="000000"/>
                <w:highlight w:val="yellow"/>
              </w:rPr>
            </w:pPr>
          </w:p>
        </w:tc>
        <w:tc>
          <w:tcPr>
            <w:tcW w:w="6947" w:type="dxa"/>
          </w:tcPr>
          <w:p w14:paraId="1ADC5474" w14:textId="6B5ADDCF" w:rsidR="00EB002B" w:rsidRDefault="00EB002B" w:rsidP="00EB002B">
            <w:pPr>
              <w:pStyle w:val="4Bodytextnumbered"/>
              <w:spacing w:after="0"/>
              <w:ind w:left="0" w:firstLine="0"/>
              <w:jc w:val="left"/>
              <w:rPr>
                <w:rFonts w:ascii="Arial" w:hAnsi="Arial" w:cs="Arial"/>
                <w:sz w:val="20"/>
                <w:szCs w:val="20"/>
              </w:rPr>
            </w:pPr>
            <w:r w:rsidRPr="00EB002B">
              <w:rPr>
                <w:rFonts w:ascii="Arial" w:hAnsi="Arial" w:cs="Arial"/>
                <w:sz w:val="20"/>
                <w:szCs w:val="20"/>
              </w:rPr>
              <w:t xml:space="preserve">The PBAC did not recommend the listing of larotrectinib for the treatment of patients with </w:t>
            </w:r>
            <w:r w:rsidRPr="00EB002B">
              <w:rPr>
                <w:rFonts w:ascii="Arial" w:hAnsi="Arial" w:cs="Arial"/>
                <w:i/>
                <w:sz w:val="20"/>
                <w:szCs w:val="20"/>
              </w:rPr>
              <w:t>NTRK</w:t>
            </w:r>
            <w:r w:rsidR="00EB2C42">
              <w:rPr>
                <w:rFonts w:ascii="Arial" w:hAnsi="Arial" w:cs="Arial"/>
                <w:i/>
                <w:sz w:val="20"/>
                <w:szCs w:val="20"/>
              </w:rPr>
              <w:t xml:space="preserve"> </w:t>
            </w:r>
            <w:r w:rsidRPr="00EB002B">
              <w:rPr>
                <w:rFonts w:ascii="Arial" w:hAnsi="Arial" w:cs="Arial"/>
                <w:sz w:val="20"/>
                <w:szCs w:val="20"/>
              </w:rPr>
              <w:t xml:space="preserve">fusion tumours that are either </w:t>
            </w:r>
            <w:proofErr w:type="spellStart"/>
            <w:r w:rsidRPr="00EB002B">
              <w:rPr>
                <w:rFonts w:ascii="Arial" w:hAnsi="Arial" w:cs="Arial"/>
                <w:sz w:val="20"/>
                <w:szCs w:val="20"/>
              </w:rPr>
              <w:t>unresectable</w:t>
            </w:r>
            <w:proofErr w:type="spellEnd"/>
            <w:r w:rsidRPr="00EB002B">
              <w:rPr>
                <w:rFonts w:ascii="Arial" w:hAnsi="Arial" w:cs="Arial"/>
                <w:sz w:val="20"/>
                <w:szCs w:val="20"/>
              </w:rPr>
              <w:t xml:space="preserve"> locally advanced, metastatic, or locally advanced and would otherwise require disfiguring surgery or limb amputation to achieve a complete surgical resection. This decision </w:t>
            </w:r>
            <w:proofErr w:type="gramStart"/>
            <w:r w:rsidRPr="00EB002B">
              <w:rPr>
                <w:rFonts w:ascii="Arial" w:hAnsi="Arial" w:cs="Arial"/>
                <w:sz w:val="20"/>
                <w:szCs w:val="20"/>
              </w:rPr>
              <w:t>was made</w:t>
            </w:r>
            <w:proofErr w:type="gramEnd"/>
            <w:r w:rsidRPr="00EB002B">
              <w:rPr>
                <w:rFonts w:ascii="Arial" w:hAnsi="Arial" w:cs="Arial"/>
                <w:sz w:val="20"/>
                <w:szCs w:val="20"/>
              </w:rPr>
              <w:t xml:space="preserve"> on the basis that the incremental cost-effectiveness ratio was unacceptably high and uncertain at the price proposed.</w:t>
            </w:r>
          </w:p>
          <w:p w14:paraId="193B42BE" w14:textId="77777777" w:rsidR="00EB002B" w:rsidRDefault="00EB002B" w:rsidP="00EB002B">
            <w:pPr>
              <w:pStyle w:val="4Bodytextnumbered"/>
              <w:spacing w:after="0"/>
              <w:ind w:left="0" w:firstLine="0"/>
              <w:jc w:val="left"/>
              <w:rPr>
                <w:rFonts w:ascii="Arial" w:hAnsi="Arial" w:cs="Arial"/>
                <w:sz w:val="20"/>
                <w:szCs w:val="20"/>
              </w:rPr>
            </w:pPr>
          </w:p>
          <w:p w14:paraId="68DABC42" w14:textId="6FB61F16" w:rsidR="00F16FA4" w:rsidRDefault="00EB002B" w:rsidP="00EB002B">
            <w:pPr>
              <w:pStyle w:val="4Bodytextnumbered"/>
              <w:spacing w:after="0"/>
              <w:ind w:left="0" w:firstLine="0"/>
              <w:jc w:val="left"/>
              <w:rPr>
                <w:rFonts w:ascii="Arial" w:hAnsi="Arial" w:cs="Arial"/>
                <w:sz w:val="20"/>
                <w:szCs w:val="20"/>
              </w:rPr>
            </w:pPr>
            <w:r w:rsidRPr="00EB002B">
              <w:rPr>
                <w:rFonts w:ascii="Arial" w:hAnsi="Arial" w:cs="Arial"/>
                <w:sz w:val="20"/>
                <w:szCs w:val="20"/>
              </w:rPr>
              <w:t xml:space="preserve">The PBAC reiterated its advice from November 2020 that a sufficient price reduction offer for adult patients with high frequency </w:t>
            </w:r>
            <w:r w:rsidRPr="00EB002B">
              <w:rPr>
                <w:rFonts w:ascii="Arial" w:hAnsi="Arial" w:cs="Arial"/>
                <w:i/>
                <w:sz w:val="20"/>
                <w:szCs w:val="20"/>
              </w:rPr>
              <w:t>NTRK</w:t>
            </w:r>
            <w:r w:rsidRPr="00EB002B">
              <w:rPr>
                <w:rFonts w:ascii="Arial" w:hAnsi="Arial" w:cs="Arial"/>
                <w:sz w:val="20"/>
                <w:szCs w:val="20"/>
              </w:rPr>
              <w:t xml:space="preserve"> fusion tumours and all paediatric patients would be acceptable as a basis to recommend listing for these subgroups. However, any further consideration for adult patients with low </w:t>
            </w:r>
            <w:r w:rsidRPr="00EB002B">
              <w:rPr>
                <w:rFonts w:ascii="Arial" w:hAnsi="Arial" w:cs="Arial"/>
                <w:i/>
                <w:sz w:val="20"/>
                <w:szCs w:val="20"/>
              </w:rPr>
              <w:t>NTRK</w:t>
            </w:r>
            <w:r w:rsidRPr="00EB002B">
              <w:rPr>
                <w:rFonts w:ascii="Arial" w:hAnsi="Arial" w:cs="Arial"/>
                <w:sz w:val="20"/>
                <w:szCs w:val="20"/>
              </w:rPr>
              <w:t xml:space="preserve"> fusion frequency tumours would need to be through a future major resubmission</w:t>
            </w:r>
            <w:r w:rsidR="002653FA">
              <w:rPr>
                <w:rFonts w:ascii="Arial" w:hAnsi="Arial" w:cs="Arial"/>
                <w:sz w:val="20"/>
                <w:szCs w:val="20"/>
              </w:rPr>
              <w:t>,</w:t>
            </w:r>
            <w:r w:rsidRPr="00EB002B">
              <w:rPr>
                <w:rFonts w:ascii="Arial" w:hAnsi="Arial" w:cs="Arial"/>
                <w:sz w:val="20"/>
                <w:szCs w:val="20"/>
              </w:rPr>
              <w:t xml:space="preserve"> which includes the forthcoming data from </w:t>
            </w:r>
            <w:r w:rsidR="001851C0">
              <w:rPr>
                <w:rFonts w:ascii="Arial" w:hAnsi="Arial" w:cs="Arial"/>
                <w:sz w:val="20"/>
                <w:szCs w:val="20"/>
              </w:rPr>
              <w:t xml:space="preserve">the </w:t>
            </w:r>
            <w:r w:rsidRPr="00EB002B">
              <w:rPr>
                <w:rFonts w:ascii="Arial" w:hAnsi="Arial" w:cs="Arial"/>
                <w:sz w:val="20"/>
                <w:szCs w:val="20"/>
              </w:rPr>
              <w:t xml:space="preserve">NAVIGATE and </w:t>
            </w:r>
            <w:proofErr w:type="spellStart"/>
            <w:r w:rsidRPr="00EB002B">
              <w:rPr>
                <w:rFonts w:ascii="Arial" w:hAnsi="Arial" w:cs="Arial"/>
                <w:sz w:val="20"/>
                <w:szCs w:val="20"/>
              </w:rPr>
              <w:t>MoST</w:t>
            </w:r>
            <w:proofErr w:type="spellEnd"/>
            <w:r w:rsidRPr="00EB002B">
              <w:rPr>
                <w:rFonts w:ascii="Arial" w:hAnsi="Arial" w:cs="Arial"/>
                <w:sz w:val="20"/>
                <w:szCs w:val="20"/>
              </w:rPr>
              <w:t xml:space="preserve"> trials to address the uncertainty of the treatment effect of larotrectinib in this patient population</w:t>
            </w:r>
            <w:r w:rsidR="002653FA">
              <w:rPr>
                <w:rFonts w:ascii="Arial" w:hAnsi="Arial" w:cs="Arial"/>
                <w:sz w:val="20"/>
                <w:szCs w:val="20"/>
              </w:rPr>
              <w:t>,</w:t>
            </w:r>
            <w:r w:rsidRPr="00EB002B">
              <w:rPr>
                <w:rFonts w:ascii="Arial" w:hAnsi="Arial" w:cs="Arial"/>
                <w:sz w:val="20"/>
                <w:szCs w:val="20"/>
              </w:rPr>
              <w:t xml:space="preserve"> with modified cost-effectiveness analyses incorporating more conservative assumptions and a price reduction.</w:t>
            </w:r>
          </w:p>
          <w:p w14:paraId="4366137B" w14:textId="603192D4" w:rsidR="00EE4BA6" w:rsidRPr="00D46270" w:rsidRDefault="00EE4BA6" w:rsidP="00EB002B">
            <w:pPr>
              <w:pStyle w:val="4Bodytextnumbered"/>
              <w:spacing w:after="0"/>
              <w:ind w:left="0" w:firstLine="0"/>
              <w:jc w:val="left"/>
              <w:rPr>
                <w:rFonts w:ascii="Arial" w:hAnsi="Arial" w:cs="Arial"/>
                <w:sz w:val="20"/>
                <w:szCs w:val="20"/>
              </w:rPr>
            </w:pPr>
          </w:p>
        </w:tc>
      </w:tr>
      <w:tr w:rsidR="00F16FA4" w:rsidRPr="00D3523D" w14:paraId="7B14B8F0" w14:textId="77777777" w:rsidTr="0069672A">
        <w:trPr>
          <w:cantSplit/>
          <w:trHeight w:val="873"/>
        </w:trPr>
        <w:tc>
          <w:tcPr>
            <w:tcW w:w="2694" w:type="dxa"/>
            <w:vMerge/>
            <w:tcMar>
              <w:top w:w="28" w:type="dxa"/>
              <w:bottom w:w="28" w:type="dxa"/>
            </w:tcMar>
          </w:tcPr>
          <w:p w14:paraId="0E76B810" w14:textId="77777777" w:rsidR="00F16FA4" w:rsidRPr="008A64B3" w:rsidRDefault="00F16FA4" w:rsidP="001A199E">
            <w:pPr>
              <w:rPr>
                <w:rFonts w:ascii="Arial" w:hAnsi="Arial" w:cs="Arial"/>
              </w:rPr>
            </w:pPr>
          </w:p>
        </w:tc>
        <w:tc>
          <w:tcPr>
            <w:tcW w:w="2409" w:type="dxa"/>
            <w:vMerge/>
          </w:tcPr>
          <w:p w14:paraId="7B7FEDFD"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75D9FB3E" w14:textId="51D0ECED"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bookmarkStart w:id="0" w:name="_GoBack"/>
            <w:bookmarkEnd w:id="0"/>
          </w:p>
        </w:tc>
        <w:tc>
          <w:tcPr>
            <w:tcW w:w="6947" w:type="dxa"/>
          </w:tcPr>
          <w:p w14:paraId="46886EF0" w14:textId="53B76E25" w:rsidR="007C1CC6" w:rsidRPr="004E7F8F" w:rsidRDefault="004E7F8F" w:rsidP="004E7F8F">
            <w:pPr>
              <w:rPr>
                <w:rFonts w:ascii="Arial" w:eastAsiaTheme="minorHAnsi" w:hAnsi="Arial" w:cs="Arial"/>
                <w:lang w:eastAsia="en-US"/>
              </w:rPr>
            </w:pPr>
            <w:r w:rsidRPr="004E7F8F">
              <w:rPr>
                <w:rFonts w:ascii="Arial" w:eastAsiaTheme="minorHAnsi" w:hAnsi="Arial" w:cs="Arial"/>
                <w:lang w:eastAsia="en-US"/>
              </w:rPr>
              <w:t>Bayer will continue to work collaboratively with the PBAC, the Department of Health and Federal Government to help ensure that patients with an NTRK fusion cancer in Australia receive access to larotrectinib through the PBS at the earliest opportunity.</w:t>
            </w:r>
          </w:p>
        </w:tc>
      </w:tr>
    </w:tbl>
    <w:p w14:paraId="2E724DA4" w14:textId="08E25AE7" w:rsidR="00AE4A61" w:rsidRDefault="00AE4A61" w:rsidP="00640C80">
      <w:pPr>
        <w:tabs>
          <w:tab w:val="left" w:pos="5210"/>
        </w:tabs>
        <w:rPr>
          <w:rFonts w:ascii="Arial" w:hAnsi="Arial" w:cs="Arial"/>
          <w:lang w:val="en-US"/>
        </w:rPr>
      </w:pPr>
    </w:p>
    <w:sectPr w:rsidR="00AE4A61"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AD0404" w:rsidRDefault="00AD0404">
      <w:r>
        <w:separator/>
      </w:r>
    </w:p>
  </w:endnote>
  <w:endnote w:type="continuationSeparator" w:id="0">
    <w:p w14:paraId="0B94B43F"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35761F89"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4E7F8F">
      <w:rPr>
        <w:rStyle w:val="PageNumber"/>
        <w:rFonts w:ascii="Arial" w:hAnsi="Arial" w:cs="Arial"/>
        <w:noProof/>
      </w:rPr>
      <w:t>2</w:t>
    </w:r>
    <w:r w:rsidRPr="00287C89">
      <w:rPr>
        <w:rStyle w:val="PageNumber"/>
        <w:rFonts w:ascii="Arial" w:hAnsi="Arial" w:cs="Arial"/>
      </w:rPr>
      <w:fldChar w:fldCharType="end"/>
    </w:r>
  </w:p>
  <w:p w14:paraId="5DEC0542" w14:textId="77777777" w:rsidR="005E1F3B" w:rsidRDefault="005E1F3B" w:rsidP="00FE2A81">
    <w:pPr>
      <w:pStyle w:val="Footer"/>
      <w:ind w:right="360"/>
    </w:pPr>
  </w:p>
  <w:p w14:paraId="429295B6" w14:textId="77777777" w:rsidR="00257615" w:rsidRDefault="00257615"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AD0404" w:rsidRDefault="00AD0404">
      <w:r>
        <w:separator/>
      </w:r>
    </w:p>
  </w:footnote>
  <w:footnote w:type="continuationSeparator" w:id="0">
    <w:p w14:paraId="7F846E8F"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02433564" w:rsidR="0071356F" w:rsidRDefault="00225002" w:rsidP="0071356F">
    <w:pPr>
      <w:pStyle w:val="Header"/>
      <w:jc w:val="center"/>
      <w:rPr>
        <w:rFonts w:ascii="Arial" w:hAnsi="Arial" w:cs="Arial"/>
        <w:b/>
      </w:rPr>
    </w:pPr>
    <w:r>
      <w:rPr>
        <w:rFonts w:ascii="Arial" w:hAnsi="Arial" w:cs="Arial"/>
        <w:b/>
      </w:rPr>
      <w:t xml:space="preserve"> </w:t>
    </w:r>
    <w:r w:rsidR="00EB002B">
      <w:rPr>
        <w:rFonts w:ascii="Arial" w:hAnsi="Arial" w:cs="Arial"/>
        <w:b/>
      </w:rPr>
      <w:t>DECEMBER</w:t>
    </w:r>
    <w:r>
      <w:rPr>
        <w:rFonts w:ascii="Arial" w:hAnsi="Arial" w:cs="Arial"/>
        <w:b/>
      </w:rPr>
      <w:t xml:space="preserve"> </w:t>
    </w:r>
    <w:r w:rsidR="00824394">
      <w:rPr>
        <w:rFonts w:ascii="Arial" w:hAnsi="Arial" w:cs="Arial"/>
        <w:b/>
      </w:rPr>
      <w:t>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F52ED4">
      <w:rPr>
        <w:rFonts w:ascii="Arial" w:hAnsi="Arial" w:cs="Arial"/>
        <w:b/>
      </w:rPr>
      <w:t>1</w:t>
    </w:r>
    <w:r w:rsidR="00F52ED4" w:rsidRPr="00F52ED4">
      <w:rPr>
        <w:rFonts w:ascii="Arial" w:hAnsi="Arial" w:cs="Arial"/>
        <w:b/>
        <w:vertAlign w:val="superscript"/>
      </w:rPr>
      <w:t>st</w:t>
    </w:r>
    <w:r w:rsidR="00F52ED4">
      <w:rPr>
        <w:rFonts w:ascii="Arial" w:hAnsi="Arial" w:cs="Arial"/>
        <w:b/>
      </w:rPr>
      <w:t xml:space="preserve"> TIME </w:t>
    </w:r>
    <w:r w:rsidR="0071356F" w:rsidRPr="0071356F">
      <w:rPr>
        <w:rFonts w:ascii="Arial" w:hAnsi="Arial" w:cs="Arial"/>
        <w:b/>
      </w:rPr>
      <w:t>DECISIONS NOT TO RECOMMEND</w:t>
    </w:r>
  </w:p>
  <w:p w14:paraId="0E28AC1B"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2CF5BCC"/>
    <w:multiLevelType w:val="multilevel"/>
    <w:tmpl w:val="DA8CB8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8"/>
  </w:num>
  <w:num w:numId="18">
    <w:abstractNumId w:val="40"/>
  </w:num>
  <w:num w:numId="19">
    <w:abstractNumId w:val="5"/>
  </w:num>
  <w:num w:numId="20">
    <w:abstractNumId w:val="12"/>
  </w:num>
  <w:num w:numId="21">
    <w:abstractNumId w:val="14"/>
  </w:num>
  <w:num w:numId="22">
    <w:abstractNumId w:val="36"/>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9"/>
  </w:num>
  <w:num w:numId="31">
    <w:abstractNumId w:val="15"/>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6"/>
  </w:num>
  <w:num w:numId="39">
    <w:abstractNumId w:val="1"/>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5EE7"/>
    <w:rsid w:val="0005661F"/>
    <w:rsid w:val="00057006"/>
    <w:rsid w:val="000575B4"/>
    <w:rsid w:val="000601EA"/>
    <w:rsid w:val="000603CB"/>
    <w:rsid w:val="0006084C"/>
    <w:rsid w:val="000608FE"/>
    <w:rsid w:val="000614F6"/>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455"/>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990"/>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95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851C0"/>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7B8"/>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527"/>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002"/>
    <w:rsid w:val="00225CB8"/>
    <w:rsid w:val="00226E88"/>
    <w:rsid w:val="00226F8B"/>
    <w:rsid w:val="0022715D"/>
    <w:rsid w:val="00230AF7"/>
    <w:rsid w:val="00230B76"/>
    <w:rsid w:val="00231068"/>
    <w:rsid w:val="00231F8F"/>
    <w:rsid w:val="00234FCD"/>
    <w:rsid w:val="00234FD9"/>
    <w:rsid w:val="00236374"/>
    <w:rsid w:val="0023698B"/>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3FA"/>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583F"/>
    <w:rsid w:val="002960C3"/>
    <w:rsid w:val="002969C0"/>
    <w:rsid w:val="002971A5"/>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D46"/>
    <w:rsid w:val="002B5625"/>
    <w:rsid w:val="002B5F9C"/>
    <w:rsid w:val="002B6147"/>
    <w:rsid w:val="002B6A6F"/>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723"/>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359"/>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545"/>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524"/>
    <w:rsid w:val="003A565B"/>
    <w:rsid w:val="003A5C29"/>
    <w:rsid w:val="003A5DEB"/>
    <w:rsid w:val="003A5F75"/>
    <w:rsid w:val="003A60C6"/>
    <w:rsid w:val="003A61D4"/>
    <w:rsid w:val="003A6240"/>
    <w:rsid w:val="003A648B"/>
    <w:rsid w:val="003A6A14"/>
    <w:rsid w:val="003A723C"/>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22"/>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9F0"/>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1DF9"/>
    <w:rsid w:val="00482044"/>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04"/>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77"/>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6F5"/>
    <w:rsid w:val="004C33E8"/>
    <w:rsid w:val="004C4A96"/>
    <w:rsid w:val="004C4E5F"/>
    <w:rsid w:val="004C54F7"/>
    <w:rsid w:val="004C5875"/>
    <w:rsid w:val="004C5F28"/>
    <w:rsid w:val="004C6997"/>
    <w:rsid w:val="004C6CDB"/>
    <w:rsid w:val="004C723F"/>
    <w:rsid w:val="004C7A44"/>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E7F8F"/>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4605"/>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1984"/>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5522"/>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39"/>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1FB0"/>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3CB3"/>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2EC"/>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3AA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5ABF"/>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72A"/>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89F"/>
    <w:rsid w:val="006A7EA3"/>
    <w:rsid w:val="006B022C"/>
    <w:rsid w:val="006B06A5"/>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1E70"/>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5E8"/>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7118"/>
    <w:rsid w:val="007B01E7"/>
    <w:rsid w:val="007B0810"/>
    <w:rsid w:val="007B104F"/>
    <w:rsid w:val="007B1418"/>
    <w:rsid w:val="007B1C29"/>
    <w:rsid w:val="007B2177"/>
    <w:rsid w:val="007B2FF1"/>
    <w:rsid w:val="007B3247"/>
    <w:rsid w:val="007B56E1"/>
    <w:rsid w:val="007B7BB1"/>
    <w:rsid w:val="007C0B47"/>
    <w:rsid w:val="007C1229"/>
    <w:rsid w:val="007C17AB"/>
    <w:rsid w:val="007C1CC6"/>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BEE"/>
    <w:rsid w:val="00853C23"/>
    <w:rsid w:val="00853EFD"/>
    <w:rsid w:val="00854069"/>
    <w:rsid w:val="0085413E"/>
    <w:rsid w:val="00854674"/>
    <w:rsid w:val="00854784"/>
    <w:rsid w:val="00854C8E"/>
    <w:rsid w:val="0085729A"/>
    <w:rsid w:val="008575ED"/>
    <w:rsid w:val="00857F3D"/>
    <w:rsid w:val="00860F08"/>
    <w:rsid w:val="008612F5"/>
    <w:rsid w:val="008616EF"/>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64B3"/>
    <w:rsid w:val="008A7E3B"/>
    <w:rsid w:val="008B0364"/>
    <w:rsid w:val="008B0379"/>
    <w:rsid w:val="008B0D70"/>
    <w:rsid w:val="008B0EA7"/>
    <w:rsid w:val="008B18C5"/>
    <w:rsid w:val="008B3AD4"/>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47B3"/>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5767"/>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7BD"/>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1A"/>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E78CC"/>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6ECC"/>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228"/>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A61"/>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5F21"/>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1B6"/>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D10"/>
    <w:rsid w:val="00BB5F54"/>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A2C"/>
    <w:rsid w:val="00BF0D73"/>
    <w:rsid w:val="00BF1D23"/>
    <w:rsid w:val="00BF1F82"/>
    <w:rsid w:val="00BF2520"/>
    <w:rsid w:val="00BF3470"/>
    <w:rsid w:val="00BF3B94"/>
    <w:rsid w:val="00BF3FF8"/>
    <w:rsid w:val="00BF4C53"/>
    <w:rsid w:val="00BF54DC"/>
    <w:rsid w:val="00BF5748"/>
    <w:rsid w:val="00BF6270"/>
    <w:rsid w:val="00BF67B7"/>
    <w:rsid w:val="00BF76E0"/>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B4A"/>
    <w:rsid w:val="00C23F8A"/>
    <w:rsid w:val="00C24B05"/>
    <w:rsid w:val="00C25052"/>
    <w:rsid w:val="00C25D31"/>
    <w:rsid w:val="00C265D0"/>
    <w:rsid w:val="00C2677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A2D"/>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35AD"/>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418"/>
    <w:rsid w:val="00CB46B4"/>
    <w:rsid w:val="00CB4940"/>
    <w:rsid w:val="00CB5D5B"/>
    <w:rsid w:val="00CB6BBF"/>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31"/>
    <w:rsid w:val="00CC62CD"/>
    <w:rsid w:val="00CC6C6A"/>
    <w:rsid w:val="00CC7881"/>
    <w:rsid w:val="00CC7971"/>
    <w:rsid w:val="00CD0422"/>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0B5"/>
    <w:rsid w:val="00CF15DD"/>
    <w:rsid w:val="00CF223D"/>
    <w:rsid w:val="00CF2824"/>
    <w:rsid w:val="00CF3526"/>
    <w:rsid w:val="00CF3A33"/>
    <w:rsid w:val="00CF3C7D"/>
    <w:rsid w:val="00CF45BF"/>
    <w:rsid w:val="00CF51C1"/>
    <w:rsid w:val="00CF5B47"/>
    <w:rsid w:val="00CF5B54"/>
    <w:rsid w:val="00CF5EE3"/>
    <w:rsid w:val="00CF6C01"/>
    <w:rsid w:val="00CF6FD8"/>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08FD"/>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B02"/>
    <w:rsid w:val="00D37093"/>
    <w:rsid w:val="00D40425"/>
    <w:rsid w:val="00D40BC3"/>
    <w:rsid w:val="00D40D6B"/>
    <w:rsid w:val="00D4129E"/>
    <w:rsid w:val="00D418A3"/>
    <w:rsid w:val="00D41AB6"/>
    <w:rsid w:val="00D42946"/>
    <w:rsid w:val="00D43984"/>
    <w:rsid w:val="00D4459D"/>
    <w:rsid w:val="00D45A14"/>
    <w:rsid w:val="00D46270"/>
    <w:rsid w:val="00D46BE9"/>
    <w:rsid w:val="00D46FA2"/>
    <w:rsid w:val="00D47313"/>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3A66"/>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111"/>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26B3"/>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5FF4"/>
    <w:rsid w:val="00E36F8A"/>
    <w:rsid w:val="00E37A6A"/>
    <w:rsid w:val="00E37CC3"/>
    <w:rsid w:val="00E40479"/>
    <w:rsid w:val="00E40FB5"/>
    <w:rsid w:val="00E41884"/>
    <w:rsid w:val="00E4192C"/>
    <w:rsid w:val="00E41DF6"/>
    <w:rsid w:val="00E420CB"/>
    <w:rsid w:val="00E42FB9"/>
    <w:rsid w:val="00E44A52"/>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7F"/>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C40"/>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02B"/>
    <w:rsid w:val="00EB0CCF"/>
    <w:rsid w:val="00EB114C"/>
    <w:rsid w:val="00EB18C0"/>
    <w:rsid w:val="00EB20F4"/>
    <w:rsid w:val="00EB2490"/>
    <w:rsid w:val="00EB2C42"/>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BA6"/>
    <w:rsid w:val="00EE4C73"/>
    <w:rsid w:val="00EE5C23"/>
    <w:rsid w:val="00EE67FE"/>
    <w:rsid w:val="00EE703E"/>
    <w:rsid w:val="00EE76F0"/>
    <w:rsid w:val="00EE7B1C"/>
    <w:rsid w:val="00EF02BD"/>
    <w:rsid w:val="00EF17B9"/>
    <w:rsid w:val="00EF1EB9"/>
    <w:rsid w:val="00EF274D"/>
    <w:rsid w:val="00EF28C9"/>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10A31"/>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210C"/>
    <w:rsid w:val="00F22137"/>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A7F"/>
    <w:rsid w:val="00F47C6B"/>
    <w:rsid w:val="00F503D2"/>
    <w:rsid w:val="00F505AC"/>
    <w:rsid w:val="00F50603"/>
    <w:rsid w:val="00F50C03"/>
    <w:rsid w:val="00F50F47"/>
    <w:rsid w:val="00F51899"/>
    <w:rsid w:val="00F51E43"/>
    <w:rsid w:val="00F52241"/>
    <w:rsid w:val="00F522DC"/>
    <w:rsid w:val="00F5253A"/>
    <w:rsid w:val="00F52ED4"/>
    <w:rsid w:val="00F53174"/>
    <w:rsid w:val="00F5325B"/>
    <w:rsid w:val="00F53AF0"/>
    <w:rsid w:val="00F54D92"/>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F6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5E89"/>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character" w:customStyle="1" w:styleId="CommentTextChar">
    <w:name w:val="Comment Text Char"/>
    <w:basedOn w:val="DefaultParagraphFont"/>
    <w:link w:val="CommentText"/>
    <w:rsid w:val="00377360"/>
  </w:style>
  <w:style w:type="paragraph" w:customStyle="1" w:styleId="2-SectionHeading">
    <w:name w:val="2-Section Heading"/>
    <w:qFormat/>
    <w:rsid w:val="000614F6"/>
    <w:pPr>
      <w:keepNext/>
      <w:numPr>
        <w:numId w:val="40"/>
      </w:numPr>
      <w:spacing w:before="240" w:after="1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614F6"/>
    <w:pPr>
      <w:numPr>
        <w:ilvl w:val="1"/>
        <w:numId w:val="40"/>
      </w:numPr>
      <w:spacing w:after="120"/>
      <w:jc w:val="both"/>
    </w:pPr>
    <w:rPr>
      <w:rFonts w:asciiTheme="minorHAnsi" w:hAnsiTheme="minorHAnsi" w:cs="Arial"/>
      <w:snapToGrid w:val="0"/>
      <w:sz w:val="24"/>
      <w:szCs w:val="24"/>
    </w:rPr>
  </w:style>
  <w:style w:type="character" w:customStyle="1" w:styleId="ExecSumBodyTextChar">
    <w:name w:val="Exec Sum Body Text Char"/>
    <w:basedOn w:val="DefaultParagraphFont"/>
    <w:link w:val="ExecSumBodyText"/>
    <w:rsid w:val="000614F6"/>
    <w:rPr>
      <w:rFonts w:asciiTheme="minorHAnsi" w:hAnsiTheme="minorHAnsi" w:cs="Arial"/>
      <w:snapToGrid w:val="0"/>
      <w:sz w:val="24"/>
      <w:szCs w:val="24"/>
    </w:rPr>
  </w:style>
  <w:style w:type="paragraph" w:customStyle="1" w:styleId="3-BodyText">
    <w:name w:val="3-Body Text"/>
    <w:basedOn w:val="ListParagraph"/>
    <w:link w:val="3-BodyTextChar"/>
    <w:qFormat/>
    <w:rsid w:val="000614F6"/>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0614F6"/>
    <w:rPr>
      <w:rFonts w:asciiTheme="minorHAnsi" w:hAnsiTheme="minorHAnsi" w:cs="Arial"/>
      <w:snapToGrid w:val="0"/>
      <w:sz w:val="24"/>
      <w:szCs w:val="24"/>
    </w:rPr>
  </w:style>
  <w:style w:type="paragraph" w:styleId="NoSpacing">
    <w:name w:val="No Spacing"/>
    <w:uiPriority w:val="1"/>
    <w:qFormat/>
    <w:rsid w:val="00D46270"/>
    <w:rPr>
      <w:sz w:val="24"/>
      <w:szCs w:val="24"/>
      <w:lang w:eastAsia="en-US"/>
    </w:rPr>
  </w:style>
  <w:style w:type="paragraph" w:customStyle="1" w:styleId="2Sections">
    <w:name w:val="2. Sections"/>
    <w:qFormat/>
    <w:rsid w:val="00EB002B"/>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EB002B"/>
    <w:pPr>
      <w:spacing w:after="120"/>
      <w:ind w:hanging="720"/>
      <w:contextualSpacing w:val="0"/>
      <w:jc w:val="both"/>
    </w:pPr>
    <w:rPr>
      <w:rFonts w:asciiTheme="minorHAnsi" w:eastAsiaTheme="minorHAnsi" w:hAnsiTheme="minorHAnsi" w:cstheme="minorBidi"/>
      <w:szCs w:val="22"/>
      <w:lang w:eastAsia="en-US"/>
    </w:rPr>
  </w:style>
  <w:style w:type="paragraph" w:customStyle="1" w:styleId="3Bodytext">
    <w:name w:val="3. Body text"/>
    <w:basedOn w:val="ListParagraph"/>
    <w:link w:val="3BodytextChar"/>
    <w:qFormat/>
    <w:rsid w:val="00FF5E89"/>
    <w:pPr>
      <w:spacing w:after="120"/>
      <w:ind w:hanging="720"/>
      <w:contextualSpacing w:val="0"/>
      <w:jc w:val="both"/>
    </w:pPr>
    <w:rPr>
      <w:rFonts w:asciiTheme="minorHAnsi" w:eastAsiaTheme="minorHAnsi" w:hAnsiTheme="minorHAnsi" w:cstheme="minorBidi"/>
      <w:snapToGrid w:val="0"/>
      <w:szCs w:val="22"/>
    </w:rPr>
  </w:style>
  <w:style w:type="character" w:customStyle="1" w:styleId="3BodytextChar">
    <w:name w:val="3. Body text Char"/>
    <w:basedOn w:val="DefaultParagraphFont"/>
    <w:link w:val="3Bodytext"/>
    <w:rsid w:val="00FF5E89"/>
    <w:rPr>
      <w:rFonts w:asciiTheme="minorHAnsi" w:eastAsiaTheme="minorHAnsi" w:hAnsiTheme="minorHAnsi" w:cstheme="minorBid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853">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974552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614427">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814136">
      <w:bodyDiv w:val="1"/>
      <w:marLeft w:val="0"/>
      <w:marRight w:val="0"/>
      <w:marTop w:val="0"/>
      <w:marBottom w:val="0"/>
      <w:divBdr>
        <w:top w:val="none" w:sz="0" w:space="0" w:color="auto"/>
        <w:left w:val="none" w:sz="0" w:space="0" w:color="auto"/>
        <w:bottom w:val="none" w:sz="0" w:space="0" w:color="auto"/>
        <w:right w:val="none" w:sz="0" w:space="0" w:color="auto"/>
      </w:divBdr>
    </w:div>
    <w:div w:id="163252170">
      <w:bodyDiv w:val="1"/>
      <w:marLeft w:val="0"/>
      <w:marRight w:val="0"/>
      <w:marTop w:val="0"/>
      <w:marBottom w:val="0"/>
      <w:divBdr>
        <w:top w:val="none" w:sz="0" w:space="0" w:color="auto"/>
        <w:left w:val="none" w:sz="0" w:space="0" w:color="auto"/>
        <w:bottom w:val="none" w:sz="0" w:space="0" w:color="auto"/>
        <w:right w:val="none" w:sz="0" w:space="0" w:color="auto"/>
      </w:divBdr>
    </w:div>
    <w:div w:id="16582996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4801450">
      <w:bodyDiv w:val="1"/>
      <w:marLeft w:val="0"/>
      <w:marRight w:val="0"/>
      <w:marTop w:val="0"/>
      <w:marBottom w:val="0"/>
      <w:divBdr>
        <w:top w:val="none" w:sz="0" w:space="0" w:color="auto"/>
        <w:left w:val="none" w:sz="0" w:space="0" w:color="auto"/>
        <w:bottom w:val="none" w:sz="0" w:space="0" w:color="auto"/>
        <w:right w:val="none" w:sz="0" w:space="0" w:color="auto"/>
      </w:divBdr>
    </w:div>
    <w:div w:id="20487739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7496085">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778398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3999061">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5380441">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09178">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7140074">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4129568">
      <w:bodyDiv w:val="1"/>
      <w:marLeft w:val="0"/>
      <w:marRight w:val="0"/>
      <w:marTop w:val="0"/>
      <w:marBottom w:val="0"/>
      <w:divBdr>
        <w:top w:val="none" w:sz="0" w:space="0" w:color="auto"/>
        <w:left w:val="none" w:sz="0" w:space="0" w:color="auto"/>
        <w:bottom w:val="none" w:sz="0" w:space="0" w:color="auto"/>
        <w:right w:val="none" w:sz="0" w:space="0" w:color="auto"/>
      </w:divBdr>
    </w:div>
    <w:div w:id="485980575">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8353476">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2133941">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1986340">
      <w:bodyDiv w:val="1"/>
      <w:marLeft w:val="0"/>
      <w:marRight w:val="0"/>
      <w:marTop w:val="0"/>
      <w:marBottom w:val="0"/>
      <w:divBdr>
        <w:top w:val="none" w:sz="0" w:space="0" w:color="auto"/>
        <w:left w:val="none" w:sz="0" w:space="0" w:color="auto"/>
        <w:bottom w:val="none" w:sz="0" w:space="0" w:color="auto"/>
        <w:right w:val="none" w:sz="0" w:space="0" w:color="auto"/>
      </w:divBdr>
    </w:div>
    <w:div w:id="544417125">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3099308">
      <w:bodyDiv w:val="1"/>
      <w:marLeft w:val="0"/>
      <w:marRight w:val="0"/>
      <w:marTop w:val="0"/>
      <w:marBottom w:val="0"/>
      <w:divBdr>
        <w:top w:val="none" w:sz="0" w:space="0" w:color="auto"/>
        <w:left w:val="none" w:sz="0" w:space="0" w:color="auto"/>
        <w:bottom w:val="none" w:sz="0" w:space="0" w:color="auto"/>
        <w:right w:val="none" w:sz="0" w:space="0" w:color="auto"/>
      </w:divBdr>
    </w:div>
    <w:div w:id="565338872">
      <w:bodyDiv w:val="1"/>
      <w:marLeft w:val="0"/>
      <w:marRight w:val="0"/>
      <w:marTop w:val="0"/>
      <w:marBottom w:val="0"/>
      <w:divBdr>
        <w:top w:val="none" w:sz="0" w:space="0" w:color="auto"/>
        <w:left w:val="none" w:sz="0" w:space="0" w:color="auto"/>
        <w:bottom w:val="none" w:sz="0" w:space="0" w:color="auto"/>
        <w:right w:val="none" w:sz="0" w:space="0" w:color="auto"/>
      </w:divBdr>
    </w:div>
    <w:div w:id="590236560">
      <w:bodyDiv w:val="1"/>
      <w:marLeft w:val="0"/>
      <w:marRight w:val="0"/>
      <w:marTop w:val="0"/>
      <w:marBottom w:val="0"/>
      <w:divBdr>
        <w:top w:val="none" w:sz="0" w:space="0" w:color="auto"/>
        <w:left w:val="none" w:sz="0" w:space="0" w:color="auto"/>
        <w:bottom w:val="none" w:sz="0" w:space="0" w:color="auto"/>
        <w:right w:val="none" w:sz="0" w:space="0" w:color="auto"/>
      </w:divBdr>
    </w:div>
    <w:div w:id="596911498">
      <w:bodyDiv w:val="1"/>
      <w:marLeft w:val="0"/>
      <w:marRight w:val="0"/>
      <w:marTop w:val="0"/>
      <w:marBottom w:val="0"/>
      <w:divBdr>
        <w:top w:val="none" w:sz="0" w:space="0" w:color="auto"/>
        <w:left w:val="none" w:sz="0" w:space="0" w:color="auto"/>
        <w:bottom w:val="none" w:sz="0" w:space="0" w:color="auto"/>
        <w:right w:val="none" w:sz="0" w:space="0" w:color="auto"/>
      </w:divBdr>
    </w:div>
    <w:div w:id="599797982">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7610766">
      <w:bodyDiv w:val="1"/>
      <w:marLeft w:val="0"/>
      <w:marRight w:val="0"/>
      <w:marTop w:val="0"/>
      <w:marBottom w:val="0"/>
      <w:divBdr>
        <w:top w:val="none" w:sz="0" w:space="0" w:color="auto"/>
        <w:left w:val="none" w:sz="0" w:space="0" w:color="auto"/>
        <w:bottom w:val="none" w:sz="0" w:space="0" w:color="auto"/>
        <w:right w:val="none" w:sz="0" w:space="0" w:color="auto"/>
      </w:divBdr>
    </w:div>
    <w:div w:id="679238443">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35010008">
      <w:bodyDiv w:val="1"/>
      <w:marLeft w:val="0"/>
      <w:marRight w:val="0"/>
      <w:marTop w:val="0"/>
      <w:marBottom w:val="0"/>
      <w:divBdr>
        <w:top w:val="none" w:sz="0" w:space="0" w:color="auto"/>
        <w:left w:val="none" w:sz="0" w:space="0" w:color="auto"/>
        <w:bottom w:val="none" w:sz="0" w:space="0" w:color="auto"/>
        <w:right w:val="none" w:sz="0" w:space="0" w:color="auto"/>
      </w:divBdr>
    </w:div>
    <w:div w:id="739718013">
      <w:bodyDiv w:val="1"/>
      <w:marLeft w:val="0"/>
      <w:marRight w:val="0"/>
      <w:marTop w:val="0"/>
      <w:marBottom w:val="0"/>
      <w:divBdr>
        <w:top w:val="none" w:sz="0" w:space="0" w:color="auto"/>
        <w:left w:val="none" w:sz="0" w:space="0" w:color="auto"/>
        <w:bottom w:val="none" w:sz="0" w:space="0" w:color="auto"/>
        <w:right w:val="none" w:sz="0" w:space="0" w:color="auto"/>
      </w:divBdr>
    </w:div>
    <w:div w:id="744300756">
      <w:bodyDiv w:val="1"/>
      <w:marLeft w:val="0"/>
      <w:marRight w:val="0"/>
      <w:marTop w:val="0"/>
      <w:marBottom w:val="0"/>
      <w:divBdr>
        <w:top w:val="none" w:sz="0" w:space="0" w:color="auto"/>
        <w:left w:val="none" w:sz="0" w:space="0" w:color="auto"/>
        <w:bottom w:val="none" w:sz="0" w:space="0" w:color="auto"/>
        <w:right w:val="none" w:sz="0" w:space="0" w:color="auto"/>
      </w:divBdr>
    </w:div>
    <w:div w:id="757404395">
      <w:bodyDiv w:val="1"/>
      <w:marLeft w:val="0"/>
      <w:marRight w:val="0"/>
      <w:marTop w:val="0"/>
      <w:marBottom w:val="0"/>
      <w:divBdr>
        <w:top w:val="none" w:sz="0" w:space="0" w:color="auto"/>
        <w:left w:val="none" w:sz="0" w:space="0" w:color="auto"/>
        <w:bottom w:val="none" w:sz="0" w:space="0" w:color="auto"/>
        <w:right w:val="none" w:sz="0" w:space="0" w:color="auto"/>
      </w:divBdr>
    </w:div>
    <w:div w:id="77135934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6872287">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542881">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4948551">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20993415">
      <w:bodyDiv w:val="1"/>
      <w:marLeft w:val="0"/>
      <w:marRight w:val="0"/>
      <w:marTop w:val="0"/>
      <w:marBottom w:val="0"/>
      <w:divBdr>
        <w:top w:val="none" w:sz="0" w:space="0" w:color="auto"/>
        <w:left w:val="none" w:sz="0" w:space="0" w:color="auto"/>
        <w:bottom w:val="none" w:sz="0" w:space="0" w:color="auto"/>
        <w:right w:val="none" w:sz="0" w:space="0" w:color="auto"/>
      </w:divBdr>
    </w:div>
    <w:div w:id="94811919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912295">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3853997">
      <w:bodyDiv w:val="1"/>
      <w:marLeft w:val="0"/>
      <w:marRight w:val="0"/>
      <w:marTop w:val="0"/>
      <w:marBottom w:val="0"/>
      <w:divBdr>
        <w:top w:val="none" w:sz="0" w:space="0" w:color="auto"/>
        <w:left w:val="none" w:sz="0" w:space="0" w:color="auto"/>
        <w:bottom w:val="none" w:sz="0" w:space="0" w:color="auto"/>
        <w:right w:val="none" w:sz="0" w:space="0" w:color="auto"/>
      </w:divBdr>
    </w:div>
    <w:div w:id="986326184">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431033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438802">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582768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208961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0487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2937696">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59966388">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9111702">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2827284">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7167476">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748126">
      <w:bodyDiv w:val="1"/>
      <w:marLeft w:val="0"/>
      <w:marRight w:val="0"/>
      <w:marTop w:val="0"/>
      <w:marBottom w:val="0"/>
      <w:divBdr>
        <w:top w:val="none" w:sz="0" w:space="0" w:color="auto"/>
        <w:left w:val="none" w:sz="0" w:space="0" w:color="auto"/>
        <w:bottom w:val="none" w:sz="0" w:space="0" w:color="auto"/>
        <w:right w:val="none" w:sz="0" w:space="0" w:color="auto"/>
      </w:divBdr>
    </w:div>
    <w:div w:id="151402945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7331641">
      <w:bodyDiv w:val="1"/>
      <w:marLeft w:val="0"/>
      <w:marRight w:val="0"/>
      <w:marTop w:val="0"/>
      <w:marBottom w:val="0"/>
      <w:divBdr>
        <w:top w:val="none" w:sz="0" w:space="0" w:color="auto"/>
        <w:left w:val="none" w:sz="0" w:space="0" w:color="auto"/>
        <w:bottom w:val="none" w:sz="0" w:space="0" w:color="auto"/>
        <w:right w:val="none" w:sz="0" w:space="0" w:color="auto"/>
      </w:divBdr>
    </w:div>
    <w:div w:id="1549998975">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7906881">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021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3555132">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2817469">
      <w:bodyDiv w:val="1"/>
      <w:marLeft w:val="0"/>
      <w:marRight w:val="0"/>
      <w:marTop w:val="0"/>
      <w:marBottom w:val="0"/>
      <w:divBdr>
        <w:top w:val="none" w:sz="0" w:space="0" w:color="auto"/>
        <w:left w:val="none" w:sz="0" w:space="0" w:color="auto"/>
        <w:bottom w:val="none" w:sz="0" w:space="0" w:color="auto"/>
        <w:right w:val="none" w:sz="0" w:space="0" w:color="auto"/>
      </w:divBdr>
    </w:div>
    <w:div w:id="179563491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4927466">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6505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13616463">
      <w:bodyDiv w:val="1"/>
      <w:marLeft w:val="0"/>
      <w:marRight w:val="0"/>
      <w:marTop w:val="0"/>
      <w:marBottom w:val="0"/>
      <w:divBdr>
        <w:top w:val="none" w:sz="0" w:space="0" w:color="auto"/>
        <w:left w:val="none" w:sz="0" w:space="0" w:color="auto"/>
        <w:bottom w:val="none" w:sz="0" w:space="0" w:color="auto"/>
        <w:right w:val="none" w:sz="0" w:space="0" w:color="auto"/>
      </w:divBdr>
    </w:div>
    <w:div w:id="1925912942">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5596043">
      <w:bodyDiv w:val="1"/>
      <w:marLeft w:val="0"/>
      <w:marRight w:val="0"/>
      <w:marTop w:val="0"/>
      <w:marBottom w:val="0"/>
      <w:divBdr>
        <w:top w:val="none" w:sz="0" w:space="0" w:color="auto"/>
        <w:left w:val="none" w:sz="0" w:space="0" w:color="auto"/>
        <w:bottom w:val="none" w:sz="0" w:space="0" w:color="auto"/>
        <w:right w:val="none" w:sz="0" w:space="0" w:color="auto"/>
      </w:divBdr>
    </w:div>
    <w:div w:id="196873318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141964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8682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77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8B71-B060-4AFE-A592-A27D6AE7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2020-12-10T05:13:00Z</dcterms:created>
  <dcterms:modified xsi:type="dcterms:W3CDTF">2021-01-28T01:13:00Z</dcterms:modified>
</cp:coreProperties>
</file>