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2"/>
        <w:gridCol w:w="2081"/>
        <w:gridCol w:w="2084"/>
        <w:gridCol w:w="3524"/>
        <w:gridCol w:w="5439"/>
      </w:tblGrid>
      <w:tr w:rsidR="00392260" w:rsidRPr="00436296" w14:paraId="64F441E0" w14:textId="77777777" w:rsidTr="00CC6020">
        <w:trPr>
          <w:cantSplit/>
          <w:tblHeader/>
        </w:trPr>
        <w:tc>
          <w:tcPr>
            <w:tcW w:w="735" w:type="pct"/>
          </w:tcPr>
          <w:p w14:paraId="1B580E63" w14:textId="14249F81" w:rsidR="00FE2750" w:rsidRPr="00436296" w:rsidRDefault="00FE2750" w:rsidP="00D95093">
            <w:pPr>
              <w:pStyle w:val="Header"/>
              <w:spacing w:after="240"/>
              <w:contextualSpacing/>
              <w:jc w:val="center"/>
              <w:rPr>
                <w:rFonts w:ascii="Arial" w:hAnsi="Arial" w:cs="Arial"/>
                <w:b/>
                <w:snapToGrid w:val="0"/>
                <w:sz w:val="20"/>
                <w:lang w:eastAsia="en-US"/>
              </w:rPr>
            </w:pPr>
            <w:r w:rsidRPr="00436296">
              <w:rPr>
                <w:rFonts w:ascii="Arial" w:hAnsi="Arial" w:cs="Arial"/>
                <w:b/>
                <w:snapToGrid w:val="0"/>
                <w:sz w:val="20"/>
                <w:lang w:eastAsia="en-US"/>
              </w:rPr>
              <w:t>DRUG NAME, FORM(S), STRENGTH(S), SPONSOR, TYPE OF SUBMISSION</w:t>
            </w:r>
          </w:p>
        </w:tc>
        <w:tc>
          <w:tcPr>
            <w:tcW w:w="676" w:type="pct"/>
          </w:tcPr>
          <w:p w14:paraId="1C2CAB48" w14:textId="77777777" w:rsidR="00FE2750" w:rsidRPr="00436296" w:rsidRDefault="00FE2750" w:rsidP="00D95093">
            <w:pPr>
              <w:pStyle w:val="Header"/>
              <w:spacing w:after="240"/>
              <w:contextualSpacing/>
              <w:jc w:val="center"/>
              <w:rPr>
                <w:rFonts w:ascii="Arial" w:hAnsi="Arial" w:cs="Arial"/>
                <w:b/>
                <w:snapToGrid w:val="0"/>
                <w:sz w:val="20"/>
                <w:lang w:eastAsia="en-US"/>
              </w:rPr>
            </w:pPr>
            <w:r w:rsidRPr="00436296">
              <w:rPr>
                <w:rFonts w:ascii="Arial" w:hAnsi="Arial" w:cs="Arial"/>
                <w:b/>
                <w:snapToGrid w:val="0"/>
                <w:sz w:val="20"/>
                <w:lang w:eastAsia="en-US"/>
              </w:rPr>
              <w:t>TGA INDICATION</w:t>
            </w:r>
          </w:p>
          <w:p w14:paraId="78B3AF49" w14:textId="77777777" w:rsidR="00FE2750" w:rsidRPr="00436296" w:rsidRDefault="00FE2750" w:rsidP="00D95093">
            <w:pPr>
              <w:pStyle w:val="Header"/>
              <w:spacing w:after="240"/>
              <w:contextualSpacing/>
              <w:jc w:val="center"/>
              <w:rPr>
                <w:rFonts w:ascii="Arial" w:hAnsi="Arial" w:cs="Arial"/>
                <w:b/>
                <w:snapToGrid w:val="0"/>
                <w:sz w:val="20"/>
                <w:lang w:eastAsia="en-US"/>
              </w:rPr>
            </w:pPr>
          </w:p>
        </w:tc>
        <w:tc>
          <w:tcPr>
            <w:tcW w:w="677" w:type="pct"/>
          </w:tcPr>
          <w:p w14:paraId="20588453" w14:textId="77777777" w:rsidR="00FE2750" w:rsidRPr="00436296" w:rsidRDefault="00FE2750" w:rsidP="00D95093">
            <w:pPr>
              <w:pStyle w:val="Header"/>
              <w:spacing w:after="240"/>
              <w:contextualSpacing/>
              <w:jc w:val="center"/>
              <w:rPr>
                <w:rFonts w:ascii="Arial" w:hAnsi="Arial" w:cs="Arial"/>
                <w:b/>
                <w:snapToGrid w:val="0"/>
                <w:sz w:val="20"/>
                <w:lang w:eastAsia="en-US"/>
              </w:rPr>
            </w:pPr>
            <w:r w:rsidRPr="00436296">
              <w:rPr>
                <w:rFonts w:ascii="Arial" w:hAnsi="Arial" w:cs="Arial"/>
                <w:b/>
                <w:snapToGrid w:val="0"/>
                <w:sz w:val="20"/>
                <w:lang w:eastAsia="en-US"/>
              </w:rPr>
              <w:t>CURRENT PBS LISTING</w:t>
            </w:r>
          </w:p>
        </w:tc>
        <w:tc>
          <w:tcPr>
            <w:tcW w:w="1145" w:type="pct"/>
            <w:shd w:val="clear" w:color="auto" w:fill="auto"/>
          </w:tcPr>
          <w:p w14:paraId="7ED920EA" w14:textId="77777777" w:rsidR="00FE2750" w:rsidRPr="00436296" w:rsidRDefault="00FE2750" w:rsidP="00D95093">
            <w:pPr>
              <w:pStyle w:val="Header"/>
              <w:spacing w:after="240"/>
              <w:contextualSpacing/>
              <w:jc w:val="center"/>
              <w:rPr>
                <w:rFonts w:ascii="Arial" w:hAnsi="Arial" w:cs="Arial"/>
                <w:b/>
                <w:snapToGrid w:val="0"/>
                <w:sz w:val="20"/>
                <w:lang w:eastAsia="en-US"/>
              </w:rPr>
            </w:pPr>
            <w:r w:rsidRPr="00436296">
              <w:rPr>
                <w:rFonts w:ascii="Arial" w:hAnsi="Arial" w:cs="Arial"/>
                <w:b/>
                <w:snapToGrid w:val="0"/>
                <w:sz w:val="20"/>
                <w:lang w:eastAsia="en-US"/>
              </w:rPr>
              <w:t>LISTING REQUESTED BY SPONSOR / PURPOSE OF SUBMISSION</w:t>
            </w:r>
          </w:p>
        </w:tc>
        <w:tc>
          <w:tcPr>
            <w:tcW w:w="1767" w:type="pct"/>
          </w:tcPr>
          <w:p w14:paraId="6AD0BD1F" w14:textId="77777777" w:rsidR="00FE2750" w:rsidRPr="00436296" w:rsidRDefault="00FE2750" w:rsidP="00D95093">
            <w:pPr>
              <w:pStyle w:val="Header"/>
              <w:spacing w:after="240"/>
              <w:contextualSpacing/>
              <w:jc w:val="center"/>
              <w:rPr>
                <w:rFonts w:ascii="Arial" w:hAnsi="Arial" w:cs="Arial"/>
                <w:b/>
                <w:snapToGrid w:val="0"/>
                <w:sz w:val="20"/>
                <w:lang w:eastAsia="en-US"/>
              </w:rPr>
            </w:pPr>
            <w:r w:rsidRPr="00436296">
              <w:rPr>
                <w:rFonts w:ascii="Arial" w:hAnsi="Arial" w:cs="Arial"/>
                <w:b/>
                <w:snapToGrid w:val="0"/>
                <w:sz w:val="20"/>
                <w:lang w:eastAsia="en-US"/>
              </w:rPr>
              <w:t>PBAC OUTCOME</w:t>
            </w:r>
          </w:p>
        </w:tc>
      </w:tr>
      <w:tr w:rsidR="00436296" w:rsidRPr="00436296" w14:paraId="630E7029" w14:textId="77777777" w:rsidTr="00CC6020">
        <w:trPr>
          <w:trHeight w:val="435"/>
        </w:trPr>
        <w:tc>
          <w:tcPr>
            <w:tcW w:w="735" w:type="pct"/>
            <w:vMerge w:val="restart"/>
          </w:tcPr>
          <w:p w14:paraId="30168DF5" w14:textId="43EAD9BB" w:rsidR="00436296" w:rsidRPr="00436296" w:rsidRDefault="00436296" w:rsidP="00436296">
            <w:pPr>
              <w:contextualSpacing/>
              <w:rPr>
                <w:rFonts w:ascii="Arial" w:hAnsi="Arial" w:cs="Arial"/>
                <w:sz w:val="20"/>
              </w:rPr>
            </w:pPr>
            <w:r w:rsidRPr="00436296">
              <w:rPr>
                <w:rFonts w:ascii="Arial" w:hAnsi="Arial" w:cs="Arial"/>
                <w:sz w:val="20"/>
              </w:rPr>
              <w:t>APALUTAMIDE</w:t>
            </w:r>
            <w:r w:rsidR="00542824">
              <w:rPr>
                <w:rFonts w:ascii="Arial" w:hAnsi="Arial" w:cs="Arial"/>
                <w:sz w:val="20"/>
              </w:rPr>
              <w:br/>
            </w:r>
            <w:r w:rsidR="00542824">
              <w:rPr>
                <w:rFonts w:ascii="Arial" w:hAnsi="Arial" w:cs="Arial"/>
                <w:sz w:val="20"/>
              </w:rPr>
              <w:br/>
            </w:r>
            <w:r w:rsidRPr="00436296">
              <w:rPr>
                <w:rFonts w:ascii="Arial" w:hAnsi="Arial" w:cs="Arial"/>
                <w:sz w:val="20"/>
              </w:rPr>
              <w:t>Tablet 60 mg</w:t>
            </w:r>
            <w:r w:rsidR="00542824">
              <w:rPr>
                <w:rFonts w:ascii="Arial" w:hAnsi="Arial" w:cs="Arial"/>
                <w:sz w:val="20"/>
              </w:rPr>
              <w:br/>
            </w:r>
            <w:r w:rsidR="00542824">
              <w:rPr>
                <w:rFonts w:ascii="Arial" w:hAnsi="Arial" w:cs="Arial"/>
                <w:sz w:val="20"/>
              </w:rPr>
              <w:br/>
            </w:r>
            <w:proofErr w:type="spellStart"/>
            <w:r w:rsidRPr="00436296">
              <w:rPr>
                <w:rFonts w:ascii="Arial" w:hAnsi="Arial" w:cs="Arial"/>
                <w:sz w:val="20"/>
              </w:rPr>
              <w:t>Erlyand</w:t>
            </w:r>
            <w:proofErr w:type="spellEnd"/>
            <w:r w:rsidRPr="00436296">
              <w:rPr>
                <w:rFonts w:ascii="Arial" w:hAnsi="Arial" w:cs="Arial"/>
                <w:sz w:val="20"/>
              </w:rPr>
              <w:t>®</w:t>
            </w:r>
            <w:r w:rsidR="00542824">
              <w:rPr>
                <w:rFonts w:ascii="Arial" w:hAnsi="Arial" w:cs="Arial"/>
                <w:sz w:val="20"/>
              </w:rPr>
              <w:br/>
            </w:r>
            <w:r w:rsidR="00542824">
              <w:rPr>
                <w:rFonts w:ascii="Arial" w:hAnsi="Arial" w:cs="Arial"/>
                <w:sz w:val="20"/>
              </w:rPr>
              <w:br/>
            </w:r>
            <w:r w:rsidRPr="00436296">
              <w:rPr>
                <w:rFonts w:ascii="Arial" w:hAnsi="Arial" w:cs="Arial"/>
                <w:sz w:val="20"/>
              </w:rPr>
              <w:t>Janssen-</w:t>
            </w:r>
            <w:proofErr w:type="spellStart"/>
            <w:r w:rsidRPr="00436296">
              <w:rPr>
                <w:rFonts w:ascii="Arial" w:hAnsi="Arial" w:cs="Arial"/>
                <w:sz w:val="20"/>
              </w:rPr>
              <w:t>Cilag</w:t>
            </w:r>
            <w:proofErr w:type="spellEnd"/>
            <w:r w:rsidRPr="00436296">
              <w:rPr>
                <w:rFonts w:ascii="Arial" w:hAnsi="Arial" w:cs="Arial"/>
                <w:sz w:val="20"/>
              </w:rPr>
              <w:t xml:space="preserve"> Pty Ltd </w:t>
            </w:r>
            <w:r w:rsidR="00542824">
              <w:rPr>
                <w:rFonts w:ascii="Arial" w:hAnsi="Arial" w:cs="Arial"/>
                <w:sz w:val="20"/>
              </w:rPr>
              <w:br/>
            </w:r>
            <w:r w:rsidR="00542824">
              <w:rPr>
                <w:rFonts w:ascii="Arial" w:hAnsi="Arial" w:cs="Arial"/>
                <w:sz w:val="20"/>
              </w:rPr>
              <w:br/>
            </w:r>
            <w:r w:rsidRPr="00436296">
              <w:rPr>
                <w:rFonts w:ascii="Arial" w:hAnsi="Arial" w:cs="Arial"/>
                <w:sz w:val="20"/>
              </w:rPr>
              <w:t>New listing</w:t>
            </w:r>
            <w:r w:rsidR="00542824">
              <w:rPr>
                <w:rFonts w:ascii="Arial" w:hAnsi="Arial" w:cs="Arial"/>
                <w:sz w:val="20"/>
              </w:rPr>
              <w:br/>
            </w:r>
            <w:r w:rsidRPr="00436296">
              <w:rPr>
                <w:rFonts w:ascii="Arial" w:hAnsi="Arial" w:cs="Arial"/>
                <w:sz w:val="20"/>
              </w:rPr>
              <w:t xml:space="preserve">(Major Submission) </w:t>
            </w:r>
          </w:p>
        </w:tc>
        <w:tc>
          <w:tcPr>
            <w:tcW w:w="676" w:type="pct"/>
            <w:vMerge w:val="restart"/>
          </w:tcPr>
          <w:p w14:paraId="6C50BC81" w14:textId="62AA971E" w:rsidR="00436296" w:rsidRPr="00436296" w:rsidRDefault="004F37B7" w:rsidP="00436296">
            <w:pPr>
              <w:rPr>
                <w:rFonts w:ascii="Arial" w:hAnsi="Arial" w:cs="Arial"/>
                <w:sz w:val="20"/>
              </w:rPr>
            </w:pPr>
            <w:r w:rsidRPr="004F37B7">
              <w:rPr>
                <w:rFonts w:ascii="Arial" w:hAnsi="Arial" w:cs="Arial"/>
                <w:sz w:val="20"/>
              </w:rPr>
              <w:t>Treatment of patients with non-metastatic, castration-resistant prostate cancer.</w:t>
            </w:r>
          </w:p>
        </w:tc>
        <w:tc>
          <w:tcPr>
            <w:tcW w:w="677" w:type="pct"/>
            <w:vMerge w:val="restart"/>
          </w:tcPr>
          <w:p w14:paraId="705C8C28" w14:textId="39AFB3A6" w:rsidR="00436296" w:rsidRPr="00436296" w:rsidRDefault="004F37B7" w:rsidP="004F37B7">
            <w:pPr>
              <w:rPr>
                <w:rFonts w:ascii="Arial" w:hAnsi="Arial" w:cs="Arial"/>
                <w:sz w:val="20"/>
              </w:rPr>
            </w:pPr>
            <w:proofErr w:type="spellStart"/>
            <w:r>
              <w:rPr>
                <w:rFonts w:ascii="Arial" w:hAnsi="Arial" w:cs="Arial"/>
                <w:sz w:val="20"/>
              </w:rPr>
              <w:t>Apalutamide</w:t>
            </w:r>
            <w:proofErr w:type="spellEnd"/>
            <w:r>
              <w:rPr>
                <w:rFonts w:ascii="Arial" w:hAnsi="Arial" w:cs="Arial"/>
                <w:sz w:val="20"/>
              </w:rPr>
              <w:t xml:space="preserve"> is currently not PBS listed.</w:t>
            </w:r>
          </w:p>
        </w:tc>
        <w:tc>
          <w:tcPr>
            <w:tcW w:w="1145" w:type="pct"/>
          </w:tcPr>
          <w:p w14:paraId="2979DEEE" w14:textId="56186BA0" w:rsidR="00436296" w:rsidRPr="00436296" w:rsidRDefault="00436296" w:rsidP="00436296">
            <w:pPr>
              <w:keepLines/>
              <w:rPr>
                <w:rFonts w:ascii="Arial" w:hAnsi="Arial" w:cs="Arial"/>
                <w:color w:val="000000"/>
                <w:sz w:val="20"/>
              </w:rPr>
            </w:pPr>
            <w:r w:rsidRPr="00436296">
              <w:rPr>
                <w:rFonts w:ascii="Arial" w:hAnsi="Arial" w:cs="Arial"/>
                <w:color w:val="000000"/>
                <w:sz w:val="20"/>
              </w:rPr>
              <w:t xml:space="preserve">Resubmission to </w:t>
            </w:r>
            <w:r w:rsidR="00165836">
              <w:rPr>
                <w:rFonts w:ascii="Arial" w:hAnsi="Arial" w:cs="Arial"/>
                <w:color w:val="000000"/>
                <w:sz w:val="20"/>
              </w:rPr>
              <w:t>request an Authority Required (T</w:t>
            </w:r>
            <w:r w:rsidRPr="00436296">
              <w:rPr>
                <w:rFonts w:ascii="Arial" w:hAnsi="Arial" w:cs="Arial"/>
                <w:color w:val="000000"/>
                <w:sz w:val="20"/>
              </w:rPr>
              <w:t>elephone) listing for the treatment of castration resistant prostate cancer with no distant metastasis on conventional imaging.</w:t>
            </w:r>
          </w:p>
        </w:tc>
        <w:tc>
          <w:tcPr>
            <w:tcW w:w="1767" w:type="pct"/>
          </w:tcPr>
          <w:p w14:paraId="0494FF2F" w14:textId="0B0ECC02" w:rsidR="00FB0A24" w:rsidRPr="00436296" w:rsidRDefault="00542824" w:rsidP="003E62ED">
            <w:pPr>
              <w:spacing w:after="120"/>
              <w:rPr>
                <w:rFonts w:ascii="Arial" w:hAnsi="Arial" w:cs="Arial"/>
                <w:sz w:val="20"/>
              </w:rPr>
            </w:pPr>
            <w:r w:rsidRPr="00542824">
              <w:rPr>
                <w:rFonts w:ascii="Arial" w:hAnsi="Arial" w:cs="Arial"/>
                <w:sz w:val="20"/>
              </w:rPr>
              <w:t xml:space="preserve">The PBAC did not recommend the listing of </w:t>
            </w:r>
            <w:proofErr w:type="spellStart"/>
            <w:r w:rsidRPr="00542824">
              <w:rPr>
                <w:rFonts w:ascii="Arial" w:hAnsi="Arial" w:cs="Arial"/>
                <w:sz w:val="20"/>
              </w:rPr>
              <w:t>apalutamide</w:t>
            </w:r>
            <w:proofErr w:type="spellEnd"/>
            <w:r w:rsidRPr="00542824">
              <w:rPr>
                <w:rFonts w:ascii="Arial" w:hAnsi="Arial" w:cs="Arial"/>
                <w:sz w:val="20"/>
              </w:rPr>
              <w:t xml:space="preserve"> for the treatment of patients with non-metastatic castration-resistant prostate cancer (m0CRPC) who are at high risk of distant metastases. The PBAC considered that </w:t>
            </w:r>
            <w:proofErr w:type="spellStart"/>
            <w:r w:rsidRPr="00542824">
              <w:rPr>
                <w:rFonts w:ascii="Arial" w:hAnsi="Arial" w:cs="Arial"/>
                <w:sz w:val="20"/>
              </w:rPr>
              <w:t>apalutamide</w:t>
            </w:r>
            <w:proofErr w:type="spellEnd"/>
            <w:r w:rsidRPr="00542824">
              <w:rPr>
                <w:rFonts w:ascii="Arial" w:hAnsi="Arial" w:cs="Arial"/>
                <w:sz w:val="20"/>
              </w:rPr>
              <w:t xml:space="preserve"> provided a substantial benefit to some patients in delaying metastases; however, the</w:t>
            </w:r>
            <w:r>
              <w:rPr>
                <w:rFonts w:ascii="Arial" w:hAnsi="Arial" w:cs="Arial"/>
                <w:sz w:val="20"/>
              </w:rPr>
              <w:t>y</w:t>
            </w:r>
            <w:r w:rsidRPr="00542824">
              <w:rPr>
                <w:rFonts w:ascii="Arial" w:hAnsi="Arial" w:cs="Arial"/>
                <w:sz w:val="20"/>
              </w:rPr>
              <w:t xml:space="preserve"> considered that the magnitude of the survival benefit was modest. The PBAC noted that not all of the requested changes to the economic model were implemented in the resubmission and that the incremental cost-effectiveness ratio (ICER) remained high and uncertain, and that a price reduction would be required to bring the ICER into an acceptable range. The PBAC also considered that the estimated financial impact of listing </w:t>
            </w:r>
            <w:proofErr w:type="spellStart"/>
            <w:r w:rsidRPr="00542824">
              <w:rPr>
                <w:rFonts w:ascii="Arial" w:hAnsi="Arial" w:cs="Arial"/>
                <w:sz w:val="20"/>
              </w:rPr>
              <w:t>apalutamide</w:t>
            </w:r>
            <w:proofErr w:type="spellEnd"/>
            <w:r w:rsidRPr="00542824">
              <w:rPr>
                <w:rFonts w:ascii="Arial" w:hAnsi="Arial" w:cs="Arial"/>
                <w:sz w:val="20"/>
              </w:rPr>
              <w:t xml:space="preserve"> on the PBS remained high.</w:t>
            </w:r>
          </w:p>
        </w:tc>
      </w:tr>
      <w:tr w:rsidR="00436296" w:rsidRPr="00436296" w14:paraId="36FCB09C" w14:textId="77777777" w:rsidTr="00CC6020">
        <w:trPr>
          <w:trHeight w:val="433"/>
        </w:trPr>
        <w:tc>
          <w:tcPr>
            <w:tcW w:w="735" w:type="pct"/>
            <w:vMerge/>
          </w:tcPr>
          <w:p w14:paraId="3BF1B6AD" w14:textId="77777777" w:rsidR="00436296" w:rsidRPr="00436296" w:rsidRDefault="00436296" w:rsidP="00436296">
            <w:pPr>
              <w:rPr>
                <w:rFonts w:ascii="Arial" w:hAnsi="Arial" w:cs="Arial"/>
                <w:sz w:val="20"/>
              </w:rPr>
            </w:pPr>
          </w:p>
        </w:tc>
        <w:tc>
          <w:tcPr>
            <w:tcW w:w="676" w:type="pct"/>
            <w:vMerge/>
          </w:tcPr>
          <w:p w14:paraId="42F9E643" w14:textId="77777777" w:rsidR="00436296" w:rsidRPr="00436296" w:rsidRDefault="00436296" w:rsidP="00436296">
            <w:pPr>
              <w:rPr>
                <w:rFonts w:ascii="Arial" w:hAnsi="Arial" w:cs="Arial"/>
                <w:sz w:val="20"/>
              </w:rPr>
            </w:pPr>
          </w:p>
        </w:tc>
        <w:tc>
          <w:tcPr>
            <w:tcW w:w="677" w:type="pct"/>
            <w:vMerge/>
          </w:tcPr>
          <w:p w14:paraId="080362E6" w14:textId="77777777" w:rsidR="00436296" w:rsidRPr="00436296" w:rsidRDefault="00436296" w:rsidP="00436296">
            <w:pPr>
              <w:rPr>
                <w:rFonts w:ascii="Arial" w:hAnsi="Arial" w:cs="Arial"/>
                <w:sz w:val="20"/>
              </w:rPr>
            </w:pPr>
          </w:p>
        </w:tc>
        <w:tc>
          <w:tcPr>
            <w:tcW w:w="1145" w:type="pct"/>
          </w:tcPr>
          <w:p w14:paraId="682D20AD" w14:textId="38CB1B29" w:rsidR="00436296" w:rsidRPr="00436296" w:rsidRDefault="00436296">
            <w:pPr>
              <w:pStyle w:val="ListBullet"/>
            </w:pPr>
            <w:r w:rsidRPr="00436296">
              <w:t>Comparator:</w:t>
            </w:r>
            <w:r w:rsidR="00165836">
              <w:t xml:space="preserve"> </w:t>
            </w:r>
            <w:r w:rsidR="00542824" w:rsidRPr="00542824">
              <w:t>Watchful waiting (placebo)</w:t>
            </w:r>
          </w:p>
        </w:tc>
        <w:tc>
          <w:tcPr>
            <w:tcW w:w="1767" w:type="pct"/>
          </w:tcPr>
          <w:p w14:paraId="264B6F61" w14:textId="62DDD2E7" w:rsidR="00FB0A24" w:rsidRPr="00436296" w:rsidRDefault="00542824" w:rsidP="00436296">
            <w:pPr>
              <w:pStyle w:val="3-BodyText"/>
              <w:ind w:left="0" w:firstLine="0"/>
              <w:jc w:val="left"/>
              <w:rPr>
                <w:rFonts w:ascii="Arial" w:hAnsi="Arial"/>
                <w:iCs/>
                <w:sz w:val="20"/>
                <w:szCs w:val="20"/>
              </w:rPr>
            </w:pPr>
            <w:r w:rsidRPr="00542824">
              <w:rPr>
                <w:rFonts w:ascii="Arial" w:hAnsi="Arial"/>
                <w:iCs/>
                <w:sz w:val="20"/>
                <w:szCs w:val="20"/>
              </w:rPr>
              <w:t>The PBAC considered watchful waiting (placebo) remains the appropriate comparator.</w:t>
            </w:r>
          </w:p>
        </w:tc>
      </w:tr>
      <w:tr w:rsidR="00436296" w:rsidRPr="00436296" w14:paraId="331A1DF1" w14:textId="77777777" w:rsidTr="00CC6020">
        <w:trPr>
          <w:trHeight w:val="433"/>
        </w:trPr>
        <w:tc>
          <w:tcPr>
            <w:tcW w:w="735" w:type="pct"/>
            <w:vMerge/>
          </w:tcPr>
          <w:p w14:paraId="17101862" w14:textId="77777777" w:rsidR="00436296" w:rsidRPr="00436296" w:rsidRDefault="00436296" w:rsidP="00436296">
            <w:pPr>
              <w:rPr>
                <w:rFonts w:ascii="Arial" w:hAnsi="Arial" w:cs="Arial"/>
                <w:sz w:val="20"/>
              </w:rPr>
            </w:pPr>
          </w:p>
        </w:tc>
        <w:tc>
          <w:tcPr>
            <w:tcW w:w="676" w:type="pct"/>
            <w:vMerge/>
          </w:tcPr>
          <w:p w14:paraId="5F84148F" w14:textId="77777777" w:rsidR="00436296" w:rsidRPr="00436296" w:rsidRDefault="00436296" w:rsidP="00436296">
            <w:pPr>
              <w:rPr>
                <w:rFonts w:ascii="Arial" w:hAnsi="Arial" w:cs="Arial"/>
                <w:sz w:val="20"/>
              </w:rPr>
            </w:pPr>
          </w:p>
        </w:tc>
        <w:tc>
          <w:tcPr>
            <w:tcW w:w="677" w:type="pct"/>
            <w:vMerge/>
          </w:tcPr>
          <w:p w14:paraId="69158B30" w14:textId="77777777" w:rsidR="00436296" w:rsidRPr="00436296" w:rsidRDefault="00436296" w:rsidP="00436296">
            <w:pPr>
              <w:rPr>
                <w:rFonts w:ascii="Arial" w:hAnsi="Arial" w:cs="Arial"/>
                <w:sz w:val="20"/>
              </w:rPr>
            </w:pPr>
          </w:p>
        </w:tc>
        <w:tc>
          <w:tcPr>
            <w:tcW w:w="1145" w:type="pct"/>
          </w:tcPr>
          <w:p w14:paraId="2F65D988" w14:textId="1B1D6BF1" w:rsidR="00FB0A24" w:rsidRPr="00436296" w:rsidRDefault="00436296" w:rsidP="00436296">
            <w:pPr>
              <w:pStyle w:val="ListBullet"/>
            </w:pPr>
            <w:r w:rsidRPr="00436296">
              <w:t>Clinical claim:</w:t>
            </w:r>
            <w:r w:rsidR="00165836">
              <w:t xml:space="preserve"> </w:t>
            </w:r>
            <w:r w:rsidR="0037530B">
              <w:t>A</w:t>
            </w:r>
            <w:r w:rsidR="00542824" w:rsidRPr="00542824">
              <w:t xml:space="preserve"> statistically significant and clinically important improvement in survival compared with watchful waiting.</w:t>
            </w:r>
          </w:p>
        </w:tc>
        <w:tc>
          <w:tcPr>
            <w:tcW w:w="1767" w:type="pct"/>
          </w:tcPr>
          <w:p w14:paraId="715709A6" w14:textId="5B9F6197" w:rsidR="00436296" w:rsidRPr="00436296" w:rsidRDefault="00542824" w:rsidP="003E62ED">
            <w:pPr>
              <w:pStyle w:val="3-BodyText"/>
              <w:ind w:left="0" w:firstLine="0"/>
              <w:jc w:val="left"/>
              <w:rPr>
                <w:rFonts w:ascii="Arial" w:eastAsia="Calibri" w:hAnsi="Arial"/>
                <w:iCs/>
                <w:sz w:val="20"/>
                <w:szCs w:val="20"/>
              </w:rPr>
            </w:pPr>
            <w:r w:rsidRPr="00542824">
              <w:rPr>
                <w:rFonts w:ascii="Arial" w:eastAsia="Calibri" w:hAnsi="Arial"/>
                <w:iCs/>
                <w:sz w:val="20"/>
                <w:szCs w:val="20"/>
              </w:rPr>
              <w:t xml:space="preserve">Based on the updated data provided, the PBAC considered that </w:t>
            </w:r>
            <w:proofErr w:type="spellStart"/>
            <w:r w:rsidRPr="00542824">
              <w:rPr>
                <w:rFonts w:ascii="Arial" w:eastAsia="Calibri" w:hAnsi="Arial"/>
                <w:iCs/>
                <w:sz w:val="20"/>
                <w:szCs w:val="20"/>
              </w:rPr>
              <w:t>apalutamide</w:t>
            </w:r>
            <w:proofErr w:type="spellEnd"/>
            <w:r w:rsidRPr="00542824">
              <w:rPr>
                <w:rFonts w:ascii="Arial" w:eastAsia="Calibri" w:hAnsi="Arial"/>
                <w:iCs/>
                <w:sz w:val="20"/>
                <w:szCs w:val="20"/>
              </w:rPr>
              <w:t xml:space="preserve"> provides an </w:t>
            </w:r>
            <w:r w:rsidR="00A86B26">
              <w:rPr>
                <w:rFonts w:ascii="Arial" w:eastAsia="Calibri" w:hAnsi="Arial"/>
                <w:iCs/>
                <w:sz w:val="20"/>
                <w:szCs w:val="20"/>
              </w:rPr>
              <w:t>overall survival</w:t>
            </w:r>
            <w:r w:rsidRPr="00542824">
              <w:rPr>
                <w:rFonts w:ascii="Arial" w:eastAsia="Calibri" w:hAnsi="Arial"/>
                <w:iCs/>
                <w:sz w:val="20"/>
                <w:szCs w:val="20"/>
              </w:rPr>
              <w:t xml:space="preserve"> benefit; however, the magnitude of this benefit was modest.</w:t>
            </w:r>
          </w:p>
        </w:tc>
      </w:tr>
      <w:tr w:rsidR="00436296" w:rsidRPr="00436296" w14:paraId="15E2F862" w14:textId="77777777" w:rsidTr="00CC6020">
        <w:trPr>
          <w:trHeight w:val="793"/>
        </w:trPr>
        <w:tc>
          <w:tcPr>
            <w:tcW w:w="735" w:type="pct"/>
            <w:vMerge/>
          </w:tcPr>
          <w:p w14:paraId="0BFB6B1D" w14:textId="77777777" w:rsidR="00436296" w:rsidRPr="00436296" w:rsidRDefault="00436296" w:rsidP="00436296">
            <w:pPr>
              <w:rPr>
                <w:rFonts w:ascii="Arial" w:hAnsi="Arial" w:cs="Arial"/>
                <w:sz w:val="20"/>
              </w:rPr>
            </w:pPr>
          </w:p>
        </w:tc>
        <w:tc>
          <w:tcPr>
            <w:tcW w:w="676" w:type="pct"/>
            <w:vMerge/>
          </w:tcPr>
          <w:p w14:paraId="4748F2BA" w14:textId="77777777" w:rsidR="00436296" w:rsidRPr="00436296" w:rsidRDefault="00436296" w:rsidP="00436296">
            <w:pPr>
              <w:rPr>
                <w:rFonts w:ascii="Arial" w:hAnsi="Arial" w:cs="Arial"/>
                <w:sz w:val="20"/>
              </w:rPr>
            </w:pPr>
          </w:p>
        </w:tc>
        <w:tc>
          <w:tcPr>
            <w:tcW w:w="677" w:type="pct"/>
            <w:vMerge/>
          </w:tcPr>
          <w:p w14:paraId="5494B671" w14:textId="77777777" w:rsidR="00436296" w:rsidRPr="00436296" w:rsidRDefault="00436296" w:rsidP="00436296">
            <w:pPr>
              <w:rPr>
                <w:rFonts w:ascii="Arial" w:hAnsi="Arial" w:cs="Arial"/>
                <w:sz w:val="20"/>
              </w:rPr>
            </w:pPr>
          </w:p>
        </w:tc>
        <w:tc>
          <w:tcPr>
            <w:tcW w:w="1145" w:type="pct"/>
          </w:tcPr>
          <w:p w14:paraId="62CCBB85" w14:textId="219CFF3C" w:rsidR="00436296" w:rsidRPr="00436296" w:rsidRDefault="00436296" w:rsidP="00436296">
            <w:pPr>
              <w:pStyle w:val="ListBullet"/>
            </w:pPr>
            <w:r w:rsidRPr="00436296">
              <w:t>Economic claim:</w:t>
            </w:r>
            <w:r w:rsidR="00542824">
              <w:t xml:space="preserve"> </w:t>
            </w:r>
            <w:r w:rsidR="0037530B">
              <w:t>C</w:t>
            </w:r>
            <w:r w:rsidR="00542824" w:rsidRPr="00542824">
              <w:t>ost-utility analysis compared with watchful waiting</w:t>
            </w:r>
          </w:p>
        </w:tc>
        <w:tc>
          <w:tcPr>
            <w:tcW w:w="1767" w:type="pct"/>
          </w:tcPr>
          <w:p w14:paraId="6342D49A" w14:textId="52C2BE69" w:rsidR="00FB0A24" w:rsidRPr="00436296" w:rsidRDefault="00542824" w:rsidP="003E62ED">
            <w:pPr>
              <w:pStyle w:val="ListParagraph"/>
              <w:spacing w:after="240"/>
              <w:ind w:left="0"/>
              <w:rPr>
                <w:rFonts w:ascii="Arial" w:hAnsi="Arial" w:cs="Arial"/>
                <w:sz w:val="20"/>
                <w:szCs w:val="20"/>
              </w:rPr>
            </w:pPr>
            <w:r w:rsidRPr="00542824">
              <w:rPr>
                <w:rFonts w:ascii="Arial" w:hAnsi="Arial" w:cs="Arial"/>
                <w:sz w:val="20"/>
                <w:szCs w:val="20"/>
              </w:rPr>
              <w:t>The PBAC noted that not all of the requested changes to the economic model were implemented in the resubmission and considered that the ICER remained high and uncertain. The PBAC considered that a price reduction would bring the ICER into an acceptable range.</w:t>
            </w:r>
          </w:p>
        </w:tc>
      </w:tr>
      <w:tr w:rsidR="00436296" w:rsidRPr="00436296" w14:paraId="4BFF0277" w14:textId="77777777" w:rsidTr="00CC6020">
        <w:trPr>
          <w:trHeight w:val="433"/>
        </w:trPr>
        <w:tc>
          <w:tcPr>
            <w:tcW w:w="735" w:type="pct"/>
            <w:vMerge/>
          </w:tcPr>
          <w:p w14:paraId="3F5F7250" w14:textId="77777777" w:rsidR="00436296" w:rsidRPr="00436296" w:rsidRDefault="00436296" w:rsidP="00436296">
            <w:pPr>
              <w:rPr>
                <w:rFonts w:ascii="Arial" w:hAnsi="Arial" w:cs="Arial"/>
                <w:sz w:val="20"/>
              </w:rPr>
            </w:pPr>
          </w:p>
        </w:tc>
        <w:tc>
          <w:tcPr>
            <w:tcW w:w="676" w:type="pct"/>
            <w:vMerge/>
          </w:tcPr>
          <w:p w14:paraId="4BB12F11" w14:textId="77777777" w:rsidR="00436296" w:rsidRPr="00436296" w:rsidRDefault="00436296" w:rsidP="00436296">
            <w:pPr>
              <w:rPr>
                <w:rFonts w:ascii="Arial" w:hAnsi="Arial" w:cs="Arial"/>
                <w:sz w:val="20"/>
              </w:rPr>
            </w:pPr>
          </w:p>
        </w:tc>
        <w:tc>
          <w:tcPr>
            <w:tcW w:w="677" w:type="pct"/>
            <w:vMerge/>
          </w:tcPr>
          <w:p w14:paraId="67678E5E" w14:textId="77777777" w:rsidR="00436296" w:rsidRPr="00436296" w:rsidRDefault="00436296" w:rsidP="00436296">
            <w:pPr>
              <w:rPr>
                <w:rFonts w:ascii="Arial" w:hAnsi="Arial" w:cs="Arial"/>
                <w:sz w:val="20"/>
              </w:rPr>
            </w:pPr>
          </w:p>
        </w:tc>
        <w:tc>
          <w:tcPr>
            <w:tcW w:w="1145" w:type="pct"/>
          </w:tcPr>
          <w:p w14:paraId="0ACD9B45" w14:textId="782898DA" w:rsidR="0094710C" w:rsidRPr="00515CDE" w:rsidRDefault="00436296" w:rsidP="00515CDE">
            <w:pPr>
              <w:pStyle w:val="ListBullet"/>
              <w:jc w:val="right"/>
            </w:pPr>
            <w:r w:rsidRPr="00436296">
              <w:t>Sponsor’s comment:</w:t>
            </w:r>
          </w:p>
        </w:tc>
        <w:tc>
          <w:tcPr>
            <w:tcW w:w="1767" w:type="pct"/>
          </w:tcPr>
          <w:p w14:paraId="0CCA67DB" w14:textId="5E9A9D7B" w:rsidR="00FB0A24" w:rsidRPr="00436296" w:rsidRDefault="00100A05" w:rsidP="0009039F">
            <w:pPr>
              <w:rPr>
                <w:rFonts w:ascii="Arial" w:hAnsi="Arial" w:cs="Arial"/>
                <w:sz w:val="20"/>
              </w:rPr>
            </w:pPr>
            <w:r w:rsidRPr="00100A05">
              <w:rPr>
                <w:rFonts w:ascii="Arial" w:hAnsi="Arial" w:cs="Arial"/>
                <w:sz w:val="20"/>
              </w:rPr>
              <w:t xml:space="preserve">Janssen is disappointed with the </w:t>
            </w:r>
            <w:r w:rsidR="0009039F">
              <w:rPr>
                <w:rFonts w:ascii="Arial" w:hAnsi="Arial" w:cs="Arial"/>
                <w:sz w:val="20"/>
              </w:rPr>
              <w:t>PBAC’s</w:t>
            </w:r>
            <w:r w:rsidRPr="00100A05">
              <w:rPr>
                <w:rFonts w:ascii="Arial" w:hAnsi="Arial" w:cs="Arial"/>
                <w:sz w:val="20"/>
              </w:rPr>
              <w:t xml:space="preserve"> decision not to reco</w:t>
            </w:r>
            <w:r w:rsidR="001E3EE1">
              <w:rPr>
                <w:rFonts w:ascii="Arial" w:hAnsi="Arial" w:cs="Arial"/>
                <w:sz w:val="20"/>
              </w:rPr>
              <w:t>mmend the PBS listing of ERYLAND</w:t>
            </w:r>
            <w:r w:rsidRPr="00100A05">
              <w:rPr>
                <w:rFonts w:ascii="Arial" w:hAnsi="Arial" w:cs="Arial"/>
                <w:sz w:val="20"/>
              </w:rPr>
              <w:t>® (</w:t>
            </w:r>
            <w:proofErr w:type="spellStart"/>
            <w:r w:rsidRPr="00100A05">
              <w:rPr>
                <w:rFonts w:ascii="Arial" w:hAnsi="Arial" w:cs="Arial"/>
                <w:sz w:val="20"/>
              </w:rPr>
              <w:t>apalutamide</w:t>
            </w:r>
            <w:proofErr w:type="spellEnd"/>
            <w:r w:rsidRPr="00100A05">
              <w:rPr>
                <w:rFonts w:ascii="Arial" w:hAnsi="Arial" w:cs="Arial"/>
                <w:sz w:val="20"/>
              </w:rPr>
              <w:t xml:space="preserve">) for the treatment of patients with high-risk castration-resistant prostate cancer with no distant metastases. Given the strength and maturity of the clinical data. Janssen does not agree with the PBAC that </w:t>
            </w:r>
            <w:proofErr w:type="spellStart"/>
            <w:r w:rsidRPr="00100A05">
              <w:rPr>
                <w:rFonts w:ascii="Arial" w:hAnsi="Arial" w:cs="Arial"/>
                <w:sz w:val="20"/>
              </w:rPr>
              <w:t>apalutamide</w:t>
            </w:r>
            <w:proofErr w:type="spellEnd"/>
            <w:r w:rsidRPr="00100A05">
              <w:rPr>
                <w:rFonts w:ascii="Arial" w:hAnsi="Arial" w:cs="Arial"/>
                <w:sz w:val="20"/>
              </w:rPr>
              <w:t xml:space="preserve"> only provides modest survival benefit and this is supported </w:t>
            </w:r>
            <w:r w:rsidRPr="00100A05">
              <w:rPr>
                <w:rFonts w:ascii="Arial" w:hAnsi="Arial" w:cs="Arial"/>
                <w:sz w:val="20"/>
              </w:rPr>
              <w:lastRenderedPageBreak/>
              <w:t>by significant support from the clinical and patient communities that identified ERYLAND as being a high priority for PBS listing</w:t>
            </w:r>
            <w:r>
              <w:rPr>
                <w:rFonts w:ascii="Arial" w:hAnsi="Arial" w:cs="Arial"/>
                <w:sz w:val="20"/>
              </w:rPr>
              <w:t>.</w:t>
            </w:r>
          </w:p>
        </w:tc>
      </w:tr>
      <w:tr w:rsidR="00436296" w:rsidRPr="00436296" w14:paraId="2DF29721" w14:textId="77777777" w:rsidTr="00CC6020">
        <w:trPr>
          <w:trHeight w:val="2710"/>
        </w:trPr>
        <w:tc>
          <w:tcPr>
            <w:tcW w:w="735" w:type="pct"/>
            <w:vMerge w:val="restart"/>
          </w:tcPr>
          <w:p w14:paraId="7C76DE0B" w14:textId="06F87334" w:rsidR="00436296" w:rsidRPr="00436296" w:rsidRDefault="00436296" w:rsidP="00436296">
            <w:pPr>
              <w:rPr>
                <w:rFonts w:ascii="Arial" w:hAnsi="Arial" w:cs="Arial"/>
                <w:sz w:val="20"/>
              </w:rPr>
            </w:pPr>
            <w:r w:rsidRPr="00436296">
              <w:rPr>
                <w:rFonts w:ascii="Arial" w:hAnsi="Arial" w:cs="Arial"/>
                <w:sz w:val="20"/>
              </w:rPr>
              <w:lastRenderedPageBreak/>
              <w:t>CRISABOROLE</w:t>
            </w:r>
            <w:r w:rsidR="00542824">
              <w:rPr>
                <w:rFonts w:ascii="Arial" w:hAnsi="Arial" w:cs="Arial"/>
                <w:sz w:val="20"/>
              </w:rPr>
              <w:br/>
            </w:r>
            <w:r w:rsidR="00542824">
              <w:rPr>
                <w:rFonts w:ascii="Arial" w:hAnsi="Arial" w:cs="Arial"/>
                <w:sz w:val="20"/>
              </w:rPr>
              <w:br/>
            </w:r>
            <w:r w:rsidRPr="00436296">
              <w:rPr>
                <w:rFonts w:ascii="Arial" w:hAnsi="Arial" w:cs="Arial"/>
                <w:sz w:val="20"/>
              </w:rPr>
              <w:t>Ointment 2%, 30 g; Ointment 2%, 60 g</w:t>
            </w:r>
            <w:r w:rsidR="00542824">
              <w:rPr>
                <w:rFonts w:ascii="Arial" w:hAnsi="Arial" w:cs="Arial"/>
                <w:sz w:val="20"/>
              </w:rPr>
              <w:br/>
            </w:r>
            <w:r w:rsidR="00542824">
              <w:rPr>
                <w:rFonts w:ascii="Arial" w:hAnsi="Arial" w:cs="Arial"/>
                <w:sz w:val="20"/>
              </w:rPr>
              <w:br/>
            </w:r>
            <w:proofErr w:type="spellStart"/>
            <w:r w:rsidRPr="00436296">
              <w:rPr>
                <w:rFonts w:ascii="Arial" w:hAnsi="Arial" w:cs="Arial"/>
                <w:sz w:val="20"/>
              </w:rPr>
              <w:t>Staquis</w:t>
            </w:r>
            <w:proofErr w:type="spellEnd"/>
            <w:r w:rsidRPr="00436296">
              <w:rPr>
                <w:rFonts w:ascii="Arial" w:hAnsi="Arial" w:cs="Arial"/>
                <w:sz w:val="20"/>
              </w:rPr>
              <w:t>®</w:t>
            </w:r>
            <w:r w:rsidR="00542824">
              <w:rPr>
                <w:rFonts w:ascii="Arial" w:hAnsi="Arial" w:cs="Arial"/>
                <w:sz w:val="20"/>
              </w:rPr>
              <w:br/>
            </w:r>
            <w:r w:rsidR="00542824">
              <w:rPr>
                <w:rFonts w:ascii="Arial" w:hAnsi="Arial" w:cs="Arial"/>
                <w:sz w:val="20"/>
              </w:rPr>
              <w:br/>
            </w:r>
            <w:r w:rsidRPr="00436296">
              <w:rPr>
                <w:rFonts w:ascii="Arial" w:hAnsi="Arial" w:cs="Arial"/>
                <w:sz w:val="20"/>
              </w:rPr>
              <w:t xml:space="preserve">Pfizer Australia Pty Ltd </w:t>
            </w:r>
            <w:r w:rsidR="00542824">
              <w:rPr>
                <w:rFonts w:ascii="Arial" w:hAnsi="Arial" w:cs="Arial"/>
                <w:sz w:val="20"/>
              </w:rPr>
              <w:br/>
            </w:r>
            <w:r w:rsidR="00542824">
              <w:rPr>
                <w:rFonts w:ascii="Arial" w:hAnsi="Arial" w:cs="Arial"/>
                <w:sz w:val="20"/>
              </w:rPr>
              <w:br/>
            </w:r>
            <w:r w:rsidRPr="00436296">
              <w:rPr>
                <w:rFonts w:ascii="Arial" w:hAnsi="Arial" w:cs="Arial"/>
                <w:sz w:val="20"/>
              </w:rPr>
              <w:t>New listing</w:t>
            </w:r>
            <w:r w:rsidR="00542824">
              <w:rPr>
                <w:rFonts w:ascii="Arial" w:hAnsi="Arial" w:cs="Arial"/>
                <w:sz w:val="20"/>
              </w:rPr>
              <w:br/>
            </w:r>
            <w:r w:rsidRPr="00436296">
              <w:rPr>
                <w:rFonts w:ascii="Arial" w:hAnsi="Arial" w:cs="Arial"/>
                <w:sz w:val="20"/>
              </w:rPr>
              <w:t xml:space="preserve">(Major Submission) </w:t>
            </w:r>
          </w:p>
        </w:tc>
        <w:tc>
          <w:tcPr>
            <w:tcW w:w="676" w:type="pct"/>
            <w:vMerge w:val="restart"/>
          </w:tcPr>
          <w:p w14:paraId="77313F62" w14:textId="3B053769" w:rsidR="00436296" w:rsidRPr="00436296" w:rsidRDefault="00EF0A35" w:rsidP="00436296">
            <w:pPr>
              <w:rPr>
                <w:rFonts w:ascii="Arial" w:hAnsi="Arial" w:cs="Arial"/>
                <w:sz w:val="20"/>
              </w:rPr>
            </w:pPr>
            <w:proofErr w:type="spellStart"/>
            <w:r w:rsidRPr="00EF0A35">
              <w:rPr>
                <w:rFonts w:ascii="Arial" w:hAnsi="Arial" w:cs="Arial"/>
                <w:sz w:val="20"/>
              </w:rPr>
              <w:t>Crisaborole</w:t>
            </w:r>
            <w:proofErr w:type="spellEnd"/>
            <w:r w:rsidRPr="00EF0A35">
              <w:rPr>
                <w:rFonts w:ascii="Arial" w:hAnsi="Arial" w:cs="Arial"/>
                <w:sz w:val="20"/>
              </w:rPr>
              <w:t xml:space="preserve"> is indicated for the treatment of mild to moderate atopic dermatitis in patients aged 2 years and older.</w:t>
            </w:r>
          </w:p>
        </w:tc>
        <w:tc>
          <w:tcPr>
            <w:tcW w:w="677" w:type="pct"/>
            <w:vMerge w:val="restart"/>
          </w:tcPr>
          <w:p w14:paraId="37598851" w14:textId="77CAA0FA" w:rsidR="00436296" w:rsidRPr="00436296" w:rsidRDefault="00EF0A35" w:rsidP="00436296">
            <w:pPr>
              <w:rPr>
                <w:rFonts w:ascii="Arial" w:hAnsi="Arial" w:cs="Arial"/>
                <w:sz w:val="20"/>
              </w:rPr>
            </w:pPr>
            <w:proofErr w:type="spellStart"/>
            <w:r w:rsidRPr="00EF0A35">
              <w:rPr>
                <w:rFonts w:ascii="Arial" w:hAnsi="Arial" w:cs="Arial"/>
                <w:sz w:val="20"/>
              </w:rPr>
              <w:t>Crisaborole</w:t>
            </w:r>
            <w:proofErr w:type="spellEnd"/>
            <w:r w:rsidRPr="00EF0A35">
              <w:rPr>
                <w:rFonts w:ascii="Arial" w:hAnsi="Arial" w:cs="Arial"/>
                <w:sz w:val="20"/>
              </w:rPr>
              <w:t xml:space="preserve"> is not currently PBS listed.</w:t>
            </w:r>
          </w:p>
        </w:tc>
        <w:tc>
          <w:tcPr>
            <w:tcW w:w="1145" w:type="pct"/>
          </w:tcPr>
          <w:p w14:paraId="00CF4CB1" w14:textId="11323B75" w:rsidR="00436296" w:rsidRPr="00436296" w:rsidRDefault="00436296" w:rsidP="00436296">
            <w:pPr>
              <w:snapToGrid w:val="0"/>
              <w:rPr>
                <w:rFonts w:ascii="Arial" w:hAnsi="Arial" w:cs="Arial"/>
                <w:sz w:val="20"/>
              </w:rPr>
            </w:pPr>
            <w:r w:rsidRPr="00436296">
              <w:rPr>
                <w:rFonts w:ascii="Arial" w:hAnsi="Arial" w:cs="Arial"/>
                <w:sz w:val="20"/>
              </w:rPr>
              <w:t>Resubmission to request an Authority Required (STREAMLINED) listing for the treatment of mild to moderate atopic dermatitis.</w:t>
            </w:r>
          </w:p>
        </w:tc>
        <w:tc>
          <w:tcPr>
            <w:tcW w:w="1767" w:type="pct"/>
          </w:tcPr>
          <w:p w14:paraId="2BBDDDCC" w14:textId="140FB563" w:rsidR="00FB0A24" w:rsidRPr="00436296" w:rsidRDefault="00FB0A24" w:rsidP="003E62ED">
            <w:pPr>
              <w:pStyle w:val="Default"/>
              <w:spacing w:after="120"/>
              <w:rPr>
                <w:rFonts w:ascii="Arial" w:hAnsi="Arial" w:cs="Arial"/>
                <w:color w:val="auto"/>
                <w:sz w:val="20"/>
                <w:szCs w:val="20"/>
              </w:rPr>
            </w:pPr>
            <w:r w:rsidRPr="00FB0A24">
              <w:rPr>
                <w:rFonts w:ascii="Arial" w:hAnsi="Arial" w:cs="Arial"/>
                <w:color w:val="auto"/>
                <w:sz w:val="20"/>
                <w:szCs w:val="20"/>
              </w:rPr>
              <w:t xml:space="preserve">The PBAC did not recommend </w:t>
            </w:r>
            <w:proofErr w:type="spellStart"/>
            <w:r w:rsidRPr="00FB0A24">
              <w:rPr>
                <w:rFonts w:ascii="Arial" w:hAnsi="Arial" w:cs="Arial"/>
                <w:color w:val="auto"/>
                <w:sz w:val="20"/>
                <w:szCs w:val="20"/>
              </w:rPr>
              <w:t>crisaborole</w:t>
            </w:r>
            <w:proofErr w:type="spellEnd"/>
            <w:r w:rsidRPr="00FB0A24">
              <w:rPr>
                <w:rFonts w:ascii="Arial" w:hAnsi="Arial" w:cs="Arial"/>
                <w:color w:val="auto"/>
                <w:sz w:val="20"/>
                <w:szCs w:val="20"/>
              </w:rPr>
              <w:t xml:space="preserve"> for mild to moderate atopic dermatitis in patients who have failed to achieve satisfactory disease control with, are contraindicated to, or are intolerant to topical corticosteroids (TCS). The PBAC considered TCS are effective in patients with mild to moderate disease when used appropriately, and hence there is a low clinical need for </w:t>
            </w:r>
            <w:proofErr w:type="spellStart"/>
            <w:r w:rsidRPr="00FB0A24">
              <w:rPr>
                <w:rFonts w:ascii="Arial" w:hAnsi="Arial" w:cs="Arial"/>
                <w:color w:val="auto"/>
                <w:sz w:val="20"/>
                <w:szCs w:val="20"/>
              </w:rPr>
              <w:t>crisaborole</w:t>
            </w:r>
            <w:proofErr w:type="spellEnd"/>
            <w:r w:rsidRPr="00FB0A24">
              <w:rPr>
                <w:rFonts w:ascii="Arial" w:hAnsi="Arial" w:cs="Arial"/>
                <w:color w:val="auto"/>
                <w:sz w:val="20"/>
                <w:szCs w:val="20"/>
              </w:rPr>
              <w:t xml:space="preserve">. The PBAC considered that the cost-effectiveness of </w:t>
            </w:r>
            <w:proofErr w:type="spellStart"/>
            <w:r w:rsidRPr="00FB0A24">
              <w:rPr>
                <w:rFonts w:ascii="Arial" w:hAnsi="Arial" w:cs="Arial"/>
                <w:color w:val="auto"/>
                <w:sz w:val="20"/>
                <w:szCs w:val="20"/>
              </w:rPr>
              <w:t>crisaborole</w:t>
            </w:r>
            <w:proofErr w:type="spellEnd"/>
            <w:r w:rsidRPr="00FB0A24">
              <w:rPr>
                <w:rFonts w:ascii="Arial" w:hAnsi="Arial" w:cs="Arial"/>
                <w:color w:val="auto"/>
                <w:sz w:val="20"/>
                <w:szCs w:val="20"/>
              </w:rPr>
              <w:t xml:space="preserve"> remained highly uncertain. The PBAC considered that the intended population was likely to be relatively small, however there was a high risk of use in a broader population, resulting in increased financial cost.</w:t>
            </w:r>
          </w:p>
        </w:tc>
      </w:tr>
      <w:tr w:rsidR="00436296" w:rsidRPr="00436296" w14:paraId="3ADA7586" w14:textId="77777777" w:rsidTr="00CC6020">
        <w:trPr>
          <w:trHeight w:val="433"/>
        </w:trPr>
        <w:tc>
          <w:tcPr>
            <w:tcW w:w="735" w:type="pct"/>
            <w:vMerge/>
          </w:tcPr>
          <w:p w14:paraId="16E3DD5F" w14:textId="77777777" w:rsidR="00436296" w:rsidRPr="00436296" w:rsidRDefault="00436296" w:rsidP="00436296">
            <w:pPr>
              <w:rPr>
                <w:rFonts w:ascii="Arial" w:hAnsi="Arial" w:cs="Arial"/>
                <w:sz w:val="20"/>
              </w:rPr>
            </w:pPr>
          </w:p>
        </w:tc>
        <w:tc>
          <w:tcPr>
            <w:tcW w:w="676" w:type="pct"/>
            <w:vMerge/>
          </w:tcPr>
          <w:p w14:paraId="3EB03A26" w14:textId="77777777" w:rsidR="00436296" w:rsidRPr="00436296" w:rsidRDefault="00436296" w:rsidP="00436296">
            <w:pPr>
              <w:rPr>
                <w:rFonts w:ascii="Arial" w:hAnsi="Arial" w:cs="Arial"/>
                <w:sz w:val="20"/>
              </w:rPr>
            </w:pPr>
          </w:p>
        </w:tc>
        <w:tc>
          <w:tcPr>
            <w:tcW w:w="677" w:type="pct"/>
            <w:vMerge/>
          </w:tcPr>
          <w:p w14:paraId="09B3A195" w14:textId="77777777" w:rsidR="00436296" w:rsidRPr="00436296" w:rsidRDefault="00436296" w:rsidP="00436296">
            <w:pPr>
              <w:rPr>
                <w:rFonts w:ascii="Arial" w:hAnsi="Arial" w:cs="Arial"/>
                <w:sz w:val="20"/>
              </w:rPr>
            </w:pPr>
          </w:p>
        </w:tc>
        <w:tc>
          <w:tcPr>
            <w:tcW w:w="1145" w:type="pct"/>
          </w:tcPr>
          <w:p w14:paraId="4B4A7DC9" w14:textId="39AE5861" w:rsidR="00436296" w:rsidRPr="00436296" w:rsidRDefault="00436296">
            <w:pPr>
              <w:snapToGrid w:val="0"/>
              <w:rPr>
                <w:rFonts w:ascii="Arial" w:hAnsi="Arial" w:cs="Arial"/>
                <w:sz w:val="20"/>
              </w:rPr>
            </w:pPr>
            <w:r w:rsidRPr="00436296">
              <w:rPr>
                <w:rFonts w:ascii="Arial" w:hAnsi="Arial" w:cs="Arial"/>
                <w:sz w:val="20"/>
              </w:rPr>
              <w:t>Comparator:</w:t>
            </w:r>
            <w:r w:rsidR="00165836">
              <w:rPr>
                <w:rFonts w:ascii="Arial" w:hAnsi="Arial" w:cs="Arial"/>
                <w:sz w:val="20"/>
              </w:rPr>
              <w:t xml:space="preserve"> </w:t>
            </w:r>
            <w:proofErr w:type="spellStart"/>
            <w:r w:rsidR="00FB0A24">
              <w:rPr>
                <w:rFonts w:ascii="Arial" w:hAnsi="Arial" w:cs="Arial"/>
                <w:sz w:val="20"/>
              </w:rPr>
              <w:t>Pimecrolimus</w:t>
            </w:r>
            <w:proofErr w:type="spellEnd"/>
            <w:r w:rsidR="00FB0A24">
              <w:rPr>
                <w:rFonts w:ascii="Arial" w:hAnsi="Arial" w:cs="Arial"/>
                <w:sz w:val="20"/>
              </w:rPr>
              <w:t xml:space="preserve"> for face and eyelids, standard care for the rest of the body.</w:t>
            </w:r>
          </w:p>
        </w:tc>
        <w:tc>
          <w:tcPr>
            <w:tcW w:w="1767" w:type="pct"/>
          </w:tcPr>
          <w:p w14:paraId="03C86BC1" w14:textId="70814AAA" w:rsidR="00FB0A24" w:rsidRPr="00436296" w:rsidRDefault="00FB0A24" w:rsidP="003E62ED">
            <w:pPr>
              <w:pStyle w:val="Default"/>
              <w:spacing w:after="120"/>
              <w:rPr>
                <w:rFonts w:ascii="Arial" w:hAnsi="Arial" w:cs="Arial"/>
                <w:color w:val="auto"/>
                <w:sz w:val="20"/>
                <w:szCs w:val="20"/>
              </w:rPr>
            </w:pPr>
            <w:r w:rsidRPr="00FB0A24">
              <w:rPr>
                <w:rFonts w:ascii="Arial" w:hAnsi="Arial" w:cs="Arial"/>
                <w:color w:val="auto"/>
                <w:sz w:val="20"/>
                <w:szCs w:val="20"/>
              </w:rPr>
              <w:t xml:space="preserve">The PBAC previously accepted </w:t>
            </w:r>
            <w:proofErr w:type="spellStart"/>
            <w:r w:rsidRPr="00FB0A24">
              <w:rPr>
                <w:rFonts w:ascii="Arial" w:hAnsi="Arial" w:cs="Arial"/>
                <w:color w:val="auto"/>
                <w:sz w:val="20"/>
                <w:szCs w:val="20"/>
              </w:rPr>
              <w:t>pimecrolimus</w:t>
            </w:r>
            <w:proofErr w:type="spellEnd"/>
            <w:r w:rsidRPr="00FB0A24">
              <w:rPr>
                <w:rFonts w:ascii="Arial" w:hAnsi="Arial" w:cs="Arial"/>
                <w:color w:val="auto"/>
                <w:sz w:val="20"/>
                <w:szCs w:val="20"/>
              </w:rPr>
              <w:t xml:space="preserve"> was the appropriate comparator for the face and eyelids and standard care was the appropriate comparator for the rest of the body. The PBAC considered that despite the intention of the resubmission and the proposed restriction, there is a substantial risk that prescribers and patients will perceive </w:t>
            </w:r>
            <w:proofErr w:type="spellStart"/>
            <w:r w:rsidRPr="00FB0A24">
              <w:rPr>
                <w:rFonts w:ascii="Arial" w:hAnsi="Arial" w:cs="Arial"/>
                <w:color w:val="auto"/>
                <w:sz w:val="20"/>
                <w:szCs w:val="20"/>
              </w:rPr>
              <w:t>crisaborole</w:t>
            </w:r>
            <w:proofErr w:type="spellEnd"/>
            <w:r w:rsidRPr="00FB0A24">
              <w:rPr>
                <w:rFonts w:ascii="Arial" w:hAnsi="Arial" w:cs="Arial"/>
                <w:color w:val="auto"/>
                <w:sz w:val="20"/>
                <w:szCs w:val="20"/>
              </w:rPr>
              <w:t xml:space="preserve"> as a steroid sparer/alternative. When used in this way, topical corticosteroids would also be a relevant comparator.</w:t>
            </w:r>
          </w:p>
        </w:tc>
      </w:tr>
      <w:tr w:rsidR="00436296" w:rsidRPr="00436296" w14:paraId="20FCCF73" w14:textId="77777777" w:rsidTr="00CC6020">
        <w:trPr>
          <w:trHeight w:val="433"/>
        </w:trPr>
        <w:tc>
          <w:tcPr>
            <w:tcW w:w="735" w:type="pct"/>
            <w:vMerge/>
          </w:tcPr>
          <w:p w14:paraId="1251C000" w14:textId="77777777" w:rsidR="00436296" w:rsidRPr="00436296" w:rsidRDefault="00436296" w:rsidP="00436296">
            <w:pPr>
              <w:rPr>
                <w:rFonts w:ascii="Arial" w:hAnsi="Arial" w:cs="Arial"/>
                <w:sz w:val="20"/>
              </w:rPr>
            </w:pPr>
          </w:p>
        </w:tc>
        <w:tc>
          <w:tcPr>
            <w:tcW w:w="676" w:type="pct"/>
            <w:vMerge/>
          </w:tcPr>
          <w:p w14:paraId="653F6B62" w14:textId="77777777" w:rsidR="00436296" w:rsidRPr="00436296" w:rsidRDefault="00436296" w:rsidP="00436296">
            <w:pPr>
              <w:rPr>
                <w:rFonts w:ascii="Arial" w:hAnsi="Arial" w:cs="Arial"/>
                <w:sz w:val="20"/>
              </w:rPr>
            </w:pPr>
          </w:p>
        </w:tc>
        <w:tc>
          <w:tcPr>
            <w:tcW w:w="677" w:type="pct"/>
            <w:vMerge/>
          </w:tcPr>
          <w:p w14:paraId="4D076EF5" w14:textId="77777777" w:rsidR="00436296" w:rsidRPr="00436296" w:rsidRDefault="00436296" w:rsidP="00436296">
            <w:pPr>
              <w:rPr>
                <w:rFonts w:ascii="Arial" w:hAnsi="Arial" w:cs="Arial"/>
                <w:sz w:val="20"/>
              </w:rPr>
            </w:pPr>
          </w:p>
        </w:tc>
        <w:tc>
          <w:tcPr>
            <w:tcW w:w="1145" w:type="pct"/>
          </w:tcPr>
          <w:p w14:paraId="31389D79" w14:textId="2B1A5C43" w:rsidR="00436296" w:rsidRPr="00436296" w:rsidRDefault="00436296" w:rsidP="00436296">
            <w:pPr>
              <w:snapToGrid w:val="0"/>
              <w:rPr>
                <w:rFonts w:ascii="Arial" w:hAnsi="Arial" w:cs="Arial"/>
                <w:sz w:val="20"/>
              </w:rPr>
            </w:pPr>
            <w:r w:rsidRPr="00436296">
              <w:rPr>
                <w:rFonts w:ascii="Arial" w:hAnsi="Arial" w:cs="Arial"/>
                <w:sz w:val="20"/>
              </w:rPr>
              <w:t>Clinical claim:</w:t>
            </w:r>
            <w:r w:rsidR="00165836">
              <w:rPr>
                <w:rFonts w:ascii="Arial" w:hAnsi="Arial" w:cs="Arial"/>
                <w:sz w:val="20"/>
              </w:rPr>
              <w:t xml:space="preserve"> </w:t>
            </w:r>
            <w:r w:rsidR="00FB0A24" w:rsidRPr="00FB0A24">
              <w:rPr>
                <w:rFonts w:ascii="Arial" w:hAnsi="Arial" w:cs="Arial"/>
                <w:sz w:val="20"/>
              </w:rPr>
              <w:t xml:space="preserve">Superior effectiveness and inferior safety compared with standard care, non-inferior effectiveness and safety compared with </w:t>
            </w:r>
            <w:proofErr w:type="spellStart"/>
            <w:r w:rsidR="00FB0A24" w:rsidRPr="00FB0A24">
              <w:rPr>
                <w:rFonts w:ascii="Arial" w:hAnsi="Arial" w:cs="Arial"/>
                <w:sz w:val="20"/>
              </w:rPr>
              <w:t>pimecrolimus</w:t>
            </w:r>
            <w:proofErr w:type="spellEnd"/>
            <w:r w:rsidR="00FB0A24" w:rsidRPr="00FB0A24">
              <w:rPr>
                <w:rFonts w:ascii="Arial" w:hAnsi="Arial" w:cs="Arial"/>
                <w:sz w:val="20"/>
              </w:rPr>
              <w:t>.</w:t>
            </w:r>
          </w:p>
        </w:tc>
        <w:tc>
          <w:tcPr>
            <w:tcW w:w="1767" w:type="pct"/>
          </w:tcPr>
          <w:p w14:paraId="63FDF715" w14:textId="2D523D99" w:rsidR="00FB0A24" w:rsidRPr="00436296" w:rsidRDefault="00FB0A24" w:rsidP="003E62ED">
            <w:pPr>
              <w:pStyle w:val="Default"/>
              <w:spacing w:after="120"/>
              <w:rPr>
                <w:rFonts w:ascii="Arial" w:hAnsi="Arial" w:cs="Arial"/>
                <w:color w:val="auto"/>
                <w:sz w:val="20"/>
                <w:szCs w:val="20"/>
              </w:rPr>
            </w:pPr>
            <w:r w:rsidRPr="00FB0A24">
              <w:rPr>
                <w:rFonts w:ascii="Arial" w:hAnsi="Arial" w:cs="Arial"/>
                <w:color w:val="auto"/>
                <w:sz w:val="20"/>
                <w:szCs w:val="20"/>
              </w:rPr>
              <w:t xml:space="preserve">The PBAC previously considered that overall the claim of superior effectiveness compared with standard management was not adequately supported by the data. The PBAC considered that the additional analyses presented did not substantially change the conclusion regarding efficacy. The PBAC considered that the claim of inferior comparative safety was reasonable. The PBAC considered that the changes in the indirect comparison with </w:t>
            </w:r>
            <w:proofErr w:type="spellStart"/>
            <w:r w:rsidRPr="00FB0A24">
              <w:rPr>
                <w:rFonts w:ascii="Arial" w:hAnsi="Arial" w:cs="Arial"/>
                <w:color w:val="auto"/>
                <w:sz w:val="20"/>
                <w:szCs w:val="20"/>
              </w:rPr>
              <w:t>pimecrolimus</w:t>
            </w:r>
            <w:proofErr w:type="spellEnd"/>
            <w:r w:rsidRPr="00FB0A24">
              <w:rPr>
                <w:rFonts w:ascii="Arial" w:hAnsi="Arial" w:cs="Arial"/>
                <w:color w:val="auto"/>
                <w:sz w:val="20"/>
                <w:szCs w:val="20"/>
              </w:rPr>
              <w:t xml:space="preserve"> did not substantially impact the overall </w:t>
            </w:r>
            <w:r w:rsidRPr="00FB0A24">
              <w:rPr>
                <w:rFonts w:ascii="Arial" w:hAnsi="Arial" w:cs="Arial"/>
                <w:color w:val="auto"/>
                <w:sz w:val="20"/>
                <w:szCs w:val="20"/>
              </w:rPr>
              <w:lastRenderedPageBreak/>
              <w:t xml:space="preserve">assessment of the comparison compared with the November 2018 submission. The PBAC considered that the claim of non-inferior comparative effectiveness compared with </w:t>
            </w:r>
            <w:proofErr w:type="spellStart"/>
            <w:r w:rsidRPr="00FB0A24">
              <w:rPr>
                <w:rFonts w:ascii="Arial" w:hAnsi="Arial" w:cs="Arial"/>
                <w:color w:val="auto"/>
                <w:sz w:val="20"/>
                <w:szCs w:val="20"/>
              </w:rPr>
              <w:t>pimecrolimus</w:t>
            </w:r>
            <w:proofErr w:type="spellEnd"/>
            <w:r w:rsidRPr="00FB0A24">
              <w:rPr>
                <w:rFonts w:ascii="Arial" w:hAnsi="Arial" w:cs="Arial"/>
                <w:color w:val="auto"/>
                <w:sz w:val="20"/>
                <w:szCs w:val="20"/>
              </w:rPr>
              <w:t xml:space="preserve"> was not adequately supported by the data. The PBAC considered that the claim of non-inferior comparative safety was reasonable.</w:t>
            </w:r>
          </w:p>
        </w:tc>
      </w:tr>
      <w:tr w:rsidR="00436296" w:rsidRPr="00436296" w14:paraId="0C182A58" w14:textId="77777777" w:rsidTr="00CC6020">
        <w:trPr>
          <w:trHeight w:val="433"/>
        </w:trPr>
        <w:tc>
          <w:tcPr>
            <w:tcW w:w="735" w:type="pct"/>
            <w:vMerge/>
          </w:tcPr>
          <w:p w14:paraId="7DBC7EA8" w14:textId="77777777" w:rsidR="00436296" w:rsidRPr="00436296" w:rsidRDefault="00436296" w:rsidP="00436296">
            <w:pPr>
              <w:rPr>
                <w:rFonts w:ascii="Arial" w:hAnsi="Arial" w:cs="Arial"/>
                <w:sz w:val="20"/>
              </w:rPr>
            </w:pPr>
          </w:p>
        </w:tc>
        <w:tc>
          <w:tcPr>
            <w:tcW w:w="676" w:type="pct"/>
            <w:vMerge/>
          </w:tcPr>
          <w:p w14:paraId="4353F4BB" w14:textId="77777777" w:rsidR="00436296" w:rsidRPr="00436296" w:rsidRDefault="00436296" w:rsidP="00436296">
            <w:pPr>
              <w:rPr>
                <w:rFonts w:ascii="Arial" w:hAnsi="Arial" w:cs="Arial"/>
                <w:sz w:val="20"/>
              </w:rPr>
            </w:pPr>
          </w:p>
        </w:tc>
        <w:tc>
          <w:tcPr>
            <w:tcW w:w="677" w:type="pct"/>
            <w:vMerge/>
          </w:tcPr>
          <w:p w14:paraId="06E093F6" w14:textId="77777777" w:rsidR="00436296" w:rsidRPr="00436296" w:rsidRDefault="00436296" w:rsidP="00436296">
            <w:pPr>
              <w:rPr>
                <w:rFonts w:ascii="Arial" w:hAnsi="Arial" w:cs="Arial"/>
                <w:sz w:val="20"/>
              </w:rPr>
            </w:pPr>
          </w:p>
        </w:tc>
        <w:tc>
          <w:tcPr>
            <w:tcW w:w="1145" w:type="pct"/>
          </w:tcPr>
          <w:p w14:paraId="7098F8AA" w14:textId="1BAA1D12" w:rsidR="00436296" w:rsidRPr="00436296" w:rsidRDefault="00436296" w:rsidP="00436296">
            <w:pPr>
              <w:snapToGrid w:val="0"/>
              <w:rPr>
                <w:rFonts w:ascii="Arial" w:hAnsi="Arial" w:cs="Arial"/>
                <w:sz w:val="20"/>
              </w:rPr>
            </w:pPr>
            <w:r w:rsidRPr="00436296">
              <w:rPr>
                <w:rFonts w:ascii="Arial" w:hAnsi="Arial" w:cs="Arial"/>
                <w:sz w:val="20"/>
              </w:rPr>
              <w:t>Economic claim:</w:t>
            </w:r>
            <w:r w:rsidR="00FB0A24">
              <w:t xml:space="preserve"> </w:t>
            </w:r>
            <w:r w:rsidR="00FB0A24" w:rsidRPr="00FB0A24">
              <w:rPr>
                <w:rFonts w:ascii="Arial" w:hAnsi="Arial" w:cs="Arial"/>
                <w:sz w:val="20"/>
              </w:rPr>
              <w:t xml:space="preserve">Cost-minimisation versus </w:t>
            </w:r>
            <w:proofErr w:type="spellStart"/>
            <w:r w:rsidR="00FB0A24" w:rsidRPr="00FB0A24">
              <w:rPr>
                <w:rFonts w:ascii="Arial" w:hAnsi="Arial" w:cs="Arial"/>
                <w:sz w:val="20"/>
              </w:rPr>
              <w:t>pimecrolimus</w:t>
            </w:r>
            <w:proofErr w:type="spellEnd"/>
            <w:r w:rsidR="00FB0A24" w:rsidRPr="00FB0A24">
              <w:rPr>
                <w:rFonts w:ascii="Arial" w:hAnsi="Arial" w:cs="Arial"/>
                <w:sz w:val="20"/>
              </w:rPr>
              <w:t xml:space="preserve"> and cost-effectiveness analysis versus standard care.</w:t>
            </w:r>
          </w:p>
        </w:tc>
        <w:tc>
          <w:tcPr>
            <w:tcW w:w="1767" w:type="pct"/>
          </w:tcPr>
          <w:p w14:paraId="378889B8" w14:textId="190DA4F9" w:rsidR="00436296" w:rsidRPr="00436296" w:rsidRDefault="00FB0A24" w:rsidP="003E62ED">
            <w:pPr>
              <w:pStyle w:val="Default"/>
              <w:spacing w:after="120"/>
              <w:rPr>
                <w:rFonts w:ascii="Arial" w:hAnsi="Arial" w:cs="Arial"/>
                <w:color w:val="auto"/>
                <w:sz w:val="20"/>
                <w:szCs w:val="20"/>
              </w:rPr>
            </w:pPr>
            <w:r w:rsidRPr="00FB0A24">
              <w:rPr>
                <w:rFonts w:ascii="Arial" w:hAnsi="Arial" w:cs="Arial"/>
                <w:color w:val="auto"/>
                <w:sz w:val="20"/>
                <w:szCs w:val="20"/>
              </w:rPr>
              <w:t xml:space="preserve">The PBAC noted the modelled cost-effectiveness analysis versus standard management, although substantially revised compared with that included in the November 2018 submission, resulted in ICERs that were highly uncertain. The PBAC considered the cost-minimisation analysis versus </w:t>
            </w:r>
            <w:proofErr w:type="spellStart"/>
            <w:r w:rsidRPr="00FB0A24">
              <w:rPr>
                <w:rFonts w:ascii="Arial" w:hAnsi="Arial" w:cs="Arial"/>
                <w:color w:val="auto"/>
                <w:sz w:val="20"/>
                <w:szCs w:val="20"/>
              </w:rPr>
              <w:t>pimecrolimus</w:t>
            </w:r>
            <w:proofErr w:type="spellEnd"/>
            <w:r w:rsidRPr="00FB0A24">
              <w:rPr>
                <w:rFonts w:ascii="Arial" w:hAnsi="Arial" w:cs="Arial"/>
                <w:color w:val="auto"/>
                <w:sz w:val="20"/>
                <w:szCs w:val="20"/>
              </w:rPr>
              <w:t xml:space="preserve"> may not be reasonable given the clinical claim of non-inferiority was inadequately supported</w:t>
            </w:r>
            <w:r>
              <w:rPr>
                <w:rFonts w:ascii="Arial" w:hAnsi="Arial" w:cs="Arial"/>
                <w:color w:val="auto"/>
                <w:sz w:val="20"/>
                <w:szCs w:val="20"/>
              </w:rPr>
              <w:t>.</w:t>
            </w:r>
          </w:p>
        </w:tc>
      </w:tr>
      <w:tr w:rsidR="00436296" w:rsidRPr="00436296" w14:paraId="11E33595" w14:textId="77777777" w:rsidTr="0011534C">
        <w:trPr>
          <w:trHeight w:val="4759"/>
        </w:trPr>
        <w:tc>
          <w:tcPr>
            <w:tcW w:w="735" w:type="pct"/>
            <w:vMerge/>
          </w:tcPr>
          <w:p w14:paraId="7F99C96A" w14:textId="77777777" w:rsidR="00436296" w:rsidRPr="00436296" w:rsidRDefault="00436296" w:rsidP="00436296">
            <w:pPr>
              <w:rPr>
                <w:rFonts w:ascii="Arial" w:hAnsi="Arial" w:cs="Arial"/>
                <w:sz w:val="20"/>
              </w:rPr>
            </w:pPr>
          </w:p>
        </w:tc>
        <w:tc>
          <w:tcPr>
            <w:tcW w:w="676" w:type="pct"/>
            <w:vMerge/>
          </w:tcPr>
          <w:p w14:paraId="49D0F3EC" w14:textId="77777777" w:rsidR="00436296" w:rsidRPr="00436296" w:rsidRDefault="00436296" w:rsidP="00436296">
            <w:pPr>
              <w:rPr>
                <w:rFonts w:ascii="Arial" w:hAnsi="Arial" w:cs="Arial"/>
                <w:sz w:val="20"/>
              </w:rPr>
            </w:pPr>
          </w:p>
        </w:tc>
        <w:tc>
          <w:tcPr>
            <w:tcW w:w="677" w:type="pct"/>
            <w:vMerge/>
          </w:tcPr>
          <w:p w14:paraId="702A8DDB" w14:textId="77777777" w:rsidR="00436296" w:rsidRPr="00436296" w:rsidRDefault="00436296" w:rsidP="00436296">
            <w:pPr>
              <w:rPr>
                <w:rFonts w:ascii="Arial" w:hAnsi="Arial" w:cs="Arial"/>
                <w:sz w:val="20"/>
              </w:rPr>
            </w:pPr>
          </w:p>
        </w:tc>
        <w:tc>
          <w:tcPr>
            <w:tcW w:w="1145" w:type="pct"/>
          </w:tcPr>
          <w:p w14:paraId="2B9104B1" w14:textId="69B63E78" w:rsidR="0094710C" w:rsidRPr="00436296" w:rsidRDefault="00436296" w:rsidP="0011534C">
            <w:pPr>
              <w:snapToGrid w:val="0"/>
              <w:jc w:val="right"/>
              <w:rPr>
                <w:rFonts w:ascii="Arial" w:hAnsi="Arial" w:cs="Arial"/>
                <w:sz w:val="20"/>
              </w:rPr>
            </w:pPr>
            <w:r w:rsidRPr="00436296">
              <w:rPr>
                <w:rFonts w:ascii="Arial" w:hAnsi="Arial" w:cs="Arial"/>
                <w:sz w:val="20"/>
              </w:rPr>
              <w:t>Sponsor’s comment:</w:t>
            </w:r>
          </w:p>
        </w:tc>
        <w:tc>
          <w:tcPr>
            <w:tcW w:w="1767" w:type="pct"/>
          </w:tcPr>
          <w:p w14:paraId="756DD722" w14:textId="4F7A82E9" w:rsidR="00FB0A24" w:rsidRPr="00436296" w:rsidRDefault="0007147B" w:rsidP="00436296">
            <w:pPr>
              <w:pStyle w:val="Default"/>
              <w:rPr>
                <w:rFonts w:ascii="Arial" w:hAnsi="Arial" w:cs="Arial"/>
                <w:color w:val="auto"/>
                <w:sz w:val="20"/>
                <w:szCs w:val="20"/>
              </w:rPr>
            </w:pPr>
            <w:r w:rsidRPr="0007147B">
              <w:rPr>
                <w:rFonts w:ascii="Arial" w:hAnsi="Arial" w:cs="Arial"/>
                <w:color w:val="auto"/>
                <w:sz w:val="20"/>
                <w:szCs w:val="20"/>
              </w:rPr>
              <w:t>Pfizer is surprised at the PBAC’s most recent view that there is a low clinical need for therapies to treat mild to moderate atopic dermatitis in patients who have failed to achieve satisfactory disease control with, are contraindicated to, or are intolerant to TCS. Such a view is not consistent with advice Pfizer received from clinicians and patients. There is currently no PBS-subsidised treatment available for this population, other than for patients whose face is affected. Pfizer disagrees that TCS are the appropriate comparator for a population whose clinical need is for an alternative to TCS. Pfizer believe</w:t>
            </w:r>
            <w:r w:rsidR="0011534C">
              <w:rPr>
                <w:rFonts w:ascii="Arial" w:hAnsi="Arial" w:cs="Arial"/>
                <w:color w:val="auto"/>
                <w:sz w:val="20"/>
                <w:szCs w:val="20"/>
              </w:rPr>
              <w:t>s that an appropriate risk sharing</w:t>
            </w:r>
            <w:r w:rsidRPr="0007147B">
              <w:rPr>
                <w:rFonts w:ascii="Arial" w:hAnsi="Arial" w:cs="Arial"/>
                <w:color w:val="auto"/>
                <w:sz w:val="20"/>
                <w:szCs w:val="20"/>
              </w:rPr>
              <w:t xml:space="preserve"> arrangement could be implemented, to manage the risk of use in a broader population than intended.</w:t>
            </w:r>
          </w:p>
        </w:tc>
      </w:tr>
      <w:tr w:rsidR="00CC6020" w:rsidRPr="00436296" w14:paraId="5403AEF1" w14:textId="77777777" w:rsidTr="00CC6020">
        <w:trPr>
          <w:trHeight w:val="433"/>
        </w:trPr>
        <w:tc>
          <w:tcPr>
            <w:tcW w:w="735" w:type="pct"/>
            <w:vMerge w:val="restart"/>
          </w:tcPr>
          <w:p w14:paraId="10FBDC0E" w14:textId="000E46FD" w:rsidR="00CC6020" w:rsidRPr="00436296" w:rsidRDefault="00CC6020" w:rsidP="00436296">
            <w:pPr>
              <w:rPr>
                <w:rFonts w:ascii="Arial" w:hAnsi="Arial" w:cs="Arial"/>
                <w:sz w:val="20"/>
              </w:rPr>
            </w:pPr>
            <w:r w:rsidRPr="00436296">
              <w:rPr>
                <w:rFonts w:ascii="Arial" w:hAnsi="Arial" w:cs="Arial"/>
                <w:sz w:val="20"/>
              </w:rPr>
              <w:lastRenderedPageBreak/>
              <w:t>MOGAMULIZUMAB</w:t>
            </w:r>
            <w:r>
              <w:rPr>
                <w:rFonts w:ascii="Arial" w:hAnsi="Arial" w:cs="Arial"/>
                <w:sz w:val="20"/>
              </w:rPr>
              <w:br/>
            </w:r>
            <w:r>
              <w:rPr>
                <w:rFonts w:ascii="Arial" w:hAnsi="Arial" w:cs="Arial"/>
                <w:sz w:val="20"/>
              </w:rPr>
              <w:br/>
            </w:r>
            <w:r w:rsidRPr="00436296">
              <w:rPr>
                <w:rFonts w:ascii="Arial" w:hAnsi="Arial" w:cs="Arial"/>
                <w:sz w:val="20"/>
              </w:rPr>
              <w:t>Solution concentrate for I.V. infusion 20 mg in 5 mL</w:t>
            </w:r>
            <w:r>
              <w:rPr>
                <w:rFonts w:ascii="Arial" w:hAnsi="Arial" w:cs="Arial"/>
                <w:sz w:val="20"/>
              </w:rPr>
              <w:br/>
            </w:r>
            <w:r>
              <w:rPr>
                <w:rFonts w:ascii="Arial" w:hAnsi="Arial" w:cs="Arial"/>
                <w:sz w:val="20"/>
              </w:rPr>
              <w:br/>
            </w:r>
            <w:proofErr w:type="spellStart"/>
            <w:r w:rsidRPr="00436296">
              <w:rPr>
                <w:rFonts w:ascii="Arial" w:hAnsi="Arial" w:cs="Arial"/>
                <w:sz w:val="20"/>
              </w:rPr>
              <w:t>Poteligeo</w:t>
            </w:r>
            <w:proofErr w:type="spellEnd"/>
            <w:r w:rsidRPr="00436296">
              <w:rPr>
                <w:rFonts w:ascii="Arial" w:hAnsi="Arial" w:cs="Arial"/>
                <w:sz w:val="20"/>
              </w:rPr>
              <w:t>®</w:t>
            </w:r>
            <w:r>
              <w:rPr>
                <w:rFonts w:ascii="Arial" w:hAnsi="Arial" w:cs="Arial"/>
                <w:sz w:val="20"/>
              </w:rPr>
              <w:br/>
            </w:r>
            <w:r>
              <w:rPr>
                <w:rFonts w:ascii="Arial" w:hAnsi="Arial" w:cs="Arial"/>
                <w:sz w:val="20"/>
              </w:rPr>
              <w:br/>
            </w:r>
            <w:r w:rsidRPr="00436296">
              <w:rPr>
                <w:rFonts w:ascii="Arial" w:hAnsi="Arial" w:cs="Arial"/>
                <w:sz w:val="20"/>
              </w:rPr>
              <w:t>Kyowa Kirin Australia Pty Ltd</w:t>
            </w:r>
            <w:r>
              <w:rPr>
                <w:rFonts w:ascii="Arial" w:hAnsi="Arial" w:cs="Arial"/>
                <w:sz w:val="20"/>
              </w:rPr>
              <w:br/>
            </w:r>
            <w:r>
              <w:rPr>
                <w:rFonts w:ascii="Arial" w:hAnsi="Arial" w:cs="Arial"/>
                <w:sz w:val="20"/>
              </w:rPr>
              <w:br/>
            </w:r>
            <w:r w:rsidRPr="00436296">
              <w:rPr>
                <w:rFonts w:ascii="Arial" w:hAnsi="Arial" w:cs="Arial"/>
                <w:sz w:val="20"/>
              </w:rPr>
              <w:t xml:space="preserve">New listing </w:t>
            </w:r>
            <w:r>
              <w:rPr>
                <w:rFonts w:ascii="Arial" w:hAnsi="Arial" w:cs="Arial"/>
                <w:sz w:val="20"/>
              </w:rPr>
              <w:br/>
            </w:r>
            <w:r w:rsidRPr="00436296">
              <w:rPr>
                <w:rFonts w:ascii="Arial" w:hAnsi="Arial" w:cs="Arial"/>
                <w:sz w:val="20"/>
              </w:rPr>
              <w:t>(Minor Submission)</w:t>
            </w:r>
          </w:p>
        </w:tc>
        <w:tc>
          <w:tcPr>
            <w:tcW w:w="676" w:type="pct"/>
            <w:vMerge w:val="restart"/>
          </w:tcPr>
          <w:p w14:paraId="2935B198" w14:textId="55274F2B" w:rsidR="00CC6020" w:rsidRPr="00436296" w:rsidRDefault="00CC6020" w:rsidP="00436296">
            <w:pPr>
              <w:rPr>
                <w:rFonts w:ascii="Arial" w:hAnsi="Arial" w:cs="Arial"/>
                <w:sz w:val="20"/>
              </w:rPr>
            </w:pPr>
            <w:r w:rsidRPr="00542824">
              <w:rPr>
                <w:rFonts w:ascii="Arial" w:hAnsi="Arial" w:cs="Arial"/>
                <w:sz w:val="20"/>
              </w:rPr>
              <w:t xml:space="preserve">The proposed TGA indication is the treatment of adult patients with </w:t>
            </w:r>
            <w:r w:rsidR="003D67E6" w:rsidRPr="003D67E6">
              <w:rPr>
                <w:rFonts w:ascii="Arial" w:hAnsi="Arial" w:cs="Arial"/>
                <w:sz w:val="20"/>
              </w:rPr>
              <w:t xml:space="preserve">mycosis </w:t>
            </w:r>
            <w:proofErr w:type="spellStart"/>
            <w:r w:rsidR="003D67E6" w:rsidRPr="003D67E6">
              <w:rPr>
                <w:rFonts w:ascii="Arial" w:hAnsi="Arial" w:cs="Arial"/>
                <w:sz w:val="20"/>
              </w:rPr>
              <w:t>fungoides</w:t>
            </w:r>
            <w:proofErr w:type="spellEnd"/>
            <w:r w:rsidR="003D67E6" w:rsidRPr="003D67E6">
              <w:rPr>
                <w:rFonts w:ascii="Arial" w:hAnsi="Arial" w:cs="Arial"/>
                <w:sz w:val="20"/>
              </w:rPr>
              <w:t xml:space="preserve"> (</w:t>
            </w:r>
            <w:r w:rsidRPr="00244D4D">
              <w:rPr>
                <w:rFonts w:ascii="Arial" w:hAnsi="Arial" w:cs="Arial"/>
                <w:sz w:val="20"/>
              </w:rPr>
              <w:t>MF</w:t>
            </w:r>
            <w:r w:rsidR="003D67E6" w:rsidRPr="00244D4D">
              <w:rPr>
                <w:rFonts w:ascii="Arial" w:hAnsi="Arial" w:cs="Arial"/>
                <w:sz w:val="20"/>
              </w:rPr>
              <w:t>)</w:t>
            </w:r>
            <w:r w:rsidRPr="00244D4D">
              <w:rPr>
                <w:rFonts w:ascii="Arial" w:hAnsi="Arial" w:cs="Arial"/>
                <w:sz w:val="20"/>
              </w:rPr>
              <w:t xml:space="preserve"> or </w:t>
            </w:r>
            <w:proofErr w:type="spellStart"/>
            <w:r w:rsidR="003D67E6" w:rsidRPr="003D67E6">
              <w:rPr>
                <w:rFonts w:ascii="Arial" w:hAnsi="Arial" w:cs="Arial"/>
                <w:sz w:val="20"/>
              </w:rPr>
              <w:t>Sezary</w:t>
            </w:r>
            <w:proofErr w:type="spellEnd"/>
            <w:r w:rsidR="003D67E6" w:rsidRPr="003D67E6">
              <w:rPr>
                <w:rFonts w:ascii="Arial" w:hAnsi="Arial" w:cs="Arial"/>
                <w:sz w:val="20"/>
              </w:rPr>
              <w:t xml:space="preserve"> syndrome (</w:t>
            </w:r>
            <w:r w:rsidRPr="00244D4D">
              <w:rPr>
                <w:rFonts w:ascii="Arial" w:hAnsi="Arial" w:cs="Arial"/>
                <w:sz w:val="20"/>
              </w:rPr>
              <w:t>SS</w:t>
            </w:r>
            <w:r w:rsidR="003D67E6" w:rsidRPr="003D67E6">
              <w:rPr>
                <w:rFonts w:ascii="Arial" w:hAnsi="Arial" w:cs="Arial"/>
                <w:sz w:val="20"/>
              </w:rPr>
              <w:t>)</w:t>
            </w:r>
            <w:r w:rsidRPr="00542824">
              <w:rPr>
                <w:rFonts w:ascii="Arial" w:hAnsi="Arial" w:cs="Arial"/>
                <w:sz w:val="20"/>
              </w:rPr>
              <w:t xml:space="preserve"> who have received at least one prior systemic therapy.</w:t>
            </w:r>
          </w:p>
        </w:tc>
        <w:tc>
          <w:tcPr>
            <w:tcW w:w="677" w:type="pct"/>
            <w:vMerge w:val="restart"/>
          </w:tcPr>
          <w:p w14:paraId="0BEAEA04" w14:textId="4F593F02" w:rsidR="00CC6020" w:rsidRPr="00436296" w:rsidRDefault="00CC6020" w:rsidP="00436296">
            <w:pPr>
              <w:rPr>
                <w:rFonts w:ascii="Arial" w:hAnsi="Arial" w:cs="Arial"/>
                <w:sz w:val="20"/>
              </w:rPr>
            </w:pPr>
            <w:proofErr w:type="spellStart"/>
            <w:r w:rsidRPr="00542824">
              <w:rPr>
                <w:rFonts w:ascii="Arial" w:hAnsi="Arial" w:cs="Arial"/>
                <w:sz w:val="20"/>
              </w:rPr>
              <w:t>Mogamulizumab</w:t>
            </w:r>
            <w:proofErr w:type="spellEnd"/>
            <w:r w:rsidRPr="00542824">
              <w:rPr>
                <w:rFonts w:ascii="Arial" w:hAnsi="Arial" w:cs="Arial"/>
                <w:sz w:val="20"/>
              </w:rPr>
              <w:t xml:space="preserve"> is not currently PBS listed.</w:t>
            </w:r>
          </w:p>
        </w:tc>
        <w:tc>
          <w:tcPr>
            <w:tcW w:w="1145" w:type="pct"/>
          </w:tcPr>
          <w:p w14:paraId="4E204E1B" w14:textId="13690A37" w:rsidR="00CC6020" w:rsidRPr="00436296" w:rsidRDefault="00E926C8" w:rsidP="0094710C">
            <w:pPr>
              <w:snapToGrid w:val="0"/>
              <w:rPr>
                <w:rFonts w:ascii="Arial" w:hAnsi="Arial" w:cs="Arial"/>
                <w:sz w:val="20"/>
              </w:rPr>
            </w:pPr>
            <w:r w:rsidRPr="00244D4D">
              <w:rPr>
                <w:rFonts w:ascii="Arial" w:hAnsi="Arial" w:cs="Arial"/>
                <w:sz w:val="20"/>
              </w:rPr>
              <w:t>R</w:t>
            </w:r>
            <w:r w:rsidR="00CC6020" w:rsidRPr="00244D4D">
              <w:rPr>
                <w:rFonts w:ascii="Arial" w:hAnsi="Arial" w:cs="Arial"/>
                <w:sz w:val="20"/>
              </w:rPr>
              <w:t>esubmission</w:t>
            </w:r>
            <w:r w:rsidR="00CC6020" w:rsidRPr="00E926C8">
              <w:rPr>
                <w:rFonts w:ascii="Arial" w:hAnsi="Arial" w:cs="Arial"/>
                <w:sz w:val="20"/>
              </w:rPr>
              <w:t xml:space="preserve"> to</w:t>
            </w:r>
            <w:r w:rsidR="00CC6020" w:rsidRPr="00436296">
              <w:rPr>
                <w:rFonts w:ascii="Arial" w:hAnsi="Arial" w:cs="Arial"/>
                <w:sz w:val="20"/>
              </w:rPr>
              <w:t xml:space="preserve"> request a Section 100 (Efficient Funding of Chemotherapy) Authority Required (Written) listing for patients with relapsed or refractory </w:t>
            </w:r>
            <w:r>
              <w:rPr>
                <w:rFonts w:ascii="Arial" w:hAnsi="Arial" w:cs="Arial"/>
                <w:sz w:val="20"/>
              </w:rPr>
              <w:t>cutaneous T-c</w:t>
            </w:r>
            <w:r w:rsidRPr="00E926C8">
              <w:rPr>
                <w:rFonts w:ascii="Arial" w:hAnsi="Arial" w:cs="Arial"/>
                <w:sz w:val="20"/>
              </w:rPr>
              <w:t xml:space="preserve">ell </w:t>
            </w:r>
            <w:r>
              <w:rPr>
                <w:rFonts w:ascii="Arial" w:hAnsi="Arial" w:cs="Arial"/>
                <w:sz w:val="20"/>
              </w:rPr>
              <w:t>l</w:t>
            </w:r>
            <w:r w:rsidRPr="00E926C8">
              <w:rPr>
                <w:rFonts w:ascii="Arial" w:hAnsi="Arial" w:cs="Arial"/>
                <w:sz w:val="20"/>
              </w:rPr>
              <w:t xml:space="preserve">ymphoma </w:t>
            </w:r>
            <w:r>
              <w:rPr>
                <w:rFonts w:ascii="Arial" w:hAnsi="Arial" w:cs="Arial"/>
                <w:sz w:val="20"/>
              </w:rPr>
              <w:t>(</w:t>
            </w:r>
            <w:r w:rsidR="00CC6020" w:rsidRPr="00436296">
              <w:rPr>
                <w:rFonts w:ascii="Arial" w:hAnsi="Arial" w:cs="Arial"/>
                <w:sz w:val="20"/>
              </w:rPr>
              <w:t>CTCL</w:t>
            </w:r>
            <w:r>
              <w:rPr>
                <w:rFonts w:ascii="Arial" w:hAnsi="Arial" w:cs="Arial"/>
                <w:sz w:val="20"/>
              </w:rPr>
              <w:t>)</w:t>
            </w:r>
            <w:r w:rsidR="00CC6020" w:rsidRPr="00436296">
              <w:rPr>
                <w:rFonts w:ascii="Arial" w:hAnsi="Arial" w:cs="Arial"/>
                <w:sz w:val="20"/>
              </w:rPr>
              <w:t xml:space="preserve"> who have previously been treated with at least one prior systemic therapy.</w:t>
            </w:r>
          </w:p>
        </w:tc>
        <w:tc>
          <w:tcPr>
            <w:tcW w:w="1767" w:type="pct"/>
          </w:tcPr>
          <w:p w14:paraId="4861338E" w14:textId="18FAFB30" w:rsidR="00CC6020" w:rsidRPr="00436296" w:rsidRDefault="00CC6020" w:rsidP="003E62ED">
            <w:pPr>
              <w:spacing w:after="120"/>
              <w:rPr>
                <w:rFonts w:ascii="Arial" w:hAnsi="Arial" w:cs="Arial"/>
                <w:iCs/>
                <w:sz w:val="20"/>
                <w:highlight w:val="yellow"/>
              </w:rPr>
            </w:pPr>
            <w:r w:rsidRPr="00542824">
              <w:rPr>
                <w:rFonts w:ascii="Arial" w:hAnsi="Arial" w:cs="Arial"/>
                <w:iCs/>
                <w:sz w:val="20"/>
              </w:rPr>
              <w:t xml:space="preserve">The PBAC did not recommend the listing of </w:t>
            </w:r>
            <w:proofErr w:type="spellStart"/>
            <w:r w:rsidRPr="00542824">
              <w:rPr>
                <w:rFonts w:ascii="Arial" w:hAnsi="Arial" w:cs="Arial"/>
                <w:iCs/>
                <w:sz w:val="20"/>
              </w:rPr>
              <w:t>mogamulizumab</w:t>
            </w:r>
            <w:proofErr w:type="spellEnd"/>
            <w:r w:rsidRPr="00542824">
              <w:rPr>
                <w:rFonts w:ascii="Arial" w:hAnsi="Arial" w:cs="Arial"/>
                <w:iCs/>
                <w:sz w:val="20"/>
              </w:rPr>
              <w:t xml:space="preserve"> for the treatment of patients with relapsed or refractory CTCL. The PBAC considered the outcome on which the economic analysis was based, overall response, was variable across trials and had an unclear impact on final patient outcomes. In addition, the PBAC considered that </w:t>
            </w:r>
            <w:proofErr w:type="spellStart"/>
            <w:r w:rsidRPr="00542824">
              <w:rPr>
                <w:rFonts w:ascii="Arial" w:hAnsi="Arial" w:cs="Arial"/>
                <w:iCs/>
                <w:sz w:val="20"/>
              </w:rPr>
              <w:t>mogamulizumab</w:t>
            </w:r>
            <w:proofErr w:type="spellEnd"/>
            <w:r w:rsidRPr="00542824">
              <w:rPr>
                <w:rFonts w:ascii="Arial" w:hAnsi="Arial" w:cs="Arial"/>
                <w:iCs/>
                <w:sz w:val="20"/>
              </w:rPr>
              <w:t xml:space="preserve"> was not cost-effective at the price proposed in the submission on the basis that the incremental cost per responder (ORR) was unacceptably high and uncertain.</w:t>
            </w:r>
          </w:p>
        </w:tc>
      </w:tr>
      <w:tr w:rsidR="00CC6020" w:rsidRPr="00436296" w14:paraId="26A9D932" w14:textId="77777777" w:rsidTr="00CC6020">
        <w:trPr>
          <w:trHeight w:val="433"/>
        </w:trPr>
        <w:tc>
          <w:tcPr>
            <w:tcW w:w="735" w:type="pct"/>
            <w:vMerge/>
          </w:tcPr>
          <w:p w14:paraId="5253C184" w14:textId="77777777" w:rsidR="00CC6020" w:rsidRPr="00436296" w:rsidRDefault="00CC6020" w:rsidP="00436296">
            <w:pPr>
              <w:rPr>
                <w:rFonts w:ascii="Arial" w:hAnsi="Arial" w:cs="Arial"/>
                <w:sz w:val="20"/>
              </w:rPr>
            </w:pPr>
          </w:p>
        </w:tc>
        <w:tc>
          <w:tcPr>
            <w:tcW w:w="676" w:type="pct"/>
            <w:vMerge/>
          </w:tcPr>
          <w:p w14:paraId="7233B700" w14:textId="77777777" w:rsidR="00CC6020" w:rsidRPr="00436296" w:rsidRDefault="00CC6020" w:rsidP="00436296">
            <w:pPr>
              <w:rPr>
                <w:rFonts w:ascii="Arial" w:hAnsi="Arial" w:cs="Arial"/>
                <w:sz w:val="20"/>
              </w:rPr>
            </w:pPr>
          </w:p>
        </w:tc>
        <w:tc>
          <w:tcPr>
            <w:tcW w:w="677" w:type="pct"/>
            <w:vMerge/>
          </w:tcPr>
          <w:p w14:paraId="450067DF" w14:textId="77777777" w:rsidR="00CC6020" w:rsidRPr="00436296" w:rsidRDefault="00CC6020" w:rsidP="00436296">
            <w:pPr>
              <w:rPr>
                <w:rFonts w:ascii="Arial" w:hAnsi="Arial" w:cs="Arial"/>
                <w:sz w:val="20"/>
              </w:rPr>
            </w:pPr>
          </w:p>
        </w:tc>
        <w:tc>
          <w:tcPr>
            <w:tcW w:w="1145" w:type="pct"/>
          </w:tcPr>
          <w:p w14:paraId="3B9DAD01" w14:textId="3FB9A2BE" w:rsidR="00CC6020" w:rsidRPr="00436296" w:rsidRDefault="00CC6020" w:rsidP="00436296">
            <w:pPr>
              <w:snapToGrid w:val="0"/>
              <w:rPr>
                <w:rFonts w:ascii="Arial" w:hAnsi="Arial" w:cs="Arial"/>
                <w:sz w:val="20"/>
              </w:rPr>
            </w:pPr>
            <w:r w:rsidRPr="00436296">
              <w:rPr>
                <w:rFonts w:ascii="Arial" w:hAnsi="Arial" w:cs="Arial"/>
                <w:sz w:val="20"/>
              </w:rPr>
              <w:t>Comparator:</w:t>
            </w:r>
            <w:r w:rsidR="003D67E6">
              <w:rPr>
                <w:rFonts w:ascii="Arial" w:hAnsi="Arial" w:cs="Arial"/>
                <w:sz w:val="20"/>
              </w:rPr>
              <w:t xml:space="preserve"> </w:t>
            </w:r>
            <w:proofErr w:type="spellStart"/>
            <w:r>
              <w:rPr>
                <w:rFonts w:ascii="Arial" w:hAnsi="Arial" w:cs="Arial"/>
                <w:sz w:val="20"/>
              </w:rPr>
              <w:t>Vorinostat</w:t>
            </w:r>
            <w:proofErr w:type="spellEnd"/>
            <w:r>
              <w:rPr>
                <w:rFonts w:ascii="Arial" w:hAnsi="Arial" w:cs="Arial"/>
                <w:sz w:val="20"/>
              </w:rPr>
              <w:t xml:space="preserve"> as the main comparator and </w:t>
            </w:r>
            <w:proofErr w:type="spellStart"/>
            <w:r>
              <w:rPr>
                <w:rFonts w:ascii="Arial" w:hAnsi="Arial" w:cs="Arial"/>
                <w:sz w:val="20"/>
              </w:rPr>
              <w:t>brentuximab</w:t>
            </w:r>
            <w:proofErr w:type="spellEnd"/>
            <w:r>
              <w:rPr>
                <w:rFonts w:ascii="Arial" w:hAnsi="Arial" w:cs="Arial"/>
                <w:sz w:val="20"/>
              </w:rPr>
              <w:t xml:space="preserve"> </w:t>
            </w:r>
            <w:proofErr w:type="spellStart"/>
            <w:r>
              <w:rPr>
                <w:rFonts w:ascii="Arial" w:hAnsi="Arial" w:cs="Arial"/>
                <w:sz w:val="20"/>
              </w:rPr>
              <w:t>vedotin</w:t>
            </w:r>
            <w:proofErr w:type="spellEnd"/>
            <w:r>
              <w:rPr>
                <w:rFonts w:ascii="Arial" w:hAnsi="Arial" w:cs="Arial"/>
                <w:sz w:val="20"/>
              </w:rPr>
              <w:t xml:space="preserve"> as the secondary comparator</w:t>
            </w:r>
          </w:p>
        </w:tc>
        <w:tc>
          <w:tcPr>
            <w:tcW w:w="1767" w:type="pct"/>
          </w:tcPr>
          <w:p w14:paraId="2B02D4C8" w14:textId="1EE2BC12" w:rsidR="00CC6020" w:rsidRPr="00436296" w:rsidRDefault="00CC6020" w:rsidP="003E62ED">
            <w:pPr>
              <w:spacing w:after="120"/>
              <w:rPr>
                <w:rFonts w:ascii="Arial" w:hAnsi="Arial" w:cs="Arial"/>
                <w:iCs/>
                <w:sz w:val="20"/>
                <w:highlight w:val="yellow"/>
              </w:rPr>
            </w:pPr>
            <w:r>
              <w:rPr>
                <w:rFonts w:ascii="Arial" w:hAnsi="Arial" w:cs="Arial"/>
                <w:sz w:val="20"/>
              </w:rPr>
              <w:t xml:space="preserve">The PBAC accepted the nomination of </w:t>
            </w:r>
            <w:proofErr w:type="spellStart"/>
            <w:r>
              <w:rPr>
                <w:rFonts w:ascii="Arial" w:hAnsi="Arial" w:cs="Arial"/>
                <w:sz w:val="20"/>
              </w:rPr>
              <w:t>vorinostat</w:t>
            </w:r>
            <w:proofErr w:type="spellEnd"/>
            <w:r>
              <w:rPr>
                <w:rFonts w:ascii="Arial" w:hAnsi="Arial" w:cs="Arial"/>
                <w:sz w:val="20"/>
              </w:rPr>
              <w:t xml:space="preserve"> as the main comparator and </w:t>
            </w:r>
            <w:proofErr w:type="spellStart"/>
            <w:r>
              <w:rPr>
                <w:rFonts w:ascii="Arial" w:hAnsi="Arial" w:cs="Arial"/>
                <w:sz w:val="20"/>
              </w:rPr>
              <w:t>brentuximab</w:t>
            </w:r>
            <w:proofErr w:type="spellEnd"/>
            <w:r>
              <w:rPr>
                <w:rFonts w:ascii="Arial" w:hAnsi="Arial" w:cs="Arial"/>
                <w:sz w:val="20"/>
              </w:rPr>
              <w:t xml:space="preserve"> </w:t>
            </w:r>
            <w:proofErr w:type="spellStart"/>
            <w:r>
              <w:rPr>
                <w:rFonts w:ascii="Arial" w:hAnsi="Arial" w:cs="Arial"/>
                <w:sz w:val="20"/>
              </w:rPr>
              <w:t>vedotin</w:t>
            </w:r>
            <w:proofErr w:type="spellEnd"/>
            <w:r>
              <w:rPr>
                <w:rFonts w:ascii="Arial" w:hAnsi="Arial" w:cs="Arial"/>
                <w:sz w:val="20"/>
              </w:rPr>
              <w:t xml:space="preserve"> as the secondary comparator.</w:t>
            </w:r>
          </w:p>
        </w:tc>
      </w:tr>
      <w:tr w:rsidR="00CC6020" w:rsidRPr="00436296" w14:paraId="45DC3C3A" w14:textId="77777777" w:rsidTr="00CC6020">
        <w:trPr>
          <w:trHeight w:val="433"/>
        </w:trPr>
        <w:tc>
          <w:tcPr>
            <w:tcW w:w="735" w:type="pct"/>
            <w:vMerge/>
          </w:tcPr>
          <w:p w14:paraId="134EE869" w14:textId="77777777" w:rsidR="00CC6020" w:rsidRPr="00436296" w:rsidRDefault="00CC6020" w:rsidP="00436296">
            <w:pPr>
              <w:rPr>
                <w:rFonts w:ascii="Arial" w:hAnsi="Arial" w:cs="Arial"/>
                <w:sz w:val="20"/>
              </w:rPr>
            </w:pPr>
          </w:p>
        </w:tc>
        <w:tc>
          <w:tcPr>
            <w:tcW w:w="676" w:type="pct"/>
            <w:vMerge/>
          </w:tcPr>
          <w:p w14:paraId="5536AEA1" w14:textId="77777777" w:rsidR="00CC6020" w:rsidRPr="00436296" w:rsidRDefault="00CC6020" w:rsidP="00436296">
            <w:pPr>
              <w:rPr>
                <w:rFonts w:ascii="Arial" w:hAnsi="Arial" w:cs="Arial"/>
                <w:sz w:val="20"/>
              </w:rPr>
            </w:pPr>
          </w:p>
        </w:tc>
        <w:tc>
          <w:tcPr>
            <w:tcW w:w="677" w:type="pct"/>
            <w:vMerge/>
          </w:tcPr>
          <w:p w14:paraId="2DD62FF4" w14:textId="77777777" w:rsidR="00CC6020" w:rsidRPr="00436296" w:rsidRDefault="00CC6020" w:rsidP="00436296">
            <w:pPr>
              <w:rPr>
                <w:rFonts w:ascii="Arial" w:hAnsi="Arial" w:cs="Arial"/>
                <w:sz w:val="20"/>
              </w:rPr>
            </w:pPr>
          </w:p>
        </w:tc>
        <w:tc>
          <w:tcPr>
            <w:tcW w:w="1145" w:type="pct"/>
          </w:tcPr>
          <w:p w14:paraId="26667DE8" w14:textId="4FA526CB" w:rsidR="00CC6020" w:rsidRDefault="00CC6020" w:rsidP="0037530B">
            <w:pPr>
              <w:rPr>
                <w:rFonts w:ascii="Arial" w:hAnsi="Arial" w:cs="Arial"/>
                <w:sz w:val="20"/>
              </w:rPr>
            </w:pPr>
            <w:r w:rsidRPr="00436296">
              <w:rPr>
                <w:rFonts w:ascii="Arial" w:hAnsi="Arial" w:cs="Arial"/>
                <w:sz w:val="20"/>
              </w:rPr>
              <w:t>Clinical claim:</w:t>
            </w:r>
            <w:r w:rsidR="005D547D">
              <w:rPr>
                <w:rFonts w:ascii="Arial" w:hAnsi="Arial" w:cs="Arial"/>
                <w:sz w:val="20"/>
              </w:rPr>
              <w:t xml:space="preserve"> </w:t>
            </w:r>
            <w:r>
              <w:rPr>
                <w:rFonts w:ascii="Arial" w:hAnsi="Arial" w:cs="Arial"/>
                <w:sz w:val="20"/>
              </w:rPr>
              <w:t xml:space="preserve">Superior effectiveness with non-inferior safety to the main comparator </w:t>
            </w:r>
            <w:proofErr w:type="spellStart"/>
            <w:r>
              <w:rPr>
                <w:rFonts w:ascii="Arial" w:hAnsi="Arial" w:cs="Arial"/>
                <w:sz w:val="20"/>
              </w:rPr>
              <w:t>vorinostat</w:t>
            </w:r>
            <w:proofErr w:type="spellEnd"/>
            <w:r>
              <w:rPr>
                <w:rFonts w:ascii="Arial" w:hAnsi="Arial" w:cs="Arial"/>
                <w:sz w:val="20"/>
              </w:rPr>
              <w:t>.</w:t>
            </w:r>
          </w:p>
          <w:p w14:paraId="44F8E567" w14:textId="77777777" w:rsidR="00CC6020" w:rsidRDefault="00CC6020" w:rsidP="0037530B">
            <w:pPr>
              <w:rPr>
                <w:rFonts w:ascii="Arial" w:hAnsi="Arial" w:cs="Arial"/>
                <w:sz w:val="20"/>
              </w:rPr>
            </w:pPr>
          </w:p>
          <w:p w14:paraId="0CFA78D6" w14:textId="1B857C22" w:rsidR="00CC6020" w:rsidRPr="00436296" w:rsidRDefault="00CC6020" w:rsidP="00436296">
            <w:pPr>
              <w:snapToGrid w:val="0"/>
              <w:rPr>
                <w:rFonts w:ascii="Arial" w:hAnsi="Arial" w:cs="Arial"/>
                <w:sz w:val="20"/>
              </w:rPr>
            </w:pPr>
            <w:r>
              <w:rPr>
                <w:rFonts w:ascii="Arial" w:hAnsi="Arial" w:cs="Arial"/>
                <w:sz w:val="20"/>
              </w:rPr>
              <w:t xml:space="preserve">No formal claim made for </w:t>
            </w:r>
            <w:proofErr w:type="spellStart"/>
            <w:r>
              <w:rPr>
                <w:rFonts w:ascii="Arial" w:hAnsi="Arial" w:cs="Arial"/>
                <w:sz w:val="20"/>
              </w:rPr>
              <w:t>brentuximab</w:t>
            </w:r>
            <w:proofErr w:type="spellEnd"/>
            <w:r>
              <w:rPr>
                <w:rFonts w:ascii="Arial" w:hAnsi="Arial" w:cs="Arial"/>
                <w:sz w:val="20"/>
              </w:rPr>
              <w:t xml:space="preserve"> </w:t>
            </w:r>
            <w:proofErr w:type="spellStart"/>
            <w:r>
              <w:rPr>
                <w:rFonts w:ascii="Arial" w:hAnsi="Arial" w:cs="Arial"/>
                <w:sz w:val="20"/>
              </w:rPr>
              <w:t>vedotin</w:t>
            </w:r>
            <w:proofErr w:type="spellEnd"/>
            <w:r>
              <w:rPr>
                <w:rFonts w:ascii="Arial" w:hAnsi="Arial" w:cs="Arial"/>
                <w:sz w:val="20"/>
              </w:rPr>
              <w:t>.</w:t>
            </w:r>
          </w:p>
        </w:tc>
        <w:tc>
          <w:tcPr>
            <w:tcW w:w="1767" w:type="pct"/>
          </w:tcPr>
          <w:p w14:paraId="7FFA715F" w14:textId="6AF7E46A" w:rsidR="00CC6020" w:rsidRPr="00436296" w:rsidRDefault="00CC6020" w:rsidP="003E62ED">
            <w:pPr>
              <w:spacing w:after="120"/>
              <w:rPr>
                <w:rFonts w:ascii="Arial" w:hAnsi="Arial" w:cs="Arial"/>
                <w:iCs/>
                <w:sz w:val="20"/>
                <w:highlight w:val="yellow"/>
              </w:rPr>
            </w:pPr>
            <w:r w:rsidRPr="0037530B">
              <w:rPr>
                <w:rFonts w:ascii="Arial" w:hAnsi="Arial" w:cs="Arial"/>
                <w:iCs/>
                <w:sz w:val="20"/>
              </w:rPr>
              <w:t xml:space="preserve">No additional clinical trial data were presented to inform the clinical claims of the minor submission. As such, the PBAC reaffirmed its July 2020 advice, that while the claim of non-inferior comparative safety was reasonable the Committee did not consider the claim of superior comparative effectiveness to be adequately supported </w:t>
            </w:r>
            <w:r w:rsidRPr="00244D4D">
              <w:rPr>
                <w:rFonts w:ascii="Arial" w:hAnsi="Arial" w:cs="Arial"/>
                <w:iCs/>
                <w:sz w:val="20"/>
              </w:rPr>
              <w:t xml:space="preserve">(paragraphs 7.7 and 7.8, </w:t>
            </w:r>
            <w:proofErr w:type="spellStart"/>
            <w:r w:rsidRPr="00244D4D">
              <w:rPr>
                <w:rFonts w:ascii="Arial" w:hAnsi="Arial" w:cs="Arial"/>
                <w:iCs/>
                <w:sz w:val="20"/>
              </w:rPr>
              <w:t>mogamulizumab</w:t>
            </w:r>
            <w:proofErr w:type="spellEnd"/>
            <w:r w:rsidRPr="00244D4D">
              <w:rPr>
                <w:rFonts w:ascii="Arial" w:hAnsi="Arial" w:cs="Arial"/>
                <w:iCs/>
                <w:sz w:val="20"/>
              </w:rPr>
              <w:t xml:space="preserve"> PBAC Minutes, July 2020 PBAC Meeting).</w:t>
            </w:r>
          </w:p>
        </w:tc>
      </w:tr>
      <w:tr w:rsidR="00CC6020" w:rsidRPr="00436296" w14:paraId="4AE52B7E" w14:textId="77777777" w:rsidTr="00CC6020">
        <w:trPr>
          <w:trHeight w:val="433"/>
        </w:trPr>
        <w:tc>
          <w:tcPr>
            <w:tcW w:w="735" w:type="pct"/>
            <w:vMerge/>
          </w:tcPr>
          <w:p w14:paraId="5CFBBFD7" w14:textId="77777777" w:rsidR="00CC6020" w:rsidRPr="00436296" w:rsidRDefault="00CC6020" w:rsidP="00436296">
            <w:pPr>
              <w:rPr>
                <w:rFonts w:ascii="Arial" w:hAnsi="Arial" w:cs="Arial"/>
                <w:sz w:val="20"/>
              </w:rPr>
            </w:pPr>
          </w:p>
        </w:tc>
        <w:tc>
          <w:tcPr>
            <w:tcW w:w="676" w:type="pct"/>
            <w:vMerge/>
          </w:tcPr>
          <w:p w14:paraId="40FB8B20" w14:textId="77777777" w:rsidR="00CC6020" w:rsidRPr="00436296" w:rsidRDefault="00CC6020" w:rsidP="00436296">
            <w:pPr>
              <w:rPr>
                <w:rFonts w:ascii="Arial" w:hAnsi="Arial" w:cs="Arial"/>
                <w:sz w:val="20"/>
              </w:rPr>
            </w:pPr>
          </w:p>
        </w:tc>
        <w:tc>
          <w:tcPr>
            <w:tcW w:w="677" w:type="pct"/>
            <w:vMerge/>
          </w:tcPr>
          <w:p w14:paraId="0D15134F" w14:textId="77777777" w:rsidR="00CC6020" w:rsidRPr="00436296" w:rsidRDefault="00CC6020" w:rsidP="00436296">
            <w:pPr>
              <w:rPr>
                <w:rFonts w:ascii="Arial" w:hAnsi="Arial" w:cs="Arial"/>
                <w:sz w:val="20"/>
              </w:rPr>
            </w:pPr>
          </w:p>
        </w:tc>
        <w:tc>
          <w:tcPr>
            <w:tcW w:w="1145" w:type="pct"/>
          </w:tcPr>
          <w:p w14:paraId="7C927884" w14:textId="0DCE1670" w:rsidR="00CC6020" w:rsidRPr="00436296" w:rsidRDefault="00CC6020" w:rsidP="00436296">
            <w:pPr>
              <w:snapToGrid w:val="0"/>
              <w:rPr>
                <w:rFonts w:ascii="Arial" w:hAnsi="Arial" w:cs="Arial"/>
                <w:sz w:val="20"/>
              </w:rPr>
            </w:pPr>
            <w:r>
              <w:rPr>
                <w:rFonts w:ascii="Arial" w:hAnsi="Arial" w:cs="Arial"/>
                <w:sz w:val="20"/>
              </w:rPr>
              <w:t>Economic claim</w:t>
            </w:r>
            <w:r w:rsidR="002203BC">
              <w:rPr>
                <w:rFonts w:ascii="Arial" w:hAnsi="Arial" w:cs="Arial"/>
                <w:sz w:val="20"/>
              </w:rPr>
              <w:t xml:space="preserve">: </w:t>
            </w:r>
            <w:r>
              <w:rPr>
                <w:rFonts w:ascii="Arial" w:hAnsi="Arial" w:cs="Arial"/>
                <w:snapToGrid w:val="0"/>
                <w:sz w:val="20"/>
              </w:rPr>
              <w:t xml:space="preserve">Cost per responder (ORR) versus </w:t>
            </w:r>
            <w:proofErr w:type="spellStart"/>
            <w:r>
              <w:rPr>
                <w:rFonts w:ascii="Arial" w:hAnsi="Arial" w:cs="Arial"/>
                <w:snapToGrid w:val="0"/>
                <w:sz w:val="20"/>
              </w:rPr>
              <w:t>vorinostat</w:t>
            </w:r>
            <w:proofErr w:type="spellEnd"/>
          </w:p>
        </w:tc>
        <w:tc>
          <w:tcPr>
            <w:tcW w:w="1767" w:type="pct"/>
          </w:tcPr>
          <w:p w14:paraId="1A265059" w14:textId="6038503F" w:rsidR="00CC6020" w:rsidRPr="00436296" w:rsidRDefault="00CC6020" w:rsidP="003E62ED">
            <w:pPr>
              <w:spacing w:after="120"/>
              <w:rPr>
                <w:rFonts w:ascii="Arial" w:hAnsi="Arial" w:cs="Arial"/>
                <w:iCs/>
                <w:sz w:val="20"/>
                <w:highlight w:val="yellow"/>
              </w:rPr>
            </w:pPr>
            <w:r w:rsidRPr="00CC6020">
              <w:rPr>
                <w:rFonts w:ascii="Arial" w:hAnsi="Arial" w:cs="Arial"/>
                <w:iCs/>
                <w:sz w:val="20"/>
              </w:rPr>
              <w:t xml:space="preserve">The PBAC considered that the ICER presented was unacceptably high based on previous PBAC decisions, even in the context of difficult to treat and relatively rare diseases. The PBAC considered that a considerable price reduction would be required in any future resubmission in order to show that </w:t>
            </w:r>
            <w:proofErr w:type="spellStart"/>
            <w:r w:rsidRPr="00CC6020">
              <w:rPr>
                <w:rFonts w:ascii="Arial" w:hAnsi="Arial" w:cs="Arial"/>
                <w:iCs/>
                <w:sz w:val="20"/>
              </w:rPr>
              <w:t>mogamulizumab</w:t>
            </w:r>
            <w:proofErr w:type="spellEnd"/>
            <w:r w:rsidRPr="00CC6020">
              <w:rPr>
                <w:rFonts w:ascii="Arial" w:hAnsi="Arial" w:cs="Arial"/>
                <w:iCs/>
                <w:sz w:val="20"/>
              </w:rPr>
              <w:t xml:space="preserve"> is cost-effective compared with </w:t>
            </w:r>
            <w:proofErr w:type="spellStart"/>
            <w:r w:rsidRPr="00CC6020">
              <w:rPr>
                <w:rFonts w:ascii="Arial" w:hAnsi="Arial" w:cs="Arial"/>
                <w:iCs/>
                <w:sz w:val="20"/>
              </w:rPr>
              <w:t>vorinostat</w:t>
            </w:r>
            <w:proofErr w:type="spellEnd"/>
            <w:r w:rsidRPr="00CC6020">
              <w:rPr>
                <w:rFonts w:ascii="Arial" w:hAnsi="Arial" w:cs="Arial"/>
                <w:iCs/>
                <w:sz w:val="20"/>
              </w:rPr>
              <w:t>.</w:t>
            </w:r>
          </w:p>
        </w:tc>
      </w:tr>
      <w:tr w:rsidR="00CC6020" w:rsidRPr="00436296" w14:paraId="09F1235D" w14:textId="77777777" w:rsidTr="00CC6020">
        <w:trPr>
          <w:trHeight w:val="433"/>
        </w:trPr>
        <w:tc>
          <w:tcPr>
            <w:tcW w:w="735" w:type="pct"/>
            <w:vMerge/>
          </w:tcPr>
          <w:p w14:paraId="3F3C2D17" w14:textId="77777777" w:rsidR="00CC6020" w:rsidRPr="00436296" w:rsidRDefault="00CC6020" w:rsidP="00436296">
            <w:pPr>
              <w:rPr>
                <w:rFonts w:ascii="Arial" w:hAnsi="Arial" w:cs="Arial"/>
                <w:sz w:val="20"/>
              </w:rPr>
            </w:pPr>
          </w:p>
        </w:tc>
        <w:tc>
          <w:tcPr>
            <w:tcW w:w="676" w:type="pct"/>
            <w:vMerge/>
          </w:tcPr>
          <w:p w14:paraId="029A9E4E" w14:textId="77777777" w:rsidR="00CC6020" w:rsidRPr="00436296" w:rsidRDefault="00CC6020" w:rsidP="00436296">
            <w:pPr>
              <w:rPr>
                <w:rFonts w:ascii="Arial" w:hAnsi="Arial" w:cs="Arial"/>
                <w:sz w:val="20"/>
              </w:rPr>
            </w:pPr>
          </w:p>
        </w:tc>
        <w:tc>
          <w:tcPr>
            <w:tcW w:w="677" w:type="pct"/>
            <w:vMerge/>
          </w:tcPr>
          <w:p w14:paraId="00B7CCBD" w14:textId="77777777" w:rsidR="00CC6020" w:rsidRPr="00436296" w:rsidRDefault="00CC6020" w:rsidP="00436296">
            <w:pPr>
              <w:rPr>
                <w:rFonts w:ascii="Arial" w:hAnsi="Arial" w:cs="Arial"/>
                <w:sz w:val="20"/>
              </w:rPr>
            </w:pPr>
          </w:p>
        </w:tc>
        <w:tc>
          <w:tcPr>
            <w:tcW w:w="1145" w:type="pct"/>
          </w:tcPr>
          <w:p w14:paraId="26361D32" w14:textId="271BF88D" w:rsidR="00CC6020" w:rsidRPr="00436296" w:rsidRDefault="00CC6020" w:rsidP="00436296">
            <w:pPr>
              <w:snapToGrid w:val="0"/>
              <w:jc w:val="right"/>
              <w:rPr>
                <w:rFonts w:ascii="Arial" w:hAnsi="Arial" w:cs="Arial"/>
                <w:sz w:val="20"/>
              </w:rPr>
            </w:pPr>
            <w:r w:rsidRPr="00436296">
              <w:rPr>
                <w:rFonts w:ascii="Arial" w:hAnsi="Arial" w:cs="Arial"/>
                <w:sz w:val="20"/>
              </w:rPr>
              <w:t>Sponsor’s comment:</w:t>
            </w:r>
          </w:p>
        </w:tc>
        <w:tc>
          <w:tcPr>
            <w:tcW w:w="1767" w:type="pct"/>
          </w:tcPr>
          <w:p w14:paraId="050AC9EC" w14:textId="730A024B" w:rsidR="00CC6020" w:rsidRPr="00436296" w:rsidRDefault="0011534C" w:rsidP="00436296">
            <w:pPr>
              <w:rPr>
                <w:rFonts w:ascii="Arial" w:hAnsi="Arial" w:cs="Arial"/>
                <w:iCs/>
                <w:sz w:val="20"/>
                <w:highlight w:val="yellow"/>
              </w:rPr>
            </w:pPr>
            <w:r w:rsidRPr="00310359">
              <w:rPr>
                <w:rFonts w:ascii="Arial" w:hAnsi="Arial" w:cs="Arial"/>
                <w:iCs/>
                <w:sz w:val="20"/>
              </w:rPr>
              <w:t>The sponsor had no comment.</w:t>
            </w:r>
            <w:r>
              <w:rPr>
                <w:rFonts w:ascii="Arial" w:hAnsi="Arial" w:cs="Arial"/>
                <w:iCs/>
                <w:sz w:val="20"/>
              </w:rPr>
              <w:br/>
            </w:r>
            <w:r>
              <w:rPr>
                <w:rFonts w:ascii="Arial" w:hAnsi="Arial" w:cs="Arial"/>
                <w:iCs/>
                <w:sz w:val="20"/>
              </w:rPr>
              <w:br/>
            </w:r>
            <w:r>
              <w:rPr>
                <w:rFonts w:ascii="Arial" w:hAnsi="Arial" w:cs="Arial"/>
                <w:iCs/>
                <w:sz w:val="20"/>
              </w:rPr>
              <w:br/>
            </w:r>
          </w:p>
        </w:tc>
      </w:tr>
      <w:tr w:rsidR="00CC6020" w:rsidRPr="00436296" w14:paraId="5E3BC6A6" w14:textId="77777777" w:rsidTr="00CC6020">
        <w:trPr>
          <w:trHeight w:val="433"/>
        </w:trPr>
        <w:tc>
          <w:tcPr>
            <w:tcW w:w="735" w:type="pct"/>
            <w:vMerge w:val="restart"/>
          </w:tcPr>
          <w:p w14:paraId="5DF822C5" w14:textId="616724A2" w:rsidR="00CC6020" w:rsidRPr="00436296" w:rsidRDefault="00CC6020" w:rsidP="00436296">
            <w:pPr>
              <w:rPr>
                <w:rFonts w:ascii="Arial" w:hAnsi="Arial" w:cs="Arial"/>
                <w:sz w:val="20"/>
              </w:rPr>
            </w:pPr>
            <w:r w:rsidRPr="00436296">
              <w:rPr>
                <w:rFonts w:ascii="Arial" w:hAnsi="Arial" w:cs="Arial"/>
                <w:sz w:val="20"/>
              </w:rPr>
              <w:lastRenderedPageBreak/>
              <w:t>NUSINERSEN</w:t>
            </w:r>
            <w:r>
              <w:rPr>
                <w:rFonts w:ascii="Arial" w:hAnsi="Arial" w:cs="Arial"/>
                <w:sz w:val="20"/>
              </w:rPr>
              <w:br/>
            </w:r>
            <w:r>
              <w:rPr>
                <w:rFonts w:ascii="Arial" w:hAnsi="Arial" w:cs="Arial"/>
                <w:sz w:val="20"/>
              </w:rPr>
              <w:br/>
            </w:r>
            <w:r w:rsidRPr="00436296">
              <w:rPr>
                <w:rFonts w:ascii="Arial" w:hAnsi="Arial" w:cs="Arial"/>
                <w:sz w:val="20"/>
              </w:rPr>
              <w:t>Solution for injection 12 mg in 5 mL</w:t>
            </w:r>
            <w:r>
              <w:rPr>
                <w:rFonts w:ascii="Arial" w:hAnsi="Arial" w:cs="Arial"/>
                <w:sz w:val="20"/>
              </w:rPr>
              <w:br/>
            </w:r>
            <w:r>
              <w:rPr>
                <w:rFonts w:ascii="Arial" w:hAnsi="Arial" w:cs="Arial"/>
                <w:sz w:val="20"/>
              </w:rPr>
              <w:br/>
            </w:r>
            <w:r w:rsidRPr="00436296">
              <w:rPr>
                <w:rFonts w:ascii="Arial" w:hAnsi="Arial" w:cs="Arial"/>
                <w:sz w:val="20"/>
              </w:rPr>
              <w:t>Spinraza®</w:t>
            </w:r>
            <w:r>
              <w:rPr>
                <w:rFonts w:ascii="Arial" w:hAnsi="Arial" w:cs="Arial"/>
                <w:sz w:val="20"/>
              </w:rPr>
              <w:br/>
            </w:r>
            <w:r>
              <w:rPr>
                <w:rFonts w:ascii="Arial" w:hAnsi="Arial" w:cs="Arial"/>
                <w:sz w:val="20"/>
              </w:rPr>
              <w:br/>
            </w:r>
            <w:r w:rsidRPr="00436296">
              <w:rPr>
                <w:rFonts w:ascii="Arial" w:hAnsi="Arial" w:cs="Arial"/>
                <w:sz w:val="20"/>
              </w:rPr>
              <w:t>Biogen Australia Pty Ltd</w:t>
            </w:r>
            <w:r>
              <w:rPr>
                <w:rFonts w:ascii="Arial" w:hAnsi="Arial" w:cs="Arial"/>
                <w:sz w:val="20"/>
              </w:rPr>
              <w:br/>
            </w:r>
            <w:r>
              <w:rPr>
                <w:rFonts w:ascii="Arial" w:hAnsi="Arial" w:cs="Arial"/>
                <w:sz w:val="20"/>
              </w:rPr>
              <w:br/>
            </w:r>
            <w:r w:rsidRPr="00436296">
              <w:rPr>
                <w:rFonts w:ascii="Arial" w:hAnsi="Arial" w:cs="Arial"/>
                <w:sz w:val="20"/>
              </w:rPr>
              <w:t>Change to listing</w:t>
            </w:r>
            <w:r>
              <w:rPr>
                <w:rFonts w:ascii="Arial" w:hAnsi="Arial" w:cs="Arial"/>
                <w:sz w:val="20"/>
              </w:rPr>
              <w:br/>
            </w:r>
            <w:r w:rsidRPr="00436296">
              <w:rPr>
                <w:rFonts w:ascii="Arial" w:hAnsi="Arial" w:cs="Arial"/>
                <w:sz w:val="20"/>
              </w:rPr>
              <w:t>(Major Submission)</w:t>
            </w:r>
          </w:p>
        </w:tc>
        <w:tc>
          <w:tcPr>
            <w:tcW w:w="676" w:type="pct"/>
            <w:vMerge w:val="restart"/>
          </w:tcPr>
          <w:p w14:paraId="135ACD1D" w14:textId="2CAD0A5D" w:rsidR="00CC6020" w:rsidRPr="00436296" w:rsidRDefault="00CC6020" w:rsidP="00436296">
            <w:pPr>
              <w:rPr>
                <w:rFonts w:ascii="Arial" w:hAnsi="Arial" w:cs="Arial"/>
                <w:sz w:val="20"/>
              </w:rPr>
            </w:pPr>
            <w:r w:rsidRPr="00CC6020">
              <w:rPr>
                <w:rFonts w:ascii="Arial" w:hAnsi="Arial" w:cs="Arial"/>
                <w:sz w:val="20"/>
              </w:rPr>
              <w:t>Nusinersen is indicated for the treatment of 5q Spinal Muscular Atrophy (SMA)</w:t>
            </w:r>
          </w:p>
        </w:tc>
        <w:tc>
          <w:tcPr>
            <w:tcW w:w="677" w:type="pct"/>
            <w:vMerge w:val="restart"/>
          </w:tcPr>
          <w:p w14:paraId="1D7B9A71" w14:textId="09FB7962" w:rsidR="00CC6020" w:rsidRPr="00436296" w:rsidRDefault="00CC6020" w:rsidP="00436296">
            <w:pPr>
              <w:rPr>
                <w:rFonts w:ascii="Arial" w:hAnsi="Arial" w:cs="Arial"/>
                <w:sz w:val="20"/>
              </w:rPr>
            </w:pPr>
            <w:r>
              <w:rPr>
                <w:rFonts w:ascii="Arial" w:hAnsi="Arial"/>
                <w:sz w:val="20"/>
              </w:rPr>
              <w:t xml:space="preserve">At the time of PBAC consideration, nusinersen was PBS listed for use in patients with Type I, II or </w:t>
            </w:r>
            <w:proofErr w:type="spellStart"/>
            <w:r>
              <w:rPr>
                <w:rFonts w:ascii="Arial" w:hAnsi="Arial"/>
                <w:sz w:val="20"/>
              </w:rPr>
              <w:t>IIIa</w:t>
            </w:r>
            <w:proofErr w:type="spellEnd"/>
            <w:r>
              <w:rPr>
                <w:rFonts w:ascii="Arial" w:hAnsi="Arial"/>
                <w:sz w:val="20"/>
              </w:rPr>
              <w:t xml:space="preserve"> SMA with symptom onset prior to 3 years of age. Treatment must be initiated in patients 18 years of age or under.</w:t>
            </w:r>
          </w:p>
        </w:tc>
        <w:tc>
          <w:tcPr>
            <w:tcW w:w="1145" w:type="pct"/>
          </w:tcPr>
          <w:p w14:paraId="29E0B0C7" w14:textId="4476B53C" w:rsidR="00CC6020" w:rsidRPr="00436296" w:rsidRDefault="00CC6020" w:rsidP="00436296">
            <w:pPr>
              <w:snapToGrid w:val="0"/>
              <w:rPr>
                <w:rFonts w:ascii="Arial" w:hAnsi="Arial" w:cs="Arial"/>
                <w:sz w:val="20"/>
              </w:rPr>
            </w:pPr>
            <w:r w:rsidRPr="00436296">
              <w:rPr>
                <w:rFonts w:ascii="Arial" w:hAnsi="Arial" w:cs="Arial"/>
                <w:color w:val="000000"/>
                <w:sz w:val="20"/>
              </w:rPr>
              <w:t xml:space="preserve">Resubmission to request an extension to the current Section 100 (Highly Specialised Drugs Program) Authority Required (Written) listing to </w:t>
            </w:r>
            <w:r w:rsidRPr="00D75AE8">
              <w:rPr>
                <w:rFonts w:ascii="Arial" w:hAnsi="Arial" w:cs="Arial"/>
                <w:color w:val="000000"/>
                <w:sz w:val="20"/>
              </w:rPr>
              <w:t xml:space="preserve">include the treatment of adults with </w:t>
            </w:r>
            <w:r w:rsidR="002203BC" w:rsidRPr="00D75AE8">
              <w:rPr>
                <w:rFonts w:ascii="Arial" w:hAnsi="Arial" w:cs="Arial"/>
                <w:color w:val="000000"/>
                <w:sz w:val="20"/>
              </w:rPr>
              <w:t>SMA.</w:t>
            </w:r>
          </w:p>
        </w:tc>
        <w:tc>
          <w:tcPr>
            <w:tcW w:w="1767" w:type="pct"/>
          </w:tcPr>
          <w:p w14:paraId="16D71E33" w14:textId="20A82D52" w:rsidR="00CC6020" w:rsidRDefault="00CC6020" w:rsidP="00CC6020">
            <w:pPr>
              <w:widowControl w:val="0"/>
              <w:rPr>
                <w:rFonts w:ascii="Arial" w:hAnsi="Arial" w:cs="Arial"/>
                <w:iCs/>
                <w:sz w:val="20"/>
              </w:rPr>
            </w:pPr>
            <w:r w:rsidRPr="00CC6020">
              <w:rPr>
                <w:rFonts w:ascii="Arial" w:hAnsi="Arial" w:cs="Arial"/>
                <w:iCs/>
                <w:sz w:val="20"/>
              </w:rPr>
              <w:t xml:space="preserve">The PBAC did not recommend extending the listing of nusinersen to include the treatment of SMA in patients with symptom onset prior to 19 years of age, and removal of the age limit of 18 years for initiation of treatment. </w:t>
            </w:r>
          </w:p>
          <w:p w14:paraId="703770BE" w14:textId="77777777" w:rsidR="00D75AE8" w:rsidRPr="00CC6020" w:rsidRDefault="00D75AE8" w:rsidP="00CC6020">
            <w:pPr>
              <w:widowControl w:val="0"/>
              <w:rPr>
                <w:rFonts w:ascii="Arial" w:hAnsi="Arial" w:cs="Arial"/>
                <w:iCs/>
                <w:sz w:val="20"/>
              </w:rPr>
            </w:pPr>
          </w:p>
          <w:p w14:paraId="55AE4E56" w14:textId="6619C6C4" w:rsidR="00CC6020" w:rsidRDefault="00CC6020" w:rsidP="00CC6020">
            <w:pPr>
              <w:widowControl w:val="0"/>
              <w:rPr>
                <w:rFonts w:ascii="Arial" w:hAnsi="Arial" w:cs="Arial"/>
                <w:iCs/>
                <w:sz w:val="20"/>
              </w:rPr>
            </w:pPr>
            <w:r w:rsidRPr="00CC6020">
              <w:rPr>
                <w:rFonts w:ascii="Arial" w:hAnsi="Arial" w:cs="Arial"/>
                <w:iCs/>
                <w:sz w:val="20"/>
              </w:rPr>
              <w:t xml:space="preserve">The PBAC recognised the high clinical need for effective treatments for adults with SMA. However, the PBAC considered that the resubmission had not adequately defined the appropriate adult population for nusinersen and proposed convening a consultation with experts in the clinical management of adult SMA to help resolve the specific issues associated with use of nusinersen in adult patients. </w:t>
            </w:r>
          </w:p>
          <w:p w14:paraId="05EB2F10" w14:textId="77777777" w:rsidR="00CC6020" w:rsidRPr="00CC6020" w:rsidRDefault="00CC6020" w:rsidP="00CC6020">
            <w:pPr>
              <w:widowControl w:val="0"/>
              <w:rPr>
                <w:rFonts w:ascii="Arial" w:hAnsi="Arial" w:cs="Arial"/>
                <w:iCs/>
                <w:sz w:val="20"/>
              </w:rPr>
            </w:pPr>
          </w:p>
          <w:p w14:paraId="68BAC766" w14:textId="7CA392A7" w:rsidR="00CC6020" w:rsidRDefault="00CC6020" w:rsidP="00CC6020">
            <w:pPr>
              <w:widowControl w:val="0"/>
              <w:rPr>
                <w:rFonts w:ascii="Arial" w:hAnsi="Arial" w:cs="Arial"/>
                <w:iCs/>
                <w:sz w:val="20"/>
              </w:rPr>
            </w:pPr>
            <w:r w:rsidRPr="00CC6020">
              <w:rPr>
                <w:rFonts w:ascii="Arial" w:hAnsi="Arial" w:cs="Arial"/>
                <w:iCs/>
                <w:sz w:val="20"/>
              </w:rPr>
              <w:t>The PBAC considered the magnitude and durability of benefit claimed in the submission was difficult to quantify based on the data presented. The PBAC noted that the sponsor had intended to submit additional clinical data, but this was unavailable at the time of PBAC consideration. As such, the PBAC noted that further data may become available in the near future which may help address some of the limitations of the clinical evidence.</w:t>
            </w:r>
          </w:p>
          <w:p w14:paraId="2A3E0D93" w14:textId="77777777" w:rsidR="00CC6020" w:rsidRDefault="00CC6020" w:rsidP="00CC6020">
            <w:pPr>
              <w:widowControl w:val="0"/>
              <w:rPr>
                <w:rFonts w:ascii="Arial" w:hAnsi="Arial" w:cs="Arial"/>
                <w:iCs/>
                <w:sz w:val="20"/>
              </w:rPr>
            </w:pPr>
          </w:p>
          <w:p w14:paraId="6877F5DA" w14:textId="6B62B061" w:rsidR="00CC6020" w:rsidRDefault="00CC6020" w:rsidP="00CC6020">
            <w:pPr>
              <w:autoSpaceDE w:val="0"/>
              <w:autoSpaceDN w:val="0"/>
              <w:adjustRightInd w:val="0"/>
              <w:rPr>
                <w:rFonts w:ascii="Arial" w:hAnsi="Arial"/>
                <w:sz w:val="20"/>
              </w:rPr>
            </w:pPr>
            <w:r>
              <w:rPr>
                <w:rFonts w:ascii="Arial" w:hAnsi="Arial"/>
                <w:sz w:val="20"/>
              </w:rPr>
              <w:t xml:space="preserve">The PBAC considered that the incremental cost effectiveness ratio </w:t>
            </w:r>
            <w:r w:rsidR="00D75AE8">
              <w:rPr>
                <w:rFonts w:ascii="Arial" w:hAnsi="Arial"/>
                <w:sz w:val="20"/>
              </w:rPr>
              <w:t xml:space="preserve">(ICER) </w:t>
            </w:r>
            <w:r>
              <w:rPr>
                <w:rFonts w:ascii="Arial" w:hAnsi="Arial"/>
                <w:sz w:val="20"/>
              </w:rPr>
              <w:t>was &gt;$200,000 per quality adjusted life year (QALY) and likely underestimated.</w:t>
            </w:r>
          </w:p>
          <w:p w14:paraId="59DD9964" w14:textId="77777777" w:rsidR="00CC6020" w:rsidRDefault="00CC6020" w:rsidP="00CC6020">
            <w:pPr>
              <w:autoSpaceDE w:val="0"/>
              <w:autoSpaceDN w:val="0"/>
              <w:adjustRightInd w:val="0"/>
              <w:rPr>
                <w:rFonts w:ascii="Arial" w:hAnsi="Arial"/>
                <w:bCs/>
                <w:color w:val="000000"/>
                <w:sz w:val="20"/>
              </w:rPr>
            </w:pPr>
          </w:p>
          <w:p w14:paraId="5D1F935F" w14:textId="5372701A" w:rsidR="00CC6020" w:rsidRDefault="00CC6020" w:rsidP="00CC6020">
            <w:pPr>
              <w:pStyle w:val="3-BodyText"/>
              <w:spacing w:after="0"/>
              <w:ind w:left="0" w:firstLine="0"/>
              <w:rPr>
                <w:rFonts w:ascii="Arial" w:hAnsi="Arial"/>
                <w:sz w:val="20"/>
                <w:szCs w:val="20"/>
              </w:rPr>
            </w:pPr>
            <w:r>
              <w:rPr>
                <w:rFonts w:ascii="Arial" w:hAnsi="Arial"/>
                <w:sz w:val="20"/>
                <w:szCs w:val="20"/>
              </w:rPr>
              <w:t>In addition to the aforementioned specific issues regarding the current subsidy proposal for nusinersen, the PBAC considered there was a need for stakeholders to work together to develop an overall and holistic approach to the treatment pathway and clinical evidence for SMA that takes into account the new treatment options that have become available over the past five years as well as developments in newborn screening and pre-conception and early pregnancy testing.</w:t>
            </w:r>
          </w:p>
          <w:p w14:paraId="68436C83" w14:textId="77777777" w:rsidR="00CC6020" w:rsidRDefault="00CC6020" w:rsidP="00CC6020">
            <w:pPr>
              <w:pStyle w:val="3-BodyText"/>
              <w:spacing w:after="0"/>
              <w:ind w:left="0" w:firstLine="0"/>
              <w:rPr>
                <w:rFonts w:ascii="Arial" w:hAnsi="Arial"/>
                <w:sz w:val="20"/>
                <w:szCs w:val="20"/>
              </w:rPr>
            </w:pPr>
          </w:p>
          <w:p w14:paraId="1F6581EC" w14:textId="77777777" w:rsidR="00CC6020" w:rsidRDefault="00CC6020" w:rsidP="00CC6020">
            <w:pPr>
              <w:widowControl w:val="0"/>
              <w:rPr>
                <w:rFonts w:ascii="Arial" w:hAnsi="Arial"/>
                <w:sz w:val="20"/>
              </w:rPr>
            </w:pPr>
            <w:r>
              <w:rPr>
                <w:rFonts w:ascii="Arial" w:hAnsi="Arial"/>
                <w:sz w:val="20"/>
              </w:rPr>
              <w:t xml:space="preserve">The PBAC noted that it first considered a subsidy proposal for the nusinersen in 2017-2018. Prior to that time, there were no direct treatments for SMA. However, since that time, PBAC has considered six more SMA subsidy proposals, including the two considered at this meeting. Further subsidy proposals are expected in the near future. </w:t>
            </w:r>
          </w:p>
          <w:p w14:paraId="14360F7B" w14:textId="77777777" w:rsidR="00CC6020" w:rsidRDefault="00CC6020" w:rsidP="00CC6020">
            <w:pPr>
              <w:widowControl w:val="0"/>
              <w:rPr>
                <w:rFonts w:ascii="Arial" w:hAnsi="Arial"/>
                <w:sz w:val="20"/>
              </w:rPr>
            </w:pPr>
          </w:p>
          <w:p w14:paraId="78FCA5DD" w14:textId="77777777" w:rsidR="00CC6020" w:rsidRDefault="00CC6020" w:rsidP="00CC6020">
            <w:pPr>
              <w:widowControl w:val="0"/>
              <w:rPr>
                <w:rFonts w:ascii="Arial" w:hAnsi="Arial"/>
                <w:sz w:val="20"/>
              </w:rPr>
            </w:pPr>
            <w:r>
              <w:rPr>
                <w:rFonts w:ascii="Arial" w:hAnsi="Arial"/>
                <w:sz w:val="20"/>
              </w:rPr>
              <w:t>The new subsidy proposals coming to PBAC are both for different groups of SMA patients, including pre-symptomatic and older patients, and for new treatments. The PBAC noted that other potential treatments</w:t>
            </w:r>
            <w:r>
              <w:t xml:space="preserve"> </w:t>
            </w:r>
            <w:r>
              <w:rPr>
                <w:rFonts w:ascii="Arial" w:hAnsi="Arial"/>
                <w:sz w:val="20"/>
              </w:rPr>
              <w:t xml:space="preserve">for SMA include </w:t>
            </w:r>
            <w:proofErr w:type="spellStart"/>
            <w:r>
              <w:rPr>
                <w:rFonts w:ascii="Arial" w:hAnsi="Arial"/>
                <w:sz w:val="20"/>
              </w:rPr>
              <w:t>onasemnogene</w:t>
            </w:r>
            <w:proofErr w:type="spellEnd"/>
            <w:r>
              <w:rPr>
                <w:rFonts w:ascii="Arial" w:hAnsi="Arial"/>
                <w:sz w:val="20"/>
              </w:rPr>
              <w:t xml:space="preserve"> </w:t>
            </w:r>
            <w:proofErr w:type="spellStart"/>
            <w:r>
              <w:rPr>
                <w:rFonts w:ascii="Arial" w:hAnsi="Arial"/>
                <w:sz w:val="20"/>
              </w:rPr>
              <w:t>abeparvovec</w:t>
            </w:r>
            <w:proofErr w:type="spellEnd"/>
            <w:r>
              <w:rPr>
                <w:rFonts w:ascii="Arial" w:hAnsi="Arial"/>
                <w:sz w:val="20"/>
              </w:rPr>
              <w:t xml:space="preserve"> and </w:t>
            </w:r>
            <w:proofErr w:type="spellStart"/>
            <w:r>
              <w:rPr>
                <w:rFonts w:ascii="Arial" w:hAnsi="Arial"/>
                <w:sz w:val="20"/>
              </w:rPr>
              <w:t>branaplam</w:t>
            </w:r>
            <w:proofErr w:type="spellEnd"/>
            <w:r>
              <w:rPr>
                <w:rFonts w:ascii="Arial" w:hAnsi="Arial"/>
                <w:sz w:val="20"/>
              </w:rPr>
              <w:t xml:space="preserve"> (both Novartis products) and </w:t>
            </w:r>
            <w:proofErr w:type="spellStart"/>
            <w:r>
              <w:rPr>
                <w:rFonts w:ascii="Arial" w:hAnsi="Arial"/>
                <w:sz w:val="20"/>
              </w:rPr>
              <w:t>risdiplam</w:t>
            </w:r>
            <w:proofErr w:type="spellEnd"/>
            <w:r>
              <w:rPr>
                <w:rFonts w:ascii="Arial" w:hAnsi="Arial"/>
                <w:sz w:val="20"/>
              </w:rPr>
              <w:t xml:space="preserve"> (Roche). </w:t>
            </w:r>
          </w:p>
          <w:p w14:paraId="0F741ABB" w14:textId="77777777" w:rsidR="00CC6020" w:rsidRDefault="00CC6020" w:rsidP="00CC6020">
            <w:pPr>
              <w:widowControl w:val="0"/>
              <w:rPr>
                <w:rFonts w:ascii="Arial" w:hAnsi="Arial"/>
                <w:sz w:val="20"/>
              </w:rPr>
            </w:pPr>
            <w:r>
              <w:rPr>
                <w:rFonts w:ascii="Arial" w:hAnsi="Arial"/>
                <w:sz w:val="20"/>
              </w:rPr>
              <w:t xml:space="preserve"> </w:t>
            </w:r>
          </w:p>
          <w:p w14:paraId="74322CC1" w14:textId="77777777" w:rsidR="00CC6020" w:rsidRDefault="00CC6020" w:rsidP="00CC6020">
            <w:pPr>
              <w:widowControl w:val="0"/>
              <w:rPr>
                <w:rFonts w:ascii="Arial" w:hAnsi="Arial"/>
                <w:sz w:val="20"/>
              </w:rPr>
            </w:pPr>
            <w:r>
              <w:rPr>
                <w:rFonts w:ascii="Arial" w:hAnsi="Arial"/>
                <w:sz w:val="20"/>
              </w:rPr>
              <w:t>In light of these rapid developments in treatment and diagnosis, the PBAC considered it was in the interests of patients and families, prescribers and payers for a decision support analysis for SMA treatment that takes into account all the currently available clinical data and informs a broader “whole of disease” economic and financial analyses.</w:t>
            </w:r>
          </w:p>
          <w:p w14:paraId="43EBEA7D" w14:textId="77777777" w:rsidR="00CC6020" w:rsidRDefault="00CC6020" w:rsidP="00CC6020">
            <w:pPr>
              <w:widowControl w:val="0"/>
              <w:rPr>
                <w:rFonts w:ascii="Arial" w:hAnsi="Arial"/>
                <w:sz w:val="20"/>
              </w:rPr>
            </w:pPr>
          </w:p>
          <w:p w14:paraId="2BEA7FF6" w14:textId="6EDF57C3" w:rsidR="00CC6020" w:rsidRPr="00436296" w:rsidRDefault="00CC6020" w:rsidP="003E62ED">
            <w:pPr>
              <w:widowControl w:val="0"/>
              <w:spacing w:after="120"/>
              <w:rPr>
                <w:rFonts w:ascii="Arial" w:hAnsi="Arial" w:cs="Arial"/>
                <w:iCs/>
                <w:sz w:val="20"/>
                <w:highlight w:val="yellow"/>
              </w:rPr>
            </w:pPr>
            <w:r>
              <w:rPr>
                <w:rFonts w:ascii="Arial" w:hAnsi="Arial"/>
                <w:sz w:val="20"/>
              </w:rPr>
              <w:t xml:space="preserve">The PBAC requested the Department convene a stakeholder meeting in the very near future including clinical experts, consumer representatives and relevant sponsors with the intention of progressing work on this </w:t>
            </w:r>
            <w:r>
              <w:rPr>
                <w:rFonts w:ascii="Arial" w:hAnsi="Arial"/>
                <w:bCs/>
                <w:sz w:val="20"/>
              </w:rPr>
              <w:t>decision support analysis</w:t>
            </w:r>
            <w:r>
              <w:rPr>
                <w:rFonts w:ascii="Arial" w:hAnsi="Arial"/>
                <w:sz w:val="20"/>
              </w:rPr>
              <w:t>.</w:t>
            </w:r>
          </w:p>
        </w:tc>
      </w:tr>
      <w:tr w:rsidR="00CC6020" w:rsidRPr="00436296" w14:paraId="1B3AAA7F" w14:textId="77777777" w:rsidTr="00CC6020">
        <w:trPr>
          <w:trHeight w:val="433"/>
        </w:trPr>
        <w:tc>
          <w:tcPr>
            <w:tcW w:w="735" w:type="pct"/>
            <w:vMerge/>
          </w:tcPr>
          <w:p w14:paraId="0D67CCD7" w14:textId="77777777" w:rsidR="00CC6020" w:rsidRPr="00436296" w:rsidRDefault="00CC6020" w:rsidP="00436296">
            <w:pPr>
              <w:rPr>
                <w:rFonts w:ascii="Arial" w:hAnsi="Arial" w:cs="Arial"/>
                <w:sz w:val="20"/>
              </w:rPr>
            </w:pPr>
          </w:p>
        </w:tc>
        <w:tc>
          <w:tcPr>
            <w:tcW w:w="676" w:type="pct"/>
            <w:vMerge/>
          </w:tcPr>
          <w:p w14:paraId="622A13CB" w14:textId="77777777" w:rsidR="00CC6020" w:rsidRPr="00436296" w:rsidRDefault="00CC6020" w:rsidP="00436296">
            <w:pPr>
              <w:rPr>
                <w:rFonts w:ascii="Arial" w:hAnsi="Arial" w:cs="Arial"/>
                <w:sz w:val="20"/>
              </w:rPr>
            </w:pPr>
          </w:p>
        </w:tc>
        <w:tc>
          <w:tcPr>
            <w:tcW w:w="677" w:type="pct"/>
            <w:vMerge/>
          </w:tcPr>
          <w:p w14:paraId="03463BBA" w14:textId="77777777" w:rsidR="00CC6020" w:rsidRPr="00436296" w:rsidRDefault="00CC6020" w:rsidP="00436296">
            <w:pPr>
              <w:rPr>
                <w:rFonts w:ascii="Arial" w:hAnsi="Arial" w:cs="Arial"/>
                <w:sz w:val="20"/>
              </w:rPr>
            </w:pPr>
          </w:p>
        </w:tc>
        <w:tc>
          <w:tcPr>
            <w:tcW w:w="1145" w:type="pct"/>
          </w:tcPr>
          <w:p w14:paraId="386DEE0A" w14:textId="0936BDCB" w:rsidR="00CC6020" w:rsidRPr="00436296" w:rsidRDefault="00CC6020" w:rsidP="003E62ED">
            <w:pPr>
              <w:snapToGrid w:val="0"/>
              <w:spacing w:after="120"/>
              <w:rPr>
                <w:rFonts w:ascii="Arial" w:hAnsi="Arial" w:cs="Arial"/>
                <w:sz w:val="20"/>
              </w:rPr>
            </w:pPr>
            <w:r w:rsidRPr="00436296">
              <w:rPr>
                <w:rFonts w:ascii="Arial" w:hAnsi="Arial" w:cs="Arial"/>
                <w:sz w:val="20"/>
              </w:rPr>
              <w:t>Comparator:</w:t>
            </w:r>
            <w:r w:rsidR="00D75AE8">
              <w:rPr>
                <w:rFonts w:ascii="Arial" w:hAnsi="Arial" w:cs="Arial"/>
                <w:sz w:val="20"/>
              </w:rPr>
              <w:t xml:space="preserve"> </w:t>
            </w:r>
            <w:r>
              <w:rPr>
                <w:rFonts w:ascii="Arial" w:hAnsi="Arial"/>
                <w:sz w:val="20"/>
              </w:rPr>
              <w:t>Placebo/standard of care (SOC)</w:t>
            </w:r>
          </w:p>
        </w:tc>
        <w:tc>
          <w:tcPr>
            <w:tcW w:w="1767" w:type="pct"/>
          </w:tcPr>
          <w:p w14:paraId="6C51DA90" w14:textId="0D116B90" w:rsidR="00CC6020" w:rsidRPr="00436296" w:rsidRDefault="00CC6020" w:rsidP="00436296">
            <w:pPr>
              <w:widowControl w:val="0"/>
              <w:rPr>
                <w:rFonts w:ascii="Arial" w:hAnsi="Arial" w:cs="Arial"/>
                <w:iCs/>
                <w:sz w:val="20"/>
                <w:highlight w:val="yellow"/>
              </w:rPr>
            </w:pPr>
            <w:r w:rsidRPr="00CC6020">
              <w:rPr>
                <w:rFonts w:ascii="Arial" w:hAnsi="Arial" w:cs="Arial"/>
                <w:iCs/>
                <w:sz w:val="20"/>
              </w:rPr>
              <w:t>The PBAC accepted that SOC was an appropriate comparator</w:t>
            </w:r>
          </w:p>
        </w:tc>
      </w:tr>
      <w:tr w:rsidR="00CC6020" w:rsidRPr="00436296" w14:paraId="0B3F1943" w14:textId="77777777" w:rsidTr="00CC6020">
        <w:trPr>
          <w:trHeight w:val="433"/>
        </w:trPr>
        <w:tc>
          <w:tcPr>
            <w:tcW w:w="735" w:type="pct"/>
            <w:vMerge/>
          </w:tcPr>
          <w:p w14:paraId="4E7F1494" w14:textId="77777777" w:rsidR="00CC6020" w:rsidRPr="00436296" w:rsidRDefault="00CC6020" w:rsidP="00436296">
            <w:pPr>
              <w:rPr>
                <w:rFonts w:ascii="Arial" w:hAnsi="Arial" w:cs="Arial"/>
                <w:sz w:val="20"/>
              </w:rPr>
            </w:pPr>
          </w:p>
        </w:tc>
        <w:tc>
          <w:tcPr>
            <w:tcW w:w="676" w:type="pct"/>
            <w:vMerge/>
          </w:tcPr>
          <w:p w14:paraId="7C4556FE" w14:textId="77777777" w:rsidR="00CC6020" w:rsidRPr="00436296" w:rsidRDefault="00CC6020" w:rsidP="00436296">
            <w:pPr>
              <w:rPr>
                <w:rFonts w:ascii="Arial" w:hAnsi="Arial" w:cs="Arial"/>
                <w:sz w:val="20"/>
              </w:rPr>
            </w:pPr>
          </w:p>
        </w:tc>
        <w:tc>
          <w:tcPr>
            <w:tcW w:w="677" w:type="pct"/>
            <w:vMerge/>
          </w:tcPr>
          <w:p w14:paraId="0B273754" w14:textId="77777777" w:rsidR="00CC6020" w:rsidRPr="00436296" w:rsidRDefault="00CC6020" w:rsidP="00436296">
            <w:pPr>
              <w:rPr>
                <w:rFonts w:ascii="Arial" w:hAnsi="Arial" w:cs="Arial"/>
                <w:sz w:val="20"/>
              </w:rPr>
            </w:pPr>
          </w:p>
        </w:tc>
        <w:tc>
          <w:tcPr>
            <w:tcW w:w="1145" w:type="pct"/>
          </w:tcPr>
          <w:p w14:paraId="7A82381A" w14:textId="141BC23B" w:rsidR="00CC6020" w:rsidRPr="00436296" w:rsidRDefault="00CC6020">
            <w:pPr>
              <w:rPr>
                <w:rFonts w:ascii="Arial" w:hAnsi="Arial" w:cs="Arial"/>
                <w:sz w:val="20"/>
              </w:rPr>
            </w:pPr>
            <w:r w:rsidRPr="00436296">
              <w:rPr>
                <w:rFonts w:ascii="Arial" w:hAnsi="Arial" w:cs="Arial"/>
                <w:sz w:val="20"/>
              </w:rPr>
              <w:t>Clinical claim:</w:t>
            </w:r>
            <w:r w:rsidR="00D75AE8">
              <w:rPr>
                <w:rFonts w:ascii="Arial" w:hAnsi="Arial" w:cs="Arial"/>
                <w:sz w:val="20"/>
              </w:rPr>
              <w:t xml:space="preserve"> </w:t>
            </w:r>
            <w:r>
              <w:rPr>
                <w:rFonts w:ascii="Arial" w:hAnsi="Arial"/>
                <w:sz w:val="20"/>
              </w:rPr>
              <w:t>Superior effectiveness and non-inferior safety compared with SOC</w:t>
            </w:r>
          </w:p>
        </w:tc>
        <w:tc>
          <w:tcPr>
            <w:tcW w:w="1767" w:type="pct"/>
          </w:tcPr>
          <w:p w14:paraId="5DCD0D78" w14:textId="77777777" w:rsidR="00D75AE8" w:rsidRDefault="00CC6020" w:rsidP="00CC6020">
            <w:pPr>
              <w:widowControl w:val="0"/>
              <w:rPr>
                <w:rFonts w:ascii="Arial" w:hAnsi="Arial" w:cs="Arial"/>
                <w:iCs/>
                <w:sz w:val="20"/>
              </w:rPr>
            </w:pPr>
            <w:r w:rsidRPr="00CC6020">
              <w:rPr>
                <w:rFonts w:ascii="Arial" w:hAnsi="Arial" w:cs="Arial"/>
                <w:iCs/>
                <w:sz w:val="20"/>
              </w:rPr>
              <w:t>The PBAC considered that, while the claim of superior comparative effectiveness was reasonable, the magnitude and durability of benefit was not able to be quantified based on the data presented.</w:t>
            </w:r>
          </w:p>
          <w:p w14:paraId="019ED316" w14:textId="07F70EBB" w:rsidR="00CC6020" w:rsidRPr="00CC6020" w:rsidRDefault="00CC6020" w:rsidP="00CC6020">
            <w:pPr>
              <w:widowControl w:val="0"/>
              <w:rPr>
                <w:rFonts w:ascii="Arial" w:hAnsi="Arial" w:cs="Arial"/>
                <w:iCs/>
                <w:sz w:val="20"/>
              </w:rPr>
            </w:pPr>
          </w:p>
          <w:p w14:paraId="70AF2C30" w14:textId="4514A3B2" w:rsidR="00CC6020" w:rsidRPr="00436296" w:rsidRDefault="00CC6020" w:rsidP="003E62ED">
            <w:pPr>
              <w:widowControl w:val="0"/>
              <w:spacing w:after="120"/>
              <w:rPr>
                <w:rFonts w:ascii="Arial" w:hAnsi="Arial" w:cs="Arial"/>
                <w:iCs/>
                <w:sz w:val="20"/>
                <w:highlight w:val="yellow"/>
              </w:rPr>
            </w:pPr>
            <w:r w:rsidRPr="00CC6020">
              <w:rPr>
                <w:rFonts w:ascii="Arial" w:hAnsi="Arial" w:cs="Arial"/>
                <w:iCs/>
                <w:sz w:val="20"/>
              </w:rPr>
              <w:t>The PBAC considered that the claim of non-inferior comparative safety was not adequately supported by the data, noting that there may be long term implications from repeated lumbar puncture administrations.</w:t>
            </w:r>
          </w:p>
        </w:tc>
      </w:tr>
      <w:tr w:rsidR="00CC6020" w:rsidRPr="00436296" w14:paraId="03324A6E" w14:textId="77777777" w:rsidTr="00CC6020">
        <w:trPr>
          <w:trHeight w:val="433"/>
        </w:trPr>
        <w:tc>
          <w:tcPr>
            <w:tcW w:w="735" w:type="pct"/>
            <w:vMerge/>
          </w:tcPr>
          <w:p w14:paraId="41565B4C" w14:textId="77777777" w:rsidR="00CC6020" w:rsidRPr="00436296" w:rsidRDefault="00CC6020" w:rsidP="00436296">
            <w:pPr>
              <w:rPr>
                <w:rFonts w:ascii="Arial" w:hAnsi="Arial" w:cs="Arial"/>
                <w:sz w:val="20"/>
              </w:rPr>
            </w:pPr>
          </w:p>
        </w:tc>
        <w:tc>
          <w:tcPr>
            <w:tcW w:w="676" w:type="pct"/>
            <w:vMerge/>
          </w:tcPr>
          <w:p w14:paraId="28F936F2" w14:textId="77777777" w:rsidR="00CC6020" w:rsidRPr="00436296" w:rsidRDefault="00CC6020" w:rsidP="00436296">
            <w:pPr>
              <w:rPr>
                <w:rFonts w:ascii="Arial" w:hAnsi="Arial" w:cs="Arial"/>
                <w:sz w:val="20"/>
              </w:rPr>
            </w:pPr>
          </w:p>
        </w:tc>
        <w:tc>
          <w:tcPr>
            <w:tcW w:w="677" w:type="pct"/>
            <w:vMerge/>
          </w:tcPr>
          <w:p w14:paraId="7BBDAE90" w14:textId="77777777" w:rsidR="00CC6020" w:rsidRPr="00436296" w:rsidRDefault="00CC6020" w:rsidP="00436296">
            <w:pPr>
              <w:rPr>
                <w:rFonts w:ascii="Arial" w:hAnsi="Arial" w:cs="Arial"/>
                <w:sz w:val="20"/>
              </w:rPr>
            </w:pPr>
          </w:p>
        </w:tc>
        <w:tc>
          <w:tcPr>
            <w:tcW w:w="1145" w:type="pct"/>
          </w:tcPr>
          <w:p w14:paraId="36DEC38C" w14:textId="2CD06BBD" w:rsidR="00CC6020" w:rsidRPr="00436296" w:rsidRDefault="00CC6020" w:rsidP="0094710C">
            <w:pPr>
              <w:snapToGrid w:val="0"/>
              <w:rPr>
                <w:rFonts w:ascii="Arial" w:hAnsi="Arial" w:cs="Arial"/>
                <w:sz w:val="20"/>
              </w:rPr>
            </w:pPr>
            <w:r w:rsidRPr="00436296">
              <w:rPr>
                <w:rFonts w:ascii="Arial" w:hAnsi="Arial" w:cs="Arial"/>
                <w:sz w:val="20"/>
              </w:rPr>
              <w:t>Economic claim:</w:t>
            </w:r>
            <w:r>
              <w:rPr>
                <w:rFonts w:ascii="Arial" w:hAnsi="Arial" w:cs="Arial"/>
                <w:sz w:val="20"/>
              </w:rPr>
              <w:t xml:space="preserve"> </w:t>
            </w:r>
            <w:r w:rsidRPr="00CC6020">
              <w:rPr>
                <w:rFonts w:ascii="Arial" w:hAnsi="Arial" w:cs="Arial"/>
                <w:sz w:val="20"/>
              </w:rPr>
              <w:t>Cost-utility analysis compared with SOC</w:t>
            </w:r>
          </w:p>
        </w:tc>
        <w:tc>
          <w:tcPr>
            <w:tcW w:w="1767" w:type="pct"/>
          </w:tcPr>
          <w:p w14:paraId="1B00A7CE" w14:textId="53A58FC1" w:rsidR="00CC6020" w:rsidRPr="00436296" w:rsidRDefault="00EC5DA3" w:rsidP="003E62ED">
            <w:pPr>
              <w:widowControl w:val="0"/>
              <w:spacing w:after="120"/>
              <w:rPr>
                <w:rFonts w:ascii="Arial" w:hAnsi="Arial" w:cs="Arial"/>
                <w:iCs/>
                <w:sz w:val="20"/>
                <w:highlight w:val="yellow"/>
              </w:rPr>
            </w:pPr>
            <w:r w:rsidRPr="00EC5DA3">
              <w:rPr>
                <w:rFonts w:ascii="Arial" w:hAnsi="Arial" w:cs="Arial"/>
                <w:iCs/>
                <w:sz w:val="20"/>
              </w:rPr>
              <w:t>The PBAC considered the incremental cost effectiveness ratio (ICER) was &gt;$200,000 per QALY and likely underestimated. The PBAC considered that the transition probabilities were unreliable, the expected duration of benefit of nusinersen was not adequately substantiated, and the utility values were unlikely to capture the health-related quality of life of the patient population.</w:t>
            </w:r>
          </w:p>
        </w:tc>
      </w:tr>
      <w:tr w:rsidR="00CC6020" w:rsidRPr="00436296" w14:paraId="13A7F337" w14:textId="77777777" w:rsidTr="00CC6020">
        <w:trPr>
          <w:trHeight w:val="433"/>
        </w:trPr>
        <w:tc>
          <w:tcPr>
            <w:tcW w:w="735" w:type="pct"/>
            <w:vMerge/>
          </w:tcPr>
          <w:p w14:paraId="7CC4FE09" w14:textId="77777777" w:rsidR="00CC6020" w:rsidRPr="00436296" w:rsidRDefault="00CC6020" w:rsidP="00436296">
            <w:pPr>
              <w:rPr>
                <w:rFonts w:ascii="Arial" w:hAnsi="Arial" w:cs="Arial"/>
                <w:sz w:val="20"/>
              </w:rPr>
            </w:pPr>
          </w:p>
        </w:tc>
        <w:tc>
          <w:tcPr>
            <w:tcW w:w="676" w:type="pct"/>
            <w:vMerge/>
          </w:tcPr>
          <w:p w14:paraId="2C529E0D" w14:textId="77777777" w:rsidR="00CC6020" w:rsidRPr="00436296" w:rsidRDefault="00CC6020" w:rsidP="00436296">
            <w:pPr>
              <w:rPr>
                <w:rFonts w:ascii="Arial" w:hAnsi="Arial" w:cs="Arial"/>
                <w:sz w:val="20"/>
              </w:rPr>
            </w:pPr>
          </w:p>
        </w:tc>
        <w:tc>
          <w:tcPr>
            <w:tcW w:w="677" w:type="pct"/>
            <w:vMerge/>
          </w:tcPr>
          <w:p w14:paraId="78861915" w14:textId="77777777" w:rsidR="00CC6020" w:rsidRPr="00436296" w:rsidRDefault="00CC6020" w:rsidP="00436296">
            <w:pPr>
              <w:rPr>
                <w:rFonts w:ascii="Arial" w:hAnsi="Arial" w:cs="Arial"/>
                <w:sz w:val="20"/>
              </w:rPr>
            </w:pPr>
          </w:p>
        </w:tc>
        <w:tc>
          <w:tcPr>
            <w:tcW w:w="1145" w:type="pct"/>
          </w:tcPr>
          <w:p w14:paraId="4B7D3BF4" w14:textId="2BFCBF60" w:rsidR="00CC6020" w:rsidRPr="00436296" w:rsidRDefault="00CC6020">
            <w:pPr>
              <w:snapToGrid w:val="0"/>
              <w:jc w:val="right"/>
              <w:rPr>
                <w:rFonts w:ascii="Arial" w:hAnsi="Arial" w:cs="Arial"/>
                <w:sz w:val="20"/>
              </w:rPr>
            </w:pPr>
            <w:r w:rsidRPr="00436296">
              <w:rPr>
                <w:rFonts w:ascii="Arial" w:hAnsi="Arial" w:cs="Arial"/>
                <w:sz w:val="20"/>
              </w:rPr>
              <w:t>Sponsor’s comment:</w:t>
            </w:r>
          </w:p>
        </w:tc>
        <w:tc>
          <w:tcPr>
            <w:tcW w:w="1767" w:type="pct"/>
          </w:tcPr>
          <w:p w14:paraId="2B9270F9" w14:textId="77777777" w:rsidR="00855AA0" w:rsidRPr="00855AA0" w:rsidRDefault="00855AA0" w:rsidP="00855AA0">
            <w:pPr>
              <w:snapToGrid w:val="0"/>
              <w:rPr>
                <w:rFonts w:ascii="Arial" w:hAnsi="Arial" w:cs="Arial"/>
                <w:sz w:val="20"/>
              </w:rPr>
            </w:pPr>
            <w:r w:rsidRPr="00855AA0">
              <w:rPr>
                <w:rFonts w:ascii="Arial" w:hAnsi="Arial" w:cs="Arial"/>
                <w:sz w:val="20"/>
              </w:rPr>
              <w:t>Biogen welcomes the PBAC acknowledgement of the high clinical need for adults with SMA. Our submission for SPINRAZA treatment in adults living with SMA has shown clinically meaningful benefit for these individuals. Biogen will work as swiftly as possible to address the PBAC questions on the submission to try and enable access to this deserving population.</w:t>
            </w:r>
            <w:bookmarkStart w:id="0" w:name="_GoBack"/>
            <w:bookmarkEnd w:id="0"/>
          </w:p>
          <w:p w14:paraId="2C04DA26" w14:textId="77777777" w:rsidR="00855AA0" w:rsidRPr="00855AA0" w:rsidRDefault="00855AA0" w:rsidP="00855AA0">
            <w:pPr>
              <w:snapToGrid w:val="0"/>
              <w:rPr>
                <w:rFonts w:ascii="Arial" w:hAnsi="Arial" w:cs="Arial"/>
                <w:sz w:val="20"/>
              </w:rPr>
            </w:pPr>
            <w:r w:rsidRPr="00855AA0">
              <w:rPr>
                <w:rFonts w:ascii="Arial" w:hAnsi="Arial" w:cs="Arial"/>
                <w:sz w:val="20"/>
              </w:rPr>
              <w:t xml:space="preserve"> </w:t>
            </w:r>
          </w:p>
          <w:p w14:paraId="1E71ED43" w14:textId="5131A78A" w:rsidR="00EC5DA3" w:rsidRPr="00436296" w:rsidRDefault="00855AA0" w:rsidP="00855AA0">
            <w:pPr>
              <w:rPr>
                <w:rFonts w:ascii="Arial" w:hAnsi="Arial" w:cs="Arial"/>
                <w:sz w:val="20"/>
              </w:rPr>
            </w:pPr>
            <w:r w:rsidRPr="00855AA0">
              <w:rPr>
                <w:rFonts w:ascii="Arial" w:hAnsi="Arial" w:cs="Arial"/>
                <w:sz w:val="20"/>
              </w:rPr>
              <w:t>We understand the PBAC proposal for a whole of disease review and recognise the diversity of the SMA patient population. We hope this review does not further delay access to SPINRAZA for adults living with SMA.</w:t>
            </w:r>
          </w:p>
        </w:tc>
      </w:tr>
      <w:tr w:rsidR="00CC6020" w:rsidRPr="00436296" w14:paraId="1824263C" w14:textId="77777777" w:rsidTr="0016574D">
        <w:trPr>
          <w:cantSplit/>
          <w:trHeight w:val="433"/>
        </w:trPr>
        <w:tc>
          <w:tcPr>
            <w:tcW w:w="735" w:type="pct"/>
            <w:vMerge w:val="restart"/>
          </w:tcPr>
          <w:p w14:paraId="10C5D963" w14:textId="3F8A510E" w:rsidR="00CC6020" w:rsidRPr="00436296" w:rsidRDefault="00CC6020" w:rsidP="00436296">
            <w:pPr>
              <w:rPr>
                <w:rFonts w:ascii="Arial" w:hAnsi="Arial" w:cs="Arial"/>
                <w:sz w:val="20"/>
              </w:rPr>
            </w:pPr>
            <w:r w:rsidRPr="00436296">
              <w:rPr>
                <w:rFonts w:ascii="Arial" w:hAnsi="Arial" w:cs="Arial"/>
                <w:sz w:val="20"/>
              </w:rPr>
              <w:lastRenderedPageBreak/>
              <w:t>PATIROMER</w:t>
            </w:r>
            <w:r>
              <w:rPr>
                <w:rFonts w:ascii="Arial" w:hAnsi="Arial" w:cs="Arial"/>
                <w:sz w:val="20"/>
              </w:rPr>
              <w:br/>
            </w:r>
            <w:r>
              <w:rPr>
                <w:rFonts w:ascii="Arial" w:hAnsi="Arial" w:cs="Arial"/>
                <w:sz w:val="20"/>
              </w:rPr>
              <w:br/>
            </w:r>
            <w:r w:rsidRPr="00436296">
              <w:rPr>
                <w:rFonts w:ascii="Arial" w:hAnsi="Arial" w:cs="Arial"/>
                <w:sz w:val="20"/>
              </w:rPr>
              <w:t>Sachet, 8.4 g powder for oral liquid</w:t>
            </w:r>
            <w:r>
              <w:rPr>
                <w:rFonts w:ascii="Arial" w:hAnsi="Arial" w:cs="Arial"/>
                <w:sz w:val="20"/>
              </w:rPr>
              <w:br/>
            </w:r>
            <w:r w:rsidRPr="00436296">
              <w:rPr>
                <w:rFonts w:ascii="Arial" w:hAnsi="Arial" w:cs="Arial"/>
                <w:sz w:val="20"/>
              </w:rPr>
              <w:t>Sachet, 16.8 g powder for oral liquid</w:t>
            </w:r>
            <w:r>
              <w:rPr>
                <w:rFonts w:ascii="Arial" w:hAnsi="Arial" w:cs="Arial"/>
                <w:sz w:val="20"/>
              </w:rPr>
              <w:br/>
            </w:r>
            <w:r>
              <w:rPr>
                <w:rFonts w:ascii="Arial" w:hAnsi="Arial" w:cs="Arial"/>
                <w:sz w:val="20"/>
              </w:rPr>
              <w:br/>
            </w:r>
            <w:proofErr w:type="spellStart"/>
            <w:r w:rsidRPr="00436296">
              <w:rPr>
                <w:rFonts w:ascii="Arial" w:hAnsi="Arial" w:cs="Arial"/>
                <w:sz w:val="20"/>
              </w:rPr>
              <w:t>Veltassa</w:t>
            </w:r>
            <w:proofErr w:type="spellEnd"/>
            <w:r w:rsidRPr="00436296">
              <w:rPr>
                <w:rFonts w:ascii="Arial" w:hAnsi="Arial" w:cs="Arial"/>
                <w:sz w:val="20"/>
              </w:rPr>
              <w:t>®</w:t>
            </w:r>
            <w:r>
              <w:rPr>
                <w:rFonts w:ascii="Arial" w:hAnsi="Arial" w:cs="Arial"/>
                <w:sz w:val="20"/>
              </w:rPr>
              <w:br/>
            </w:r>
            <w:r>
              <w:rPr>
                <w:rFonts w:ascii="Arial" w:hAnsi="Arial" w:cs="Arial"/>
                <w:sz w:val="20"/>
              </w:rPr>
              <w:br/>
            </w:r>
            <w:proofErr w:type="spellStart"/>
            <w:r w:rsidRPr="00436296">
              <w:rPr>
                <w:rFonts w:ascii="Arial" w:hAnsi="Arial" w:cs="Arial"/>
                <w:sz w:val="20"/>
              </w:rPr>
              <w:t>Vifor</w:t>
            </w:r>
            <w:proofErr w:type="spellEnd"/>
            <w:r w:rsidRPr="00436296">
              <w:rPr>
                <w:rFonts w:ascii="Arial" w:hAnsi="Arial" w:cs="Arial"/>
                <w:sz w:val="20"/>
              </w:rPr>
              <w:t xml:space="preserve"> Pharma Pty Ltd</w:t>
            </w:r>
            <w:r>
              <w:rPr>
                <w:rFonts w:ascii="Arial" w:hAnsi="Arial" w:cs="Arial"/>
                <w:sz w:val="20"/>
              </w:rPr>
              <w:br/>
            </w:r>
            <w:r>
              <w:rPr>
                <w:rFonts w:ascii="Arial" w:hAnsi="Arial" w:cs="Arial"/>
                <w:sz w:val="20"/>
              </w:rPr>
              <w:br/>
            </w:r>
            <w:r w:rsidRPr="00436296">
              <w:rPr>
                <w:rFonts w:ascii="Arial" w:hAnsi="Arial" w:cs="Arial"/>
                <w:sz w:val="20"/>
              </w:rPr>
              <w:t>New listing</w:t>
            </w:r>
            <w:r>
              <w:rPr>
                <w:rFonts w:ascii="Arial" w:hAnsi="Arial" w:cs="Arial"/>
                <w:sz w:val="20"/>
              </w:rPr>
              <w:br/>
            </w:r>
            <w:r w:rsidRPr="00436296">
              <w:rPr>
                <w:rFonts w:ascii="Arial" w:hAnsi="Arial" w:cs="Arial"/>
                <w:sz w:val="20"/>
              </w:rPr>
              <w:t>(Major Submission)</w:t>
            </w:r>
          </w:p>
        </w:tc>
        <w:tc>
          <w:tcPr>
            <w:tcW w:w="676" w:type="pct"/>
            <w:vMerge w:val="restart"/>
          </w:tcPr>
          <w:p w14:paraId="11317572" w14:textId="1A469C7F" w:rsidR="00CC6020" w:rsidRPr="00436296" w:rsidRDefault="00CC6020" w:rsidP="00436296">
            <w:pPr>
              <w:rPr>
                <w:rFonts w:ascii="Arial" w:hAnsi="Arial" w:cs="Arial"/>
                <w:sz w:val="20"/>
              </w:rPr>
            </w:pPr>
            <w:proofErr w:type="spellStart"/>
            <w:r w:rsidRPr="0037530B">
              <w:rPr>
                <w:rFonts w:ascii="Arial" w:hAnsi="Arial" w:cs="Arial"/>
                <w:sz w:val="20"/>
              </w:rPr>
              <w:t>Patiromer</w:t>
            </w:r>
            <w:proofErr w:type="spellEnd"/>
            <w:r w:rsidRPr="0037530B">
              <w:rPr>
                <w:rFonts w:ascii="Arial" w:hAnsi="Arial" w:cs="Arial"/>
                <w:sz w:val="20"/>
              </w:rPr>
              <w:t xml:space="preserve"> is indicated for the treatment of hyperkalaemia in adults.</w:t>
            </w:r>
          </w:p>
        </w:tc>
        <w:tc>
          <w:tcPr>
            <w:tcW w:w="677" w:type="pct"/>
            <w:vMerge w:val="restart"/>
          </w:tcPr>
          <w:p w14:paraId="31735F05" w14:textId="19218B10" w:rsidR="00CC6020" w:rsidRPr="00436296" w:rsidRDefault="00CC6020" w:rsidP="00436296">
            <w:pPr>
              <w:rPr>
                <w:rFonts w:ascii="Arial" w:hAnsi="Arial" w:cs="Arial"/>
                <w:sz w:val="20"/>
              </w:rPr>
            </w:pPr>
            <w:proofErr w:type="spellStart"/>
            <w:r w:rsidRPr="0037530B">
              <w:rPr>
                <w:rFonts w:ascii="Arial" w:hAnsi="Arial" w:cs="Arial"/>
                <w:sz w:val="20"/>
              </w:rPr>
              <w:t>Patiromer</w:t>
            </w:r>
            <w:proofErr w:type="spellEnd"/>
            <w:r w:rsidRPr="0037530B">
              <w:rPr>
                <w:rFonts w:ascii="Arial" w:hAnsi="Arial" w:cs="Arial"/>
                <w:sz w:val="20"/>
              </w:rPr>
              <w:t xml:space="preserve"> is not currently PBS listed.</w:t>
            </w:r>
          </w:p>
        </w:tc>
        <w:tc>
          <w:tcPr>
            <w:tcW w:w="1145" w:type="pct"/>
          </w:tcPr>
          <w:p w14:paraId="32111D08" w14:textId="3058D975" w:rsidR="00CC6020" w:rsidRPr="00436296" w:rsidRDefault="00D75AE8" w:rsidP="00436296">
            <w:pPr>
              <w:snapToGrid w:val="0"/>
              <w:rPr>
                <w:rFonts w:ascii="Arial" w:hAnsi="Arial" w:cs="Arial"/>
                <w:sz w:val="20"/>
              </w:rPr>
            </w:pPr>
            <w:r w:rsidRPr="00244D4D">
              <w:rPr>
                <w:rFonts w:ascii="Arial" w:hAnsi="Arial" w:cs="Arial"/>
                <w:color w:val="000000"/>
                <w:sz w:val="20"/>
              </w:rPr>
              <w:t>R</w:t>
            </w:r>
            <w:r w:rsidR="00CC6020" w:rsidRPr="00244D4D">
              <w:rPr>
                <w:rFonts w:ascii="Arial" w:hAnsi="Arial" w:cs="Arial"/>
                <w:color w:val="000000"/>
                <w:sz w:val="20"/>
              </w:rPr>
              <w:t>esubmission</w:t>
            </w:r>
            <w:r w:rsidR="00CC6020" w:rsidRPr="00D45492">
              <w:rPr>
                <w:rFonts w:ascii="Arial" w:hAnsi="Arial" w:cs="Arial"/>
                <w:color w:val="000000"/>
                <w:sz w:val="20"/>
              </w:rPr>
              <w:t xml:space="preserve"> requested an Authority Required</w:t>
            </w:r>
            <w:r w:rsidR="00CC6020" w:rsidRPr="0037530B">
              <w:rPr>
                <w:rFonts w:ascii="Arial" w:hAnsi="Arial" w:cs="Arial"/>
                <w:color w:val="000000"/>
                <w:sz w:val="20"/>
              </w:rPr>
              <w:t xml:space="preserve"> (</w:t>
            </w:r>
            <w:r w:rsidR="00D45492">
              <w:rPr>
                <w:rFonts w:ascii="Arial" w:hAnsi="Arial" w:cs="Arial"/>
                <w:color w:val="000000"/>
                <w:sz w:val="20"/>
              </w:rPr>
              <w:t>T</w:t>
            </w:r>
            <w:r w:rsidR="00CC6020" w:rsidRPr="0037530B">
              <w:rPr>
                <w:rFonts w:ascii="Arial" w:hAnsi="Arial" w:cs="Arial"/>
                <w:color w:val="000000"/>
                <w:sz w:val="20"/>
              </w:rPr>
              <w:t xml:space="preserve">elephone) listing for </w:t>
            </w:r>
            <w:proofErr w:type="spellStart"/>
            <w:r w:rsidR="00CC6020" w:rsidRPr="0037530B">
              <w:rPr>
                <w:rFonts w:ascii="Arial" w:hAnsi="Arial" w:cs="Arial"/>
                <w:color w:val="000000"/>
                <w:sz w:val="20"/>
              </w:rPr>
              <w:t>patiromer</w:t>
            </w:r>
            <w:proofErr w:type="spellEnd"/>
            <w:r w:rsidR="00CC6020" w:rsidRPr="0037530B">
              <w:rPr>
                <w:rFonts w:ascii="Arial" w:hAnsi="Arial" w:cs="Arial"/>
                <w:color w:val="000000"/>
                <w:sz w:val="20"/>
              </w:rPr>
              <w:t xml:space="preserve"> for the initial treatment of patients with chronic kidney disease (CKD) Stage 3 or 4 and chronic hyperkalaemia who are receiving or </w:t>
            </w:r>
            <w:r w:rsidR="00CC6020" w:rsidRPr="00D45492">
              <w:rPr>
                <w:rFonts w:ascii="Arial" w:hAnsi="Arial" w:cs="Arial"/>
                <w:color w:val="000000"/>
                <w:sz w:val="20"/>
              </w:rPr>
              <w:t>indicated for</w:t>
            </w:r>
            <w:r w:rsidR="002203BC" w:rsidRPr="00D45492">
              <w:rPr>
                <w:rFonts w:ascii="Arial" w:hAnsi="Arial" w:cs="Arial"/>
                <w:color w:val="000000"/>
                <w:sz w:val="20"/>
              </w:rPr>
              <w:t xml:space="preserve"> renin angiotensin aldosterone system inhibitor (</w:t>
            </w:r>
            <w:proofErr w:type="spellStart"/>
            <w:r w:rsidR="00CC6020" w:rsidRPr="00D45492">
              <w:rPr>
                <w:rFonts w:ascii="Arial" w:hAnsi="Arial" w:cs="Arial"/>
                <w:color w:val="000000"/>
                <w:sz w:val="20"/>
              </w:rPr>
              <w:t>RAASi</w:t>
            </w:r>
            <w:proofErr w:type="spellEnd"/>
            <w:r w:rsidR="002203BC" w:rsidRPr="00D45492">
              <w:rPr>
                <w:rFonts w:ascii="Arial" w:hAnsi="Arial" w:cs="Arial"/>
                <w:color w:val="000000"/>
                <w:sz w:val="20"/>
              </w:rPr>
              <w:t>)</w:t>
            </w:r>
            <w:r w:rsidR="00CC6020" w:rsidRPr="00D45492">
              <w:rPr>
                <w:rFonts w:ascii="Arial" w:hAnsi="Arial" w:cs="Arial"/>
                <w:color w:val="000000"/>
                <w:sz w:val="20"/>
              </w:rPr>
              <w:t xml:space="preserve"> therapy</w:t>
            </w:r>
            <w:r w:rsidR="00CC6020" w:rsidRPr="0037530B">
              <w:rPr>
                <w:rFonts w:ascii="Arial" w:hAnsi="Arial" w:cs="Arial"/>
                <w:color w:val="000000"/>
                <w:sz w:val="20"/>
              </w:rPr>
              <w:t xml:space="preserve">. The resubmission requested an Authority Required (STREAMLINED) listing for continuing treatment. </w:t>
            </w:r>
          </w:p>
        </w:tc>
        <w:tc>
          <w:tcPr>
            <w:tcW w:w="1767" w:type="pct"/>
          </w:tcPr>
          <w:p w14:paraId="7A88274C" w14:textId="16C9F98F" w:rsidR="00CC6020" w:rsidRDefault="00CC6020" w:rsidP="0037530B">
            <w:pPr>
              <w:rPr>
                <w:rFonts w:ascii="Arial" w:hAnsi="Arial" w:cs="Arial"/>
                <w:sz w:val="20"/>
              </w:rPr>
            </w:pPr>
            <w:r w:rsidRPr="0037530B">
              <w:rPr>
                <w:rFonts w:ascii="Arial" w:hAnsi="Arial" w:cs="Arial"/>
                <w:sz w:val="20"/>
              </w:rPr>
              <w:t xml:space="preserve">The PBAC did not recommend the listing of </w:t>
            </w:r>
            <w:proofErr w:type="spellStart"/>
            <w:r w:rsidRPr="0037530B">
              <w:rPr>
                <w:rFonts w:ascii="Arial" w:hAnsi="Arial" w:cs="Arial"/>
                <w:sz w:val="20"/>
              </w:rPr>
              <w:t>patiromer</w:t>
            </w:r>
            <w:proofErr w:type="spellEnd"/>
            <w:r w:rsidRPr="0037530B">
              <w:rPr>
                <w:rFonts w:ascii="Arial" w:hAnsi="Arial" w:cs="Arial"/>
                <w:sz w:val="20"/>
              </w:rPr>
              <w:t xml:space="preserve"> (</w:t>
            </w:r>
            <w:proofErr w:type="spellStart"/>
            <w:r w:rsidRPr="0037530B">
              <w:rPr>
                <w:rFonts w:ascii="Arial" w:hAnsi="Arial" w:cs="Arial"/>
                <w:sz w:val="20"/>
              </w:rPr>
              <w:t>Veltassa</w:t>
            </w:r>
            <w:proofErr w:type="spellEnd"/>
            <w:r w:rsidRPr="0037530B">
              <w:rPr>
                <w:rFonts w:ascii="Arial" w:hAnsi="Arial" w:cs="Arial"/>
                <w:sz w:val="20"/>
              </w:rPr>
              <w:t xml:space="preserve">®) for the treatment of hyperkalaemia in patients with CKD Stage 3 or 4 and chronic hyperkalaemia who are receiving or indicated for </w:t>
            </w:r>
            <w:proofErr w:type="spellStart"/>
            <w:r w:rsidRPr="002203BC">
              <w:rPr>
                <w:rFonts w:ascii="Arial" w:hAnsi="Arial" w:cs="Arial"/>
                <w:sz w:val="20"/>
              </w:rPr>
              <w:t>RAASi</w:t>
            </w:r>
            <w:proofErr w:type="spellEnd"/>
            <w:r w:rsidRPr="0037530B">
              <w:rPr>
                <w:rFonts w:ascii="Arial" w:hAnsi="Arial" w:cs="Arial"/>
                <w:sz w:val="20"/>
              </w:rPr>
              <w:t xml:space="preserve"> therapy. </w:t>
            </w:r>
          </w:p>
          <w:p w14:paraId="5D779CDE" w14:textId="77777777" w:rsidR="00D45492" w:rsidRPr="0037530B" w:rsidRDefault="00D45492" w:rsidP="0037530B">
            <w:pPr>
              <w:rPr>
                <w:rFonts w:ascii="Arial" w:hAnsi="Arial" w:cs="Arial"/>
                <w:sz w:val="20"/>
              </w:rPr>
            </w:pPr>
          </w:p>
          <w:p w14:paraId="55938A0E" w14:textId="5458837F" w:rsidR="00CC6020" w:rsidRPr="00436296" w:rsidRDefault="00CC6020" w:rsidP="003E62ED">
            <w:pPr>
              <w:spacing w:after="120"/>
              <w:rPr>
                <w:rFonts w:ascii="Arial" w:hAnsi="Arial" w:cs="Arial"/>
                <w:sz w:val="20"/>
              </w:rPr>
            </w:pPr>
            <w:r w:rsidRPr="0037530B">
              <w:rPr>
                <w:rFonts w:ascii="Arial" w:hAnsi="Arial" w:cs="Arial"/>
                <w:sz w:val="20"/>
              </w:rPr>
              <w:t>The PBAC considered that the benefit in terms of patient-relevant outcomes in the Australian setting was uncertain, the resubmission had not adequately accounted for sodium polystyrene sulfonate (SPS) or calcium polystyrene sulfonate (CPS) resins as comparators, the estimated ICER was uncertain and significantly underestimated, and the total financial impact was high and uncertain.</w:t>
            </w:r>
          </w:p>
        </w:tc>
      </w:tr>
      <w:tr w:rsidR="00CC6020" w:rsidRPr="00436296" w14:paraId="5F82B925" w14:textId="77777777" w:rsidTr="00CC6020">
        <w:trPr>
          <w:trHeight w:val="433"/>
        </w:trPr>
        <w:tc>
          <w:tcPr>
            <w:tcW w:w="735" w:type="pct"/>
            <w:vMerge/>
          </w:tcPr>
          <w:p w14:paraId="1FE91050" w14:textId="77777777" w:rsidR="00CC6020" w:rsidRPr="00436296" w:rsidRDefault="00CC6020" w:rsidP="00436296">
            <w:pPr>
              <w:keepLines/>
              <w:contextualSpacing/>
              <w:rPr>
                <w:rFonts w:ascii="Arial" w:hAnsi="Arial" w:cs="Arial"/>
                <w:sz w:val="20"/>
              </w:rPr>
            </w:pPr>
          </w:p>
        </w:tc>
        <w:tc>
          <w:tcPr>
            <w:tcW w:w="676" w:type="pct"/>
            <w:vMerge/>
          </w:tcPr>
          <w:p w14:paraId="4B238017" w14:textId="77777777" w:rsidR="00CC6020" w:rsidRPr="00436296" w:rsidRDefault="00CC6020" w:rsidP="00436296">
            <w:pPr>
              <w:rPr>
                <w:rFonts w:ascii="Arial" w:hAnsi="Arial" w:cs="Arial"/>
                <w:sz w:val="20"/>
              </w:rPr>
            </w:pPr>
          </w:p>
        </w:tc>
        <w:tc>
          <w:tcPr>
            <w:tcW w:w="677" w:type="pct"/>
            <w:vMerge/>
          </w:tcPr>
          <w:p w14:paraId="2BF5C095" w14:textId="77777777" w:rsidR="00CC6020" w:rsidRPr="00436296" w:rsidRDefault="00CC6020" w:rsidP="00436296">
            <w:pPr>
              <w:rPr>
                <w:rFonts w:ascii="Arial" w:hAnsi="Arial" w:cs="Arial"/>
                <w:sz w:val="20"/>
              </w:rPr>
            </w:pPr>
          </w:p>
        </w:tc>
        <w:tc>
          <w:tcPr>
            <w:tcW w:w="1145" w:type="pct"/>
          </w:tcPr>
          <w:p w14:paraId="0DE9DFE3" w14:textId="6A3CF872" w:rsidR="00CC6020" w:rsidRPr="00436296" w:rsidRDefault="00CC6020">
            <w:pPr>
              <w:snapToGrid w:val="0"/>
              <w:rPr>
                <w:rFonts w:ascii="Arial" w:hAnsi="Arial" w:cs="Arial"/>
                <w:color w:val="000000"/>
                <w:sz w:val="20"/>
              </w:rPr>
            </w:pPr>
            <w:r w:rsidRPr="00436296">
              <w:rPr>
                <w:rFonts w:ascii="Arial" w:hAnsi="Arial" w:cs="Arial"/>
                <w:sz w:val="20"/>
              </w:rPr>
              <w:t>Comparator:</w:t>
            </w:r>
            <w:r w:rsidR="00D45492">
              <w:rPr>
                <w:rFonts w:ascii="Arial" w:hAnsi="Arial" w:cs="Arial"/>
                <w:sz w:val="20"/>
              </w:rPr>
              <w:t xml:space="preserve"> </w:t>
            </w:r>
            <w:r>
              <w:rPr>
                <w:rFonts w:ascii="Arial" w:hAnsi="Arial"/>
                <w:sz w:val="20"/>
              </w:rPr>
              <w:t xml:space="preserve">Standard care (including low potassium diet and modification of concomitant medications such as </w:t>
            </w:r>
            <w:proofErr w:type="spellStart"/>
            <w:r>
              <w:rPr>
                <w:rFonts w:ascii="Arial" w:hAnsi="Arial"/>
                <w:sz w:val="20"/>
              </w:rPr>
              <w:t>RAASi</w:t>
            </w:r>
            <w:proofErr w:type="spellEnd"/>
            <w:r>
              <w:rPr>
                <w:rFonts w:ascii="Arial" w:hAnsi="Arial"/>
                <w:sz w:val="20"/>
              </w:rPr>
              <w:t xml:space="preserve"> therapy)</w:t>
            </w:r>
          </w:p>
        </w:tc>
        <w:tc>
          <w:tcPr>
            <w:tcW w:w="1767" w:type="pct"/>
          </w:tcPr>
          <w:p w14:paraId="603EAD14" w14:textId="2EE7370C" w:rsidR="00CC6020" w:rsidRPr="00436296" w:rsidRDefault="00CC6020" w:rsidP="003E62ED">
            <w:pPr>
              <w:spacing w:after="120"/>
              <w:rPr>
                <w:rFonts w:ascii="Arial" w:hAnsi="Arial" w:cs="Arial"/>
                <w:sz w:val="20"/>
              </w:rPr>
            </w:pPr>
            <w:r w:rsidRPr="0037530B">
              <w:rPr>
                <w:rFonts w:ascii="Arial" w:hAnsi="Arial" w:cs="Arial"/>
                <w:sz w:val="20"/>
              </w:rPr>
              <w:t>The PBAC accepted that standard care was an appropriate comparator, however, the PBAC maintained that intermittent use of SPS/CPS resins were also relevant comparators.</w:t>
            </w:r>
          </w:p>
        </w:tc>
      </w:tr>
      <w:tr w:rsidR="00CC6020" w:rsidRPr="00436296" w14:paraId="3A664B9D" w14:textId="77777777" w:rsidTr="00CC6020">
        <w:trPr>
          <w:trHeight w:val="433"/>
        </w:trPr>
        <w:tc>
          <w:tcPr>
            <w:tcW w:w="735" w:type="pct"/>
            <w:vMerge/>
          </w:tcPr>
          <w:p w14:paraId="74E09D64" w14:textId="77777777" w:rsidR="00CC6020" w:rsidRPr="00436296" w:rsidRDefault="00CC6020" w:rsidP="00436296">
            <w:pPr>
              <w:keepLines/>
              <w:contextualSpacing/>
              <w:rPr>
                <w:rFonts w:ascii="Arial" w:hAnsi="Arial" w:cs="Arial"/>
                <w:sz w:val="20"/>
              </w:rPr>
            </w:pPr>
          </w:p>
        </w:tc>
        <w:tc>
          <w:tcPr>
            <w:tcW w:w="676" w:type="pct"/>
            <w:vMerge/>
          </w:tcPr>
          <w:p w14:paraId="6802F08C" w14:textId="77777777" w:rsidR="00CC6020" w:rsidRPr="00436296" w:rsidRDefault="00CC6020" w:rsidP="00436296">
            <w:pPr>
              <w:rPr>
                <w:rFonts w:ascii="Arial" w:hAnsi="Arial" w:cs="Arial"/>
                <w:sz w:val="20"/>
              </w:rPr>
            </w:pPr>
          </w:p>
        </w:tc>
        <w:tc>
          <w:tcPr>
            <w:tcW w:w="677" w:type="pct"/>
            <w:vMerge/>
          </w:tcPr>
          <w:p w14:paraId="53D3285D" w14:textId="77777777" w:rsidR="00CC6020" w:rsidRPr="00436296" w:rsidRDefault="00CC6020" w:rsidP="00436296">
            <w:pPr>
              <w:rPr>
                <w:rFonts w:ascii="Arial" w:hAnsi="Arial" w:cs="Arial"/>
                <w:sz w:val="20"/>
              </w:rPr>
            </w:pPr>
          </w:p>
        </w:tc>
        <w:tc>
          <w:tcPr>
            <w:tcW w:w="1145" w:type="pct"/>
          </w:tcPr>
          <w:p w14:paraId="29478BB3" w14:textId="40140A7A" w:rsidR="00CC6020" w:rsidRPr="0037530B" w:rsidRDefault="00CC6020" w:rsidP="0037530B">
            <w:pPr>
              <w:snapToGrid w:val="0"/>
              <w:rPr>
                <w:rFonts w:ascii="Arial" w:hAnsi="Arial" w:cs="Arial"/>
                <w:sz w:val="20"/>
              </w:rPr>
            </w:pPr>
            <w:r w:rsidRPr="00436296">
              <w:rPr>
                <w:rFonts w:ascii="Arial" w:hAnsi="Arial" w:cs="Arial"/>
                <w:sz w:val="20"/>
              </w:rPr>
              <w:t>Clinical claim:</w:t>
            </w:r>
            <w:r w:rsidR="00D45492">
              <w:rPr>
                <w:rFonts w:ascii="Arial" w:hAnsi="Arial" w:cs="Arial"/>
                <w:sz w:val="20"/>
              </w:rPr>
              <w:t xml:space="preserve"> </w:t>
            </w:r>
            <w:r w:rsidRPr="0037530B">
              <w:rPr>
                <w:rFonts w:ascii="Arial" w:hAnsi="Arial" w:cs="Arial"/>
                <w:sz w:val="20"/>
              </w:rPr>
              <w:t xml:space="preserve">Superior efficacy compared to standard care alone. </w:t>
            </w:r>
          </w:p>
          <w:p w14:paraId="66C05B23" w14:textId="5BE2B4B9" w:rsidR="00CC6020" w:rsidRPr="00436296" w:rsidRDefault="00CC6020">
            <w:pPr>
              <w:snapToGrid w:val="0"/>
              <w:rPr>
                <w:rFonts w:ascii="Arial" w:hAnsi="Arial" w:cs="Arial"/>
                <w:sz w:val="20"/>
              </w:rPr>
            </w:pPr>
            <w:r w:rsidRPr="0037530B">
              <w:rPr>
                <w:rFonts w:ascii="Arial" w:hAnsi="Arial" w:cs="Arial"/>
                <w:sz w:val="20"/>
              </w:rPr>
              <w:t>Inferior safety compared to standard care alone.</w:t>
            </w:r>
          </w:p>
        </w:tc>
        <w:tc>
          <w:tcPr>
            <w:tcW w:w="1767" w:type="pct"/>
          </w:tcPr>
          <w:p w14:paraId="497DD141" w14:textId="77777777" w:rsidR="00CC6020" w:rsidRDefault="00CC6020" w:rsidP="00436296">
            <w:pPr>
              <w:rPr>
                <w:rFonts w:ascii="Arial" w:hAnsi="Arial" w:cs="Arial"/>
                <w:sz w:val="20"/>
              </w:rPr>
            </w:pPr>
            <w:r w:rsidRPr="0037530B">
              <w:rPr>
                <w:rFonts w:ascii="Arial" w:hAnsi="Arial" w:cs="Arial"/>
                <w:sz w:val="20"/>
              </w:rPr>
              <w:t xml:space="preserve">The PBAC considered that the claim of superior comparative effectiveness was adequately supported for the outcome of potassium lowering, however it was not supported for patient-relevant outcomes such as maintenance or optimisation of </w:t>
            </w:r>
            <w:proofErr w:type="spellStart"/>
            <w:r w:rsidRPr="0037530B">
              <w:rPr>
                <w:rFonts w:ascii="Arial" w:hAnsi="Arial" w:cs="Arial"/>
                <w:sz w:val="20"/>
              </w:rPr>
              <w:t>RAASi</w:t>
            </w:r>
            <w:proofErr w:type="spellEnd"/>
            <w:r w:rsidRPr="0037530B">
              <w:rPr>
                <w:rFonts w:ascii="Arial" w:hAnsi="Arial" w:cs="Arial"/>
                <w:sz w:val="20"/>
              </w:rPr>
              <w:t xml:space="preserve"> therapy and long-term cardiovascular and renal outcomes.</w:t>
            </w:r>
          </w:p>
          <w:p w14:paraId="7AD18BCB" w14:textId="77777777" w:rsidR="00CC6020" w:rsidRDefault="00CC6020" w:rsidP="00436296">
            <w:pPr>
              <w:rPr>
                <w:rFonts w:ascii="Arial" w:hAnsi="Arial" w:cs="Arial"/>
                <w:sz w:val="20"/>
              </w:rPr>
            </w:pPr>
          </w:p>
          <w:p w14:paraId="7C75485E" w14:textId="53ECDB23" w:rsidR="00CC6020" w:rsidRPr="00436296" w:rsidRDefault="00CC6020" w:rsidP="003E62ED">
            <w:pPr>
              <w:spacing w:after="120"/>
              <w:rPr>
                <w:rFonts w:ascii="Arial" w:hAnsi="Arial" w:cs="Arial"/>
                <w:sz w:val="20"/>
              </w:rPr>
            </w:pPr>
            <w:r>
              <w:rPr>
                <w:rFonts w:ascii="Arial" w:hAnsi="Arial"/>
                <w:sz w:val="20"/>
              </w:rPr>
              <w:t>The PBAC considered that the claim of inferior comparative safety was reasonable noting the potential for hypokalaemia and hypomagnesaemia</w:t>
            </w:r>
          </w:p>
        </w:tc>
      </w:tr>
      <w:tr w:rsidR="00CC6020" w:rsidRPr="00436296" w14:paraId="7DDFD862" w14:textId="77777777" w:rsidTr="00CC6020">
        <w:trPr>
          <w:trHeight w:val="433"/>
        </w:trPr>
        <w:tc>
          <w:tcPr>
            <w:tcW w:w="735" w:type="pct"/>
            <w:vMerge/>
          </w:tcPr>
          <w:p w14:paraId="318C421A" w14:textId="77777777" w:rsidR="00CC6020" w:rsidRPr="00436296" w:rsidRDefault="00CC6020" w:rsidP="00436296">
            <w:pPr>
              <w:keepLines/>
              <w:contextualSpacing/>
              <w:rPr>
                <w:rFonts w:ascii="Arial" w:hAnsi="Arial" w:cs="Arial"/>
                <w:sz w:val="20"/>
              </w:rPr>
            </w:pPr>
          </w:p>
        </w:tc>
        <w:tc>
          <w:tcPr>
            <w:tcW w:w="676" w:type="pct"/>
            <w:vMerge/>
          </w:tcPr>
          <w:p w14:paraId="6CD09C0F" w14:textId="77777777" w:rsidR="00CC6020" w:rsidRPr="00436296" w:rsidRDefault="00CC6020" w:rsidP="00436296">
            <w:pPr>
              <w:rPr>
                <w:rFonts w:ascii="Arial" w:hAnsi="Arial" w:cs="Arial"/>
                <w:sz w:val="20"/>
              </w:rPr>
            </w:pPr>
          </w:p>
        </w:tc>
        <w:tc>
          <w:tcPr>
            <w:tcW w:w="677" w:type="pct"/>
            <w:vMerge/>
          </w:tcPr>
          <w:p w14:paraId="19FFE9A2" w14:textId="77777777" w:rsidR="00CC6020" w:rsidRPr="00436296" w:rsidRDefault="00CC6020" w:rsidP="00436296">
            <w:pPr>
              <w:rPr>
                <w:rFonts w:ascii="Arial" w:hAnsi="Arial" w:cs="Arial"/>
                <w:sz w:val="20"/>
              </w:rPr>
            </w:pPr>
          </w:p>
        </w:tc>
        <w:tc>
          <w:tcPr>
            <w:tcW w:w="1145" w:type="pct"/>
          </w:tcPr>
          <w:p w14:paraId="09B29AD6" w14:textId="4A9225BD" w:rsidR="00CC6020" w:rsidRPr="00436296" w:rsidRDefault="00CC6020" w:rsidP="0094710C">
            <w:pPr>
              <w:snapToGrid w:val="0"/>
              <w:rPr>
                <w:rFonts w:ascii="Arial" w:hAnsi="Arial" w:cs="Arial"/>
                <w:sz w:val="20"/>
              </w:rPr>
            </w:pPr>
            <w:r w:rsidRPr="00436296">
              <w:rPr>
                <w:rFonts w:ascii="Arial" w:hAnsi="Arial" w:cs="Arial"/>
                <w:sz w:val="20"/>
              </w:rPr>
              <w:t>Economic claim:</w:t>
            </w:r>
            <w:r>
              <w:rPr>
                <w:rFonts w:ascii="Arial" w:hAnsi="Arial"/>
                <w:sz w:val="20"/>
              </w:rPr>
              <w:t xml:space="preserve"> Cost-effectiveness analysis versus standard care (placebo).</w:t>
            </w:r>
          </w:p>
        </w:tc>
        <w:tc>
          <w:tcPr>
            <w:tcW w:w="1767" w:type="pct"/>
          </w:tcPr>
          <w:p w14:paraId="23EAB2F3" w14:textId="63BE8F90" w:rsidR="00CC6020" w:rsidRPr="00436296" w:rsidRDefault="00CC6020" w:rsidP="003E62ED">
            <w:pPr>
              <w:spacing w:after="120"/>
              <w:rPr>
                <w:rFonts w:ascii="Arial" w:hAnsi="Arial" w:cs="Arial"/>
                <w:sz w:val="20"/>
              </w:rPr>
            </w:pPr>
            <w:r w:rsidRPr="0037530B">
              <w:rPr>
                <w:rFonts w:ascii="Arial" w:hAnsi="Arial" w:cs="Arial"/>
                <w:sz w:val="20"/>
              </w:rPr>
              <w:t xml:space="preserve">The PBAC considered the economic model was unreliable and that many of the assumptions lacked face validity. In particular, the PBAC noted that the economic model assumed a median duration of </w:t>
            </w:r>
            <w:proofErr w:type="spellStart"/>
            <w:r w:rsidRPr="0037530B">
              <w:rPr>
                <w:rFonts w:ascii="Arial" w:hAnsi="Arial" w:cs="Arial"/>
                <w:sz w:val="20"/>
              </w:rPr>
              <w:t>patiromer</w:t>
            </w:r>
            <w:proofErr w:type="spellEnd"/>
            <w:r w:rsidRPr="0037530B">
              <w:rPr>
                <w:rFonts w:ascii="Arial" w:hAnsi="Arial" w:cs="Arial"/>
                <w:sz w:val="20"/>
              </w:rPr>
              <w:t xml:space="preserve"> treatment of 3 months. The PBAC considered it was highly implausible that short-term </w:t>
            </w:r>
            <w:proofErr w:type="spellStart"/>
            <w:r w:rsidRPr="0037530B">
              <w:rPr>
                <w:rFonts w:ascii="Arial" w:hAnsi="Arial" w:cs="Arial"/>
                <w:sz w:val="20"/>
              </w:rPr>
              <w:t>patiromer</w:t>
            </w:r>
            <w:proofErr w:type="spellEnd"/>
            <w:r w:rsidRPr="0037530B">
              <w:rPr>
                <w:rFonts w:ascii="Arial" w:hAnsi="Arial" w:cs="Arial"/>
                <w:sz w:val="20"/>
              </w:rPr>
              <w:t xml:space="preserve"> treatment would lead to patients </w:t>
            </w:r>
            <w:r w:rsidRPr="0037530B">
              <w:rPr>
                <w:rFonts w:ascii="Arial" w:hAnsi="Arial" w:cs="Arial"/>
                <w:sz w:val="20"/>
              </w:rPr>
              <w:lastRenderedPageBreak/>
              <w:t xml:space="preserve">remaining on full </w:t>
            </w:r>
            <w:proofErr w:type="spellStart"/>
            <w:r w:rsidRPr="0037530B">
              <w:rPr>
                <w:rFonts w:ascii="Arial" w:hAnsi="Arial" w:cs="Arial"/>
                <w:sz w:val="20"/>
              </w:rPr>
              <w:t>RAASi</w:t>
            </w:r>
            <w:proofErr w:type="spellEnd"/>
            <w:r w:rsidRPr="0037530B">
              <w:rPr>
                <w:rFonts w:ascii="Arial" w:hAnsi="Arial" w:cs="Arial"/>
                <w:sz w:val="20"/>
              </w:rPr>
              <w:t xml:space="preserve"> therapy for a prolonged period and gaining long-term cardiovascular and renal benefits.</w:t>
            </w:r>
          </w:p>
        </w:tc>
      </w:tr>
      <w:tr w:rsidR="00CC6020" w:rsidRPr="00436296" w14:paraId="229D3928" w14:textId="77777777" w:rsidTr="00CC6020">
        <w:trPr>
          <w:trHeight w:val="433"/>
        </w:trPr>
        <w:tc>
          <w:tcPr>
            <w:tcW w:w="735" w:type="pct"/>
            <w:vMerge/>
          </w:tcPr>
          <w:p w14:paraId="1D08142B" w14:textId="77777777" w:rsidR="00CC6020" w:rsidRPr="00436296" w:rsidRDefault="00CC6020" w:rsidP="00436296">
            <w:pPr>
              <w:keepLines/>
              <w:contextualSpacing/>
              <w:rPr>
                <w:rFonts w:ascii="Arial" w:hAnsi="Arial" w:cs="Arial"/>
                <w:sz w:val="20"/>
              </w:rPr>
            </w:pPr>
          </w:p>
        </w:tc>
        <w:tc>
          <w:tcPr>
            <w:tcW w:w="676" w:type="pct"/>
            <w:vMerge/>
          </w:tcPr>
          <w:p w14:paraId="59FA83EB" w14:textId="77777777" w:rsidR="00CC6020" w:rsidRPr="00436296" w:rsidRDefault="00CC6020" w:rsidP="00436296">
            <w:pPr>
              <w:rPr>
                <w:rFonts w:ascii="Arial" w:hAnsi="Arial" w:cs="Arial"/>
                <w:sz w:val="20"/>
              </w:rPr>
            </w:pPr>
          </w:p>
        </w:tc>
        <w:tc>
          <w:tcPr>
            <w:tcW w:w="677" w:type="pct"/>
            <w:vMerge/>
          </w:tcPr>
          <w:p w14:paraId="7AA3C774" w14:textId="77777777" w:rsidR="00CC6020" w:rsidRPr="00436296" w:rsidRDefault="00CC6020" w:rsidP="00436296">
            <w:pPr>
              <w:rPr>
                <w:rFonts w:ascii="Arial" w:hAnsi="Arial" w:cs="Arial"/>
                <w:sz w:val="20"/>
              </w:rPr>
            </w:pPr>
          </w:p>
        </w:tc>
        <w:tc>
          <w:tcPr>
            <w:tcW w:w="1145" w:type="pct"/>
          </w:tcPr>
          <w:p w14:paraId="78279B5B" w14:textId="233C0536" w:rsidR="00CC6020" w:rsidRPr="00436296" w:rsidRDefault="00CC6020">
            <w:pPr>
              <w:snapToGrid w:val="0"/>
              <w:jc w:val="right"/>
              <w:rPr>
                <w:rFonts w:ascii="Arial" w:hAnsi="Arial" w:cs="Arial"/>
                <w:sz w:val="20"/>
              </w:rPr>
            </w:pPr>
            <w:r w:rsidRPr="00436296">
              <w:rPr>
                <w:rFonts w:ascii="Arial" w:hAnsi="Arial" w:cs="Arial"/>
                <w:sz w:val="20"/>
              </w:rPr>
              <w:t>Sponsor’s comment:</w:t>
            </w:r>
          </w:p>
        </w:tc>
        <w:tc>
          <w:tcPr>
            <w:tcW w:w="1767" w:type="pct"/>
          </w:tcPr>
          <w:p w14:paraId="227FF9C2" w14:textId="2E31030C" w:rsidR="00CC6020" w:rsidRPr="00436296" w:rsidRDefault="00CD111A" w:rsidP="00436296">
            <w:pPr>
              <w:rPr>
                <w:rFonts w:ascii="Arial" w:hAnsi="Arial" w:cs="Arial"/>
                <w:sz w:val="20"/>
              </w:rPr>
            </w:pPr>
            <w:proofErr w:type="spellStart"/>
            <w:r w:rsidRPr="00CD111A">
              <w:rPr>
                <w:rFonts w:ascii="Arial" w:hAnsi="Arial" w:cs="Arial"/>
                <w:sz w:val="20"/>
              </w:rPr>
              <w:t>Vifor</w:t>
            </w:r>
            <w:proofErr w:type="spellEnd"/>
            <w:r w:rsidRPr="00CD111A">
              <w:rPr>
                <w:rFonts w:ascii="Arial" w:hAnsi="Arial" w:cs="Arial"/>
                <w:sz w:val="20"/>
              </w:rPr>
              <w:t xml:space="preserve"> Pharma is disappointed by the PBAC’s decision not to recommend </w:t>
            </w:r>
            <w:proofErr w:type="spellStart"/>
            <w:r w:rsidRPr="00CD111A">
              <w:rPr>
                <w:rFonts w:ascii="Arial" w:hAnsi="Arial" w:cs="Arial"/>
                <w:sz w:val="20"/>
              </w:rPr>
              <w:t>Veltassa</w:t>
            </w:r>
            <w:proofErr w:type="spellEnd"/>
            <w:r w:rsidRPr="00CD111A">
              <w:rPr>
                <w:rFonts w:ascii="Arial" w:hAnsi="Arial" w:cs="Arial"/>
                <w:sz w:val="20"/>
              </w:rPr>
              <w:t>® (</w:t>
            </w:r>
            <w:proofErr w:type="spellStart"/>
            <w:r w:rsidRPr="00CD111A">
              <w:rPr>
                <w:rFonts w:ascii="Arial" w:hAnsi="Arial" w:cs="Arial"/>
                <w:sz w:val="20"/>
              </w:rPr>
              <w:t>patiromer</w:t>
            </w:r>
            <w:proofErr w:type="spellEnd"/>
            <w:r w:rsidRPr="00CD111A">
              <w:rPr>
                <w:rFonts w:ascii="Arial" w:hAnsi="Arial" w:cs="Arial"/>
                <w:sz w:val="20"/>
              </w:rPr>
              <w:t xml:space="preserve">). </w:t>
            </w:r>
            <w:proofErr w:type="spellStart"/>
            <w:r w:rsidRPr="00CD111A">
              <w:rPr>
                <w:rFonts w:ascii="Arial" w:hAnsi="Arial" w:cs="Arial"/>
                <w:sz w:val="20"/>
              </w:rPr>
              <w:t>Vifor</w:t>
            </w:r>
            <w:proofErr w:type="spellEnd"/>
            <w:r w:rsidRPr="00CD111A">
              <w:rPr>
                <w:rFonts w:ascii="Arial" w:hAnsi="Arial" w:cs="Arial"/>
                <w:sz w:val="20"/>
              </w:rPr>
              <w:t xml:space="preserve"> Pharma remains committed to ensuring that this continuous treatment option for the management of chronic hyperkalaemia is made available to Australian patients.</w:t>
            </w:r>
          </w:p>
        </w:tc>
      </w:tr>
    </w:tbl>
    <w:p w14:paraId="121C0FA1" w14:textId="77777777" w:rsidR="0078027D" w:rsidRPr="00436296" w:rsidRDefault="0078027D">
      <w:pPr>
        <w:pStyle w:val="Title"/>
        <w:jc w:val="left"/>
        <w:rPr>
          <w:rFonts w:cs="Arial"/>
        </w:rPr>
      </w:pPr>
    </w:p>
    <w:sectPr w:rsidR="0078027D" w:rsidRPr="00436296" w:rsidSect="00DA049A">
      <w:headerReference w:type="default" r:id="rId7"/>
      <w:footerReference w:type="default" r:id="rId8"/>
      <w:headerReference w:type="first" r:id="rId9"/>
      <w:footerReference w:type="first" r:id="rId10"/>
      <w:pgSz w:w="16840" w:h="11907" w:orient="landscape" w:code="9"/>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5C47D5" w14:textId="77777777" w:rsidR="003419C9" w:rsidRDefault="003419C9">
      <w:r>
        <w:separator/>
      </w:r>
    </w:p>
  </w:endnote>
  <w:endnote w:type="continuationSeparator" w:id="0">
    <w:p w14:paraId="66B033FF" w14:textId="77777777" w:rsidR="003419C9" w:rsidRDefault="003419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ACF31B" w14:textId="77777777" w:rsidR="000805C6" w:rsidRDefault="000805C6" w:rsidP="000805C6">
    <w:pPr>
      <w:pStyle w:val="Footer"/>
      <w:jc w:val="right"/>
    </w:pPr>
  </w:p>
  <w:p w14:paraId="6DF70921" w14:textId="1F731017" w:rsidR="000805C6" w:rsidRPr="000805C6" w:rsidRDefault="000805C6" w:rsidP="000805C6">
    <w:pPr>
      <w:pStyle w:val="Footer"/>
      <w:jc w:val="right"/>
      <w:rPr>
        <w:rFonts w:ascii="Arial" w:hAnsi="Arial" w:cs="Arial"/>
        <w:sz w:val="22"/>
      </w:rPr>
    </w:pPr>
    <w:r w:rsidRPr="000805C6">
      <w:rPr>
        <w:rFonts w:ascii="Arial" w:hAnsi="Arial" w:cs="Arial"/>
        <w:sz w:val="22"/>
      </w:rPr>
      <w:fldChar w:fldCharType="begin"/>
    </w:r>
    <w:r w:rsidRPr="000805C6">
      <w:rPr>
        <w:rFonts w:ascii="Arial" w:hAnsi="Arial" w:cs="Arial"/>
        <w:sz w:val="22"/>
      </w:rPr>
      <w:instrText xml:space="preserve"> PAGE   \* MERGEFORMAT </w:instrText>
    </w:r>
    <w:r w:rsidRPr="000805C6">
      <w:rPr>
        <w:rFonts w:ascii="Arial" w:hAnsi="Arial" w:cs="Arial"/>
        <w:sz w:val="22"/>
      </w:rPr>
      <w:fldChar w:fldCharType="separate"/>
    </w:r>
    <w:r w:rsidR="00855AA0">
      <w:rPr>
        <w:rFonts w:ascii="Arial" w:hAnsi="Arial" w:cs="Arial"/>
        <w:noProof/>
        <w:sz w:val="22"/>
      </w:rPr>
      <w:t>8</w:t>
    </w:r>
    <w:r w:rsidRPr="000805C6">
      <w:rPr>
        <w:rFonts w:ascii="Arial" w:hAnsi="Arial" w:cs="Arial"/>
        <w:noProof/>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765109" w14:textId="77777777" w:rsidR="000805C6" w:rsidRDefault="000805C6">
    <w:pPr>
      <w:pStyle w:val="Footer"/>
      <w:jc w:val="right"/>
    </w:pPr>
  </w:p>
  <w:p w14:paraId="530F7B3E" w14:textId="77777777" w:rsidR="000805C6" w:rsidRPr="000805C6" w:rsidRDefault="000805C6">
    <w:pPr>
      <w:pStyle w:val="Footer"/>
      <w:jc w:val="right"/>
      <w:rPr>
        <w:rFonts w:ascii="Arial" w:hAnsi="Arial" w:cs="Arial"/>
        <w:sz w:val="22"/>
      </w:rPr>
    </w:pPr>
    <w:r w:rsidRPr="000805C6">
      <w:rPr>
        <w:rFonts w:ascii="Arial" w:hAnsi="Arial" w:cs="Arial"/>
        <w:sz w:val="22"/>
      </w:rPr>
      <w:fldChar w:fldCharType="begin"/>
    </w:r>
    <w:r w:rsidRPr="000805C6">
      <w:rPr>
        <w:rFonts w:ascii="Arial" w:hAnsi="Arial" w:cs="Arial"/>
        <w:sz w:val="22"/>
      </w:rPr>
      <w:instrText xml:space="preserve"> PAGE   \* MERGEFORMAT </w:instrText>
    </w:r>
    <w:r w:rsidRPr="000805C6">
      <w:rPr>
        <w:rFonts w:ascii="Arial" w:hAnsi="Arial" w:cs="Arial"/>
        <w:sz w:val="22"/>
      </w:rPr>
      <w:fldChar w:fldCharType="separate"/>
    </w:r>
    <w:r w:rsidR="00DA049A">
      <w:rPr>
        <w:rFonts w:ascii="Arial" w:hAnsi="Arial" w:cs="Arial"/>
        <w:noProof/>
        <w:sz w:val="22"/>
      </w:rPr>
      <w:t>1</w:t>
    </w:r>
    <w:r w:rsidRPr="000805C6">
      <w:rPr>
        <w:rFonts w:ascii="Arial" w:hAnsi="Arial" w:cs="Arial"/>
        <w:noProof/>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C2CB49" w14:textId="77777777" w:rsidR="003419C9" w:rsidRDefault="003419C9">
      <w:r>
        <w:separator/>
      </w:r>
    </w:p>
  </w:footnote>
  <w:footnote w:type="continuationSeparator" w:id="0">
    <w:p w14:paraId="282BAAE3" w14:textId="77777777" w:rsidR="003419C9" w:rsidRDefault="003419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870044" w14:textId="0B0F7936" w:rsidR="000805C6" w:rsidRDefault="00436296" w:rsidP="000805C6">
    <w:pPr>
      <w:pStyle w:val="Header"/>
      <w:jc w:val="center"/>
      <w:rPr>
        <w:rFonts w:ascii="Arial" w:hAnsi="Arial" w:cs="Arial"/>
        <w:b/>
        <w:sz w:val="20"/>
      </w:rPr>
    </w:pPr>
    <w:r>
      <w:rPr>
        <w:rFonts w:ascii="Arial" w:hAnsi="Arial" w:cs="Arial"/>
        <w:b/>
        <w:sz w:val="20"/>
      </w:rPr>
      <w:t xml:space="preserve">NOVEMBER </w:t>
    </w:r>
    <w:r w:rsidR="008555E7">
      <w:rPr>
        <w:rFonts w:ascii="Arial" w:hAnsi="Arial" w:cs="Arial"/>
        <w:b/>
        <w:sz w:val="20"/>
      </w:rPr>
      <w:t>2020</w:t>
    </w:r>
    <w:r w:rsidR="0090223A">
      <w:rPr>
        <w:rFonts w:ascii="Arial" w:hAnsi="Arial" w:cs="Arial"/>
        <w:b/>
        <w:sz w:val="20"/>
      </w:rPr>
      <w:t xml:space="preserve"> </w:t>
    </w:r>
    <w:r w:rsidR="000805C6">
      <w:rPr>
        <w:rFonts w:ascii="Arial" w:hAnsi="Arial" w:cs="Arial"/>
        <w:b/>
        <w:sz w:val="20"/>
      </w:rPr>
      <w:t>PBAC OUTCOMES – SUBSEQUENT</w:t>
    </w:r>
    <w:r w:rsidR="000805C6" w:rsidRPr="004C071C">
      <w:rPr>
        <w:rFonts w:ascii="Arial" w:hAnsi="Arial" w:cs="Arial"/>
        <w:b/>
        <w:sz w:val="20"/>
      </w:rPr>
      <w:t xml:space="preserve"> DECISIONS NOT TO RECOMMEND</w:t>
    </w:r>
  </w:p>
  <w:p w14:paraId="5D220093" w14:textId="77777777" w:rsidR="000805C6" w:rsidRPr="004C071C" w:rsidRDefault="000805C6" w:rsidP="000805C6">
    <w:pPr>
      <w:pStyle w:val="Header"/>
      <w:jc w:val="center"/>
      <w:rPr>
        <w:rFonts w:ascii="Arial" w:hAnsi="Arial" w:cs="Arial"/>
        <w:b/>
        <w:sz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57190A" w14:textId="77777777" w:rsidR="00613975" w:rsidRDefault="00A24F2E" w:rsidP="00613975">
    <w:pPr>
      <w:pStyle w:val="Header"/>
      <w:jc w:val="center"/>
      <w:rPr>
        <w:rFonts w:ascii="Arial" w:hAnsi="Arial" w:cs="Arial"/>
        <w:b/>
        <w:sz w:val="20"/>
      </w:rPr>
    </w:pPr>
    <w:r w:rsidRPr="00A24F2E">
      <w:rPr>
        <w:rFonts w:ascii="Arial" w:hAnsi="Arial" w:cs="Arial"/>
        <w:b/>
        <w:sz w:val="20"/>
      </w:rPr>
      <w:t xml:space="preserve">MONTH YEAR PBAC MEETING </w:t>
    </w:r>
    <w:r w:rsidR="000805C6">
      <w:rPr>
        <w:rFonts w:ascii="Arial" w:hAnsi="Arial" w:cs="Arial"/>
        <w:b/>
        <w:sz w:val="20"/>
      </w:rPr>
      <w:t>PBAC OUTCOMES – SUBSEQUENT</w:t>
    </w:r>
    <w:r w:rsidR="00613975" w:rsidRPr="004C071C">
      <w:rPr>
        <w:rFonts w:ascii="Arial" w:hAnsi="Arial" w:cs="Arial"/>
        <w:b/>
        <w:sz w:val="20"/>
      </w:rPr>
      <w:t xml:space="preserve"> DECISION</w:t>
    </w:r>
    <w:r w:rsidR="00B10521" w:rsidRPr="004C071C">
      <w:rPr>
        <w:rFonts w:ascii="Arial" w:hAnsi="Arial" w:cs="Arial"/>
        <w:b/>
        <w:sz w:val="20"/>
      </w:rPr>
      <w:t>S</w:t>
    </w:r>
    <w:r w:rsidR="00613975" w:rsidRPr="004C071C">
      <w:rPr>
        <w:rFonts w:ascii="Arial" w:hAnsi="Arial" w:cs="Arial"/>
        <w:b/>
        <w:sz w:val="20"/>
      </w:rPr>
      <w:t xml:space="preserve"> NOT TO RECOMMEND</w:t>
    </w:r>
  </w:p>
  <w:p w14:paraId="10684ABC" w14:textId="77777777" w:rsidR="000805C6" w:rsidRPr="004C071C" w:rsidRDefault="000805C6" w:rsidP="00613975">
    <w:pPr>
      <w:pStyle w:val="Header"/>
      <w:jc w:val="center"/>
      <w:rPr>
        <w:rFonts w:ascii="Arial" w:hAnsi="Arial" w:cs="Arial"/>
        <w:b/>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234204E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EA32E10"/>
    <w:multiLevelType w:val="hybridMultilevel"/>
    <w:tmpl w:val="A380E6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BC0525D"/>
    <w:multiLevelType w:val="hybridMultilevel"/>
    <w:tmpl w:val="203845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BF12DE7"/>
    <w:multiLevelType w:val="hybridMultilevel"/>
    <w:tmpl w:val="C78E1162"/>
    <w:lvl w:ilvl="0" w:tplc="FFFFFFFF">
      <w:start w:val="1"/>
      <w:numFmt w:val="bullet"/>
      <w:lvlText w:val=""/>
      <w:lvlJc w:val="left"/>
      <w:pPr>
        <w:tabs>
          <w:tab w:val="num" w:pos="1211"/>
        </w:tabs>
        <w:ind w:left="1211" w:hanging="851"/>
      </w:pPr>
      <w:rPr>
        <w:rFonts w:ascii="Symbol" w:hAnsi="Symbol" w:cs="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BFE1CB1"/>
    <w:multiLevelType w:val="hybridMultilevel"/>
    <w:tmpl w:val="CDC210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5BB3FC9"/>
    <w:multiLevelType w:val="hybridMultilevel"/>
    <w:tmpl w:val="753CDA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0E45B9D"/>
    <w:multiLevelType w:val="hybridMultilevel"/>
    <w:tmpl w:val="B6CAE3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3532F5D"/>
    <w:multiLevelType w:val="hybridMultilevel"/>
    <w:tmpl w:val="9048B2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C9C6F2B"/>
    <w:multiLevelType w:val="hybridMultilevel"/>
    <w:tmpl w:val="4D122A7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58369DA"/>
    <w:multiLevelType w:val="hybridMultilevel"/>
    <w:tmpl w:val="87A2DA9E"/>
    <w:lvl w:ilvl="0" w:tplc="0C090005">
      <w:start w:val="1"/>
      <w:numFmt w:val="bullet"/>
      <w:lvlText w:val=""/>
      <w:lvlJc w:val="left"/>
      <w:pPr>
        <w:ind w:left="577" w:hanging="360"/>
      </w:pPr>
      <w:rPr>
        <w:rFonts w:ascii="Wingdings" w:hAnsi="Wingdings" w:hint="default"/>
      </w:rPr>
    </w:lvl>
    <w:lvl w:ilvl="1" w:tplc="0C090003">
      <w:start w:val="1"/>
      <w:numFmt w:val="bullet"/>
      <w:lvlText w:val="o"/>
      <w:lvlJc w:val="left"/>
      <w:pPr>
        <w:ind w:left="1297" w:hanging="360"/>
      </w:pPr>
      <w:rPr>
        <w:rFonts w:ascii="Courier New" w:hAnsi="Courier New" w:cs="Courier New" w:hint="default"/>
      </w:rPr>
    </w:lvl>
    <w:lvl w:ilvl="2" w:tplc="0C090005">
      <w:start w:val="1"/>
      <w:numFmt w:val="bullet"/>
      <w:lvlText w:val=""/>
      <w:lvlJc w:val="left"/>
      <w:pPr>
        <w:ind w:left="2017" w:hanging="360"/>
      </w:pPr>
      <w:rPr>
        <w:rFonts w:ascii="Wingdings" w:hAnsi="Wingdings" w:hint="default"/>
      </w:rPr>
    </w:lvl>
    <w:lvl w:ilvl="3" w:tplc="0C090001">
      <w:start w:val="1"/>
      <w:numFmt w:val="bullet"/>
      <w:lvlText w:val=""/>
      <w:lvlJc w:val="left"/>
      <w:pPr>
        <w:ind w:left="2737" w:hanging="360"/>
      </w:pPr>
      <w:rPr>
        <w:rFonts w:ascii="Symbol" w:hAnsi="Symbol" w:hint="default"/>
      </w:rPr>
    </w:lvl>
    <w:lvl w:ilvl="4" w:tplc="0C090003">
      <w:start w:val="1"/>
      <w:numFmt w:val="bullet"/>
      <w:lvlText w:val="o"/>
      <w:lvlJc w:val="left"/>
      <w:pPr>
        <w:ind w:left="3457" w:hanging="360"/>
      </w:pPr>
      <w:rPr>
        <w:rFonts w:ascii="Courier New" w:hAnsi="Courier New" w:cs="Courier New" w:hint="default"/>
      </w:rPr>
    </w:lvl>
    <w:lvl w:ilvl="5" w:tplc="0C090005">
      <w:start w:val="1"/>
      <w:numFmt w:val="bullet"/>
      <w:lvlText w:val=""/>
      <w:lvlJc w:val="left"/>
      <w:pPr>
        <w:ind w:left="4177" w:hanging="360"/>
      </w:pPr>
      <w:rPr>
        <w:rFonts w:ascii="Wingdings" w:hAnsi="Wingdings" w:hint="default"/>
      </w:rPr>
    </w:lvl>
    <w:lvl w:ilvl="6" w:tplc="0C090001">
      <w:start w:val="1"/>
      <w:numFmt w:val="bullet"/>
      <w:lvlText w:val=""/>
      <w:lvlJc w:val="left"/>
      <w:pPr>
        <w:ind w:left="4897" w:hanging="360"/>
      </w:pPr>
      <w:rPr>
        <w:rFonts w:ascii="Symbol" w:hAnsi="Symbol" w:hint="default"/>
      </w:rPr>
    </w:lvl>
    <w:lvl w:ilvl="7" w:tplc="0C090003">
      <w:start w:val="1"/>
      <w:numFmt w:val="bullet"/>
      <w:lvlText w:val="o"/>
      <w:lvlJc w:val="left"/>
      <w:pPr>
        <w:ind w:left="5617" w:hanging="360"/>
      </w:pPr>
      <w:rPr>
        <w:rFonts w:ascii="Courier New" w:hAnsi="Courier New" w:cs="Courier New" w:hint="default"/>
      </w:rPr>
    </w:lvl>
    <w:lvl w:ilvl="8" w:tplc="0C090005">
      <w:start w:val="1"/>
      <w:numFmt w:val="bullet"/>
      <w:lvlText w:val=""/>
      <w:lvlJc w:val="left"/>
      <w:pPr>
        <w:ind w:left="6337" w:hanging="360"/>
      </w:pPr>
      <w:rPr>
        <w:rFonts w:ascii="Wingdings" w:hAnsi="Wingdings" w:hint="default"/>
      </w:rPr>
    </w:lvl>
  </w:abstractNum>
  <w:abstractNum w:abstractNumId="10" w15:restartNumberingAfterBreak="0">
    <w:nsid w:val="458D67A6"/>
    <w:multiLevelType w:val="hybridMultilevel"/>
    <w:tmpl w:val="DEA2A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98414F6"/>
    <w:multiLevelType w:val="hybridMultilevel"/>
    <w:tmpl w:val="5E1A6990"/>
    <w:lvl w:ilvl="0" w:tplc="0C090001">
      <w:start w:val="1"/>
      <w:numFmt w:val="bullet"/>
      <w:lvlText w:val=""/>
      <w:lvlJc w:val="left"/>
      <w:pPr>
        <w:tabs>
          <w:tab w:val="num" w:pos="360"/>
        </w:tabs>
        <w:ind w:left="360" w:hanging="360"/>
      </w:pPr>
      <w:rPr>
        <w:rFonts w:ascii="Symbol" w:hAnsi="Symbol" w:hint="default"/>
      </w:rPr>
    </w:lvl>
    <w:lvl w:ilvl="1" w:tplc="0C090003">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58241825"/>
    <w:multiLevelType w:val="hybridMultilevel"/>
    <w:tmpl w:val="FF506516"/>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5AB76158"/>
    <w:multiLevelType w:val="hybridMultilevel"/>
    <w:tmpl w:val="5D6A43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1A41D69"/>
    <w:multiLevelType w:val="singleLevel"/>
    <w:tmpl w:val="04090011"/>
    <w:lvl w:ilvl="0">
      <w:start w:val="1"/>
      <w:numFmt w:val="decimal"/>
      <w:lvlText w:val="%1)"/>
      <w:lvlJc w:val="left"/>
      <w:pPr>
        <w:tabs>
          <w:tab w:val="num" w:pos="360"/>
        </w:tabs>
        <w:ind w:left="360" w:hanging="360"/>
      </w:pPr>
      <w:rPr>
        <w:rFonts w:hint="default"/>
      </w:rPr>
    </w:lvl>
  </w:abstractNum>
  <w:abstractNum w:abstractNumId="15" w15:restartNumberingAfterBreak="0">
    <w:nsid w:val="666A383F"/>
    <w:multiLevelType w:val="hybridMultilevel"/>
    <w:tmpl w:val="EEB63D3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6" w15:restartNumberingAfterBreak="0">
    <w:nsid w:val="784D033C"/>
    <w:multiLevelType w:val="multilevel"/>
    <w:tmpl w:val="F942F08E"/>
    <w:lvl w:ilvl="0">
      <w:start w:val="1"/>
      <w:numFmt w:val="decimal"/>
      <w:lvlText w:val="%1"/>
      <w:lvlJc w:val="left"/>
      <w:pPr>
        <w:ind w:left="720" w:hanging="720"/>
      </w:pPr>
      <w:rPr>
        <w:rFonts w:hint="default"/>
        <w:b/>
        <w:i w:val="0"/>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4"/>
  </w:num>
  <w:num w:numId="3">
    <w:abstractNumId w:val="11"/>
  </w:num>
  <w:num w:numId="4">
    <w:abstractNumId w:val="8"/>
  </w:num>
  <w:num w:numId="5">
    <w:abstractNumId w:val="3"/>
  </w:num>
  <w:num w:numId="6">
    <w:abstractNumId w:val="16"/>
  </w:num>
  <w:num w:numId="7">
    <w:abstractNumId w:val="6"/>
  </w:num>
  <w:num w:numId="8">
    <w:abstractNumId w:val="4"/>
  </w:num>
  <w:num w:numId="9">
    <w:abstractNumId w:val="1"/>
  </w:num>
  <w:num w:numId="10">
    <w:abstractNumId w:val="7"/>
  </w:num>
  <w:num w:numId="11">
    <w:abstractNumId w:val="5"/>
  </w:num>
  <w:num w:numId="12">
    <w:abstractNumId w:val="15"/>
  </w:num>
  <w:num w:numId="13">
    <w:abstractNumId w:val="9"/>
  </w:num>
  <w:num w:numId="14">
    <w:abstractNumId w:val="10"/>
  </w:num>
  <w:num w:numId="15">
    <w:abstractNumId w:val="13"/>
  </w:num>
  <w:num w:numId="16">
    <w:abstractNumId w:val="12"/>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9148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27D"/>
    <w:rsid w:val="0000028A"/>
    <w:rsid w:val="0001162E"/>
    <w:rsid w:val="0001397B"/>
    <w:rsid w:val="00014389"/>
    <w:rsid w:val="00016ABD"/>
    <w:rsid w:val="00024634"/>
    <w:rsid w:val="00024F1C"/>
    <w:rsid w:val="00030555"/>
    <w:rsid w:val="00031E49"/>
    <w:rsid w:val="00046D30"/>
    <w:rsid w:val="0004714E"/>
    <w:rsid w:val="000632B7"/>
    <w:rsid w:val="00063F01"/>
    <w:rsid w:val="000703F3"/>
    <w:rsid w:val="000708D5"/>
    <w:rsid w:val="0007147B"/>
    <w:rsid w:val="000744C2"/>
    <w:rsid w:val="000805C6"/>
    <w:rsid w:val="0009039F"/>
    <w:rsid w:val="0009305C"/>
    <w:rsid w:val="000A5553"/>
    <w:rsid w:val="000B2AF9"/>
    <w:rsid w:val="000B3369"/>
    <w:rsid w:val="000B4313"/>
    <w:rsid w:val="000B4F11"/>
    <w:rsid w:val="000B6738"/>
    <w:rsid w:val="000D1304"/>
    <w:rsid w:val="000D28C0"/>
    <w:rsid w:val="000D3208"/>
    <w:rsid w:val="000D3717"/>
    <w:rsid w:val="000D68F5"/>
    <w:rsid w:val="000E406F"/>
    <w:rsid w:val="000E52C4"/>
    <w:rsid w:val="000E7183"/>
    <w:rsid w:val="000F05D5"/>
    <w:rsid w:val="000F5D8D"/>
    <w:rsid w:val="000F6967"/>
    <w:rsid w:val="00100A05"/>
    <w:rsid w:val="0010394D"/>
    <w:rsid w:val="001047FA"/>
    <w:rsid w:val="00106998"/>
    <w:rsid w:val="0011320E"/>
    <w:rsid w:val="0011534C"/>
    <w:rsid w:val="0011587E"/>
    <w:rsid w:val="00120488"/>
    <w:rsid w:val="0013119F"/>
    <w:rsid w:val="00140CC3"/>
    <w:rsid w:val="00144E78"/>
    <w:rsid w:val="0016574D"/>
    <w:rsid w:val="00165836"/>
    <w:rsid w:val="00170906"/>
    <w:rsid w:val="00171D23"/>
    <w:rsid w:val="001734E5"/>
    <w:rsid w:val="001738F0"/>
    <w:rsid w:val="001810B2"/>
    <w:rsid w:val="001835FC"/>
    <w:rsid w:val="001904F9"/>
    <w:rsid w:val="001A29AB"/>
    <w:rsid w:val="001C0908"/>
    <w:rsid w:val="001C5F44"/>
    <w:rsid w:val="001D38D0"/>
    <w:rsid w:val="001E1FE3"/>
    <w:rsid w:val="001E3EE1"/>
    <w:rsid w:val="001E68AD"/>
    <w:rsid w:val="001F5344"/>
    <w:rsid w:val="001F59E9"/>
    <w:rsid w:val="002007BA"/>
    <w:rsid w:val="00200B40"/>
    <w:rsid w:val="00204DB4"/>
    <w:rsid w:val="002075FB"/>
    <w:rsid w:val="00211150"/>
    <w:rsid w:val="002150CF"/>
    <w:rsid w:val="00216150"/>
    <w:rsid w:val="00220228"/>
    <w:rsid w:val="002203BC"/>
    <w:rsid w:val="00220C3F"/>
    <w:rsid w:val="00223C4D"/>
    <w:rsid w:val="002335F9"/>
    <w:rsid w:val="002341B8"/>
    <w:rsid w:val="00237031"/>
    <w:rsid w:val="00241E9E"/>
    <w:rsid w:val="002440EA"/>
    <w:rsid w:val="00244D4D"/>
    <w:rsid w:val="002460D4"/>
    <w:rsid w:val="00250988"/>
    <w:rsid w:val="00255313"/>
    <w:rsid w:val="00256ACE"/>
    <w:rsid w:val="002743B5"/>
    <w:rsid w:val="00276793"/>
    <w:rsid w:val="002861A2"/>
    <w:rsid w:val="002861D6"/>
    <w:rsid w:val="00287BC5"/>
    <w:rsid w:val="002943DE"/>
    <w:rsid w:val="002A12A4"/>
    <w:rsid w:val="002A1CF2"/>
    <w:rsid w:val="002A38E4"/>
    <w:rsid w:val="002A42C5"/>
    <w:rsid w:val="002A46E6"/>
    <w:rsid w:val="002A489D"/>
    <w:rsid w:val="002A5152"/>
    <w:rsid w:val="002A7FDE"/>
    <w:rsid w:val="002B7E02"/>
    <w:rsid w:val="002D7DE4"/>
    <w:rsid w:val="002E3BD6"/>
    <w:rsid w:val="002E5B33"/>
    <w:rsid w:val="002F02D9"/>
    <w:rsid w:val="002F0F71"/>
    <w:rsid w:val="002F5086"/>
    <w:rsid w:val="002F62A6"/>
    <w:rsid w:val="00300397"/>
    <w:rsid w:val="00302B1F"/>
    <w:rsid w:val="00303527"/>
    <w:rsid w:val="00305656"/>
    <w:rsid w:val="00312E87"/>
    <w:rsid w:val="00320F76"/>
    <w:rsid w:val="00322CA5"/>
    <w:rsid w:val="00324A59"/>
    <w:rsid w:val="003335F7"/>
    <w:rsid w:val="00337EC3"/>
    <w:rsid w:val="003419C9"/>
    <w:rsid w:val="00347546"/>
    <w:rsid w:val="00353068"/>
    <w:rsid w:val="00354EC5"/>
    <w:rsid w:val="00367958"/>
    <w:rsid w:val="00367CA3"/>
    <w:rsid w:val="00372FDE"/>
    <w:rsid w:val="0037530B"/>
    <w:rsid w:val="00380699"/>
    <w:rsid w:val="003875C3"/>
    <w:rsid w:val="00392260"/>
    <w:rsid w:val="0039594A"/>
    <w:rsid w:val="0039641E"/>
    <w:rsid w:val="003B0143"/>
    <w:rsid w:val="003B6CFA"/>
    <w:rsid w:val="003C19F8"/>
    <w:rsid w:val="003C3009"/>
    <w:rsid w:val="003C3492"/>
    <w:rsid w:val="003D67E6"/>
    <w:rsid w:val="003E2DEC"/>
    <w:rsid w:val="003E3C69"/>
    <w:rsid w:val="003E5ACC"/>
    <w:rsid w:val="003E62ED"/>
    <w:rsid w:val="003F12A1"/>
    <w:rsid w:val="003F7763"/>
    <w:rsid w:val="00400291"/>
    <w:rsid w:val="00400914"/>
    <w:rsid w:val="004037A1"/>
    <w:rsid w:val="004039DB"/>
    <w:rsid w:val="004074CD"/>
    <w:rsid w:val="00416C9D"/>
    <w:rsid w:val="00432A2F"/>
    <w:rsid w:val="00436296"/>
    <w:rsid w:val="0043706A"/>
    <w:rsid w:val="00446F57"/>
    <w:rsid w:val="0044777F"/>
    <w:rsid w:val="0045488C"/>
    <w:rsid w:val="00462DAC"/>
    <w:rsid w:val="004638C9"/>
    <w:rsid w:val="00467522"/>
    <w:rsid w:val="00475539"/>
    <w:rsid w:val="00477C5E"/>
    <w:rsid w:val="00482284"/>
    <w:rsid w:val="004874F1"/>
    <w:rsid w:val="00494A29"/>
    <w:rsid w:val="0049673E"/>
    <w:rsid w:val="004968F4"/>
    <w:rsid w:val="004A47FF"/>
    <w:rsid w:val="004A7506"/>
    <w:rsid w:val="004A76AD"/>
    <w:rsid w:val="004C071C"/>
    <w:rsid w:val="004C0A09"/>
    <w:rsid w:val="004C3700"/>
    <w:rsid w:val="004C3BA5"/>
    <w:rsid w:val="004D08BF"/>
    <w:rsid w:val="004D2DFC"/>
    <w:rsid w:val="004D3785"/>
    <w:rsid w:val="004E4BB3"/>
    <w:rsid w:val="004E58AE"/>
    <w:rsid w:val="004E61E5"/>
    <w:rsid w:val="004E7F92"/>
    <w:rsid w:val="004F22AF"/>
    <w:rsid w:val="004F37B7"/>
    <w:rsid w:val="004F53A2"/>
    <w:rsid w:val="005060C3"/>
    <w:rsid w:val="005156A1"/>
    <w:rsid w:val="00515CDE"/>
    <w:rsid w:val="00524927"/>
    <w:rsid w:val="005334F6"/>
    <w:rsid w:val="00533EC6"/>
    <w:rsid w:val="00542824"/>
    <w:rsid w:val="00551121"/>
    <w:rsid w:val="00555CC5"/>
    <w:rsid w:val="00556A91"/>
    <w:rsid w:val="0056006F"/>
    <w:rsid w:val="00565922"/>
    <w:rsid w:val="00566485"/>
    <w:rsid w:val="00575B97"/>
    <w:rsid w:val="00576AE4"/>
    <w:rsid w:val="00583A1F"/>
    <w:rsid w:val="00591511"/>
    <w:rsid w:val="005A4700"/>
    <w:rsid w:val="005A7436"/>
    <w:rsid w:val="005B1359"/>
    <w:rsid w:val="005C51C0"/>
    <w:rsid w:val="005C529C"/>
    <w:rsid w:val="005C583B"/>
    <w:rsid w:val="005D0350"/>
    <w:rsid w:val="005D06F6"/>
    <w:rsid w:val="005D07AC"/>
    <w:rsid w:val="005D547D"/>
    <w:rsid w:val="005F0519"/>
    <w:rsid w:val="00606B1D"/>
    <w:rsid w:val="00606D5B"/>
    <w:rsid w:val="00607CF8"/>
    <w:rsid w:val="00613975"/>
    <w:rsid w:val="0062060A"/>
    <w:rsid w:val="00620C2B"/>
    <w:rsid w:val="006227C5"/>
    <w:rsid w:val="00632E20"/>
    <w:rsid w:val="00636B27"/>
    <w:rsid w:val="006378CF"/>
    <w:rsid w:val="00637912"/>
    <w:rsid w:val="00651D78"/>
    <w:rsid w:val="00655D5C"/>
    <w:rsid w:val="00670168"/>
    <w:rsid w:val="00674FEC"/>
    <w:rsid w:val="00680915"/>
    <w:rsid w:val="00695D28"/>
    <w:rsid w:val="006A4BE8"/>
    <w:rsid w:val="006C196C"/>
    <w:rsid w:val="006C1CD8"/>
    <w:rsid w:val="006E0C7B"/>
    <w:rsid w:val="006F223F"/>
    <w:rsid w:val="006F3F91"/>
    <w:rsid w:val="006F40D1"/>
    <w:rsid w:val="00702619"/>
    <w:rsid w:val="007042B6"/>
    <w:rsid w:val="00704ABF"/>
    <w:rsid w:val="00704E74"/>
    <w:rsid w:val="00706EFA"/>
    <w:rsid w:val="00713AE1"/>
    <w:rsid w:val="00717D24"/>
    <w:rsid w:val="00720097"/>
    <w:rsid w:val="00735D52"/>
    <w:rsid w:val="00742251"/>
    <w:rsid w:val="00743998"/>
    <w:rsid w:val="00751128"/>
    <w:rsid w:val="0075364D"/>
    <w:rsid w:val="0075656A"/>
    <w:rsid w:val="007572F6"/>
    <w:rsid w:val="00757A9A"/>
    <w:rsid w:val="007605AB"/>
    <w:rsid w:val="0076473F"/>
    <w:rsid w:val="00770B47"/>
    <w:rsid w:val="0078027D"/>
    <w:rsid w:val="00784382"/>
    <w:rsid w:val="00784C6F"/>
    <w:rsid w:val="0079164A"/>
    <w:rsid w:val="00794439"/>
    <w:rsid w:val="007A244F"/>
    <w:rsid w:val="007A29FA"/>
    <w:rsid w:val="007A361E"/>
    <w:rsid w:val="007A489C"/>
    <w:rsid w:val="007A73D0"/>
    <w:rsid w:val="007C0EDE"/>
    <w:rsid w:val="007D085A"/>
    <w:rsid w:val="007D6662"/>
    <w:rsid w:val="0080031A"/>
    <w:rsid w:val="0080046E"/>
    <w:rsid w:val="008068F2"/>
    <w:rsid w:val="00807F6A"/>
    <w:rsid w:val="00815D6B"/>
    <w:rsid w:val="0081702A"/>
    <w:rsid w:val="00821E75"/>
    <w:rsid w:val="008240F8"/>
    <w:rsid w:val="00826000"/>
    <w:rsid w:val="008261B0"/>
    <w:rsid w:val="00842F8C"/>
    <w:rsid w:val="00850073"/>
    <w:rsid w:val="008555E7"/>
    <w:rsid w:val="00855AA0"/>
    <w:rsid w:val="00861E1B"/>
    <w:rsid w:val="0086299E"/>
    <w:rsid w:val="0086603E"/>
    <w:rsid w:val="00871023"/>
    <w:rsid w:val="0088217A"/>
    <w:rsid w:val="00894749"/>
    <w:rsid w:val="00894EFB"/>
    <w:rsid w:val="008A2AB1"/>
    <w:rsid w:val="008A5929"/>
    <w:rsid w:val="008B0E06"/>
    <w:rsid w:val="008B0E22"/>
    <w:rsid w:val="008B2F05"/>
    <w:rsid w:val="008B7160"/>
    <w:rsid w:val="008C185A"/>
    <w:rsid w:val="008C6E23"/>
    <w:rsid w:val="008D676E"/>
    <w:rsid w:val="008D72BA"/>
    <w:rsid w:val="008E0965"/>
    <w:rsid w:val="008E0ECF"/>
    <w:rsid w:val="008F3700"/>
    <w:rsid w:val="00901BD8"/>
    <w:rsid w:val="0090223A"/>
    <w:rsid w:val="0090275A"/>
    <w:rsid w:val="009044AF"/>
    <w:rsid w:val="009075BC"/>
    <w:rsid w:val="009224BE"/>
    <w:rsid w:val="00924932"/>
    <w:rsid w:val="00934AD5"/>
    <w:rsid w:val="0094710C"/>
    <w:rsid w:val="00947987"/>
    <w:rsid w:val="00952903"/>
    <w:rsid w:val="00957F9F"/>
    <w:rsid w:val="0096598E"/>
    <w:rsid w:val="00965B48"/>
    <w:rsid w:val="00972B1B"/>
    <w:rsid w:val="0098248A"/>
    <w:rsid w:val="009913E2"/>
    <w:rsid w:val="00991AFC"/>
    <w:rsid w:val="009B11C8"/>
    <w:rsid w:val="009B2F04"/>
    <w:rsid w:val="009B506A"/>
    <w:rsid w:val="009B6E95"/>
    <w:rsid w:val="009B735A"/>
    <w:rsid w:val="009B7CBE"/>
    <w:rsid w:val="009C73A4"/>
    <w:rsid w:val="009C7FD0"/>
    <w:rsid w:val="009D1D30"/>
    <w:rsid w:val="009E299C"/>
    <w:rsid w:val="009E4F41"/>
    <w:rsid w:val="009E6539"/>
    <w:rsid w:val="009F0ED6"/>
    <w:rsid w:val="009F1DCB"/>
    <w:rsid w:val="009F42BE"/>
    <w:rsid w:val="009F5E7E"/>
    <w:rsid w:val="00A019A3"/>
    <w:rsid w:val="00A02424"/>
    <w:rsid w:val="00A07C14"/>
    <w:rsid w:val="00A12FBF"/>
    <w:rsid w:val="00A24F2E"/>
    <w:rsid w:val="00A2554D"/>
    <w:rsid w:val="00A26805"/>
    <w:rsid w:val="00A30C67"/>
    <w:rsid w:val="00A32110"/>
    <w:rsid w:val="00A42840"/>
    <w:rsid w:val="00A42D88"/>
    <w:rsid w:val="00A43287"/>
    <w:rsid w:val="00A53823"/>
    <w:rsid w:val="00A55002"/>
    <w:rsid w:val="00A56ED7"/>
    <w:rsid w:val="00A61170"/>
    <w:rsid w:val="00A62091"/>
    <w:rsid w:val="00A6292D"/>
    <w:rsid w:val="00A62D7E"/>
    <w:rsid w:val="00A65A43"/>
    <w:rsid w:val="00A66732"/>
    <w:rsid w:val="00A706C5"/>
    <w:rsid w:val="00A72468"/>
    <w:rsid w:val="00A74BD3"/>
    <w:rsid w:val="00A808EE"/>
    <w:rsid w:val="00A85771"/>
    <w:rsid w:val="00A86B26"/>
    <w:rsid w:val="00A90F44"/>
    <w:rsid w:val="00A913CA"/>
    <w:rsid w:val="00A94DD0"/>
    <w:rsid w:val="00A9721F"/>
    <w:rsid w:val="00AA1F67"/>
    <w:rsid w:val="00AA6D36"/>
    <w:rsid w:val="00AA6F27"/>
    <w:rsid w:val="00AB06AE"/>
    <w:rsid w:val="00AC7A6D"/>
    <w:rsid w:val="00AD3357"/>
    <w:rsid w:val="00AD572B"/>
    <w:rsid w:val="00AE346B"/>
    <w:rsid w:val="00AE3F52"/>
    <w:rsid w:val="00AF4A3C"/>
    <w:rsid w:val="00B006A1"/>
    <w:rsid w:val="00B10521"/>
    <w:rsid w:val="00B22BA3"/>
    <w:rsid w:val="00B26FF7"/>
    <w:rsid w:val="00B43E46"/>
    <w:rsid w:val="00B44CA8"/>
    <w:rsid w:val="00B67244"/>
    <w:rsid w:val="00B77A97"/>
    <w:rsid w:val="00B80FE3"/>
    <w:rsid w:val="00BA3F70"/>
    <w:rsid w:val="00BA5A7D"/>
    <w:rsid w:val="00BB712B"/>
    <w:rsid w:val="00BC0474"/>
    <w:rsid w:val="00BC1FB7"/>
    <w:rsid w:val="00BC513E"/>
    <w:rsid w:val="00BC55C3"/>
    <w:rsid w:val="00BD3C79"/>
    <w:rsid w:val="00BD6EBF"/>
    <w:rsid w:val="00BE32A3"/>
    <w:rsid w:val="00BE58B8"/>
    <w:rsid w:val="00BE7D88"/>
    <w:rsid w:val="00BF684D"/>
    <w:rsid w:val="00BF6FDE"/>
    <w:rsid w:val="00C110F0"/>
    <w:rsid w:val="00C14688"/>
    <w:rsid w:val="00C2561B"/>
    <w:rsid w:val="00C26A1C"/>
    <w:rsid w:val="00C3248D"/>
    <w:rsid w:val="00C333D1"/>
    <w:rsid w:val="00C355A7"/>
    <w:rsid w:val="00C4326C"/>
    <w:rsid w:val="00C44762"/>
    <w:rsid w:val="00C464A5"/>
    <w:rsid w:val="00C50B10"/>
    <w:rsid w:val="00C637FB"/>
    <w:rsid w:val="00C7082F"/>
    <w:rsid w:val="00C847AD"/>
    <w:rsid w:val="00C91B1E"/>
    <w:rsid w:val="00C9315F"/>
    <w:rsid w:val="00C9450F"/>
    <w:rsid w:val="00C94D2C"/>
    <w:rsid w:val="00CA0C65"/>
    <w:rsid w:val="00CA2B5C"/>
    <w:rsid w:val="00CB7D91"/>
    <w:rsid w:val="00CC6020"/>
    <w:rsid w:val="00CD0E5A"/>
    <w:rsid w:val="00CD111A"/>
    <w:rsid w:val="00CD3345"/>
    <w:rsid w:val="00CE363F"/>
    <w:rsid w:val="00CE3D26"/>
    <w:rsid w:val="00CE4415"/>
    <w:rsid w:val="00CF4E65"/>
    <w:rsid w:val="00D06895"/>
    <w:rsid w:val="00D1123D"/>
    <w:rsid w:val="00D15B5D"/>
    <w:rsid w:val="00D22393"/>
    <w:rsid w:val="00D230A2"/>
    <w:rsid w:val="00D3127D"/>
    <w:rsid w:val="00D45492"/>
    <w:rsid w:val="00D45E00"/>
    <w:rsid w:val="00D46559"/>
    <w:rsid w:val="00D5330C"/>
    <w:rsid w:val="00D54EAF"/>
    <w:rsid w:val="00D60FB2"/>
    <w:rsid w:val="00D641C2"/>
    <w:rsid w:val="00D65DDC"/>
    <w:rsid w:val="00D75AE8"/>
    <w:rsid w:val="00D85166"/>
    <w:rsid w:val="00D87943"/>
    <w:rsid w:val="00D905C6"/>
    <w:rsid w:val="00D93415"/>
    <w:rsid w:val="00D95CFA"/>
    <w:rsid w:val="00DA049A"/>
    <w:rsid w:val="00DA0B64"/>
    <w:rsid w:val="00DB0BAD"/>
    <w:rsid w:val="00DB17AB"/>
    <w:rsid w:val="00DB3394"/>
    <w:rsid w:val="00DB589E"/>
    <w:rsid w:val="00DB598A"/>
    <w:rsid w:val="00DB63C7"/>
    <w:rsid w:val="00DC3F72"/>
    <w:rsid w:val="00DC6B74"/>
    <w:rsid w:val="00DD24B0"/>
    <w:rsid w:val="00DD5B1D"/>
    <w:rsid w:val="00DD66E2"/>
    <w:rsid w:val="00DD675E"/>
    <w:rsid w:val="00DE5D27"/>
    <w:rsid w:val="00DE6421"/>
    <w:rsid w:val="00DE6C5F"/>
    <w:rsid w:val="00DF599B"/>
    <w:rsid w:val="00DF703C"/>
    <w:rsid w:val="00E05DC5"/>
    <w:rsid w:val="00E069A5"/>
    <w:rsid w:val="00E118C7"/>
    <w:rsid w:val="00E16367"/>
    <w:rsid w:val="00E224FF"/>
    <w:rsid w:val="00E229AC"/>
    <w:rsid w:val="00E239BA"/>
    <w:rsid w:val="00E331E0"/>
    <w:rsid w:val="00E47E9A"/>
    <w:rsid w:val="00E508BC"/>
    <w:rsid w:val="00E60ACD"/>
    <w:rsid w:val="00E7686D"/>
    <w:rsid w:val="00E77EAA"/>
    <w:rsid w:val="00E86609"/>
    <w:rsid w:val="00E90974"/>
    <w:rsid w:val="00E926C8"/>
    <w:rsid w:val="00E95308"/>
    <w:rsid w:val="00EA02A3"/>
    <w:rsid w:val="00EA54DE"/>
    <w:rsid w:val="00EA6994"/>
    <w:rsid w:val="00EB0142"/>
    <w:rsid w:val="00EB0C3C"/>
    <w:rsid w:val="00EC5DA3"/>
    <w:rsid w:val="00EE1E21"/>
    <w:rsid w:val="00EE1E65"/>
    <w:rsid w:val="00EE5442"/>
    <w:rsid w:val="00EF026E"/>
    <w:rsid w:val="00EF0A35"/>
    <w:rsid w:val="00F04BCB"/>
    <w:rsid w:val="00F13F3C"/>
    <w:rsid w:val="00F20487"/>
    <w:rsid w:val="00F215D2"/>
    <w:rsid w:val="00F23F38"/>
    <w:rsid w:val="00F25545"/>
    <w:rsid w:val="00F40665"/>
    <w:rsid w:val="00F43732"/>
    <w:rsid w:val="00F50BDE"/>
    <w:rsid w:val="00F52E0A"/>
    <w:rsid w:val="00F562A0"/>
    <w:rsid w:val="00F605F7"/>
    <w:rsid w:val="00F72B54"/>
    <w:rsid w:val="00F75206"/>
    <w:rsid w:val="00F82673"/>
    <w:rsid w:val="00F83FA8"/>
    <w:rsid w:val="00F924D9"/>
    <w:rsid w:val="00FB0A24"/>
    <w:rsid w:val="00FC4900"/>
    <w:rsid w:val="00FD6C20"/>
    <w:rsid w:val="00FD7D78"/>
    <w:rsid w:val="00FE2750"/>
    <w:rsid w:val="00FE52DE"/>
    <w:rsid w:val="00FE5BC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1489"/>
    <o:shapelayout v:ext="edit">
      <o:idmap v:ext="edit" data="1"/>
    </o:shapelayout>
  </w:shapeDefaults>
  <w:decimalSymbol w:val="."/>
  <w:listSeparator w:val=","/>
  <w14:docId w14:val="2DE36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keepNext/>
      <w:outlineLvl w:val="0"/>
    </w:pPr>
    <w:rPr>
      <w:rFonts w:ascii="Arial" w:hAnsi="Arial"/>
      <w:b/>
      <w:sz w:val="20"/>
    </w:rPr>
  </w:style>
  <w:style w:type="paragraph" w:styleId="Heading8">
    <w:name w:val="heading 8"/>
    <w:basedOn w:val="Normal"/>
    <w:next w:val="Normal"/>
    <w:link w:val="Heading8Char"/>
    <w:rsid w:val="00702619"/>
    <w:pPr>
      <w:keepNext/>
      <w:widowControl w:val="0"/>
      <w:jc w:val="right"/>
      <w:outlineLvl w:val="7"/>
    </w:pPr>
    <w:rPr>
      <w:rFonts w:ascii="Calibri" w:hAnsi="Calibri" w:cs="Arial"/>
      <w:b/>
      <w:snapToGrid w:val="0"/>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ListBullet">
    <w:name w:val="List Bullet"/>
    <w:basedOn w:val="Normal"/>
    <w:autoRedefine/>
    <w:rsid w:val="00632E20"/>
    <w:rPr>
      <w:rFonts w:ascii="Arial" w:hAnsi="Arial" w:cs="Arial"/>
      <w:snapToGrid w:val="0"/>
      <w:sz w:val="20"/>
      <w:lang w:eastAsia="en-US"/>
    </w:rPr>
  </w:style>
  <w:style w:type="paragraph" w:styleId="BodyText">
    <w:name w:val="Body Text"/>
    <w:basedOn w:val="Normal"/>
    <w:rPr>
      <w:rFonts w:ascii="Arial" w:hAnsi="Arial"/>
      <w:sz w:val="20"/>
    </w:rPr>
  </w:style>
  <w:style w:type="paragraph" w:customStyle="1" w:styleId="PBSnormal">
    <w:name w:val="PBS normal"/>
    <w:basedOn w:val="Normal"/>
    <w:rsid w:val="00CE3D26"/>
    <w:pPr>
      <w:autoSpaceDE w:val="0"/>
      <w:autoSpaceDN w:val="0"/>
    </w:pPr>
    <w:rPr>
      <w:rFonts w:ascii="Arial" w:hAnsi="Arial" w:cs="Arial"/>
      <w:sz w:val="22"/>
      <w:szCs w:val="22"/>
      <w:lang w:val="en-US"/>
    </w:rPr>
  </w:style>
  <w:style w:type="paragraph" w:styleId="Title">
    <w:name w:val="Title"/>
    <w:basedOn w:val="Normal"/>
    <w:link w:val="TitleChar"/>
    <w:qFormat/>
    <w:rsid w:val="00204DB4"/>
    <w:pPr>
      <w:jc w:val="center"/>
    </w:pPr>
    <w:rPr>
      <w:rFonts w:ascii="Arial" w:hAnsi="Arial"/>
      <w:b/>
      <w:sz w:val="20"/>
    </w:rPr>
  </w:style>
  <w:style w:type="character" w:customStyle="1" w:styleId="HeaderChar">
    <w:name w:val="Header Char"/>
    <w:aliases w:val="Page Header Char,Header title Char,he=header Char,cntr/bld Char"/>
    <w:link w:val="Header"/>
    <w:rsid w:val="009F0ED6"/>
    <w:rPr>
      <w:sz w:val="24"/>
      <w:lang w:val="en-AU" w:eastAsia="en-AU" w:bidi="ar-SA"/>
    </w:rPr>
  </w:style>
  <w:style w:type="character" w:customStyle="1" w:styleId="FooterChar">
    <w:name w:val="Footer Char"/>
    <w:link w:val="Footer"/>
    <w:uiPriority w:val="99"/>
    <w:rsid w:val="009F0ED6"/>
    <w:rPr>
      <w:sz w:val="24"/>
      <w:lang w:val="en-AU" w:eastAsia="en-AU" w:bidi="ar-SA"/>
    </w:rPr>
  </w:style>
  <w:style w:type="character" w:styleId="Hyperlink">
    <w:name w:val="Hyperlink"/>
    <w:rsid w:val="007A361E"/>
    <w:rPr>
      <w:color w:val="0000FF"/>
      <w:u w:val="single"/>
    </w:rPr>
  </w:style>
  <w:style w:type="paragraph" w:styleId="NormalWeb">
    <w:name w:val="Normal (Web)"/>
    <w:basedOn w:val="Normal"/>
    <w:uiPriority w:val="99"/>
    <w:unhideWhenUsed/>
    <w:rsid w:val="004D2DFC"/>
    <w:pPr>
      <w:spacing w:before="100" w:beforeAutospacing="1" w:after="100" w:afterAutospacing="1"/>
    </w:pPr>
    <w:rPr>
      <w:szCs w:val="24"/>
    </w:rPr>
  </w:style>
  <w:style w:type="paragraph" w:styleId="ListParagraph">
    <w:name w:val="List Paragraph"/>
    <w:aliases w:val="Numbered para,BulletPoints,V5.0 Exec bullet List 1,Footnote,Bullet point,List Paragraph1,List Paragraph11,Recommendation,ES Paragraph,PBAC ES Paragraph,PBAC normal points,Bullet List,Bullets Points,Styl moj,Akapit z listą1,Section heading"/>
    <w:basedOn w:val="Normal"/>
    <w:link w:val="ListParagraphChar"/>
    <w:uiPriority w:val="34"/>
    <w:qFormat/>
    <w:rsid w:val="001810B2"/>
    <w:pPr>
      <w:ind w:left="720"/>
      <w:contextualSpacing/>
    </w:pPr>
    <w:rPr>
      <w:szCs w:val="24"/>
    </w:rPr>
  </w:style>
  <w:style w:type="character" w:customStyle="1" w:styleId="ListParagraphChar">
    <w:name w:val="List Paragraph Char"/>
    <w:aliases w:val="Numbered para Char,BulletPoints Char,V5.0 Exec bullet List 1 Char,Footnote Char,Bullet point Char,List Paragraph1 Char,List Paragraph11 Char,Recommendation Char,ES Paragraph Char,PBAC ES Paragraph Char,PBAC normal points Char"/>
    <w:link w:val="ListParagraph"/>
    <w:uiPriority w:val="34"/>
    <w:qFormat/>
    <w:rsid w:val="00EE5442"/>
    <w:rPr>
      <w:sz w:val="24"/>
      <w:szCs w:val="24"/>
    </w:rPr>
  </w:style>
  <w:style w:type="character" w:styleId="PageNumber">
    <w:name w:val="page number"/>
    <w:rsid w:val="00D641C2"/>
  </w:style>
  <w:style w:type="table" w:styleId="TableGrid">
    <w:name w:val="Table Grid"/>
    <w:basedOn w:val="TableNormal"/>
    <w:uiPriority w:val="59"/>
    <w:rsid w:val="006E0C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43998"/>
    <w:rPr>
      <w:rFonts w:ascii="Tahoma" w:hAnsi="Tahoma" w:cs="Tahoma"/>
      <w:sz w:val="16"/>
      <w:szCs w:val="16"/>
    </w:rPr>
  </w:style>
  <w:style w:type="character" w:customStyle="1" w:styleId="BalloonTextChar">
    <w:name w:val="Balloon Text Char"/>
    <w:link w:val="BalloonText"/>
    <w:rsid w:val="00743998"/>
    <w:rPr>
      <w:rFonts w:ascii="Tahoma" w:hAnsi="Tahoma" w:cs="Tahoma"/>
      <w:sz w:val="16"/>
      <w:szCs w:val="16"/>
    </w:rPr>
  </w:style>
  <w:style w:type="character" w:styleId="CommentReference">
    <w:name w:val="annotation reference"/>
    <w:basedOn w:val="DefaultParagraphFont"/>
    <w:semiHidden/>
    <w:unhideWhenUsed/>
    <w:rsid w:val="00D22393"/>
    <w:rPr>
      <w:sz w:val="16"/>
      <w:szCs w:val="16"/>
    </w:rPr>
  </w:style>
  <w:style w:type="paragraph" w:styleId="CommentText">
    <w:name w:val="annotation text"/>
    <w:basedOn w:val="Normal"/>
    <w:link w:val="CommentTextChar"/>
    <w:semiHidden/>
    <w:unhideWhenUsed/>
    <w:rsid w:val="00D22393"/>
    <w:rPr>
      <w:sz w:val="20"/>
    </w:rPr>
  </w:style>
  <w:style w:type="character" w:customStyle="1" w:styleId="CommentTextChar">
    <w:name w:val="Comment Text Char"/>
    <w:basedOn w:val="DefaultParagraphFont"/>
    <w:link w:val="CommentText"/>
    <w:semiHidden/>
    <w:rsid w:val="00D22393"/>
  </w:style>
  <w:style w:type="paragraph" w:styleId="CommentSubject">
    <w:name w:val="annotation subject"/>
    <w:basedOn w:val="CommentText"/>
    <w:next w:val="CommentText"/>
    <w:link w:val="CommentSubjectChar"/>
    <w:semiHidden/>
    <w:unhideWhenUsed/>
    <w:rsid w:val="00D22393"/>
    <w:rPr>
      <w:b/>
      <w:bCs/>
    </w:rPr>
  </w:style>
  <w:style w:type="character" w:customStyle="1" w:styleId="CommentSubjectChar">
    <w:name w:val="Comment Subject Char"/>
    <w:basedOn w:val="CommentTextChar"/>
    <w:link w:val="CommentSubject"/>
    <w:semiHidden/>
    <w:rsid w:val="00D22393"/>
    <w:rPr>
      <w:b/>
      <w:bCs/>
    </w:rPr>
  </w:style>
  <w:style w:type="character" w:customStyle="1" w:styleId="Heading8Char">
    <w:name w:val="Heading 8 Char"/>
    <w:basedOn w:val="DefaultParagraphFont"/>
    <w:link w:val="Heading8"/>
    <w:rsid w:val="00702619"/>
    <w:rPr>
      <w:rFonts w:ascii="Calibri" w:hAnsi="Calibri" w:cs="Arial"/>
      <w:b/>
      <w:snapToGrid w:val="0"/>
      <w:sz w:val="24"/>
      <w:szCs w:val="22"/>
      <w:lang w:eastAsia="en-US"/>
    </w:rPr>
  </w:style>
  <w:style w:type="paragraph" w:customStyle="1" w:styleId="2Sections">
    <w:name w:val="2. Sections"/>
    <w:qFormat/>
    <w:rsid w:val="00566485"/>
    <w:pPr>
      <w:tabs>
        <w:tab w:val="num" w:pos="360"/>
      </w:tabs>
      <w:spacing w:before="240" w:after="120"/>
      <w:outlineLvl w:val="0"/>
    </w:pPr>
    <w:rPr>
      <w:rFonts w:ascii="Calibri" w:hAnsi="Calibri" w:cs="Arial"/>
      <w:b/>
      <w:snapToGrid w:val="0"/>
      <w:sz w:val="32"/>
      <w:szCs w:val="32"/>
      <w:lang w:eastAsia="en-US"/>
    </w:rPr>
  </w:style>
  <w:style w:type="paragraph" w:customStyle="1" w:styleId="3Bodytext">
    <w:name w:val="3. Body text"/>
    <w:basedOn w:val="ListParagraph"/>
    <w:link w:val="3BodytextChar"/>
    <w:qFormat/>
    <w:rsid w:val="00566485"/>
    <w:pPr>
      <w:spacing w:after="120"/>
      <w:ind w:hanging="720"/>
      <w:contextualSpacing w:val="0"/>
      <w:jc w:val="both"/>
    </w:pPr>
    <w:rPr>
      <w:rFonts w:ascii="Calibri" w:eastAsia="Calibri" w:hAnsi="Calibri"/>
      <w:szCs w:val="22"/>
      <w:lang w:eastAsia="en-US"/>
    </w:rPr>
  </w:style>
  <w:style w:type="character" w:customStyle="1" w:styleId="3BodytextChar">
    <w:name w:val="3. Body text Char"/>
    <w:link w:val="3Bodytext"/>
    <w:rsid w:val="00566485"/>
    <w:rPr>
      <w:rFonts w:ascii="Calibri" w:eastAsia="Calibri" w:hAnsi="Calibri"/>
      <w:sz w:val="24"/>
      <w:szCs w:val="22"/>
      <w:lang w:eastAsia="en-US"/>
    </w:rPr>
  </w:style>
  <w:style w:type="paragraph" w:customStyle="1" w:styleId="2-SectionHeading">
    <w:name w:val="2-Section Heading"/>
    <w:qFormat/>
    <w:rsid w:val="00DF599B"/>
    <w:pPr>
      <w:keepNext/>
      <w:spacing w:before="240" w:after="120"/>
      <w:ind w:left="720" w:hanging="720"/>
      <w:outlineLvl w:val="0"/>
    </w:pPr>
    <w:rPr>
      <w:rFonts w:asciiTheme="minorHAnsi" w:hAnsiTheme="minorHAnsi" w:cs="Arial"/>
      <w:b/>
      <w:snapToGrid w:val="0"/>
      <w:sz w:val="32"/>
      <w:szCs w:val="32"/>
    </w:rPr>
  </w:style>
  <w:style w:type="paragraph" w:customStyle="1" w:styleId="3-BodyText">
    <w:name w:val="3-Body Text"/>
    <w:basedOn w:val="ListParagraph"/>
    <w:link w:val="3-BodyTextChar"/>
    <w:qFormat/>
    <w:rsid w:val="00DF599B"/>
    <w:pPr>
      <w:spacing w:after="120"/>
      <w:ind w:hanging="720"/>
      <w:contextualSpacing w:val="0"/>
      <w:jc w:val="both"/>
    </w:pPr>
    <w:rPr>
      <w:rFonts w:asciiTheme="minorHAnsi" w:hAnsiTheme="minorHAnsi" w:cs="Arial"/>
      <w:snapToGrid w:val="0"/>
    </w:rPr>
  </w:style>
  <w:style w:type="character" w:customStyle="1" w:styleId="3-BodyTextChar">
    <w:name w:val="3-Body Text Char"/>
    <w:basedOn w:val="DefaultParagraphFont"/>
    <w:link w:val="3-BodyText"/>
    <w:rsid w:val="00DF599B"/>
    <w:rPr>
      <w:rFonts w:asciiTheme="minorHAnsi" w:hAnsiTheme="minorHAnsi" w:cs="Arial"/>
      <w:snapToGrid w:val="0"/>
      <w:sz w:val="24"/>
      <w:szCs w:val="24"/>
    </w:rPr>
  </w:style>
  <w:style w:type="character" w:customStyle="1" w:styleId="TitleChar">
    <w:name w:val="Title Char"/>
    <w:basedOn w:val="DefaultParagraphFont"/>
    <w:link w:val="Title"/>
    <w:rsid w:val="001904F9"/>
    <w:rPr>
      <w:rFonts w:ascii="Arial" w:hAnsi="Arial"/>
      <w:b/>
    </w:rPr>
  </w:style>
  <w:style w:type="character" w:styleId="FollowedHyperlink">
    <w:name w:val="FollowedHyperlink"/>
    <w:basedOn w:val="DefaultParagraphFont"/>
    <w:semiHidden/>
    <w:unhideWhenUsed/>
    <w:rsid w:val="002A12A4"/>
    <w:rPr>
      <w:color w:val="800080" w:themeColor="followedHyperlink"/>
      <w:u w:val="single"/>
    </w:rPr>
  </w:style>
  <w:style w:type="paragraph" w:customStyle="1" w:styleId="Default">
    <w:name w:val="Default"/>
    <w:rsid w:val="00BB712B"/>
    <w:pPr>
      <w:autoSpaceDE w:val="0"/>
      <w:autoSpaceDN w:val="0"/>
      <w:adjustRightInd w:val="0"/>
    </w:pPr>
    <w:rPr>
      <w:rFonts w:ascii="Calibri" w:hAnsi="Calibri" w:cs="Calibri"/>
      <w:color w:val="000000"/>
      <w:sz w:val="24"/>
      <w:szCs w:val="24"/>
    </w:rPr>
  </w:style>
  <w:style w:type="paragraph" w:styleId="Revision">
    <w:name w:val="Revision"/>
    <w:hidden/>
    <w:uiPriority w:val="99"/>
    <w:semiHidden/>
    <w:rsid w:val="002203B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454407">
      <w:bodyDiv w:val="1"/>
      <w:marLeft w:val="0"/>
      <w:marRight w:val="0"/>
      <w:marTop w:val="0"/>
      <w:marBottom w:val="0"/>
      <w:divBdr>
        <w:top w:val="none" w:sz="0" w:space="0" w:color="auto"/>
        <w:left w:val="none" w:sz="0" w:space="0" w:color="auto"/>
        <w:bottom w:val="none" w:sz="0" w:space="0" w:color="auto"/>
        <w:right w:val="none" w:sz="0" w:space="0" w:color="auto"/>
      </w:divBdr>
    </w:div>
    <w:div w:id="82998889">
      <w:bodyDiv w:val="1"/>
      <w:marLeft w:val="0"/>
      <w:marRight w:val="0"/>
      <w:marTop w:val="0"/>
      <w:marBottom w:val="0"/>
      <w:divBdr>
        <w:top w:val="none" w:sz="0" w:space="0" w:color="auto"/>
        <w:left w:val="none" w:sz="0" w:space="0" w:color="auto"/>
        <w:bottom w:val="none" w:sz="0" w:space="0" w:color="auto"/>
        <w:right w:val="none" w:sz="0" w:space="0" w:color="auto"/>
      </w:divBdr>
      <w:divsChild>
        <w:div w:id="728114355">
          <w:marLeft w:val="0"/>
          <w:marRight w:val="0"/>
          <w:marTop w:val="0"/>
          <w:marBottom w:val="0"/>
          <w:divBdr>
            <w:top w:val="none" w:sz="0" w:space="0" w:color="auto"/>
            <w:left w:val="none" w:sz="0" w:space="0" w:color="auto"/>
            <w:bottom w:val="none" w:sz="0" w:space="0" w:color="auto"/>
            <w:right w:val="none" w:sz="0" w:space="0" w:color="auto"/>
          </w:divBdr>
        </w:div>
      </w:divsChild>
    </w:div>
    <w:div w:id="139420546">
      <w:bodyDiv w:val="1"/>
      <w:marLeft w:val="0"/>
      <w:marRight w:val="0"/>
      <w:marTop w:val="0"/>
      <w:marBottom w:val="0"/>
      <w:divBdr>
        <w:top w:val="none" w:sz="0" w:space="0" w:color="auto"/>
        <w:left w:val="none" w:sz="0" w:space="0" w:color="auto"/>
        <w:bottom w:val="none" w:sz="0" w:space="0" w:color="auto"/>
        <w:right w:val="none" w:sz="0" w:space="0" w:color="auto"/>
      </w:divBdr>
    </w:div>
    <w:div w:id="308173203">
      <w:bodyDiv w:val="1"/>
      <w:marLeft w:val="0"/>
      <w:marRight w:val="0"/>
      <w:marTop w:val="0"/>
      <w:marBottom w:val="0"/>
      <w:divBdr>
        <w:top w:val="none" w:sz="0" w:space="0" w:color="auto"/>
        <w:left w:val="none" w:sz="0" w:space="0" w:color="auto"/>
        <w:bottom w:val="none" w:sz="0" w:space="0" w:color="auto"/>
        <w:right w:val="none" w:sz="0" w:space="0" w:color="auto"/>
      </w:divBdr>
    </w:div>
    <w:div w:id="340158430">
      <w:bodyDiv w:val="1"/>
      <w:marLeft w:val="0"/>
      <w:marRight w:val="0"/>
      <w:marTop w:val="0"/>
      <w:marBottom w:val="0"/>
      <w:divBdr>
        <w:top w:val="none" w:sz="0" w:space="0" w:color="auto"/>
        <w:left w:val="none" w:sz="0" w:space="0" w:color="auto"/>
        <w:bottom w:val="none" w:sz="0" w:space="0" w:color="auto"/>
        <w:right w:val="none" w:sz="0" w:space="0" w:color="auto"/>
      </w:divBdr>
    </w:div>
    <w:div w:id="371346629">
      <w:bodyDiv w:val="1"/>
      <w:marLeft w:val="0"/>
      <w:marRight w:val="0"/>
      <w:marTop w:val="0"/>
      <w:marBottom w:val="0"/>
      <w:divBdr>
        <w:top w:val="none" w:sz="0" w:space="0" w:color="auto"/>
        <w:left w:val="none" w:sz="0" w:space="0" w:color="auto"/>
        <w:bottom w:val="none" w:sz="0" w:space="0" w:color="auto"/>
        <w:right w:val="none" w:sz="0" w:space="0" w:color="auto"/>
      </w:divBdr>
    </w:div>
    <w:div w:id="389964605">
      <w:bodyDiv w:val="1"/>
      <w:marLeft w:val="0"/>
      <w:marRight w:val="0"/>
      <w:marTop w:val="0"/>
      <w:marBottom w:val="0"/>
      <w:divBdr>
        <w:top w:val="none" w:sz="0" w:space="0" w:color="auto"/>
        <w:left w:val="none" w:sz="0" w:space="0" w:color="auto"/>
        <w:bottom w:val="none" w:sz="0" w:space="0" w:color="auto"/>
        <w:right w:val="none" w:sz="0" w:space="0" w:color="auto"/>
      </w:divBdr>
    </w:div>
    <w:div w:id="501899143">
      <w:bodyDiv w:val="1"/>
      <w:marLeft w:val="0"/>
      <w:marRight w:val="0"/>
      <w:marTop w:val="0"/>
      <w:marBottom w:val="0"/>
      <w:divBdr>
        <w:top w:val="none" w:sz="0" w:space="0" w:color="auto"/>
        <w:left w:val="none" w:sz="0" w:space="0" w:color="auto"/>
        <w:bottom w:val="none" w:sz="0" w:space="0" w:color="auto"/>
        <w:right w:val="none" w:sz="0" w:space="0" w:color="auto"/>
      </w:divBdr>
    </w:div>
    <w:div w:id="510484548">
      <w:bodyDiv w:val="1"/>
      <w:marLeft w:val="0"/>
      <w:marRight w:val="0"/>
      <w:marTop w:val="0"/>
      <w:marBottom w:val="0"/>
      <w:divBdr>
        <w:top w:val="none" w:sz="0" w:space="0" w:color="auto"/>
        <w:left w:val="none" w:sz="0" w:space="0" w:color="auto"/>
        <w:bottom w:val="none" w:sz="0" w:space="0" w:color="auto"/>
        <w:right w:val="none" w:sz="0" w:space="0" w:color="auto"/>
      </w:divBdr>
    </w:div>
    <w:div w:id="533423563">
      <w:bodyDiv w:val="1"/>
      <w:marLeft w:val="0"/>
      <w:marRight w:val="0"/>
      <w:marTop w:val="0"/>
      <w:marBottom w:val="0"/>
      <w:divBdr>
        <w:top w:val="none" w:sz="0" w:space="0" w:color="auto"/>
        <w:left w:val="none" w:sz="0" w:space="0" w:color="auto"/>
        <w:bottom w:val="none" w:sz="0" w:space="0" w:color="auto"/>
        <w:right w:val="none" w:sz="0" w:space="0" w:color="auto"/>
      </w:divBdr>
    </w:div>
    <w:div w:id="565528882">
      <w:bodyDiv w:val="1"/>
      <w:marLeft w:val="0"/>
      <w:marRight w:val="0"/>
      <w:marTop w:val="0"/>
      <w:marBottom w:val="0"/>
      <w:divBdr>
        <w:top w:val="none" w:sz="0" w:space="0" w:color="auto"/>
        <w:left w:val="none" w:sz="0" w:space="0" w:color="auto"/>
        <w:bottom w:val="none" w:sz="0" w:space="0" w:color="auto"/>
        <w:right w:val="none" w:sz="0" w:space="0" w:color="auto"/>
      </w:divBdr>
    </w:div>
    <w:div w:id="625280162">
      <w:bodyDiv w:val="1"/>
      <w:marLeft w:val="0"/>
      <w:marRight w:val="0"/>
      <w:marTop w:val="0"/>
      <w:marBottom w:val="0"/>
      <w:divBdr>
        <w:top w:val="none" w:sz="0" w:space="0" w:color="auto"/>
        <w:left w:val="none" w:sz="0" w:space="0" w:color="auto"/>
        <w:bottom w:val="none" w:sz="0" w:space="0" w:color="auto"/>
        <w:right w:val="none" w:sz="0" w:space="0" w:color="auto"/>
      </w:divBdr>
    </w:div>
    <w:div w:id="679549730">
      <w:bodyDiv w:val="1"/>
      <w:marLeft w:val="0"/>
      <w:marRight w:val="0"/>
      <w:marTop w:val="0"/>
      <w:marBottom w:val="0"/>
      <w:divBdr>
        <w:top w:val="none" w:sz="0" w:space="0" w:color="auto"/>
        <w:left w:val="none" w:sz="0" w:space="0" w:color="auto"/>
        <w:bottom w:val="none" w:sz="0" w:space="0" w:color="auto"/>
        <w:right w:val="none" w:sz="0" w:space="0" w:color="auto"/>
      </w:divBdr>
    </w:div>
    <w:div w:id="690763098">
      <w:bodyDiv w:val="1"/>
      <w:marLeft w:val="0"/>
      <w:marRight w:val="0"/>
      <w:marTop w:val="0"/>
      <w:marBottom w:val="0"/>
      <w:divBdr>
        <w:top w:val="none" w:sz="0" w:space="0" w:color="auto"/>
        <w:left w:val="none" w:sz="0" w:space="0" w:color="auto"/>
        <w:bottom w:val="none" w:sz="0" w:space="0" w:color="auto"/>
        <w:right w:val="none" w:sz="0" w:space="0" w:color="auto"/>
      </w:divBdr>
    </w:div>
    <w:div w:id="733892412">
      <w:bodyDiv w:val="1"/>
      <w:marLeft w:val="0"/>
      <w:marRight w:val="0"/>
      <w:marTop w:val="0"/>
      <w:marBottom w:val="0"/>
      <w:divBdr>
        <w:top w:val="none" w:sz="0" w:space="0" w:color="auto"/>
        <w:left w:val="none" w:sz="0" w:space="0" w:color="auto"/>
        <w:bottom w:val="none" w:sz="0" w:space="0" w:color="auto"/>
        <w:right w:val="none" w:sz="0" w:space="0" w:color="auto"/>
      </w:divBdr>
    </w:div>
    <w:div w:id="737243584">
      <w:bodyDiv w:val="1"/>
      <w:marLeft w:val="0"/>
      <w:marRight w:val="0"/>
      <w:marTop w:val="0"/>
      <w:marBottom w:val="0"/>
      <w:divBdr>
        <w:top w:val="none" w:sz="0" w:space="0" w:color="auto"/>
        <w:left w:val="none" w:sz="0" w:space="0" w:color="auto"/>
        <w:bottom w:val="none" w:sz="0" w:space="0" w:color="auto"/>
        <w:right w:val="none" w:sz="0" w:space="0" w:color="auto"/>
      </w:divBdr>
    </w:div>
    <w:div w:id="744038516">
      <w:bodyDiv w:val="1"/>
      <w:marLeft w:val="0"/>
      <w:marRight w:val="0"/>
      <w:marTop w:val="0"/>
      <w:marBottom w:val="0"/>
      <w:divBdr>
        <w:top w:val="none" w:sz="0" w:space="0" w:color="auto"/>
        <w:left w:val="none" w:sz="0" w:space="0" w:color="auto"/>
        <w:bottom w:val="none" w:sz="0" w:space="0" w:color="auto"/>
        <w:right w:val="none" w:sz="0" w:space="0" w:color="auto"/>
      </w:divBdr>
    </w:div>
    <w:div w:id="752556419">
      <w:bodyDiv w:val="1"/>
      <w:marLeft w:val="0"/>
      <w:marRight w:val="0"/>
      <w:marTop w:val="0"/>
      <w:marBottom w:val="0"/>
      <w:divBdr>
        <w:top w:val="none" w:sz="0" w:space="0" w:color="auto"/>
        <w:left w:val="none" w:sz="0" w:space="0" w:color="auto"/>
        <w:bottom w:val="none" w:sz="0" w:space="0" w:color="auto"/>
        <w:right w:val="none" w:sz="0" w:space="0" w:color="auto"/>
      </w:divBdr>
    </w:div>
    <w:div w:id="800415593">
      <w:bodyDiv w:val="1"/>
      <w:marLeft w:val="0"/>
      <w:marRight w:val="0"/>
      <w:marTop w:val="0"/>
      <w:marBottom w:val="0"/>
      <w:divBdr>
        <w:top w:val="none" w:sz="0" w:space="0" w:color="auto"/>
        <w:left w:val="none" w:sz="0" w:space="0" w:color="auto"/>
        <w:bottom w:val="none" w:sz="0" w:space="0" w:color="auto"/>
        <w:right w:val="none" w:sz="0" w:space="0" w:color="auto"/>
      </w:divBdr>
    </w:div>
    <w:div w:id="812605568">
      <w:bodyDiv w:val="1"/>
      <w:marLeft w:val="0"/>
      <w:marRight w:val="0"/>
      <w:marTop w:val="0"/>
      <w:marBottom w:val="0"/>
      <w:divBdr>
        <w:top w:val="none" w:sz="0" w:space="0" w:color="auto"/>
        <w:left w:val="none" w:sz="0" w:space="0" w:color="auto"/>
        <w:bottom w:val="none" w:sz="0" w:space="0" w:color="auto"/>
        <w:right w:val="none" w:sz="0" w:space="0" w:color="auto"/>
      </w:divBdr>
    </w:div>
    <w:div w:id="846987985">
      <w:bodyDiv w:val="1"/>
      <w:marLeft w:val="0"/>
      <w:marRight w:val="0"/>
      <w:marTop w:val="0"/>
      <w:marBottom w:val="0"/>
      <w:divBdr>
        <w:top w:val="none" w:sz="0" w:space="0" w:color="auto"/>
        <w:left w:val="none" w:sz="0" w:space="0" w:color="auto"/>
        <w:bottom w:val="none" w:sz="0" w:space="0" w:color="auto"/>
        <w:right w:val="none" w:sz="0" w:space="0" w:color="auto"/>
      </w:divBdr>
    </w:div>
    <w:div w:id="876116522">
      <w:bodyDiv w:val="1"/>
      <w:marLeft w:val="0"/>
      <w:marRight w:val="0"/>
      <w:marTop w:val="0"/>
      <w:marBottom w:val="0"/>
      <w:divBdr>
        <w:top w:val="none" w:sz="0" w:space="0" w:color="auto"/>
        <w:left w:val="none" w:sz="0" w:space="0" w:color="auto"/>
        <w:bottom w:val="none" w:sz="0" w:space="0" w:color="auto"/>
        <w:right w:val="none" w:sz="0" w:space="0" w:color="auto"/>
      </w:divBdr>
    </w:div>
    <w:div w:id="892497857">
      <w:bodyDiv w:val="1"/>
      <w:marLeft w:val="0"/>
      <w:marRight w:val="0"/>
      <w:marTop w:val="0"/>
      <w:marBottom w:val="0"/>
      <w:divBdr>
        <w:top w:val="none" w:sz="0" w:space="0" w:color="auto"/>
        <w:left w:val="none" w:sz="0" w:space="0" w:color="auto"/>
        <w:bottom w:val="none" w:sz="0" w:space="0" w:color="auto"/>
        <w:right w:val="none" w:sz="0" w:space="0" w:color="auto"/>
      </w:divBdr>
    </w:div>
    <w:div w:id="949552994">
      <w:bodyDiv w:val="1"/>
      <w:marLeft w:val="0"/>
      <w:marRight w:val="0"/>
      <w:marTop w:val="0"/>
      <w:marBottom w:val="0"/>
      <w:divBdr>
        <w:top w:val="none" w:sz="0" w:space="0" w:color="auto"/>
        <w:left w:val="none" w:sz="0" w:space="0" w:color="auto"/>
        <w:bottom w:val="none" w:sz="0" w:space="0" w:color="auto"/>
        <w:right w:val="none" w:sz="0" w:space="0" w:color="auto"/>
      </w:divBdr>
    </w:div>
    <w:div w:id="961495338">
      <w:bodyDiv w:val="1"/>
      <w:marLeft w:val="0"/>
      <w:marRight w:val="0"/>
      <w:marTop w:val="0"/>
      <w:marBottom w:val="0"/>
      <w:divBdr>
        <w:top w:val="none" w:sz="0" w:space="0" w:color="auto"/>
        <w:left w:val="none" w:sz="0" w:space="0" w:color="auto"/>
        <w:bottom w:val="none" w:sz="0" w:space="0" w:color="auto"/>
        <w:right w:val="none" w:sz="0" w:space="0" w:color="auto"/>
      </w:divBdr>
      <w:divsChild>
        <w:div w:id="330333071">
          <w:marLeft w:val="0"/>
          <w:marRight w:val="0"/>
          <w:marTop w:val="0"/>
          <w:marBottom w:val="0"/>
          <w:divBdr>
            <w:top w:val="none" w:sz="0" w:space="0" w:color="auto"/>
            <w:left w:val="none" w:sz="0" w:space="0" w:color="auto"/>
            <w:bottom w:val="none" w:sz="0" w:space="0" w:color="auto"/>
            <w:right w:val="none" w:sz="0" w:space="0" w:color="auto"/>
          </w:divBdr>
          <w:divsChild>
            <w:div w:id="637498246">
              <w:marLeft w:val="0"/>
              <w:marRight w:val="0"/>
              <w:marTop w:val="0"/>
              <w:marBottom w:val="0"/>
              <w:divBdr>
                <w:top w:val="none" w:sz="0" w:space="0" w:color="auto"/>
                <w:left w:val="none" w:sz="0" w:space="0" w:color="auto"/>
                <w:bottom w:val="none" w:sz="0" w:space="0" w:color="auto"/>
                <w:right w:val="none" w:sz="0" w:space="0" w:color="auto"/>
              </w:divBdr>
              <w:divsChild>
                <w:div w:id="141579187">
                  <w:marLeft w:val="0"/>
                  <w:marRight w:val="0"/>
                  <w:marTop w:val="0"/>
                  <w:marBottom w:val="0"/>
                  <w:divBdr>
                    <w:top w:val="none" w:sz="0" w:space="0" w:color="auto"/>
                    <w:left w:val="none" w:sz="0" w:space="0" w:color="auto"/>
                    <w:bottom w:val="none" w:sz="0" w:space="0" w:color="auto"/>
                    <w:right w:val="none" w:sz="0" w:space="0" w:color="auto"/>
                  </w:divBdr>
                  <w:divsChild>
                    <w:div w:id="337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0983502">
      <w:bodyDiv w:val="1"/>
      <w:marLeft w:val="0"/>
      <w:marRight w:val="0"/>
      <w:marTop w:val="0"/>
      <w:marBottom w:val="0"/>
      <w:divBdr>
        <w:top w:val="none" w:sz="0" w:space="0" w:color="auto"/>
        <w:left w:val="none" w:sz="0" w:space="0" w:color="auto"/>
        <w:bottom w:val="none" w:sz="0" w:space="0" w:color="auto"/>
        <w:right w:val="none" w:sz="0" w:space="0" w:color="auto"/>
      </w:divBdr>
    </w:div>
    <w:div w:id="1047990280">
      <w:bodyDiv w:val="1"/>
      <w:marLeft w:val="0"/>
      <w:marRight w:val="0"/>
      <w:marTop w:val="0"/>
      <w:marBottom w:val="0"/>
      <w:divBdr>
        <w:top w:val="none" w:sz="0" w:space="0" w:color="auto"/>
        <w:left w:val="none" w:sz="0" w:space="0" w:color="auto"/>
        <w:bottom w:val="none" w:sz="0" w:space="0" w:color="auto"/>
        <w:right w:val="none" w:sz="0" w:space="0" w:color="auto"/>
      </w:divBdr>
    </w:div>
    <w:div w:id="1051613013">
      <w:bodyDiv w:val="1"/>
      <w:marLeft w:val="0"/>
      <w:marRight w:val="0"/>
      <w:marTop w:val="0"/>
      <w:marBottom w:val="0"/>
      <w:divBdr>
        <w:top w:val="none" w:sz="0" w:space="0" w:color="auto"/>
        <w:left w:val="none" w:sz="0" w:space="0" w:color="auto"/>
        <w:bottom w:val="none" w:sz="0" w:space="0" w:color="auto"/>
        <w:right w:val="none" w:sz="0" w:space="0" w:color="auto"/>
      </w:divBdr>
    </w:div>
    <w:div w:id="1127775980">
      <w:bodyDiv w:val="1"/>
      <w:marLeft w:val="0"/>
      <w:marRight w:val="0"/>
      <w:marTop w:val="0"/>
      <w:marBottom w:val="0"/>
      <w:divBdr>
        <w:top w:val="none" w:sz="0" w:space="0" w:color="auto"/>
        <w:left w:val="none" w:sz="0" w:space="0" w:color="auto"/>
        <w:bottom w:val="none" w:sz="0" w:space="0" w:color="auto"/>
        <w:right w:val="none" w:sz="0" w:space="0" w:color="auto"/>
      </w:divBdr>
    </w:div>
    <w:div w:id="1172572715">
      <w:bodyDiv w:val="1"/>
      <w:marLeft w:val="0"/>
      <w:marRight w:val="0"/>
      <w:marTop w:val="0"/>
      <w:marBottom w:val="0"/>
      <w:divBdr>
        <w:top w:val="none" w:sz="0" w:space="0" w:color="auto"/>
        <w:left w:val="none" w:sz="0" w:space="0" w:color="auto"/>
        <w:bottom w:val="none" w:sz="0" w:space="0" w:color="auto"/>
        <w:right w:val="none" w:sz="0" w:space="0" w:color="auto"/>
      </w:divBdr>
    </w:div>
    <w:div w:id="1181353375">
      <w:bodyDiv w:val="1"/>
      <w:marLeft w:val="0"/>
      <w:marRight w:val="0"/>
      <w:marTop w:val="0"/>
      <w:marBottom w:val="0"/>
      <w:divBdr>
        <w:top w:val="none" w:sz="0" w:space="0" w:color="auto"/>
        <w:left w:val="none" w:sz="0" w:space="0" w:color="auto"/>
        <w:bottom w:val="none" w:sz="0" w:space="0" w:color="auto"/>
        <w:right w:val="none" w:sz="0" w:space="0" w:color="auto"/>
      </w:divBdr>
    </w:div>
    <w:div w:id="1207452069">
      <w:bodyDiv w:val="1"/>
      <w:marLeft w:val="0"/>
      <w:marRight w:val="0"/>
      <w:marTop w:val="0"/>
      <w:marBottom w:val="0"/>
      <w:divBdr>
        <w:top w:val="none" w:sz="0" w:space="0" w:color="auto"/>
        <w:left w:val="none" w:sz="0" w:space="0" w:color="auto"/>
        <w:bottom w:val="none" w:sz="0" w:space="0" w:color="auto"/>
        <w:right w:val="none" w:sz="0" w:space="0" w:color="auto"/>
      </w:divBdr>
    </w:div>
    <w:div w:id="1312367795">
      <w:bodyDiv w:val="1"/>
      <w:marLeft w:val="0"/>
      <w:marRight w:val="0"/>
      <w:marTop w:val="0"/>
      <w:marBottom w:val="0"/>
      <w:divBdr>
        <w:top w:val="none" w:sz="0" w:space="0" w:color="auto"/>
        <w:left w:val="none" w:sz="0" w:space="0" w:color="auto"/>
        <w:bottom w:val="none" w:sz="0" w:space="0" w:color="auto"/>
        <w:right w:val="none" w:sz="0" w:space="0" w:color="auto"/>
      </w:divBdr>
    </w:div>
    <w:div w:id="1359544503">
      <w:bodyDiv w:val="1"/>
      <w:marLeft w:val="0"/>
      <w:marRight w:val="0"/>
      <w:marTop w:val="0"/>
      <w:marBottom w:val="0"/>
      <w:divBdr>
        <w:top w:val="none" w:sz="0" w:space="0" w:color="auto"/>
        <w:left w:val="none" w:sz="0" w:space="0" w:color="auto"/>
        <w:bottom w:val="none" w:sz="0" w:space="0" w:color="auto"/>
        <w:right w:val="none" w:sz="0" w:space="0" w:color="auto"/>
      </w:divBdr>
    </w:div>
    <w:div w:id="1364087267">
      <w:bodyDiv w:val="1"/>
      <w:marLeft w:val="0"/>
      <w:marRight w:val="0"/>
      <w:marTop w:val="0"/>
      <w:marBottom w:val="0"/>
      <w:divBdr>
        <w:top w:val="none" w:sz="0" w:space="0" w:color="auto"/>
        <w:left w:val="none" w:sz="0" w:space="0" w:color="auto"/>
        <w:bottom w:val="none" w:sz="0" w:space="0" w:color="auto"/>
        <w:right w:val="none" w:sz="0" w:space="0" w:color="auto"/>
      </w:divBdr>
    </w:div>
    <w:div w:id="1434059502">
      <w:bodyDiv w:val="1"/>
      <w:marLeft w:val="0"/>
      <w:marRight w:val="0"/>
      <w:marTop w:val="0"/>
      <w:marBottom w:val="0"/>
      <w:divBdr>
        <w:top w:val="none" w:sz="0" w:space="0" w:color="auto"/>
        <w:left w:val="none" w:sz="0" w:space="0" w:color="auto"/>
        <w:bottom w:val="none" w:sz="0" w:space="0" w:color="auto"/>
        <w:right w:val="none" w:sz="0" w:space="0" w:color="auto"/>
      </w:divBdr>
    </w:div>
    <w:div w:id="1553155223">
      <w:bodyDiv w:val="1"/>
      <w:marLeft w:val="0"/>
      <w:marRight w:val="0"/>
      <w:marTop w:val="0"/>
      <w:marBottom w:val="0"/>
      <w:divBdr>
        <w:top w:val="none" w:sz="0" w:space="0" w:color="auto"/>
        <w:left w:val="none" w:sz="0" w:space="0" w:color="auto"/>
        <w:bottom w:val="none" w:sz="0" w:space="0" w:color="auto"/>
        <w:right w:val="none" w:sz="0" w:space="0" w:color="auto"/>
      </w:divBdr>
    </w:div>
    <w:div w:id="1568420591">
      <w:bodyDiv w:val="1"/>
      <w:marLeft w:val="0"/>
      <w:marRight w:val="0"/>
      <w:marTop w:val="0"/>
      <w:marBottom w:val="0"/>
      <w:divBdr>
        <w:top w:val="none" w:sz="0" w:space="0" w:color="auto"/>
        <w:left w:val="none" w:sz="0" w:space="0" w:color="auto"/>
        <w:bottom w:val="none" w:sz="0" w:space="0" w:color="auto"/>
        <w:right w:val="none" w:sz="0" w:space="0" w:color="auto"/>
      </w:divBdr>
    </w:div>
    <w:div w:id="1570380896">
      <w:bodyDiv w:val="1"/>
      <w:marLeft w:val="0"/>
      <w:marRight w:val="0"/>
      <w:marTop w:val="0"/>
      <w:marBottom w:val="0"/>
      <w:divBdr>
        <w:top w:val="none" w:sz="0" w:space="0" w:color="auto"/>
        <w:left w:val="none" w:sz="0" w:space="0" w:color="auto"/>
        <w:bottom w:val="none" w:sz="0" w:space="0" w:color="auto"/>
        <w:right w:val="none" w:sz="0" w:space="0" w:color="auto"/>
      </w:divBdr>
    </w:div>
    <w:div w:id="1577931382">
      <w:bodyDiv w:val="1"/>
      <w:marLeft w:val="0"/>
      <w:marRight w:val="0"/>
      <w:marTop w:val="0"/>
      <w:marBottom w:val="0"/>
      <w:divBdr>
        <w:top w:val="none" w:sz="0" w:space="0" w:color="auto"/>
        <w:left w:val="none" w:sz="0" w:space="0" w:color="auto"/>
        <w:bottom w:val="none" w:sz="0" w:space="0" w:color="auto"/>
        <w:right w:val="none" w:sz="0" w:space="0" w:color="auto"/>
      </w:divBdr>
    </w:div>
    <w:div w:id="1652756315">
      <w:bodyDiv w:val="1"/>
      <w:marLeft w:val="0"/>
      <w:marRight w:val="0"/>
      <w:marTop w:val="0"/>
      <w:marBottom w:val="0"/>
      <w:divBdr>
        <w:top w:val="none" w:sz="0" w:space="0" w:color="auto"/>
        <w:left w:val="none" w:sz="0" w:space="0" w:color="auto"/>
        <w:bottom w:val="none" w:sz="0" w:space="0" w:color="auto"/>
        <w:right w:val="none" w:sz="0" w:space="0" w:color="auto"/>
      </w:divBdr>
    </w:div>
    <w:div w:id="1658876172">
      <w:bodyDiv w:val="1"/>
      <w:marLeft w:val="0"/>
      <w:marRight w:val="0"/>
      <w:marTop w:val="0"/>
      <w:marBottom w:val="0"/>
      <w:divBdr>
        <w:top w:val="none" w:sz="0" w:space="0" w:color="auto"/>
        <w:left w:val="none" w:sz="0" w:space="0" w:color="auto"/>
        <w:bottom w:val="none" w:sz="0" w:space="0" w:color="auto"/>
        <w:right w:val="none" w:sz="0" w:space="0" w:color="auto"/>
      </w:divBdr>
    </w:div>
    <w:div w:id="1670794569">
      <w:bodyDiv w:val="1"/>
      <w:marLeft w:val="0"/>
      <w:marRight w:val="0"/>
      <w:marTop w:val="0"/>
      <w:marBottom w:val="0"/>
      <w:divBdr>
        <w:top w:val="none" w:sz="0" w:space="0" w:color="auto"/>
        <w:left w:val="none" w:sz="0" w:space="0" w:color="auto"/>
        <w:bottom w:val="none" w:sz="0" w:space="0" w:color="auto"/>
        <w:right w:val="none" w:sz="0" w:space="0" w:color="auto"/>
      </w:divBdr>
    </w:div>
    <w:div w:id="1682900680">
      <w:bodyDiv w:val="1"/>
      <w:marLeft w:val="0"/>
      <w:marRight w:val="0"/>
      <w:marTop w:val="0"/>
      <w:marBottom w:val="0"/>
      <w:divBdr>
        <w:top w:val="none" w:sz="0" w:space="0" w:color="auto"/>
        <w:left w:val="none" w:sz="0" w:space="0" w:color="auto"/>
        <w:bottom w:val="none" w:sz="0" w:space="0" w:color="auto"/>
        <w:right w:val="none" w:sz="0" w:space="0" w:color="auto"/>
      </w:divBdr>
      <w:divsChild>
        <w:div w:id="1397242686">
          <w:marLeft w:val="0"/>
          <w:marRight w:val="0"/>
          <w:marTop w:val="0"/>
          <w:marBottom w:val="0"/>
          <w:divBdr>
            <w:top w:val="none" w:sz="0" w:space="0" w:color="auto"/>
            <w:left w:val="none" w:sz="0" w:space="0" w:color="auto"/>
            <w:bottom w:val="none" w:sz="0" w:space="0" w:color="auto"/>
            <w:right w:val="none" w:sz="0" w:space="0" w:color="auto"/>
          </w:divBdr>
          <w:divsChild>
            <w:div w:id="1273249715">
              <w:marLeft w:val="0"/>
              <w:marRight w:val="0"/>
              <w:marTop w:val="0"/>
              <w:marBottom w:val="0"/>
              <w:divBdr>
                <w:top w:val="none" w:sz="0" w:space="0" w:color="auto"/>
                <w:left w:val="none" w:sz="0" w:space="0" w:color="auto"/>
                <w:bottom w:val="none" w:sz="0" w:space="0" w:color="auto"/>
                <w:right w:val="none" w:sz="0" w:space="0" w:color="auto"/>
              </w:divBdr>
              <w:divsChild>
                <w:div w:id="245069027">
                  <w:marLeft w:val="0"/>
                  <w:marRight w:val="0"/>
                  <w:marTop w:val="0"/>
                  <w:marBottom w:val="0"/>
                  <w:divBdr>
                    <w:top w:val="none" w:sz="0" w:space="0" w:color="auto"/>
                    <w:left w:val="none" w:sz="0" w:space="0" w:color="auto"/>
                    <w:bottom w:val="none" w:sz="0" w:space="0" w:color="auto"/>
                    <w:right w:val="none" w:sz="0" w:space="0" w:color="auto"/>
                  </w:divBdr>
                  <w:divsChild>
                    <w:div w:id="713584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4298408">
      <w:bodyDiv w:val="1"/>
      <w:marLeft w:val="0"/>
      <w:marRight w:val="0"/>
      <w:marTop w:val="0"/>
      <w:marBottom w:val="0"/>
      <w:divBdr>
        <w:top w:val="none" w:sz="0" w:space="0" w:color="auto"/>
        <w:left w:val="none" w:sz="0" w:space="0" w:color="auto"/>
        <w:bottom w:val="none" w:sz="0" w:space="0" w:color="auto"/>
        <w:right w:val="none" w:sz="0" w:space="0" w:color="auto"/>
      </w:divBdr>
    </w:div>
    <w:div w:id="1799252198">
      <w:bodyDiv w:val="1"/>
      <w:marLeft w:val="0"/>
      <w:marRight w:val="0"/>
      <w:marTop w:val="0"/>
      <w:marBottom w:val="0"/>
      <w:divBdr>
        <w:top w:val="none" w:sz="0" w:space="0" w:color="auto"/>
        <w:left w:val="none" w:sz="0" w:space="0" w:color="auto"/>
        <w:bottom w:val="none" w:sz="0" w:space="0" w:color="auto"/>
        <w:right w:val="none" w:sz="0" w:space="0" w:color="auto"/>
      </w:divBdr>
    </w:div>
    <w:div w:id="1857110476">
      <w:bodyDiv w:val="1"/>
      <w:marLeft w:val="0"/>
      <w:marRight w:val="0"/>
      <w:marTop w:val="0"/>
      <w:marBottom w:val="0"/>
      <w:divBdr>
        <w:top w:val="none" w:sz="0" w:space="0" w:color="auto"/>
        <w:left w:val="none" w:sz="0" w:space="0" w:color="auto"/>
        <w:bottom w:val="none" w:sz="0" w:space="0" w:color="auto"/>
        <w:right w:val="none" w:sz="0" w:space="0" w:color="auto"/>
      </w:divBdr>
    </w:div>
    <w:div w:id="1910339647">
      <w:bodyDiv w:val="1"/>
      <w:marLeft w:val="0"/>
      <w:marRight w:val="0"/>
      <w:marTop w:val="0"/>
      <w:marBottom w:val="0"/>
      <w:divBdr>
        <w:top w:val="none" w:sz="0" w:space="0" w:color="auto"/>
        <w:left w:val="none" w:sz="0" w:space="0" w:color="auto"/>
        <w:bottom w:val="none" w:sz="0" w:space="0" w:color="auto"/>
        <w:right w:val="none" w:sz="0" w:space="0" w:color="auto"/>
      </w:divBdr>
    </w:div>
    <w:div w:id="1919486251">
      <w:bodyDiv w:val="1"/>
      <w:marLeft w:val="0"/>
      <w:marRight w:val="0"/>
      <w:marTop w:val="0"/>
      <w:marBottom w:val="0"/>
      <w:divBdr>
        <w:top w:val="none" w:sz="0" w:space="0" w:color="auto"/>
        <w:left w:val="none" w:sz="0" w:space="0" w:color="auto"/>
        <w:bottom w:val="none" w:sz="0" w:space="0" w:color="auto"/>
        <w:right w:val="none" w:sz="0" w:space="0" w:color="auto"/>
      </w:divBdr>
    </w:div>
    <w:div w:id="2008828191">
      <w:bodyDiv w:val="1"/>
      <w:marLeft w:val="0"/>
      <w:marRight w:val="0"/>
      <w:marTop w:val="0"/>
      <w:marBottom w:val="0"/>
      <w:divBdr>
        <w:top w:val="none" w:sz="0" w:space="0" w:color="auto"/>
        <w:left w:val="none" w:sz="0" w:space="0" w:color="auto"/>
        <w:bottom w:val="none" w:sz="0" w:space="0" w:color="auto"/>
        <w:right w:val="none" w:sz="0" w:space="0" w:color="auto"/>
      </w:divBdr>
    </w:div>
    <w:div w:id="2075201895">
      <w:bodyDiv w:val="1"/>
      <w:marLeft w:val="0"/>
      <w:marRight w:val="0"/>
      <w:marTop w:val="0"/>
      <w:marBottom w:val="0"/>
      <w:divBdr>
        <w:top w:val="none" w:sz="0" w:space="0" w:color="auto"/>
        <w:left w:val="none" w:sz="0" w:space="0" w:color="auto"/>
        <w:bottom w:val="none" w:sz="0" w:space="0" w:color="auto"/>
        <w:right w:val="none" w:sz="0" w:space="0" w:color="auto"/>
      </w:divBdr>
    </w:div>
    <w:div w:id="2102023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2467</Words>
  <Characters>14437</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2020-12-11T06:42:00Z</dcterms:created>
  <dcterms:modified xsi:type="dcterms:W3CDTF">2020-12-16T22:42:00Z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-970157457</vt:i4>
  </property>
</Properties>
</file>