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409"/>
        <w:gridCol w:w="3261"/>
        <w:gridCol w:w="6947"/>
      </w:tblGrid>
      <w:tr w:rsidR="00987FDA" w:rsidRPr="00D3523D" w14:paraId="2F780D8A" w14:textId="77777777" w:rsidTr="004C54F7">
        <w:trPr>
          <w:tblHeader/>
        </w:trPr>
        <w:tc>
          <w:tcPr>
            <w:tcW w:w="2694" w:type="dxa"/>
            <w:tcMar>
              <w:top w:w="28" w:type="dxa"/>
              <w:bottom w:w="28" w:type="dxa"/>
            </w:tcMar>
          </w:tcPr>
          <w:p w14:paraId="58BB41E5" w14:textId="46F847AB" w:rsidR="00257615" w:rsidRPr="00D3523D" w:rsidRDefault="002960C3" w:rsidP="00F10A31">
            <w:pPr>
              <w:widowControl w:val="0"/>
              <w:jc w:val="center"/>
              <w:rPr>
                <w:rFonts w:ascii="Arial" w:hAnsi="Arial" w:cs="Arial"/>
                <w:b/>
              </w:rPr>
            </w:pPr>
            <w:r w:rsidRPr="00D3523D">
              <w:rPr>
                <w:rFonts w:ascii="Arial" w:hAnsi="Arial" w:cs="Arial"/>
                <w:b/>
              </w:rPr>
              <w:t>DRUG NAME, FORM(S), STRENGTH(S), SPONSOR, TYPE OF SUBMISSION</w:t>
            </w:r>
          </w:p>
        </w:tc>
        <w:tc>
          <w:tcPr>
            <w:tcW w:w="2409" w:type="dxa"/>
            <w:tcMar>
              <w:top w:w="28" w:type="dxa"/>
              <w:bottom w:w="28" w:type="dxa"/>
            </w:tcMar>
          </w:tcPr>
          <w:p w14:paraId="22DBCABB" w14:textId="77777777" w:rsidR="00987FDA" w:rsidRPr="00D3523D" w:rsidRDefault="002960C3" w:rsidP="002960C3">
            <w:pPr>
              <w:widowControl w:val="0"/>
              <w:jc w:val="center"/>
              <w:rPr>
                <w:rFonts w:ascii="Arial" w:hAnsi="Arial" w:cs="Arial"/>
                <w:b/>
                <w:snapToGrid w:val="0"/>
                <w:lang w:eastAsia="en-US"/>
              </w:rPr>
            </w:pPr>
            <w:r w:rsidRPr="00D3523D">
              <w:rPr>
                <w:rFonts w:ascii="Arial" w:hAnsi="Arial" w:cs="Arial"/>
                <w:b/>
                <w:snapToGrid w:val="0"/>
                <w:lang w:eastAsia="en-US"/>
              </w:rPr>
              <w:t>DRUG TYPE AND USE</w:t>
            </w:r>
          </w:p>
          <w:p w14:paraId="64FD3362" w14:textId="77777777" w:rsidR="00987FDA" w:rsidRPr="00D3523D" w:rsidRDefault="00987FDA" w:rsidP="002960C3">
            <w:pPr>
              <w:widowControl w:val="0"/>
              <w:jc w:val="center"/>
              <w:rPr>
                <w:rFonts w:ascii="Arial" w:hAnsi="Arial" w:cs="Arial"/>
                <w:b/>
                <w:snapToGrid w:val="0"/>
                <w:lang w:eastAsia="en-US"/>
              </w:rPr>
            </w:pPr>
          </w:p>
        </w:tc>
        <w:tc>
          <w:tcPr>
            <w:tcW w:w="3261" w:type="dxa"/>
            <w:tcMar>
              <w:top w:w="28" w:type="dxa"/>
              <w:bottom w:w="28" w:type="dxa"/>
            </w:tcMar>
          </w:tcPr>
          <w:p w14:paraId="60A9336E" w14:textId="77777777" w:rsidR="00987FDA" w:rsidRPr="00D3523D" w:rsidRDefault="002960C3" w:rsidP="002960C3">
            <w:pPr>
              <w:widowControl w:val="0"/>
              <w:jc w:val="center"/>
              <w:rPr>
                <w:rFonts w:ascii="Arial" w:hAnsi="Arial" w:cs="Arial"/>
                <w:b/>
                <w:snapToGrid w:val="0"/>
                <w:lang w:eastAsia="en-US"/>
              </w:rPr>
            </w:pPr>
            <w:r w:rsidRPr="00D3523D">
              <w:rPr>
                <w:rFonts w:ascii="Arial" w:hAnsi="Arial" w:cs="Arial"/>
                <w:b/>
                <w:snapToGrid w:val="0"/>
                <w:lang w:eastAsia="en-US"/>
              </w:rPr>
              <w:t>LISTING REQUESTED BY SPONSOR / PURPOSE OF SUBMISSION</w:t>
            </w:r>
          </w:p>
        </w:tc>
        <w:tc>
          <w:tcPr>
            <w:tcW w:w="6947" w:type="dxa"/>
          </w:tcPr>
          <w:p w14:paraId="5626F454" w14:textId="77777777" w:rsidR="00987FDA" w:rsidRPr="00D3523D" w:rsidRDefault="00987FDA" w:rsidP="00D167D0">
            <w:pPr>
              <w:pStyle w:val="Header"/>
              <w:jc w:val="center"/>
              <w:rPr>
                <w:rFonts w:ascii="Arial" w:hAnsi="Arial" w:cs="Arial"/>
                <w:b/>
                <w:snapToGrid w:val="0"/>
                <w:lang w:eastAsia="en-US"/>
              </w:rPr>
            </w:pPr>
            <w:r w:rsidRPr="00D3523D">
              <w:rPr>
                <w:rFonts w:ascii="Arial" w:hAnsi="Arial" w:cs="Arial"/>
                <w:b/>
                <w:snapToGrid w:val="0"/>
                <w:lang w:eastAsia="en-US"/>
              </w:rPr>
              <w:t xml:space="preserve">PBAC </w:t>
            </w:r>
            <w:r w:rsidR="002960C3" w:rsidRPr="00D3523D">
              <w:rPr>
                <w:rFonts w:ascii="Arial" w:hAnsi="Arial" w:cs="Arial"/>
                <w:b/>
                <w:snapToGrid w:val="0"/>
                <w:lang w:eastAsia="en-US"/>
              </w:rPr>
              <w:t>OUTCOME</w:t>
            </w:r>
          </w:p>
        </w:tc>
      </w:tr>
      <w:tr w:rsidR="00F16FA4" w:rsidRPr="00D3523D" w14:paraId="3E063046" w14:textId="77777777" w:rsidTr="004C54F7">
        <w:trPr>
          <w:cantSplit/>
          <w:trHeight w:val="896"/>
        </w:trPr>
        <w:tc>
          <w:tcPr>
            <w:tcW w:w="2694" w:type="dxa"/>
            <w:vMerge w:val="restart"/>
            <w:tcMar>
              <w:top w:w="28" w:type="dxa"/>
              <w:bottom w:w="28" w:type="dxa"/>
            </w:tcMar>
          </w:tcPr>
          <w:p w14:paraId="6AF1A159" w14:textId="046858E8" w:rsidR="00F16FA4" w:rsidRPr="008A64B3" w:rsidRDefault="002B6A6F" w:rsidP="002B6A6F">
            <w:pPr>
              <w:rPr>
                <w:rFonts w:ascii="Arial" w:hAnsi="Arial" w:cs="Arial"/>
              </w:rPr>
            </w:pPr>
            <w:r w:rsidRPr="002B6A6F">
              <w:rPr>
                <w:rFonts w:ascii="Arial" w:hAnsi="Arial" w:cs="Arial"/>
              </w:rPr>
              <w:t>CEMIPLIMAB</w:t>
            </w:r>
            <w:r w:rsidR="005B1FB0">
              <w:rPr>
                <w:rFonts w:ascii="Arial" w:hAnsi="Arial" w:cs="Arial"/>
              </w:rPr>
              <w:br/>
            </w:r>
            <w:r w:rsidR="005B1FB0">
              <w:rPr>
                <w:rFonts w:ascii="Arial" w:hAnsi="Arial" w:cs="Arial"/>
              </w:rPr>
              <w:br/>
            </w:r>
            <w:r w:rsidRPr="002B6A6F">
              <w:rPr>
                <w:rFonts w:ascii="Arial" w:hAnsi="Arial" w:cs="Arial"/>
              </w:rPr>
              <w:t>Solution for IV infusion 350 mg in 7 mL</w:t>
            </w:r>
            <w:r w:rsidR="005B1FB0">
              <w:rPr>
                <w:rFonts w:ascii="Arial" w:hAnsi="Arial" w:cs="Arial"/>
              </w:rPr>
              <w:br/>
            </w:r>
            <w:r w:rsidR="005B1FB0">
              <w:rPr>
                <w:rFonts w:ascii="Arial" w:hAnsi="Arial" w:cs="Arial"/>
              </w:rPr>
              <w:br/>
            </w:r>
            <w:proofErr w:type="spellStart"/>
            <w:r w:rsidRPr="002B6A6F">
              <w:rPr>
                <w:rFonts w:ascii="Arial" w:hAnsi="Arial" w:cs="Arial"/>
              </w:rPr>
              <w:t>Libtayo</w:t>
            </w:r>
            <w:proofErr w:type="spellEnd"/>
            <w:r w:rsidRPr="002B6A6F">
              <w:rPr>
                <w:rFonts w:ascii="Arial" w:hAnsi="Arial" w:cs="Arial"/>
              </w:rPr>
              <w:t>®</w:t>
            </w:r>
            <w:r w:rsidR="005B1FB0">
              <w:rPr>
                <w:rFonts w:ascii="Arial" w:hAnsi="Arial" w:cs="Arial"/>
              </w:rPr>
              <w:br/>
            </w:r>
            <w:r w:rsidR="005B1FB0">
              <w:rPr>
                <w:rFonts w:ascii="Arial" w:hAnsi="Arial" w:cs="Arial"/>
              </w:rPr>
              <w:br/>
            </w:r>
            <w:r w:rsidRPr="002B6A6F">
              <w:rPr>
                <w:rFonts w:ascii="Arial" w:hAnsi="Arial" w:cs="Arial"/>
              </w:rPr>
              <w:t xml:space="preserve">Sanofi-Aventis Australia Pty Ltd </w:t>
            </w:r>
            <w:r w:rsidR="005B1FB0">
              <w:rPr>
                <w:rFonts w:ascii="Arial" w:hAnsi="Arial" w:cs="Arial"/>
              </w:rPr>
              <w:br/>
            </w:r>
            <w:r w:rsidR="005B1FB0">
              <w:rPr>
                <w:rFonts w:ascii="Arial" w:hAnsi="Arial" w:cs="Arial"/>
              </w:rPr>
              <w:br/>
            </w:r>
            <w:r w:rsidRPr="002B6A6F">
              <w:rPr>
                <w:rFonts w:ascii="Arial" w:hAnsi="Arial" w:cs="Arial"/>
              </w:rPr>
              <w:t>New listing</w:t>
            </w:r>
            <w:r w:rsidR="005B1FB0">
              <w:rPr>
                <w:rFonts w:ascii="Arial" w:hAnsi="Arial" w:cs="Arial"/>
              </w:rPr>
              <w:br/>
            </w:r>
            <w:r w:rsidR="00CC6231">
              <w:rPr>
                <w:rFonts w:ascii="Arial" w:hAnsi="Arial" w:cs="Arial"/>
              </w:rPr>
              <w:t>(Major Submission)</w:t>
            </w:r>
          </w:p>
        </w:tc>
        <w:tc>
          <w:tcPr>
            <w:tcW w:w="2409" w:type="dxa"/>
            <w:vMerge w:val="restart"/>
          </w:tcPr>
          <w:p w14:paraId="52C7B078" w14:textId="601EE29B" w:rsidR="00F16FA4" w:rsidRPr="008A64B3" w:rsidRDefault="008E5767" w:rsidP="001A199E">
            <w:pPr>
              <w:rPr>
                <w:rFonts w:ascii="Arial" w:hAnsi="Arial" w:cs="Arial"/>
              </w:rPr>
            </w:pPr>
            <w:r w:rsidRPr="008E5767">
              <w:rPr>
                <w:rFonts w:ascii="Arial" w:hAnsi="Arial" w:cs="Arial"/>
              </w:rPr>
              <w:t>Squamous cell carcinoma (SCC)</w:t>
            </w:r>
          </w:p>
        </w:tc>
        <w:tc>
          <w:tcPr>
            <w:tcW w:w="3261" w:type="dxa"/>
            <w:tcMar>
              <w:top w:w="28" w:type="dxa"/>
              <w:bottom w:w="28" w:type="dxa"/>
            </w:tcMar>
          </w:tcPr>
          <w:p w14:paraId="51C9BD0A" w14:textId="38FB88F0" w:rsidR="00F16FA4" w:rsidRPr="008A64B3" w:rsidRDefault="008E5767" w:rsidP="001A199E">
            <w:pPr>
              <w:rPr>
                <w:rFonts w:ascii="Arial" w:hAnsi="Arial" w:cs="Arial"/>
                <w:color w:val="000000"/>
              </w:rPr>
            </w:pPr>
            <w:r w:rsidRPr="008E5767">
              <w:rPr>
                <w:rFonts w:ascii="Arial" w:hAnsi="Arial" w:cs="Arial"/>
                <w:color w:val="000000"/>
              </w:rPr>
              <w:t>To request Section 100 (Efficient Funding of Chemotherapy) Authority Required (STREAMLINED) listing for the treatment of metastatic or locally advanced cutaneous SCC in patients who are not candidates for curative surgery or curative radiation.</w:t>
            </w:r>
          </w:p>
        </w:tc>
        <w:tc>
          <w:tcPr>
            <w:tcW w:w="6947" w:type="dxa"/>
          </w:tcPr>
          <w:p w14:paraId="4366137B" w14:textId="1A47CB46" w:rsidR="00F16FA4" w:rsidRPr="00D46270" w:rsidRDefault="008E5767" w:rsidP="004C54F7">
            <w:pPr>
              <w:pStyle w:val="NoSpacing"/>
              <w:spacing w:after="120"/>
              <w:rPr>
                <w:rFonts w:ascii="Arial" w:hAnsi="Arial" w:cs="Arial"/>
                <w:sz w:val="20"/>
                <w:szCs w:val="20"/>
              </w:rPr>
            </w:pPr>
            <w:r w:rsidRPr="008E5767">
              <w:rPr>
                <w:rFonts w:ascii="Arial" w:hAnsi="Arial" w:cs="Arial"/>
                <w:bCs/>
                <w:sz w:val="20"/>
                <w:szCs w:val="20"/>
              </w:rPr>
              <w:t xml:space="preserve">The PBAC did not recommend </w:t>
            </w:r>
            <w:proofErr w:type="spellStart"/>
            <w:r w:rsidRPr="008E5767">
              <w:rPr>
                <w:rFonts w:ascii="Arial" w:hAnsi="Arial" w:cs="Arial"/>
                <w:bCs/>
                <w:sz w:val="20"/>
                <w:szCs w:val="20"/>
              </w:rPr>
              <w:t>cemiplimab</w:t>
            </w:r>
            <w:proofErr w:type="spellEnd"/>
            <w:r w:rsidRPr="008E5767">
              <w:rPr>
                <w:rFonts w:ascii="Arial" w:hAnsi="Arial" w:cs="Arial"/>
                <w:bCs/>
                <w:sz w:val="20"/>
                <w:szCs w:val="20"/>
              </w:rPr>
              <w:t xml:space="preserve"> for the treatment of patients with metastatic or locally advanced cutaneous squamous cell carcinoma (</w:t>
            </w:r>
            <w:proofErr w:type="spellStart"/>
            <w:r w:rsidRPr="008E5767">
              <w:rPr>
                <w:rFonts w:ascii="Arial" w:hAnsi="Arial" w:cs="Arial"/>
                <w:bCs/>
                <w:sz w:val="20"/>
                <w:szCs w:val="20"/>
              </w:rPr>
              <w:t>mCSCC</w:t>
            </w:r>
            <w:proofErr w:type="spellEnd"/>
            <w:r w:rsidRPr="008E5767">
              <w:rPr>
                <w:rFonts w:ascii="Arial" w:hAnsi="Arial" w:cs="Arial"/>
                <w:bCs/>
                <w:sz w:val="20"/>
                <w:szCs w:val="20"/>
              </w:rPr>
              <w:t xml:space="preserve"> or </w:t>
            </w:r>
            <w:proofErr w:type="spellStart"/>
            <w:r w:rsidRPr="008E5767">
              <w:rPr>
                <w:rFonts w:ascii="Arial" w:hAnsi="Arial" w:cs="Arial"/>
                <w:bCs/>
                <w:sz w:val="20"/>
                <w:szCs w:val="20"/>
              </w:rPr>
              <w:t>laCSCC</w:t>
            </w:r>
            <w:proofErr w:type="spellEnd"/>
            <w:r w:rsidRPr="008E5767">
              <w:rPr>
                <w:rFonts w:ascii="Arial" w:hAnsi="Arial" w:cs="Arial"/>
                <w:bCs/>
                <w:sz w:val="20"/>
                <w:szCs w:val="20"/>
              </w:rPr>
              <w:t xml:space="preserve">) who are not candidates for curative surgery or curative radiation. The PBAC considered that the data presented were insufficient to adequately determine the magnitude of improvement in effectiveness and safety of </w:t>
            </w:r>
            <w:proofErr w:type="spellStart"/>
            <w:r w:rsidRPr="008E5767">
              <w:rPr>
                <w:rFonts w:ascii="Arial" w:hAnsi="Arial" w:cs="Arial"/>
                <w:bCs/>
                <w:sz w:val="20"/>
                <w:szCs w:val="20"/>
              </w:rPr>
              <w:t>cemiplimab</w:t>
            </w:r>
            <w:proofErr w:type="spellEnd"/>
            <w:r w:rsidRPr="008E5767">
              <w:rPr>
                <w:rFonts w:ascii="Arial" w:hAnsi="Arial" w:cs="Arial"/>
                <w:bCs/>
                <w:sz w:val="20"/>
                <w:szCs w:val="20"/>
              </w:rPr>
              <w:t xml:space="preserve"> compared to best supportive care ± chemotherapy (BSC ± CT) with the comparison of single arm studies highly uncertain. The PBAC considered the incremental cost-effectiveness ratio (ICER) uncertain given the limitations with the clinical data, and substantially underestimated. The PBAC considered the financial impact as estimated in the submission was uncertain and potentially very high.</w:t>
            </w:r>
          </w:p>
        </w:tc>
      </w:tr>
      <w:tr w:rsidR="00F16FA4" w:rsidRPr="00D3523D" w14:paraId="7B14B8F0" w14:textId="77777777" w:rsidTr="004C54F7">
        <w:trPr>
          <w:cantSplit/>
          <w:trHeight w:val="465"/>
        </w:trPr>
        <w:tc>
          <w:tcPr>
            <w:tcW w:w="2694" w:type="dxa"/>
            <w:vMerge/>
            <w:tcMar>
              <w:top w:w="28" w:type="dxa"/>
              <w:bottom w:w="28" w:type="dxa"/>
            </w:tcMar>
          </w:tcPr>
          <w:p w14:paraId="0E76B810" w14:textId="77777777" w:rsidR="00F16FA4" w:rsidRPr="008A64B3" w:rsidRDefault="00F16FA4" w:rsidP="001A199E">
            <w:pPr>
              <w:rPr>
                <w:rFonts w:ascii="Arial" w:hAnsi="Arial" w:cs="Arial"/>
              </w:rPr>
            </w:pPr>
          </w:p>
        </w:tc>
        <w:tc>
          <w:tcPr>
            <w:tcW w:w="2409" w:type="dxa"/>
            <w:vMerge/>
          </w:tcPr>
          <w:p w14:paraId="7B7FEDFD" w14:textId="77777777" w:rsidR="00F16FA4" w:rsidRPr="008A64B3" w:rsidRDefault="00F16FA4" w:rsidP="001A199E">
            <w:pPr>
              <w:widowControl w:val="0"/>
              <w:rPr>
                <w:rFonts w:ascii="Arial" w:hAnsi="Arial" w:cs="Arial"/>
                <w:snapToGrid w:val="0"/>
                <w:lang w:eastAsia="en-US"/>
              </w:rPr>
            </w:pPr>
          </w:p>
        </w:tc>
        <w:tc>
          <w:tcPr>
            <w:tcW w:w="3261" w:type="dxa"/>
            <w:tcMar>
              <w:top w:w="28" w:type="dxa"/>
              <w:bottom w:w="28" w:type="dxa"/>
            </w:tcMar>
          </w:tcPr>
          <w:p w14:paraId="75D9FB3E" w14:textId="51D0ECED" w:rsidR="00F16FA4" w:rsidRPr="008A64B3" w:rsidRDefault="00BB5F54" w:rsidP="001A199E">
            <w:pPr>
              <w:pStyle w:val="ListParagraph"/>
              <w:ind w:left="0"/>
              <w:jc w:val="right"/>
              <w:rPr>
                <w:rFonts w:ascii="Arial" w:hAnsi="Arial" w:cs="Arial"/>
                <w:snapToGrid w:val="0"/>
                <w:sz w:val="20"/>
                <w:szCs w:val="20"/>
                <w:lang w:eastAsia="en-US"/>
              </w:rPr>
            </w:pPr>
            <w:r>
              <w:rPr>
                <w:rFonts w:ascii="Arial" w:hAnsi="Arial" w:cs="Arial"/>
                <w:snapToGrid w:val="0"/>
                <w:sz w:val="20"/>
                <w:szCs w:val="20"/>
                <w:lang w:eastAsia="en-US"/>
              </w:rPr>
              <w:t>Sponsor’s c</w:t>
            </w:r>
            <w:r w:rsidR="00F16FA4" w:rsidRPr="008A64B3">
              <w:rPr>
                <w:rFonts w:ascii="Arial" w:hAnsi="Arial" w:cs="Arial"/>
                <w:snapToGrid w:val="0"/>
                <w:sz w:val="20"/>
                <w:szCs w:val="20"/>
                <w:lang w:eastAsia="en-US"/>
              </w:rPr>
              <w:t>omment:</w:t>
            </w:r>
          </w:p>
        </w:tc>
        <w:tc>
          <w:tcPr>
            <w:tcW w:w="6947" w:type="dxa"/>
          </w:tcPr>
          <w:p w14:paraId="46886EF0" w14:textId="15D5AEDB" w:rsidR="00571984" w:rsidRPr="008A64B3" w:rsidRDefault="00675ABF" w:rsidP="00225002">
            <w:pPr>
              <w:pStyle w:val="ListParagraph"/>
              <w:ind w:left="0"/>
              <w:jc w:val="both"/>
              <w:rPr>
                <w:rFonts w:ascii="Arial" w:hAnsi="Arial" w:cs="Arial"/>
                <w:iCs/>
                <w:sz w:val="20"/>
                <w:szCs w:val="20"/>
              </w:rPr>
            </w:pPr>
            <w:r w:rsidRPr="00675ABF">
              <w:rPr>
                <w:rFonts w:ascii="Arial" w:hAnsi="Arial" w:cs="Arial"/>
                <w:iCs/>
                <w:sz w:val="20"/>
                <w:szCs w:val="20"/>
              </w:rPr>
              <w:t>Sanofi is disappointed with the outcome. We are committed to supporting timely access in Australia for a cohort of patients with a life limiting and disfiguring condition associated with significant disease burden, and for whom there are no effective alternative treatment options.</w:t>
            </w:r>
          </w:p>
        </w:tc>
      </w:tr>
      <w:tr w:rsidR="00F16FA4" w:rsidRPr="00D3523D" w14:paraId="713A52D1" w14:textId="77777777" w:rsidTr="004C54F7">
        <w:trPr>
          <w:cantSplit/>
          <w:trHeight w:val="896"/>
        </w:trPr>
        <w:tc>
          <w:tcPr>
            <w:tcW w:w="2694" w:type="dxa"/>
            <w:vMerge w:val="restart"/>
            <w:tcMar>
              <w:top w:w="28" w:type="dxa"/>
              <w:bottom w:w="28" w:type="dxa"/>
            </w:tcMar>
          </w:tcPr>
          <w:p w14:paraId="46483FF3" w14:textId="7D2898BA" w:rsidR="008A64B3" w:rsidRPr="008A64B3" w:rsidRDefault="002B6A6F" w:rsidP="002B6A6F">
            <w:pPr>
              <w:rPr>
                <w:rFonts w:ascii="Arial" w:hAnsi="Arial" w:cs="Arial"/>
              </w:rPr>
            </w:pPr>
            <w:r w:rsidRPr="002B6A6F">
              <w:rPr>
                <w:rFonts w:ascii="Arial" w:hAnsi="Arial" w:cs="Arial"/>
              </w:rPr>
              <w:t>DAPAGLIFLOZIN</w:t>
            </w:r>
            <w:r w:rsidR="005B1FB0">
              <w:rPr>
                <w:rFonts w:ascii="Arial" w:hAnsi="Arial" w:cs="Arial"/>
              </w:rPr>
              <w:br/>
            </w:r>
            <w:r w:rsidR="005B1FB0">
              <w:rPr>
                <w:rFonts w:ascii="Arial" w:hAnsi="Arial" w:cs="Arial"/>
              </w:rPr>
              <w:br/>
            </w:r>
            <w:r w:rsidRPr="002B6A6F">
              <w:rPr>
                <w:rFonts w:ascii="Arial" w:hAnsi="Arial" w:cs="Arial"/>
              </w:rPr>
              <w:t>Tablet 10 mg</w:t>
            </w:r>
            <w:r w:rsidR="005B1FB0">
              <w:rPr>
                <w:rFonts w:ascii="Arial" w:hAnsi="Arial" w:cs="Arial"/>
              </w:rPr>
              <w:br/>
            </w:r>
            <w:r w:rsidR="005B1FB0">
              <w:rPr>
                <w:rFonts w:ascii="Arial" w:hAnsi="Arial" w:cs="Arial"/>
              </w:rPr>
              <w:br/>
            </w:r>
            <w:proofErr w:type="spellStart"/>
            <w:r w:rsidRPr="002B6A6F">
              <w:rPr>
                <w:rFonts w:ascii="Arial" w:hAnsi="Arial" w:cs="Arial"/>
              </w:rPr>
              <w:t>Forxiga</w:t>
            </w:r>
            <w:proofErr w:type="spellEnd"/>
            <w:r w:rsidRPr="002B6A6F">
              <w:rPr>
                <w:rFonts w:ascii="Arial" w:hAnsi="Arial" w:cs="Arial"/>
              </w:rPr>
              <w:t>®</w:t>
            </w:r>
            <w:r w:rsidR="005B1FB0">
              <w:rPr>
                <w:rFonts w:ascii="Arial" w:hAnsi="Arial" w:cs="Arial"/>
              </w:rPr>
              <w:br/>
            </w:r>
            <w:r w:rsidR="005B1FB0">
              <w:rPr>
                <w:rFonts w:ascii="Arial" w:hAnsi="Arial" w:cs="Arial"/>
              </w:rPr>
              <w:br/>
            </w:r>
            <w:r w:rsidRPr="002B6A6F">
              <w:rPr>
                <w:rFonts w:ascii="Arial" w:hAnsi="Arial" w:cs="Arial"/>
              </w:rPr>
              <w:t xml:space="preserve">AstraZeneca Pty Ltd </w:t>
            </w:r>
            <w:r w:rsidR="005B1FB0">
              <w:rPr>
                <w:rFonts w:ascii="Arial" w:hAnsi="Arial" w:cs="Arial"/>
              </w:rPr>
              <w:br/>
            </w:r>
            <w:r w:rsidR="005B1FB0">
              <w:rPr>
                <w:rFonts w:ascii="Arial" w:hAnsi="Arial" w:cs="Arial"/>
              </w:rPr>
              <w:br/>
            </w:r>
            <w:r w:rsidRPr="002B6A6F">
              <w:rPr>
                <w:rFonts w:ascii="Arial" w:hAnsi="Arial" w:cs="Arial"/>
              </w:rPr>
              <w:t>Change to listing</w:t>
            </w:r>
            <w:r w:rsidR="005B1FB0">
              <w:rPr>
                <w:rFonts w:ascii="Arial" w:hAnsi="Arial" w:cs="Arial"/>
              </w:rPr>
              <w:br/>
            </w:r>
            <w:r w:rsidRPr="002B6A6F">
              <w:rPr>
                <w:rFonts w:ascii="Arial" w:hAnsi="Arial" w:cs="Arial"/>
              </w:rPr>
              <w:t>(Major Submission)</w:t>
            </w:r>
          </w:p>
        </w:tc>
        <w:tc>
          <w:tcPr>
            <w:tcW w:w="2409" w:type="dxa"/>
            <w:vMerge w:val="restart"/>
          </w:tcPr>
          <w:p w14:paraId="5CCA228B" w14:textId="654C138A" w:rsidR="00F16FA4" w:rsidRPr="008A64B3" w:rsidRDefault="008E5767" w:rsidP="001A199E">
            <w:pPr>
              <w:rPr>
                <w:rFonts w:ascii="Arial" w:hAnsi="Arial" w:cs="Arial"/>
              </w:rPr>
            </w:pPr>
            <w:r w:rsidRPr="008E5767">
              <w:rPr>
                <w:rFonts w:ascii="Arial" w:hAnsi="Arial" w:cs="Arial"/>
              </w:rPr>
              <w:t>Heart failure</w:t>
            </w:r>
          </w:p>
        </w:tc>
        <w:tc>
          <w:tcPr>
            <w:tcW w:w="3261" w:type="dxa"/>
            <w:tcMar>
              <w:top w:w="28" w:type="dxa"/>
              <w:bottom w:w="28" w:type="dxa"/>
            </w:tcMar>
          </w:tcPr>
          <w:p w14:paraId="519C2375" w14:textId="1442A2A7" w:rsidR="00F16FA4" w:rsidRPr="008A64B3" w:rsidRDefault="008E5767" w:rsidP="001A199E">
            <w:pPr>
              <w:rPr>
                <w:rFonts w:ascii="Arial" w:hAnsi="Arial" w:cs="Arial"/>
                <w:color w:val="000000"/>
              </w:rPr>
            </w:pPr>
            <w:r w:rsidRPr="008E5767">
              <w:rPr>
                <w:rFonts w:ascii="Arial" w:hAnsi="Arial" w:cs="Arial"/>
                <w:color w:val="000000"/>
              </w:rPr>
              <w:t>To request an extension of the current Authority Required (STREAMLINED) listing to include the treatment of heart failure in patients with reduced ejection fraction.</w:t>
            </w:r>
          </w:p>
        </w:tc>
        <w:tc>
          <w:tcPr>
            <w:tcW w:w="6947" w:type="dxa"/>
          </w:tcPr>
          <w:p w14:paraId="6E092E18" w14:textId="155833BA" w:rsidR="00F16FA4" w:rsidRPr="008A64B3" w:rsidRDefault="008E5767" w:rsidP="00F53174">
            <w:pPr>
              <w:pStyle w:val="ExecSumBodyText"/>
              <w:numPr>
                <w:ilvl w:val="0"/>
                <w:numId w:val="0"/>
              </w:numPr>
              <w:jc w:val="left"/>
              <w:rPr>
                <w:rFonts w:ascii="Arial" w:hAnsi="Arial"/>
                <w:sz w:val="20"/>
                <w:szCs w:val="20"/>
              </w:rPr>
            </w:pPr>
            <w:r w:rsidRPr="008E5767">
              <w:rPr>
                <w:rFonts w:ascii="Arial" w:hAnsi="Arial"/>
                <w:sz w:val="20"/>
                <w:szCs w:val="20"/>
              </w:rPr>
              <w:t xml:space="preserve">The PBAC did not recommend </w:t>
            </w:r>
            <w:proofErr w:type="spellStart"/>
            <w:r w:rsidRPr="008E5767">
              <w:rPr>
                <w:rFonts w:ascii="Arial" w:hAnsi="Arial"/>
                <w:sz w:val="20"/>
                <w:szCs w:val="20"/>
              </w:rPr>
              <w:t>dapagliflozin</w:t>
            </w:r>
            <w:proofErr w:type="spellEnd"/>
            <w:r w:rsidRPr="008E5767">
              <w:rPr>
                <w:rFonts w:ascii="Arial" w:hAnsi="Arial"/>
                <w:sz w:val="20"/>
                <w:szCs w:val="20"/>
              </w:rPr>
              <w:t xml:space="preserve"> for the treatment of patients with chronic heart failure with reduced ejection fraction. The PBAC considered that, although </w:t>
            </w:r>
            <w:proofErr w:type="spellStart"/>
            <w:r w:rsidRPr="008E5767">
              <w:rPr>
                <w:rFonts w:ascii="Arial" w:hAnsi="Arial"/>
                <w:sz w:val="20"/>
                <w:szCs w:val="20"/>
              </w:rPr>
              <w:t>dapagliflozin</w:t>
            </w:r>
            <w:proofErr w:type="spellEnd"/>
            <w:r w:rsidRPr="008E5767">
              <w:rPr>
                <w:rFonts w:ascii="Arial" w:hAnsi="Arial"/>
                <w:sz w:val="20"/>
                <w:szCs w:val="20"/>
              </w:rPr>
              <w:t xml:space="preserve"> was effective for this indication, its clinical place was unclear and likely to evolve. The selection of </w:t>
            </w:r>
            <w:proofErr w:type="spellStart"/>
            <w:r w:rsidRPr="008E5767">
              <w:rPr>
                <w:rFonts w:ascii="Arial" w:hAnsi="Arial"/>
                <w:sz w:val="20"/>
                <w:szCs w:val="20"/>
              </w:rPr>
              <w:t>sacubitril</w:t>
            </w:r>
            <w:proofErr w:type="spellEnd"/>
            <w:r w:rsidRPr="008E5767">
              <w:rPr>
                <w:rFonts w:ascii="Arial" w:hAnsi="Arial"/>
                <w:sz w:val="20"/>
                <w:szCs w:val="20"/>
              </w:rPr>
              <w:t xml:space="preserve">/valsartan as the main comparator was inappropriate, and hence the economic analysis presented in the submission did not allow for an assessment of cost effectiveness. The PBAC considered the cost-effectiveness of </w:t>
            </w:r>
            <w:proofErr w:type="spellStart"/>
            <w:r w:rsidRPr="008E5767">
              <w:rPr>
                <w:rFonts w:ascii="Arial" w:hAnsi="Arial"/>
                <w:sz w:val="20"/>
                <w:szCs w:val="20"/>
              </w:rPr>
              <w:t>dapagliflozin</w:t>
            </w:r>
            <w:proofErr w:type="spellEnd"/>
            <w:r w:rsidRPr="008E5767">
              <w:rPr>
                <w:rFonts w:ascii="Arial" w:hAnsi="Arial"/>
                <w:sz w:val="20"/>
                <w:szCs w:val="20"/>
              </w:rPr>
              <w:t xml:space="preserve"> added to standard care (comprising a beta-blocker plus an </w:t>
            </w:r>
            <w:r w:rsidR="00F53174" w:rsidRPr="00F53174">
              <w:rPr>
                <w:rFonts w:ascii="Arial" w:hAnsi="Arial"/>
                <w:sz w:val="20"/>
                <w:szCs w:val="20"/>
              </w:rPr>
              <w:t xml:space="preserve">angiotensin-converting enzyme </w:t>
            </w:r>
            <w:r w:rsidR="00F53174">
              <w:rPr>
                <w:rFonts w:ascii="Arial" w:hAnsi="Arial"/>
                <w:sz w:val="20"/>
                <w:szCs w:val="20"/>
              </w:rPr>
              <w:t>(</w:t>
            </w:r>
            <w:r w:rsidRPr="008E5767">
              <w:rPr>
                <w:rFonts w:ascii="Arial" w:hAnsi="Arial"/>
                <w:sz w:val="20"/>
                <w:szCs w:val="20"/>
              </w:rPr>
              <w:t>ACE</w:t>
            </w:r>
            <w:r w:rsidR="00F53174">
              <w:rPr>
                <w:rFonts w:ascii="Arial" w:hAnsi="Arial"/>
                <w:sz w:val="20"/>
                <w:szCs w:val="20"/>
              </w:rPr>
              <w:t>)</w:t>
            </w:r>
            <w:r w:rsidRPr="008E5767">
              <w:rPr>
                <w:rFonts w:ascii="Arial" w:hAnsi="Arial"/>
                <w:sz w:val="20"/>
                <w:szCs w:val="20"/>
              </w:rPr>
              <w:t xml:space="preserve"> inhibitor or </w:t>
            </w:r>
            <w:r w:rsidR="00F53174" w:rsidRPr="00F53174">
              <w:rPr>
                <w:rFonts w:ascii="Arial" w:hAnsi="Arial"/>
                <w:sz w:val="20"/>
                <w:szCs w:val="20"/>
              </w:rPr>
              <w:t xml:space="preserve">angiotensin II receptor blocker </w:t>
            </w:r>
            <w:r w:rsidR="00F53174">
              <w:rPr>
                <w:rFonts w:ascii="Arial" w:hAnsi="Arial"/>
                <w:sz w:val="20"/>
                <w:szCs w:val="20"/>
              </w:rPr>
              <w:t>(</w:t>
            </w:r>
            <w:r w:rsidRPr="008E5767">
              <w:rPr>
                <w:rFonts w:ascii="Arial" w:hAnsi="Arial"/>
                <w:sz w:val="20"/>
                <w:szCs w:val="20"/>
              </w:rPr>
              <w:t>ARB</w:t>
            </w:r>
            <w:r w:rsidR="00F53174">
              <w:rPr>
                <w:rFonts w:ascii="Arial" w:hAnsi="Arial"/>
                <w:sz w:val="20"/>
                <w:szCs w:val="20"/>
              </w:rPr>
              <w:t>)</w:t>
            </w:r>
            <w:r w:rsidRPr="008E5767">
              <w:rPr>
                <w:rFonts w:ascii="Arial" w:hAnsi="Arial"/>
                <w:sz w:val="20"/>
                <w:szCs w:val="20"/>
              </w:rPr>
              <w:t xml:space="preserve"> versus standard care alone (comprising a beta-blocker plus an ACE inhibitor or ARB) would need to be established in a future resubmission. An additional cost-effectiveness analysis would also be required for concomitant use of </w:t>
            </w:r>
            <w:proofErr w:type="spellStart"/>
            <w:r w:rsidRPr="008E5767">
              <w:rPr>
                <w:rFonts w:ascii="Arial" w:hAnsi="Arial"/>
                <w:sz w:val="20"/>
                <w:szCs w:val="20"/>
              </w:rPr>
              <w:t>dapagliflozin</w:t>
            </w:r>
            <w:proofErr w:type="spellEnd"/>
            <w:r w:rsidRPr="008E5767">
              <w:rPr>
                <w:rFonts w:ascii="Arial" w:hAnsi="Arial"/>
                <w:sz w:val="20"/>
                <w:szCs w:val="20"/>
              </w:rPr>
              <w:t xml:space="preserve"> and </w:t>
            </w:r>
            <w:proofErr w:type="spellStart"/>
            <w:r w:rsidRPr="008E5767">
              <w:rPr>
                <w:rFonts w:ascii="Arial" w:hAnsi="Arial"/>
                <w:sz w:val="20"/>
                <w:szCs w:val="20"/>
              </w:rPr>
              <w:t>sacubitril</w:t>
            </w:r>
            <w:proofErr w:type="spellEnd"/>
            <w:r w:rsidRPr="008E5767">
              <w:rPr>
                <w:rFonts w:ascii="Arial" w:hAnsi="Arial"/>
                <w:sz w:val="20"/>
                <w:szCs w:val="20"/>
              </w:rPr>
              <w:t xml:space="preserve">/valsartan (plus a beta-blocker) compared to </w:t>
            </w:r>
            <w:proofErr w:type="spellStart"/>
            <w:r w:rsidRPr="008E5767">
              <w:rPr>
                <w:rFonts w:ascii="Arial" w:hAnsi="Arial"/>
                <w:sz w:val="20"/>
                <w:szCs w:val="20"/>
              </w:rPr>
              <w:t>sacubitril</w:t>
            </w:r>
            <w:proofErr w:type="spellEnd"/>
            <w:r w:rsidRPr="008E5767">
              <w:rPr>
                <w:rFonts w:ascii="Arial" w:hAnsi="Arial"/>
                <w:sz w:val="20"/>
                <w:szCs w:val="20"/>
              </w:rPr>
              <w:t>/valsartan (plus a beta-blocker), which would be allowed under the proposed PBS listing. The PBAC also considered that the financial estimates were likely underestimated, and noted that several Quality Use of Medicines issues would need to be addressed in any resubmission.</w:t>
            </w:r>
          </w:p>
        </w:tc>
      </w:tr>
      <w:tr w:rsidR="00F16FA4" w:rsidRPr="00D3523D" w14:paraId="51671432" w14:textId="77777777" w:rsidTr="004C54F7">
        <w:trPr>
          <w:cantSplit/>
          <w:trHeight w:val="465"/>
        </w:trPr>
        <w:tc>
          <w:tcPr>
            <w:tcW w:w="2694" w:type="dxa"/>
            <w:vMerge/>
            <w:tcMar>
              <w:top w:w="28" w:type="dxa"/>
              <w:bottom w:w="28" w:type="dxa"/>
            </w:tcMar>
          </w:tcPr>
          <w:p w14:paraId="6587FEC1" w14:textId="77777777" w:rsidR="00F16FA4" w:rsidRPr="008A64B3" w:rsidRDefault="00F16FA4" w:rsidP="001A199E">
            <w:pPr>
              <w:rPr>
                <w:rFonts w:ascii="Arial" w:hAnsi="Arial" w:cs="Arial"/>
              </w:rPr>
            </w:pPr>
          </w:p>
        </w:tc>
        <w:tc>
          <w:tcPr>
            <w:tcW w:w="2409" w:type="dxa"/>
            <w:vMerge/>
          </w:tcPr>
          <w:p w14:paraId="2D45226F" w14:textId="77777777" w:rsidR="00F16FA4" w:rsidRPr="008A64B3" w:rsidRDefault="00F16FA4" w:rsidP="001A199E">
            <w:pPr>
              <w:widowControl w:val="0"/>
              <w:rPr>
                <w:rFonts w:ascii="Arial" w:hAnsi="Arial" w:cs="Arial"/>
                <w:snapToGrid w:val="0"/>
                <w:lang w:eastAsia="en-US"/>
              </w:rPr>
            </w:pPr>
          </w:p>
        </w:tc>
        <w:tc>
          <w:tcPr>
            <w:tcW w:w="3261" w:type="dxa"/>
            <w:tcMar>
              <w:top w:w="28" w:type="dxa"/>
              <w:bottom w:w="28" w:type="dxa"/>
            </w:tcMar>
          </w:tcPr>
          <w:p w14:paraId="5046BA84" w14:textId="2C072578" w:rsidR="00F16FA4" w:rsidRPr="008A64B3" w:rsidRDefault="00BB5F54" w:rsidP="001A199E">
            <w:pPr>
              <w:pStyle w:val="ListParagraph"/>
              <w:ind w:left="0"/>
              <w:jc w:val="right"/>
              <w:rPr>
                <w:rFonts w:ascii="Arial" w:hAnsi="Arial" w:cs="Arial"/>
                <w:snapToGrid w:val="0"/>
                <w:sz w:val="20"/>
                <w:szCs w:val="20"/>
                <w:lang w:eastAsia="en-US"/>
              </w:rPr>
            </w:pPr>
            <w:r>
              <w:rPr>
                <w:rFonts w:ascii="Arial" w:hAnsi="Arial" w:cs="Arial"/>
                <w:snapToGrid w:val="0"/>
                <w:sz w:val="20"/>
                <w:szCs w:val="20"/>
                <w:lang w:eastAsia="en-US"/>
              </w:rPr>
              <w:t>Sponsor’s c</w:t>
            </w:r>
            <w:r w:rsidR="00F16FA4" w:rsidRPr="008A64B3">
              <w:rPr>
                <w:rFonts w:ascii="Arial" w:hAnsi="Arial" w:cs="Arial"/>
                <w:snapToGrid w:val="0"/>
                <w:sz w:val="20"/>
                <w:szCs w:val="20"/>
                <w:lang w:eastAsia="en-US"/>
              </w:rPr>
              <w:t>omment:</w:t>
            </w:r>
          </w:p>
        </w:tc>
        <w:tc>
          <w:tcPr>
            <w:tcW w:w="6947" w:type="dxa"/>
          </w:tcPr>
          <w:p w14:paraId="446E2AA7" w14:textId="028DA021" w:rsidR="00F16FA4" w:rsidRPr="008A64B3" w:rsidRDefault="00310359" w:rsidP="001A199E">
            <w:pPr>
              <w:pStyle w:val="ListParagraph"/>
              <w:ind w:left="0"/>
              <w:jc w:val="both"/>
              <w:rPr>
                <w:rFonts w:ascii="Arial" w:hAnsi="Arial" w:cs="Arial"/>
                <w:iCs/>
                <w:sz w:val="20"/>
                <w:szCs w:val="20"/>
              </w:rPr>
            </w:pPr>
            <w:bookmarkStart w:id="0" w:name="_GoBack"/>
            <w:r w:rsidRPr="00310359">
              <w:rPr>
                <w:rFonts w:ascii="Arial" w:hAnsi="Arial" w:cs="Arial"/>
                <w:iCs/>
                <w:sz w:val="20"/>
                <w:szCs w:val="20"/>
              </w:rPr>
              <w:t>The sponsor had no comment.</w:t>
            </w:r>
            <w:bookmarkEnd w:id="0"/>
          </w:p>
        </w:tc>
      </w:tr>
      <w:tr w:rsidR="00F16FA4" w:rsidRPr="00D3523D" w14:paraId="45CB4802" w14:textId="77777777" w:rsidTr="004C54F7">
        <w:trPr>
          <w:cantSplit/>
          <w:trHeight w:val="896"/>
        </w:trPr>
        <w:tc>
          <w:tcPr>
            <w:tcW w:w="2694" w:type="dxa"/>
            <w:vMerge w:val="restart"/>
            <w:tcMar>
              <w:top w:w="28" w:type="dxa"/>
              <w:bottom w:w="28" w:type="dxa"/>
            </w:tcMar>
          </w:tcPr>
          <w:p w14:paraId="7A7E9F99" w14:textId="6D8BDBBF" w:rsidR="00F16FA4" w:rsidRPr="008A64B3" w:rsidRDefault="002B6A6F" w:rsidP="002B6A6F">
            <w:pPr>
              <w:rPr>
                <w:rFonts w:ascii="Arial" w:hAnsi="Arial" w:cs="Arial"/>
              </w:rPr>
            </w:pPr>
            <w:r w:rsidRPr="002B6A6F">
              <w:rPr>
                <w:rFonts w:ascii="Arial" w:hAnsi="Arial" w:cs="Arial"/>
              </w:rPr>
              <w:t>ECULIZUMAB</w:t>
            </w:r>
            <w:r w:rsidR="005B1FB0">
              <w:rPr>
                <w:rFonts w:ascii="Arial" w:hAnsi="Arial" w:cs="Arial"/>
              </w:rPr>
              <w:br/>
            </w:r>
            <w:r w:rsidR="005B1FB0">
              <w:rPr>
                <w:rFonts w:ascii="Arial" w:hAnsi="Arial" w:cs="Arial"/>
              </w:rPr>
              <w:br/>
            </w:r>
            <w:r w:rsidRPr="002B6A6F">
              <w:rPr>
                <w:rFonts w:ascii="Arial" w:hAnsi="Arial" w:cs="Arial"/>
              </w:rPr>
              <w:t>Solution concentrate for I.V. infusion 300 mg</w:t>
            </w:r>
            <w:r w:rsidR="005A3B39">
              <w:rPr>
                <w:rFonts w:ascii="Arial" w:hAnsi="Arial" w:cs="Arial"/>
              </w:rPr>
              <w:t xml:space="preserve"> </w:t>
            </w:r>
            <w:r w:rsidRPr="002B6A6F">
              <w:rPr>
                <w:rFonts w:ascii="Arial" w:hAnsi="Arial" w:cs="Arial"/>
              </w:rPr>
              <w:t>in 30 mL</w:t>
            </w:r>
            <w:r w:rsidR="005B1FB0">
              <w:rPr>
                <w:rFonts w:ascii="Arial" w:hAnsi="Arial" w:cs="Arial"/>
              </w:rPr>
              <w:br/>
            </w:r>
            <w:r w:rsidR="005B1FB0">
              <w:rPr>
                <w:rFonts w:ascii="Arial" w:hAnsi="Arial" w:cs="Arial"/>
              </w:rPr>
              <w:br/>
            </w:r>
            <w:proofErr w:type="spellStart"/>
            <w:r w:rsidRPr="002B6A6F">
              <w:rPr>
                <w:rFonts w:ascii="Arial" w:hAnsi="Arial" w:cs="Arial"/>
              </w:rPr>
              <w:t>Soliris</w:t>
            </w:r>
            <w:proofErr w:type="spellEnd"/>
            <w:r w:rsidRPr="002B6A6F">
              <w:rPr>
                <w:rFonts w:ascii="Arial" w:hAnsi="Arial" w:cs="Arial"/>
              </w:rPr>
              <w:t>®</w:t>
            </w:r>
            <w:r w:rsidR="005B1FB0">
              <w:rPr>
                <w:rFonts w:ascii="Arial" w:hAnsi="Arial" w:cs="Arial"/>
              </w:rPr>
              <w:br/>
            </w:r>
            <w:r w:rsidR="005B1FB0">
              <w:rPr>
                <w:rFonts w:ascii="Arial" w:hAnsi="Arial" w:cs="Arial"/>
              </w:rPr>
              <w:br/>
            </w:r>
            <w:r w:rsidRPr="002B6A6F">
              <w:rPr>
                <w:rFonts w:ascii="Arial" w:hAnsi="Arial" w:cs="Arial"/>
              </w:rPr>
              <w:t xml:space="preserve">Alexion Pharmaceuticals Australasia Pty Ltd </w:t>
            </w:r>
            <w:r w:rsidR="005B1FB0">
              <w:rPr>
                <w:rFonts w:ascii="Arial" w:hAnsi="Arial" w:cs="Arial"/>
              </w:rPr>
              <w:br/>
            </w:r>
            <w:r w:rsidR="005B1FB0">
              <w:rPr>
                <w:rFonts w:ascii="Arial" w:hAnsi="Arial" w:cs="Arial"/>
              </w:rPr>
              <w:br/>
            </w:r>
            <w:r w:rsidRPr="002B6A6F">
              <w:rPr>
                <w:rFonts w:ascii="Arial" w:hAnsi="Arial" w:cs="Arial"/>
              </w:rPr>
              <w:t>Change to listing</w:t>
            </w:r>
            <w:r w:rsidR="005B1FB0">
              <w:rPr>
                <w:rFonts w:ascii="Arial" w:hAnsi="Arial" w:cs="Arial"/>
              </w:rPr>
              <w:br/>
            </w:r>
            <w:r w:rsidRPr="002B6A6F">
              <w:rPr>
                <w:rFonts w:ascii="Arial" w:hAnsi="Arial" w:cs="Arial"/>
              </w:rPr>
              <w:t>(Major Submission)</w:t>
            </w:r>
          </w:p>
        </w:tc>
        <w:tc>
          <w:tcPr>
            <w:tcW w:w="2409" w:type="dxa"/>
            <w:vMerge w:val="restart"/>
          </w:tcPr>
          <w:p w14:paraId="66BD9DD3" w14:textId="56DCF2C7" w:rsidR="00F16FA4" w:rsidRPr="008A64B3" w:rsidRDefault="009C4C1A" w:rsidP="001A199E">
            <w:pPr>
              <w:rPr>
                <w:rFonts w:ascii="Arial" w:hAnsi="Arial" w:cs="Arial"/>
              </w:rPr>
            </w:pPr>
            <w:proofErr w:type="spellStart"/>
            <w:r w:rsidRPr="009C4C1A">
              <w:rPr>
                <w:rFonts w:ascii="Arial" w:hAnsi="Arial" w:cs="Arial"/>
              </w:rPr>
              <w:t>Neuromyelitis</w:t>
            </w:r>
            <w:proofErr w:type="spellEnd"/>
            <w:r w:rsidRPr="009C4C1A">
              <w:rPr>
                <w:rFonts w:ascii="Arial" w:hAnsi="Arial" w:cs="Arial"/>
              </w:rPr>
              <w:t xml:space="preserve"> </w:t>
            </w:r>
            <w:proofErr w:type="spellStart"/>
            <w:r w:rsidRPr="009C4C1A">
              <w:rPr>
                <w:rFonts w:ascii="Arial" w:hAnsi="Arial" w:cs="Arial"/>
              </w:rPr>
              <w:t>optica</w:t>
            </w:r>
            <w:proofErr w:type="spellEnd"/>
            <w:r w:rsidRPr="009C4C1A">
              <w:rPr>
                <w:rFonts w:ascii="Arial" w:hAnsi="Arial" w:cs="Arial"/>
              </w:rPr>
              <w:t xml:space="preserve"> spectrum disorder (NMOSD)</w:t>
            </w:r>
          </w:p>
        </w:tc>
        <w:tc>
          <w:tcPr>
            <w:tcW w:w="3261" w:type="dxa"/>
            <w:tcMar>
              <w:top w:w="28" w:type="dxa"/>
              <w:bottom w:w="28" w:type="dxa"/>
            </w:tcMar>
          </w:tcPr>
          <w:p w14:paraId="135CA190" w14:textId="73C525F5" w:rsidR="00F16FA4" w:rsidRPr="008A64B3" w:rsidRDefault="009C4C1A">
            <w:pPr>
              <w:rPr>
                <w:rFonts w:ascii="Arial" w:hAnsi="Arial" w:cs="Arial"/>
                <w:color w:val="000000"/>
              </w:rPr>
            </w:pPr>
            <w:r>
              <w:rPr>
                <w:rFonts w:ascii="Arial" w:hAnsi="Arial" w:cs="Arial"/>
                <w:color w:val="000000"/>
              </w:rPr>
              <w:t>To request an Authority Required (Written) listing for the treatment of patients with relapsing NMOSD who are anti-aquaporin-4 (AQP4) antibody positive.</w:t>
            </w:r>
          </w:p>
        </w:tc>
        <w:tc>
          <w:tcPr>
            <w:tcW w:w="6947" w:type="dxa"/>
          </w:tcPr>
          <w:p w14:paraId="63AED918" w14:textId="6880A0FC" w:rsidR="00F16FA4" w:rsidRPr="007365E8" w:rsidRDefault="009C4C1A" w:rsidP="004C54F7">
            <w:pPr>
              <w:pStyle w:val="3-BodyText"/>
              <w:ind w:left="11" w:hanging="11"/>
              <w:jc w:val="left"/>
              <w:rPr>
                <w:rFonts w:ascii="Arial" w:hAnsi="Arial"/>
                <w:sz w:val="20"/>
                <w:szCs w:val="20"/>
              </w:rPr>
            </w:pPr>
            <w:r w:rsidRPr="009C4C1A">
              <w:rPr>
                <w:rFonts w:ascii="Arial" w:hAnsi="Arial"/>
                <w:sz w:val="20"/>
                <w:szCs w:val="20"/>
              </w:rPr>
              <w:t xml:space="preserve">The PBAC did not recommend the listing of </w:t>
            </w:r>
            <w:proofErr w:type="spellStart"/>
            <w:r w:rsidRPr="009C4C1A">
              <w:rPr>
                <w:rFonts w:ascii="Arial" w:hAnsi="Arial"/>
                <w:sz w:val="20"/>
                <w:szCs w:val="20"/>
              </w:rPr>
              <w:t>eculizumab</w:t>
            </w:r>
            <w:proofErr w:type="spellEnd"/>
            <w:r w:rsidRPr="009C4C1A">
              <w:rPr>
                <w:rFonts w:ascii="Arial" w:hAnsi="Arial"/>
                <w:sz w:val="20"/>
                <w:szCs w:val="20"/>
              </w:rPr>
              <w:t xml:space="preserve"> for the treatment of NMOSD. Although the PBAC considered that </w:t>
            </w:r>
            <w:proofErr w:type="spellStart"/>
            <w:r w:rsidRPr="009C4C1A">
              <w:rPr>
                <w:rFonts w:ascii="Arial" w:hAnsi="Arial"/>
                <w:sz w:val="20"/>
                <w:szCs w:val="20"/>
              </w:rPr>
              <w:t>eculizumab</w:t>
            </w:r>
            <w:proofErr w:type="spellEnd"/>
            <w:r w:rsidRPr="009C4C1A">
              <w:rPr>
                <w:rFonts w:ascii="Arial" w:hAnsi="Arial"/>
                <w:sz w:val="20"/>
                <w:szCs w:val="20"/>
              </w:rPr>
              <w:t xml:space="preserve"> was more effective than best supportive care in reducing relapses, the magnitude of this effect on disability progression and quality of life outcomes was highly uncertain. The PBAC noted that the incremental cost effectiveness ratio </w:t>
            </w:r>
            <w:r w:rsidR="00A16ECC">
              <w:rPr>
                <w:rFonts w:ascii="Arial" w:hAnsi="Arial"/>
                <w:sz w:val="20"/>
                <w:szCs w:val="20"/>
              </w:rPr>
              <w:t xml:space="preserve">(ICER) </w:t>
            </w:r>
            <w:r w:rsidRPr="009C4C1A">
              <w:rPr>
                <w:rFonts w:ascii="Arial" w:hAnsi="Arial"/>
                <w:sz w:val="20"/>
                <w:szCs w:val="20"/>
              </w:rPr>
              <w:t xml:space="preserve">was exceptionally high and advised that a significant price reduction would aid in achieving an acceptable ICER. The PBAC, noting that </w:t>
            </w:r>
            <w:proofErr w:type="spellStart"/>
            <w:r w:rsidRPr="009C4C1A">
              <w:rPr>
                <w:rFonts w:ascii="Arial" w:hAnsi="Arial"/>
                <w:sz w:val="20"/>
                <w:szCs w:val="20"/>
              </w:rPr>
              <w:t>eculizumab</w:t>
            </w:r>
            <w:proofErr w:type="spellEnd"/>
            <w:r w:rsidRPr="009C4C1A">
              <w:rPr>
                <w:rFonts w:ascii="Arial" w:hAnsi="Arial"/>
                <w:sz w:val="20"/>
                <w:szCs w:val="20"/>
              </w:rPr>
              <w:t xml:space="preserve"> was proposed as a lifelong prophylactic treatment, considered that, at the proposed price, the cost of listing </w:t>
            </w:r>
            <w:proofErr w:type="spellStart"/>
            <w:r w:rsidRPr="009C4C1A">
              <w:rPr>
                <w:rFonts w:ascii="Arial" w:hAnsi="Arial"/>
                <w:sz w:val="20"/>
                <w:szCs w:val="20"/>
              </w:rPr>
              <w:t>eculizumab</w:t>
            </w:r>
            <w:proofErr w:type="spellEnd"/>
            <w:r w:rsidRPr="009C4C1A">
              <w:rPr>
                <w:rFonts w:ascii="Arial" w:hAnsi="Arial"/>
                <w:sz w:val="20"/>
                <w:szCs w:val="20"/>
              </w:rPr>
              <w:t xml:space="preserve"> on the PBS was high for the number of patients expected to be treated.</w:t>
            </w:r>
          </w:p>
        </w:tc>
      </w:tr>
      <w:tr w:rsidR="00F16FA4" w:rsidRPr="00D3523D" w14:paraId="67B78992" w14:textId="77777777" w:rsidTr="004C54F7">
        <w:trPr>
          <w:cantSplit/>
          <w:trHeight w:val="465"/>
        </w:trPr>
        <w:tc>
          <w:tcPr>
            <w:tcW w:w="2694" w:type="dxa"/>
            <w:vMerge/>
            <w:tcMar>
              <w:top w:w="28" w:type="dxa"/>
              <w:bottom w:w="28" w:type="dxa"/>
            </w:tcMar>
          </w:tcPr>
          <w:p w14:paraId="229649D9" w14:textId="77777777" w:rsidR="00F16FA4" w:rsidRPr="008A64B3" w:rsidRDefault="00F16FA4" w:rsidP="001A199E">
            <w:pPr>
              <w:rPr>
                <w:rFonts w:ascii="Arial" w:hAnsi="Arial" w:cs="Arial"/>
              </w:rPr>
            </w:pPr>
          </w:p>
        </w:tc>
        <w:tc>
          <w:tcPr>
            <w:tcW w:w="2409" w:type="dxa"/>
            <w:vMerge/>
          </w:tcPr>
          <w:p w14:paraId="7A9BCA7E" w14:textId="77777777" w:rsidR="00F16FA4" w:rsidRPr="008A64B3" w:rsidRDefault="00F16FA4" w:rsidP="001A199E">
            <w:pPr>
              <w:widowControl w:val="0"/>
              <w:rPr>
                <w:rFonts w:ascii="Arial" w:hAnsi="Arial" w:cs="Arial"/>
                <w:snapToGrid w:val="0"/>
                <w:lang w:eastAsia="en-US"/>
              </w:rPr>
            </w:pPr>
          </w:p>
        </w:tc>
        <w:tc>
          <w:tcPr>
            <w:tcW w:w="3261" w:type="dxa"/>
            <w:tcMar>
              <w:top w:w="28" w:type="dxa"/>
              <w:bottom w:w="28" w:type="dxa"/>
            </w:tcMar>
          </w:tcPr>
          <w:p w14:paraId="45B43A9C" w14:textId="0953721D" w:rsidR="00F16FA4" w:rsidRPr="008A64B3" w:rsidRDefault="00BB5F54" w:rsidP="001A199E">
            <w:pPr>
              <w:pStyle w:val="ListParagraph"/>
              <w:ind w:left="0"/>
              <w:jc w:val="right"/>
              <w:rPr>
                <w:rFonts w:ascii="Arial" w:hAnsi="Arial" w:cs="Arial"/>
                <w:snapToGrid w:val="0"/>
                <w:sz w:val="20"/>
                <w:szCs w:val="20"/>
                <w:lang w:eastAsia="en-US"/>
              </w:rPr>
            </w:pPr>
            <w:r>
              <w:rPr>
                <w:rFonts w:ascii="Arial" w:hAnsi="Arial" w:cs="Arial"/>
                <w:snapToGrid w:val="0"/>
                <w:sz w:val="20"/>
                <w:szCs w:val="20"/>
                <w:lang w:eastAsia="en-US"/>
              </w:rPr>
              <w:t>Sponsor’s c</w:t>
            </w:r>
            <w:r w:rsidR="00F16FA4" w:rsidRPr="008A64B3">
              <w:rPr>
                <w:rFonts w:ascii="Arial" w:hAnsi="Arial" w:cs="Arial"/>
                <w:snapToGrid w:val="0"/>
                <w:sz w:val="20"/>
                <w:szCs w:val="20"/>
                <w:lang w:eastAsia="en-US"/>
              </w:rPr>
              <w:t>omment:</w:t>
            </w:r>
          </w:p>
        </w:tc>
        <w:tc>
          <w:tcPr>
            <w:tcW w:w="6947" w:type="dxa"/>
          </w:tcPr>
          <w:p w14:paraId="2E394FCF" w14:textId="3AF5BED5" w:rsidR="00571984" w:rsidRPr="008A64B3" w:rsidRDefault="00DE26B3" w:rsidP="001A199E">
            <w:pPr>
              <w:pStyle w:val="ListParagraph"/>
              <w:ind w:left="0"/>
              <w:jc w:val="both"/>
              <w:rPr>
                <w:rFonts w:ascii="Arial" w:hAnsi="Arial" w:cs="Arial"/>
                <w:iCs/>
                <w:sz w:val="20"/>
                <w:szCs w:val="20"/>
              </w:rPr>
            </w:pPr>
            <w:r w:rsidRPr="00DE26B3">
              <w:rPr>
                <w:rFonts w:ascii="Arial" w:hAnsi="Arial" w:cs="Arial"/>
                <w:iCs/>
                <w:sz w:val="20"/>
                <w:szCs w:val="20"/>
              </w:rPr>
              <w:t xml:space="preserve">Alexion is disappointed with the PBAC’s decision not to recommend </w:t>
            </w:r>
            <w:proofErr w:type="spellStart"/>
            <w:r w:rsidRPr="00DE26B3">
              <w:rPr>
                <w:rFonts w:ascii="Arial" w:hAnsi="Arial" w:cs="Arial"/>
                <w:iCs/>
                <w:sz w:val="20"/>
                <w:szCs w:val="20"/>
              </w:rPr>
              <w:t>eculizumab</w:t>
            </w:r>
            <w:proofErr w:type="spellEnd"/>
            <w:r w:rsidRPr="00DE26B3">
              <w:rPr>
                <w:rFonts w:ascii="Arial" w:hAnsi="Arial" w:cs="Arial"/>
                <w:iCs/>
                <w:sz w:val="20"/>
                <w:szCs w:val="20"/>
              </w:rPr>
              <w:t xml:space="preserve"> for NMOSD. We appreciate there is a high threshold of evidence required to establish the value of a new treatment, which can be even more challenging in rare diseases, however, adult patients with NMOSD in Australia will greatly benefit from access to </w:t>
            </w:r>
            <w:proofErr w:type="spellStart"/>
            <w:r w:rsidRPr="00DE26B3">
              <w:rPr>
                <w:rFonts w:ascii="Arial" w:hAnsi="Arial" w:cs="Arial"/>
                <w:iCs/>
                <w:sz w:val="20"/>
                <w:szCs w:val="20"/>
              </w:rPr>
              <w:t>eculizumab</w:t>
            </w:r>
            <w:proofErr w:type="spellEnd"/>
            <w:r w:rsidRPr="00DE26B3">
              <w:rPr>
                <w:rFonts w:ascii="Arial" w:hAnsi="Arial" w:cs="Arial"/>
                <w:iCs/>
                <w:sz w:val="20"/>
                <w:szCs w:val="20"/>
              </w:rPr>
              <w:t xml:space="preserve"> – the first approved treatment for NMOSD. As such, we will continue to work with the PBAC and the Department of Health to reach an agreement that ensures long term, sustainable access for people living with this devastating disease.</w:t>
            </w:r>
          </w:p>
        </w:tc>
      </w:tr>
      <w:tr w:rsidR="00F16FA4" w:rsidRPr="00D3523D" w14:paraId="6BBBE314" w14:textId="77777777" w:rsidTr="004C54F7">
        <w:trPr>
          <w:cantSplit/>
          <w:trHeight w:val="896"/>
        </w:trPr>
        <w:tc>
          <w:tcPr>
            <w:tcW w:w="2694" w:type="dxa"/>
            <w:vMerge w:val="restart"/>
            <w:tcMar>
              <w:top w:w="28" w:type="dxa"/>
              <w:bottom w:w="28" w:type="dxa"/>
            </w:tcMar>
          </w:tcPr>
          <w:p w14:paraId="045D7FB0" w14:textId="7EE3BB48" w:rsidR="00F16FA4" w:rsidRPr="008A64B3" w:rsidRDefault="00711E70" w:rsidP="00711E70">
            <w:pPr>
              <w:rPr>
                <w:rFonts w:ascii="Arial" w:hAnsi="Arial" w:cs="Arial"/>
              </w:rPr>
            </w:pPr>
            <w:r w:rsidRPr="00711E70">
              <w:rPr>
                <w:rFonts w:ascii="Arial" w:hAnsi="Arial" w:cs="Arial"/>
              </w:rPr>
              <w:t>ELOTUZUMAB</w:t>
            </w:r>
            <w:r w:rsidR="005B1FB0">
              <w:rPr>
                <w:rFonts w:ascii="Arial" w:hAnsi="Arial" w:cs="Arial"/>
              </w:rPr>
              <w:br/>
            </w:r>
            <w:r w:rsidR="005B1FB0">
              <w:rPr>
                <w:rFonts w:ascii="Arial" w:hAnsi="Arial" w:cs="Arial"/>
              </w:rPr>
              <w:br/>
            </w:r>
            <w:r w:rsidRPr="00711E70">
              <w:rPr>
                <w:rFonts w:ascii="Arial" w:hAnsi="Arial" w:cs="Arial"/>
              </w:rPr>
              <w:t>Powder for IV infusion 300 mg</w:t>
            </w:r>
            <w:r w:rsidR="005B1FB0">
              <w:rPr>
                <w:rFonts w:ascii="Arial" w:hAnsi="Arial" w:cs="Arial"/>
              </w:rPr>
              <w:br/>
            </w:r>
            <w:r w:rsidRPr="00711E70">
              <w:rPr>
                <w:rFonts w:ascii="Arial" w:hAnsi="Arial" w:cs="Arial"/>
              </w:rPr>
              <w:t>Powder for IV infusion 400 mg</w:t>
            </w:r>
            <w:r w:rsidR="005B1FB0">
              <w:rPr>
                <w:rFonts w:ascii="Arial" w:hAnsi="Arial" w:cs="Arial"/>
              </w:rPr>
              <w:br/>
            </w:r>
            <w:r w:rsidR="005B1FB0">
              <w:rPr>
                <w:rFonts w:ascii="Arial" w:hAnsi="Arial" w:cs="Arial"/>
              </w:rPr>
              <w:br/>
            </w:r>
            <w:r w:rsidRPr="00711E70">
              <w:rPr>
                <w:rFonts w:ascii="Arial" w:hAnsi="Arial" w:cs="Arial"/>
              </w:rPr>
              <w:t>Empliciti®</w:t>
            </w:r>
            <w:r w:rsidR="005B1FB0">
              <w:rPr>
                <w:rFonts w:ascii="Arial" w:hAnsi="Arial" w:cs="Arial"/>
              </w:rPr>
              <w:br/>
            </w:r>
            <w:r w:rsidR="005B1FB0">
              <w:rPr>
                <w:rFonts w:ascii="Arial" w:hAnsi="Arial" w:cs="Arial"/>
              </w:rPr>
              <w:br/>
            </w:r>
            <w:r w:rsidRPr="00711E70">
              <w:rPr>
                <w:rFonts w:ascii="Arial" w:hAnsi="Arial" w:cs="Arial"/>
              </w:rPr>
              <w:t>Bristol-Myers Squibb Australia Pty Ltd</w:t>
            </w:r>
            <w:r w:rsidR="005B1FB0">
              <w:rPr>
                <w:rFonts w:ascii="Arial" w:hAnsi="Arial" w:cs="Arial"/>
              </w:rPr>
              <w:br/>
            </w:r>
            <w:r w:rsidR="005B1FB0">
              <w:rPr>
                <w:rFonts w:ascii="Arial" w:hAnsi="Arial" w:cs="Arial"/>
              </w:rPr>
              <w:br/>
            </w:r>
            <w:r w:rsidRPr="00711E70">
              <w:rPr>
                <w:rFonts w:ascii="Arial" w:hAnsi="Arial" w:cs="Arial"/>
              </w:rPr>
              <w:t>New listing</w:t>
            </w:r>
            <w:r w:rsidR="005B1FB0">
              <w:rPr>
                <w:rFonts w:ascii="Arial" w:hAnsi="Arial" w:cs="Arial"/>
              </w:rPr>
              <w:br/>
            </w:r>
            <w:r w:rsidRPr="00711E70">
              <w:rPr>
                <w:rFonts w:ascii="Arial" w:hAnsi="Arial" w:cs="Arial"/>
              </w:rPr>
              <w:t>(Major Submission)</w:t>
            </w:r>
          </w:p>
        </w:tc>
        <w:tc>
          <w:tcPr>
            <w:tcW w:w="2409" w:type="dxa"/>
            <w:vMerge w:val="restart"/>
          </w:tcPr>
          <w:p w14:paraId="11F844F4" w14:textId="7C69FAAF" w:rsidR="00F16FA4" w:rsidRPr="008A64B3" w:rsidRDefault="009C4C1A" w:rsidP="001A199E">
            <w:pPr>
              <w:rPr>
                <w:rFonts w:ascii="Arial" w:hAnsi="Arial" w:cs="Arial"/>
              </w:rPr>
            </w:pPr>
            <w:r w:rsidRPr="009C4C1A">
              <w:rPr>
                <w:rFonts w:ascii="Arial" w:hAnsi="Arial" w:cs="Arial"/>
              </w:rPr>
              <w:t>Multiple myeloma</w:t>
            </w:r>
          </w:p>
        </w:tc>
        <w:tc>
          <w:tcPr>
            <w:tcW w:w="3261" w:type="dxa"/>
            <w:tcMar>
              <w:top w:w="28" w:type="dxa"/>
              <w:bottom w:w="28" w:type="dxa"/>
            </w:tcMar>
          </w:tcPr>
          <w:p w14:paraId="7C79F916" w14:textId="0D7BAE0C" w:rsidR="00F16FA4" w:rsidRPr="008A64B3" w:rsidRDefault="009C4C1A" w:rsidP="001A199E">
            <w:pPr>
              <w:rPr>
                <w:rFonts w:ascii="Arial" w:hAnsi="Arial" w:cs="Arial"/>
                <w:color w:val="000000"/>
              </w:rPr>
            </w:pPr>
            <w:r w:rsidRPr="009C4C1A">
              <w:rPr>
                <w:rFonts w:ascii="Arial" w:hAnsi="Arial" w:cs="Arial"/>
                <w:color w:val="000000"/>
              </w:rPr>
              <w:t xml:space="preserve">To request Section 100 (Efficient Funding of Chemotherapy) Authority Required (Telephone) listing in combination with </w:t>
            </w:r>
            <w:proofErr w:type="spellStart"/>
            <w:r w:rsidRPr="009C4C1A">
              <w:rPr>
                <w:rFonts w:ascii="Arial" w:hAnsi="Arial" w:cs="Arial"/>
                <w:color w:val="000000"/>
              </w:rPr>
              <w:t>lenalidomide</w:t>
            </w:r>
            <w:proofErr w:type="spellEnd"/>
            <w:r w:rsidRPr="009C4C1A">
              <w:rPr>
                <w:rFonts w:ascii="Arial" w:hAnsi="Arial" w:cs="Arial"/>
                <w:color w:val="000000"/>
              </w:rPr>
              <w:t xml:space="preserve"> and dexamethasone for the treatment of patients with relapsed or refractory multiple myeloma.</w:t>
            </w:r>
          </w:p>
        </w:tc>
        <w:tc>
          <w:tcPr>
            <w:tcW w:w="6947" w:type="dxa"/>
          </w:tcPr>
          <w:p w14:paraId="6E55C6E3" w14:textId="656873ED" w:rsidR="00F16FA4" w:rsidRPr="008A64B3" w:rsidRDefault="00481DF9">
            <w:pPr>
              <w:pStyle w:val="3-BodyText"/>
              <w:ind w:left="0" w:firstLine="0"/>
              <w:jc w:val="left"/>
              <w:rPr>
                <w:rFonts w:ascii="Arial" w:hAnsi="Arial"/>
                <w:sz w:val="20"/>
                <w:szCs w:val="20"/>
              </w:rPr>
            </w:pPr>
            <w:r w:rsidRPr="00481DF9">
              <w:rPr>
                <w:rFonts w:ascii="Arial" w:hAnsi="Arial"/>
                <w:sz w:val="20"/>
                <w:szCs w:val="20"/>
              </w:rPr>
              <w:t xml:space="preserve">The PBAC did not recommend the listing of </w:t>
            </w:r>
            <w:proofErr w:type="spellStart"/>
            <w:r w:rsidRPr="00481DF9">
              <w:rPr>
                <w:rFonts w:ascii="Arial" w:hAnsi="Arial"/>
                <w:sz w:val="20"/>
                <w:szCs w:val="20"/>
              </w:rPr>
              <w:t>elotuzumab</w:t>
            </w:r>
            <w:proofErr w:type="spellEnd"/>
            <w:r w:rsidRPr="00481DF9">
              <w:rPr>
                <w:rFonts w:ascii="Arial" w:hAnsi="Arial"/>
                <w:sz w:val="20"/>
                <w:szCs w:val="20"/>
              </w:rPr>
              <w:t xml:space="preserve">, in combination with </w:t>
            </w:r>
            <w:proofErr w:type="spellStart"/>
            <w:r w:rsidRPr="00481DF9">
              <w:rPr>
                <w:rFonts w:ascii="Arial" w:hAnsi="Arial"/>
                <w:sz w:val="20"/>
                <w:szCs w:val="20"/>
              </w:rPr>
              <w:t>lenalidomide</w:t>
            </w:r>
            <w:proofErr w:type="spellEnd"/>
            <w:r w:rsidRPr="00481DF9">
              <w:rPr>
                <w:rFonts w:ascii="Arial" w:hAnsi="Arial"/>
                <w:sz w:val="20"/>
                <w:szCs w:val="20"/>
              </w:rPr>
              <w:t xml:space="preserve"> and dexamethasone (</w:t>
            </w:r>
            <w:proofErr w:type="spellStart"/>
            <w:r w:rsidRPr="00481DF9">
              <w:rPr>
                <w:rFonts w:ascii="Arial" w:hAnsi="Arial"/>
                <w:sz w:val="20"/>
                <w:szCs w:val="20"/>
              </w:rPr>
              <w:t>ELd</w:t>
            </w:r>
            <w:proofErr w:type="spellEnd"/>
            <w:r w:rsidRPr="00481DF9">
              <w:rPr>
                <w:rFonts w:ascii="Arial" w:hAnsi="Arial"/>
                <w:sz w:val="20"/>
                <w:szCs w:val="20"/>
              </w:rPr>
              <w:t xml:space="preserve">), for the treatment of patients with relapsed and/or refractory multiple myeloma. The PBAC considered that, due to the nature of the indirect treatment comparison (ITC) and differences between the key trials, the results of the ITC were difficult to interpret and did not adequately demonstrate non-inferiority between </w:t>
            </w:r>
            <w:proofErr w:type="spellStart"/>
            <w:r w:rsidRPr="00481DF9">
              <w:rPr>
                <w:rFonts w:ascii="Arial" w:hAnsi="Arial"/>
                <w:sz w:val="20"/>
                <w:szCs w:val="20"/>
              </w:rPr>
              <w:t>ELd</w:t>
            </w:r>
            <w:proofErr w:type="spellEnd"/>
            <w:r w:rsidRPr="00481DF9">
              <w:rPr>
                <w:rFonts w:ascii="Arial" w:hAnsi="Arial"/>
                <w:sz w:val="20"/>
                <w:szCs w:val="20"/>
              </w:rPr>
              <w:t xml:space="preserve"> and the nominated comparator, carfilzomib plus dexamethasone, in terms of efficacy or safety. The PBAC therefore considered that the presentation of a cost minimisation analysis was not appropriate.</w:t>
            </w:r>
          </w:p>
        </w:tc>
      </w:tr>
      <w:tr w:rsidR="00F16FA4" w:rsidRPr="00D3523D" w14:paraId="32A7BC16" w14:textId="77777777" w:rsidTr="004C54F7">
        <w:trPr>
          <w:cantSplit/>
          <w:trHeight w:val="465"/>
        </w:trPr>
        <w:tc>
          <w:tcPr>
            <w:tcW w:w="2694" w:type="dxa"/>
            <w:vMerge/>
            <w:tcMar>
              <w:top w:w="28" w:type="dxa"/>
              <w:bottom w:w="28" w:type="dxa"/>
            </w:tcMar>
          </w:tcPr>
          <w:p w14:paraId="220376C5" w14:textId="77777777" w:rsidR="00F16FA4" w:rsidRPr="008A64B3" w:rsidRDefault="00F16FA4" w:rsidP="001A199E">
            <w:pPr>
              <w:rPr>
                <w:rFonts w:ascii="Arial" w:hAnsi="Arial" w:cs="Arial"/>
              </w:rPr>
            </w:pPr>
          </w:p>
        </w:tc>
        <w:tc>
          <w:tcPr>
            <w:tcW w:w="2409" w:type="dxa"/>
            <w:vMerge/>
          </w:tcPr>
          <w:p w14:paraId="79F02AD2" w14:textId="77777777" w:rsidR="00F16FA4" w:rsidRPr="008A64B3" w:rsidRDefault="00F16FA4" w:rsidP="001A199E">
            <w:pPr>
              <w:widowControl w:val="0"/>
              <w:rPr>
                <w:rFonts w:ascii="Arial" w:hAnsi="Arial" w:cs="Arial"/>
                <w:snapToGrid w:val="0"/>
                <w:lang w:eastAsia="en-US"/>
              </w:rPr>
            </w:pPr>
          </w:p>
        </w:tc>
        <w:tc>
          <w:tcPr>
            <w:tcW w:w="3261" w:type="dxa"/>
            <w:tcMar>
              <w:top w:w="28" w:type="dxa"/>
              <w:bottom w:w="28" w:type="dxa"/>
            </w:tcMar>
          </w:tcPr>
          <w:p w14:paraId="0DA7B088" w14:textId="44E76525" w:rsidR="00F16FA4" w:rsidRPr="008A64B3" w:rsidRDefault="00BB5F54" w:rsidP="001A199E">
            <w:pPr>
              <w:pStyle w:val="ListParagraph"/>
              <w:ind w:left="0"/>
              <w:jc w:val="right"/>
              <w:rPr>
                <w:rFonts w:ascii="Arial" w:hAnsi="Arial" w:cs="Arial"/>
                <w:snapToGrid w:val="0"/>
                <w:sz w:val="20"/>
                <w:szCs w:val="20"/>
                <w:lang w:eastAsia="en-US"/>
              </w:rPr>
            </w:pPr>
            <w:r>
              <w:rPr>
                <w:rFonts w:ascii="Arial" w:hAnsi="Arial" w:cs="Arial"/>
                <w:snapToGrid w:val="0"/>
                <w:sz w:val="20"/>
                <w:szCs w:val="20"/>
                <w:lang w:eastAsia="en-US"/>
              </w:rPr>
              <w:t>Sponsor’s c</w:t>
            </w:r>
            <w:r w:rsidR="00F16FA4" w:rsidRPr="008A64B3">
              <w:rPr>
                <w:rFonts w:ascii="Arial" w:hAnsi="Arial" w:cs="Arial"/>
                <w:snapToGrid w:val="0"/>
                <w:sz w:val="20"/>
                <w:szCs w:val="20"/>
                <w:lang w:eastAsia="en-US"/>
              </w:rPr>
              <w:t>omment:</w:t>
            </w:r>
          </w:p>
        </w:tc>
        <w:tc>
          <w:tcPr>
            <w:tcW w:w="6947" w:type="dxa"/>
          </w:tcPr>
          <w:p w14:paraId="752BF6CB" w14:textId="179C2667" w:rsidR="00F16FA4" w:rsidRPr="008A64B3" w:rsidRDefault="00D47313" w:rsidP="00225002">
            <w:pPr>
              <w:rPr>
                <w:rFonts w:ascii="Arial" w:hAnsi="Arial" w:cs="Arial"/>
                <w:iCs/>
              </w:rPr>
            </w:pPr>
            <w:r w:rsidRPr="00D47313">
              <w:rPr>
                <w:rFonts w:ascii="Arial" w:hAnsi="Arial" w:cs="Arial"/>
                <w:iCs/>
              </w:rPr>
              <w:t>The sponsor had no comment</w:t>
            </w:r>
            <w:r>
              <w:rPr>
                <w:rFonts w:ascii="Arial" w:hAnsi="Arial" w:cs="Arial"/>
                <w:iCs/>
              </w:rPr>
              <w:t>.</w:t>
            </w:r>
          </w:p>
        </w:tc>
      </w:tr>
      <w:tr w:rsidR="004C54F7" w:rsidRPr="00D3523D" w14:paraId="7B8E402E" w14:textId="77777777" w:rsidTr="004C54F7">
        <w:trPr>
          <w:cantSplit/>
          <w:trHeight w:val="465"/>
        </w:trPr>
        <w:tc>
          <w:tcPr>
            <w:tcW w:w="2694" w:type="dxa"/>
            <w:vMerge w:val="restart"/>
            <w:tcMar>
              <w:top w:w="28" w:type="dxa"/>
              <w:bottom w:w="28" w:type="dxa"/>
            </w:tcMar>
          </w:tcPr>
          <w:p w14:paraId="45B8B35D" w14:textId="77777777" w:rsidR="004C54F7" w:rsidRPr="00E62B7F" w:rsidRDefault="004C54F7" w:rsidP="00E62B7F">
            <w:pPr>
              <w:rPr>
                <w:rFonts w:ascii="Arial" w:hAnsi="Arial" w:cs="Arial"/>
              </w:rPr>
            </w:pPr>
            <w:r w:rsidRPr="00E62B7F">
              <w:rPr>
                <w:rFonts w:ascii="Arial" w:hAnsi="Arial" w:cs="Arial"/>
              </w:rPr>
              <w:t>EVOLOCUMAB</w:t>
            </w:r>
          </w:p>
          <w:p w14:paraId="59C5C250" w14:textId="77777777" w:rsidR="004C54F7" w:rsidRPr="00E62B7F" w:rsidRDefault="004C54F7" w:rsidP="00E62B7F">
            <w:pPr>
              <w:rPr>
                <w:rFonts w:ascii="Arial" w:hAnsi="Arial" w:cs="Arial"/>
              </w:rPr>
            </w:pPr>
          </w:p>
          <w:p w14:paraId="12BC5480" w14:textId="77777777" w:rsidR="004C54F7" w:rsidRPr="00E62B7F" w:rsidRDefault="004C54F7" w:rsidP="00E62B7F">
            <w:pPr>
              <w:rPr>
                <w:rFonts w:ascii="Arial" w:hAnsi="Arial" w:cs="Arial"/>
              </w:rPr>
            </w:pPr>
            <w:r w:rsidRPr="00E62B7F">
              <w:rPr>
                <w:rFonts w:ascii="Arial" w:hAnsi="Arial" w:cs="Arial"/>
              </w:rPr>
              <w:t>Injection 140 mg in 1 mL single use pre-filled pen</w:t>
            </w:r>
          </w:p>
          <w:p w14:paraId="5E027961" w14:textId="77777777" w:rsidR="004C54F7" w:rsidRPr="00E62B7F" w:rsidRDefault="004C54F7" w:rsidP="00E62B7F">
            <w:pPr>
              <w:rPr>
                <w:rFonts w:ascii="Arial" w:hAnsi="Arial" w:cs="Arial"/>
              </w:rPr>
            </w:pPr>
            <w:r w:rsidRPr="00E62B7F">
              <w:rPr>
                <w:rFonts w:ascii="Arial" w:hAnsi="Arial" w:cs="Arial"/>
              </w:rPr>
              <w:t>Injection 420 mg in 3.5 mL single use pre-filled cartridge</w:t>
            </w:r>
          </w:p>
          <w:p w14:paraId="1FF77800" w14:textId="77777777" w:rsidR="004C54F7" w:rsidRPr="00E62B7F" w:rsidRDefault="004C54F7" w:rsidP="00E62B7F">
            <w:pPr>
              <w:rPr>
                <w:rFonts w:ascii="Arial" w:hAnsi="Arial" w:cs="Arial"/>
              </w:rPr>
            </w:pPr>
          </w:p>
          <w:p w14:paraId="73C351D8" w14:textId="77777777" w:rsidR="004C54F7" w:rsidRPr="00E62B7F" w:rsidRDefault="004C54F7" w:rsidP="00E62B7F">
            <w:pPr>
              <w:rPr>
                <w:rFonts w:ascii="Arial" w:hAnsi="Arial" w:cs="Arial"/>
              </w:rPr>
            </w:pPr>
            <w:proofErr w:type="spellStart"/>
            <w:r w:rsidRPr="00E62B7F">
              <w:rPr>
                <w:rFonts w:ascii="Arial" w:hAnsi="Arial" w:cs="Arial"/>
              </w:rPr>
              <w:t>Repatha</w:t>
            </w:r>
            <w:proofErr w:type="spellEnd"/>
            <w:r w:rsidRPr="00E62B7F">
              <w:rPr>
                <w:rFonts w:ascii="Arial" w:hAnsi="Arial" w:cs="Arial"/>
              </w:rPr>
              <w:t>®</w:t>
            </w:r>
          </w:p>
          <w:p w14:paraId="2727AE00" w14:textId="77777777" w:rsidR="004C54F7" w:rsidRPr="00E62B7F" w:rsidRDefault="004C54F7" w:rsidP="00E62B7F">
            <w:pPr>
              <w:rPr>
                <w:rFonts w:ascii="Arial" w:hAnsi="Arial" w:cs="Arial"/>
              </w:rPr>
            </w:pPr>
          </w:p>
          <w:p w14:paraId="7628750B" w14:textId="77777777" w:rsidR="004C54F7" w:rsidRDefault="004C54F7" w:rsidP="00E62B7F">
            <w:pPr>
              <w:rPr>
                <w:rFonts w:ascii="Arial" w:hAnsi="Arial" w:cs="Arial"/>
              </w:rPr>
            </w:pPr>
            <w:r w:rsidRPr="00E62B7F">
              <w:rPr>
                <w:rFonts w:ascii="Arial" w:hAnsi="Arial" w:cs="Arial"/>
              </w:rPr>
              <w:t>Amgen Australia Pty Limited</w:t>
            </w:r>
          </w:p>
          <w:p w14:paraId="5D21CDB5" w14:textId="77777777" w:rsidR="004C54F7" w:rsidRDefault="004C54F7" w:rsidP="00E62B7F">
            <w:pPr>
              <w:rPr>
                <w:rFonts w:ascii="Arial" w:hAnsi="Arial" w:cs="Arial"/>
              </w:rPr>
            </w:pPr>
          </w:p>
          <w:p w14:paraId="69A451B5" w14:textId="77777777" w:rsidR="004C54F7" w:rsidRPr="00E62B7F" w:rsidRDefault="004C54F7" w:rsidP="00E62B7F">
            <w:pPr>
              <w:rPr>
                <w:rFonts w:ascii="Arial" w:hAnsi="Arial" w:cs="Arial"/>
              </w:rPr>
            </w:pPr>
            <w:r w:rsidRPr="00E62B7F">
              <w:rPr>
                <w:rFonts w:ascii="Arial" w:hAnsi="Arial" w:cs="Arial"/>
              </w:rPr>
              <w:t>Change to listing</w:t>
            </w:r>
          </w:p>
          <w:p w14:paraId="4F5FD7AB" w14:textId="18F3E0F2" w:rsidR="004C54F7" w:rsidRPr="008A64B3" w:rsidRDefault="004C54F7" w:rsidP="00E62B7F">
            <w:pPr>
              <w:rPr>
                <w:rFonts w:ascii="Arial" w:hAnsi="Arial" w:cs="Arial"/>
              </w:rPr>
            </w:pPr>
            <w:r w:rsidRPr="00E62B7F">
              <w:rPr>
                <w:rFonts w:ascii="Arial" w:hAnsi="Arial" w:cs="Arial"/>
              </w:rPr>
              <w:t>(Minor Submission)</w:t>
            </w:r>
          </w:p>
        </w:tc>
        <w:tc>
          <w:tcPr>
            <w:tcW w:w="2409" w:type="dxa"/>
            <w:vMerge w:val="restart"/>
          </w:tcPr>
          <w:p w14:paraId="2AE19F3A" w14:textId="14DF4D47" w:rsidR="004C54F7" w:rsidRPr="008A64B3" w:rsidRDefault="004C54F7">
            <w:pPr>
              <w:widowControl w:val="0"/>
              <w:rPr>
                <w:rFonts w:ascii="Arial" w:hAnsi="Arial" w:cs="Arial"/>
                <w:snapToGrid w:val="0"/>
                <w:lang w:eastAsia="en-US"/>
              </w:rPr>
            </w:pPr>
            <w:r w:rsidRPr="00E62B7F">
              <w:rPr>
                <w:rFonts w:ascii="Arial" w:hAnsi="Arial" w:cs="Arial"/>
                <w:snapToGrid w:val="0"/>
                <w:lang w:eastAsia="en-US"/>
              </w:rPr>
              <w:t xml:space="preserve">Familial heterozygous </w:t>
            </w:r>
            <w:proofErr w:type="spellStart"/>
            <w:r w:rsidRPr="00E62B7F">
              <w:rPr>
                <w:rFonts w:ascii="Arial" w:hAnsi="Arial" w:cs="Arial"/>
                <w:snapToGrid w:val="0"/>
                <w:lang w:eastAsia="en-US"/>
              </w:rPr>
              <w:t>hypercholesterolaemia</w:t>
            </w:r>
            <w:proofErr w:type="spellEnd"/>
            <w:r w:rsidRPr="00E62B7F">
              <w:rPr>
                <w:rFonts w:ascii="Arial" w:hAnsi="Arial" w:cs="Arial"/>
                <w:snapToGrid w:val="0"/>
                <w:lang w:eastAsia="en-US"/>
              </w:rPr>
              <w:t xml:space="preserve">; Non-familial </w:t>
            </w:r>
            <w:proofErr w:type="spellStart"/>
            <w:r w:rsidRPr="00E62B7F">
              <w:rPr>
                <w:rFonts w:ascii="Arial" w:hAnsi="Arial" w:cs="Arial"/>
                <w:snapToGrid w:val="0"/>
                <w:lang w:eastAsia="en-US"/>
              </w:rPr>
              <w:t>hypercholesterolaemia</w:t>
            </w:r>
            <w:proofErr w:type="spellEnd"/>
            <w:r w:rsidRPr="00E62B7F">
              <w:rPr>
                <w:rFonts w:ascii="Arial" w:hAnsi="Arial" w:cs="Arial"/>
                <w:snapToGrid w:val="0"/>
                <w:lang w:eastAsia="en-US"/>
              </w:rPr>
              <w:t xml:space="preserve">; Familial homozygous </w:t>
            </w:r>
            <w:proofErr w:type="spellStart"/>
            <w:r w:rsidRPr="00E62B7F">
              <w:rPr>
                <w:rFonts w:ascii="Arial" w:hAnsi="Arial" w:cs="Arial"/>
                <w:snapToGrid w:val="0"/>
                <w:lang w:eastAsia="en-US"/>
              </w:rPr>
              <w:t>hypercholesterolaemia</w:t>
            </w:r>
            <w:proofErr w:type="spellEnd"/>
          </w:p>
        </w:tc>
        <w:tc>
          <w:tcPr>
            <w:tcW w:w="3261" w:type="dxa"/>
            <w:tcMar>
              <w:top w:w="28" w:type="dxa"/>
              <w:bottom w:w="28" w:type="dxa"/>
            </w:tcMar>
          </w:tcPr>
          <w:p w14:paraId="2CA64153" w14:textId="1A9D5712" w:rsidR="004C54F7" w:rsidRDefault="004C54F7" w:rsidP="00FB2F6B">
            <w:pPr>
              <w:pStyle w:val="ListParagraph"/>
              <w:ind w:left="0"/>
              <w:rPr>
                <w:rFonts w:ascii="Arial" w:hAnsi="Arial" w:cs="Arial"/>
                <w:snapToGrid w:val="0"/>
                <w:sz w:val="20"/>
                <w:szCs w:val="20"/>
                <w:lang w:eastAsia="en-US"/>
              </w:rPr>
            </w:pPr>
            <w:r w:rsidRPr="00E62B7F">
              <w:rPr>
                <w:rFonts w:ascii="Arial" w:hAnsi="Arial" w:cs="Arial"/>
                <w:snapToGrid w:val="0"/>
                <w:sz w:val="20"/>
                <w:szCs w:val="20"/>
                <w:lang w:eastAsia="en-US"/>
              </w:rPr>
              <w:t>To request an amendment to the Authority Required listing to allow general practitioners to initiate treatment in consultation with a specialist.</w:t>
            </w:r>
          </w:p>
        </w:tc>
        <w:tc>
          <w:tcPr>
            <w:tcW w:w="6947" w:type="dxa"/>
          </w:tcPr>
          <w:p w14:paraId="0124CB0C" w14:textId="26967978" w:rsidR="004C54F7" w:rsidRPr="008A64B3" w:rsidRDefault="004C54F7" w:rsidP="00225002">
            <w:pPr>
              <w:rPr>
                <w:rFonts w:ascii="Arial" w:hAnsi="Arial" w:cs="Arial"/>
                <w:iCs/>
              </w:rPr>
            </w:pPr>
            <w:r w:rsidRPr="00E62B7F">
              <w:rPr>
                <w:rFonts w:ascii="Arial" w:hAnsi="Arial" w:cs="Arial"/>
                <w:iCs/>
              </w:rPr>
              <w:t xml:space="preserve">The PBAC did not recommend amending the Authority Required listings of </w:t>
            </w:r>
            <w:proofErr w:type="spellStart"/>
            <w:r w:rsidRPr="00E62B7F">
              <w:rPr>
                <w:rFonts w:ascii="Arial" w:hAnsi="Arial" w:cs="Arial"/>
                <w:iCs/>
              </w:rPr>
              <w:t>evolocumab</w:t>
            </w:r>
            <w:proofErr w:type="spellEnd"/>
            <w:r w:rsidRPr="00E62B7F">
              <w:rPr>
                <w:rFonts w:ascii="Arial" w:hAnsi="Arial" w:cs="Arial"/>
                <w:iCs/>
              </w:rPr>
              <w:t xml:space="preserve"> for all indications to allow GPs to initiate treatment after having consulted a specialist. Consistent with its previous advice, the PBAC advised that “Must be treated by a specialist physician” should remain a requirement for initiation of treatment for all indications. The PBAC considered that it was too early to assess the financial impact of the </w:t>
            </w:r>
            <w:proofErr w:type="spellStart"/>
            <w:r w:rsidRPr="00E62B7F">
              <w:rPr>
                <w:rFonts w:ascii="Arial" w:hAnsi="Arial" w:cs="Arial"/>
                <w:iCs/>
              </w:rPr>
              <w:t>evolocumab</w:t>
            </w:r>
            <w:proofErr w:type="spellEnd"/>
            <w:r w:rsidRPr="00E62B7F">
              <w:rPr>
                <w:rFonts w:ascii="Arial" w:hAnsi="Arial" w:cs="Arial"/>
                <w:iCs/>
              </w:rPr>
              <w:t xml:space="preserve"> listings and that it would be appropriate to review the utilisation data after at least 18 months from the date </w:t>
            </w:r>
            <w:proofErr w:type="spellStart"/>
            <w:r w:rsidRPr="00E62B7F">
              <w:rPr>
                <w:rFonts w:ascii="Arial" w:hAnsi="Arial" w:cs="Arial"/>
                <w:iCs/>
              </w:rPr>
              <w:t>evolocumab’s</w:t>
            </w:r>
            <w:proofErr w:type="spellEnd"/>
            <w:r w:rsidRPr="00E62B7F">
              <w:rPr>
                <w:rFonts w:ascii="Arial" w:hAnsi="Arial" w:cs="Arial"/>
                <w:iCs/>
              </w:rPr>
              <w:t xml:space="preserve"> listing was extended to include non-familial </w:t>
            </w:r>
            <w:proofErr w:type="spellStart"/>
            <w:r w:rsidRPr="00E62B7F">
              <w:rPr>
                <w:rFonts w:ascii="Arial" w:hAnsi="Arial" w:cs="Arial"/>
                <w:iCs/>
              </w:rPr>
              <w:t>hypercholesterolaemia</w:t>
            </w:r>
            <w:proofErr w:type="spellEnd"/>
            <w:r w:rsidRPr="00E62B7F">
              <w:rPr>
                <w:rFonts w:ascii="Arial" w:hAnsi="Arial" w:cs="Arial"/>
                <w:iCs/>
              </w:rPr>
              <w:t xml:space="preserve"> (1 May 2020).</w:t>
            </w:r>
          </w:p>
        </w:tc>
      </w:tr>
      <w:tr w:rsidR="004C54F7" w:rsidRPr="00D3523D" w14:paraId="0C22C32F" w14:textId="77777777" w:rsidTr="004C54F7">
        <w:trPr>
          <w:cantSplit/>
          <w:trHeight w:val="465"/>
        </w:trPr>
        <w:tc>
          <w:tcPr>
            <w:tcW w:w="2694" w:type="dxa"/>
            <w:vMerge/>
            <w:tcMar>
              <w:top w:w="28" w:type="dxa"/>
              <w:bottom w:w="28" w:type="dxa"/>
            </w:tcMar>
          </w:tcPr>
          <w:p w14:paraId="5EC91F52" w14:textId="77777777" w:rsidR="004C54F7" w:rsidRPr="00E62B7F" w:rsidRDefault="004C54F7" w:rsidP="00E62B7F">
            <w:pPr>
              <w:rPr>
                <w:rFonts w:ascii="Arial" w:hAnsi="Arial" w:cs="Arial"/>
              </w:rPr>
            </w:pPr>
          </w:p>
        </w:tc>
        <w:tc>
          <w:tcPr>
            <w:tcW w:w="2409" w:type="dxa"/>
            <w:vMerge/>
          </w:tcPr>
          <w:p w14:paraId="64C377C9" w14:textId="77777777" w:rsidR="004C54F7" w:rsidRPr="00E62B7F" w:rsidRDefault="004C54F7" w:rsidP="00E62B7F">
            <w:pPr>
              <w:widowControl w:val="0"/>
              <w:rPr>
                <w:rFonts w:ascii="Arial" w:hAnsi="Arial" w:cs="Arial"/>
                <w:snapToGrid w:val="0"/>
                <w:lang w:eastAsia="en-US"/>
              </w:rPr>
            </w:pPr>
          </w:p>
        </w:tc>
        <w:tc>
          <w:tcPr>
            <w:tcW w:w="3261" w:type="dxa"/>
            <w:tcMar>
              <w:top w:w="28" w:type="dxa"/>
              <w:bottom w:w="28" w:type="dxa"/>
            </w:tcMar>
          </w:tcPr>
          <w:p w14:paraId="39D7428C" w14:textId="2E4D99A4" w:rsidR="004C54F7" w:rsidRPr="00E62B7F" w:rsidRDefault="004C54F7" w:rsidP="00FB2F6B">
            <w:pPr>
              <w:pStyle w:val="ListParagraph"/>
              <w:ind w:left="0"/>
              <w:jc w:val="right"/>
              <w:rPr>
                <w:rFonts w:ascii="Arial" w:hAnsi="Arial" w:cs="Arial"/>
                <w:snapToGrid w:val="0"/>
                <w:sz w:val="20"/>
                <w:szCs w:val="20"/>
                <w:lang w:eastAsia="en-US"/>
              </w:rPr>
            </w:pPr>
            <w:r>
              <w:rPr>
                <w:rFonts w:ascii="Arial" w:hAnsi="Arial" w:cs="Arial"/>
                <w:snapToGrid w:val="0"/>
                <w:sz w:val="20"/>
                <w:szCs w:val="20"/>
                <w:lang w:eastAsia="en-US"/>
              </w:rPr>
              <w:t>Sponsor’s comments:</w:t>
            </w:r>
          </w:p>
        </w:tc>
        <w:tc>
          <w:tcPr>
            <w:tcW w:w="6947" w:type="dxa"/>
          </w:tcPr>
          <w:p w14:paraId="1220B740" w14:textId="527ACBF2" w:rsidR="004C54F7" w:rsidRPr="00E62B7F" w:rsidRDefault="004C54F7" w:rsidP="00225002">
            <w:pPr>
              <w:rPr>
                <w:rFonts w:ascii="Arial" w:hAnsi="Arial" w:cs="Arial"/>
                <w:iCs/>
              </w:rPr>
            </w:pPr>
            <w:r w:rsidRPr="00D208FD">
              <w:rPr>
                <w:rFonts w:ascii="Arial" w:hAnsi="Arial" w:cs="Arial"/>
                <w:iCs/>
              </w:rPr>
              <w:t xml:space="preserve">Amgen will continue to work with the PBAC on this matter so Australians have equitable access to </w:t>
            </w:r>
            <w:proofErr w:type="spellStart"/>
            <w:r w:rsidRPr="00D208FD">
              <w:rPr>
                <w:rFonts w:ascii="Arial" w:hAnsi="Arial" w:cs="Arial"/>
                <w:iCs/>
              </w:rPr>
              <w:t>evolocumab</w:t>
            </w:r>
            <w:proofErr w:type="spellEnd"/>
            <w:r w:rsidRPr="00D208FD">
              <w:rPr>
                <w:rFonts w:ascii="Arial" w:hAnsi="Arial" w:cs="Arial"/>
                <w:iCs/>
              </w:rPr>
              <w:t>.</w:t>
            </w:r>
          </w:p>
        </w:tc>
      </w:tr>
      <w:tr w:rsidR="00F16FA4" w:rsidRPr="00D3523D" w14:paraId="2C85B404" w14:textId="77777777" w:rsidTr="004C54F7">
        <w:trPr>
          <w:cantSplit/>
          <w:trHeight w:val="896"/>
        </w:trPr>
        <w:tc>
          <w:tcPr>
            <w:tcW w:w="2694" w:type="dxa"/>
            <w:vMerge w:val="restart"/>
            <w:tcMar>
              <w:top w:w="28" w:type="dxa"/>
              <w:bottom w:w="28" w:type="dxa"/>
            </w:tcMar>
          </w:tcPr>
          <w:p w14:paraId="67E77906" w14:textId="7A433BA8" w:rsidR="008A64B3" w:rsidRPr="008A64B3" w:rsidRDefault="00711E70" w:rsidP="00711E70">
            <w:pPr>
              <w:rPr>
                <w:rFonts w:ascii="Arial" w:hAnsi="Arial" w:cs="Arial"/>
              </w:rPr>
            </w:pPr>
            <w:r w:rsidRPr="00711E70">
              <w:rPr>
                <w:rFonts w:ascii="Arial" w:hAnsi="Arial" w:cs="Arial"/>
              </w:rPr>
              <w:t>FLUOCINOLONE ACETONIDE</w:t>
            </w:r>
            <w:r w:rsidR="005B1FB0">
              <w:rPr>
                <w:rFonts w:ascii="Arial" w:hAnsi="Arial" w:cs="Arial"/>
              </w:rPr>
              <w:br/>
            </w:r>
            <w:r w:rsidR="005B1FB0">
              <w:rPr>
                <w:rFonts w:ascii="Arial" w:hAnsi="Arial" w:cs="Arial"/>
              </w:rPr>
              <w:br/>
            </w:r>
            <w:proofErr w:type="spellStart"/>
            <w:r w:rsidRPr="00711E70">
              <w:rPr>
                <w:rFonts w:ascii="Arial" w:hAnsi="Arial" w:cs="Arial"/>
              </w:rPr>
              <w:t>Intravitreal</w:t>
            </w:r>
            <w:proofErr w:type="spellEnd"/>
            <w:r w:rsidRPr="00711E70">
              <w:rPr>
                <w:rFonts w:ascii="Arial" w:hAnsi="Arial" w:cs="Arial"/>
              </w:rPr>
              <w:t xml:space="preserve"> injection 190 micrograms</w:t>
            </w:r>
            <w:r w:rsidR="005B1FB0">
              <w:rPr>
                <w:rFonts w:ascii="Arial" w:hAnsi="Arial" w:cs="Arial"/>
              </w:rPr>
              <w:br/>
            </w:r>
            <w:r w:rsidR="005B1FB0">
              <w:rPr>
                <w:rFonts w:ascii="Arial" w:hAnsi="Arial" w:cs="Arial"/>
              </w:rPr>
              <w:br/>
            </w:r>
            <w:proofErr w:type="spellStart"/>
            <w:r w:rsidRPr="00711E70">
              <w:rPr>
                <w:rFonts w:ascii="Arial" w:hAnsi="Arial" w:cs="Arial"/>
              </w:rPr>
              <w:t>Iluvien</w:t>
            </w:r>
            <w:proofErr w:type="spellEnd"/>
            <w:r w:rsidRPr="00711E70">
              <w:rPr>
                <w:rFonts w:ascii="Arial" w:hAnsi="Arial" w:cs="Arial"/>
              </w:rPr>
              <w:t>®</w:t>
            </w:r>
            <w:r w:rsidR="005B1FB0">
              <w:rPr>
                <w:rFonts w:ascii="Arial" w:hAnsi="Arial" w:cs="Arial"/>
              </w:rPr>
              <w:br/>
            </w:r>
            <w:r w:rsidR="005B1FB0">
              <w:rPr>
                <w:rFonts w:ascii="Arial" w:hAnsi="Arial" w:cs="Arial"/>
              </w:rPr>
              <w:br/>
            </w:r>
            <w:r w:rsidRPr="00711E70">
              <w:rPr>
                <w:rFonts w:ascii="Arial" w:hAnsi="Arial" w:cs="Arial"/>
              </w:rPr>
              <w:t xml:space="preserve">Specialised Therapeutics </w:t>
            </w:r>
            <w:proofErr w:type="spellStart"/>
            <w:r w:rsidRPr="00711E70">
              <w:rPr>
                <w:rFonts w:ascii="Arial" w:hAnsi="Arial" w:cs="Arial"/>
              </w:rPr>
              <w:t>Alim</w:t>
            </w:r>
            <w:proofErr w:type="spellEnd"/>
            <w:r w:rsidRPr="00711E70">
              <w:rPr>
                <w:rFonts w:ascii="Arial" w:hAnsi="Arial" w:cs="Arial"/>
              </w:rPr>
              <w:t xml:space="preserve"> Pty Ltd</w:t>
            </w:r>
            <w:r w:rsidR="005B1FB0">
              <w:rPr>
                <w:rFonts w:ascii="Arial" w:hAnsi="Arial" w:cs="Arial"/>
              </w:rPr>
              <w:br/>
            </w:r>
            <w:r w:rsidR="005B1FB0">
              <w:rPr>
                <w:rFonts w:ascii="Arial" w:hAnsi="Arial" w:cs="Arial"/>
              </w:rPr>
              <w:br/>
            </w:r>
            <w:r w:rsidRPr="00711E70">
              <w:rPr>
                <w:rFonts w:ascii="Arial" w:hAnsi="Arial" w:cs="Arial"/>
              </w:rPr>
              <w:t>New listing</w:t>
            </w:r>
            <w:r w:rsidR="005B1FB0">
              <w:rPr>
                <w:rFonts w:ascii="Arial" w:hAnsi="Arial" w:cs="Arial"/>
              </w:rPr>
              <w:br/>
            </w:r>
            <w:r w:rsidRPr="00711E70">
              <w:rPr>
                <w:rFonts w:ascii="Arial" w:hAnsi="Arial" w:cs="Arial"/>
              </w:rPr>
              <w:t>(Minor Submission)</w:t>
            </w:r>
          </w:p>
        </w:tc>
        <w:tc>
          <w:tcPr>
            <w:tcW w:w="2409" w:type="dxa"/>
            <w:vMerge w:val="restart"/>
          </w:tcPr>
          <w:p w14:paraId="361ABDA3" w14:textId="5268B7D0" w:rsidR="00F16FA4" w:rsidRPr="008A64B3" w:rsidRDefault="009C4C1A" w:rsidP="001A199E">
            <w:pPr>
              <w:rPr>
                <w:rFonts w:ascii="Arial" w:hAnsi="Arial" w:cs="Arial"/>
              </w:rPr>
            </w:pPr>
            <w:r w:rsidRPr="009C4C1A">
              <w:rPr>
                <w:rFonts w:ascii="Arial" w:hAnsi="Arial" w:cs="Arial"/>
              </w:rPr>
              <w:t>Diabetic macular oedema</w:t>
            </w:r>
          </w:p>
        </w:tc>
        <w:tc>
          <w:tcPr>
            <w:tcW w:w="3261" w:type="dxa"/>
            <w:tcMar>
              <w:top w:w="28" w:type="dxa"/>
              <w:bottom w:w="28" w:type="dxa"/>
            </w:tcMar>
          </w:tcPr>
          <w:p w14:paraId="3AE9E39E" w14:textId="4648ADF2" w:rsidR="00F16FA4" w:rsidRPr="008A64B3" w:rsidRDefault="009C4C1A" w:rsidP="001A199E">
            <w:pPr>
              <w:rPr>
                <w:rFonts w:ascii="Arial" w:hAnsi="Arial" w:cs="Arial"/>
                <w:color w:val="000000"/>
              </w:rPr>
            </w:pPr>
            <w:r w:rsidRPr="009C4C1A">
              <w:rPr>
                <w:rFonts w:ascii="Arial" w:hAnsi="Arial" w:cs="Arial"/>
                <w:color w:val="000000"/>
              </w:rPr>
              <w:t xml:space="preserve">Resubmission to request an amendment to the PBAC’s previously recommended </w:t>
            </w:r>
            <w:proofErr w:type="spellStart"/>
            <w:r w:rsidRPr="009C4C1A">
              <w:rPr>
                <w:rFonts w:ascii="Arial" w:hAnsi="Arial" w:cs="Arial"/>
                <w:color w:val="000000"/>
              </w:rPr>
              <w:t>equi</w:t>
            </w:r>
            <w:proofErr w:type="spellEnd"/>
            <w:r w:rsidRPr="009C4C1A">
              <w:rPr>
                <w:rFonts w:ascii="Arial" w:hAnsi="Arial" w:cs="Arial"/>
                <w:color w:val="000000"/>
              </w:rPr>
              <w:t xml:space="preserve">-effective doses for </w:t>
            </w:r>
            <w:proofErr w:type="spellStart"/>
            <w:r w:rsidRPr="009C4C1A">
              <w:rPr>
                <w:rFonts w:ascii="Arial" w:hAnsi="Arial" w:cs="Arial"/>
                <w:color w:val="000000"/>
              </w:rPr>
              <w:t>fluocinolone</w:t>
            </w:r>
            <w:proofErr w:type="spellEnd"/>
            <w:r w:rsidRPr="009C4C1A">
              <w:rPr>
                <w:rFonts w:ascii="Arial" w:hAnsi="Arial" w:cs="Arial"/>
                <w:color w:val="000000"/>
              </w:rPr>
              <w:t xml:space="preserve"> </w:t>
            </w:r>
            <w:proofErr w:type="spellStart"/>
            <w:r w:rsidRPr="009C4C1A">
              <w:rPr>
                <w:rFonts w:ascii="Arial" w:hAnsi="Arial" w:cs="Arial"/>
                <w:color w:val="000000"/>
              </w:rPr>
              <w:t>acetonide</w:t>
            </w:r>
            <w:proofErr w:type="spellEnd"/>
            <w:r w:rsidRPr="009C4C1A">
              <w:rPr>
                <w:rFonts w:ascii="Arial" w:hAnsi="Arial" w:cs="Arial"/>
                <w:color w:val="000000"/>
              </w:rPr>
              <w:t xml:space="preserve"> and dexamethasone.</w:t>
            </w:r>
          </w:p>
        </w:tc>
        <w:tc>
          <w:tcPr>
            <w:tcW w:w="6947" w:type="dxa"/>
          </w:tcPr>
          <w:p w14:paraId="39CDF03A" w14:textId="3348D38D" w:rsidR="00F16FA4" w:rsidRPr="000B1455" w:rsidRDefault="009C4C1A">
            <w:pPr>
              <w:pStyle w:val="3-BodyText"/>
              <w:ind w:left="0" w:firstLine="0"/>
              <w:jc w:val="left"/>
              <w:rPr>
                <w:rFonts w:ascii="Arial" w:hAnsi="Arial"/>
                <w:sz w:val="20"/>
                <w:szCs w:val="20"/>
                <w:lang w:eastAsia="en-US"/>
              </w:rPr>
            </w:pPr>
            <w:r w:rsidRPr="009C4C1A">
              <w:rPr>
                <w:rFonts w:ascii="Arial" w:hAnsi="Arial"/>
                <w:sz w:val="20"/>
                <w:szCs w:val="20"/>
                <w:lang w:eastAsia="en-US"/>
              </w:rPr>
              <w:t xml:space="preserve">The PBAC reaffirmed its previous recommendation from March 2020 for the listing of </w:t>
            </w:r>
            <w:proofErr w:type="spellStart"/>
            <w:r w:rsidRPr="009C4C1A">
              <w:rPr>
                <w:rFonts w:ascii="Arial" w:hAnsi="Arial"/>
                <w:sz w:val="20"/>
                <w:szCs w:val="20"/>
                <w:lang w:eastAsia="en-US"/>
              </w:rPr>
              <w:t>fluocinolone</w:t>
            </w:r>
            <w:proofErr w:type="spellEnd"/>
            <w:r w:rsidRPr="009C4C1A">
              <w:rPr>
                <w:rFonts w:ascii="Arial" w:hAnsi="Arial"/>
                <w:sz w:val="20"/>
                <w:szCs w:val="20"/>
                <w:lang w:eastAsia="en-US"/>
              </w:rPr>
              <w:t xml:space="preserve"> </w:t>
            </w:r>
            <w:proofErr w:type="spellStart"/>
            <w:r w:rsidRPr="009C4C1A">
              <w:rPr>
                <w:rFonts w:ascii="Arial" w:hAnsi="Arial"/>
                <w:sz w:val="20"/>
                <w:szCs w:val="20"/>
                <w:lang w:eastAsia="en-US"/>
              </w:rPr>
              <w:t>acetonide</w:t>
            </w:r>
            <w:proofErr w:type="spellEnd"/>
            <w:r w:rsidRPr="009C4C1A">
              <w:rPr>
                <w:rFonts w:ascii="Arial" w:hAnsi="Arial"/>
                <w:sz w:val="20"/>
                <w:szCs w:val="20"/>
                <w:lang w:eastAsia="en-US"/>
              </w:rPr>
              <w:t xml:space="preserve"> (FA) for the treatment of diabetic macular oedema in patients who are unsuitable for, contraindicated to, or have failed treatment with vascular endothelial growth factor (VEGF) inhibitors. The PBAC made this recommendation on a cost minimisation basis against dexamethasone (DEX), using a trial-based dose relativity of 1.3 FA versus 4.11 DEX administrations over 36 months. The PBAC reiterated its recommendation from March 2020 that the cost minimisation analysis should only include the cost of drug and the cost of administering the implants, and that the listing of FA should be cost neutral to Government.</w:t>
            </w:r>
          </w:p>
        </w:tc>
      </w:tr>
      <w:tr w:rsidR="00F16FA4" w:rsidRPr="00D3523D" w14:paraId="790B0F64" w14:textId="77777777" w:rsidTr="004C54F7">
        <w:trPr>
          <w:cantSplit/>
          <w:trHeight w:val="465"/>
        </w:trPr>
        <w:tc>
          <w:tcPr>
            <w:tcW w:w="2694" w:type="dxa"/>
            <w:vMerge/>
            <w:tcMar>
              <w:top w:w="28" w:type="dxa"/>
              <w:bottom w:w="28" w:type="dxa"/>
            </w:tcMar>
          </w:tcPr>
          <w:p w14:paraId="2057DA37" w14:textId="77777777" w:rsidR="00F16FA4" w:rsidRPr="008A64B3" w:rsidRDefault="00F16FA4" w:rsidP="001A199E">
            <w:pPr>
              <w:rPr>
                <w:rFonts w:ascii="Arial" w:hAnsi="Arial" w:cs="Arial"/>
              </w:rPr>
            </w:pPr>
          </w:p>
        </w:tc>
        <w:tc>
          <w:tcPr>
            <w:tcW w:w="2409" w:type="dxa"/>
            <w:vMerge/>
          </w:tcPr>
          <w:p w14:paraId="655B44DF" w14:textId="77777777" w:rsidR="00F16FA4" w:rsidRPr="008A64B3" w:rsidRDefault="00F16FA4" w:rsidP="001A199E">
            <w:pPr>
              <w:widowControl w:val="0"/>
              <w:rPr>
                <w:rFonts w:ascii="Arial" w:hAnsi="Arial" w:cs="Arial"/>
                <w:snapToGrid w:val="0"/>
                <w:lang w:eastAsia="en-US"/>
              </w:rPr>
            </w:pPr>
          </w:p>
        </w:tc>
        <w:tc>
          <w:tcPr>
            <w:tcW w:w="3261" w:type="dxa"/>
            <w:tcMar>
              <w:top w:w="28" w:type="dxa"/>
              <w:bottom w:w="28" w:type="dxa"/>
            </w:tcMar>
          </w:tcPr>
          <w:p w14:paraId="796E177E" w14:textId="7100A783" w:rsidR="00F16FA4" w:rsidRPr="008A64B3" w:rsidRDefault="00BB5F54" w:rsidP="001A199E">
            <w:pPr>
              <w:pStyle w:val="ListParagraph"/>
              <w:ind w:left="0"/>
              <w:jc w:val="right"/>
              <w:rPr>
                <w:rFonts w:ascii="Arial" w:hAnsi="Arial" w:cs="Arial"/>
                <w:snapToGrid w:val="0"/>
                <w:sz w:val="20"/>
                <w:szCs w:val="20"/>
                <w:lang w:eastAsia="en-US"/>
              </w:rPr>
            </w:pPr>
            <w:r>
              <w:rPr>
                <w:rFonts w:ascii="Arial" w:hAnsi="Arial" w:cs="Arial"/>
                <w:snapToGrid w:val="0"/>
                <w:sz w:val="20"/>
                <w:szCs w:val="20"/>
                <w:lang w:eastAsia="en-US"/>
              </w:rPr>
              <w:t>Sponsor’s c</w:t>
            </w:r>
            <w:r w:rsidR="00F16FA4" w:rsidRPr="008A64B3">
              <w:rPr>
                <w:rFonts w:ascii="Arial" w:hAnsi="Arial" w:cs="Arial"/>
                <w:snapToGrid w:val="0"/>
                <w:sz w:val="20"/>
                <w:szCs w:val="20"/>
                <w:lang w:eastAsia="en-US"/>
              </w:rPr>
              <w:t>omment:</w:t>
            </w:r>
          </w:p>
        </w:tc>
        <w:tc>
          <w:tcPr>
            <w:tcW w:w="6947" w:type="dxa"/>
          </w:tcPr>
          <w:p w14:paraId="0F883FFA" w14:textId="707C08DC" w:rsidR="00F16FA4" w:rsidRPr="008A64B3" w:rsidRDefault="00853BEE" w:rsidP="00310359">
            <w:pPr>
              <w:pStyle w:val="ListParagraph"/>
              <w:ind w:left="0"/>
              <w:jc w:val="both"/>
              <w:rPr>
                <w:rFonts w:ascii="Arial" w:hAnsi="Arial" w:cs="Arial"/>
                <w:iCs/>
                <w:sz w:val="20"/>
                <w:szCs w:val="20"/>
              </w:rPr>
            </w:pPr>
            <w:r w:rsidRPr="00853BEE">
              <w:rPr>
                <w:rFonts w:ascii="Arial" w:hAnsi="Arial" w:cs="Arial"/>
                <w:iCs/>
                <w:sz w:val="20"/>
                <w:szCs w:val="20"/>
              </w:rPr>
              <w:t>It is very disappointing that the original PBAC conditional recommendation, and subsequent minor application</w:t>
            </w:r>
            <w:r w:rsidR="00CB6BBF">
              <w:rPr>
                <w:rFonts w:ascii="Arial" w:hAnsi="Arial" w:cs="Arial"/>
                <w:iCs/>
                <w:sz w:val="20"/>
                <w:szCs w:val="20"/>
              </w:rPr>
              <w:t>,</w:t>
            </w:r>
            <w:r w:rsidRPr="00853BEE">
              <w:rPr>
                <w:rFonts w:ascii="Arial" w:hAnsi="Arial" w:cs="Arial"/>
                <w:iCs/>
                <w:sz w:val="20"/>
                <w:szCs w:val="20"/>
              </w:rPr>
              <w:t xml:space="preserve"> has been unsuccessful in achieving a price that is similar to reimbursed prices in Europe and the UK. While the proposed Risk Share terms were acceptable, the ex-manufacture net price offered is less than half the global average reimbursed price for </w:t>
            </w:r>
            <w:proofErr w:type="spellStart"/>
            <w:r w:rsidRPr="00853BEE">
              <w:rPr>
                <w:rFonts w:ascii="Arial" w:hAnsi="Arial" w:cs="Arial"/>
                <w:iCs/>
                <w:sz w:val="20"/>
                <w:szCs w:val="20"/>
              </w:rPr>
              <w:t>Iluvien</w:t>
            </w:r>
            <w:proofErr w:type="spellEnd"/>
            <w:r w:rsidRPr="00853BEE">
              <w:rPr>
                <w:rFonts w:ascii="Arial" w:hAnsi="Arial" w:cs="Arial"/>
                <w:iCs/>
                <w:sz w:val="20"/>
                <w:szCs w:val="20"/>
              </w:rPr>
              <w:t xml:space="preserve">. Given the acquisition cost from the drug developer </w:t>
            </w:r>
            <w:proofErr w:type="spellStart"/>
            <w:r w:rsidRPr="00853BEE">
              <w:rPr>
                <w:rFonts w:ascii="Arial" w:hAnsi="Arial" w:cs="Arial"/>
                <w:iCs/>
                <w:sz w:val="20"/>
                <w:szCs w:val="20"/>
              </w:rPr>
              <w:t>Alimera</w:t>
            </w:r>
            <w:proofErr w:type="spellEnd"/>
            <w:r w:rsidRPr="00853BEE">
              <w:rPr>
                <w:rFonts w:ascii="Arial" w:hAnsi="Arial" w:cs="Arial"/>
                <w:iCs/>
                <w:sz w:val="20"/>
                <w:szCs w:val="20"/>
              </w:rPr>
              <w:t xml:space="preserve"> is greater than the proposed PBS price, and the impact such a low price, if accepted, would have on </w:t>
            </w:r>
            <w:proofErr w:type="spellStart"/>
            <w:r w:rsidRPr="00853BEE">
              <w:rPr>
                <w:rFonts w:ascii="Arial" w:hAnsi="Arial" w:cs="Arial"/>
                <w:iCs/>
                <w:sz w:val="20"/>
                <w:szCs w:val="20"/>
              </w:rPr>
              <w:t>Alimera's</w:t>
            </w:r>
            <w:proofErr w:type="spellEnd"/>
            <w:r w:rsidRPr="00853BEE">
              <w:rPr>
                <w:rFonts w:ascii="Arial" w:hAnsi="Arial" w:cs="Arial"/>
                <w:iCs/>
                <w:sz w:val="20"/>
                <w:szCs w:val="20"/>
              </w:rPr>
              <w:t xml:space="preserve"> existing reimbursed global pricing, Specialised Therapeutics cannot proceed with </w:t>
            </w:r>
            <w:proofErr w:type="spellStart"/>
            <w:r w:rsidRPr="00853BEE">
              <w:rPr>
                <w:rFonts w:ascii="Arial" w:hAnsi="Arial" w:cs="Arial"/>
                <w:iCs/>
                <w:sz w:val="20"/>
                <w:szCs w:val="20"/>
              </w:rPr>
              <w:t>Iluvien's</w:t>
            </w:r>
            <w:proofErr w:type="spellEnd"/>
            <w:r w:rsidRPr="00853BEE">
              <w:rPr>
                <w:rFonts w:ascii="Arial" w:hAnsi="Arial" w:cs="Arial"/>
                <w:iCs/>
                <w:sz w:val="20"/>
                <w:szCs w:val="20"/>
              </w:rPr>
              <w:t xml:space="preserve"> listing on the PBS.</w:t>
            </w:r>
          </w:p>
        </w:tc>
      </w:tr>
      <w:tr w:rsidR="008A64B3" w:rsidRPr="00D3523D" w14:paraId="4C6216EB" w14:textId="77777777" w:rsidTr="004C54F7">
        <w:trPr>
          <w:cantSplit/>
          <w:trHeight w:val="1861"/>
        </w:trPr>
        <w:tc>
          <w:tcPr>
            <w:tcW w:w="2694" w:type="dxa"/>
            <w:vMerge w:val="restart"/>
            <w:tcMar>
              <w:top w:w="28" w:type="dxa"/>
              <w:bottom w:w="28" w:type="dxa"/>
            </w:tcMar>
          </w:tcPr>
          <w:p w14:paraId="3C06492A" w14:textId="58A448D6" w:rsidR="008A64B3" w:rsidRPr="008A64B3" w:rsidRDefault="00711E70" w:rsidP="00711E70">
            <w:pPr>
              <w:rPr>
                <w:rFonts w:ascii="Arial" w:hAnsi="Arial" w:cs="Arial"/>
                <w:color w:val="000000"/>
              </w:rPr>
            </w:pPr>
            <w:r w:rsidRPr="00711E70">
              <w:rPr>
                <w:rFonts w:ascii="Arial" w:hAnsi="Arial" w:cs="Arial"/>
                <w:color w:val="000000"/>
              </w:rPr>
              <w:t>GALCANEZUMAB</w:t>
            </w:r>
            <w:r w:rsidR="005B1FB0">
              <w:rPr>
                <w:rFonts w:ascii="Arial" w:hAnsi="Arial" w:cs="Arial"/>
                <w:color w:val="000000"/>
              </w:rPr>
              <w:br/>
            </w:r>
            <w:r w:rsidR="005B1FB0">
              <w:rPr>
                <w:rFonts w:ascii="Arial" w:hAnsi="Arial" w:cs="Arial"/>
                <w:color w:val="000000"/>
              </w:rPr>
              <w:br/>
            </w:r>
            <w:r w:rsidRPr="00711E70">
              <w:rPr>
                <w:rFonts w:ascii="Arial" w:hAnsi="Arial" w:cs="Arial"/>
                <w:color w:val="000000"/>
              </w:rPr>
              <w:t>Injection 120 mg in 1 mL pre-filled pen</w:t>
            </w:r>
            <w:r w:rsidR="005B1FB0">
              <w:rPr>
                <w:rFonts w:ascii="Arial" w:hAnsi="Arial" w:cs="Arial"/>
                <w:color w:val="000000"/>
              </w:rPr>
              <w:br/>
            </w:r>
            <w:r w:rsidR="005B1FB0">
              <w:rPr>
                <w:rFonts w:ascii="Arial" w:hAnsi="Arial" w:cs="Arial"/>
                <w:color w:val="000000"/>
              </w:rPr>
              <w:br/>
            </w:r>
            <w:proofErr w:type="spellStart"/>
            <w:r w:rsidRPr="00711E70">
              <w:rPr>
                <w:rFonts w:ascii="Arial" w:hAnsi="Arial" w:cs="Arial"/>
                <w:color w:val="000000"/>
              </w:rPr>
              <w:t>Emgality</w:t>
            </w:r>
            <w:proofErr w:type="spellEnd"/>
            <w:r w:rsidRPr="00711E70">
              <w:rPr>
                <w:rFonts w:ascii="Arial" w:hAnsi="Arial" w:cs="Arial"/>
                <w:color w:val="000000"/>
              </w:rPr>
              <w:t>®</w:t>
            </w:r>
            <w:r w:rsidR="005B1FB0">
              <w:rPr>
                <w:rFonts w:ascii="Arial" w:hAnsi="Arial" w:cs="Arial"/>
                <w:color w:val="000000"/>
              </w:rPr>
              <w:br/>
            </w:r>
            <w:r w:rsidR="005B1FB0">
              <w:rPr>
                <w:rFonts w:ascii="Arial" w:hAnsi="Arial" w:cs="Arial"/>
                <w:color w:val="000000"/>
              </w:rPr>
              <w:br/>
            </w:r>
            <w:r w:rsidRPr="00711E70">
              <w:rPr>
                <w:rFonts w:ascii="Arial" w:hAnsi="Arial" w:cs="Arial"/>
                <w:color w:val="000000"/>
              </w:rPr>
              <w:t xml:space="preserve">Eli Lilly Australia Pty Ltd </w:t>
            </w:r>
            <w:r w:rsidR="005B1FB0">
              <w:rPr>
                <w:rFonts w:ascii="Arial" w:hAnsi="Arial" w:cs="Arial"/>
                <w:color w:val="000000"/>
              </w:rPr>
              <w:br/>
            </w:r>
            <w:r w:rsidR="005B1FB0">
              <w:rPr>
                <w:rFonts w:ascii="Arial" w:hAnsi="Arial" w:cs="Arial"/>
                <w:color w:val="000000"/>
              </w:rPr>
              <w:br/>
            </w:r>
            <w:r w:rsidRPr="00711E70">
              <w:rPr>
                <w:rFonts w:ascii="Arial" w:hAnsi="Arial" w:cs="Arial"/>
                <w:color w:val="000000"/>
              </w:rPr>
              <w:t>New listing</w:t>
            </w:r>
            <w:r w:rsidR="005B1FB0">
              <w:rPr>
                <w:rFonts w:ascii="Arial" w:hAnsi="Arial" w:cs="Arial"/>
                <w:color w:val="000000"/>
              </w:rPr>
              <w:br/>
            </w:r>
            <w:r w:rsidR="00481DF9">
              <w:rPr>
                <w:rFonts w:ascii="Arial" w:hAnsi="Arial" w:cs="Arial"/>
                <w:color w:val="000000"/>
              </w:rPr>
              <w:t>(Major Submission)</w:t>
            </w:r>
          </w:p>
        </w:tc>
        <w:tc>
          <w:tcPr>
            <w:tcW w:w="2409" w:type="dxa"/>
            <w:vMerge w:val="restart"/>
          </w:tcPr>
          <w:p w14:paraId="5831B051" w14:textId="0BE88598" w:rsidR="008A64B3" w:rsidRPr="008A64B3" w:rsidRDefault="009C4C1A">
            <w:pPr>
              <w:rPr>
                <w:rFonts w:ascii="Arial" w:hAnsi="Arial" w:cs="Arial"/>
                <w:color w:val="000000"/>
              </w:rPr>
            </w:pPr>
            <w:r>
              <w:rPr>
                <w:rFonts w:ascii="Arial" w:hAnsi="Arial" w:cs="Arial"/>
                <w:color w:val="000000"/>
              </w:rPr>
              <w:t>Episodic migraine</w:t>
            </w:r>
          </w:p>
        </w:tc>
        <w:tc>
          <w:tcPr>
            <w:tcW w:w="3261" w:type="dxa"/>
            <w:tcMar>
              <w:top w:w="28" w:type="dxa"/>
              <w:bottom w:w="28" w:type="dxa"/>
            </w:tcMar>
          </w:tcPr>
          <w:p w14:paraId="0545E806" w14:textId="7D650869" w:rsidR="008A64B3" w:rsidRPr="008A64B3" w:rsidRDefault="009C4C1A" w:rsidP="008A64B3">
            <w:pPr>
              <w:rPr>
                <w:rFonts w:ascii="Arial" w:hAnsi="Arial" w:cs="Arial"/>
                <w:snapToGrid w:val="0"/>
                <w:lang w:eastAsia="en-US"/>
              </w:rPr>
            </w:pPr>
            <w:r w:rsidRPr="009C4C1A">
              <w:rPr>
                <w:rFonts w:ascii="Arial" w:hAnsi="Arial" w:cs="Arial"/>
                <w:snapToGrid w:val="0"/>
                <w:lang w:eastAsia="en-US"/>
              </w:rPr>
              <w:t>To request an Authority Required (STREAMLINED) listing for the treatment of adult patients with treatment-resistant episodic migraine.</w:t>
            </w:r>
          </w:p>
        </w:tc>
        <w:tc>
          <w:tcPr>
            <w:tcW w:w="6947" w:type="dxa"/>
          </w:tcPr>
          <w:p w14:paraId="65E2E46D" w14:textId="7259C2A0" w:rsidR="008A64B3" w:rsidRPr="008A64B3" w:rsidRDefault="009C4C1A" w:rsidP="004C54F7">
            <w:pPr>
              <w:pStyle w:val="ListParagraph"/>
              <w:spacing w:after="120"/>
              <w:ind w:left="0"/>
              <w:rPr>
                <w:rFonts w:ascii="Arial" w:hAnsi="Arial" w:cs="Arial"/>
                <w:iCs/>
                <w:sz w:val="20"/>
                <w:szCs w:val="20"/>
              </w:rPr>
            </w:pPr>
            <w:r w:rsidRPr="009C4C1A">
              <w:rPr>
                <w:rFonts w:ascii="Arial" w:hAnsi="Arial" w:cs="Arial"/>
                <w:iCs/>
                <w:sz w:val="20"/>
                <w:szCs w:val="20"/>
              </w:rPr>
              <w:t xml:space="preserve">The PBAC did not recommend the listing of </w:t>
            </w:r>
            <w:proofErr w:type="spellStart"/>
            <w:r w:rsidRPr="009C4C1A">
              <w:rPr>
                <w:rFonts w:ascii="Arial" w:hAnsi="Arial" w:cs="Arial"/>
                <w:iCs/>
                <w:sz w:val="20"/>
                <w:szCs w:val="20"/>
              </w:rPr>
              <w:t>galcanezumab</w:t>
            </w:r>
            <w:proofErr w:type="spellEnd"/>
            <w:r w:rsidRPr="009C4C1A">
              <w:rPr>
                <w:rFonts w:ascii="Arial" w:hAnsi="Arial" w:cs="Arial"/>
                <w:iCs/>
                <w:sz w:val="20"/>
                <w:szCs w:val="20"/>
              </w:rPr>
              <w:t xml:space="preserve"> for the treatment of episodic migraine in patients who have experienced an adequate response, intolerance, or a contraindication to at least three prophylactic migraine medications. The PBAC considered the magnitude of benefit in this population was uncertain and </w:t>
            </w:r>
            <w:proofErr w:type="spellStart"/>
            <w:r w:rsidRPr="009C4C1A">
              <w:rPr>
                <w:rFonts w:ascii="Arial" w:hAnsi="Arial" w:cs="Arial"/>
                <w:iCs/>
                <w:sz w:val="20"/>
                <w:szCs w:val="20"/>
              </w:rPr>
              <w:t>galcanezumab</w:t>
            </w:r>
            <w:proofErr w:type="spellEnd"/>
            <w:r w:rsidRPr="009C4C1A">
              <w:rPr>
                <w:rFonts w:ascii="Arial" w:hAnsi="Arial" w:cs="Arial"/>
                <w:iCs/>
                <w:sz w:val="20"/>
                <w:szCs w:val="20"/>
              </w:rPr>
              <w:t xml:space="preserve"> was not cost-effective at the price requested in the submission. The PBAC considered there is not a clear distinction between treatment-resistant chronic and episodic migraine with patients moving between these diagnoses. The PBAC considered a listing for treatment-resistant migraine would be appropriate and that any resubmission would need to address offsets for patients that might otherwise be attributed for in the chronic migraine population.</w:t>
            </w:r>
          </w:p>
        </w:tc>
      </w:tr>
      <w:tr w:rsidR="008A64B3" w:rsidRPr="00D3523D" w14:paraId="2B0C8E39" w14:textId="77777777" w:rsidTr="004C54F7">
        <w:trPr>
          <w:cantSplit/>
          <w:trHeight w:val="324"/>
        </w:trPr>
        <w:tc>
          <w:tcPr>
            <w:tcW w:w="2694" w:type="dxa"/>
            <w:vMerge/>
            <w:tcMar>
              <w:top w:w="28" w:type="dxa"/>
              <w:bottom w:w="28" w:type="dxa"/>
            </w:tcMar>
          </w:tcPr>
          <w:p w14:paraId="54FEC067" w14:textId="77777777" w:rsidR="008A64B3" w:rsidRPr="008A64B3" w:rsidRDefault="008A64B3" w:rsidP="008A64B3">
            <w:pPr>
              <w:rPr>
                <w:rFonts w:ascii="Arial" w:hAnsi="Arial" w:cs="Arial"/>
                <w:color w:val="000000"/>
              </w:rPr>
            </w:pPr>
          </w:p>
        </w:tc>
        <w:tc>
          <w:tcPr>
            <w:tcW w:w="2409" w:type="dxa"/>
            <w:vMerge/>
          </w:tcPr>
          <w:p w14:paraId="4C282282" w14:textId="77777777" w:rsidR="008A64B3" w:rsidRPr="008A64B3" w:rsidRDefault="008A64B3" w:rsidP="008A64B3">
            <w:pPr>
              <w:rPr>
                <w:rFonts w:ascii="Arial" w:hAnsi="Arial" w:cs="Arial"/>
                <w:color w:val="000000"/>
              </w:rPr>
            </w:pPr>
          </w:p>
        </w:tc>
        <w:tc>
          <w:tcPr>
            <w:tcW w:w="3261" w:type="dxa"/>
            <w:tcMar>
              <w:top w:w="28" w:type="dxa"/>
              <w:bottom w:w="28" w:type="dxa"/>
            </w:tcMar>
          </w:tcPr>
          <w:p w14:paraId="3AC0AF11" w14:textId="788C6CFB" w:rsidR="008A64B3" w:rsidRPr="008A64B3" w:rsidRDefault="00BB5F54">
            <w:pPr>
              <w:jc w:val="right"/>
              <w:rPr>
                <w:rFonts w:ascii="Arial" w:hAnsi="Arial" w:cs="Arial"/>
                <w:color w:val="000000"/>
              </w:rPr>
            </w:pPr>
            <w:r>
              <w:rPr>
                <w:rFonts w:ascii="Arial" w:hAnsi="Arial" w:cs="Arial"/>
                <w:snapToGrid w:val="0"/>
                <w:lang w:eastAsia="en-US"/>
              </w:rPr>
              <w:t>Sponsor’s c</w:t>
            </w:r>
            <w:r w:rsidR="008A64B3" w:rsidRPr="008A64B3">
              <w:rPr>
                <w:rFonts w:ascii="Arial" w:hAnsi="Arial" w:cs="Arial"/>
                <w:snapToGrid w:val="0"/>
                <w:lang w:eastAsia="en-US"/>
              </w:rPr>
              <w:t>omment:</w:t>
            </w:r>
          </w:p>
        </w:tc>
        <w:tc>
          <w:tcPr>
            <w:tcW w:w="6947" w:type="dxa"/>
          </w:tcPr>
          <w:p w14:paraId="0D08F0DA" w14:textId="1789BA75" w:rsidR="003A5524" w:rsidRPr="003A5524" w:rsidRDefault="006A789F" w:rsidP="003A5524">
            <w:pPr>
              <w:rPr>
                <w:rFonts w:ascii="Arial" w:hAnsi="Arial" w:cs="Arial"/>
                <w:lang w:val="en-US"/>
              </w:rPr>
            </w:pPr>
            <w:r w:rsidRPr="006A789F">
              <w:rPr>
                <w:rFonts w:ascii="Arial" w:hAnsi="Arial" w:cs="Arial"/>
                <w:lang w:val="en-US"/>
              </w:rPr>
              <w:t>Lilly is committed to working with all stakeholders to address the significant unmet medical needs of Australians living with episodic migraine and our efforts to secure a PBS listing for these Australians will continue.</w:t>
            </w:r>
          </w:p>
        </w:tc>
      </w:tr>
      <w:tr w:rsidR="008A64B3" w:rsidRPr="00D3523D" w14:paraId="42F1829A" w14:textId="77777777" w:rsidTr="004C54F7">
        <w:trPr>
          <w:cantSplit/>
          <w:trHeight w:val="465"/>
        </w:trPr>
        <w:tc>
          <w:tcPr>
            <w:tcW w:w="2694" w:type="dxa"/>
            <w:vMerge w:val="restart"/>
            <w:tcMar>
              <w:top w:w="28" w:type="dxa"/>
              <w:bottom w:w="28" w:type="dxa"/>
            </w:tcMar>
          </w:tcPr>
          <w:p w14:paraId="7AD589E7" w14:textId="1E33C010" w:rsidR="008A64B3" w:rsidRPr="008A64B3" w:rsidRDefault="00711E70" w:rsidP="00711E70">
            <w:pPr>
              <w:rPr>
                <w:rFonts w:ascii="Arial" w:hAnsi="Arial" w:cs="Arial"/>
                <w:color w:val="000000"/>
              </w:rPr>
            </w:pPr>
            <w:r w:rsidRPr="00711E70">
              <w:rPr>
                <w:rFonts w:ascii="Arial" w:hAnsi="Arial" w:cs="Arial"/>
                <w:color w:val="000000"/>
              </w:rPr>
              <w:t>IXAZOMIB</w:t>
            </w:r>
            <w:r w:rsidR="005B1FB0">
              <w:rPr>
                <w:rFonts w:ascii="Arial" w:hAnsi="Arial" w:cs="Arial"/>
                <w:color w:val="000000"/>
              </w:rPr>
              <w:br/>
            </w:r>
            <w:r w:rsidR="005B1FB0">
              <w:rPr>
                <w:rFonts w:ascii="Arial" w:hAnsi="Arial" w:cs="Arial"/>
                <w:color w:val="000000"/>
              </w:rPr>
              <w:br/>
            </w:r>
            <w:r w:rsidRPr="00711E70">
              <w:rPr>
                <w:rFonts w:ascii="Arial" w:hAnsi="Arial" w:cs="Arial"/>
                <w:color w:val="000000"/>
              </w:rPr>
              <w:t>Capsule 2.3 mg</w:t>
            </w:r>
            <w:r w:rsidR="005B1FB0">
              <w:rPr>
                <w:rFonts w:ascii="Arial" w:hAnsi="Arial" w:cs="Arial"/>
                <w:color w:val="000000"/>
              </w:rPr>
              <w:br/>
            </w:r>
            <w:r w:rsidRPr="00711E70">
              <w:rPr>
                <w:rFonts w:ascii="Arial" w:hAnsi="Arial" w:cs="Arial"/>
                <w:color w:val="000000"/>
              </w:rPr>
              <w:t>Capsule 3 mg</w:t>
            </w:r>
            <w:r w:rsidR="005B1FB0">
              <w:rPr>
                <w:rFonts w:ascii="Arial" w:hAnsi="Arial" w:cs="Arial"/>
                <w:color w:val="000000"/>
              </w:rPr>
              <w:br/>
            </w:r>
            <w:r w:rsidRPr="00711E70">
              <w:rPr>
                <w:rFonts w:ascii="Arial" w:hAnsi="Arial" w:cs="Arial"/>
                <w:color w:val="000000"/>
              </w:rPr>
              <w:t>Capsule 4 mg</w:t>
            </w:r>
            <w:r w:rsidR="005B1FB0">
              <w:rPr>
                <w:rFonts w:ascii="Arial" w:hAnsi="Arial" w:cs="Arial"/>
                <w:color w:val="000000"/>
              </w:rPr>
              <w:br/>
            </w:r>
            <w:r w:rsidR="005B1FB0">
              <w:rPr>
                <w:rFonts w:ascii="Arial" w:hAnsi="Arial" w:cs="Arial"/>
                <w:color w:val="000000"/>
              </w:rPr>
              <w:br/>
            </w:r>
            <w:proofErr w:type="spellStart"/>
            <w:r w:rsidRPr="00711E70">
              <w:rPr>
                <w:rFonts w:ascii="Arial" w:hAnsi="Arial" w:cs="Arial"/>
                <w:color w:val="000000"/>
              </w:rPr>
              <w:t>Ninlaro</w:t>
            </w:r>
            <w:proofErr w:type="spellEnd"/>
            <w:r w:rsidRPr="00711E70">
              <w:rPr>
                <w:rFonts w:ascii="Arial" w:hAnsi="Arial" w:cs="Arial"/>
                <w:color w:val="000000"/>
              </w:rPr>
              <w:t>®</w:t>
            </w:r>
            <w:r w:rsidR="005B1FB0">
              <w:rPr>
                <w:rFonts w:ascii="Arial" w:hAnsi="Arial" w:cs="Arial"/>
                <w:color w:val="000000"/>
              </w:rPr>
              <w:br/>
            </w:r>
            <w:r w:rsidR="005B1FB0">
              <w:rPr>
                <w:rFonts w:ascii="Arial" w:hAnsi="Arial" w:cs="Arial"/>
                <w:color w:val="000000"/>
              </w:rPr>
              <w:br/>
            </w:r>
            <w:r w:rsidRPr="00711E70">
              <w:rPr>
                <w:rFonts w:ascii="Arial" w:hAnsi="Arial" w:cs="Arial"/>
                <w:color w:val="000000"/>
              </w:rPr>
              <w:t xml:space="preserve">Takeda Pharmaceuticals Australia Pty Ltd </w:t>
            </w:r>
            <w:r w:rsidR="005B1FB0">
              <w:rPr>
                <w:rFonts w:ascii="Arial" w:hAnsi="Arial" w:cs="Arial"/>
                <w:color w:val="000000"/>
              </w:rPr>
              <w:br/>
            </w:r>
            <w:r w:rsidR="005B1FB0">
              <w:rPr>
                <w:rFonts w:ascii="Arial" w:hAnsi="Arial" w:cs="Arial"/>
                <w:color w:val="000000"/>
              </w:rPr>
              <w:br/>
            </w:r>
            <w:r w:rsidRPr="00711E70">
              <w:rPr>
                <w:rFonts w:ascii="Arial" w:hAnsi="Arial" w:cs="Arial"/>
                <w:color w:val="000000"/>
              </w:rPr>
              <w:t>New listing</w:t>
            </w:r>
            <w:r w:rsidR="005B1FB0">
              <w:rPr>
                <w:rFonts w:ascii="Arial" w:hAnsi="Arial" w:cs="Arial"/>
                <w:color w:val="000000"/>
              </w:rPr>
              <w:br/>
            </w:r>
            <w:r w:rsidR="00481DF9">
              <w:rPr>
                <w:rFonts w:ascii="Arial" w:hAnsi="Arial" w:cs="Arial"/>
                <w:color w:val="000000"/>
              </w:rPr>
              <w:t>(Major Submission)</w:t>
            </w:r>
          </w:p>
        </w:tc>
        <w:tc>
          <w:tcPr>
            <w:tcW w:w="2409" w:type="dxa"/>
            <w:vMerge w:val="restart"/>
          </w:tcPr>
          <w:p w14:paraId="6D18618B" w14:textId="204CB1C3" w:rsidR="008A64B3" w:rsidRPr="008A64B3" w:rsidRDefault="009C4C1A" w:rsidP="008A64B3">
            <w:pPr>
              <w:rPr>
                <w:rFonts w:ascii="Arial" w:hAnsi="Arial" w:cs="Arial"/>
                <w:color w:val="000000"/>
              </w:rPr>
            </w:pPr>
            <w:r w:rsidRPr="009C4C1A">
              <w:rPr>
                <w:rFonts w:ascii="Arial" w:hAnsi="Arial" w:cs="Arial"/>
                <w:color w:val="000000"/>
              </w:rPr>
              <w:t>Multiple myeloma</w:t>
            </w:r>
          </w:p>
        </w:tc>
        <w:tc>
          <w:tcPr>
            <w:tcW w:w="3261" w:type="dxa"/>
            <w:tcMar>
              <w:top w:w="28" w:type="dxa"/>
              <w:bottom w:w="28" w:type="dxa"/>
            </w:tcMar>
          </w:tcPr>
          <w:p w14:paraId="5B6310CC" w14:textId="77F0D271" w:rsidR="008A64B3" w:rsidRPr="008A64B3" w:rsidRDefault="009C4C1A" w:rsidP="008A64B3">
            <w:pPr>
              <w:rPr>
                <w:rFonts w:ascii="Arial" w:hAnsi="Arial" w:cs="Arial"/>
                <w:color w:val="000000"/>
              </w:rPr>
            </w:pPr>
            <w:r w:rsidRPr="009C4C1A">
              <w:rPr>
                <w:rFonts w:ascii="Arial" w:hAnsi="Arial" w:cs="Arial"/>
                <w:color w:val="000000"/>
              </w:rPr>
              <w:t xml:space="preserve">To request Section 100 (Highly Specialised Drugs Program) Authority Required (Telephone) listing in combination with </w:t>
            </w:r>
            <w:proofErr w:type="spellStart"/>
            <w:r w:rsidRPr="009C4C1A">
              <w:rPr>
                <w:rFonts w:ascii="Arial" w:hAnsi="Arial" w:cs="Arial"/>
                <w:color w:val="000000"/>
              </w:rPr>
              <w:t>lenalidomide</w:t>
            </w:r>
            <w:proofErr w:type="spellEnd"/>
            <w:r w:rsidRPr="009C4C1A">
              <w:rPr>
                <w:rFonts w:ascii="Arial" w:hAnsi="Arial" w:cs="Arial"/>
                <w:color w:val="000000"/>
              </w:rPr>
              <w:t xml:space="preserve"> and dexamethasone for patients with relapsed or refractory multiple myeloma.</w:t>
            </w:r>
          </w:p>
        </w:tc>
        <w:tc>
          <w:tcPr>
            <w:tcW w:w="6947" w:type="dxa"/>
          </w:tcPr>
          <w:p w14:paraId="02885355" w14:textId="681BB721" w:rsidR="008A64B3" w:rsidRPr="006B06A5" w:rsidRDefault="009C4C1A">
            <w:pPr>
              <w:widowControl w:val="0"/>
              <w:spacing w:after="120"/>
              <w:rPr>
                <w:rFonts w:ascii="Arial" w:hAnsi="Arial" w:cs="Arial"/>
                <w:bCs/>
                <w:snapToGrid w:val="0"/>
                <w:lang w:eastAsia="en-US"/>
              </w:rPr>
            </w:pPr>
            <w:r w:rsidRPr="009C4C1A">
              <w:rPr>
                <w:rFonts w:ascii="Arial" w:hAnsi="Arial" w:cs="Arial"/>
                <w:bCs/>
                <w:snapToGrid w:val="0"/>
                <w:lang w:eastAsia="en-US"/>
              </w:rPr>
              <w:t xml:space="preserve">The PBAC did not recommend the listing of </w:t>
            </w:r>
            <w:proofErr w:type="spellStart"/>
            <w:r w:rsidRPr="009C4C1A">
              <w:rPr>
                <w:rFonts w:ascii="Arial" w:hAnsi="Arial" w:cs="Arial"/>
                <w:bCs/>
                <w:snapToGrid w:val="0"/>
                <w:lang w:eastAsia="en-US"/>
              </w:rPr>
              <w:t>ixazomib</w:t>
            </w:r>
            <w:proofErr w:type="spellEnd"/>
            <w:r w:rsidRPr="009C4C1A">
              <w:rPr>
                <w:rFonts w:ascii="Arial" w:hAnsi="Arial" w:cs="Arial"/>
                <w:bCs/>
                <w:snapToGrid w:val="0"/>
                <w:lang w:eastAsia="en-US"/>
              </w:rPr>
              <w:t xml:space="preserve">, in combination with </w:t>
            </w:r>
            <w:proofErr w:type="spellStart"/>
            <w:r w:rsidRPr="009C4C1A">
              <w:rPr>
                <w:rFonts w:ascii="Arial" w:hAnsi="Arial" w:cs="Arial"/>
                <w:bCs/>
                <w:snapToGrid w:val="0"/>
                <w:lang w:eastAsia="en-US"/>
              </w:rPr>
              <w:t>lenalidomide</w:t>
            </w:r>
            <w:proofErr w:type="spellEnd"/>
            <w:r w:rsidRPr="009C4C1A">
              <w:rPr>
                <w:rFonts w:ascii="Arial" w:hAnsi="Arial" w:cs="Arial"/>
                <w:bCs/>
                <w:snapToGrid w:val="0"/>
                <w:lang w:eastAsia="en-US"/>
              </w:rPr>
              <w:t xml:space="preserve"> and dexamethasone (</w:t>
            </w:r>
            <w:proofErr w:type="spellStart"/>
            <w:r w:rsidRPr="009C4C1A">
              <w:rPr>
                <w:rFonts w:ascii="Arial" w:hAnsi="Arial" w:cs="Arial"/>
                <w:bCs/>
                <w:snapToGrid w:val="0"/>
                <w:lang w:eastAsia="en-US"/>
              </w:rPr>
              <w:t>ILd</w:t>
            </w:r>
            <w:proofErr w:type="spellEnd"/>
            <w:r w:rsidRPr="009C4C1A">
              <w:rPr>
                <w:rFonts w:ascii="Arial" w:hAnsi="Arial" w:cs="Arial"/>
                <w:bCs/>
                <w:snapToGrid w:val="0"/>
                <w:lang w:eastAsia="en-US"/>
              </w:rPr>
              <w:t xml:space="preserve">), for the treatment of patients with relapsed and/or refractory multiple myeloma. The PBAC considered that, due to the nature of the naïve indirect treatment comparison (ITC) and differences between the key trials, the results of the naïve ITC were difficult to interpret and did not adequately demonstrate non-inferiority between </w:t>
            </w:r>
            <w:proofErr w:type="spellStart"/>
            <w:r w:rsidRPr="009C4C1A">
              <w:rPr>
                <w:rFonts w:ascii="Arial" w:hAnsi="Arial" w:cs="Arial"/>
                <w:bCs/>
                <w:snapToGrid w:val="0"/>
                <w:lang w:eastAsia="en-US"/>
              </w:rPr>
              <w:t>ILd</w:t>
            </w:r>
            <w:proofErr w:type="spellEnd"/>
            <w:r w:rsidRPr="009C4C1A">
              <w:rPr>
                <w:rFonts w:ascii="Arial" w:hAnsi="Arial" w:cs="Arial"/>
                <w:bCs/>
                <w:snapToGrid w:val="0"/>
                <w:lang w:eastAsia="en-US"/>
              </w:rPr>
              <w:t xml:space="preserve"> and the nominated comparator, carfilzomib plus dexamethasone, in terms of efficacy or safety. The PBAC therefore considered that the presentation of a cost minimisation analysis was not appropriate.</w:t>
            </w:r>
          </w:p>
        </w:tc>
      </w:tr>
      <w:tr w:rsidR="008A64B3" w:rsidRPr="00D3523D" w14:paraId="7E45DA31" w14:textId="77777777" w:rsidTr="004C54F7">
        <w:trPr>
          <w:cantSplit/>
          <w:trHeight w:val="465"/>
        </w:trPr>
        <w:tc>
          <w:tcPr>
            <w:tcW w:w="2694" w:type="dxa"/>
            <w:vMerge/>
            <w:tcMar>
              <w:top w:w="28" w:type="dxa"/>
              <w:bottom w:w="28" w:type="dxa"/>
            </w:tcMar>
          </w:tcPr>
          <w:p w14:paraId="6EFAE035" w14:textId="77777777" w:rsidR="008A64B3" w:rsidRPr="008A64B3" w:rsidRDefault="008A64B3" w:rsidP="008A64B3">
            <w:pPr>
              <w:rPr>
                <w:rFonts w:ascii="Arial" w:hAnsi="Arial" w:cs="Arial"/>
                <w:color w:val="000000"/>
              </w:rPr>
            </w:pPr>
          </w:p>
        </w:tc>
        <w:tc>
          <w:tcPr>
            <w:tcW w:w="2409" w:type="dxa"/>
            <w:vMerge/>
          </w:tcPr>
          <w:p w14:paraId="297841B9" w14:textId="77777777" w:rsidR="008A64B3" w:rsidRPr="008A64B3" w:rsidRDefault="008A64B3" w:rsidP="008A64B3">
            <w:pPr>
              <w:rPr>
                <w:rFonts w:ascii="Arial" w:hAnsi="Arial" w:cs="Arial"/>
                <w:color w:val="000000"/>
              </w:rPr>
            </w:pPr>
          </w:p>
        </w:tc>
        <w:tc>
          <w:tcPr>
            <w:tcW w:w="3261" w:type="dxa"/>
            <w:tcMar>
              <w:top w:w="28" w:type="dxa"/>
              <w:bottom w:w="28" w:type="dxa"/>
            </w:tcMar>
          </w:tcPr>
          <w:p w14:paraId="057E226A" w14:textId="178E1F3D" w:rsidR="008A64B3" w:rsidRPr="008A64B3" w:rsidRDefault="00BB5F54" w:rsidP="008A64B3">
            <w:pPr>
              <w:jc w:val="right"/>
              <w:rPr>
                <w:rFonts w:ascii="Arial" w:hAnsi="Arial" w:cs="Arial"/>
                <w:color w:val="000000"/>
              </w:rPr>
            </w:pPr>
            <w:r>
              <w:rPr>
                <w:rFonts w:ascii="Arial" w:hAnsi="Arial" w:cs="Arial"/>
                <w:snapToGrid w:val="0"/>
                <w:lang w:eastAsia="en-US"/>
              </w:rPr>
              <w:t>Sponsor’s c</w:t>
            </w:r>
            <w:r w:rsidR="008A64B3" w:rsidRPr="008A64B3">
              <w:rPr>
                <w:rFonts w:ascii="Arial" w:hAnsi="Arial" w:cs="Arial"/>
                <w:snapToGrid w:val="0"/>
                <w:lang w:eastAsia="en-US"/>
              </w:rPr>
              <w:t>omment:</w:t>
            </w:r>
          </w:p>
        </w:tc>
        <w:tc>
          <w:tcPr>
            <w:tcW w:w="6947" w:type="dxa"/>
          </w:tcPr>
          <w:p w14:paraId="52FAE591" w14:textId="16B5F49B" w:rsidR="003A5524" w:rsidRPr="00BF0A2C" w:rsidRDefault="00492004" w:rsidP="00153954">
            <w:pPr>
              <w:pStyle w:val="ListParagraph"/>
              <w:ind w:left="0"/>
              <w:rPr>
                <w:rFonts w:ascii="Arial" w:hAnsi="Arial" w:cs="Arial"/>
                <w:sz w:val="20"/>
                <w:szCs w:val="20"/>
              </w:rPr>
            </w:pPr>
            <w:r w:rsidRPr="00492004">
              <w:rPr>
                <w:rFonts w:ascii="Arial" w:hAnsi="Arial" w:cs="Arial"/>
                <w:sz w:val="20"/>
                <w:szCs w:val="20"/>
              </w:rPr>
              <w:t xml:space="preserve">Takeda Australia wishes to thank the patients, clinicians, and organisations who took time to provide their experience of </w:t>
            </w:r>
            <w:proofErr w:type="spellStart"/>
            <w:r w:rsidRPr="00492004">
              <w:rPr>
                <w:rFonts w:ascii="Arial" w:hAnsi="Arial" w:cs="Arial"/>
                <w:sz w:val="20"/>
                <w:szCs w:val="20"/>
              </w:rPr>
              <w:t>ixazomib</w:t>
            </w:r>
            <w:proofErr w:type="spellEnd"/>
            <w:r w:rsidRPr="00492004">
              <w:rPr>
                <w:rFonts w:ascii="Arial" w:hAnsi="Arial" w:cs="Arial"/>
                <w:sz w:val="20"/>
                <w:szCs w:val="20"/>
              </w:rPr>
              <w:t xml:space="preserve"> during the PBAC process. Takeda believes </w:t>
            </w:r>
            <w:proofErr w:type="spellStart"/>
            <w:r w:rsidRPr="00492004">
              <w:rPr>
                <w:rFonts w:ascii="Arial" w:hAnsi="Arial" w:cs="Arial"/>
                <w:sz w:val="20"/>
                <w:szCs w:val="20"/>
              </w:rPr>
              <w:t>ixazomib</w:t>
            </w:r>
            <w:proofErr w:type="spellEnd"/>
            <w:r w:rsidRPr="00492004">
              <w:rPr>
                <w:rFonts w:ascii="Arial" w:hAnsi="Arial" w:cs="Arial"/>
                <w:sz w:val="20"/>
                <w:szCs w:val="20"/>
              </w:rPr>
              <w:t xml:space="preserve"> can be a valuable part of the management of multiple myeloma. We will continue to work with the Department of Health and the PBAC so that Australian patients may soon access </w:t>
            </w:r>
            <w:proofErr w:type="spellStart"/>
            <w:r w:rsidRPr="00492004">
              <w:rPr>
                <w:rFonts w:ascii="Arial" w:hAnsi="Arial" w:cs="Arial"/>
                <w:sz w:val="20"/>
                <w:szCs w:val="20"/>
              </w:rPr>
              <w:t>ixazomib</w:t>
            </w:r>
            <w:proofErr w:type="spellEnd"/>
            <w:r w:rsidRPr="00492004">
              <w:rPr>
                <w:rFonts w:ascii="Arial" w:hAnsi="Arial" w:cs="Arial"/>
                <w:sz w:val="20"/>
                <w:szCs w:val="20"/>
              </w:rPr>
              <w:t xml:space="preserve"> through the PBS.</w:t>
            </w:r>
          </w:p>
        </w:tc>
      </w:tr>
      <w:tr w:rsidR="00310359" w:rsidRPr="00D3523D" w14:paraId="6691A987" w14:textId="77777777" w:rsidTr="004C54F7">
        <w:trPr>
          <w:cantSplit/>
          <w:trHeight w:val="2179"/>
        </w:trPr>
        <w:tc>
          <w:tcPr>
            <w:tcW w:w="2694" w:type="dxa"/>
            <w:vMerge w:val="restart"/>
            <w:tcMar>
              <w:top w:w="28" w:type="dxa"/>
              <w:bottom w:w="28" w:type="dxa"/>
            </w:tcMar>
          </w:tcPr>
          <w:p w14:paraId="3B4560A5" w14:textId="0805B8CF" w:rsidR="00310359" w:rsidRPr="008A64B3" w:rsidRDefault="00310359" w:rsidP="00711E70">
            <w:pPr>
              <w:rPr>
                <w:rFonts w:ascii="Arial" w:hAnsi="Arial" w:cs="Arial"/>
                <w:color w:val="000000"/>
              </w:rPr>
            </w:pPr>
            <w:r w:rsidRPr="00711E70">
              <w:rPr>
                <w:rFonts w:ascii="Arial" w:hAnsi="Arial" w:cs="Arial"/>
                <w:color w:val="000000"/>
              </w:rPr>
              <w:t>PEMBROLIZUMAB</w:t>
            </w:r>
            <w:r>
              <w:rPr>
                <w:rFonts w:ascii="Arial" w:hAnsi="Arial" w:cs="Arial"/>
                <w:color w:val="000000"/>
              </w:rPr>
              <w:br/>
            </w:r>
            <w:r>
              <w:rPr>
                <w:rFonts w:ascii="Arial" w:hAnsi="Arial" w:cs="Arial"/>
                <w:color w:val="000000"/>
              </w:rPr>
              <w:br/>
            </w:r>
            <w:r w:rsidRPr="00711E70">
              <w:rPr>
                <w:rFonts w:ascii="Arial" w:hAnsi="Arial" w:cs="Arial"/>
                <w:color w:val="000000"/>
              </w:rPr>
              <w:t>Solution concentrate for I.V. infusion 100 mg in 4 mL</w:t>
            </w:r>
            <w:r>
              <w:rPr>
                <w:rFonts w:ascii="Arial" w:hAnsi="Arial" w:cs="Arial"/>
                <w:color w:val="000000"/>
              </w:rPr>
              <w:br/>
            </w:r>
            <w:r>
              <w:rPr>
                <w:rFonts w:ascii="Arial" w:hAnsi="Arial" w:cs="Arial"/>
                <w:color w:val="000000"/>
              </w:rPr>
              <w:br/>
            </w:r>
            <w:proofErr w:type="spellStart"/>
            <w:r w:rsidRPr="00711E70">
              <w:rPr>
                <w:rFonts w:ascii="Arial" w:hAnsi="Arial" w:cs="Arial"/>
                <w:color w:val="000000"/>
              </w:rPr>
              <w:t>Keytruda</w:t>
            </w:r>
            <w:proofErr w:type="spellEnd"/>
            <w:r w:rsidRPr="00711E70">
              <w:rPr>
                <w:rFonts w:ascii="Arial" w:hAnsi="Arial" w:cs="Arial"/>
                <w:color w:val="000000"/>
              </w:rPr>
              <w:t>®</w:t>
            </w:r>
            <w:r>
              <w:rPr>
                <w:rFonts w:ascii="Arial" w:hAnsi="Arial" w:cs="Arial"/>
                <w:color w:val="000000"/>
              </w:rPr>
              <w:br/>
            </w:r>
            <w:r>
              <w:rPr>
                <w:rFonts w:ascii="Arial" w:hAnsi="Arial" w:cs="Arial"/>
                <w:color w:val="000000"/>
              </w:rPr>
              <w:br/>
            </w:r>
            <w:r w:rsidRPr="00711E70">
              <w:rPr>
                <w:rFonts w:ascii="Arial" w:hAnsi="Arial" w:cs="Arial"/>
                <w:color w:val="000000"/>
              </w:rPr>
              <w:t xml:space="preserve">Merck Sharp &amp; </w:t>
            </w:r>
            <w:proofErr w:type="spellStart"/>
            <w:r w:rsidRPr="00711E70">
              <w:rPr>
                <w:rFonts w:ascii="Arial" w:hAnsi="Arial" w:cs="Arial"/>
                <w:color w:val="000000"/>
              </w:rPr>
              <w:t>Dohme</w:t>
            </w:r>
            <w:proofErr w:type="spellEnd"/>
            <w:r w:rsidRPr="00711E70">
              <w:rPr>
                <w:rFonts w:ascii="Arial" w:hAnsi="Arial" w:cs="Arial"/>
                <w:color w:val="000000"/>
              </w:rPr>
              <w:t xml:space="preserve"> (Australia) Pty Ltd</w:t>
            </w:r>
            <w:r>
              <w:rPr>
                <w:rFonts w:ascii="Arial" w:hAnsi="Arial" w:cs="Arial"/>
                <w:color w:val="000000"/>
              </w:rPr>
              <w:br/>
            </w:r>
            <w:r>
              <w:rPr>
                <w:rFonts w:ascii="Arial" w:hAnsi="Arial" w:cs="Arial"/>
                <w:color w:val="000000"/>
              </w:rPr>
              <w:br/>
            </w:r>
            <w:r w:rsidRPr="00711E70">
              <w:rPr>
                <w:rFonts w:ascii="Arial" w:hAnsi="Arial" w:cs="Arial"/>
                <w:color w:val="000000"/>
              </w:rPr>
              <w:t>Change to listing</w:t>
            </w:r>
            <w:r>
              <w:rPr>
                <w:rFonts w:ascii="Arial" w:hAnsi="Arial" w:cs="Arial"/>
                <w:color w:val="000000"/>
              </w:rPr>
              <w:br/>
            </w:r>
            <w:r w:rsidRPr="00711E70">
              <w:rPr>
                <w:rFonts w:ascii="Arial" w:hAnsi="Arial" w:cs="Arial"/>
                <w:color w:val="000000"/>
              </w:rPr>
              <w:t>(Major Submission)</w:t>
            </w:r>
          </w:p>
        </w:tc>
        <w:tc>
          <w:tcPr>
            <w:tcW w:w="2409" w:type="dxa"/>
            <w:vMerge w:val="restart"/>
          </w:tcPr>
          <w:p w14:paraId="6F9977D3" w14:textId="46477807" w:rsidR="00310359" w:rsidRPr="008A64B3" w:rsidRDefault="00310359" w:rsidP="008A64B3">
            <w:pPr>
              <w:rPr>
                <w:rFonts w:ascii="Arial" w:hAnsi="Arial" w:cs="Arial"/>
                <w:color w:val="000000"/>
              </w:rPr>
            </w:pPr>
            <w:r w:rsidRPr="005F3AAF">
              <w:rPr>
                <w:rFonts w:ascii="Arial" w:hAnsi="Arial" w:cs="Arial"/>
                <w:color w:val="000000"/>
              </w:rPr>
              <w:t>Squamous cell carcinoma of the head and neck (SCCHN)</w:t>
            </w:r>
          </w:p>
        </w:tc>
        <w:tc>
          <w:tcPr>
            <w:tcW w:w="3261" w:type="dxa"/>
            <w:tcMar>
              <w:top w:w="28" w:type="dxa"/>
              <w:bottom w:w="28" w:type="dxa"/>
            </w:tcMar>
          </w:tcPr>
          <w:p w14:paraId="6D96CA58" w14:textId="63B1C1E7" w:rsidR="00310359" w:rsidRDefault="00310359" w:rsidP="005F3AAF">
            <w:pPr>
              <w:rPr>
                <w:rFonts w:ascii="Arial" w:hAnsi="Arial" w:cs="Arial"/>
                <w:snapToGrid w:val="0"/>
                <w:lang w:eastAsia="en-US"/>
              </w:rPr>
            </w:pPr>
            <w:r w:rsidRPr="005F3AAF">
              <w:rPr>
                <w:rFonts w:ascii="Arial" w:hAnsi="Arial" w:cs="Arial"/>
                <w:snapToGrid w:val="0"/>
                <w:lang w:eastAsia="en-US"/>
              </w:rPr>
              <w:t>To request Section 100 (Efficient Funding of C</w:t>
            </w:r>
            <w:r>
              <w:rPr>
                <w:rFonts w:ascii="Arial" w:hAnsi="Arial" w:cs="Arial"/>
                <w:snapToGrid w:val="0"/>
                <w:lang w:eastAsia="en-US"/>
              </w:rPr>
              <w:t xml:space="preserve">hemotherapy) Authority Required </w:t>
            </w:r>
            <w:r w:rsidRPr="005F3AAF">
              <w:rPr>
                <w:rFonts w:ascii="Arial" w:hAnsi="Arial" w:cs="Arial"/>
                <w:snapToGrid w:val="0"/>
                <w:lang w:eastAsia="en-US"/>
              </w:rPr>
              <w:t>(STREAMLINED) listing for the first line treatment of recurrent or metastatic SCCHN.</w:t>
            </w:r>
          </w:p>
        </w:tc>
        <w:tc>
          <w:tcPr>
            <w:tcW w:w="6947" w:type="dxa"/>
          </w:tcPr>
          <w:p w14:paraId="4CDD7300" w14:textId="0A4D5B36" w:rsidR="00310359" w:rsidRPr="00BF0A2C" w:rsidRDefault="00310359">
            <w:pPr>
              <w:pStyle w:val="ListParagraph"/>
              <w:ind w:left="0"/>
              <w:contextualSpacing w:val="0"/>
              <w:rPr>
                <w:rFonts w:ascii="Arial" w:hAnsi="Arial" w:cs="Arial"/>
                <w:sz w:val="20"/>
                <w:szCs w:val="20"/>
              </w:rPr>
            </w:pPr>
            <w:r w:rsidRPr="005F3AAF">
              <w:rPr>
                <w:rFonts w:ascii="Arial" w:hAnsi="Arial" w:cs="Arial"/>
                <w:sz w:val="20"/>
                <w:szCs w:val="20"/>
              </w:rPr>
              <w:t xml:space="preserve">The PBAC decided not to recommend the listing of </w:t>
            </w:r>
            <w:proofErr w:type="spellStart"/>
            <w:r w:rsidRPr="005F3AAF">
              <w:rPr>
                <w:rFonts w:ascii="Arial" w:hAnsi="Arial" w:cs="Arial"/>
                <w:sz w:val="20"/>
                <w:szCs w:val="20"/>
              </w:rPr>
              <w:t>pembrolizumab</w:t>
            </w:r>
            <w:proofErr w:type="spellEnd"/>
            <w:r w:rsidRPr="005F3AAF">
              <w:rPr>
                <w:rFonts w:ascii="Arial" w:hAnsi="Arial" w:cs="Arial"/>
                <w:sz w:val="20"/>
                <w:szCs w:val="20"/>
              </w:rPr>
              <w:t xml:space="preserve"> for first-line treatment of recurrent or metastatic </w:t>
            </w:r>
            <w:r>
              <w:rPr>
                <w:rFonts w:ascii="Arial" w:hAnsi="Arial" w:cs="Arial"/>
                <w:sz w:val="20"/>
                <w:szCs w:val="20"/>
              </w:rPr>
              <w:t xml:space="preserve">SCCHN </w:t>
            </w:r>
            <w:r w:rsidRPr="005F3AAF">
              <w:rPr>
                <w:rFonts w:ascii="Arial" w:hAnsi="Arial" w:cs="Arial"/>
                <w:sz w:val="20"/>
                <w:szCs w:val="20"/>
              </w:rPr>
              <w:t xml:space="preserve">in patients with programmed death ligand 1 (PD-L1) combined positive score (CPS) score ≥1. The PBAC considered that </w:t>
            </w:r>
            <w:proofErr w:type="spellStart"/>
            <w:r w:rsidRPr="005F3AAF">
              <w:rPr>
                <w:rFonts w:ascii="Arial" w:hAnsi="Arial" w:cs="Arial"/>
                <w:sz w:val="20"/>
                <w:szCs w:val="20"/>
              </w:rPr>
              <w:t>pembrolizumab</w:t>
            </w:r>
            <w:proofErr w:type="spellEnd"/>
            <w:r w:rsidRPr="005F3AAF">
              <w:rPr>
                <w:rFonts w:ascii="Arial" w:hAnsi="Arial" w:cs="Arial"/>
                <w:sz w:val="20"/>
                <w:szCs w:val="20"/>
              </w:rPr>
              <w:t xml:space="preserve"> plus chemotherapy (but not </w:t>
            </w:r>
            <w:proofErr w:type="spellStart"/>
            <w:r w:rsidRPr="005F3AAF">
              <w:rPr>
                <w:rFonts w:ascii="Arial" w:hAnsi="Arial" w:cs="Arial"/>
                <w:sz w:val="20"/>
                <w:szCs w:val="20"/>
              </w:rPr>
              <w:t>pembrolizumab</w:t>
            </w:r>
            <w:proofErr w:type="spellEnd"/>
            <w:r w:rsidRPr="005F3AAF">
              <w:rPr>
                <w:rFonts w:ascii="Arial" w:hAnsi="Arial" w:cs="Arial"/>
                <w:sz w:val="20"/>
                <w:szCs w:val="20"/>
              </w:rPr>
              <w:t xml:space="preserve"> monotherapy) was clinically superior to first-line chemotherapy alone in terms of overall survival. However, the magnitude of clinical benefit over current standard of care, which includes second-line </w:t>
            </w:r>
            <w:proofErr w:type="spellStart"/>
            <w:r w:rsidRPr="005F3AAF">
              <w:rPr>
                <w:rFonts w:ascii="Arial" w:hAnsi="Arial" w:cs="Arial"/>
                <w:sz w:val="20"/>
                <w:szCs w:val="20"/>
              </w:rPr>
              <w:t>nivolumab</w:t>
            </w:r>
            <w:proofErr w:type="spellEnd"/>
            <w:r w:rsidRPr="005F3AAF">
              <w:rPr>
                <w:rFonts w:ascii="Arial" w:hAnsi="Arial" w:cs="Arial"/>
                <w:sz w:val="20"/>
                <w:szCs w:val="20"/>
              </w:rPr>
              <w:t>, was uncertain, and the evidence supporting a PD-L1-based eligibility criterion was not convincing. The PBAC considered that there were a number of modelling assumptions which resulted in the incremental cost-effectiveness ratio being uncertain and substantially underestimated.</w:t>
            </w:r>
          </w:p>
        </w:tc>
      </w:tr>
      <w:tr w:rsidR="00854069" w:rsidRPr="00D3523D" w14:paraId="3B22A7CA" w14:textId="77777777" w:rsidTr="009277BD">
        <w:trPr>
          <w:cantSplit/>
          <w:trHeight w:val="5427"/>
        </w:trPr>
        <w:tc>
          <w:tcPr>
            <w:tcW w:w="2694" w:type="dxa"/>
            <w:vMerge/>
            <w:tcMar>
              <w:top w:w="28" w:type="dxa"/>
              <w:bottom w:w="28" w:type="dxa"/>
            </w:tcMar>
          </w:tcPr>
          <w:p w14:paraId="6A951645" w14:textId="77777777" w:rsidR="00854069" w:rsidRPr="00711E70" w:rsidRDefault="00854069" w:rsidP="00854069">
            <w:pPr>
              <w:rPr>
                <w:rFonts w:ascii="Arial" w:hAnsi="Arial" w:cs="Arial"/>
                <w:color w:val="000000"/>
              </w:rPr>
            </w:pPr>
          </w:p>
        </w:tc>
        <w:tc>
          <w:tcPr>
            <w:tcW w:w="2409" w:type="dxa"/>
            <w:vMerge/>
          </w:tcPr>
          <w:p w14:paraId="748447D8" w14:textId="77777777" w:rsidR="00854069" w:rsidRPr="008A64B3" w:rsidRDefault="00854069" w:rsidP="00854069">
            <w:pPr>
              <w:rPr>
                <w:rFonts w:ascii="Arial" w:hAnsi="Arial" w:cs="Arial"/>
                <w:color w:val="000000"/>
              </w:rPr>
            </w:pPr>
          </w:p>
        </w:tc>
        <w:tc>
          <w:tcPr>
            <w:tcW w:w="3261" w:type="dxa"/>
            <w:tcMar>
              <w:top w:w="28" w:type="dxa"/>
              <w:bottom w:w="28" w:type="dxa"/>
            </w:tcMar>
          </w:tcPr>
          <w:p w14:paraId="11C524E1" w14:textId="3ACA418C" w:rsidR="00854069" w:rsidRDefault="00854069" w:rsidP="00854069">
            <w:pPr>
              <w:jc w:val="right"/>
              <w:rPr>
                <w:rFonts w:ascii="Arial" w:hAnsi="Arial" w:cs="Arial"/>
                <w:snapToGrid w:val="0"/>
                <w:lang w:eastAsia="en-US"/>
              </w:rPr>
            </w:pPr>
            <w:r>
              <w:rPr>
                <w:rFonts w:ascii="Arial" w:hAnsi="Arial" w:cs="Arial"/>
                <w:snapToGrid w:val="0"/>
                <w:lang w:eastAsia="en-US"/>
              </w:rPr>
              <w:t>Sponsor’s c</w:t>
            </w:r>
            <w:r w:rsidRPr="008A64B3">
              <w:rPr>
                <w:rFonts w:ascii="Arial" w:hAnsi="Arial" w:cs="Arial"/>
                <w:snapToGrid w:val="0"/>
                <w:lang w:eastAsia="en-US"/>
              </w:rPr>
              <w:t>omment:</w:t>
            </w:r>
          </w:p>
        </w:tc>
        <w:tc>
          <w:tcPr>
            <w:tcW w:w="6947" w:type="dxa"/>
          </w:tcPr>
          <w:p w14:paraId="4C08E8B8" w14:textId="77777777" w:rsidR="00EF28C9" w:rsidRPr="004C54F7" w:rsidRDefault="00EF28C9" w:rsidP="004C54F7">
            <w:pPr>
              <w:rPr>
                <w:rFonts w:ascii="Arial" w:hAnsi="Arial" w:cs="Arial"/>
              </w:rPr>
            </w:pPr>
            <w:r w:rsidRPr="004C54F7">
              <w:rPr>
                <w:rFonts w:ascii="Arial" w:hAnsi="Arial" w:cs="Arial"/>
              </w:rPr>
              <w:t xml:space="preserve">MSD is disappointed that the PBAC has decided not to recommend </w:t>
            </w:r>
            <w:proofErr w:type="spellStart"/>
            <w:r w:rsidRPr="004C54F7">
              <w:rPr>
                <w:rFonts w:ascii="Arial" w:hAnsi="Arial" w:cs="Arial"/>
              </w:rPr>
              <w:t>pembrolizumab</w:t>
            </w:r>
            <w:proofErr w:type="spellEnd"/>
            <w:r w:rsidRPr="004C54F7">
              <w:rPr>
                <w:rFonts w:ascii="Arial" w:hAnsi="Arial" w:cs="Arial"/>
              </w:rPr>
              <w:t xml:space="preserve"> for recurrent or metastatic SCCHN. This is a debilitating cancer where the side effects of treatment are often visible and can result in severe facial disfigurement impacting a patient’s ability to see, swallow speak and breathe. This decision has denied patients the opportunity to have a treatment option that has demonstrated, survival benefits, durable response rates and a reduction in treatment burden.</w:t>
            </w:r>
          </w:p>
          <w:p w14:paraId="0CD4B49C" w14:textId="77777777" w:rsidR="00EF28C9" w:rsidRPr="004C54F7" w:rsidRDefault="00EF28C9" w:rsidP="004C54F7">
            <w:pPr>
              <w:rPr>
                <w:rFonts w:ascii="Arial" w:hAnsi="Arial" w:cs="Arial"/>
              </w:rPr>
            </w:pPr>
          </w:p>
          <w:p w14:paraId="57218F60" w14:textId="77777777" w:rsidR="00EF28C9" w:rsidRPr="004C54F7" w:rsidRDefault="00EF28C9" w:rsidP="004C54F7">
            <w:pPr>
              <w:rPr>
                <w:rFonts w:ascii="Arial" w:hAnsi="Arial" w:cs="Arial"/>
              </w:rPr>
            </w:pPr>
            <w:r w:rsidRPr="004C54F7">
              <w:rPr>
                <w:rFonts w:ascii="Arial" w:hAnsi="Arial" w:cs="Arial"/>
              </w:rPr>
              <w:t xml:space="preserve">While MSD agrees with the PBAC that </w:t>
            </w:r>
            <w:proofErr w:type="spellStart"/>
            <w:r w:rsidRPr="004C54F7">
              <w:rPr>
                <w:rFonts w:ascii="Arial" w:hAnsi="Arial" w:cs="Arial"/>
              </w:rPr>
              <w:t>pembrolizumab</w:t>
            </w:r>
            <w:proofErr w:type="spellEnd"/>
            <w:r w:rsidRPr="004C54F7">
              <w:rPr>
                <w:rFonts w:ascii="Arial" w:hAnsi="Arial" w:cs="Arial"/>
              </w:rPr>
              <w:t xml:space="preserve"> plus chemotherapy is clinically superior to first-line chemotherapy, we disagree that </w:t>
            </w:r>
            <w:proofErr w:type="spellStart"/>
            <w:r w:rsidRPr="004C54F7">
              <w:rPr>
                <w:rFonts w:ascii="Arial" w:hAnsi="Arial" w:cs="Arial"/>
              </w:rPr>
              <w:t>pembrolizumab</w:t>
            </w:r>
            <w:proofErr w:type="spellEnd"/>
            <w:r w:rsidRPr="004C54F7">
              <w:rPr>
                <w:rFonts w:ascii="Arial" w:hAnsi="Arial" w:cs="Arial"/>
              </w:rPr>
              <w:t xml:space="preserve"> monotherapy is not clinically superior to first-line chemotherapy, as the data demonstrates that </w:t>
            </w:r>
            <w:proofErr w:type="spellStart"/>
            <w:r w:rsidRPr="004C54F7">
              <w:rPr>
                <w:rFonts w:ascii="Arial" w:hAnsi="Arial" w:cs="Arial"/>
              </w:rPr>
              <w:t>pembrolizumab</w:t>
            </w:r>
            <w:proofErr w:type="spellEnd"/>
            <w:r w:rsidRPr="004C54F7">
              <w:rPr>
                <w:rFonts w:ascii="Arial" w:hAnsi="Arial" w:cs="Arial"/>
              </w:rPr>
              <w:t xml:space="preserve"> monotherapy is efficacious for patients with a CPS score ≥1. </w:t>
            </w:r>
          </w:p>
          <w:p w14:paraId="3D863363" w14:textId="77777777" w:rsidR="00EF28C9" w:rsidRPr="004C54F7" w:rsidRDefault="00EF28C9" w:rsidP="004C54F7">
            <w:pPr>
              <w:rPr>
                <w:rFonts w:ascii="Arial" w:hAnsi="Arial" w:cs="Arial"/>
              </w:rPr>
            </w:pPr>
          </w:p>
          <w:p w14:paraId="53248582" w14:textId="14588107" w:rsidR="005C3CB3" w:rsidRPr="00BF0A2C" w:rsidRDefault="00EF28C9" w:rsidP="00854069">
            <w:pPr>
              <w:pStyle w:val="ListParagraph"/>
              <w:ind w:left="0"/>
              <w:rPr>
                <w:rFonts w:ascii="Arial" w:hAnsi="Arial" w:cs="Arial"/>
                <w:sz w:val="20"/>
                <w:szCs w:val="20"/>
              </w:rPr>
            </w:pPr>
            <w:r w:rsidRPr="00EF28C9">
              <w:rPr>
                <w:rFonts w:ascii="Arial" w:hAnsi="Arial" w:cs="Arial"/>
                <w:sz w:val="20"/>
                <w:szCs w:val="20"/>
              </w:rPr>
              <w:t xml:space="preserve">MSD will work to ensure patients with recurrent or metastatic SCCHN will be able to access </w:t>
            </w:r>
            <w:proofErr w:type="spellStart"/>
            <w:r w:rsidRPr="00EF28C9">
              <w:rPr>
                <w:rFonts w:ascii="Arial" w:hAnsi="Arial" w:cs="Arial"/>
                <w:sz w:val="20"/>
                <w:szCs w:val="20"/>
              </w:rPr>
              <w:t>pembrolizumab</w:t>
            </w:r>
            <w:proofErr w:type="spellEnd"/>
            <w:r w:rsidRPr="00EF28C9">
              <w:rPr>
                <w:rFonts w:ascii="Arial" w:hAnsi="Arial" w:cs="Arial"/>
                <w:sz w:val="20"/>
                <w:szCs w:val="20"/>
              </w:rPr>
              <w:t xml:space="preserve"> as soon as possible on the PBS.</w:t>
            </w:r>
          </w:p>
        </w:tc>
      </w:tr>
      <w:tr w:rsidR="00AE4A61" w:rsidRPr="00D3523D" w14:paraId="6BC0A355" w14:textId="77777777" w:rsidTr="00CB6BBF">
        <w:trPr>
          <w:trHeight w:val="86"/>
        </w:trPr>
        <w:tc>
          <w:tcPr>
            <w:tcW w:w="2694" w:type="dxa"/>
            <w:tcMar>
              <w:top w:w="28" w:type="dxa"/>
              <w:bottom w:w="28" w:type="dxa"/>
            </w:tcMar>
          </w:tcPr>
          <w:p w14:paraId="30A45BBB" w14:textId="77777777" w:rsidR="00AE4A61" w:rsidRDefault="00AE4A61" w:rsidP="00AE4A61">
            <w:pPr>
              <w:rPr>
                <w:rFonts w:ascii="Arial" w:hAnsi="Arial" w:cs="Arial"/>
                <w:color w:val="000000"/>
              </w:rPr>
            </w:pPr>
            <w:r w:rsidRPr="005B1FB0">
              <w:rPr>
                <w:rFonts w:ascii="Arial" w:hAnsi="Arial" w:cs="Arial"/>
                <w:color w:val="000000"/>
              </w:rPr>
              <w:t>SACUBITRIL with VALSARTAN</w:t>
            </w:r>
            <w:r>
              <w:rPr>
                <w:rFonts w:ascii="Arial" w:hAnsi="Arial" w:cs="Arial"/>
                <w:color w:val="000000"/>
              </w:rPr>
              <w:br/>
            </w:r>
            <w:r>
              <w:rPr>
                <w:rFonts w:ascii="Arial" w:hAnsi="Arial" w:cs="Arial"/>
                <w:color w:val="000000"/>
              </w:rPr>
              <w:br/>
            </w:r>
            <w:r w:rsidRPr="005B1FB0">
              <w:rPr>
                <w:rFonts w:ascii="Arial" w:hAnsi="Arial" w:cs="Arial"/>
                <w:color w:val="000000"/>
              </w:rPr>
              <w:t xml:space="preserve">Tablet containing </w:t>
            </w:r>
            <w:proofErr w:type="spellStart"/>
            <w:r w:rsidRPr="005B1FB0">
              <w:rPr>
                <w:rFonts w:ascii="Arial" w:hAnsi="Arial" w:cs="Arial"/>
                <w:color w:val="000000"/>
              </w:rPr>
              <w:t>sacubitril</w:t>
            </w:r>
            <w:proofErr w:type="spellEnd"/>
            <w:r w:rsidRPr="005B1FB0">
              <w:rPr>
                <w:rFonts w:ascii="Arial" w:hAnsi="Arial" w:cs="Arial"/>
                <w:color w:val="000000"/>
              </w:rPr>
              <w:t xml:space="preserve"> 24.3 mg + valsartan 25.7 mg </w:t>
            </w:r>
            <w:r>
              <w:rPr>
                <w:rFonts w:ascii="Arial" w:hAnsi="Arial" w:cs="Arial"/>
                <w:color w:val="000000"/>
              </w:rPr>
              <w:br/>
            </w:r>
            <w:r w:rsidRPr="005B1FB0">
              <w:rPr>
                <w:rFonts w:ascii="Arial" w:hAnsi="Arial" w:cs="Arial"/>
                <w:color w:val="000000"/>
              </w:rPr>
              <w:t xml:space="preserve">Tablet containing </w:t>
            </w:r>
            <w:proofErr w:type="spellStart"/>
            <w:r w:rsidRPr="005B1FB0">
              <w:rPr>
                <w:rFonts w:ascii="Arial" w:hAnsi="Arial" w:cs="Arial"/>
                <w:color w:val="000000"/>
              </w:rPr>
              <w:t>sacubitril</w:t>
            </w:r>
            <w:proofErr w:type="spellEnd"/>
            <w:r w:rsidRPr="005B1FB0">
              <w:rPr>
                <w:rFonts w:ascii="Arial" w:hAnsi="Arial" w:cs="Arial"/>
                <w:color w:val="000000"/>
              </w:rPr>
              <w:t xml:space="preserve"> 48.6 mg + valsartan 51.4 mg</w:t>
            </w:r>
            <w:r>
              <w:rPr>
                <w:rFonts w:ascii="Arial" w:hAnsi="Arial" w:cs="Arial"/>
                <w:color w:val="000000"/>
              </w:rPr>
              <w:br/>
            </w:r>
            <w:r w:rsidRPr="005B1FB0">
              <w:rPr>
                <w:rFonts w:ascii="Arial" w:hAnsi="Arial" w:cs="Arial"/>
                <w:color w:val="000000"/>
              </w:rPr>
              <w:t xml:space="preserve">Tablet containing </w:t>
            </w:r>
            <w:proofErr w:type="spellStart"/>
            <w:r w:rsidRPr="005B1FB0">
              <w:rPr>
                <w:rFonts w:ascii="Arial" w:hAnsi="Arial" w:cs="Arial"/>
                <w:color w:val="000000"/>
              </w:rPr>
              <w:t>sacubitril</w:t>
            </w:r>
            <w:proofErr w:type="spellEnd"/>
            <w:r w:rsidRPr="005B1FB0">
              <w:rPr>
                <w:rFonts w:ascii="Arial" w:hAnsi="Arial" w:cs="Arial"/>
                <w:color w:val="000000"/>
              </w:rPr>
              <w:t xml:space="preserve"> 97.2 mg + valsartan 102.8 mg</w:t>
            </w:r>
            <w:r>
              <w:rPr>
                <w:rFonts w:ascii="Arial" w:hAnsi="Arial" w:cs="Arial"/>
                <w:color w:val="000000"/>
              </w:rPr>
              <w:br/>
            </w:r>
          </w:p>
          <w:p w14:paraId="04952745" w14:textId="2C5FEB41" w:rsidR="00AE4A61" w:rsidRPr="00711E70" w:rsidRDefault="00AE4A61" w:rsidP="00AE4A61">
            <w:pPr>
              <w:rPr>
                <w:rFonts w:ascii="Arial" w:hAnsi="Arial" w:cs="Arial"/>
                <w:color w:val="000000"/>
              </w:rPr>
            </w:pPr>
            <w:proofErr w:type="spellStart"/>
            <w:r w:rsidRPr="005B1FB0">
              <w:rPr>
                <w:rFonts w:ascii="Arial" w:hAnsi="Arial" w:cs="Arial"/>
                <w:color w:val="000000"/>
              </w:rPr>
              <w:t>Entresto</w:t>
            </w:r>
            <w:proofErr w:type="spellEnd"/>
            <w:r w:rsidRPr="005B1FB0">
              <w:rPr>
                <w:rFonts w:ascii="Arial" w:hAnsi="Arial" w:cs="Arial"/>
                <w:color w:val="000000"/>
              </w:rPr>
              <w:t>®</w:t>
            </w:r>
            <w:r>
              <w:rPr>
                <w:rFonts w:ascii="Arial" w:hAnsi="Arial" w:cs="Arial"/>
                <w:color w:val="000000"/>
              </w:rPr>
              <w:br/>
            </w:r>
            <w:r>
              <w:rPr>
                <w:rFonts w:ascii="Arial" w:hAnsi="Arial" w:cs="Arial"/>
                <w:color w:val="000000"/>
              </w:rPr>
              <w:br/>
            </w:r>
            <w:r w:rsidRPr="005B1FB0">
              <w:rPr>
                <w:rFonts w:ascii="Arial" w:hAnsi="Arial" w:cs="Arial"/>
                <w:color w:val="000000"/>
              </w:rPr>
              <w:t>Novartis Pharmaceuticals Australia Pty Ltd</w:t>
            </w:r>
            <w:r>
              <w:rPr>
                <w:rFonts w:ascii="Arial" w:hAnsi="Arial" w:cs="Arial"/>
                <w:color w:val="000000"/>
              </w:rPr>
              <w:br/>
            </w:r>
            <w:r>
              <w:rPr>
                <w:rFonts w:ascii="Arial" w:hAnsi="Arial" w:cs="Arial"/>
                <w:color w:val="000000"/>
              </w:rPr>
              <w:br/>
            </w:r>
            <w:r w:rsidRPr="005B1FB0">
              <w:rPr>
                <w:rFonts w:ascii="Arial" w:hAnsi="Arial" w:cs="Arial"/>
                <w:color w:val="000000"/>
              </w:rPr>
              <w:t>Change to listing</w:t>
            </w:r>
            <w:r>
              <w:rPr>
                <w:rFonts w:ascii="Arial" w:hAnsi="Arial" w:cs="Arial"/>
                <w:color w:val="000000"/>
              </w:rPr>
              <w:br/>
            </w:r>
            <w:r w:rsidRPr="005B1FB0">
              <w:rPr>
                <w:rFonts w:ascii="Arial" w:hAnsi="Arial" w:cs="Arial"/>
                <w:color w:val="000000"/>
              </w:rPr>
              <w:t>(Major Submission)</w:t>
            </w:r>
          </w:p>
        </w:tc>
        <w:tc>
          <w:tcPr>
            <w:tcW w:w="2409" w:type="dxa"/>
          </w:tcPr>
          <w:p w14:paraId="69102B33" w14:textId="6C96DDAF" w:rsidR="00AE4A61" w:rsidRPr="008A64B3" w:rsidRDefault="00AE4A61" w:rsidP="00854069">
            <w:pPr>
              <w:rPr>
                <w:rFonts w:ascii="Arial" w:hAnsi="Arial" w:cs="Arial"/>
                <w:color w:val="000000"/>
              </w:rPr>
            </w:pPr>
            <w:r>
              <w:rPr>
                <w:rFonts w:ascii="Arial" w:hAnsi="Arial" w:cs="Arial"/>
                <w:color w:val="000000"/>
              </w:rPr>
              <w:t>Heart failure</w:t>
            </w:r>
          </w:p>
        </w:tc>
        <w:tc>
          <w:tcPr>
            <w:tcW w:w="3261" w:type="dxa"/>
            <w:tcMar>
              <w:top w:w="28" w:type="dxa"/>
              <w:bottom w:w="28" w:type="dxa"/>
            </w:tcMar>
          </w:tcPr>
          <w:p w14:paraId="2C563904" w14:textId="360A6999" w:rsidR="00AE4A61" w:rsidRDefault="00AE4A61" w:rsidP="00AE4A61">
            <w:pPr>
              <w:rPr>
                <w:rFonts w:ascii="Arial" w:hAnsi="Arial" w:cs="Arial"/>
                <w:snapToGrid w:val="0"/>
                <w:lang w:eastAsia="en-US"/>
              </w:rPr>
            </w:pPr>
            <w:r w:rsidRPr="005F3AAF">
              <w:rPr>
                <w:rFonts w:ascii="Arial" w:hAnsi="Arial" w:cs="Arial"/>
                <w:lang w:eastAsia="en-US"/>
              </w:rPr>
              <w:t>To request changes to the current Authority Required (STREAMLINED) listing for patients with chronic heart failure with reduced ejection fraction (HF-</w:t>
            </w:r>
            <w:proofErr w:type="spellStart"/>
            <w:r w:rsidRPr="005F3AAF">
              <w:rPr>
                <w:rFonts w:ascii="Arial" w:hAnsi="Arial" w:cs="Arial"/>
                <w:lang w:eastAsia="en-US"/>
              </w:rPr>
              <w:t>rEF</w:t>
            </w:r>
            <w:proofErr w:type="spellEnd"/>
            <w:r w:rsidRPr="005F3AAF">
              <w:rPr>
                <w:rFonts w:ascii="Arial" w:hAnsi="Arial" w:cs="Arial"/>
                <w:lang w:eastAsia="en-US"/>
              </w:rPr>
              <w:t>) to include a broader population of patients.</w:t>
            </w:r>
          </w:p>
        </w:tc>
        <w:tc>
          <w:tcPr>
            <w:tcW w:w="6947" w:type="dxa"/>
          </w:tcPr>
          <w:p w14:paraId="78858DC8" w14:textId="77777777" w:rsidR="00AE4A61" w:rsidRDefault="00AE4A61" w:rsidP="00CB6BBF">
            <w:pPr>
              <w:rPr>
                <w:rFonts w:ascii="Arial" w:hAnsi="Arial" w:cs="Arial"/>
              </w:rPr>
            </w:pPr>
            <w:r w:rsidRPr="00481DF9">
              <w:rPr>
                <w:rFonts w:ascii="Arial" w:hAnsi="Arial" w:cs="Arial"/>
              </w:rPr>
              <w:t xml:space="preserve">The PBAC considered a request to expand the population eligible for PBS subsidised treatment </w:t>
            </w:r>
            <w:proofErr w:type="spellStart"/>
            <w:r w:rsidRPr="00481DF9">
              <w:rPr>
                <w:rFonts w:ascii="Arial" w:hAnsi="Arial" w:cs="Arial"/>
              </w:rPr>
              <w:t>sacubitril</w:t>
            </w:r>
            <w:proofErr w:type="spellEnd"/>
            <w:r w:rsidRPr="00481DF9">
              <w:rPr>
                <w:rFonts w:ascii="Arial" w:hAnsi="Arial" w:cs="Arial"/>
              </w:rPr>
              <w:t xml:space="preserve"> with valsartan (SAC/VAL). The submission did not include some of the standard information expected in a major submission and this hindered the Committee’s ability to consider the request.</w:t>
            </w:r>
          </w:p>
          <w:p w14:paraId="369D1935" w14:textId="77777777" w:rsidR="00AE4A61" w:rsidRPr="00481DF9" w:rsidRDefault="00AE4A61" w:rsidP="00CB6BBF">
            <w:pPr>
              <w:rPr>
                <w:rFonts w:ascii="Arial" w:hAnsi="Arial" w:cs="Arial"/>
              </w:rPr>
            </w:pPr>
          </w:p>
          <w:p w14:paraId="43DCE14B" w14:textId="77777777" w:rsidR="00AE4A61" w:rsidRPr="00481DF9" w:rsidRDefault="00AE4A61" w:rsidP="00CB6BBF">
            <w:pPr>
              <w:rPr>
                <w:rFonts w:ascii="Arial" w:hAnsi="Arial" w:cs="Arial"/>
              </w:rPr>
            </w:pPr>
            <w:r w:rsidRPr="00481DF9">
              <w:rPr>
                <w:rFonts w:ascii="Arial" w:hAnsi="Arial" w:cs="Arial"/>
              </w:rPr>
              <w:t xml:space="preserve">The two core requests in the submission were to expand the listing to allow patients with a left ventricular ejection fraction (LVEF) of between 41% and 49% inclusive (from the current ≤40% requirement) and to allow use of SAC/VAL in patients who have not previously been treated with an angiotensin II converting enzyme (ACE) inhibitor, angiotensin II receptor blocker (ARB) or a beta blocker (i.e. first line use). The submission also requested a change to nurse practitioner prescribing arrangements to allow prescribing under a shared care model (from current continuing therapy only arrangements). </w:t>
            </w:r>
          </w:p>
          <w:p w14:paraId="0BBBC853" w14:textId="77777777" w:rsidR="00AE4A61" w:rsidRDefault="00AE4A61" w:rsidP="00CB6BBF">
            <w:pPr>
              <w:rPr>
                <w:rFonts w:ascii="Arial" w:hAnsi="Arial" w:cs="Arial"/>
              </w:rPr>
            </w:pPr>
          </w:p>
          <w:p w14:paraId="3E00D5F8" w14:textId="77777777" w:rsidR="00AE4A61" w:rsidRPr="00481DF9" w:rsidRDefault="00AE4A61" w:rsidP="00CB6BBF">
            <w:pPr>
              <w:rPr>
                <w:rFonts w:ascii="Arial" w:hAnsi="Arial" w:cs="Arial"/>
              </w:rPr>
            </w:pPr>
            <w:r w:rsidRPr="00481DF9">
              <w:rPr>
                <w:rFonts w:ascii="Arial" w:hAnsi="Arial" w:cs="Arial"/>
              </w:rPr>
              <w:t>The PBAC provided four outcomes for these requests:</w:t>
            </w:r>
          </w:p>
          <w:p w14:paraId="411D5F50" w14:textId="77777777" w:rsidR="00AE4A61" w:rsidRPr="004C54F7" w:rsidRDefault="00AE4A61" w:rsidP="00CB6BBF">
            <w:pPr>
              <w:rPr>
                <w:rFonts w:ascii="Arial" w:hAnsi="Arial" w:cs="Arial"/>
              </w:rPr>
            </w:pPr>
          </w:p>
          <w:p w14:paraId="1EDE6033" w14:textId="77777777" w:rsidR="00AE4A61" w:rsidRDefault="00AE4A61" w:rsidP="00CB6BBF">
            <w:pPr>
              <w:rPr>
                <w:rFonts w:ascii="Arial" w:hAnsi="Arial" w:cs="Arial"/>
              </w:rPr>
            </w:pPr>
            <w:r w:rsidRPr="00481DF9">
              <w:rPr>
                <w:rFonts w:ascii="Arial" w:hAnsi="Arial" w:cs="Arial"/>
              </w:rPr>
              <w:t>• The PBAC did not recommend expanding the population eligible for SAC/VAL to patients with an LVEF of between 41% and 49% inclusive, as no comparative data or economic analysis was provided to consider the cost effectiveness in this population. The Committee considered arguments in the submission that SAC/VAL would be of similar cost effectiveness in the current LVEF ≤40% population and the expanded population were implausible, as these patients had less severe disease and likely better prognostic outcomes. Therefore, the PBAC considered a formal economic analysis would be required to consider expanding this listing to include these patients.</w:t>
            </w:r>
          </w:p>
          <w:p w14:paraId="541D39BA" w14:textId="77777777" w:rsidR="00AE4A61" w:rsidRPr="00481DF9" w:rsidRDefault="00AE4A61" w:rsidP="00CB6BBF">
            <w:pPr>
              <w:rPr>
                <w:rFonts w:ascii="Arial" w:hAnsi="Arial" w:cs="Arial"/>
              </w:rPr>
            </w:pPr>
          </w:p>
          <w:p w14:paraId="003C6D11" w14:textId="77777777" w:rsidR="00AE4A61" w:rsidRPr="00481DF9" w:rsidRDefault="00AE4A61" w:rsidP="00CB6BBF">
            <w:pPr>
              <w:rPr>
                <w:rFonts w:ascii="Arial" w:hAnsi="Arial" w:cs="Arial"/>
              </w:rPr>
            </w:pPr>
            <w:r w:rsidRPr="00481DF9">
              <w:rPr>
                <w:rFonts w:ascii="Arial" w:hAnsi="Arial" w:cs="Arial"/>
              </w:rPr>
              <w:t>• The PBAC did not recommend expanding the population eligible for SAC/VAL to allow use in patients who have not previously been treated with an ACE inhibitor or ARB. While the Committee considered the evidence presented indicated SAC/VAL may be of similar effectiveness when used in first or second line setting, some patients with heart failure would be adequately treated with ACE inhibitors or ARBs and therefore SAC/VAL would not provide better outcomes in these patients. Given the magnitude of price difference between current first line agents and SAC/VAL, the PBAC considered use in such patients would not be cost effective and considered that a formal economic analysis would be required to consider expanding this listing to include these patients.</w:t>
            </w:r>
          </w:p>
          <w:p w14:paraId="2930C625" w14:textId="77777777" w:rsidR="00AE4A61" w:rsidRDefault="00AE4A61" w:rsidP="00CB6BBF">
            <w:pPr>
              <w:rPr>
                <w:rFonts w:ascii="Arial" w:hAnsi="Arial" w:cs="Arial"/>
              </w:rPr>
            </w:pPr>
          </w:p>
          <w:p w14:paraId="4F2E5049" w14:textId="77777777" w:rsidR="00AE4A61" w:rsidRPr="00481DF9" w:rsidRDefault="00AE4A61" w:rsidP="00CB6BBF">
            <w:pPr>
              <w:rPr>
                <w:rFonts w:ascii="Arial" w:hAnsi="Arial" w:cs="Arial"/>
              </w:rPr>
            </w:pPr>
            <w:r w:rsidRPr="00481DF9">
              <w:rPr>
                <w:rFonts w:ascii="Arial" w:hAnsi="Arial" w:cs="Arial"/>
              </w:rPr>
              <w:t>• The PBAC recommended amendments to beta blocker requirements in the SAC/VAL restriction to be more consistent with clinical guidelines and allow greater flexibility for clinical decision making. The PBAC recommended the current restriction, which requires patients to be on the maximally tolerated dose of a beta blocker, be amended to state that patients prior treatments ‘should include’ a beta blocker, unless contraindicated or not tolerated.</w:t>
            </w:r>
          </w:p>
          <w:p w14:paraId="3ECAD663" w14:textId="77777777" w:rsidR="00AE4A61" w:rsidRDefault="00AE4A61" w:rsidP="00CB6BBF">
            <w:pPr>
              <w:rPr>
                <w:rFonts w:ascii="Arial" w:hAnsi="Arial" w:cs="Arial"/>
              </w:rPr>
            </w:pPr>
          </w:p>
          <w:p w14:paraId="02D6211A" w14:textId="068F73F4" w:rsidR="00AE4A61" w:rsidRPr="004C54F7" w:rsidRDefault="00AE4A61" w:rsidP="00CB6BBF">
            <w:pPr>
              <w:rPr>
                <w:rFonts w:ascii="Arial" w:hAnsi="Arial" w:cs="Arial"/>
              </w:rPr>
            </w:pPr>
            <w:r w:rsidRPr="00481DF9">
              <w:rPr>
                <w:rFonts w:ascii="Arial" w:hAnsi="Arial" w:cs="Arial"/>
              </w:rPr>
              <w:t>• The PBAC recommended clarification to the nurse practitioner arrangements. The PBAC was of a view that dose titration constitutes continuing therapy (therefore maintaining current continuing therapy nurse practitioner arrangements is appropriate), but that initiating treatment with SAC/VAL should remain restricted to medical practitioners</w:t>
            </w:r>
          </w:p>
        </w:tc>
      </w:tr>
      <w:tr w:rsidR="00AE4A61" w:rsidRPr="00D3523D" w14:paraId="7124772E" w14:textId="77777777" w:rsidTr="00CB6BBF">
        <w:trPr>
          <w:cantSplit/>
          <w:trHeight w:val="885"/>
        </w:trPr>
        <w:tc>
          <w:tcPr>
            <w:tcW w:w="2694" w:type="dxa"/>
            <w:tcBorders>
              <w:top w:val="nil"/>
            </w:tcBorders>
            <w:tcMar>
              <w:top w:w="28" w:type="dxa"/>
              <w:bottom w:w="28" w:type="dxa"/>
            </w:tcMar>
          </w:tcPr>
          <w:p w14:paraId="07A1B4EB" w14:textId="67F91E82" w:rsidR="00AE4A61" w:rsidRPr="00711E70" w:rsidRDefault="00AE4A61" w:rsidP="00CF6FD8">
            <w:pPr>
              <w:rPr>
                <w:rFonts w:ascii="Arial" w:hAnsi="Arial" w:cs="Arial"/>
                <w:color w:val="000000"/>
              </w:rPr>
            </w:pPr>
          </w:p>
        </w:tc>
        <w:tc>
          <w:tcPr>
            <w:tcW w:w="2409" w:type="dxa"/>
            <w:tcBorders>
              <w:top w:val="nil"/>
            </w:tcBorders>
          </w:tcPr>
          <w:p w14:paraId="61A65836" w14:textId="4D167240" w:rsidR="00AE4A61" w:rsidRPr="008A64B3" w:rsidRDefault="00AE4A61">
            <w:pPr>
              <w:rPr>
                <w:rFonts w:ascii="Arial" w:hAnsi="Arial" w:cs="Arial"/>
                <w:color w:val="000000"/>
              </w:rPr>
            </w:pPr>
          </w:p>
        </w:tc>
        <w:tc>
          <w:tcPr>
            <w:tcW w:w="3261" w:type="dxa"/>
            <w:tcBorders>
              <w:top w:val="nil"/>
            </w:tcBorders>
            <w:tcMar>
              <w:top w:w="28" w:type="dxa"/>
              <w:bottom w:w="28" w:type="dxa"/>
            </w:tcMar>
          </w:tcPr>
          <w:p w14:paraId="52E14413" w14:textId="3BFD4FE5" w:rsidR="00AE4A61" w:rsidRPr="005F3AAF" w:rsidRDefault="00AE4A61" w:rsidP="00AE4A61">
            <w:pPr>
              <w:jc w:val="right"/>
              <w:rPr>
                <w:rFonts w:ascii="Arial" w:hAnsi="Arial" w:cs="Arial"/>
                <w:lang w:eastAsia="en-US"/>
              </w:rPr>
            </w:pPr>
            <w:r>
              <w:rPr>
                <w:rFonts w:ascii="Arial" w:hAnsi="Arial" w:cs="Arial"/>
                <w:snapToGrid w:val="0"/>
                <w:lang w:eastAsia="en-US"/>
              </w:rPr>
              <w:t>Sponsor’s c</w:t>
            </w:r>
            <w:r w:rsidRPr="008A64B3">
              <w:rPr>
                <w:rFonts w:ascii="Arial" w:hAnsi="Arial" w:cs="Arial"/>
                <w:snapToGrid w:val="0"/>
                <w:lang w:eastAsia="en-US"/>
              </w:rPr>
              <w:t>omment:</w:t>
            </w:r>
          </w:p>
        </w:tc>
        <w:tc>
          <w:tcPr>
            <w:tcW w:w="6947" w:type="dxa"/>
            <w:tcBorders>
              <w:top w:val="nil"/>
            </w:tcBorders>
          </w:tcPr>
          <w:p w14:paraId="639835D3" w14:textId="19E36F4C" w:rsidR="00AE4A61" w:rsidRPr="004C54F7" w:rsidRDefault="00AE4A61" w:rsidP="00AE4A61">
            <w:pPr>
              <w:spacing w:after="120"/>
              <w:rPr>
                <w:rFonts w:ascii="Arial" w:hAnsi="Arial" w:cs="Arial"/>
              </w:rPr>
            </w:pPr>
            <w:r w:rsidRPr="004C54F7">
              <w:rPr>
                <w:rFonts w:ascii="Arial" w:hAnsi="Arial" w:cs="Arial"/>
              </w:rPr>
              <w:t>Novartis is disappointed that the PBAC did not recommend changes to the PBS listing to include a broader patient population with HF.</w:t>
            </w:r>
          </w:p>
          <w:p w14:paraId="32E75E96" w14:textId="6155D30A" w:rsidR="00AE4A61" w:rsidRPr="00BF0A2C" w:rsidRDefault="00AE4A61" w:rsidP="004C54F7">
            <w:pPr>
              <w:spacing w:after="120"/>
              <w:rPr>
                <w:rFonts w:ascii="Arial" w:hAnsi="Arial" w:cs="Arial"/>
              </w:rPr>
            </w:pPr>
            <w:r w:rsidRPr="004C54F7">
              <w:rPr>
                <w:rFonts w:ascii="Arial" w:hAnsi="Arial" w:cs="Arial"/>
              </w:rPr>
              <w:t>Novartis welcomes the amendments to the beta blocker requirements in the restriction to be more consistent with clinical guidelines and allow greater flexibility for clinical decision making.</w:t>
            </w:r>
          </w:p>
        </w:tc>
      </w:tr>
    </w:tbl>
    <w:p w14:paraId="2E724DA4" w14:textId="08E25AE7" w:rsidR="00AE4A61" w:rsidRDefault="00AE4A61" w:rsidP="00640C80">
      <w:pPr>
        <w:tabs>
          <w:tab w:val="left" w:pos="5210"/>
        </w:tabs>
        <w:rPr>
          <w:rFonts w:ascii="Arial" w:hAnsi="Arial" w:cs="Arial"/>
          <w:lang w:val="en-US"/>
        </w:rPr>
      </w:pPr>
    </w:p>
    <w:sectPr w:rsidR="00AE4A61" w:rsidSect="00257615">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6F910F" w14:textId="77777777" w:rsidR="00AD0404" w:rsidRDefault="00AD0404">
      <w:r>
        <w:separator/>
      </w:r>
    </w:p>
  </w:endnote>
  <w:endnote w:type="continuationSeparator" w:id="0">
    <w:p w14:paraId="0B94B43F" w14:textId="77777777" w:rsidR="00AD0404" w:rsidRDefault="00AD04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67BCB"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6481329"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09180A" w14:textId="123D6AD9"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9277BD">
      <w:rPr>
        <w:rStyle w:val="PageNumber"/>
        <w:rFonts w:ascii="Arial" w:hAnsi="Arial" w:cs="Arial"/>
        <w:noProof/>
      </w:rPr>
      <w:t>6</w:t>
    </w:r>
    <w:r w:rsidRPr="00287C89">
      <w:rPr>
        <w:rStyle w:val="PageNumber"/>
        <w:rFonts w:ascii="Arial" w:hAnsi="Arial" w:cs="Arial"/>
      </w:rPr>
      <w:fldChar w:fldCharType="end"/>
    </w:r>
  </w:p>
  <w:p w14:paraId="5DEC0542" w14:textId="77777777" w:rsidR="005E1F3B" w:rsidRDefault="005E1F3B" w:rsidP="00FE2A81">
    <w:pPr>
      <w:pStyle w:val="Footer"/>
      <w:ind w:right="360"/>
    </w:pPr>
  </w:p>
  <w:p w14:paraId="429295B6" w14:textId="77777777" w:rsidR="00257615" w:rsidRDefault="00257615"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01AF80" w14:textId="77777777" w:rsidR="00AD0404" w:rsidRDefault="00AD0404">
      <w:r>
        <w:separator/>
      </w:r>
    </w:p>
  </w:footnote>
  <w:footnote w:type="continuationSeparator" w:id="0">
    <w:p w14:paraId="7F846E8F" w14:textId="77777777" w:rsidR="00AD0404" w:rsidRDefault="00AD04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737A53" w14:textId="5B32167D" w:rsidR="0071356F" w:rsidRDefault="00225002" w:rsidP="0071356F">
    <w:pPr>
      <w:pStyle w:val="Header"/>
      <w:jc w:val="center"/>
      <w:rPr>
        <w:rFonts w:ascii="Arial" w:hAnsi="Arial" w:cs="Arial"/>
        <w:b/>
      </w:rPr>
    </w:pPr>
    <w:r>
      <w:rPr>
        <w:rFonts w:ascii="Arial" w:hAnsi="Arial" w:cs="Arial"/>
        <w:b/>
      </w:rPr>
      <w:t xml:space="preserve"> NOVEMBER </w:t>
    </w:r>
    <w:r w:rsidR="00824394">
      <w:rPr>
        <w:rFonts w:ascii="Arial" w:hAnsi="Arial" w:cs="Arial"/>
        <w:b/>
      </w:rPr>
      <w:t>2020</w:t>
    </w:r>
    <w:r w:rsidR="000E1E84">
      <w:rPr>
        <w:rFonts w:ascii="Arial" w:hAnsi="Arial" w:cs="Arial"/>
        <w:b/>
      </w:rPr>
      <w:t xml:space="preserve"> </w:t>
    </w:r>
    <w:r w:rsidR="0071356F" w:rsidRPr="0071356F">
      <w:rPr>
        <w:rFonts w:ascii="Arial" w:hAnsi="Arial" w:cs="Arial"/>
        <w:b/>
      </w:rPr>
      <w:t>PBAC OUTCOMES –</w:t>
    </w:r>
    <w:r w:rsidR="007F10B5">
      <w:rPr>
        <w:rFonts w:ascii="Arial" w:hAnsi="Arial" w:cs="Arial"/>
        <w:b/>
      </w:rPr>
      <w:t xml:space="preserve"> </w:t>
    </w:r>
    <w:r w:rsidR="0071356F" w:rsidRPr="0071356F">
      <w:rPr>
        <w:rFonts w:ascii="Arial" w:hAnsi="Arial" w:cs="Arial"/>
        <w:b/>
      </w:rPr>
      <w:t>1</w:t>
    </w:r>
    <w:r w:rsidR="0071356F" w:rsidRPr="0071356F">
      <w:rPr>
        <w:rFonts w:ascii="Arial" w:hAnsi="Arial" w:cs="Arial"/>
        <w:b/>
        <w:vertAlign w:val="superscript"/>
      </w:rPr>
      <w:t>ST</w:t>
    </w:r>
    <w:r w:rsidR="007F10B5">
      <w:rPr>
        <w:rFonts w:ascii="Arial" w:hAnsi="Arial" w:cs="Arial"/>
        <w:b/>
      </w:rPr>
      <w:t xml:space="preserve"> TIME</w:t>
    </w:r>
    <w:r w:rsidR="0071356F" w:rsidRPr="0071356F">
      <w:rPr>
        <w:rFonts w:ascii="Arial" w:hAnsi="Arial" w:cs="Arial"/>
        <w:b/>
      </w:rPr>
      <w:t xml:space="preserve"> DECISIONS NOT TO RECOMMEND</w:t>
    </w:r>
  </w:p>
  <w:p w14:paraId="0E28AC1B" w14:textId="77777777" w:rsidR="00257615" w:rsidRPr="0071356F" w:rsidRDefault="00257615" w:rsidP="0071356F">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19552A6"/>
    <w:multiLevelType w:val="hybridMultilevel"/>
    <w:tmpl w:val="08AC294E"/>
    <w:lvl w:ilvl="0" w:tplc="BBA2D27A">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425321D"/>
    <w:multiLevelType w:val="hybridMultilevel"/>
    <w:tmpl w:val="902C696C"/>
    <w:lvl w:ilvl="0" w:tplc="785C05E4">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AD1CFB"/>
    <w:multiLevelType w:val="hybridMultilevel"/>
    <w:tmpl w:val="F2844B36"/>
    <w:lvl w:ilvl="0" w:tplc="D10E7B6A">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5413B67"/>
    <w:multiLevelType w:val="hybridMultilevel"/>
    <w:tmpl w:val="232E0DD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6"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D1F15"/>
    <w:multiLevelType w:val="hybridMultilevel"/>
    <w:tmpl w:val="F6189D7C"/>
    <w:lvl w:ilvl="0" w:tplc="31341FC6">
      <w:start w:val="1"/>
      <w:numFmt w:val="bullet"/>
      <w:lvlText w:val=""/>
      <w:lvlJc w:val="left"/>
      <w:pPr>
        <w:ind w:left="1440" w:hanging="360"/>
      </w:pPr>
      <w:rPr>
        <w:rFonts w:ascii="Symbol" w:hAnsi="Symbo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854A8B"/>
    <w:multiLevelType w:val="hybridMultilevel"/>
    <w:tmpl w:val="DB5CF69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2"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B754780"/>
    <w:multiLevelType w:val="hybridMultilevel"/>
    <w:tmpl w:val="88C8F8E4"/>
    <w:lvl w:ilvl="0" w:tplc="C06213B2">
      <w:start w:val="6"/>
      <w:numFmt w:val="bullet"/>
      <w:lvlText w:val="-"/>
      <w:lvlJc w:val="left"/>
      <w:pPr>
        <w:ind w:left="1069" w:hanging="360"/>
      </w:pPr>
      <w:rPr>
        <w:rFonts w:ascii="Arial" w:eastAsia="Times New Roman" w:hAnsi="Arial" w:cs="Aria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6" w15:restartNumberingAfterBreak="0">
    <w:nsid w:val="3BE75950"/>
    <w:multiLevelType w:val="hybridMultilevel"/>
    <w:tmpl w:val="15F0F4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D8D7906"/>
    <w:multiLevelType w:val="hybridMultilevel"/>
    <w:tmpl w:val="499C7C7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3F030CD8"/>
    <w:multiLevelType w:val="hybridMultilevel"/>
    <w:tmpl w:val="87BCAAC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9" w15:restartNumberingAfterBreak="0">
    <w:nsid w:val="416745C0"/>
    <w:multiLevelType w:val="hybridMultilevel"/>
    <w:tmpl w:val="28E436AC"/>
    <w:lvl w:ilvl="0" w:tplc="3B4C541A">
      <w:numFmt w:val="bullet"/>
      <w:lvlText w:val="-"/>
      <w:lvlJc w:val="left"/>
      <w:pPr>
        <w:ind w:left="1440" w:hanging="360"/>
      </w:pPr>
      <w:rPr>
        <w:rFonts w:ascii="Arial" w:eastAsia="Times New Roman" w:hAnsi="Arial" w:cs="Aria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4D5A39E7"/>
    <w:multiLevelType w:val="hybridMultilevel"/>
    <w:tmpl w:val="1F6245DE"/>
    <w:lvl w:ilvl="0" w:tplc="CB3E7C88">
      <w:numFmt w:val="bullet"/>
      <w:lvlText w:val="-"/>
      <w:lvlJc w:val="left"/>
      <w:pPr>
        <w:ind w:left="1440" w:hanging="360"/>
      </w:pPr>
      <w:rPr>
        <w:rFonts w:ascii="Arial" w:eastAsia="Times New Roman" w:hAnsi="Arial" w:cs="Arial" w:hint="default"/>
        <w:color w:val="auto"/>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23"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26"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7" w15:restartNumberingAfterBreak="0">
    <w:nsid w:val="62CF5BCC"/>
    <w:multiLevelType w:val="multilevel"/>
    <w:tmpl w:val="DA8CB816"/>
    <w:lvl w:ilvl="0">
      <w:start w:val="1"/>
      <w:numFmt w:val="decimal"/>
      <w:pStyle w:val="2-SectionHeading"/>
      <w:lvlText w:val="%1"/>
      <w:lvlJc w:val="left"/>
      <w:pPr>
        <w:ind w:left="720" w:hanging="720"/>
      </w:pPr>
      <w:rPr>
        <w:rFonts w:hint="default"/>
        <w:b/>
      </w:rPr>
    </w:lvl>
    <w:lvl w:ilvl="1">
      <w:start w:val="1"/>
      <w:numFmt w:val="decimal"/>
      <w:pStyle w:val="ExecSum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A836E8B"/>
    <w:multiLevelType w:val="multilevel"/>
    <w:tmpl w:val="E9A063C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vanish w:val="0"/>
        <w:color w:val="auto"/>
        <w:spacing w:val="0"/>
        <w:kern w:val="0"/>
        <w:position w:val="0"/>
        <w:sz w:val="24"/>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D0D4E35"/>
    <w:multiLevelType w:val="hybridMultilevel"/>
    <w:tmpl w:val="8A7C4DAE"/>
    <w:lvl w:ilvl="0" w:tplc="A96E8B7C">
      <w:numFmt w:val="bullet"/>
      <w:lvlText w:val="-"/>
      <w:lvlJc w:val="left"/>
      <w:pPr>
        <w:ind w:left="1069" w:hanging="360"/>
      </w:pPr>
      <w:rPr>
        <w:rFonts w:ascii="Arial" w:eastAsia="Times New Roman" w:hAnsi="Arial" w:cs="Arial" w:hint="default"/>
        <w:i/>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3" w15:restartNumberingAfterBreak="0">
    <w:nsid w:val="6D122374"/>
    <w:multiLevelType w:val="hybridMultilevel"/>
    <w:tmpl w:val="B44A314A"/>
    <w:lvl w:ilvl="0" w:tplc="785C05E4">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8103EB6"/>
    <w:multiLevelType w:val="hybridMultilevel"/>
    <w:tmpl w:val="3DA08E3C"/>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36" w15:restartNumberingAfterBreak="0">
    <w:nsid w:val="784D033C"/>
    <w:multiLevelType w:val="multilevel"/>
    <w:tmpl w:val="072691BE"/>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Arial" w:hAnsi="Arial" w:cs="Arial" w:hint="default"/>
        <w:b w:val="0"/>
        <w:i w:val="0"/>
        <w:sz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B4A0C22"/>
    <w:multiLevelType w:val="multilevel"/>
    <w:tmpl w:val="9B1E4FD0"/>
    <w:lvl w:ilvl="0">
      <w:start w:val="6"/>
      <w:numFmt w:val="decimal"/>
      <w:lvlText w:val="%1"/>
      <w:lvlJc w:val="left"/>
      <w:pPr>
        <w:ind w:left="360" w:hanging="360"/>
      </w:pPr>
      <w:rPr>
        <w:rFonts w:hint="default"/>
        <w:i w:val="0"/>
      </w:rPr>
    </w:lvl>
    <w:lvl w:ilvl="1">
      <w:start w:val="1"/>
      <w:numFmt w:val="bullet"/>
      <w:lvlText w:val=""/>
      <w:lvlJc w:val="left"/>
      <w:pPr>
        <w:ind w:left="1070" w:hanging="360"/>
      </w:pPr>
      <w:rPr>
        <w:rFonts w:ascii="Symbol" w:hAnsi="Symbol"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9" w15:restartNumberingAfterBreak="0">
    <w:nsid w:val="7EF55792"/>
    <w:multiLevelType w:val="hybridMultilevel"/>
    <w:tmpl w:val="63286B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29"/>
  </w:num>
  <w:num w:numId="3">
    <w:abstractNumId w:val="28"/>
  </w:num>
  <w:num w:numId="4">
    <w:abstractNumId w:val="21"/>
  </w:num>
  <w:num w:numId="5">
    <w:abstractNumId w:val="11"/>
  </w:num>
  <w:num w:numId="6">
    <w:abstractNumId w:val="6"/>
  </w:num>
  <w:num w:numId="7">
    <w:abstractNumId w:val="30"/>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34"/>
  </w:num>
  <w:num w:numId="11">
    <w:abstractNumId w:val="23"/>
  </w:num>
  <w:num w:numId="12">
    <w:abstractNumId w:val="25"/>
  </w:num>
  <w:num w:numId="13">
    <w:abstractNumId w:val="7"/>
  </w:num>
  <w:num w:numId="14">
    <w:abstractNumId w:val="24"/>
  </w:num>
  <w:num w:numId="15">
    <w:abstractNumId w:val="26"/>
  </w:num>
  <w:num w:numId="16">
    <w:abstractNumId w:val="22"/>
  </w:num>
  <w:num w:numId="17">
    <w:abstractNumId w:val="38"/>
  </w:num>
  <w:num w:numId="18">
    <w:abstractNumId w:val="40"/>
  </w:num>
  <w:num w:numId="19">
    <w:abstractNumId w:val="5"/>
  </w:num>
  <w:num w:numId="20">
    <w:abstractNumId w:val="12"/>
  </w:num>
  <w:num w:numId="21">
    <w:abstractNumId w:val="14"/>
  </w:num>
  <w:num w:numId="22">
    <w:abstractNumId w:val="36"/>
  </w:num>
  <w:num w:numId="23">
    <w:abstractNumId w:val="4"/>
  </w:num>
  <w:num w:numId="24">
    <w:abstractNumId w:val="17"/>
  </w:num>
  <w:num w:numId="25">
    <w:abstractNumId w:val="10"/>
  </w:num>
  <w:num w:numId="26">
    <w:abstractNumId w:val="8"/>
  </w:num>
  <w:num w:numId="27">
    <w:abstractNumId w:val="19"/>
  </w:num>
  <w:num w:numId="28">
    <w:abstractNumId w:val="20"/>
  </w:num>
  <w:num w:numId="29">
    <w:abstractNumId w:val="18"/>
  </w:num>
  <w:num w:numId="30">
    <w:abstractNumId w:val="39"/>
  </w:num>
  <w:num w:numId="31">
    <w:abstractNumId w:val="15"/>
  </w:num>
  <w:num w:numId="32">
    <w:abstractNumId w:val="32"/>
  </w:num>
  <w:num w:numId="33">
    <w:abstractNumId w:val="37"/>
  </w:num>
  <w:num w:numId="34">
    <w:abstractNumId w:val="35"/>
  </w:num>
  <w:num w:numId="35">
    <w:abstractNumId w:val="3"/>
  </w:num>
  <w:num w:numId="36">
    <w:abstractNumId w:val="33"/>
  </w:num>
  <w:num w:numId="37">
    <w:abstractNumId w:val="2"/>
  </w:num>
  <w:num w:numId="38">
    <w:abstractNumId w:val="16"/>
  </w:num>
  <w:num w:numId="39">
    <w:abstractNumId w:val="1"/>
  </w:num>
  <w:num w:numId="40">
    <w:abstractNumId w:val="27"/>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2AF"/>
    <w:rsid w:val="00010379"/>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2BF5"/>
    <w:rsid w:val="0002300F"/>
    <w:rsid w:val="0002305C"/>
    <w:rsid w:val="00023228"/>
    <w:rsid w:val="00023817"/>
    <w:rsid w:val="0002401C"/>
    <w:rsid w:val="00024248"/>
    <w:rsid w:val="000245BC"/>
    <w:rsid w:val="0002470A"/>
    <w:rsid w:val="0002564D"/>
    <w:rsid w:val="00025967"/>
    <w:rsid w:val="00025F56"/>
    <w:rsid w:val="0002716D"/>
    <w:rsid w:val="00027346"/>
    <w:rsid w:val="00030320"/>
    <w:rsid w:val="00030A49"/>
    <w:rsid w:val="00031946"/>
    <w:rsid w:val="000322EC"/>
    <w:rsid w:val="00032AB9"/>
    <w:rsid w:val="00033D0B"/>
    <w:rsid w:val="00034086"/>
    <w:rsid w:val="00034121"/>
    <w:rsid w:val="000350A9"/>
    <w:rsid w:val="00035472"/>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5EE7"/>
    <w:rsid w:val="0005661F"/>
    <w:rsid w:val="00057006"/>
    <w:rsid w:val="000575B4"/>
    <w:rsid w:val="000601EA"/>
    <w:rsid w:val="000603CB"/>
    <w:rsid w:val="0006084C"/>
    <w:rsid w:val="000608FE"/>
    <w:rsid w:val="000614F6"/>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8AC"/>
    <w:rsid w:val="00072F02"/>
    <w:rsid w:val="00074126"/>
    <w:rsid w:val="0007567B"/>
    <w:rsid w:val="00075B7E"/>
    <w:rsid w:val="00076287"/>
    <w:rsid w:val="00076297"/>
    <w:rsid w:val="00077F45"/>
    <w:rsid w:val="00080510"/>
    <w:rsid w:val="00081153"/>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455"/>
    <w:rsid w:val="000B1811"/>
    <w:rsid w:val="000B1A6E"/>
    <w:rsid w:val="000B21DD"/>
    <w:rsid w:val="000B2F97"/>
    <w:rsid w:val="000B3043"/>
    <w:rsid w:val="000B34FA"/>
    <w:rsid w:val="000B3688"/>
    <w:rsid w:val="000B36FE"/>
    <w:rsid w:val="000B372D"/>
    <w:rsid w:val="000B38D3"/>
    <w:rsid w:val="000B5120"/>
    <w:rsid w:val="000B5B24"/>
    <w:rsid w:val="000B6487"/>
    <w:rsid w:val="000B7A91"/>
    <w:rsid w:val="000B7F45"/>
    <w:rsid w:val="000C040A"/>
    <w:rsid w:val="000C0497"/>
    <w:rsid w:val="000C0E21"/>
    <w:rsid w:val="000C1BA1"/>
    <w:rsid w:val="000C219D"/>
    <w:rsid w:val="000C22B0"/>
    <w:rsid w:val="000C2786"/>
    <w:rsid w:val="000C3369"/>
    <w:rsid w:val="000C3CAA"/>
    <w:rsid w:val="000C45E3"/>
    <w:rsid w:val="000C56B4"/>
    <w:rsid w:val="000C586F"/>
    <w:rsid w:val="000C5B48"/>
    <w:rsid w:val="000C661A"/>
    <w:rsid w:val="000C77A9"/>
    <w:rsid w:val="000D0990"/>
    <w:rsid w:val="000D0D8B"/>
    <w:rsid w:val="000D14F1"/>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E84"/>
    <w:rsid w:val="000E21D8"/>
    <w:rsid w:val="000E2C73"/>
    <w:rsid w:val="000E2C8F"/>
    <w:rsid w:val="000E2EA3"/>
    <w:rsid w:val="000E4B3E"/>
    <w:rsid w:val="000E539F"/>
    <w:rsid w:val="000E6CF9"/>
    <w:rsid w:val="000E73BD"/>
    <w:rsid w:val="000F069C"/>
    <w:rsid w:val="000F0B27"/>
    <w:rsid w:val="000F1D4F"/>
    <w:rsid w:val="000F26BE"/>
    <w:rsid w:val="000F2E82"/>
    <w:rsid w:val="000F305F"/>
    <w:rsid w:val="000F3A4F"/>
    <w:rsid w:val="000F3D50"/>
    <w:rsid w:val="000F5D35"/>
    <w:rsid w:val="000F5DDE"/>
    <w:rsid w:val="000F7390"/>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B4C"/>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2B0"/>
    <w:rsid w:val="00150381"/>
    <w:rsid w:val="0015080E"/>
    <w:rsid w:val="00151705"/>
    <w:rsid w:val="00151C88"/>
    <w:rsid w:val="00151D35"/>
    <w:rsid w:val="00152387"/>
    <w:rsid w:val="00152A0C"/>
    <w:rsid w:val="00153424"/>
    <w:rsid w:val="0015395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0636"/>
    <w:rsid w:val="001B1577"/>
    <w:rsid w:val="001B16C3"/>
    <w:rsid w:val="001B1838"/>
    <w:rsid w:val="001B1C67"/>
    <w:rsid w:val="001B2234"/>
    <w:rsid w:val="001B3984"/>
    <w:rsid w:val="001B3FE9"/>
    <w:rsid w:val="001B46AE"/>
    <w:rsid w:val="001B5009"/>
    <w:rsid w:val="001B54F0"/>
    <w:rsid w:val="001B5950"/>
    <w:rsid w:val="001B6AAD"/>
    <w:rsid w:val="001B71B5"/>
    <w:rsid w:val="001B78E2"/>
    <w:rsid w:val="001B7BF2"/>
    <w:rsid w:val="001B7EED"/>
    <w:rsid w:val="001C0289"/>
    <w:rsid w:val="001C181C"/>
    <w:rsid w:val="001C27AF"/>
    <w:rsid w:val="001C3033"/>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92F"/>
    <w:rsid w:val="001E0947"/>
    <w:rsid w:val="001E152C"/>
    <w:rsid w:val="001E24EA"/>
    <w:rsid w:val="001E25FF"/>
    <w:rsid w:val="001E35D6"/>
    <w:rsid w:val="001E411C"/>
    <w:rsid w:val="001E47B8"/>
    <w:rsid w:val="001E5979"/>
    <w:rsid w:val="001E5C38"/>
    <w:rsid w:val="001E70C9"/>
    <w:rsid w:val="001E776D"/>
    <w:rsid w:val="001E77D9"/>
    <w:rsid w:val="001E79E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5C7C"/>
    <w:rsid w:val="002060A5"/>
    <w:rsid w:val="002068F5"/>
    <w:rsid w:val="002070E4"/>
    <w:rsid w:val="0020721C"/>
    <w:rsid w:val="002072C3"/>
    <w:rsid w:val="00207813"/>
    <w:rsid w:val="0020790A"/>
    <w:rsid w:val="00207E86"/>
    <w:rsid w:val="00210594"/>
    <w:rsid w:val="00210F65"/>
    <w:rsid w:val="00212939"/>
    <w:rsid w:val="00212B8B"/>
    <w:rsid w:val="0021371C"/>
    <w:rsid w:val="002139E7"/>
    <w:rsid w:val="002144A1"/>
    <w:rsid w:val="002147A6"/>
    <w:rsid w:val="00214D4B"/>
    <w:rsid w:val="00214DAE"/>
    <w:rsid w:val="00215739"/>
    <w:rsid w:val="002157B5"/>
    <w:rsid w:val="00216869"/>
    <w:rsid w:val="0021720D"/>
    <w:rsid w:val="0022016A"/>
    <w:rsid w:val="00220F03"/>
    <w:rsid w:val="00221057"/>
    <w:rsid w:val="002212CB"/>
    <w:rsid w:val="00221B4C"/>
    <w:rsid w:val="002226A9"/>
    <w:rsid w:val="0022277E"/>
    <w:rsid w:val="00223034"/>
    <w:rsid w:val="00223614"/>
    <w:rsid w:val="002238E6"/>
    <w:rsid w:val="00225002"/>
    <w:rsid w:val="00225CB8"/>
    <w:rsid w:val="00226E88"/>
    <w:rsid w:val="00226F8B"/>
    <w:rsid w:val="0022715D"/>
    <w:rsid w:val="00230AF7"/>
    <w:rsid w:val="00230B76"/>
    <w:rsid w:val="00231068"/>
    <w:rsid w:val="00231F8F"/>
    <w:rsid w:val="00234FCD"/>
    <w:rsid w:val="00234FD9"/>
    <w:rsid w:val="00236374"/>
    <w:rsid w:val="0023698B"/>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50D8"/>
    <w:rsid w:val="00256078"/>
    <w:rsid w:val="002564FB"/>
    <w:rsid w:val="00257615"/>
    <w:rsid w:val="0026049B"/>
    <w:rsid w:val="00260EFA"/>
    <w:rsid w:val="00261377"/>
    <w:rsid w:val="00261EFF"/>
    <w:rsid w:val="00262160"/>
    <w:rsid w:val="00262814"/>
    <w:rsid w:val="002629E0"/>
    <w:rsid w:val="00262E2E"/>
    <w:rsid w:val="00263457"/>
    <w:rsid w:val="00263EF4"/>
    <w:rsid w:val="00264A64"/>
    <w:rsid w:val="00265FE9"/>
    <w:rsid w:val="0026773E"/>
    <w:rsid w:val="0027218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922"/>
    <w:rsid w:val="00281B0A"/>
    <w:rsid w:val="00282CDE"/>
    <w:rsid w:val="00283073"/>
    <w:rsid w:val="0028348A"/>
    <w:rsid w:val="00285478"/>
    <w:rsid w:val="0028663C"/>
    <w:rsid w:val="00287C89"/>
    <w:rsid w:val="002905B5"/>
    <w:rsid w:val="002911D8"/>
    <w:rsid w:val="00293203"/>
    <w:rsid w:val="0029329A"/>
    <w:rsid w:val="00293A15"/>
    <w:rsid w:val="00295693"/>
    <w:rsid w:val="0029583F"/>
    <w:rsid w:val="002960C3"/>
    <w:rsid w:val="002969C0"/>
    <w:rsid w:val="002971A5"/>
    <w:rsid w:val="002972D4"/>
    <w:rsid w:val="00297AEF"/>
    <w:rsid w:val="00297F02"/>
    <w:rsid w:val="002A06E1"/>
    <w:rsid w:val="002A21E8"/>
    <w:rsid w:val="002A3220"/>
    <w:rsid w:val="002A3596"/>
    <w:rsid w:val="002A3AA9"/>
    <w:rsid w:val="002A58F4"/>
    <w:rsid w:val="002A5AA2"/>
    <w:rsid w:val="002A5C85"/>
    <w:rsid w:val="002A5C87"/>
    <w:rsid w:val="002A5D50"/>
    <w:rsid w:val="002A5DE5"/>
    <w:rsid w:val="002A7542"/>
    <w:rsid w:val="002A7BE8"/>
    <w:rsid w:val="002B09C6"/>
    <w:rsid w:val="002B0F52"/>
    <w:rsid w:val="002B1071"/>
    <w:rsid w:val="002B129B"/>
    <w:rsid w:val="002B29E2"/>
    <w:rsid w:val="002B3708"/>
    <w:rsid w:val="002B4D46"/>
    <w:rsid w:val="002B5625"/>
    <w:rsid w:val="002B5F9C"/>
    <w:rsid w:val="002B6147"/>
    <w:rsid w:val="002B6A6F"/>
    <w:rsid w:val="002C0170"/>
    <w:rsid w:val="002C0E18"/>
    <w:rsid w:val="002C2427"/>
    <w:rsid w:val="002C2773"/>
    <w:rsid w:val="002C2A4F"/>
    <w:rsid w:val="002C3502"/>
    <w:rsid w:val="002C397B"/>
    <w:rsid w:val="002C3BA0"/>
    <w:rsid w:val="002C436C"/>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0FD6"/>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723"/>
    <w:rsid w:val="002F4CA2"/>
    <w:rsid w:val="002F51B3"/>
    <w:rsid w:val="002F527B"/>
    <w:rsid w:val="002F5306"/>
    <w:rsid w:val="002F5570"/>
    <w:rsid w:val="002F5792"/>
    <w:rsid w:val="002F5C9A"/>
    <w:rsid w:val="002F6254"/>
    <w:rsid w:val="002F6432"/>
    <w:rsid w:val="002F64A0"/>
    <w:rsid w:val="002F69EB"/>
    <w:rsid w:val="002F6D11"/>
    <w:rsid w:val="002F6FC4"/>
    <w:rsid w:val="002F7255"/>
    <w:rsid w:val="00300450"/>
    <w:rsid w:val="003005AA"/>
    <w:rsid w:val="00300EA5"/>
    <w:rsid w:val="003022B8"/>
    <w:rsid w:val="003023C4"/>
    <w:rsid w:val="003023EB"/>
    <w:rsid w:val="003026B9"/>
    <w:rsid w:val="00302C73"/>
    <w:rsid w:val="003035B2"/>
    <w:rsid w:val="00303733"/>
    <w:rsid w:val="00303A2F"/>
    <w:rsid w:val="00303C94"/>
    <w:rsid w:val="00304BF7"/>
    <w:rsid w:val="00304FE8"/>
    <w:rsid w:val="0030527B"/>
    <w:rsid w:val="00305FA4"/>
    <w:rsid w:val="00310359"/>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353"/>
    <w:rsid w:val="0033063D"/>
    <w:rsid w:val="00331DCA"/>
    <w:rsid w:val="00332129"/>
    <w:rsid w:val="0033322F"/>
    <w:rsid w:val="00334912"/>
    <w:rsid w:val="00335779"/>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545"/>
    <w:rsid w:val="0034782B"/>
    <w:rsid w:val="00347C46"/>
    <w:rsid w:val="00350DDB"/>
    <w:rsid w:val="00351A7F"/>
    <w:rsid w:val="003525C0"/>
    <w:rsid w:val="0035262D"/>
    <w:rsid w:val="00352CFB"/>
    <w:rsid w:val="00352F20"/>
    <w:rsid w:val="003530B9"/>
    <w:rsid w:val="00353798"/>
    <w:rsid w:val="003541D1"/>
    <w:rsid w:val="003548D7"/>
    <w:rsid w:val="003548F0"/>
    <w:rsid w:val="00354D94"/>
    <w:rsid w:val="003550C7"/>
    <w:rsid w:val="003566E9"/>
    <w:rsid w:val="00357214"/>
    <w:rsid w:val="0035791D"/>
    <w:rsid w:val="00360CBD"/>
    <w:rsid w:val="00361072"/>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360"/>
    <w:rsid w:val="0037737B"/>
    <w:rsid w:val="003777B8"/>
    <w:rsid w:val="00377BAD"/>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5B97"/>
    <w:rsid w:val="00397572"/>
    <w:rsid w:val="003A074E"/>
    <w:rsid w:val="003A1CFF"/>
    <w:rsid w:val="003A2BB7"/>
    <w:rsid w:val="003A312D"/>
    <w:rsid w:val="003A4AB4"/>
    <w:rsid w:val="003A4C61"/>
    <w:rsid w:val="003A546F"/>
    <w:rsid w:val="003A5524"/>
    <w:rsid w:val="003A565B"/>
    <w:rsid w:val="003A5C29"/>
    <w:rsid w:val="003A5DEB"/>
    <w:rsid w:val="003A5F75"/>
    <w:rsid w:val="003A60C6"/>
    <w:rsid w:val="003A61D4"/>
    <w:rsid w:val="003A6240"/>
    <w:rsid w:val="003A648B"/>
    <w:rsid w:val="003A6A14"/>
    <w:rsid w:val="003A723C"/>
    <w:rsid w:val="003A72E4"/>
    <w:rsid w:val="003A7535"/>
    <w:rsid w:val="003A7616"/>
    <w:rsid w:val="003A799B"/>
    <w:rsid w:val="003A7D18"/>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2CC"/>
    <w:rsid w:val="003D7D05"/>
    <w:rsid w:val="003E03C3"/>
    <w:rsid w:val="003E067B"/>
    <w:rsid w:val="003E11A4"/>
    <w:rsid w:val="003E1AD1"/>
    <w:rsid w:val="003E230A"/>
    <w:rsid w:val="003E236D"/>
    <w:rsid w:val="003E2E8C"/>
    <w:rsid w:val="003E3009"/>
    <w:rsid w:val="003E308A"/>
    <w:rsid w:val="003E367A"/>
    <w:rsid w:val="003E37A4"/>
    <w:rsid w:val="003E4136"/>
    <w:rsid w:val="003E4E45"/>
    <w:rsid w:val="003E61CB"/>
    <w:rsid w:val="003E7AFC"/>
    <w:rsid w:val="003E7C04"/>
    <w:rsid w:val="003E7FDA"/>
    <w:rsid w:val="003F01F7"/>
    <w:rsid w:val="003F0570"/>
    <w:rsid w:val="003F0D15"/>
    <w:rsid w:val="003F1283"/>
    <w:rsid w:val="003F13F6"/>
    <w:rsid w:val="003F1722"/>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087"/>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CB0"/>
    <w:rsid w:val="00417FB8"/>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331"/>
    <w:rsid w:val="00443561"/>
    <w:rsid w:val="00443591"/>
    <w:rsid w:val="00444C04"/>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228"/>
    <w:rsid w:val="00453DB2"/>
    <w:rsid w:val="00453F45"/>
    <w:rsid w:val="00454D4D"/>
    <w:rsid w:val="00454F1D"/>
    <w:rsid w:val="00455817"/>
    <w:rsid w:val="00455982"/>
    <w:rsid w:val="00455AE4"/>
    <w:rsid w:val="00457034"/>
    <w:rsid w:val="00457BAA"/>
    <w:rsid w:val="00460981"/>
    <w:rsid w:val="004609DE"/>
    <w:rsid w:val="00461DC0"/>
    <w:rsid w:val="004628F0"/>
    <w:rsid w:val="00462D54"/>
    <w:rsid w:val="00462D63"/>
    <w:rsid w:val="00463886"/>
    <w:rsid w:val="00464F36"/>
    <w:rsid w:val="0046568B"/>
    <w:rsid w:val="004659F0"/>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6F8F"/>
    <w:rsid w:val="004772FF"/>
    <w:rsid w:val="0048048A"/>
    <w:rsid w:val="00481705"/>
    <w:rsid w:val="00481966"/>
    <w:rsid w:val="00481DF9"/>
    <w:rsid w:val="00482044"/>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004"/>
    <w:rsid w:val="0049239D"/>
    <w:rsid w:val="004925C9"/>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77"/>
    <w:rsid w:val="004B17CE"/>
    <w:rsid w:val="004B1903"/>
    <w:rsid w:val="004B1A9C"/>
    <w:rsid w:val="004B1B15"/>
    <w:rsid w:val="004B1CB3"/>
    <w:rsid w:val="004B2241"/>
    <w:rsid w:val="004B27D6"/>
    <w:rsid w:val="004B2EBB"/>
    <w:rsid w:val="004B36DF"/>
    <w:rsid w:val="004B3C81"/>
    <w:rsid w:val="004B47F4"/>
    <w:rsid w:val="004B4E4F"/>
    <w:rsid w:val="004B50CC"/>
    <w:rsid w:val="004B5825"/>
    <w:rsid w:val="004B6415"/>
    <w:rsid w:val="004B64FA"/>
    <w:rsid w:val="004B758A"/>
    <w:rsid w:val="004B7F9F"/>
    <w:rsid w:val="004C06CE"/>
    <w:rsid w:val="004C099B"/>
    <w:rsid w:val="004C0BAC"/>
    <w:rsid w:val="004C0DB4"/>
    <w:rsid w:val="004C16F5"/>
    <w:rsid w:val="004C33E8"/>
    <w:rsid w:val="004C4A96"/>
    <w:rsid w:val="004C4E5F"/>
    <w:rsid w:val="004C54F7"/>
    <w:rsid w:val="004C5875"/>
    <w:rsid w:val="004C5F28"/>
    <w:rsid w:val="004C6997"/>
    <w:rsid w:val="004C6CDB"/>
    <w:rsid w:val="004C723F"/>
    <w:rsid w:val="004C7A44"/>
    <w:rsid w:val="004C7C36"/>
    <w:rsid w:val="004C7D16"/>
    <w:rsid w:val="004D0132"/>
    <w:rsid w:val="004D080F"/>
    <w:rsid w:val="004D185E"/>
    <w:rsid w:val="004D29F9"/>
    <w:rsid w:val="004D4B61"/>
    <w:rsid w:val="004D606D"/>
    <w:rsid w:val="004D6B20"/>
    <w:rsid w:val="004D6C2F"/>
    <w:rsid w:val="004D71FE"/>
    <w:rsid w:val="004D72CE"/>
    <w:rsid w:val="004D7A80"/>
    <w:rsid w:val="004D7CA3"/>
    <w:rsid w:val="004E0388"/>
    <w:rsid w:val="004E0894"/>
    <w:rsid w:val="004E135A"/>
    <w:rsid w:val="004E1C50"/>
    <w:rsid w:val="004E20EE"/>
    <w:rsid w:val="004E23BB"/>
    <w:rsid w:val="004E251F"/>
    <w:rsid w:val="004E2B23"/>
    <w:rsid w:val="004E3390"/>
    <w:rsid w:val="004E416F"/>
    <w:rsid w:val="004E424D"/>
    <w:rsid w:val="004E5F45"/>
    <w:rsid w:val="004E64DC"/>
    <w:rsid w:val="004E6F86"/>
    <w:rsid w:val="004E706A"/>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286"/>
    <w:rsid w:val="00503F42"/>
    <w:rsid w:val="00504605"/>
    <w:rsid w:val="00505378"/>
    <w:rsid w:val="00505A66"/>
    <w:rsid w:val="00506576"/>
    <w:rsid w:val="00506710"/>
    <w:rsid w:val="00506E86"/>
    <w:rsid w:val="0050702C"/>
    <w:rsid w:val="0050723E"/>
    <w:rsid w:val="00507403"/>
    <w:rsid w:val="00507430"/>
    <w:rsid w:val="005101E5"/>
    <w:rsid w:val="00511D75"/>
    <w:rsid w:val="00511FF2"/>
    <w:rsid w:val="00512232"/>
    <w:rsid w:val="00513B7E"/>
    <w:rsid w:val="00514597"/>
    <w:rsid w:val="005150AB"/>
    <w:rsid w:val="0051769B"/>
    <w:rsid w:val="0052052F"/>
    <w:rsid w:val="00520571"/>
    <w:rsid w:val="00522C8A"/>
    <w:rsid w:val="00523AF8"/>
    <w:rsid w:val="00523F57"/>
    <w:rsid w:val="00523F8F"/>
    <w:rsid w:val="005248F8"/>
    <w:rsid w:val="00524E1E"/>
    <w:rsid w:val="0052565F"/>
    <w:rsid w:val="00526E9C"/>
    <w:rsid w:val="005278F8"/>
    <w:rsid w:val="005300ED"/>
    <w:rsid w:val="00531706"/>
    <w:rsid w:val="00532121"/>
    <w:rsid w:val="00532429"/>
    <w:rsid w:val="00532850"/>
    <w:rsid w:val="005328A9"/>
    <w:rsid w:val="00532C7A"/>
    <w:rsid w:val="005331D3"/>
    <w:rsid w:val="005332FA"/>
    <w:rsid w:val="005335ED"/>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5BEC"/>
    <w:rsid w:val="005468A5"/>
    <w:rsid w:val="00546A1D"/>
    <w:rsid w:val="00546C8E"/>
    <w:rsid w:val="00546CB9"/>
    <w:rsid w:val="00546E83"/>
    <w:rsid w:val="00547725"/>
    <w:rsid w:val="00550292"/>
    <w:rsid w:val="005506E5"/>
    <w:rsid w:val="00551309"/>
    <w:rsid w:val="00552426"/>
    <w:rsid w:val="00552F1A"/>
    <w:rsid w:val="0055363B"/>
    <w:rsid w:val="00553693"/>
    <w:rsid w:val="005536D5"/>
    <w:rsid w:val="00553934"/>
    <w:rsid w:val="00553B71"/>
    <w:rsid w:val="00554C4D"/>
    <w:rsid w:val="00555C08"/>
    <w:rsid w:val="00556A43"/>
    <w:rsid w:val="0056087F"/>
    <w:rsid w:val="0056121A"/>
    <w:rsid w:val="00562195"/>
    <w:rsid w:val="0056261D"/>
    <w:rsid w:val="00562918"/>
    <w:rsid w:val="00563269"/>
    <w:rsid w:val="00564643"/>
    <w:rsid w:val="00564772"/>
    <w:rsid w:val="00566518"/>
    <w:rsid w:val="005669DA"/>
    <w:rsid w:val="00567613"/>
    <w:rsid w:val="00571640"/>
    <w:rsid w:val="00571902"/>
    <w:rsid w:val="0057194C"/>
    <w:rsid w:val="00571984"/>
    <w:rsid w:val="005720AF"/>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4FB"/>
    <w:rsid w:val="00582686"/>
    <w:rsid w:val="005829C4"/>
    <w:rsid w:val="00582D45"/>
    <w:rsid w:val="00582E8D"/>
    <w:rsid w:val="005860BC"/>
    <w:rsid w:val="00587129"/>
    <w:rsid w:val="005879CE"/>
    <w:rsid w:val="0059000C"/>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252B"/>
    <w:rsid w:val="005A3B39"/>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1FB0"/>
    <w:rsid w:val="005B2564"/>
    <w:rsid w:val="005B2E53"/>
    <w:rsid w:val="005B2F26"/>
    <w:rsid w:val="005B389B"/>
    <w:rsid w:val="005B4B88"/>
    <w:rsid w:val="005B4C25"/>
    <w:rsid w:val="005B52D8"/>
    <w:rsid w:val="005B57E9"/>
    <w:rsid w:val="005B5DAD"/>
    <w:rsid w:val="005B659A"/>
    <w:rsid w:val="005B65CA"/>
    <w:rsid w:val="005B79C6"/>
    <w:rsid w:val="005C04C0"/>
    <w:rsid w:val="005C0912"/>
    <w:rsid w:val="005C1B46"/>
    <w:rsid w:val="005C1F7E"/>
    <w:rsid w:val="005C2057"/>
    <w:rsid w:val="005C20A0"/>
    <w:rsid w:val="005C2EF2"/>
    <w:rsid w:val="005C3AE2"/>
    <w:rsid w:val="005C3CB3"/>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2EC"/>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3AAF"/>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2E8"/>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1B17"/>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37EA"/>
    <w:rsid w:val="006348ED"/>
    <w:rsid w:val="00635EFB"/>
    <w:rsid w:val="00636A18"/>
    <w:rsid w:val="00636C52"/>
    <w:rsid w:val="0063771E"/>
    <w:rsid w:val="006406A6"/>
    <w:rsid w:val="00640A5A"/>
    <w:rsid w:val="00640C80"/>
    <w:rsid w:val="00640E6C"/>
    <w:rsid w:val="00642351"/>
    <w:rsid w:val="006424F7"/>
    <w:rsid w:val="00642A2C"/>
    <w:rsid w:val="00642C32"/>
    <w:rsid w:val="006433D0"/>
    <w:rsid w:val="00643467"/>
    <w:rsid w:val="00643A31"/>
    <w:rsid w:val="00643AAE"/>
    <w:rsid w:val="00644A9F"/>
    <w:rsid w:val="00646BA0"/>
    <w:rsid w:val="00646F54"/>
    <w:rsid w:val="0065002D"/>
    <w:rsid w:val="00650254"/>
    <w:rsid w:val="006502BB"/>
    <w:rsid w:val="006515EF"/>
    <w:rsid w:val="0065234B"/>
    <w:rsid w:val="006530E2"/>
    <w:rsid w:val="006535DE"/>
    <w:rsid w:val="0065453F"/>
    <w:rsid w:val="00654758"/>
    <w:rsid w:val="006563FC"/>
    <w:rsid w:val="00656EAE"/>
    <w:rsid w:val="00657344"/>
    <w:rsid w:val="006602CF"/>
    <w:rsid w:val="00660FB0"/>
    <w:rsid w:val="00661356"/>
    <w:rsid w:val="00662399"/>
    <w:rsid w:val="006628D0"/>
    <w:rsid w:val="00664A30"/>
    <w:rsid w:val="00664B40"/>
    <w:rsid w:val="006652FD"/>
    <w:rsid w:val="00665679"/>
    <w:rsid w:val="0066568C"/>
    <w:rsid w:val="0066590A"/>
    <w:rsid w:val="00665DB7"/>
    <w:rsid w:val="00666370"/>
    <w:rsid w:val="0066646F"/>
    <w:rsid w:val="00666775"/>
    <w:rsid w:val="00666A5B"/>
    <w:rsid w:val="00670EFB"/>
    <w:rsid w:val="00671380"/>
    <w:rsid w:val="006713F9"/>
    <w:rsid w:val="00672F3E"/>
    <w:rsid w:val="00673BF2"/>
    <w:rsid w:val="00673C58"/>
    <w:rsid w:val="0067494B"/>
    <w:rsid w:val="00674DB0"/>
    <w:rsid w:val="00675296"/>
    <w:rsid w:val="00675ABF"/>
    <w:rsid w:val="006766B8"/>
    <w:rsid w:val="00677143"/>
    <w:rsid w:val="006807E1"/>
    <w:rsid w:val="00680DE4"/>
    <w:rsid w:val="0068116A"/>
    <w:rsid w:val="006823D9"/>
    <w:rsid w:val="00682434"/>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89F"/>
    <w:rsid w:val="006A7EA3"/>
    <w:rsid w:val="006B022C"/>
    <w:rsid w:val="006B06A5"/>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2506"/>
    <w:rsid w:val="006C2952"/>
    <w:rsid w:val="006C348B"/>
    <w:rsid w:val="006C34C1"/>
    <w:rsid w:val="006C374C"/>
    <w:rsid w:val="006C4E73"/>
    <w:rsid w:val="006C4EB7"/>
    <w:rsid w:val="006C5014"/>
    <w:rsid w:val="006C565B"/>
    <w:rsid w:val="006C5D35"/>
    <w:rsid w:val="006C75FA"/>
    <w:rsid w:val="006C7FAC"/>
    <w:rsid w:val="006D002D"/>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3415"/>
    <w:rsid w:val="006E3962"/>
    <w:rsid w:val="006E464C"/>
    <w:rsid w:val="006E4970"/>
    <w:rsid w:val="006E4A6B"/>
    <w:rsid w:val="006E4CCB"/>
    <w:rsid w:val="006E4CCC"/>
    <w:rsid w:val="006E516B"/>
    <w:rsid w:val="006E64FC"/>
    <w:rsid w:val="006E6536"/>
    <w:rsid w:val="006E78A4"/>
    <w:rsid w:val="006E7A04"/>
    <w:rsid w:val="006F065D"/>
    <w:rsid w:val="006F0C10"/>
    <w:rsid w:val="006F29B4"/>
    <w:rsid w:val="006F6D3E"/>
    <w:rsid w:val="006F6DDA"/>
    <w:rsid w:val="006F7041"/>
    <w:rsid w:val="006F726F"/>
    <w:rsid w:val="0070068B"/>
    <w:rsid w:val="00700990"/>
    <w:rsid w:val="00700CF4"/>
    <w:rsid w:val="007016BE"/>
    <w:rsid w:val="007025A3"/>
    <w:rsid w:val="007030B9"/>
    <w:rsid w:val="00703181"/>
    <w:rsid w:val="007042E7"/>
    <w:rsid w:val="007044EC"/>
    <w:rsid w:val="00704571"/>
    <w:rsid w:val="007048F0"/>
    <w:rsid w:val="00705362"/>
    <w:rsid w:val="0070604E"/>
    <w:rsid w:val="0070718C"/>
    <w:rsid w:val="00711526"/>
    <w:rsid w:val="0071165C"/>
    <w:rsid w:val="00711CAD"/>
    <w:rsid w:val="00711E70"/>
    <w:rsid w:val="0071201B"/>
    <w:rsid w:val="0071356F"/>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66C"/>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5E8"/>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4771E"/>
    <w:rsid w:val="00751097"/>
    <w:rsid w:val="00751E1F"/>
    <w:rsid w:val="0075296E"/>
    <w:rsid w:val="00752F33"/>
    <w:rsid w:val="0075319C"/>
    <w:rsid w:val="007531A5"/>
    <w:rsid w:val="007535E3"/>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B0E"/>
    <w:rsid w:val="00781689"/>
    <w:rsid w:val="00782394"/>
    <w:rsid w:val="00782848"/>
    <w:rsid w:val="007829B1"/>
    <w:rsid w:val="00783873"/>
    <w:rsid w:val="007847D1"/>
    <w:rsid w:val="00784924"/>
    <w:rsid w:val="00785B0C"/>
    <w:rsid w:val="00785D82"/>
    <w:rsid w:val="0078647B"/>
    <w:rsid w:val="00786ED4"/>
    <w:rsid w:val="0078716F"/>
    <w:rsid w:val="007873C8"/>
    <w:rsid w:val="0078793D"/>
    <w:rsid w:val="00790F50"/>
    <w:rsid w:val="00791374"/>
    <w:rsid w:val="0079263D"/>
    <w:rsid w:val="00792B66"/>
    <w:rsid w:val="0079352C"/>
    <w:rsid w:val="00793B34"/>
    <w:rsid w:val="00793B84"/>
    <w:rsid w:val="00793D87"/>
    <w:rsid w:val="00794795"/>
    <w:rsid w:val="007949E6"/>
    <w:rsid w:val="00794CC2"/>
    <w:rsid w:val="00794D98"/>
    <w:rsid w:val="00794F29"/>
    <w:rsid w:val="00795A2A"/>
    <w:rsid w:val="007964B5"/>
    <w:rsid w:val="007972FB"/>
    <w:rsid w:val="007977AD"/>
    <w:rsid w:val="007A02BC"/>
    <w:rsid w:val="007A099F"/>
    <w:rsid w:val="007A0ADA"/>
    <w:rsid w:val="007A0F0F"/>
    <w:rsid w:val="007A16EB"/>
    <w:rsid w:val="007A26C4"/>
    <w:rsid w:val="007A2742"/>
    <w:rsid w:val="007A2F96"/>
    <w:rsid w:val="007A33C4"/>
    <w:rsid w:val="007A49D9"/>
    <w:rsid w:val="007A5620"/>
    <w:rsid w:val="007A7118"/>
    <w:rsid w:val="007B01E7"/>
    <w:rsid w:val="007B0810"/>
    <w:rsid w:val="007B104F"/>
    <w:rsid w:val="007B1418"/>
    <w:rsid w:val="007B1C29"/>
    <w:rsid w:val="007B2177"/>
    <w:rsid w:val="007B2FF1"/>
    <w:rsid w:val="007B3247"/>
    <w:rsid w:val="007B56E1"/>
    <w:rsid w:val="007B7BB1"/>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B04"/>
    <w:rsid w:val="007D6D6F"/>
    <w:rsid w:val="007D6E6D"/>
    <w:rsid w:val="007D6F5D"/>
    <w:rsid w:val="007D7604"/>
    <w:rsid w:val="007D7729"/>
    <w:rsid w:val="007D7AA9"/>
    <w:rsid w:val="007E075D"/>
    <w:rsid w:val="007E170B"/>
    <w:rsid w:val="007E18BA"/>
    <w:rsid w:val="007E18FA"/>
    <w:rsid w:val="007E1DF2"/>
    <w:rsid w:val="007E2888"/>
    <w:rsid w:val="007E2BA4"/>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0B5"/>
    <w:rsid w:val="007F10D0"/>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394"/>
    <w:rsid w:val="00824912"/>
    <w:rsid w:val="00824F1A"/>
    <w:rsid w:val="00825B07"/>
    <w:rsid w:val="008265E8"/>
    <w:rsid w:val="00826634"/>
    <w:rsid w:val="00826C0C"/>
    <w:rsid w:val="00827E75"/>
    <w:rsid w:val="00830810"/>
    <w:rsid w:val="008309CF"/>
    <w:rsid w:val="00830AF8"/>
    <w:rsid w:val="00830B5F"/>
    <w:rsid w:val="00830DC0"/>
    <w:rsid w:val="00831427"/>
    <w:rsid w:val="00831C09"/>
    <w:rsid w:val="00831C68"/>
    <w:rsid w:val="008322FB"/>
    <w:rsid w:val="0083272D"/>
    <w:rsid w:val="00832E6A"/>
    <w:rsid w:val="00833E4E"/>
    <w:rsid w:val="0083473D"/>
    <w:rsid w:val="00834AF4"/>
    <w:rsid w:val="00834BEC"/>
    <w:rsid w:val="00834D47"/>
    <w:rsid w:val="00834DC9"/>
    <w:rsid w:val="00835389"/>
    <w:rsid w:val="00835459"/>
    <w:rsid w:val="008356D1"/>
    <w:rsid w:val="008358DA"/>
    <w:rsid w:val="008373F3"/>
    <w:rsid w:val="00840350"/>
    <w:rsid w:val="00840409"/>
    <w:rsid w:val="0084055F"/>
    <w:rsid w:val="0084098C"/>
    <w:rsid w:val="008411FD"/>
    <w:rsid w:val="0084138C"/>
    <w:rsid w:val="00842584"/>
    <w:rsid w:val="008429DB"/>
    <w:rsid w:val="00842BA8"/>
    <w:rsid w:val="0084324E"/>
    <w:rsid w:val="00844B2A"/>
    <w:rsid w:val="00844ED2"/>
    <w:rsid w:val="0084562E"/>
    <w:rsid w:val="0084736D"/>
    <w:rsid w:val="008479BC"/>
    <w:rsid w:val="00847C79"/>
    <w:rsid w:val="00850A19"/>
    <w:rsid w:val="0085106C"/>
    <w:rsid w:val="008514EC"/>
    <w:rsid w:val="00851F31"/>
    <w:rsid w:val="0085233E"/>
    <w:rsid w:val="008524F7"/>
    <w:rsid w:val="00852A9A"/>
    <w:rsid w:val="008534FA"/>
    <w:rsid w:val="00853616"/>
    <w:rsid w:val="00853704"/>
    <w:rsid w:val="00853BEE"/>
    <w:rsid w:val="00853C23"/>
    <w:rsid w:val="00853EFD"/>
    <w:rsid w:val="00854069"/>
    <w:rsid w:val="0085413E"/>
    <w:rsid w:val="00854674"/>
    <w:rsid w:val="00854784"/>
    <w:rsid w:val="00854C8E"/>
    <w:rsid w:val="0085729A"/>
    <w:rsid w:val="008575ED"/>
    <w:rsid w:val="00857F3D"/>
    <w:rsid w:val="00860F08"/>
    <w:rsid w:val="008612F5"/>
    <w:rsid w:val="008616EF"/>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64B3"/>
    <w:rsid w:val="008A7E3B"/>
    <w:rsid w:val="008B0364"/>
    <w:rsid w:val="008B0379"/>
    <w:rsid w:val="008B0D70"/>
    <w:rsid w:val="008B0EA7"/>
    <w:rsid w:val="008B18C5"/>
    <w:rsid w:val="008B3AD4"/>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47B3"/>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2DD0"/>
    <w:rsid w:val="008E3455"/>
    <w:rsid w:val="008E3BFB"/>
    <w:rsid w:val="008E50BD"/>
    <w:rsid w:val="008E5755"/>
    <w:rsid w:val="008E5767"/>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691"/>
    <w:rsid w:val="009118B0"/>
    <w:rsid w:val="00912000"/>
    <w:rsid w:val="009124E6"/>
    <w:rsid w:val="00913944"/>
    <w:rsid w:val="00916440"/>
    <w:rsid w:val="00916748"/>
    <w:rsid w:val="00917332"/>
    <w:rsid w:val="009177FA"/>
    <w:rsid w:val="009202C5"/>
    <w:rsid w:val="00920773"/>
    <w:rsid w:val="009209C5"/>
    <w:rsid w:val="00921817"/>
    <w:rsid w:val="00922327"/>
    <w:rsid w:val="0092265F"/>
    <w:rsid w:val="00922F1A"/>
    <w:rsid w:val="0092359E"/>
    <w:rsid w:val="00923EA0"/>
    <w:rsid w:val="0092474D"/>
    <w:rsid w:val="0092598F"/>
    <w:rsid w:val="00925FF9"/>
    <w:rsid w:val="009277BD"/>
    <w:rsid w:val="00927BAA"/>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5766"/>
    <w:rsid w:val="009457AC"/>
    <w:rsid w:val="00945B1E"/>
    <w:rsid w:val="0094609D"/>
    <w:rsid w:val="00946484"/>
    <w:rsid w:val="00946970"/>
    <w:rsid w:val="00946B28"/>
    <w:rsid w:val="00947447"/>
    <w:rsid w:val="00947B1C"/>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0FF"/>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77A70"/>
    <w:rsid w:val="0098014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1A"/>
    <w:rsid w:val="009C4CFF"/>
    <w:rsid w:val="009C5961"/>
    <w:rsid w:val="009C76A3"/>
    <w:rsid w:val="009C79E5"/>
    <w:rsid w:val="009C7ACB"/>
    <w:rsid w:val="009C7C85"/>
    <w:rsid w:val="009D03F6"/>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6ECC"/>
    <w:rsid w:val="00A175A7"/>
    <w:rsid w:val="00A20573"/>
    <w:rsid w:val="00A207FA"/>
    <w:rsid w:val="00A20C94"/>
    <w:rsid w:val="00A21C4C"/>
    <w:rsid w:val="00A220B7"/>
    <w:rsid w:val="00A227D6"/>
    <w:rsid w:val="00A227E7"/>
    <w:rsid w:val="00A22A71"/>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2AD8"/>
    <w:rsid w:val="00A43813"/>
    <w:rsid w:val="00A43D47"/>
    <w:rsid w:val="00A440A6"/>
    <w:rsid w:val="00A45B00"/>
    <w:rsid w:val="00A4618D"/>
    <w:rsid w:val="00A464E1"/>
    <w:rsid w:val="00A46C4E"/>
    <w:rsid w:val="00A46D95"/>
    <w:rsid w:val="00A47081"/>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7F2A"/>
    <w:rsid w:val="00A71CDE"/>
    <w:rsid w:val="00A7252E"/>
    <w:rsid w:val="00A72BBC"/>
    <w:rsid w:val="00A72E18"/>
    <w:rsid w:val="00A730F3"/>
    <w:rsid w:val="00A74BE6"/>
    <w:rsid w:val="00A7557C"/>
    <w:rsid w:val="00A758A4"/>
    <w:rsid w:val="00A75BA0"/>
    <w:rsid w:val="00A768A2"/>
    <w:rsid w:val="00A76A55"/>
    <w:rsid w:val="00A773B4"/>
    <w:rsid w:val="00A80948"/>
    <w:rsid w:val="00A81811"/>
    <w:rsid w:val="00A833A3"/>
    <w:rsid w:val="00A835E5"/>
    <w:rsid w:val="00A83768"/>
    <w:rsid w:val="00A84373"/>
    <w:rsid w:val="00A8456A"/>
    <w:rsid w:val="00A845ED"/>
    <w:rsid w:val="00A86228"/>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FC0"/>
    <w:rsid w:val="00A97BFA"/>
    <w:rsid w:val="00AA007C"/>
    <w:rsid w:val="00AA0B30"/>
    <w:rsid w:val="00AA25C9"/>
    <w:rsid w:val="00AA3676"/>
    <w:rsid w:val="00AA3726"/>
    <w:rsid w:val="00AA40AA"/>
    <w:rsid w:val="00AA4F09"/>
    <w:rsid w:val="00AA7A72"/>
    <w:rsid w:val="00AA7DCE"/>
    <w:rsid w:val="00AA7F8C"/>
    <w:rsid w:val="00AA7FA5"/>
    <w:rsid w:val="00AB0725"/>
    <w:rsid w:val="00AB0807"/>
    <w:rsid w:val="00AB0FB2"/>
    <w:rsid w:val="00AB10E3"/>
    <w:rsid w:val="00AB18AB"/>
    <w:rsid w:val="00AB1FAD"/>
    <w:rsid w:val="00AB2AF8"/>
    <w:rsid w:val="00AB37FD"/>
    <w:rsid w:val="00AB41AF"/>
    <w:rsid w:val="00AB42BB"/>
    <w:rsid w:val="00AB4B6A"/>
    <w:rsid w:val="00AB50C3"/>
    <w:rsid w:val="00AB57D9"/>
    <w:rsid w:val="00AB6F61"/>
    <w:rsid w:val="00AB7601"/>
    <w:rsid w:val="00AB7957"/>
    <w:rsid w:val="00AB7A15"/>
    <w:rsid w:val="00AC0BD8"/>
    <w:rsid w:val="00AC1E53"/>
    <w:rsid w:val="00AC42FA"/>
    <w:rsid w:val="00AC455C"/>
    <w:rsid w:val="00AC45CA"/>
    <w:rsid w:val="00AC4D66"/>
    <w:rsid w:val="00AC5C0E"/>
    <w:rsid w:val="00AC5FCE"/>
    <w:rsid w:val="00AC615E"/>
    <w:rsid w:val="00AC62B7"/>
    <w:rsid w:val="00AC6BDA"/>
    <w:rsid w:val="00AC6E20"/>
    <w:rsid w:val="00AC7A38"/>
    <w:rsid w:val="00AD0404"/>
    <w:rsid w:val="00AD07F1"/>
    <w:rsid w:val="00AD20E0"/>
    <w:rsid w:val="00AD2BE1"/>
    <w:rsid w:val="00AD3C49"/>
    <w:rsid w:val="00AD3D21"/>
    <w:rsid w:val="00AD68F8"/>
    <w:rsid w:val="00AD692B"/>
    <w:rsid w:val="00AE0B68"/>
    <w:rsid w:val="00AE0CA2"/>
    <w:rsid w:val="00AE10CD"/>
    <w:rsid w:val="00AE1499"/>
    <w:rsid w:val="00AE2D0A"/>
    <w:rsid w:val="00AE3725"/>
    <w:rsid w:val="00AE448F"/>
    <w:rsid w:val="00AE4A61"/>
    <w:rsid w:val="00AE4E58"/>
    <w:rsid w:val="00AE4F14"/>
    <w:rsid w:val="00AE5139"/>
    <w:rsid w:val="00AE54FA"/>
    <w:rsid w:val="00AE5C8B"/>
    <w:rsid w:val="00AE65CA"/>
    <w:rsid w:val="00AE6800"/>
    <w:rsid w:val="00AE6CDA"/>
    <w:rsid w:val="00AE72FC"/>
    <w:rsid w:val="00AE751E"/>
    <w:rsid w:val="00AF16A0"/>
    <w:rsid w:val="00AF239F"/>
    <w:rsid w:val="00AF23AA"/>
    <w:rsid w:val="00AF23C2"/>
    <w:rsid w:val="00AF3040"/>
    <w:rsid w:val="00AF31DB"/>
    <w:rsid w:val="00AF39BC"/>
    <w:rsid w:val="00AF51E5"/>
    <w:rsid w:val="00AF52E7"/>
    <w:rsid w:val="00AF5D55"/>
    <w:rsid w:val="00AF605B"/>
    <w:rsid w:val="00AF741B"/>
    <w:rsid w:val="00AF7453"/>
    <w:rsid w:val="00AF7C3D"/>
    <w:rsid w:val="00AF7E72"/>
    <w:rsid w:val="00B0115C"/>
    <w:rsid w:val="00B01F83"/>
    <w:rsid w:val="00B0432F"/>
    <w:rsid w:val="00B043ED"/>
    <w:rsid w:val="00B054FF"/>
    <w:rsid w:val="00B05CB6"/>
    <w:rsid w:val="00B05F21"/>
    <w:rsid w:val="00B0633F"/>
    <w:rsid w:val="00B070A0"/>
    <w:rsid w:val="00B07CC0"/>
    <w:rsid w:val="00B102F5"/>
    <w:rsid w:val="00B103E9"/>
    <w:rsid w:val="00B11586"/>
    <w:rsid w:val="00B11E6D"/>
    <w:rsid w:val="00B11FA4"/>
    <w:rsid w:val="00B12242"/>
    <w:rsid w:val="00B1393B"/>
    <w:rsid w:val="00B140D2"/>
    <w:rsid w:val="00B1462C"/>
    <w:rsid w:val="00B14CD1"/>
    <w:rsid w:val="00B15491"/>
    <w:rsid w:val="00B1562F"/>
    <w:rsid w:val="00B16D63"/>
    <w:rsid w:val="00B17629"/>
    <w:rsid w:val="00B21D6E"/>
    <w:rsid w:val="00B22C39"/>
    <w:rsid w:val="00B22DE0"/>
    <w:rsid w:val="00B23D2D"/>
    <w:rsid w:val="00B24FEA"/>
    <w:rsid w:val="00B2540B"/>
    <w:rsid w:val="00B25B94"/>
    <w:rsid w:val="00B25FE6"/>
    <w:rsid w:val="00B2603E"/>
    <w:rsid w:val="00B26397"/>
    <w:rsid w:val="00B26407"/>
    <w:rsid w:val="00B26CD6"/>
    <w:rsid w:val="00B27255"/>
    <w:rsid w:val="00B2749B"/>
    <w:rsid w:val="00B2763A"/>
    <w:rsid w:val="00B27A0A"/>
    <w:rsid w:val="00B30160"/>
    <w:rsid w:val="00B3068C"/>
    <w:rsid w:val="00B317DC"/>
    <w:rsid w:val="00B31A2F"/>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0B3"/>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2014"/>
    <w:rsid w:val="00B629C9"/>
    <w:rsid w:val="00B63426"/>
    <w:rsid w:val="00B6365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E7"/>
    <w:rsid w:val="00B95B2F"/>
    <w:rsid w:val="00B95E21"/>
    <w:rsid w:val="00B971B6"/>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919"/>
    <w:rsid w:val="00BB3A56"/>
    <w:rsid w:val="00BB3E2E"/>
    <w:rsid w:val="00BB49CB"/>
    <w:rsid w:val="00BB4CAE"/>
    <w:rsid w:val="00BB5D10"/>
    <w:rsid w:val="00BB5F54"/>
    <w:rsid w:val="00BB67F1"/>
    <w:rsid w:val="00BB79C2"/>
    <w:rsid w:val="00BB7F0F"/>
    <w:rsid w:val="00BC0EC7"/>
    <w:rsid w:val="00BC1722"/>
    <w:rsid w:val="00BC194A"/>
    <w:rsid w:val="00BC2214"/>
    <w:rsid w:val="00BC2825"/>
    <w:rsid w:val="00BC2E96"/>
    <w:rsid w:val="00BC365F"/>
    <w:rsid w:val="00BC406F"/>
    <w:rsid w:val="00BC4C88"/>
    <w:rsid w:val="00BC59CA"/>
    <w:rsid w:val="00BC6970"/>
    <w:rsid w:val="00BC6BA8"/>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5F7E"/>
    <w:rsid w:val="00BD7991"/>
    <w:rsid w:val="00BE0BDD"/>
    <w:rsid w:val="00BE21E3"/>
    <w:rsid w:val="00BE305B"/>
    <w:rsid w:val="00BE5F4E"/>
    <w:rsid w:val="00BE62B2"/>
    <w:rsid w:val="00BE6350"/>
    <w:rsid w:val="00BE67F1"/>
    <w:rsid w:val="00BE7287"/>
    <w:rsid w:val="00BE7C93"/>
    <w:rsid w:val="00BF0362"/>
    <w:rsid w:val="00BF0479"/>
    <w:rsid w:val="00BF0A2C"/>
    <w:rsid w:val="00BF0D73"/>
    <w:rsid w:val="00BF1D23"/>
    <w:rsid w:val="00BF1F82"/>
    <w:rsid w:val="00BF2520"/>
    <w:rsid w:val="00BF3470"/>
    <w:rsid w:val="00BF3B94"/>
    <w:rsid w:val="00BF3FF8"/>
    <w:rsid w:val="00BF4C53"/>
    <w:rsid w:val="00BF54DC"/>
    <w:rsid w:val="00BF5748"/>
    <w:rsid w:val="00BF6270"/>
    <w:rsid w:val="00BF67B7"/>
    <w:rsid w:val="00BF76E0"/>
    <w:rsid w:val="00BF770B"/>
    <w:rsid w:val="00C01510"/>
    <w:rsid w:val="00C01CEB"/>
    <w:rsid w:val="00C01F6E"/>
    <w:rsid w:val="00C03249"/>
    <w:rsid w:val="00C04BAE"/>
    <w:rsid w:val="00C05896"/>
    <w:rsid w:val="00C0599A"/>
    <w:rsid w:val="00C06C42"/>
    <w:rsid w:val="00C073DA"/>
    <w:rsid w:val="00C07C15"/>
    <w:rsid w:val="00C10B9B"/>
    <w:rsid w:val="00C10C30"/>
    <w:rsid w:val="00C1104C"/>
    <w:rsid w:val="00C11577"/>
    <w:rsid w:val="00C11DC5"/>
    <w:rsid w:val="00C11F13"/>
    <w:rsid w:val="00C11F39"/>
    <w:rsid w:val="00C11F55"/>
    <w:rsid w:val="00C12249"/>
    <w:rsid w:val="00C1250E"/>
    <w:rsid w:val="00C138E7"/>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B4A"/>
    <w:rsid w:val="00C23F8A"/>
    <w:rsid w:val="00C24B05"/>
    <w:rsid w:val="00C25052"/>
    <w:rsid w:val="00C25D31"/>
    <w:rsid w:val="00C265D0"/>
    <w:rsid w:val="00C26770"/>
    <w:rsid w:val="00C26FE5"/>
    <w:rsid w:val="00C3022B"/>
    <w:rsid w:val="00C30723"/>
    <w:rsid w:val="00C31756"/>
    <w:rsid w:val="00C31F7F"/>
    <w:rsid w:val="00C32186"/>
    <w:rsid w:val="00C335AE"/>
    <w:rsid w:val="00C34E1F"/>
    <w:rsid w:val="00C35C70"/>
    <w:rsid w:val="00C35E26"/>
    <w:rsid w:val="00C3626A"/>
    <w:rsid w:val="00C36684"/>
    <w:rsid w:val="00C36F0A"/>
    <w:rsid w:val="00C36F4F"/>
    <w:rsid w:val="00C372CB"/>
    <w:rsid w:val="00C4067A"/>
    <w:rsid w:val="00C4148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19C3"/>
    <w:rsid w:val="00C72DD5"/>
    <w:rsid w:val="00C733A6"/>
    <w:rsid w:val="00C737B0"/>
    <w:rsid w:val="00C73D39"/>
    <w:rsid w:val="00C7675A"/>
    <w:rsid w:val="00C76E9D"/>
    <w:rsid w:val="00C816DF"/>
    <w:rsid w:val="00C820EE"/>
    <w:rsid w:val="00C82CD4"/>
    <w:rsid w:val="00C835AD"/>
    <w:rsid w:val="00C84713"/>
    <w:rsid w:val="00C84758"/>
    <w:rsid w:val="00C853AB"/>
    <w:rsid w:val="00C85F72"/>
    <w:rsid w:val="00C86896"/>
    <w:rsid w:val="00C876E1"/>
    <w:rsid w:val="00C90162"/>
    <w:rsid w:val="00C908A9"/>
    <w:rsid w:val="00C908BE"/>
    <w:rsid w:val="00C91507"/>
    <w:rsid w:val="00C940C2"/>
    <w:rsid w:val="00C952E9"/>
    <w:rsid w:val="00C95AC8"/>
    <w:rsid w:val="00C95E95"/>
    <w:rsid w:val="00C9760B"/>
    <w:rsid w:val="00C976E0"/>
    <w:rsid w:val="00C9796B"/>
    <w:rsid w:val="00C97C19"/>
    <w:rsid w:val="00CA0174"/>
    <w:rsid w:val="00CA018B"/>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A88"/>
    <w:rsid w:val="00CB277F"/>
    <w:rsid w:val="00CB3318"/>
    <w:rsid w:val="00CB3628"/>
    <w:rsid w:val="00CB407C"/>
    <w:rsid w:val="00CB4418"/>
    <w:rsid w:val="00CB46B4"/>
    <w:rsid w:val="00CB4940"/>
    <w:rsid w:val="00CB5D5B"/>
    <w:rsid w:val="00CB6BBF"/>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31"/>
    <w:rsid w:val="00CC62CD"/>
    <w:rsid w:val="00CC6C6A"/>
    <w:rsid w:val="00CC7881"/>
    <w:rsid w:val="00CC7971"/>
    <w:rsid w:val="00CD0422"/>
    <w:rsid w:val="00CD0982"/>
    <w:rsid w:val="00CD124B"/>
    <w:rsid w:val="00CD19CF"/>
    <w:rsid w:val="00CD2987"/>
    <w:rsid w:val="00CD2A22"/>
    <w:rsid w:val="00CD2A3D"/>
    <w:rsid w:val="00CD2EE0"/>
    <w:rsid w:val="00CD3DD5"/>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793F"/>
    <w:rsid w:val="00CE7E6F"/>
    <w:rsid w:val="00CF00B5"/>
    <w:rsid w:val="00CF15DD"/>
    <w:rsid w:val="00CF223D"/>
    <w:rsid w:val="00CF2824"/>
    <w:rsid w:val="00CF3526"/>
    <w:rsid w:val="00CF3A33"/>
    <w:rsid w:val="00CF3C7D"/>
    <w:rsid w:val="00CF45BF"/>
    <w:rsid w:val="00CF51C1"/>
    <w:rsid w:val="00CF5B47"/>
    <w:rsid w:val="00CF5B54"/>
    <w:rsid w:val="00CF5EE3"/>
    <w:rsid w:val="00CF6C01"/>
    <w:rsid w:val="00CF6FD8"/>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8D"/>
    <w:rsid w:val="00D06EB9"/>
    <w:rsid w:val="00D1153F"/>
    <w:rsid w:val="00D11995"/>
    <w:rsid w:val="00D11CFD"/>
    <w:rsid w:val="00D12432"/>
    <w:rsid w:val="00D13808"/>
    <w:rsid w:val="00D146FE"/>
    <w:rsid w:val="00D1581E"/>
    <w:rsid w:val="00D15D19"/>
    <w:rsid w:val="00D15D93"/>
    <w:rsid w:val="00D15DA1"/>
    <w:rsid w:val="00D15EEC"/>
    <w:rsid w:val="00D1635E"/>
    <w:rsid w:val="00D16380"/>
    <w:rsid w:val="00D163FF"/>
    <w:rsid w:val="00D166B5"/>
    <w:rsid w:val="00D167D0"/>
    <w:rsid w:val="00D16E87"/>
    <w:rsid w:val="00D17335"/>
    <w:rsid w:val="00D2079E"/>
    <w:rsid w:val="00D208FD"/>
    <w:rsid w:val="00D21356"/>
    <w:rsid w:val="00D216EE"/>
    <w:rsid w:val="00D220B5"/>
    <w:rsid w:val="00D232D8"/>
    <w:rsid w:val="00D233CD"/>
    <w:rsid w:val="00D23500"/>
    <w:rsid w:val="00D23AD3"/>
    <w:rsid w:val="00D23FC0"/>
    <w:rsid w:val="00D23FCE"/>
    <w:rsid w:val="00D24364"/>
    <w:rsid w:val="00D2469E"/>
    <w:rsid w:val="00D2649E"/>
    <w:rsid w:val="00D27300"/>
    <w:rsid w:val="00D27875"/>
    <w:rsid w:val="00D307FD"/>
    <w:rsid w:val="00D30A3B"/>
    <w:rsid w:val="00D31E2D"/>
    <w:rsid w:val="00D321E8"/>
    <w:rsid w:val="00D328E1"/>
    <w:rsid w:val="00D32E01"/>
    <w:rsid w:val="00D33975"/>
    <w:rsid w:val="00D33A8C"/>
    <w:rsid w:val="00D3523D"/>
    <w:rsid w:val="00D35597"/>
    <w:rsid w:val="00D35689"/>
    <w:rsid w:val="00D365FA"/>
    <w:rsid w:val="00D36B02"/>
    <w:rsid w:val="00D37093"/>
    <w:rsid w:val="00D40425"/>
    <w:rsid w:val="00D40BC3"/>
    <w:rsid w:val="00D40D6B"/>
    <w:rsid w:val="00D4129E"/>
    <w:rsid w:val="00D418A3"/>
    <w:rsid w:val="00D41AB6"/>
    <w:rsid w:val="00D42946"/>
    <w:rsid w:val="00D43984"/>
    <w:rsid w:val="00D4459D"/>
    <w:rsid w:val="00D45A14"/>
    <w:rsid w:val="00D46270"/>
    <w:rsid w:val="00D46BE9"/>
    <w:rsid w:val="00D46FA2"/>
    <w:rsid w:val="00D47313"/>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3E14"/>
    <w:rsid w:val="00D64155"/>
    <w:rsid w:val="00D64BEA"/>
    <w:rsid w:val="00D65C02"/>
    <w:rsid w:val="00D661D2"/>
    <w:rsid w:val="00D66410"/>
    <w:rsid w:val="00D66550"/>
    <w:rsid w:val="00D66648"/>
    <w:rsid w:val="00D66FDA"/>
    <w:rsid w:val="00D67292"/>
    <w:rsid w:val="00D70C38"/>
    <w:rsid w:val="00D710E5"/>
    <w:rsid w:val="00D71197"/>
    <w:rsid w:val="00D7178C"/>
    <w:rsid w:val="00D72008"/>
    <w:rsid w:val="00D72192"/>
    <w:rsid w:val="00D72D32"/>
    <w:rsid w:val="00D731D1"/>
    <w:rsid w:val="00D73645"/>
    <w:rsid w:val="00D73AC1"/>
    <w:rsid w:val="00D73BD2"/>
    <w:rsid w:val="00D73FC4"/>
    <w:rsid w:val="00D73FE8"/>
    <w:rsid w:val="00D74538"/>
    <w:rsid w:val="00D749A0"/>
    <w:rsid w:val="00D749CB"/>
    <w:rsid w:val="00D74C9E"/>
    <w:rsid w:val="00D75F19"/>
    <w:rsid w:val="00D77AD8"/>
    <w:rsid w:val="00D80605"/>
    <w:rsid w:val="00D80973"/>
    <w:rsid w:val="00D80BD8"/>
    <w:rsid w:val="00D82A2B"/>
    <w:rsid w:val="00D8301D"/>
    <w:rsid w:val="00D83A66"/>
    <w:rsid w:val="00D8473E"/>
    <w:rsid w:val="00D86255"/>
    <w:rsid w:val="00D863D1"/>
    <w:rsid w:val="00D872B7"/>
    <w:rsid w:val="00D87DCF"/>
    <w:rsid w:val="00D87F5B"/>
    <w:rsid w:val="00D90125"/>
    <w:rsid w:val="00D9057B"/>
    <w:rsid w:val="00D9096B"/>
    <w:rsid w:val="00D90ED1"/>
    <w:rsid w:val="00D91C34"/>
    <w:rsid w:val="00D925C5"/>
    <w:rsid w:val="00D9279F"/>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000"/>
    <w:rsid w:val="00DA52EB"/>
    <w:rsid w:val="00DA5CD6"/>
    <w:rsid w:val="00DA6868"/>
    <w:rsid w:val="00DB0312"/>
    <w:rsid w:val="00DB115A"/>
    <w:rsid w:val="00DB3213"/>
    <w:rsid w:val="00DB387C"/>
    <w:rsid w:val="00DB42F5"/>
    <w:rsid w:val="00DB43F8"/>
    <w:rsid w:val="00DB46DA"/>
    <w:rsid w:val="00DB5A7F"/>
    <w:rsid w:val="00DB640B"/>
    <w:rsid w:val="00DB656B"/>
    <w:rsid w:val="00DB6A23"/>
    <w:rsid w:val="00DB75BE"/>
    <w:rsid w:val="00DB7D6B"/>
    <w:rsid w:val="00DC00C2"/>
    <w:rsid w:val="00DC01DD"/>
    <w:rsid w:val="00DC29D6"/>
    <w:rsid w:val="00DC2F60"/>
    <w:rsid w:val="00DC430F"/>
    <w:rsid w:val="00DC43B0"/>
    <w:rsid w:val="00DC478C"/>
    <w:rsid w:val="00DC47BF"/>
    <w:rsid w:val="00DC4CEC"/>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26B3"/>
    <w:rsid w:val="00DE367F"/>
    <w:rsid w:val="00DE3E2A"/>
    <w:rsid w:val="00DE5469"/>
    <w:rsid w:val="00DE5D83"/>
    <w:rsid w:val="00DE7DBA"/>
    <w:rsid w:val="00DE7FB5"/>
    <w:rsid w:val="00DF0953"/>
    <w:rsid w:val="00DF354D"/>
    <w:rsid w:val="00DF3B05"/>
    <w:rsid w:val="00DF44BC"/>
    <w:rsid w:val="00DF46D2"/>
    <w:rsid w:val="00DF5209"/>
    <w:rsid w:val="00DF5300"/>
    <w:rsid w:val="00DF649D"/>
    <w:rsid w:val="00E00733"/>
    <w:rsid w:val="00E00948"/>
    <w:rsid w:val="00E00C13"/>
    <w:rsid w:val="00E00C41"/>
    <w:rsid w:val="00E01D40"/>
    <w:rsid w:val="00E024F6"/>
    <w:rsid w:val="00E0287E"/>
    <w:rsid w:val="00E02D84"/>
    <w:rsid w:val="00E037FD"/>
    <w:rsid w:val="00E04271"/>
    <w:rsid w:val="00E053BA"/>
    <w:rsid w:val="00E0562D"/>
    <w:rsid w:val="00E05C05"/>
    <w:rsid w:val="00E0606D"/>
    <w:rsid w:val="00E06510"/>
    <w:rsid w:val="00E072B0"/>
    <w:rsid w:val="00E07C90"/>
    <w:rsid w:val="00E111E7"/>
    <w:rsid w:val="00E111F8"/>
    <w:rsid w:val="00E12041"/>
    <w:rsid w:val="00E12618"/>
    <w:rsid w:val="00E129DF"/>
    <w:rsid w:val="00E12B5D"/>
    <w:rsid w:val="00E13435"/>
    <w:rsid w:val="00E13F23"/>
    <w:rsid w:val="00E143D4"/>
    <w:rsid w:val="00E14773"/>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699"/>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2FB9"/>
    <w:rsid w:val="00E44A52"/>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7F"/>
    <w:rsid w:val="00E62B98"/>
    <w:rsid w:val="00E62F16"/>
    <w:rsid w:val="00E631E5"/>
    <w:rsid w:val="00E6329E"/>
    <w:rsid w:val="00E6390E"/>
    <w:rsid w:val="00E63980"/>
    <w:rsid w:val="00E65018"/>
    <w:rsid w:val="00E66EAB"/>
    <w:rsid w:val="00E67339"/>
    <w:rsid w:val="00E6734C"/>
    <w:rsid w:val="00E67560"/>
    <w:rsid w:val="00E67B4D"/>
    <w:rsid w:val="00E67B50"/>
    <w:rsid w:val="00E67EF0"/>
    <w:rsid w:val="00E705EE"/>
    <w:rsid w:val="00E70B72"/>
    <w:rsid w:val="00E70FDA"/>
    <w:rsid w:val="00E722A2"/>
    <w:rsid w:val="00E729B9"/>
    <w:rsid w:val="00E730FA"/>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C40"/>
    <w:rsid w:val="00E97FE2"/>
    <w:rsid w:val="00EA08E8"/>
    <w:rsid w:val="00EA0F7E"/>
    <w:rsid w:val="00EA1903"/>
    <w:rsid w:val="00EA19A5"/>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25BB"/>
    <w:rsid w:val="00EC3785"/>
    <w:rsid w:val="00EC3B2D"/>
    <w:rsid w:val="00EC3E5A"/>
    <w:rsid w:val="00EC458A"/>
    <w:rsid w:val="00EC51A1"/>
    <w:rsid w:val="00EC6178"/>
    <w:rsid w:val="00EC65DD"/>
    <w:rsid w:val="00EC6A56"/>
    <w:rsid w:val="00EC7166"/>
    <w:rsid w:val="00EC75D3"/>
    <w:rsid w:val="00EC7E78"/>
    <w:rsid w:val="00ED06AD"/>
    <w:rsid w:val="00ED0BED"/>
    <w:rsid w:val="00ED1232"/>
    <w:rsid w:val="00ED1A7F"/>
    <w:rsid w:val="00ED22C5"/>
    <w:rsid w:val="00ED3503"/>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74D"/>
    <w:rsid w:val="00EF28C9"/>
    <w:rsid w:val="00EF2A0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555"/>
    <w:rsid w:val="00F04D9B"/>
    <w:rsid w:val="00F0588E"/>
    <w:rsid w:val="00F05AB5"/>
    <w:rsid w:val="00F05BC9"/>
    <w:rsid w:val="00F0608B"/>
    <w:rsid w:val="00F0659C"/>
    <w:rsid w:val="00F06776"/>
    <w:rsid w:val="00F06CDD"/>
    <w:rsid w:val="00F06D5D"/>
    <w:rsid w:val="00F10A31"/>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6FA4"/>
    <w:rsid w:val="00F17267"/>
    <w:rsid w:val="00F2210C"/>
    <w:rsid w:val="00F22137"/>
    <w:rsid w:val="00F231FB"/>
    <w:rsid w:val="00F243C4"/>
    <w:rsid w:val="00F243FF"/>
    <w:rsid w:val="00F25199"/>
    <w:rsid w:val="00F254D8"/>
    <w:rsid w:val="00F26A46"/>
    <w:rsid w:val="00F26F86"/>
    <w:rsid w:val="00F2780A"/>
    <w:rsid w:val="00F30B28"/>
    <w:rsid w:val="00F314EF"/>
    <w:rsid w:val="00F3167E"/>
    <w:rsid w:val="00F332B2"/>
    <w:rsid w:val="00F33DD2"/>
    <w:rsid w:val="00F33E94"/>
    <w:rsid w:val="00F33F0D"/>
    <w:rsid w:val="00F352BD"/>
    <w:rsid w:val="00F3589E"/>
    <w:rsid w:val="00F35DAE"/>
    <w:rsid w:val="00F368F2"/>
    <w:rsid w:val="00F3715D"/>
    <w:rsid w:val="00F37A09"/>
    <w:rsid w:val="00F404BF"/>
    <w:rsid w:val="00F405B4"/>
    <w:rsid w:val="00F40EB5"/>
    <w:rsid w:val="00F40F31"/>
    <w:rsid w:val="00F41380"/>
    <w:rsid w:val="00F41421"/>
    <w:rsid w:val="00F41886"/>
    <w:rsid w:val="00F419C3"/>
    <w:rsid w:val="00F41A80"/>
    <w:rsid w:val="00F41C4B"/>
    <w:rsid w:val="00F43206"/>
    <w:rsid w:val="00F435B6"/>
    <w:rsid w:val="00F43849"/>
    <w:rsid w:val="00F4392C"/>
    <w:rsid w:val="00F448F9"/>
    <w:rsid w:val="00F44EC7"/>
    <w:rsid w:val="00F452E7"/>
    <w:rsid w:val="00F4670C"/>
    <w:rsid w:val="00F467C0"/>
    <w:rsid w:val="00F47A7F"/>
    <w:rsid w:val="00F47C6B"/>
    <w:rsid w:val="00F503D2"/>
    <w:rsid w:val="00F505AC"/>
    <w:rsid w:val="00F50603"/>
    <w:rsid w:val="00F50C03"/>
    <w:rsid w:val="00F50F47"/>
    <w:rsid w:val="00F51899"/>
    <w:rsid w:val="00F51E43"/>
    <w:rsid w:val="00F52241"/>
    <w:rsid w:val="00F522DC"/>
    <w:rsid w:val="00F5253A"/>
    <w:rsid w:val="00F53174"/>
    <w:rsid w:val="00F5325B"/>
    <w:rsid w:val="00F53AF0"/>
    <w:rsid w:val="00F54D92"/>
    <w:rsid w:val="00F55337"/>
    <w:rsid w:val="00F55F0A"/>
    <w:rsid w:val="00F5652C"/>
    <w:rsid w:val="00F568F6"/>
    <w:rsid w:val="00F57843"/>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E64"/>
    <w:rsid w:val="00F960B8"/>
    <w:rsid w:val="00F9649D"/>
    <w:rsid w:val="00F96A46"/>
    <w:rsid w:val="00F96BB8"/>
    <w:rsid w:val="00F97647"/>
    <w:rsid w:val="00F97A19"/>
    <w:rsid w:val="00FA068B"/>
    <w:rsid w:val="00FA1B1B"/>
    <w:rsid w:val="00FA2534"/>
    <w:rsid w:val="00FA2BC2"/>
    <w:rsid w:val="00FA37EA"/>
    <w:rsid w:val="00FA381E"/>
    <w:rsid w:val="00FA52C8"/>
    <w:rsid w:val="00FA54B2"/>
    <w:rsid w:val="00FA5812"/>
    <w:rsid w:val="00FA59CD"/>
    <w:rsid w:val="00FA7990"/>
    <w:rsid w:val="00FA7A7E"/>
    <w:rsid w:val="00FB07FC"/>
    <w:rsid w:val="00FB1180"/>
    <w:rsid w:val="00FB15B5"/>
    <w:rsid w:val="00FB174F"/>
    <w:rsid w:val="00FB1FEB"/>
    <w:rsid w:val="00FB22AB"/>
    <w:rsid w:val="00FB2F6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30"/>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64A9"/>
    <w:rsid w:val="00FE6BD7"/>
    <w:rsid w:val="00FE6C8F"/>
    <w:rsid w:val="00FF0644"/>
    <w:rsid w:val="00FF094E"/>
    <w:rsid w:val="00FF0A66"/>
    <w:rsid w:val="00FF1FCE"/>
    <w:rsid w:val="00FF2234"/>
    <w:rsid w:val="00FF290B"/>
    <w:rsid w:val="00FF320D"/>
    <w:rsid w:val="00FF33BD"/>
    <w:rsid w:val="00FF3C13"/>
    <w:rsid w:val="00FF3CEA"/>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2BC28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rPr>
      <w:sz w:val="16"/>
      <w:szCs w:val="16"/>
    </w:rPr>
  </w:style>
  <w:style w:type="paragraph" w:styleId="CommentText">
    <w:name w:val="annotation text"/>
    <w:basedOn w:val="Normal"/>
    <w:link w:val="CommentTextChar"/>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link w:val="ListParagraph"/>
    <w:uiPriority w:val="72"/>
    <w:rsid w:val="001E35D6"/>
    <w:rPr>
      <w:rFonts w:eastAsia="SimSun"/>
      <w:sz w:val="24"/>
      <w:szCs w:val="24"/>
    </w:rPr>
  </w:style>
  <w:style w:type="character" w:customStyle="1" w:styleId="CommentTextChar">
    <w:name w:val="Comment Text Char"/>
    <w:basedOn w:val="DefaultParagraphFont"/>
    <w:link w:val="CommentText"/>
    <w:rsid w:val="00377360"/>
  </w:style>
  <w:style w:type="paragraph" w:customStyle="1" w:styleId="2-SectionHeading">
    <w:name w:val="2-Section Heading"/>
    <w:qFormat/>
    <w:rsid w:val="000614F6"/>
    <w:pPr>
      <w:keepNext/>
      <w:numPr>
        <w:numId w:val="40"/>
      </w:numPr>
      <w:spacing w:before="240" w:after="120"/>
      <w:outlineLvl w:val="0"/>
    </w:pPr>
    <w:rPr>
      <w:rFonts w:asciiTheme="minorHAnsi" w:hAnsiTheme="minorHAnsi" w:cs="Arial"/>
      <w:b/>
      <w:snapToGrid w:val="0"/>
      <w:sz w:val="32"/>
      <w:szCs w:val="32"/>
    </w:rPr>
  </w:style>
  <w:style w:type="paragraph" w:customStyle="1" w:styleId="ExecSumBodyText">
    <w:name w:val="Exec Sum Body Text"/>
    <w:basedOn w:val="Normal"/>
    <w:link w:val="ExecSumBodyTextChar"/>
    <w:qFormat/>
    <w:rsid w:val="000614F6"/>
    <w:pPr>
      <w:numPr>
        <w:ilvl w:val="1"/>
        <w:numId w:val="40"/>
      </w:numPr>
      <w:spacing w:after="120"/>
      <w:jc w:val="both"/>
    </w:pPr>
    <w:rPr>
      <w:rFonts w:asciiTheme="minorHAnsi" w:hAnsiTheme="minorHAnsi" w:cs="Arial"/>
      <w:snapToGrid w:val="0"/>
      <w:sz w:val="24"/>
      <w:szCs w:val="24"/>
    </w:rPr>
  </w:style>
  <w:style w:type="character" w:customStyle="1" w:styleId="ExecSumBodyTextChar">
    <w:name w:val="Exec Sum Body Text Char"/>
    <w:basedOn w:val="DefaultParagraphFont"/>
    <w:link w:val="ExecSumBodyText"/>
    <w:rsid w:val="000614F6"/>
    <w:rPr>
      <w:rFonts w:asciiTheme="minorHAnsi" w:hAnsiTheme="minorHAnsi" w:cs="Arial"/>
      <w:snapToGrid w:val="0"/>
      <w:sz w:val="24"/>
      <w:szCs w:val="24"/>
    </w:rPr>
  </w:style>
  <w:style w:type="paragraph" w:customStyle="1" w:styleId="3-BodyText">
    <w:name w:val="3-Body Text"/>
    <w:basedOn w:val="ListParagraph"/>
    <w:link w:val="3-BodyTextChar"/>
    <w:qFormat/>
    <w:rsid w:val="000614F6"/>
    <w:pPr>
      <w:spacing w:after="120"/>
      <w:ind w:hanging="720"/>
      <w:contextualSpacing w:val="0"/>
      <w:jc w:val="both"/>
    </w:pPr>
    <w:rPr>
      <w:rFonts w:asciiTheme="minorHAnsi" w:eastAsia="Times New Roman" w:hAnsiTheme="minorHAnsi" w:cs="Arial"/>
      <w:snapToGrid w:val="0"/>
    </w:rPr>
  </w:style>
  <w:style w:type="character" w:customStyle="1" w:styleId="3-BodyTextChar">
    <w:name w:val="3-Body Text Char"/>
    <w:basedOn w:val="DefaultParagraphFont"/>
    <w:link w:val="3-BodyText"/>
    <w:rsid w:val="000614F6"/>
    <w:rPr>
      <w:rFonts w:asciiTheme="minorHAnsi" w:hAnsiTheme="minorHAnsi" w:cs="Arial"/>
      <w:snapToGrid w:val="0"/>
      <w:sz w:val="24"/>
      <w:szCs w:val="24"/>
    </w:rPr>
  </w:style>
  <w:style w:type="paragraph" w:styleId="NoSpacing">
    <w:name w:val="No Spacing"/>
    <w:uiPriority w:val="1"/>
    <w:qFormat/>
    <w:rsid w:val="00D46270"/>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1853">
      <w:bodyDiv w:val="1"/>
      <w:marLeft w:val="0"/>
      <w:marRight w:val="0"/>
      <w:marTop w:val="0"/>
      <w:marBottom w:val="0"/>
      <w:divBdr>
        <w:top w:val="none" w:sz="0" w:space="0" w:color="auto"/>
        <w:left w:val="none" w:sz="0" w:space="0" w:color="auto"/>
        <w:bottom w:val="none" w:sz="0" w:space="0" w:color="auto"/>
        <w:right w:val="none" w:sz="0" w:space="0" w:color="auto"/>
      </w:divBdr>
    </w:div>
    <w:div w:id="21715848">
      <w:bodyDiv w:val="1"/>
      <w:marLeft w:val="0"/>
      <w:marRight w:val="0"/>
      <w:marTop w:val="0"/>
      <w:marBottom w:val="0"/>
      <w:divBdr>
        <w:top w:val="none" w:sz="0" w:space="0" w:color="auto"/>
        <w:left w:val="none" w:sz="0" w:space="0" w:color="auto"/>
        <w:bottom w:val="none" w:sz="0" w:space="0" w:color="auto"/>
        <w:right w:val="none" w:sz="0" w:space="0" w:color="auto"/>
      </w:divBdr>
    </w:div>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8602948">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0614427">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58814136">
      <w:bodyDiv w:val="1"/>
      <w:marLeft w:val="0"/>
      <w:marRight w:val="0"/>
      <w:marTop w:val="0"/>
      <w:marBottom w:val="0"/>
      <w:divBdr>
        <w:top w:val="none" w:sz="0" w:space="0" w:color="auto"/>
        <w:left w:val="none" w:sz="0" w:space="0" w:color="auto"/>
        <w:bottom w:val="none" w:sz="0" w:space="0" w:color="auto"/>
        <w:right w:val="none" w:sz="0" w:space="0" w:color="auto"/>
      </w:divBdr>
    </w:div>
    <w:div w:id="163252170">
      <w:bodyDiv w:val="1"/>
      <w:marLeft w:val="0"/>
      <w:marRight w:val="0"/>
      <w:marTop w:val="0"/>
      <w:marBottom w:val="0"/>
      <w:divBdr>
        <w:top w:val="none" w:sz="0" w:space="0" w:color="auto"/>
        <w:left w:val="none" w:sz="0" w:space="0" w:color="auto"/>
        <w:bottom w:val="none" w:sz="0" w:space="0" w:color="auto"/>
        <w:right w:val="none" w:sz="0" w:space="0" w:color="auto"/>
      </w:divBdr>
    </w:div>
    <w:div w:id="165829966">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4387919">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197739570">
      <w:bodyDiv w:val="1"/>
      <w:marLeft w:val="0"/>
      <w:marRight w:val="0"/>
      <w:marTop w:val="0"/>
      <w:marBottom w:val="0"/>
      <w:divBdr>
        <w:top w:val="none" w:sz="0" w:space="0" w:color="auto"/>
        <w:left w:val="none" w:sz="0" w:space="0" w:color="auto"/>
        <w:bottom w:val="none" w:sz="0" w:space="0" w:color="auto"/>
        <w:right w:val="none" w:sz="0" w:space="0" w:color="auto"/>
      </w:divBdr>
    </w:div>
    <w:div w:id="204801450">
      <w:bodyDiv w:val="1"/>
      <w:marLeft w:val="0"/>
      <w:marRight w:val="0"/>
      <w:marTop w:val="0"/>
      <w:marBottom w:val="0"/>
      <w:divBdr>
        <w:top w:val="none" w:sz="0" w:space="0" w:color="auto"/>
        <w:left w:val="none" w:sz="0" w:space="0" w:color="auto"/>
        <w:bottom w:val="none" w:sz="0" w:space="0" w:color="auto"/>
        <w:right w:val="none" w:sz="0" w:space="0" w:color="auto"/>
      </w:divBdr>
    </w:div>
    <w:div w:id="204877392">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47496085">
      <w:bodyDiv w:val="1"/>
      <w:marLeft w:val="0"/>
      <w:marRight w:val="0"/>
      <w:marTop w:val="0"/>
      <w:marBottom w:val="0"/>
      <w:divBdr>
        <w:top w:val="none" w:sz="0" w:space="0" w:color="auto"/>
        <w:left w:val="none" w:sz="0" w:space="0" w:color="auto"/>
        <w:bottom w:val="none" w:sz="0" w:space="0" w:color="auto"/>
        <w:right w:val="none" w:sz="0" w:space="0" w:color="auto"/>
      </w:divBdr>
    </w:div>
    <w:div w:id="250309872">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61110226">
      <w:bodyDiv w:val="1"/>
      <w:marLeft w:val="0"/>
      <w:marRight w:val="0"/>
      <w:marTop w:val="0"/>
      <w:marBottom w:val="0"/>
      <w:divBdr>
        <w:top w:val="none" w:sz="0" w:space="0" w:color="auto"/>
        <w:left w:val="none" w:sz="0" w:space="0" w:color="auto"/>
        <w:bottom w:val="none" w:sz="0" w:space="0" w:color="auto"/>
        <w:right w:val="none" w:sz="0" w:space="0" w:color="auto"/>
      </w:divBdr>
    </w:div>
    <w:div w:id="267783980">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283999061">
      <w:bodyDiv w:val="1"/>
      <w:marLeft w:val="0"/>
      <w:marRight w:val="0"/>
      <w:marTop w:val="0"/>
      <w:marBottom w:val="0"/>
      <w:divBdr>
        <w:top w:val="none" w:sz="0" w:space="0" w:color="auto"/>
        <w:left w:val="none" w:sz="0" w:space="0" w:color="auto"/>
        <w:bottom w:val="none" w:sz="0" w:space="0" w:color="auto"/>
        <w:right w:val="none" w:sz="0" w:space="0" w:color="auto"/>
      </w:divBdr>
    </w:div>
    <w:div w:id="305866709">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35380441">
      <w:bodyDiv w:val="1"/>
      <w:marLeft w:val="0"/>
      <w:marRight w:val="0"/>
      <w:marTop w:val="0"/>
      <w:marBottom w:val="0"/>
      <w:divBdr>
        <w:top w:val="none" w:sz="0" w:space="0" w:color="auto"/>
        <w:left w:val="none" w:sz="0" w:space="0" w:color="auto"/>
        <w:bottom w:val="none" w:sz="0" w:space="0" w:color="auto"/>
        <w:right w:val="none" w:sz="0" w:space="0" w:color="auto"/>
      </w:divBdr>
    </w:div>
    <w:div w:id="33627743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584530">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709178">
      <w:bodyDiv w:val="1"/>
      <w:marLeft w:val="0"/>
      <w:marRight w:val="0"/>
      <w:marTop w:val="0"/>
      <w:marBottom w:val="0"/>
      <w:divBdr>
        <w:top w:val="none" w:sz="0" w:space="0" w:color="auto"/>
        <w:left w:val="none" w:sz="0" w:space="0" w:color="auto"/>
        <w:bottom w:val="none" w:sz="0" w:space="0" w:color="auto"/>
        <w:right w:val="none" w:sz="0" w:space="0" w:color="auto"/>
      </w:divBdr>
    </w:div>
    <w:div w:id="437867935">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57140074">
      <w:bodyDiv w:val="1"/>
      <w:marLeft w:val="0"/>
      <w:marRight w:val="0"/>
      <w:marTop w:val="0"/>
      <w:marBottom w:val="0"/>
      <w:divBdr>
        <w:top w:val="none" w:sz="0" w:space="0" w:color="auto"/>
        <w:left w:val="none" w:sz="0" w:space="0" w:color="auto"/>
        <w:bottom w:val="none" w:sz="0" w:space="0" w:color="auto"/>
        <w:right w:val="none" w:sz="0" w:space="0" w:color="auto"/>
      </w:divBdr>
    </w:div>
    <w:div w:id="473520806">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484129568">
      <w:bodyDiv w:val="1"/>
      <w:marLeft w:val="0"/>
      <w:marRight w:val="0"/>
      <w:marTop w:val="0"/>
      <w:marBottom w:val="0"/>
      <w:divBdr>
        <w:top w:val="none" w:sz="0" w:space="0" w:color="auto"/>
        <w:left w:val="none" w:sz="0" w:space="0" w:color="auto"/>
        <w:bottom w:val="none" w:sz="0" w:space="0" w:color="auto"/>
        <w:right w:val="none" w:sz="0" w:space="0" w:color="auto"/>
      </w:divBdr>
    </w:div>
    <w:div w:id="485980575">
      <w:bodyDiv w:val="1"/>
      <w:marLeft w:val="0"/>
      <w:marRight w:val="0"/>
      <w:marTop w:val="0"/>
      <w:marBottom w:val="0"/>
      <w:divBdr>
        <w:top w:val="none" w:sz="0" w:space="0" w:color="auto"/>
        <w:left w:val="none" w:sz="0" w:space="0" w:color="auto"/>
        <w:bottom w:val="none" w:sz="0" w:space="0" w:color="auto"/>
        <w:right w:val="none" w:sz="0" w:space="0" w:color="auto"/>
      </w:divBdr>
    </w:div>
    <w:div w:id="488139631">
      <w:bodyDiv w:val="1"/>
      <w:marLeft w:val="0"/>
      <w:marRight w:val="0"/>
      <w:marTop w:val="0"/>
      <w:marBottom w:val="0"/>
      <w:divBdr>
        <w:top w:val="none" w:sz="0" w:space="0" w:color="auto"/>
        <w:left w:val="none" w:sz="0" w:space="0" w:color="auto"/>
        <w:bottom w:val="none" w:sz="0" w:space="0" w:color="auto"/>
        <w:right w:val="none" w:sz="0" w:space="0" w:color="auto"/>
      </w:divBdr>
    </w:div>
    <w:div w:id="498353476">
      <w:bodyDiv w:val="1"/>
      <w:marLeft w:val="0"/>
      <w:marRight w:val="0"/>
      <w:marTop w:val="0"/>
      <w:marBottom w:val="0"/>
      <w:divBdr>
        <w:top w:val="none" w:sz="0" w:space="0" w:color="auto"/>
        <w:left w:val="none" w:sz="0" w:space="0" w:color="auto"/>
        <w:bottom w:val="none" w:sz="0" w:space="0" w:color="auto"/>
        <w:right w:val="none" w:sz="0" w:space="0" w:color="auto"/>
      </w:divBdr>
    </w:div>
    <w:div w:id="502014915">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17888676">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22133941">
      <w:bodyDiv w:val="1"/>
      <w:marLeft w:val="0"/>
      <w:marRight w:val="0"/>
      <w:marTop w:val="0"/>
      <w:marBottom w:val="0"/>
      <w:divBdr>
        <w:top w:val="none" w:sz="0" w:space="0" w:color="auto"/>
        <w:left w:val="none" w:sz="0" w:space="0" w:color="auto"/>
        <w:bottom w:val="none" w:sz="0" w:space="0" w:color="auto"/>
        <w:right w:val="none" w:sz="0" w:space="0" w:color="auto"/>
      </w:divBdr>
    </w:div>
    <w:div w:id="530385049">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39971603">
      <w:bodyDiv w:val="1"/>
      <w:marLeft w:val="0"/>
      <w:marRight w:val="0"/>
      <w:marTop w:val="0"/>
      <w:marBottom w:val="0"/>
      <w:divBdr>
        <w:top w:val="none" w:sz="0" w:space="0" w:color="auto"/>
        <w:left w:val="none" w:sz="0" w:space="0" w:color="auto"/>
        <w:bottom w:val="none" w:sz="0" w:space="0" w:color="auto"/>
        <w:right w:val="none" w:sz="0" w:space="0" w:color="auto"/>
      </w:divBdr>
    </w:div>
    <w:div w:id="544417125">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63099308">
      <w:bodyDiv w:val="1"/>
      <w:marLeft w:val="0"/>
      <w:marRight w:val="0"/>
      <w:marTop w:val="0"/>
      <w:marBottom w:val="0"/>
      <w:divBdr>
        <w:top w:val="none" w:sz="0" w:space="0" w:color="auto"/>
        <w:left w:val="none" w:sz="0" w:space="0" w:color="auto"/>
        <w:bottom w:val="none" w:sz="0" w:space="0" w:color="auto"/>
        <w:right w:val="none" w:sz="0" w:space="0" w:color="auto"/>
      </w:divBdr>
    </w:div>
    <w:div w:id="565338872">
      <w:bodyDiv w:val="1"/>
      <w:marLeft w:val="0"/>
      <w:marRight w:val="0"/>
      <w:marTop w:val="0"/>
      <w:marBottom w:val="0"/>
      <w:divBdr>
        <w:top w:val="none" w:sz="0" w:space="0" w:color="auto"/>
        <w:left w:val="none" w:sz="0" w:space="0" w:color="auto"/>
        <w:bottom w:val="none" w:sz="0" w:space="0" w:color="auto"/>
        <w:right w:val="none" w:sz="0" w:space="0" w:color="auto"/>
      </w:divBdr>
    </w:div>
    <w:div w:id="590236560">
      <w:bodyDiv w:val="1"/>
      <w:marLeft w:val="0"/>
      <w:marRight w:val="0"/>
      <w:marTop w:val="0"/>
      <w:marBottom w:val="0"/>
      <w:divBdr>
        <w:top w:val="none" w:sz="0" w:space="0" w:color="auto"/>
        <w:left w:val="none" w:sz="0" w:space="0" w:color="auto"/>
        <w:bottom w:val="none" w:sz="0" w:space="0" w:color="auto"/>
        <w:right w:val="none" w:sz="0" w:space="0" w:color="auto"/>
      </w:divBdr>
    </w:div>
    <w:div w:id="596911498">
      <w:bodyDiv w:val="1"/>
      <w:marLeft w:val="0"/>
      <w:marRight w:val="0"/>
      <w:marTop w:val="0"/>
      <w:marBottom w:val="0"/>
      <w:divBdr>
        <w:top w:val="none" w:sz="0" w:space="0" w:color="auto"/>
        <w:left w:val="none" w:sz="0" w:space="0" w:color="auto"/>
        <w:bottom w:val="none" w:sz="0" w:space="0" w:color="auto"/>
        <w:right w:val="none" w:sz="0" w:space="0" w:color="auto"/>
      </w:divBdr>
    </w:div>
    <w:div w:id="599797982">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4118739">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57610766">
      <w:bodyDiv w:val="1"/>
      <w:marLeft w:val="0"/>
      <w:marRight w:val="0"/>
      <w:marTop w:val="0"/>
      <w:marBottom w:val="0"/>
      <w:divBdr>
        <w:top w:val="none" w:sz="0" w:space="0" w:color="auto"/>
        <w:left w:val="none" w:sz="0" w:space="0" w:color="auto"/>
        <w:bottom w:val="none" w:sz="0" w:space="0" w:color="auto"/>
        <w:right w:val="none" w:sz="0" w:space="0" w:color="auto"/>
      </w:divBdr>
    </w:div>
    <w:div w:id="679238443">
      <w:bodyDiv w:val="1"/>
      <w:marLeft w:val="0"/>
      <w:marRight w:val="0"/>
      <w:marTop w:val="0"/>
      <w:marBottom w:val="0"/>
      <w:divBdr>
        <w:top w:val="none" w:sz="0" w:space="0" w:color="auto"/>
        <w:left w:val="none" w:sz="0" w:space="0" w:color="auto"/>
        <w:bottom w:val="none" w:sz="0" w:space="0" w:color="auto"/>
        <w:right w:val="none" w:sz="0" w:space="0" w:color="auto"/>
      </w:divBdr>
    </w:div>
    <w:div w:id="712997879">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35010008">
      <w:bodyDiv w:val="1"/>
      <w:marLeft w:val="0"/>
      <w:marRight w:val="0"/>
      <w:marTop w:val="0"/>
      <w:marBottom w:val="0"/>
      <w:divBdr>
        <w:top w:val="none" w:sz="0" w:space="0" w:color="auto"/>
        <w:left w:val="none" w:sz="0" w:space="0" w:color="auto"/>
        <w:bottom w:val="none" w:sz="0" w:space="0" w:color="auto"/>
        <w:right w:val="none" w:sz="0" w:space="0" w:color="auto"/>
      </w:divBdr>
    </w:div>
    <w:div w:id="739718013">
      <w:bodyDiv w:val="1"/>
      <w:marLeft w:val="0"/>
      <w:marRight w:val="0"/>
      <w:marTop w:val="0"/>
      <w:marBottom w:val="0"/>
      <w:divBdr>
        <w:top w:val="none" w:sz="0" w:space="0" w:color="auto"/>
        <w:left w:val="none" w:sz="0" w:space="0" w:color="auto"/>
        <w:bottom w:val="none" w:sz="0" w:space="0" w:color="auto"/>
        <w:right w:val="none" w:sz="0" w:space="0" w:color="auto"/>
      </w:divBdr>
    </w:div>
    <w:div w:id="744300756">
      <w:bodyDiv w:val="1"/>
      <w:marLeft w:val="0"/>
      <w:marRight w:val="0"/>
      <w:marTop w:val="0"/>
      <w:marBottom w:val="0"/>
      <w:divBdr>
        <w:top w:val="none" w:sz="0" w:space="0" w:color="auto"/>
        <w:left w:val="none" w:sz="0" w:space="0" w:color="auto"/>
        <w:bottom w:val="none" w:sz="0" w:space="0" w:color="auto"/>
        <w:right w:val="none" w:sz="0" w:space="0" w:color="auto"/>
      </w:divBdr>
    </w:div>
    <w:div w:id="757404395">
      <w:bodyDiv w:val="1"/>
      <w:marLeft w:val="0"/>
      <w:marRight w:val="0"/>
      <w:marTop w:val="0"/>
      <w:marBottom w:val="0"/>
      <w:divBdr>
        <w:top w:val="none" w:sz="0" w:space="0" w:color="auto"/>
        <w:left w:val="none" w:sz="0" w:space="0" w:color="auto"/>
        <w:bottom w:val="none" w:sz="0" w:space="0" w:color="auto"/>
        <w:right w:val="none" w:sz="0" w:space="0" w:color="auto"/>
      </w:divBdr>
    </w:div>
    <w:div w:id="771359341">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78257922">
      <w:bodyDiv w:val="1"/>
      <w:marLeft w:val="0"/>
      <w:marRight w:val="0"/>
      <w:marTop w:val="0"/>
      <w:marBottom w:val="0"/>
      <w:divBdr>
        <w:top w:val="none" w:sz="0" w:space="0" w:color="auto"/>
        <w:left w:val="none" w:sz="0" w:space="0" w:color="auto"/>
        <w:bottom w:val="none" w:sz="0" w:space="0" w:color="auto"/>
        <w:right w:val="none" w:sz="0" w:space="0" w:color="auto"/>
      </w:divBdr>
    </w:div>
    <w:div w:id="796872287">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19542881">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54415839">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2867782">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890506793">
      <w:bodyDiv w:val="1"/>
      <w:marLeft w:val="0"/>
      <w:marRight w:val="0"/>
      <w:marTop w:val="0"/>
      <w:marBottom w:val="0"/>
      <w:divBdr>
        <w:top w:val="none" w:sz="0" w:space="0" w:color="auto"/>
        <w:left w:val="none" w:sz="0" w:space="0" w:color="auto"/>
        <w:bottom w:val="none" w:sz="0" w:space="0" w:color="auto"/>
        <w:right w:val="none" w:sz="0" w:space="0" w:color="auto"/>
      </w:divBdr>
    </w:div>
    <w:div w:id="900477946">
      <w:bodyDiv w:val="1"/>
      <w:marLeft w:val="0"/>
      <w:marRight w:val="0"/>
      <w:marTop w:val="0"/>
      <w:marBottom w:val="0"/>
      <w:divBdr>
        <w:top w:val="none" w:sz="0" w:space="0" w:color="auto"/>
        <w:left w:val="none" w:sz="0" w:space="0" w:color="auto"/>
        <w:bottom w:val="none" w:sz="0" w:space="0" w:color="auto"/>
        <w:right w:val="none" w:sz="0" w:space="0" w:color="auto"/>
      </w:divBdr>
    </w:div>
    <w:div w:id="904948551">
      <w:bodyDiv w:val="1"/>
      <w:marLeft w:val="0"/>
      <w:marRight w:val="0"/>
      <w:marTop w:val="0"/>
      <w:marBottom w:val="0"/>
      <w:divBdr>
        <w:top w:val="none" w:sz="0" w:space="0" w:color="auto"/>
        <w:left w:val="none" w:sz="0" w:space="0" w:color="auto"/>
        <w:bottom w:val="none" w:sz="0" w:space="0" w:color="auto"/>
        <w:right w:val="none" w:sz="0" w:space="0" w:color="auto"/>
      </w:divBdr>
    </w:div>
    <w:div w:id="909773149">
      <w:bodyDiv w:val="1"/>
      <w:marLeft w:val="0"/>
      <w:marRight w:val="0"/>
      <w:marTop w:val="0"/>
      <w:marBottom w:val="0"/>
      <w:divBdr>
        <w:top w:val="none" w:sz="0" w:space="0" w:color="auto"/>
        <w:left w:val="none" w:sz="0" w:space="0" w:color="auto"/>
        <w:bottom w:val="none" w:sz="0" w:space="0" w:color="auto"/>
        <w:right w:val="none" w:sz="0" w:space="0" w:color="auto"/>
      </w:divBdr>
    </w:div>
    <w:div w:id="920993415">
      <w:bodyDiv w:val="1"/>
      <w:marLeft w:val="0"/>
      <w:marRight w:val="0"/>
      <w:marTop w:val="0"/>
      <w:marBottom w:val="0"/>
      <w:divBdr>
        <w:top w:val="none" w:sz="0" w:space="0" w:color="auto"/>
        <w:left w:val="none" w:sz="0" w:space="0" w:color="auto"/>
        <w:bottom w:val="none" w:sz="0" w:space="0" w:color="auto"/>
        <w:right w:val="none" w:sz="0" w:space="0" w:color="auto"/>
      </w:divBdr>
    </w:div>
    <w:div w:id="948119191">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6912295">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3853997">
      <w:bodyDiv w:val="1"/>
      <w:marLeft w:val="0"/>
      <w:marRight w:val="0"/>
      <w:marTop w:val="0"/>
      <w:marBottom w:val="0"/>
      <w:divBdr>
        <w:top w:val="none" w:sz="0" w:space="0" w:color="auto"/>
        <w:left w:val="none" w:sz="0" w:space="0" w:color="auto"/>
        <w:bottom w:val="none" w:sz="0" w:space="0" w:color="auto"/>
        <w:right w:val="none" w:sz="0" w:space="0" w:color="auto"/>
      </w:divBdr>
    </w:div>
    <w:div w:id="986326184">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1431033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4238514">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76438802">
      <w:bodyDiv w:val="1"/>
      <w:marLeft w:val="0"/>
      <w:marRight w:val="0"/>
      <w:marTop w:val="0"/>
      <w:marBottom w:val="0"/>
      <w:divBdr>
        <w:top w:val="none" w:sz="0" w:space="0" w:color="auto"/>
        <w:left w:val="none" w:sz="0" w:space="0" w:color="auto"/>
        <w:bottom w:val="none" w:sz="0" w:space="0" w:color="auto"/>
        <w:right w:val="none" w:sz="0" w:space="0" w:color="auto"/>
      </w:divBdr>
    </w:div>
    <w:div w:id="1087383105">
      <w:bodyDiv w:val="1"/>
      <w:marLeft w:val="0"/>
      <w:marRight w:val="0"/>
      <w:marTop w:val="0"/>
      <w:marBottom w:val="0"/>
      <w:divBdr>
        <w:top w:val="none" w:sz="0" w:space="0" w:color="auto"/>
        <w:left w:val="none" w:sz="0" w:space="0" w:color="auto"/>
        <w:bottom w:val="none" w:sz="0" w:space="0" w:color="auto"/>
        <w:right w:val="none" w:sz="0" w:space="0" w:color="auto"/>
      </w:divBdr>
    </w:div>
    <w:div w:id="1099563873">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65827680">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82089617">
      <w:bodyDiv w:val="1"/>
      <w:marLeft w:val="0"/>
      <w:marRight w:val="0"/>
      <w:marTop w:val="0"/>
      <w:marBottom w:val="0"/>
      <w:divBdr>
        <w:top w:val="none" w:sz="0" w:space="0" w:color="auto"/>
        <w:left w:val="none" w:sz="0" w:space="0" w:color="auto"/>
        <w:bottom w:val="none" w:sz="0" w:space="0" w:color="auto"/>
        <w:right w:val="none" w:sz="0" w:space="0" w:color="auto"/>
      </w:divBdr>
    </w:div>
    <w:div w:id="1187907883">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54048722">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2937696">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77716168">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11180418">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59966388">
      <w:bodyDiv w:val="1"/>
      <w:marLeft w:val="0"/>
      <w:marRight w:val="0"/>
      <w:marTop w:val="0"/>
      <w:marBottom w:val="0"/>
      <w:divBdr>
        <w:top w:val="none" w:sz="0" w:space="0" w:color="auto"/>
        <w:left w:val="none" w:sz="0" w:space="0" w:color="auto"/>
        <w:bottom w:val="none" w:sz="0" w:space="0" w:color="auto"/>
        <w:right w:val="none" w:sz="0" w:space="0" w:color="auto"/>
      </w:divBdr>
    </w:div>
    <w:div w:id="136000633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75618002">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89111702">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02827284">
      <w:bodyDiv w:val="1"/>
      <w:marLeft w:val="0"/>
      <w:marRight w:val="0"/>
      <w:marTop w:val="0"/>
      <w:marBottom w:val="0"/>
      <w:divBdr>
        <w:top w:val="none" w:sz="0" w:space="0" w:color="auto"/>
        <w:left w:val="none" w:sz="0" w:space="0" w:color="auto"/>
        <w:bottom w:val="none" w:sz="0" w:space="0" w:color="auto"/>
        <w:right w:val="none" w:sz="0" w:space="0" w:color="auto"/>
      </w:divBdr>
    </w:div>
    <w:div w:id="1407798390">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17167476">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1482666">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490748126">
      <w:bodyDiv w:val="1"/>
      <w:marLeft w:val="0"/>
      <w:marRight w:val="0"/>
      <w:marTop w:val="0"/>
      <w:marBottom w:val="0"/>
      <w:divBdr>
        <w:top w:val="none" w:sz="0" w:space="0" w:color="auto"/>
        <w:left w:val="none" w:sz="0" w:space="0" w:color="auto"/>
        <w:bottom w:val="none" w:sz="0" w:space="0" w:color="auto"/>
        <w:right w:val="none" w:sz="0" w:space="0" w:color="auto"/>
      </w:divBdr>
    </w:div>
    <w:div w:id="1514029451">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7331641">
      <w:bodyDiv w:val="1"/>
      <w:marLeft w:val="0"/>
      <w:marRight w:val="0"/>
      <w:marTop w:val="0"/>
      <w:marBottom w:val="0"/>
      <w:divBdr>
        <w:top w:val="none" w:sz="0" w:space="0" w:color="auto"/>
        <w:left w:val="none" w:sz="0" w:space="0" w:color="auto"/>
        <w:bottom w:val="none" w:sz="0" w:space="0" w:color="auto"/>
        <w:right w:val="none" w:sz="0" w:space="0" w:color="auto"/>
      </w:divBdr>
    </w:div>
    <w:div w:id="1549998975">
      <w:bodyDiv w:val="1"/>
      <w:marLeft w:val="0"/>
      <w:marRight w:val="0"/>
      <w:marTop w:val="0"/>
      <w:marBottom w:val="0"/>
      <w:divBdr>
        <w:top w:val="none" w:sz="0" w:space="0" w:color="auto"/>
        <w:left w:val="none" w:sz="0" w:space="0" w:color="auto"/>
        <w:bottom w:val="none" w:sz="0" w:space="0" w:color="auto"/>
        <w:right w:val="none" w:sz="0" w:space="0" w:color="auto"/>
      </w:divBdr>
    </w:div>
    <w:div w:id="1552961696">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84224536">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37906881">
      <w:bodyDiv w:val="1"/>
      <w:marLeft w:val="0"/>
      <w:marRight w:val="0"/>
      <w:marTop w:val="0"/>
      <w:marBottom w:val="0"/>
      <w:divBdr>
        <w:top w:val="none" w:sz="0" w:space="0" w:color="auto"/>
        <w:left w:val="none" w:sz="0" w:space="0" w:color="auto"/>
        <w:bottom w:val="none" w:sz="0" w:space="0" w:color="auto"/>
        <w:right w:val="none" w:sz="0" w:space="0" w:color="auto"/>
      </w:divBdr>
    </w:div>
    <w:div w:id="1652365715">
      <w:bodyDiv w:val="1"/>
      <w:marLeft w:val="0"/>
      <w:marRight w:val="0"/>
      <w:marTop w:val="0"/>
      <w:marBottom w:val="0"/>
      <w:divBdr>
        <w:top w:val="none" w:sz="0" w:space="0" w:color="auto"/>
        <w:left w:val="none" w:sz="0" w:space="0" w:color="auto"/>
        <w:bottom w:val="none" w:sz="0" w:space="0" w:color="auto"/>
        <w:right w:val="none" w:sz="0" w:space="0" w:color="auto"/>
      </w:divBdr>
    </w:div>
    <w:div w:id="1660690218">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7367833">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83555132">
      <w:bodyDiv w:val="1"/>
      <w:marLeft w:val="0"/>
      <w:marRight w:val="0"/>
      <w:marTop w:val="0"/>
      <w:marBottom w:val="0"/>
      <w:divBdr>
        <w:top w:val="none" w:sz="0" w:space="0" w:color="auto"/>
        <w:left w:val="none" w:sz="0" w:space="0" w:color="auto"/>
        <w:bottom w:val="none" w:sz="0" w:space="0" w:color="auto"/>
        <w:right w:val="none" w:sz="0" w:space="0" w:color="auto"/>
      </w:divBdr>
    </w:div>
    <w:div w:id="1684167873">
      <w:bodyDiv w:val="1"/>
      <w:marLeft w:val="0"/>
      <w:marRight w:val="0"/>
      <w:marTop w:val="0"/>
      <w:marBottom w:val="0"/>
      <w:divBdr>
        <w:top w:val="none" w:sz="0" w:space="0" w:color="auto"/>
        <w:left w:val="none" w:sz="0" w:space="0" w:color="auto"/>
        <w:bottom w:val="none" w:sz="0" w:space="0" w:color="auto"/>
        <w:right w:val="none" w:sz="0" w:space="0" w:color="auto"/>
      </w:divBdr>
    </w:div>
    <w:div w:id="1696494753">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39547031">
      <w:bodyDiv w:val="1"/>
      <w:marLeft w:val="0"/>
      <w:marRight w:val="0"/>
      <w:marTop w:val="0"/>
      <w:marBottom w:val="0"/>
      <w:divBdr>
        <w:top w:val="none" w:sz="0" w:space="0" w:color="auto"/>
        <w:left w:val="none" w:sz="0" w:space="0" w:color="auto"/>
        <w:bottom w:val="none" w:sz="0" w:space="0" w:color="auto"/>
        <w:right w:val="none" w:sz="0" w:space="0" w:color="auto"/>
      </w:divBdr>
    </w:div>
    <w:div w:id="1771505373">
      <w:bodyDiv w:val="1"/>
      <w:marLeft w:val="0"/>
      <w:marRight w:val="0"/>
      <w:marTop w:val="0"/>
      <w:marBottom w:val="0"/>
      <w:divBdr>
        <w:top w:val="none" w:sz="0" w:space="0" w:color="auto"/>
        <w:left w:val="none" w:sz="0" w:space="0" w:color="auto"/>
        <w:bottom w:val="none" w:sz="0" w:space="0" w:color="auto"/>
        <w:right w:val="none" w:sz="0" w:space="0" w:color="auto"/>
      </w:divBdr>
    </w:div>
    <w:div w:id="1772817469">
      <w:bodyDiv w:val="1"/>
      <w:marLeft w:val="0"/>
      <w:marRight w:val="0"/>
      <w:marTop w:val="0"/>
      <w:marBottom w:val="0"/>
      <w:divBdr>
        <w:top w:val="none" w:sz="0" w:space="0" w:color="auto"/>
        <w:left w:val="none" w:sz="0" w:space="0" w:color="auto"/>
        <w:bottom w:val="none" w:sz="0" w:space="0" w:color="auto"/>
        <w:right w:val="none" w:sz="0" w:space="0" w:color="auto"/>
      </w:divBdr>
    </w:div>
    <w:div w:id="179563491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17529058">
      <w:bodyDiv w:val="1"/>
      <w:marLeft w:val="0"/>
      <w:marRight w:val="0"/>
      <w:marTop w:val="0"/>
      <w:marBottom w:val="0"/>
      <w:divBdr>
        <w:top w:val="none" w:sz="0" w:space="0" w:color="auto"/>
        <w:left w:val="none" w:sz="0" w:space="0" w:color="auto"/>
        <w:bottom w:val="none" w:sz="0" w:space="0" w:color="auto"/>
        <w:right w:val="none" w:sz="0" w:space="0" w:color="auto"/>
      </w:divBdr>
    </w:div>
    <w:div w:id="1824927466">
      <w:bodyDiv w:val="1"/>
      <w:marLeft w:val="0"/>
      <w:marRight w:val="0"/>
      <w:marTop w:val="0"/>
      <w:marBottom w:val="0"/>
      <w:divBdr>
        <w:top w:val="none" w:sz="0" w:space="0" w:color="auto"/>
        <w:left w:val="none" w:sz="0" w:space="0" w:color="auto"/>
        <w:bottom w:val="none" w:sz="0" w:space="0" w:color="auto"/>
        <w:right w:val="none" w:sz="0" w:space="0" w:color="auto"/>
      </w:divBdr>
    </w:div>
    <w:div w:id="1825931201">
      <w:bodyDiv w:val="1"/>
      <w:marLeft w:val="0"/>
      <w:marRight w:val="0"/>
      <w:marTop w:val="0"/>
      <w:marBottom w:val="0"/>
      <w:divBdr>
        <w:top w:val="none" w:sz="0" w:space="0" w:color="auto"/>
        <w:left w:val="none" w:sz="0" w:space="0" w:color="auto"/>
        <w:bottom w:val="none" w:sz="0" w:space="0" w:color="auto"/>
        <w:right w:val="none" w:sz="0" w:space="0" w:color="auto"/>
      </w:divBdr>
    </w:div>
    <w:div w:id="1831559195">
      <w:bodyDiv w:val="1"/>
      <w:marLeft w:val="0"/>
      <w:marRight w:val="0"/>
      <w:marTop w:val="0"/>
      <w:marBottom w:val="0"/>
      <w:divBdr>
        <w:top w:val="none" w:sz="0" w:space="0" w:color="auto"/>
        <w:left w:val="none" w:sz="0" w:space="0" w:color="auto"/>
        <w:bottom w:val="none" w:sz="0" w:space="0" w:color="auto"/>
        <w:right w:val="none" w:sz="0" w:space="0" w:color="auto"/>
      </w:divBdr>
    </w:div>
    <w:div w:id="1833066006">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366505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00633936">
      <w:bodyDiv w:val="1"/>
      <w:marLeft w:val="0"/>
      <w:marRight w:val="0"/>
      <w:marTop w:val="0"/>
      <w:marBottom w:val="0"/>
      <w:divBdr>
        <w:top w:val="none" w:sz="0" w:space="0" w:color="auto"/>
        <w:left w:val="none" w:sz="0" w:space="0" w:color="auto"/>
        <w:bottom w:val="none" w:sz="0" w:space="0" w:color="auto"/>
        <w:right w:val="none" w:sz="0" w:space="0" w:color="auto"/>
      </w:divBdr>
    </w:div>
    <w:div w:id="1913616463">
      <w:bodyDiv w:val="1"/>
      <w:marLeft w:val="0"/>
      <w:marRight w:val="0"/>
      <w:marTop w:val="0"/>
      <w:marBottom w:val="0"/>
      <w:divBdr>
        <w:top w:val="none" w:sz="0" w:space="0" w:color="auto"/>
        <w:left w:val="none" w:sz="0" w:space="0" w:color="auto"/>
        <w:bottom w:val="none" w:sz="0" w:space="0" w:color="auto"/>
        <w:right w:val="none" w:sz="0" w:space="0" w:color="auto"/>
      </w:divBdr>
    </w:div>
    <w:div w:id="1925912942">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55596043">
      <w:bodyDiv w:val="1"/>
      <w:marLeft w:val="0"/>
      <w:marRight w:val="0"/>
      <w:marTop w:val="0"/>
      <w:marBottom w:val="0"/>
      <w:divBdr>
        <w:top w:val="none" w:sz="0" w:space="0" w:color="auto"/>
        <w:left w:val="none" w:sz="0" w:space="0" w:color="auto"/>
        <w:bottom w:val="none" w:sz="0" w:space="0" w:color="auto"/>
        <w:right w:val="none" w:sz="0" w:space="0" w:color="auto"/>
      </w:divBdr>
    </w:div>
    <w:div w:id="1968733183">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25937613">
      <w:bodyDiv w:val="1"/>
      <w:marLeft w:val="0"/>
      <w:marRight w:val="0"/>
      <w:marTop w:val="0"/>
      <w:marBottom w:val="0"/>
      <w:divBdr>
        <w:top w:val="none" w:sz="0" w:space="0" w:color="auto"/>
        <w:left w:val="none" w:sz="0" w:space="0" w:color="auto"/>
        <w:bottom w:val="none" w:sz="0" w:space="0" w:color="auto"/>
        <w:right w:val="none" w:sz="0" w:space="0" w:color="auto"/>
      </w:divBdr>
    </w:div>
    <w:div w:id="2063744031">
      <w:bodyDiv w:val="1"/>
      <w:marLeft w:val="0"/>
      <w:marRight w:val="0"/>
      <w:marTop w:val="0"/>
      <w:marBottom w:val="0"/>
      <w:divBdr>
        <w:top w:val="none" w:sz="0" w:space="0" w:color="auto"/>
        <w:left w:val="none" w:sz="0" w:space="0" w:color="auto"/>
        <w:bottom w:val="none" w:sz="0" w:space="0" w:color="auto"/>
        <w:right w:val="none" w:sz="0" w:space="0" w:color="auto"/>
      </w:divBdr>
    </w:div>
    <w:div w:id="207141964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75467349">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 w:id="2122986822">
      <w:bodyDiv w:val="1"/>
      <w:marLeft w:val="0"/>
      <w:marRight w:val="0"/>
      <w:marTop w:val="0"/>
      <w:marBottom w:val="0"/>
      <w:divBdr>
        <w:top w:val="none" w:sz="0" w:space="0" w:color="auto"/>
        <w:left w:val="none" w:sz="0" w:space="0" w:color="auto"/>
        <w:bottom w:val="none" w:sz="0" w:space="0" w:color="auto"/>
        <w:right w:val="none" w:sz="0" w:space="0" w:color="auto"/>
      </w:divBdr>
    </w:div>
    <w:div w:id="2134908128">
      <w:bodyDiv w:val="1"/>
      <w:marLeft w:val="0"/>
      <w:marRight w:val="0"/>
      <w:marTop w:val="0"/>
      <w:marBottom w:val="0"/>
      <w:divBdr>
        <w:top w:val="none" w:sz="0" w:space="0" w:color="auto"/>
        <w:left w:val="none" w:sz="0" w:space="0" w:color="auto"/>
        <w:bottom w:val="none" w:sz="0" w:space="0" w:color="auto"/>
        <w:right w:val="none" w:sz="0" w:space="0" w:color="auto"/>
      </w:divBdr>
    </w:div>
    <w:div w:id="2137720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25303-46D3-470F-AB6F-AF4908133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2573</Words>
  <Characters>15183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2020-12-10T05:13:00Z</dcterms:created>
  <dcterms:modified xsi:type="dcterms:W3CDTF">2020-12-16T02:43:00Z</dcterms:modified>
</cp:coreProperties>
</file>