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262"/>
        <w:gridCol w:w="3201"/>
        <w:gridCol w:w="7011"/>
      </w:tblGrid>
      <w:tr w:rsidR="00987FDA" w:rsidRPr="003042C5" w14:paraId="2CCE65E2" w14:textId="77777777" w:rsidTr="008E2272">
        <w:trPr>
          <w:cantSplit/>
          <w:trHeight w:val="688"/>
          <w:tblHeader/>
        </w:trPr>
        <w:tc>
          <w:tcPr>
            <w:tcW w:w="3071" w:type="dxa"/>
            <w:tcMar>
              <w:top w:w="28" w:type="dxa"/>
              <w:bottom w:w="28" w:type="dxa"/>
            </w:tcMar>
          </w:tcPr>
          <w:p w14:paraId="50BF40E7" w14:textId="6D4EA408" w:rsidR="00E836AC" w:rsidRPr="003042C5" w:rsidRDefault="00E836AC" w:rsidP="00F1435D">
            <w:pPr>
              <w:widowControl w:val="0"/>
              <w:jc w:val="center"/>
              <w:rPr>
                <w:rFonts w:ascii="Arial" w:hAnsi="Arial" w:cs="Arial"/>
                <w:b/>
              </w:rPr>
            </w:pPr>
            <w:r w:rsidRPr="003042C5">
              <w:rPr>
                <w:rFonts w:ascii="Arial" w:hAnsi="Arial" w:cs="Arial"/>
                <w:b/>
              </w:rPr>
              <w:t>DRUG NAME, FORM(S), STRENGTH(S), SPONSOR, TYPE OF SUBMISSION</w:t>
            </w:r>
          </w:p>
        </w:tc>
        <w:tc>
          <w:tcPr>
            <w:tcW w:w="2262" w:type="dxa"/>
            <w:tcMar>
              <w:top w:w="28" w:type="dxa"/>
              <w:bottom w:w="28" w:type="dxa"/>
            </w:tcMar>
          </w:tcPr>
          <w:p w14:paraId="5429B522" w14:textId="77777777" w:rsidR="00987FDA" w:rsidRPr="003042C5" w:rsidRDefault="00E836AC" w:rsidP="0065234B">
            <w:pPr>
              <w:widowControl w:val="0"/>
              <w:jc w:val="center"/>
              <w:rPr>
                <w:rFonts w:ascii="Arial" w:hAnsi="Arial" w:cs="Arial"/>
                <w:b/>
                <w:snapToGrid w:val="0"/>
                <w:lang w:eastAsia="en-US"/>
              </w:rPr>
            </w:pPr>
            <w:r w:rsidRPr="003042C5">
              <w:rPr>
                <w:rFonts w:ascii="Arial" w:hAnsi="Arial" w:cs="Arial"/>
                <w:b/>
                <w:snapToGrid w:val="0"/>
                <w:lang w:eastAsia="en-US"/>
              </w:rPr>
              <w:t>DRUG TYPE AND USE</w:t>
            </w:r>
          </w:p>
          <w:p w14:paraId="5F16C3AC" w14:textId="77777777" w:rsidR="00987FDA" w:rsidRPr="003042C5" w:rsidRDefault="00987FDA" w:rsidP="0065234B">
            <w:pPr>
              <w:widowControl w:val="0"/>
              <w:jc w:val="center"/>
              <w:rPr>
                <w:rFonts w:ascii="Arial" w:hAnsi="Arial" w:cs="Arial"/>
                <w:b/>
                <w:snapToGrid w:val="0"/>
                <w:lang w:eastAsia="en-US"/>
              </w:rPr>
            </w:pPr>
          </w:p>
        </w:tc>
        <w:tc>
          <w:tcPr>
            <w:tcW w:w="3201" w:type="dxa"/>
            <w:tcMar>
              <w:top w:w="28" w:type="dxa"/>
              <w:bottom w:w="28" w:type="dxa"/>
            </w:tcMar>
          </w:tcPr>
          <w:p w14:paraId="2C046B4B" w14:textId="4D803AA5" w:rsidR="00E836AC" w:rsidRPr="003042C5" w:rsidRDefault="00E836AC" w:rsidP="00F1435D">
            <w:pPr>
              <w:widowControl w:val="0"/>
              <w:jc w:val="center"/>
              <w:rPr>
                <w:rFonts w:ascii="Arial" w:hAnsi="Arial" w:cs="Arial"/>
                <w:b/>
                <w:snapToGrid w:val="0"/>
                <w:lang w:eastAsia="en-US"/>
              </w:rPr>
            </w:pPr>
            <w:r w:rsidRPr="003042C5">
              <w:rPr>
                <w:rFonts w:ascii="Arial" w:hAnsi="Arial" w:cs="Arial"/>
                <w:b/>
                <w:snapToGrid w:val="0"/>
                <w:lang w:eastAsia="en-US"/>
              </w:rPr>
              <w:t>LISTING REQUESTED BY SPONSOR / PURPOSE OF SUBMISSION</w:t>
            </w:r>
          </w:p>
        </w:tc>
        <w:tc>
          <w:tcPr>
            <w:tcW w:w="7011" w:type="dxa"/>
          </w:tcPr>
          <w:p w14:paraId="4094F02B" w14:textId="77777777" w:rsidR="00987FDA" w:rsidRPr="003042C5" w:rsidRDefault="00E836AC" w:rsidP="00E836AC">
            <w:pPr>
              <w:pStyle w:val="Header"/>
              <w:jc w:val="center"/>
              <w:rPr>
                <w:rFonts w:ascii="Arial" w:hAnsi="Arial" w:cs="Arial"/>
                <w:b/>
                <w:snapToGrid w:val="0"/>
                <w:lang w:eastAsia="en-US"/>
              </w:rPr>
            </w:pPr>
            <w:r w:rsidRPr="003042C5">
              <w:rPr>
                <w:rFonts w:ascii="Arial" w:hAnsi="Arial" w:cs="Arial"/>
                <w:b/>
                <w:snapToGrid w:val="0"/>
                <w:lang w:eastAsia="en-US"/>
              </w:rPr>
              <w:t>PBAC OUTCOME</w:t>
            </w:r>
          </w:p>
        </w:tc>
      </w:tr>
      <w:tr w:rsidR="0053780B" w:rsidRPr="003042C5" w14:paraId="564CC838" w14:textId="77777777" w:rsidTr="008E2272">
        <w:trPr>
          <w:cantSplit/>
          <w:trHeight w:val="477"/>
        </w:trPr>
        <w:tc>
          <w:tcPr>
            <w:tcW w:w="3071" w:type="dxa"/>
            <w:vMerge w:val="restart"/>
            <w:tcMar>
              <w:top w:w="28" w:type="dxa"/>
              <w:bottom w:w="28" w:type="dxa"/>
            </w:tcMar>
          </w:tcPr>
          <w:p w14:paraId="595B4279" w14:textId="77777777" w:rsidR="0053780B" w:rsidRPr="008D1B78" w:rsidRDefault="0053780B" w:rsidP="0053780B">
            <w:pPr>
              <w:widowControl w:val="0"/>
              <w:rPr>
                <w:rFonts w:ascii="Arial" w:hAnsi="Arial" w:cs="Arial"/>
                <w:snapToGrid w:val="0"/>
                <w:lang w:eastAsia="en-US"/>
              </w:rPr>
            </w:pPr>
            <w:r w:rsidRPr="008D1B78">
              <w:rPr>
                <w:rFonts w:ascii="Arial" w:hAnsi="Arial" w:cs="Arial"/>
                <w:snapToGrid w:val="0"/>
                <w:lang w:eastAsia="en-US"/>
              </w:rPr>
              <w:t>ADALIMUMAB</w:t>
            </w:r>
          </w:p>
          <w:p w14:paraId="1D11F4E6" w14:textId="77777777" w:rsidR="0053780B" w:rsidRPr="008D1B78" w:rsidRDefault="0053780B" w:rsidP="0053780B">
            <w:pPr>
              <w:widowControl w:val="0"/>
              <w:rPr>
                <w:rFonts w:ascii="Arial" w:hAnsi="Arial" w:cs="Arial"/>
                <w:snapToGrid w:val="0"/>
                <w:lang w:eastAsia="en-US"/>
              </w:rPr>
            </w:pPr>
          </w:p>
          <w:p w14:paraId="54ECE655" w14:textId="77777777" w:rsidR="0053780B" w:rsidRPr="008D1B78" w:rsidRDefault="0053780B" w:rsidP="0053780B">
            <w:pPr>
              <w:widowControl w:val="0"/>
              <w:rPr>
                <w:rFonts w:ascii="Arial" w:hAnsi="Arial" w:cs="Arial"/>
                <w:snapToGrid w:val="0"/>
                <w:lang w:eastAsia="en-US"/>
              </w:rPr>
            </w:pPr>
            <w:r w:rsidRPr="008D1B78">
              <w:rPr>
                <w:rFonts w:ascii="Arial" w:hAnsi="Arial" w:cs="Arial"/>
                <w:snapToGrid w:val="0"/>
                <w:lang w:eastAsia="en-US"/>
              </w:rPr>
              <w:t>Injection 40 mg pre-filled syringe</w:t>
            </w:r>
          </w:p>
          <w:p w14:paraId="1F4D2F5C" w14:textId="77777777" w:rsidR="0053780B" w:rsidRPr="008D1B78" w:rsidRDefault="0053780B" w:rsidP="0053780B">
            <w:pPr>
              <w:widowControl w:val="0"/>
              <w:rPr>
                <w:rFonts w:ascii="Arial" w:hAnsi="Arial" w:cs="Arial"/>
                <w:snapToGrid w:val="0"/>
                <w:lang w:eastAsia="en-US"/>
              </w:rPr>
            </w:pPr>
            <w:r w:rsidRPr="008D1B78">
              <w:rPr>
                <w:rFonts w:ascii="Arial" w:hAnsi="Arial" w:cs="Arial"/>
                <w:snapToGrid w:val="0"/>
                <w:lang w:eastAsia="en-US"/>
              </w:rPr>
              <w:t>Injection 40 mg auto-injector</w:t>
            </w:r>
          </w:p>
          <w:p w14:paraId="6F1EA626" w14:textId="77777777" w:rsidR="0053780B" w:rsidRPr="008D1B78" w:rsidRDefault="0053780B" w:rsidP="0053780B">
            <w:pPr>
              <w:widowControl w:val="0"/>
              <w:rPr>
                <w:rFonts w:ascii="Arial" w:hAnsi="Arial" w:cs="Arial"/>
                <w:snapToGrid w:val="0"/>
                <w:lang w:eastAsia="en-US"/>
              </w:rPr>
            </w:pPr>
          </w:p>
          <w:p w14:paraId="05D8F5D2" w14:textId="77777777" w:rsidR="0053780B" w:rsidRPr="008D1B78" w:rsidRDefault="0053780B" w:rsidP="0053780B">
            <w:pPr>
              <w:widowControl w:val="0"/>
              <w:rPr>
                <w:rFonts w:ascii="Arial" w:hAnsi="Arial" w:cs="Arial"/>
                <w:snapToGrid w:val="0"/>
                <w:lang w:eastAsia="en-US"/>
              </w:rPr>
            </w:pPr>
            <w:proofErr w:type="spellStart"/>
            <w:r w:rsidRPr="008D1B78">
              <w:rPr>
                <w:rFonts w:ascii="Arial" w:hAnsi="Arial" w:cs="Arial"/>
                <w:snapToGrid w:val="0"/>
                <w:lang w:eastAsia="en-US"/>
              </w:rPr>
              <w:t>Hadlima</w:t>
            </w:r>
            <w:proofErr w:type="spellEnd"/>
            <w:r w:rsidRPr="008D1B78">
              <w:rPr>
                <w:rFonts w:ascii="Arial" w:hAnsi="Arial" w:cs="Arial"/>
                <w:snapToGrid w:val="0"/>
                <w:lang w:eastAsia="en-US"/>
              </w:rPr>
              <w:t>®</w:t>
            </w:r>
          </w:p>
          <w:p w14:paraId="6F5B300F" w14:textId="77777777" w:rsidR="0053780B" w:rsidRPr="008D1B78" w:rsidRDefault="0053780B" w:rsidP="0053780B">
            <w:pPr>
              <w:widowControl w:val="0"/>
              <w:rPr>
                <w:rFonts w:ascii="Arial" w:hAnsi="Arial" w:cs="Arial"/>
                <w:snapToGrid w:val="0"/>
                <w:lang w:eastAsia="en-US"/>
              </w:rPr>
            </w:pPr>
          </w:p>
          <w:p w14:paraId="4DDAFBF6" w14:textId="77777777" w:rsidR="0053780B" w:rsidRDefault="0053780B" w:rsidP="0053780B">
            <w:pPr>
              <w:widowControl w:val="0"/>
              <w:rPr>
                <w:rFonts w:ascii="Arial" w:hAnsi="Arial" w:cs="Arial"/>
                <w:snapToGrid w:val="0"/>
                <w:lang w:eastAsia="en-US"/>
              </w:rPr>
            </w:pPr>
            <w:r w:rsidRPr="008D1B78">
              <w:rPr>
                <w:rFonts w:ascii="Arial" w:hAnsi="Arial" w:cs="Arial"/>
                <w:snapToGrid w:val="0"/>
                <w:lang w:eastAsia="en-US"/>
              </w:rPr>
              <w:t xml:space="preserve">Merck Sharp &amp; </w:t>
            </w:r>
            <w:proofErr w:type="spellStart"/>
            <w:r w:rsidRPr="008D1B78">
              <w:rPr>
                <w:rFonts w:ascii="Arial" w:hAnsi="Arial" w:cs="Arial"/>
                <w:snapToGrid w:val="0"/>
                <w:lang w:eastAsia="en-US"/>
              </w:rPr>
              <w:t>Dohme</w:t>
            </w:r>
            <w:proofErr w:type="spellEnd"/>
            <w:r w:rsidRPr="008D1B78">
              <w:rPr>
                <w:rFonts w:ascii="Arial" w:hAnsi="Arial" w:cs="Arial"/>
                <w:snapToGrid w:val="0"/>
                <w:lang w:eastAsia="en-US"/>
              </w:rPr>
              <w:t xml:space="preserve"> (Australia) Pty Ltd</w:t>
            </w:r>
          </w:p>
          <w:p w14:paraId="19698944" w14:textId="77777777" w:rsidR="0053780B" w:rsidRDefault="0053780B" w:rsidP="0053780B">
            <w:pPr>
              <w:widowControl w:val="0"/>
              <w:rPr>
                <w:rFonts w:ascii="Arial" w:hAnsi="Arial" w:cs="Arial"/>
                <w:snapToGrid w:val="0"/>
                <w:lang w:eastAsia="en-US"/>
              </w:rPr>
            </w:pPr>
          </w:p>
          <w:p w14:paraId="0A5AF1C5" w14:textId="77777777" w:rsidR="0053780B" w:rsidRPr="008D1B78" w:rsidRDefault="0053780B" w:rsidP="0053780B">
            <w:pPr>
              <w:widowControl w:val="0"/>
              <w:rPr>
                <w:rFonts w:ascii="Arial" w:hAnsi="Arial" w:cs="Arial"/>
                <w:snapToGrid w:val="0"/>
                <w:lang w:eastAsia="en-US"/>
              </w:rPr>
            </w:pPr>
            <w:r w:rsidRPr="008D1B78">
              <w:rPr>
                <w:rFonts w:ascii="Arial" w:hAnsi="Arial" w:cs="Arial"/>
                <w:snapToGrid w:val="0"/>
                <w:lang w:eastAsia="en-US"/>
              </w:rPr>
              <w:t xml:space="preserve">Change to listing </w:t>
            </w:r>
          </w:p>
          <w:p w14:paraId="1B528F8C" w14:textId="718D96D5" w:rsidR="0053780B" w:rsidRPr="001B36EF" w:rsidRDefault="0053780B" w:rsidP="0053780B">
            <w:pPr>
              <w:widowControl w:val="0"/>
              <w:rPr>
                <w:rFonts w:ascii="Arial" w:hAnsi="Arial" w:cs="Arial"/>
                <w:snapToGrid w:val="0"/>
                <w:lang w:eastAsia="en-US"/>
              </w:rPr>
            </w:pPr>
            <w:r w:rsidRPr="008D1B78">
              <w:rPr>
                <w:rFonts w:ascii="Arial" w:hAnsi="Arial" w:cs="Arial"/>
                <w:snapToGrid w:val="0"/>
                <w:lang w:eastAsia="en-US"/>
              </w:rPr>
              <w:t>(Minor Submission)</w:t>
            </w:r>
          </w:p>
        </w:tc>
        <w:tc>
          <w:tcPr>
            <w:tcW w:w="2262" w:type="dxa"/>
            <w:vMerge w:val="restart"/>
          </w:tcPr>
          <w:p w14:paraId="35D3FC13" w14:textId="4229DFE3" w:rsidR="0053780B" w:rsidRPr="003042C5" w:rsidRDefault="0053780B" w:rsidP="0053780B">
            <w:pPr>
              <w:widowControl w:val="0"/>
              <w:spacing w:after="120"/>
              <w:rPr>
                <w:rFonts w:ascii="Arial" w:hAnsi="Arial" w:cs="Arial"/>
                <w:snapToGrid w:val="0"/>
                <w:lang w:eastAsia="en-US"/>
              </w:rPr>
            </w:pPr>
            <w:r w:rsidRPr="008D1B78">
              <w:rPr>
                <w:rFonts w:ascii="Arial" w:hAnsi="Arial" w:cs="Arial"/>
                <w:snapToGrid w:val="0"/>
                <w:lang w:eastAsia="en-US"/>
              </w:rPr>
              <w:t>Severe Crohn disease; complex refractory fistulising Crohn disease; moderate to severe ulcerative colitis; severe active juvenile idiopathic arthritis; adult patients with a history of juvenile idiopathic arthritis; severe psoriatic arthritis; ankylosing spondylitis; severe chronic plaque psoriasis; severe active rheumatoid arthritis</w:t>
            </w:r>
          </w:p>
        </w:tc>
        <w:tc>
          <w:tcPr>
            <w:tcW w:w="3201" w:type="dxa"/>
            <w:tcMar>
              <w:top w:w="28" w:type="dxa"/>
              <w:bottom w:w="28" w:type="dxa"/>
            </w:tcMar>
          </w:tcPr>
          <w:p w14:paraId="207A2EC9" w14:textId="2BECD226" w:rsidR="0053780B" w:rsidRPr="003042C5" w:rsidRDefault="0053780B" w:rsidP="0053780B">
            <w:pPr>
              <w:widowControl w:val="0"/>
              <w:rPr>
                <w:rFonts w:ascii="Arial" w:hAnsi="Arial" w:cs="Arial"/>
                <w:snapToGrid w:val="0"/>
                <w:lang w:eastAsia="en-US"/>
              </w:rPr>
            </w:pPr>
            <w:r w:rsidRPr="008D1B78">
              <w:rPr>
                <w:rFonts w:ascii="Arial" w:hAnsi="Arial" w:cs="Arial"/>
                <w:snapToGrid w:val="0"/>
                <w:lang w:eastAsia="en-US"/>
              </w:rPr>
              <w:t xml:space="preserve">To request an Authority Required (STREAMLINED) listing for the biosimilar in the continuing treatment phase; to request an Authority Required (telephone) for the biosimilar in the initial treatment phase; and to request that use of the biosimilar not count as treatment failure. </w:t>
            </w:r>
          </w:p>
        </w:tc>
        <w:tc>
          <w:tcPr>
            <w:tcW w:w="7011" w:type="dxa"/>
          </w:tcPr>
          <w:p w14:paraId="0D344086" w14:textId="4C93FF49" w:rsidR="0053780B" w:rsidRDefault="0053780B" w:rsidP="0053780B">
            <w:pPr>
              <w:rPr>
                <w:rFonts w:ascii="Arial" w:hAnsi="Arial" w:cs="Arial"/>
                <w:color w:val="000000"/>
              </w:rPr>
            </w:pPr>
            <w:r w:rsidRPr="0009760B">
              <w:rPr>
                <w:rFonts w:ascii="Arial" w:hAnsi="Arial" w:cs="Arial"/>
                <w:color w:val="000000"/>
              </w:rPr>
              <w:t xml:space="preserve">The PBAC deferred its consideration of the requested biosimilar uptake drivers for </w:t>
            </w:r>
            <w:proofErr w:type="spellStart"/>
            <w:r w:rsidRPr="0009760B">
              <w:rPr>
                <w:rFonts w:ascii="Arial" w:hAnsi="Arial" w:cs="Arial"/>
                <w:color w:val="000000"/>
              </w:rPr>
              <w:t>adalimumab</w:t>
            </w:r>
            <w:proofErr w:type="spellEnd"/>
            <w:r w:rsidRPr="0009760B">
              <w:rPr>
                <w:rFonts w:ascii="Arial" w:hAnsi="Arial" w:cs="Arial"/>
                <w:color w:val="000000"/>
              </w:rPr>
              <w:t xml:space="preserve"> (</w:t>
            </w:r>
            <w:proofErr w:type="spellStart"/>
            <w:r w:rsidRPr="0009760B">
              <w:rPr>
                <w:rFonts w:ascii="Arial" w:hAnsi="Arial" w:cs="Arial"/>
                <w:color w:val="000000"/>
              </w:rPr>
              <w:t>Hadlima</w:t>
            </w:r>
            <w:proofErr w:type="spellEnd"/>
            <w:r w:rsidRPr="0009760B">
              <w:rPr>
                <w:rFonts w:ascii="Arial" w:hAnsi="Arial" w:cs="Arial"/>
                <w:color w:val="000000"/>
              </w:rPr>
              <w:t xml:space="preserve">®) on the basis that these matters had potentially broader biosimilar policy implications and required further discussions between the Department and relevant stakeholders to ensure appropriate consideration. </w:t>
            </w:r>
          </w:p>
          <w:p w14:paraId="64B57081" w14:textId="77777777" w:rsidR="0053780B" w:rsidRDefault="0053780B" w:rsidP="0053780B">
            <w:pPr>
              <w:rPr>
                <w:rFonts w:ascii="Arial" w:hAnsi="Arial" w:cs="Arial"/>
                <w:color w:val="000000"/>
              </w:rPr>
            </w:pPr>
          </w:p>
          <w:p w14:paraId="59B02A1F" w14:textId="271FE22B" w:rsidR="0053780B" w:rsidRPr="003042C5" w:rsidRDefault="0053780B" w:rsidP="0053780B">
            <w:pPr>
              <w:rPr>
                <w:rFonts w:ascii="Arial" w:hAnsi="Arial" w:cs="Arial"/>
                <w:color w:val="000000"/>
              </w:rPr>
            </w:pPr>
            <w:r w:rsidRPr="0009760B">
              <w:rPr>
                <w:rFonts w:ascii="Arial" w:hAnsi="Arial" w:cs="Arial"/>
                <w:color w:val="000000"/>
              </w:rPr>
              <w:t>The PBAC considered that further work should take place out of session and return to the PBAC at a later date.</w:t>
            </w:r>
          </w:p>
        </w:tc>
      </w:tr>
      <w:tr w:rsidR="0053780B" w:rsidRPr="003042C5" w14:paraId="57D8A630" w14:textId="77777777" w:rsidTr="008E2272">
        <w:trPr>
          <w:cantSplit/>
          <w:trHeight w:val="477"/>
        </w:trPr>
        <w:tc>
          <w:tcPr>
            <w:tcW w:w="3071" w:type="dxa"/>
            <w:vMerge/>
            <w:tcMar>
              <w:top w:w="28" w:type="dxa"/>
              <w:bottom w:w="28" w:type="dxa"/>
            </w:tcMar>
          </w:tcPr>
          <w:p w14:paraId="5AA9E7D4" w14:textId="77777777" w:rsidR="0053780B" w:rsidRPr="003042C5" w:rsidRDefault="0053780B" w:rsidP="0053780B">
            <w:pPr>
              <w:widowControl w:val="0"/>
              <w:rPr>
                <w:rFonts w:ascii="Arial" w:hAnsi="Arial" w:cs="Arial"/>
                <w:snapToGrid w:val="0"/>
                <w:lang w:eastAsia="en-US"/>
              </w:rPr>
            </w:pPr>
          </w:p>
        </w:tc>
        <w:tc>
          <w:tcPr>
            <w:tcW w:w="2262" w:type="dxa"/>
            <w:vMerge/>
          </w:tcPr>
          <w:p w14:paraId="432FA7E7" w14:textId="77777777" w:rsidR="0053780B" w:rsidRPr="003042C5" w:rsidRDefault="0053780B" w:rsidP="0053780B">
            <w:pPr>
              <w:widowControl w:val="0"/>
              <w:rPr>
                <w:rFonts w:ascii="Arial" w:hAnsi="Arial" w:cs="Arial"/>
                <w:snapToGrid w:val="0"/>
                <w:lang w:eastAsia="en-US"/>
              </w:rPr>
            </w:pPr>
          </w:p>
        </w:tc>
        <w:tc>
          <w:tcPr>
            <w:tcW w:w="3201" w:type="dxa"/>
            <w:tcMar>
              <w:top w:w="28" w:type="dxa"/>
              <w:bottom w:w="28" w:type="dxa"/>
            </w:tcMar>
          </w:tcPr>
          <w:p w14:paraId="16491460" w14:textId="5ECC2EE9" w:rsidR="0053780B" w:rsidRPr="003042C5" w:rsidRDefault="0053780B" w:rsidP="0053780B">
            <w:pPr>
              <w:widowControl w:val="0"/>
              <w:jc w:val="right"/>
              <w:rPr>
                <w:rFonts w:ascii="Arial" w:hAnsi="Arial" w:cs="Arial"/>
                <w:snapToGrid w:val="0"/>
                <w:lang w:eastAsia="en-US"/>
              </w:rPr>
            </w:pPr>
            <w:r>
              <w:rPr>
                <w:rFonts w:ascii="Arial" w:hAnsi="Arial" w:cs="Arial"/>
                <w:snapToGrid w:val="0"/>
                <w:lang w:eastAsia="en-US"/>
              </w:rPr>
              <w:t>Sponsor’s comment</w:t>
            </w:r>
            <w:r w:rsidRPr="003042C5">
              <w:rPr>
                <w:rFonts w:ascii="Arial" w:hAnsi="Arial" w:cs="Arial"/>
                <w:snapToGrid w:val="0"/>
                <w:lang w:eastAsia="en-US"/>
              </w:rPr>
              <w:t>:</w:t>
            </w:r>
          </w:p>
        </w:tc>
        <w:tc>
          <w:tcPr>
            <w:tcW w:w="7011" w:type="dxa"/>
          </w:tcPr>
          <w:p w14:paraId="60738F57" w14:textId="77777777" w:rsidR="0053780B" w:rsidRPr="008D0F66" w:rsidRDefault="0053780B" w:rsidP="0053780B">
            <w:pPr>
              <w:rPr>
                <w:rFonts w:ascii="Arial" w:hAnsi="Arial" w:cs="Arial"/>
                <w:color w:val="000000"/>
              </w:rPr>
            </w:pPr>
            <w:r w:rsidRPr="008D0F66">
              <w:rPr>
                <w:rFonts w:ascii="Arial" w:hAnsi="Arial" w:cs="Arial"/>
                <w:color w:val="000000"/>
              </w:rPr>
              <w:t xml:space="preserve">MSD is disappointed the PBAC has once again deferred consideration of additional biosimilar uptake drivers to support patient and clinician use of </w:t>
            </w:r>
            <w:proofErr w:type="spellStart"/>
            <w:r w:rsidRPr="008D0F66">
              <w:rPr>
                <w:rFonts w:ascii="Arial" w:hAnsi="Arial" w:cs="Arial"/>
                <w:color w:val="000000"/>
              </w:rPr>
              <w:t>biosimilars</w:t>
            </w:r>
            <w:proofErr w:type="spellEnd"/>
            <w:r w:rsidRPr="008D0F66">
              <w:rPr>
                <w:rFonts w:ascii="Arial" w:hAnsi="Arial" w:cs="Arial"/>
                <w:color w:val="000000"/>
              </w:rPr>
              <w:t xml:space="preserve"> in line with government policy. We acknowledge the PBAC has reiterated its request for additional consultation between the Department and relevant stakeholders, which should take place as soon as possible. </w:t>
            </w:r>
          </w:p>
          <w:p w14:paraId="4C4EE6C7" w14:textId="77777777" w:rsidR="0053780B" w:rsidRPr="008D0F66" w:rsidRDefault="0053780B" w:rsidP="0053780B">
            <w:pPr>
              <w:rPr>
                <w:rFonts w:ascii="Arial" w:hAnsi="Arial" w:cs="Arial"/>
                <w:color w:val="000000"/>
              </w:rPr>
            </w:pPr>
          </w:p>
          <w:p w14:paraId="0C9F56FC" w14:textId="6AD17D37" w:rsidR="0053780B" w:rsidRPr="003042C5" w:rsidRDefault="0053780B" w:rsidP="0053780B">
            <w:pPr>
              <w:rPr>
                <w:rFonts w:ascii="Arial" w:hAnsi="Arial" w:cs="Arial"/>
                <w:color w:val="000000"/>
              </w:rPr>
            </w:pPr>
            <w:r w:rsidRPr="008D0F66">
              <w:rPr>
                <w:rFonts w:ascii="Arial" w:hAnsi="Arial" w:cs="Arial"/>
                <w:color w:val="000000"/>
              </w:rPr>
              <w:t xml:space="preserve">We remain ready to assist in these discussions to progress MSD’s proposal and its implementation. This will ensure patients and the health system benefit from the savings generated by the uptake of </w:t>
            </w:r>
            <w:proofErr w:type="spellStart"/>
            <w:r w:rsidRPr="008D0F66">
              <w:rPr>
                <w:rFonts w:ascii="Arial" w:hAnsi="Arial" w:cs="Arial"/>
                <w:color w:val="000000"/>
              </w:rPr>
              <w:t>biosimilars</w:t>
            </w:r>
            <w:proofErr w:type="spellEnd"/>
            <w:r w:rsidRPr="008D0F66">
              <w:rPr>
                <w:rFonts w:ascii="Arial" w:hAnsi="Arial" w:cs="Arial"/>
                <w:color w:val="000000"/>
              </w:rPr>
              <w:t xml:space="preserve"> in a timely manner.</w:t>
            </w:r>
          </w:p>
        </w:tc>
      </w:tr>
      <w:tr w:rsidR="002F4722" w:rsidRPr="003042C5" w14:paraId="59279C9A" w14:textId="77777777" w:rsidTr="008B4B54">
        <w:trPr>
          <w:cantSplit/>
          <w:trHeight w:val="3183"/>
        </w:trPr>
        <w:tc>
          <w:tcPr>
            <w:tcW w:w="3071" w:type="dxa"/>
            <w:vMerge w:val="restart"/>
            <w:tcMar>
              <w:top w:w="28" w:type="dxa"/>
              <w:bottom w:w="28" w:type="dxa"/>
            </w:tcMar>
          </w:tcPr>
          <w:p w14:paraId="442A5503" w14:textId="5A2395B4" w:rsidR="002F4722" w:rsidRPr="003042C5" w:rsidRDefault="002F4722" w:rsidP="0053780B">
            <w:pPr>
              <w:widowControl w:val="0"/>
              <w:rPr>
                <w:rFonts w:ascii="Arial" w:hAnsi="Arial" w:cs="Arial"/>
                <w:snapToGrid w:val="0"/>
                <w:lang w:eastAsia="en-US"/>
              </w:rPr>
            </w:pPr>
            <w:r w:rsidRPr="006A0B24">
              <w:rPr>
                <w:rFonts w:ascii="Arial" w:hAnsi="Arial" w:cs="Arial"/>
                <w:snapToGrid w:val="0"/>
                <w:lang w:eastAsia="en-US"/>
              </w:rPr>
              <w:t>ADRENALINE</w:t>
            </w:r>
            <w:r>
              <w:rPr>
                <w:rFonts w:ascii="Arial" w:hAnsi="Arial" w:cs="Arial"/>
                <w:snapToGrid w:val="0"/>
                <w:lang w:eastAsia="en-US"/>
              </w:rPr>
              <w:br/>
            </w:r>
            <w:r>
              <w:rPr>
                <w:rFonts w:ascii="Arial" w:hAnsi="Arial" w:cs="Arial"/>
                <w:snapToGrid w:val="0"/>
                <w:lang w:eastAsia="en-US"/>
              </w:rPr>
              <w:br/>
            </w:r>
            <w:r w:rsidRPr="006A0B24">
              <w:rPr>
                <w:rFonts w:ascii="Arial" w:hAnsi="Arial" w:cs="Arial"/>
                <w:snapToGrid w:val="0"/>
                <w:lang w:eastAsia="en-US"/>
              </w:rPr>
              <w:t>I.M. injection 150 micrograms in 0.3 mL sin</w:t>
            </w:r>
            <w:r>
              <w:rPr>
                <w:rFonts w:ascii="Arial" w:hAnsi="Arial" w:cs="Arial"/>
                <w:snapToGrid w:val="0"/>
                <w:lang w:eastAsia="en-US"/>
              </w:rPr>
              <w:t>gle dose syringe auto-injector</w:t>
            </w:r>
            <w:r>
              <w:rPr>
                <w:rFonts w:ascii="Arial" w:hAnsi="Arial" w:cs="Arial"/>
                <w:snapToGrid w:val="0"/>
                <w:lang w:eastAsia="en-US"/>
              </w:rPr>
              <w:br/>
            </w:r>
            <w:r w:rsidRPr="006A0B24">
              <w:rPr>
                <w:rFonts w:ascii="Arial" w:hAnsi="Arial" w:cs="Arial"/>
                <w:snapToGrid w:val="0"/>
                <w:lang w:eastAsia="en-US"/>
              </w:rPr>
              <w:t>I.M. injection 300 micrograms in 0.3 mL</w:t>
            </w:r>
            <w:r>
              <w:rPr>
                <w:rFonts w:ascii="Arial" w:hAnsi="Arial" w:cs="Arial"/>
                <w:snapToGrid w:val="0"/>
                <w:lang w:eastAsia="en-US"/>
              </w:rPr>
              <w:t xml:space="preserve"> </w:t>
            </w:r>
            <w:r w:rsidRPr="006A0B24">
              <w:rPr>
                <w:rFonts w:ascii="Arial" w:hAnsi="Arial" w:cs="Arial"/>
                <w:snapToGrid w:val="0"/>
                <w:lang w:eastAsia="en-US"/>
              </w:rPr>
              <w:t>sin</w:t>
            </w:r>
            <w:r>
              <w:rPr>
                <w:rFonts w:ascii="Arial" w:hAnsi="Arial" w:cs="Arial"/>
                <w:snapToGrid w:val="0"/>
                <w:lang w:eastAsia="en-US"/>
              </w:rPr>
              <w:t>gle dose syringe auto-injector</w:t>
            </w:r>
            <w:r>
              <w:rPr>
                <w:rFonts w:ascii="Arial" w:hAnsi="Arial" w:cs="Arial"/>
                <w:snapToGrid w:val="0"/>
                <w:lang w:eastAsia="en-US"/>
              </w:rPr>
              <w:br/>
            </w:r>
            <w:r w:rsidRPr="006A0B24">
              <w:rPr>
                <w:rFonts w:ascii="Arial" w:hAnsi="Arial" w:cs="Arial"/>
                <w:snapToGrid w:val="0"/>
                <w:lang w:eastAsia="en-US"/>
              </w:rPr>
              <w:t>I.M. injection 500 micrograms in 0.3 mL</w:t>
            </w:r>
            <w:r>
              <w:rPr>
                <w:rFonts w:ascii="Arial" w:hAnsi="Arial" w:cs="Arial"/>
                <w:snapToGrid w:val="0"/>
                <w:lang w:eastAsia="en-US"/>
              </w:rPr>
              <w:t xml:space="preserve"> single dose syringe </w:t>
            </w:r>
            <w:r w:rsidRPr="006A0B24">
              <w:rPr>
                <w:rFonts w:ascii="Arial" w:hAnsi="Arial" w:cs="Arial"/>
                <w:snapToGrid w:val="0"/>
                <w:lang w:eastAsia="en-US"/>
              </w:rPr>
              <w:t>auto-injector</w:t>
            </w:r>
            <w:r>
              <w:rPr>
                <w:rFonts w:ascii="Arial" w:hAnsi="Arial" w:cs="Arial"/>
                <w:snapToGrid w:val="0"/>
                <w:lang w:eastAsia="en-US"/>
              </w:rPr>
              <w:br/>
            </w:r>
            <w:r>
              <w:rPr>
                <w:rFonts w:ascii="Arial" w:hAnsi="Arial" w:cs="Arial"/>
                <w:snapToGrid w:val="0"/>
                <w:lang w:eastAsia="en-US"/>
              </w:rPr>
              <w:br/>
            </w:r>
            <w:proofErr w:type="spellStart"/>
            <w:r>
              <w:rPr>
                <w:rFonts w:ascii="Arial" w:hAnsi="Arial" w:cs="Arial"/>
                <w:snapToGrid w:val="0"/>
                <w:lang w:eastAsia="en-US"/>
              </w:rPr>
              <w:t>Anapen</w:t>
            </w:r>
            <w:proofErr w:type="spellEnd"/>
            <w:r w:rsidRPr="008D1B78">
              <w:rPr>
                <w:rFonts w:ascii="Arial" w:hAnsi="Arial" w:cs="Arial"/>
                <w:snapToGrid w:val="0"/>
                <w:lang w:eastAsia="en-US"/>
              </w:rPr>
              <w:t>®</w:t>
            </w:r>
            <w:r>
              <w:rPr>
                <w:rFonts w:ascii="Arial" w:hAnsi="Arial" w:cs="Arial"/>
                <w:snapToGrid w:val="0"/>
                <w:lang w:eastAsia="en-US"/>
              </w:rPr>
              <w:br/>
            </w:r>
            <w:r>
              <w:rPr>
                <w:rFonts w:ascii="Arial" w:hAnsi="Arial" w:cs="Arial"/>
                <w:snapToGrid w:val="0"/>
                <w:lang w:eastAsia="en-US"/>
              </w:rPr>
              <w:br/>
            </w:r>
            <w:r w:rsidRPr="006A0B24">
              <w:rPr>
                <w:rFonts w:ascii="Arial" w:hAnsi="Arial" w:cs="Arial"/>
                <w:snapToGrid w:val="0"/>
                <w:lang w:eastAsia="en-US"/>
              </w:rPr>
              <w:t xml:space="preserve">Allergy Concepts Pty Ltd </w:t>
            </w:r>
            <w:r>
              <w:rPr>
                <w:rFonts w:ascii="Arial" w:hAnsi="Arial" w:cs="Arial"/>
                <w:snapToGrid w:val="0"/>
                <w:lang w:eastAsia="en-US"/>
              </w:rPr>
              <w:br/>
            </w:r>
            <w:r>
              <w:rPr>
                <w:rFonts w:ascii="Arial" w:hAnsi="Arial" w:cs="Arial"/>
                <w:snapToGrid w:val="0"/>
                <w:lang w:eastAsia="en-US"/>
              </w:rPr>
              <w:br/>
            </w:r>
            <w:r w:rsidRPr="006A0B24">
              <w:rPr>
                <w:rFonts w:ascii="Arial" w:hAnsi="Arial" w:cs="Arial"/>
                <w:snapToGrid w:val="0"/>
                <w:lang w:eastAsia="en-US"/>
              </w:rPr>
              <w:t>New listing</w:t>
            </w:r>
            <w:r>
              <w:rPr>
                <w:rFonts w:ascii="Arial" w:hAnsi="Arial" w:cs="Arial"/>
                <w:snapToGrid w:val="0"/>
                <w:lang w:eastAsia="en-US"/>
              </w:rPr>
              <w:br/>
              <w:t>(Minor Submission)</w:t>
            </w:r>
          </w:p>
        </w:tc>
        <w:tc>
          <w:tcPr>
            <w:tcW w:w="2262" w:type="dxa"/>
            <w:vMerge w:val="restart"/>
          </w:tcPr>
          <w:p w14:paraId="270C3220" w14:textId="7834FD87" w:rsidR="002F4722" w:rsidRPr="003042C5" w:rsidRDefault="002F4722" w:rsidP="0053780B">
            <w:pPr>
              <w:widowControl w:val="0"/>
              <w:rPr>
                <w:rFonts w:ascii="Arial" w:hAnsi="Arial" w:cs="Arial"/>
                <w:snapToGrid w:val="0"/>
                <w:lang w:eastAsia="en-US"/>
              </w:rPr>
            </w:pPr>
            <w:r w:rsidRPr="006A0B24">
              <w:rPr>
                <w:rFonts w:ascii="Arial" w:hAnsi="Arial" w:cs="Arial"/>
                <w:snapToGrid w:val="0"/>
                <w:lang w:eastAsia="en-US"/>
              </w:rPr>
              <w:t>Acute allergic reaction with anaphylaxis</w:t>
            </w:r>
          </w:p>
        </w:tc>
        <w:tc>
          <w:tcPr>
            <w:tcW w:w="3201" w:type="dxa"/>
            <w:tcMar>
              <w:top w:w="28" w:type="dxa"/>
              <w:bottom w:w="28" w:type="dxa"/>
            </w:tcMar>
          </w:tcPr>
          <w:p w14:paraId="19EBCDE5" w14:textId="17FFDFDE" w:rsidR="002F4722" w:rsidRDefault="002F4722" w:rsidP="00B52B7C">
            <w:pPr>
              <w:widowControl w:val="0"/>
              <w:rPr>
                <w:rFonts w:ascii="Arial" w:hAnsi="Arial" w:cs="Arial"/>
                <w:snapToGrid w:val="0"/>
                <w:lang w:eastAsia="en-US"/>
              </w:rPr>
            </w:pPr>
            <w:r w:rsidRPr="006A0B24">
              <w:rPr>
                <w:rFonts w:ascii="Arial" w:hAnsi="Arial" w:cs="Arial"/>
                <w:snapToGrid w:val="0"/>
                <w:lang w:eastAsia="en-US"/>
              </w:rPr>
              <w:t>To request the Authority Required listing of an alternative brand of adrenaline auto-injector under the same conditions as other brands of adrenaline currently listed on the PBS and to request the Authority Required listing of a new strength of adrenaline auto-injector.</w:t>
            </w:r>
          </w:p>
        </w:tc>
        <w:tc>
          <w:tcPr>
            <w:tcW w:w="7011" w:type="dxa"/>
          </w:tcPr>
          <w:p w14:paraId="4505836D" w14:textId="77777777" w:rsidR="002F4722" w:rsidRDefault="002F4722" w:rsidP="002F4722">
            <w:pPr>
              <w:rPr>
                <w:rFonts w:ascii="Arial" w:hAnsi="Arial" w:cs="Arial"/>
                <w:color w:val="000000"/>
              </w:rPr>
            </w:pPr>
            <w:r w:rsidRPr="0053780B">
              <w:rPr>
                <w:rFonts w:ascii="Arial" w:hAnsi="Arial" w:cs="Arial"/>
                <w:color w:val="000000"/>
              </w:rPr>
              <w:t xml:space="preserve">The PBAC deferred making a recommendation to list adrenaline auto-injectors, </w:t>
            </w:r>
            <w:proofErr w:type="spellStart"/>
            <w:r w:rsidRPr="0053780B">
              <w:rPr>
                <w:rFonts w:ascii="Arial" w:hAnsi="Arial" w:cs="Arial"/>
                <w:color w:val="000000"/>
              </w:rPr>
              <w:t>Anapen</w:t>
            </w:r>
            <w:proofErr w:type="spellEnd"/>
            <w:r w:rsidRPr="0053780B">
              <w:rPr>
                <w:rFonts w:ascii="Arial" w:hAnsi="Arial" w:cs="Arial"/>
                <w:color w:val="000000"/>
              </w:rPr>
              <w:t xml:space="preserve"> Junior®, </w:t>
            </w:r>
            <w:proofErr w:type="spellStart"/>
            <w:r w:rsidRPr="0053780B">
              <w:rPr>
                <w:rFonts w:ascii="Arial" w:hAnsi="Arial" w:cs="Arial"/>
                <w:color w:val="000000"/>
              </w:rPr>
              <w:t>Anapen</w:t>
            </w:r>
            <w:proofErr w:type="spellEnd"/>
            <w:r w:rsidRPr="0053780B">
              <w:rPr>
                <w:rFonts w:ascii="Arial" w:hAnsi="Arial" w:cs="Arial"/>
                <w:color w:val="000000"/>
              </w:rPr>
              <w:t xml:space="preserve"> 300® and </w:t>
            </w:r>
            <w:proofErr w:type="spellStart"/>
            <w:r w:rsidRPr="0053780B">
              <w:rPr>
                <w:rFonts w:ascii="Arial" w:hAnsi="Arial" w:cs="Arial"/>
                <w:color w:val="000000"/>
              </w:rPr>
              <w:t>Anapen</w:t>
            </w:r>
            <w:proofErr w:type="spellEnd"/>
            <w:r w:rsidRPr="0053780B">
              <w:rPr>
                <w:rFonts w:ascii="Arial" w:hAnsi="Arial" w:cs="Arial"/>
                <w:color w:val="000000"/>
              </w:rPr>
              <w:t xml:space="preserve"> 500®, as the TGA Delegate’s Overview was not available at the time of consideration. However, the PBAC was of a mind to recommend the General Schedule, Authority Required listing of adrenaline auto-injectors </w:t>
            </w:r>
            <w:proofErr w:type="spellStart"/>
            <w:r w:rsidRPr="0053780B">
              <w:rPr>
                <w:rFonts w:ascii="Arial" w:hAnsi="Arial" w:cs="Arial"/>
                <w:color w:val="000000"/>
              </w:rPr>
              <w:t>Anapen</w:t>
            </w:r>
            <w:proofErr w:type="spellEnd"/>
            <w:r w:rsidRPr="0053780B">
              <w:rPr>
                <w:rFonts w:ascii="Arial" w:hAnsi="Arial" w:cs="Arial"/>
                <w:color w:val="000000"/>
              </w:rPr>
              <w:t xml:space="preserve"> 300, </w:t>
            </w:r>
            <w:proofErr w:type="spellStart"/>
            <w:r w:rsidRPr="0053780B">
              <w:rPr>
                <w:rFonts w:ascii="Arial" w:hAnsi="Arial" w:cs="Arial"/>
                <w:color w:val="000000"/>
              </w:rPr>
              <w:t>Anapen</w:t>
            </w:r>
            <w:proofErr w:type="spellEnd"/>
            <w:r w:rsidRPr="0053780B">
              <w:rPr>
                <w:rFonts w:ascii="Arial" w:hAnsi="Arial" w:cs="Arial"/>
                <w:color w:val="000000"/>
              </w:rPr>
              <w:t xml:space="preserve"> 500 and </w:t>
            </w:r>
            <w:proofErr w:type="spellStart"/>
            <w:r w:rsidRPr="0053780B">
              <w:rPr>
                <w:rFonts w:ascii="Arial" w:hAnsi="Arial" w:cs="Arial"/>
                <w:color w:val="000000"/>
              </w:rPr>
              <w:t>Anapen</w:t>
            </w:r>
            <w:proofErr w:type="spellEnd"/>
            <w:r w:rsidRPr="0053780B">
              <w:rPr>
                <w:rFonts w:ascii="Arial" w:hAnsi="Arial" w:cs="Arial"/>
                <w:color w:val="000000"/>
              </w:rPr>
              <w:t xml:space="preserve"> Junior for treatment of acute allergic reaction with anaphylaxis.</w:t>
            </w:r>
          </w:p>
          <w:p w14:paraId="7F8FC828" w14:textId="77777777" w:rsidR="002F4722" w:rsidRDefault="002F4722" w:rsidP="002F4722">
            <w:pPr>
              <w:rPr>
                <w:rFonts w:ascii="Arial" w:hAnsi="Arial" w:cs="Arial"/>
                <w:color w:val="000000"/>
              </w:rPr>
            </w:pPr>
          </w:p>
          <w:p w14:paraId="06467C9F" w14:textId="2C4BB9C8" w:rsidR="002F4722" w:rsidRPr="008D0F66" w:rsidRDefault="002F4722" w:rsidP="002F4722">
            <w:pPr>
              <w:rPr>
                <w:rFonts w:ascii="Arial" w:hAnsi="Arial" w:cs="Arial"/>
                <w:color w:val="000000"/>
              </w:rPr>
            </w:pPr>
            <w:r w:rsidRPr="0053780B">
              <w:rPr>
                <w:rFonts w:ascii="Arial" w:hAnsi="Arial" w:cs="Arial"/>
                <w:color w:val="000000"/>
              </w:rPr>
              <w:t>The PBAC noted that consideration of medicines in parallel with the TGA is usually restricted to major submissions, however in light of the ongoing supply issues for PBS listed brands of adrenaline PFS auto-injectors, this submission was accepted prior to receiving the Delegate’s Overview</w:t>
            </w:r>
            <w:r w:rsidR="00B52B7C">
              <w:rPr>
                <w:rFonts w:ascii="Arial" w:hAnsi="Arial" w:cs="Arial"/>
                <w:color w:val="000000"/>
              </w:rPr>
              <w:t>.</w:t>
            </w:r>
          </w:p>
        </w:tc>
      </w:tr>
      <w:tr w:rsidR="002F4722" w:rsidRPr="003042C5" w14:paraId="61879BA7" w14:textId="77777777" w:rsidTr="008E2272">
        <w:trPr>
          <w:cantSplit/>
          <w:trHeight w:val="477"/>
        </w:trPr>
        <w:tc>
          <w:tcPr>
            <w:tcW w:w="3071" w:type="dxa"/>
            <w:vMerge/>
            <w:tcMar>
              <w:top w:w="28" w:type="dxa"/>
              <w:bottom w:w="28" w:type="dxa"/>
            </w:tcMar>
          </w:tcPr>
          <w:p w14:paraId="5FAFACAA" w14:textId="77777777" w:rsidR="002F4722" w:rsidRPr="003042C5" w:rsidRDefault="002F4722" w:rsidP="0053780B">
            <w:pPr>
              <w:widowControl w:val="0"/>
              <w:rPr>
                <w:rFonts w:ascii="Arial" w:hAnsi="Arial" w:cs="Arial"/>
                <w:snapToGrid w:val="0"/>
                <w:lang w:eastAsia="en-US"/>
              </w:rPr>
            </w:pPr>
          </w:p>
        </w:tc>
        <w:tc>
          <w:tcPr>
            <w:tcW w:w="2262" w:type="dxa"/>
            <w:vMerge/>
          </w:tcPr>
          <w:p w14:paraId="717FE519" w14:textId="77777777" w:rsidR="002F4722" w:rsidRPr="003042C5" w:rsidRDefault="002F4722" w:rsidP="0053780B">
            <w:pPr>
              <w:widowControl w:val="0"/>
              <w:rPr>
                <w:rFonts w:ascii="Arial" w:hAnsi="Arial" w:cs="Arial"/>
                <w:snapToGrid w:val="0"/>
                <w:lang w:eastAsia="en-US"/>
              </w:rPr>
            </w:pPr>
          </w:p>
        </w:tc>
        <w:tc>
          <w:tcPr>
            <w:tcW w:w="3201" w:type="dxa"/>
            <w:tcMar>
              <w:top w:w="28" w:type="dxa"/>
              <w:bottom w:w="28" w:type="dxa"/>
            </w:tcMar>
          </w:tcPr>
          <w:p w14:paraId="5284ED23" w14:textId="170CCC1B" w:rsidR="002F4722" w:rsidRDefault="002F4722" w:rsidP="003678B4">
            <w:pPr>
              <w:widowControl w:val="0"/>
              <w:jc w:val="right"/>
              <w:rPr>
                <w:rFonts w:ascii="Arial" w:hAnsi="Arial" w:cs="Arial"/>
                <w:snapToGrid w:val="0"/>
                <w:lang w:eastAsia="en-US"/>
              </w:rPr>
            </w:pPr>
            <w:r>
              <w:rPr>
                <w:rFonts w:ascii="Arial" w:hAnsi="Arial" w:cs="Arial"/>
                <w:snapToGrid w:val="0"/>
                <w:lang w:eastAsia="en-US"/>
              </w:rPr>
              <w:t>Sponsor’s comm</w:t>
            </w:r>
            <w:bookmarkStart w:id="0" w:name="_GoBack"/>
            <w:bookmarkEnd w:id="0"/>
            <w:r>
              <w:rPr>
                <w:rFonts w:ascii="Arial" w:hAnsi="Arial" w:cs="Arial"/>
                <w:snapToGrid w:val="0"/>
                <w:lang w:eastAsia="en-US"/>
              </w:rPr>
              <w:t>ent</w:t>
            </w:r>
          </w:p>
        </w:tc>
        <w:tc>
          <w:tcPr>
            <w:tcW w:w="7011" w:type="dxa"/>
          </w:tcPr>
          <w:p w14:paraId="508A37B3" w14:textId="47A64A7A" w:rsidR="002F4722" w:rsidRPr="008D0F66" w:rsidRDefault="00B52B7C" w:rsidP="0053780B">
            <w:pPr>
              <w:rPr>
                <w:rFonts w:ascii="Arial" w:hAnsi="Arial" w:cs="Arial"/>
                <w:color w:val="000000"/>
              </w:rPr>
            </w:pPr>
            <w:r>
              <w:rPr>
                <w:rFonts w:ascii="Arial" w:hAnsi="Arial" w:cs="Arial"/>
                <w:color w:val="000000"/>
              </w:rPr>
              <w:t>The sponsor had no comment.</w:t>
            </w:r>
          </w:p>
        </w:tc>
      </w:tr>
      <w:tr w:rsidR="0053780B" w:rsidRPr="003042C5" w14:paraId="5361C4B8" w14:textId="77777777" w:rsidTr="008E2272">
        <w:trPr>
          <w:cantSplit/>
          <w:trHeight w:val="477"/>
        </w:trPr>
        <w:tc>
          <w:tcPr>
            <w:tcW w:w="3071" w:type="dxa"/>
            <w:vMerge w:val="restart"/>
            <w:tcMar>
              <w:top w:w="28" w:type="dxa"/>
              <w:bottom w:w="28" w:type="dxa"/>
            </w:tcMar>
          </w:tcPr>
          <w:p w14:paraId="6E6D640B" w14:textId="32D8341E" w:rsidR="0053780B" w:rsidRPr="003042C5" w:rsidRDefault="0053780B" w:rsidP="0053780B">
            <w:pPr>
              <w:widowControl w:val="0"/>
              <w:rPr>
                <w:rFonts w:ascii="Arial" w:hAnsi="Arial" w:cs="Arial"/>
                <w:snapToGrid w:val="0"/>
                <w:lang w:eastAsia="en-US"/>
              </w:rPr>
            </w:pPr>
            <w:r w:rsidRPr="006A0B24">
              <w:rPr>
                <w:rFonts w:ascii="Arial" w:hAnsi="Arial" w:cs="Arial"/>
                <w:snapToGrid w:val="0"/>
                <w:lang w:eastAsia="en-US"/>
              </w:rPr>
              <w:lastRenderedPageBreak/>
              <w:t>GLECAPREVIR + PIBRENTASVIR</w:t>
            </w:r>
            <w:r>
              <w:rPr>
                <w:rFonts w:ascii="Arial" w:hAnsi="Arial" w:cs="Arial"/>
                <w:snapToGrid w:val="0"/>
                <w:lang w:eastAsia="en-US"/>
              </w:rPr>
              <w:br/>
            </w:r>
            <w:r>
              <w:rPr>
                <w:rFonts w:ascii="Arial" w:hAnsi="Arial" w:cs="Arial"/>
                <w:snapToGrid w:val="0"/>
                <w:lang w:eastAsia="en-US"/>
              </w:rPr>
              <w:br/>
            </w:r>
            <w:r w:rsidRPr="006A0B24">
              <w:rPr>
                <w:rFonts w:ascii="Arial" w:hAnsi="Arial" w:cs="Arial"/>
                <w:snapToGrid w:val="0"/>
                <w:lang w:eastAsia="en-US"/>
              </w:rPr>
              <w:t xml:space="preserve">Tablet containing 100 mg </w:t>
            </w:r>
            <w:proofErr w:type="spellStart"/>
            <w:r w:rsidRPr="006A0B24">
              <w:rPr>
                <w:rFonts w:ascii="Arial" w:hAnsi="Arial" w:cs="Arial"/>
                <w:snapToGrid w:val="0"/>
                <w:lang w:eastAsia="en-US"/>
              </w:rPr>
              <w:t>glecaprevir</w:t>
            </w:r>
            <w:proofErr w:type="spellEnd"/>
            <w:r w:rsidRPr="006A0B24">
              <w:rPr>
                <w:rFonts w:ascii="Arial" w:hAnsi="Arial" w:cs="Arial"/>
                <w:snapToGrid w:val="0"/>
                <w:lang w:eastAsia="en-US"/>
              </w:rPr>
              <w:t xml:space="preserve"> with</w:t>
            </w:r>
            <w:r>
              <w:rPr>
                <w:rFonts w:ascii="Arial" w:hAnsi="Arial" w:cs="Arial"/>
                <w:snapToGrid w:val="0"/>
                <w:lang w:eastAsia="en-US"/>
              </w:rPr>
              <w:t xml:space="preserve"> 40 mg </w:t>
            </w:r>
            <w:proofErr w:type="spellStart"/>
            <w:r>
              <w:rPr>
                <w:rFonts w:ascii="Arial" w:hAnsi="Arial" w:cs="Arial"/>
                <w:snapToGrid w:val="0"/>
                <w:lang w:eastAsia="en-US"/>
              </w:rPr>
              <w:t>pibrentasvir</w:t>
            </w:r>
            <w:proofErr w:type="spellEnd"/>
            <w:r>
              <w:rPr>
                <w:rFonts w:ascii="Arial" w:hAnsi="Arial" w:cs="Arial"/>
                <w:snapToGrid w:val="0"/>
                <w:lang w:eastAsia="en-US"/>
              </w:rPr>
              <w:br/>
            </w:r>
            <w:r>
              <w:rPr>
                <w:rFonts w:ascii="Arial" w:hAnsi="Arial" w:cs="Arial"/>
                <w:snapToGrid w:val="0"/>
                <w:lang w:eastAsia="en-US"/>
              </w:rPr>
              <w:br/>
            </w:r>
            <w:proofErr w:type="spellStart"/>
            <w:r w:rsidRPr="006A0B24">
              <w:rPr>
                <w:rFonts w:ascii="Arial" w:hAnsi="Arial" w:cs="Arial"/>
                <w:snapToGrid w:val="0"/>
                <w:lang w:eastAsia="en-US"/>
              </w:rPr>
              <w:t>Maviret</w:t>
            </w:r>
            <w:proofErr w:type="spellEnd"/>
            <w:r w:rsidRPr="006A0B24">
              <w:rPr>
                <w:rFonts w:ascii="Arial" w:hAnsi="Arial" w:cs="Arial"/>
                <w:snapToGrid w:val="0"/>
                <w:lang w:eastAsia="en-US"/>
              </w:rPr>
              <w:t>®</w:t>
            </w:r>
            <w:r>
              <w:rPr>
                <w:rFonts w:ascii="Arial" w:hAnsi="Arial" w:cs="Arial"/>
                <w:snapToGrid w:val="0"/>
                <w:lang w:eastAsia="en-US"/>
              </w:rPr>
              <w:br/>
            </w:r>
            <w:r>
              <w:rPr>
                <w:rFonts w:ascii="Arial" w:hAnsi="Arial" w:cs="Arial"/>
                <w:snapToGrid w:val="0"/>
                <w:lang w:eastAsia="en-US"/>
              </w:rPr>
              <w:br/>
            </w:r>
            <w:r w:rsidRPr="006A0B24">
              <w:rPr>
                <w:rFonts w:ascii="Arial" w:hAnsi="Arial" w:cs="Arial"/>
                <w:snapToGrid w:val="0"/>
                <w:lang w:eastAsia="en-US"/>
              </w:rPr>
              <w:t>AbbVie Pty Ltd</w:t>
            </w:r>
            <w:r>
              <w:rPr>
                <w:rFonts w:ascii="Arial" w:hAnsi="Arial" w:cs="Arial"/>
                <w:snapToGrid w:val="0"/>
                <w:lang w:eastAsia="en-US"/>
              </w:rPr>
              <w:br/>
            </w:r>
            <w:r>
              <w:rPr>
                <w:rFonts w:ascii="Arial" w:hAnsi="Arial" w:cs="Arial"/>
                <w:snapToGrid w:val="0"/>
                <w:lang w:eastAsia="en-US"/>
              </w:rPr>
              <w:br/>
            </w:r>
            <w:r w:rsidRPr="006A0B24">
              <w:rPr>
                <w:rFonts w:ascii="Arial" w:hAnsi="Arial" w:cs="Arial"/>
                <w:snapToGrid w:val="0"/>
                <w:lang w:eastAsia="en-US"/>
              </w:rPr>
              <w:t>Change to listing</w:t>
            </w:r>
            <w:r>
              <w:rPr>
                <w:rFonts w:ascii="Arial" w:hAnsi="Arial" w:cs="Arial"/>
                <w:snapToGrid w:val="0"/>
                <w:lang w:eastAsia="en-US"/>
              </w:rPr>
              <w:br/>
              <w:t>(Minor Submission)</w:t>
            </w:r>
          </w:p>
        </w:tc>
        <w:tc>
          <w:tcPr>
            <w:tcW w:w="2262" w:type="dxa"/>
            <w:vMerge w:val="restart"/>
          </w:tcPr>
          <w:p w14:paraId="75A3F04E" w14:textId="2992522E" w:rsidR="0053780B" w:rsidRPr="003042C5" w:rsidRDefault="0053780B" w:rsidP="0053780B">
            <w:pPr>
              <w:widowControl w:val="0"/>
              <w:rPr>
                <w:rFonts w:ascii="Arial" w:hAnsi="Arial" w:cs="Arial"/>
                <w:snapToGrid w:val="0"/>
                <w:lang w:eastAsia="en-US"/>
              </w:rPr>
            </w:pPr>
            <w:r w:rsidRPr="006A0B24">
              <w:rPr>
                <w:rFonts w:ascii="Arial" w:hAnsi="Arial" w:cs="Arial"/>
                <w:snapToGrid w:val="0"/>
                <w:lang w:eastAsia="en-US"/>
              </w:rPr>
              <w:t>Chronic hepatitis C infection</w:t>
            </w:r>
          </w:p>
        </w:tc>
        <w:tc>
          <w:tcPr>
            <w:tcW w:w="3201" w:type="dxa"/>
            <w:tcMar>
              <w:top w:w="28" w:type="dxa"/>
              <w:bottom w:w="28" w:type="dxa"/>
            </w:tcMar>
          </w:tcPr>
          <w:p w14:paraId="2D46D959" w14:textId="539B356C" w:rsidR="0053780B" w:rsidRPr="003042C5" w:rsidRDefault="0053780B" w:rsidP="0053780B">
            <w:pPr>
              <w:widowControl w:val="0"/>
              <w:rPr>
                <w:rFonts w:ascii="Arial" w:hAnsi="Arial" w:cs="Arial"/>
                <w:snapToGrid w:val="0"/>
                <w:lang w:eastAsia="en-US"/>
              </w:rPr>
            </w:pPr>
            <w:r w:rsidRPr="006A0B24">
              <w:rPr>
                <w:rFonts w:ascii="Arial" w:hAnsi="Arial" w:cs="Arial"/>
                <w:snapToGrid w:val="0"/>
                <w:lang w:eastAsia="en-US"/>
              </w:rPr>
              <w:t>To request an amendment to the Section 100 (Highly Specialised Drugs Program) and General Schedule Authority Required listings to reduce the duration of treatment from 12 weeks to 8 weeks for treatment naïve patients with chronic hepatitis C with compensated cirrhosis.</w:t>
            </w:r>
          </w:p>
        </w:tc>
        <w:tc>
          <w:tcPr>
            <w:tcW w:w="7011" w:type="dxa"/>
          </w:tcPr>
          <w:p w14:paraId="0F3102F4" w14:textId="42CFC22F" w:rsidR="0053780B" w:rsidRDefault="0053780B" w:rsidP="0053780B">
            <w:pPr>
              <w:rPr>
                <w:rFonts w:ascii="Arial" w:hAnsi="Arial" w:cs="Arial"/>
                <w:snapToGrid w:val="0"/>
                <w:lang w:eastAsia="en-US"/>
              </w:rPr>
            </w:pPr>
            <w:r w:rsidRPr="0086118C">
              <w:rPr>
                <w:rFonts w:ascii="Arial" w:hAnsi="Arial" w:cs="Arial"/>
                <w:snapToGrid w:val="0"/>
                <w:lang w:eastAsia="en-US"/>
              </w:rPr>
              <w:t xml:space="preserve">The PBAC was of a mind to recommend the listing of an 8-week treatment option of </w:t>
            </w:r>
            <w:proofErr w:type="spellStart"/>
            <w:r w:rsidRPr="0086118C">
              <w:rPr>
                <w:rFonts w:ascii="Arial" w:hAnsi="Arial" w:cs="Arial"/>
                <w:snapToGrid w:val="0"/>
                <w:lang w:eastAsia="en-US"/>
              </w:rPr>
              <w:t>glecaprevir</w:t>
            </w:r>
            <w:proofErr w:type="spellEnd"/>
            <w:r w:rsidRPr="0086118C">
              <w:rPr>
                <w:rFonts w:ascii="Arial" w:hAnsi="Arial" w:cs="Arial"/>
                <w:snapToGrid w:val="0"/>
                <w:lang w:eastAsia="en-US"/>
              </w:rPr>
              <w:t xml:space="preserve"> with </w:t>
            </w:r>
            <w:proofErr w:type="spellStart"/>
            <w:r w:rsidRPr="0086118C">
              <w:rPr>
                <w:rFonts w:ascii="Arial" w:hAnsi="Arial" w:cs="Arial"/>
                <w:snapToGrid w:val="0"/>
                <w:lang w:eastAsia="en-US"/>
              </w:rPr>
              <w:t>pibrentasvir</w:t>
            </w:r>
            <w:proofErr w:type="spellEnd"/>
            <w:r w:rsidRPr="0086118C">
              <w:rPr>
                <w:rFonts w:ascii="Arial" w:hAnsi="Arial" w:cs="Arial"/>
                <w:snapToGrid w:val="0"/>
                <w:lang w:eastAsia="en-US"/>
              </w:rPr>
              <w:t xml:space="preserve"> (GLE/PIB) for the treatment of chronic hepatitis C (CHC) infection in patients who are treatment-naïve with compensated cirrhosis (TN/CC), however</w:t>
            </w:r>
            <w:r>
              <w:rPr>
                <w:rFonts w:ascii="Arial" w:hAnsi="Arial" w:cs="Arial"/>
                <w:snapToGrid w:val="0"/>
                <w:lang w:eastAsia="en-US"/>
              </w:rPr>
              <w:t>,</w:t>
            </w:r>
            <w:r w:rsidRPr="0086118C">
              <w:rPr>
                <w:rFonts w:ascii="Arial" w:hAnsi="Arial" w:cs="Arial"/>
                <w:snapToGrid w:val="0"/>
                <w:lang w:eastAsia="en-US"/>
              </w:rPr>
              <w:t xml:space="preserve"> deferred making a recommendation to amend the General Statement for Drugs for the Treatment of Hepatitis C (the General Statement) pending finali</w:t>
            </w:r>
            <w:r>
              <w:rPr>
                <w:rFonts w:ascii="Arial" w:hAnsi="Arial" w:cs="Arial"/>
                <w:snapToGrid w:val="0"/>
                <w:lang w:eastAsia="en-US"/>
              </w:rPr>
              <w:t>sation of the TGA registration.</w:t>
            </w:r>
          </w:p>
          <w:p w14:paraId="1679950B" w14:textId="77777777" w:rsidR="0053780B" w:rsidRDefault="0053780B" w:rsidP="0053780B">
            <w:pPr>
              <w:rPr>
                <w:rFonts w:ascii="Arial" w:hAnsi="Arial" w:cs="Arial"/>
                <w:snapToGrid w:val="0"/>
                <w:lang w:eastAsia="en-US"/>
              </w:rPr>
            </w:pPr>
          </w:p>
          <w:p w14:paraId="14D1E598" w14:textId="67F3CDF4" w:rsidR="0053780B" w:rsidRPr="008369AD" w:rsidRDefault="0053780B" w:rsidP="0053780B">
            <w:pPr>
              <w:spacing w:after="120"/>
              <w:rPr>
                <w:rFonts w:ascii="Arial" w:hAnsi="Arial" w:cs="Arial"/>
                <w:snapToGrid w:val="0"/>
                <w:lang w:eastAsia="en-US"/>
              </w:rPr>
            </w:pPr>
            <w:r w:rsidRPr="0086118C">
              <w:rPr>
                <w:rFonts w:ascii="Arial" w:hAnsi="Arial" w:cs="Arial"/>
                <w:snapToGrid w:val="0"/>
                <w:lang w:eastAsia="en-US"/>
              </w:rPr>
              <w:t>The PBAC noted there was residual uncertainty as to whether the 12-week regimen would remain part of the TGA registration and was of a mind to retain the listing of the 12-week regimen if it were retained for this population.</w:t>
            </w:r>
          </w:p>
        </w:tc>
      </w:tr>
      <w:tr w:rsidR="0053780B" w:rsidRPr="003042C5" w14:paraId="2345EB9F" w14:textId="77777777" w:rsidTr="008E2272">
        <w:trPr>
          <w:cantSplit/>
          <w:trHeight w:val="477"/>
        </w:trPr>
        <w:tc>
          <w:tcPr>
            <w:tcW w:w="3071" w:type="dxa"/>
            <w:vMerge/>
            <w:tcMar>
              <w:top w:w="28" w:type="dxa"/>
              <w:bottom w:w="28" w:type="dxa"/>
            </w:tcMar>
          </w:tcPr>
          <w:p w14:paraId="68C4B224" w14:textId="77777777" w:rsidR="0053780B" w:rsidRPr="003042C5" w:rsidRDefault="0053780B" w:rsidP="0053780B">
            <w:pPr>
              <w:widowControl w:val="0"/>
              <w:rPr>
                <w:rFonts w:ascii="Arial" w:hAnsi="Arial" w:cs="Arial"/>
                <w:snapToGrid w:val="0"/>
                <w:lang w:eastAsia="en-US"/>
              </w:rPr>
            </w:pPr>
          </w:p>
        </w:tc>
        <w:tc>
          <w:tcPr>
            <w:tcW w:w="2262" w:type="dxa"/>
            <w:vMerge/>
          </w:tcPr>
          <w:p w14:paraId="5CF2ED1D" w14:textId="77777777" w:rsidR="0053780B" w:rsidRPr="003042C5" w:rsidRDefault="0053780B" w:rsidP="0053780B">
            <w:pPr>
              <w:widowControl w:val="0"/>
              <w:rPr>
                <w:rFonts w:ascii="Arial" w:hAnsi="Arial" w:cs="Arial"/>
                <w:snapToGrid w:val="0"/>
                <w:lang w:eastAsia="en-US"/>
              </w:rPr>
            </w:pPr>
          </w:p>
        </w:tc>
        <w:tc>
          <w:tcPr>
            <w:tcW w:w="3201" w:type="dxa"/>
            <w:tcMar>
              <w:top w:w="28" w:type="dxa"/>
              <w:bottom w:w="28" w:type="dxa"/>
            </w:tcMar>
          </w:tcPr>
          <w:p w14:paraId="6E7F49CC" w14:textId="614CF26E" w:rsidR="0053780B" w:rsidRPr="003042C5" w:rsidRDefault="0053780B" w:rsidP="0053780B">
            <w:pPr>
              <w:widowControl w:val="0"/>
              <w:jc w:val="right"/>
              <w:rPr>
                <w:rFonts w:ascii="Arial" w:hAnsi="Arial" w:cs="Arial"/>
                <w:snapToGrid w:val="0"/>
                <w:lang w:eastAsia="en-US"/>
              </w:rPr>
            </w:pPr>
            <w:r>
              <w:rPr>
                <w:rFonts w:ascii="Arial" w:hAnsi="Arial" w:cs="Arial"/>
                <w:snapToGrid w:val="0"/>
                <w:lang w:eastAsia="en-US"/>
              </w:rPr>
              <w:t>Sponsor’s comment</w:t>
            </w:r>
            <w:r w:rsidRPr="003042C5">
              <w:rPr>
                <w:rFonts w:ascii="Arial" w:hAnsi="Arial" w:cs="Arial"/>
                <w:snapToGrid w:val="0"/>
                <w:lang w:eastAsia="en-US"/>
              </w:rPr>
              <w:t>:</w:t>
            </w:r>
          </w:p>
        </w:tc>
        <w:tc>
          <w:tcPr>
            <w:tcW w:w="7011" w:type="dxa"/>
          </w:tcPr>
          <w:p w14:paraId="243F1644" w14:textId="06C3E9BD" w:rsidR="0053780B" w:rsidRPr="003042C5" w:rsidRDefault="0053780B" w:rsidP="0053780B">
            <w:pPr>
              <w:pStyle w:val="ListParagraph"/>
              <w:ind w:left="0"/>
              <w:rPr>
                <w:rFonts w:ascii="Arial" w:hAnsi="Arial" w:cs="Arial"/>
                <w:sz w:val="20"/>
                <w:szCs w:val="20"/>
              </w:rPr>
            </w:pPr>
            <w:r w:rsidRPr="000F19A2">
              <w:rPr>
                <w:rFonts w:ascii="Arial" w:hAnsi="Arial" w:cs="Arial"/>
                <w:sz w:val="20"/>
                <w:szCs w:val="20"/>
              </w:rPr>
              <w:t>AbbVie welcomes the PBAC’s minded recommendation for 8-week treatment duration for patients who are treatment-naïve with compensated cirrhosis (TN/CC), and acknowledges that the TGA has also recommended that the 12 week regimen may be considered for those patients at the discretion of the prescriber, and that the PBAC proposes that this would be included as a footnote in the General Statement for simplicity.</w:t>
            </w:r>
          </w:p>
        </w:tc>
      </w:tr>
      <w:tr w:rsidR="0053780B" w:rsidRPr="003042C5" w14:paraId="5241E33B" w14:textId="77777777" w:rsidTr="008E2272">
        <w:trPr>
          <w:cantSplit/>
          <w:trHeight w:val="477"/>
        </w:trPr>
        <w:tc>
          <w:tcPr>
            <w:tcW w:w="3071" w:type="dxa"/>
            <w:vMerge w:val="restart"/>
            <w:tcMar>
              <w:top w:w="28" w:type="dxa"/>
              <w:bottom w:w="28" w:type="dxa"/>
            </w:tcMar>
          </w:tcPr>
          <w:p w14:paraId="719CDA2F" w14:textId="37596C67" w:rsidR="0053780B" w:rsidRPr="003042C5" w:rsidRDefault="0053780B" w:rsidP="0053780B">
            <w:pPr>
              <w:widowControl w:val="0"/>
              <w:rPr>
                <w:rFonts w:ascii="Arial" w:hAnsi="Arial" w:cs="Arial"/>
                <w:snapToGrid w:val="0"/>
                <w:lang w:eastAsia="en-US"/>
              </w:rPr>
            </w:pPr>
            <w:r w:rsidRPr="00390F55">
              <w:rPr>
                <w:rFonts w:ascii="Arial" w:hAnsi="Arial" w:cs="Arial"/>
                <w:snapToGrid w:val="0"/>
                <w:lang w:eastAsia="en-US"/>
              </w:rPr>
              <w:t>LAROTRECTINIB</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Capsule 25 mg</w:t>
            </w:r>
            <w:r>
              <w:rPr>
                <w:rFonts w:ascii="Arial" w:hAnsi="Arial" w:cs="Arial"/>
                <w:snapToGrid w:val="0"/>
                <w:lang w:eastAsia="en-US"/>
              </w:rPr>
              <w:br/>
            </w:r>
            <w:r w:rsidRPr="00390F55">
              <w:rPr>
                <w:rFonts w:ascii="Arial" w:hAnsi="Arial" w:cs="Arial"/>
                <w:snapToGrid w:val="0"/>
                <w:lang w:eastAsia="en-US"/>
              </w:rPr>
              <w:t>Capsule 100 mg</w:t>
            </w:r>
            <w:r>
              <w:rPr>
                <w:rFonts w:ascii="Arial" w:hAnsi="Arial" w:cs="Arial"/>
                <w:snapToGrid w:val="0"/>
                <w:lang w:eastAsia="en-US"/>
              </w:rPr>
              <w:br/>
            </w:r>
            <w:r w:rsidRPr="00390F55">
              <w:rPr>
                <w:rFonts w:ascii="Arial" w:hAnsi="Arial" w:cs="Arial"/>
                <w:snapToGrid w:val="0"/>
                <w:lang w:eastAsia="en-US"/>
              </w:rPr>
              <w:t>Oral solution 20 mg per mL, 100 mL</w:t>
            </w:r>
            <w:r>
              <w:rPr>
                <w:rFonts w:ascii="Arial" w:hAnsi="Arial" w:cs="Arial"/>
                <w:snapToGrid w:val="0"/>
                <w:lang w:eastAsia="en-US"/>
              </w:rPr>
              <w:br/>
            </w:r>
            <w:r>
              <w:rPr>
                <w:rFonts w:ascii="Arial" w:hAnsi="Arial" w:cs="Arial"/>
                <w:snapToGrid w:val="0"/>
                <w:lang w:eastAsia="en-US"/>
              </w:rPr>
              <w:br/>
            </w:r>
            <w:proofErr w:type="spellStart"/>
            <w:r w:rsidRPr="00390F55">
              <w:rPr>
                <w:rFonts w:ascii="Arial" w:hAnsi="Arial" w:cs="Arial"/>
                <w:snapToGrid w:val="0"/>
                <w:lang w:eastAsia="en-US"/>
              </w:rPr>
              <w:t>Vitrakvi</w:t>
            </w:r>
            <w:proofErr w:type="spellEnd"/>
            <w:r w:rsidRPr="00390F55">
              <w:rPr>
                <w:rFonts w:ascii="Arial" w:hAnsi="Arial" w:cs="Arial"/>
                <w:snapToGrid w:val="0"/>
                <w:lang w:eastAsia="en-US"/>
              </w:rPr>
              <w:t>®</w:t>
            </w:r>
            <w:r>
              <w:rPr>
                <w:rFonts w:ascii="Arial" w:hAnsi="Arial" w:cs="Arial"/>
                <w:snapToGrid w:val="0"/>
                <w:lang w:eastAsia="en-US"/>
              </w:rPr>
              <w:br/>
            </w:r>
            <w:r>
              <w:rPr>
                <w:rFonts w:ascii="Arial" w:hAnsi="Arial" w:cs="Arial"/>
                <w:snapToGrid w:val="0"/>
                <w:lang w:eastAsia="en-US"/>
              </w:rPr>
              <w:br/>
              <w:t>Bayer Australia Ltd</w:t>
            </w:r>
            <w:r>
              <w:rPr>
                <w:rFonts w:ascii="Arial" w:hAnsi="Arial" w:cs="Arial"/>
                <w:snapToGrid w:val="0"/>
                <w:lang w:eastAsia="en-US"/>
              </w:rPr>
              <w:br/>
            </w:r>
            <w:r>
              <w:rPr>
                <w:rFonts w:ascii="Arial" w:hAnsi="Arial" w:cs="Arial"/>
                <w:snapToGrid w:val="0"/>
                <w:lang w:eastAsia="en-US"/>
              </w:rPr>
              <w:br/>
            </w:r>
            <w:r w:rsidRPr="00546A16">
              <w:rPr>
                <w:rFonts w:ascii="Arial" w:hAnsi="Arial" w:cs="Arial"/>
                <w:snapToGrid w:val="0"/>
                <w:lang w:eastAsia="en-US"/>
              </w:rPr>
              <w:t xml:space="preserve">New listing </w:t>
            </w:r>
            <w:r w:rsidRPr="00AA14A6">
              <w:rPr>
                <w:rFonts w:ascii="Arial" w:hAnsi="Arial" w:cs="Arial"/>
                <w:snapToGrid w:val="0"/>
                <w:lang w:eastAsia="en-US"/>
              </w:rPr>
              <w:br/>
            </w:r>
            <w:r w:rsidRPr="00546A16">
              <w:rPr>
                <w:rFonts w:ascii="Arial" w:hAnsi="Arial" w:cs="Arial"/>
                <w:snapToGrid w:val="0"/>
                <w:lang w:eastAsia="en-US"/>
              </w:rPr>
              <w:t>(Major submission)</w:t>
            </w:r>
          </w:p>
        </w:tc>
        <w:tc>
          <w:tcPr>
            <w:tcW w:w="2262" w:type="dxa"/>
            <w:vMerge w:val="restart"/>
          </w:tcPr>
          <w:p w14:paraId="296B20F5" w14:textId="7CA07166" w:rsidR="0053780B" w:rsidRPr="003042C5" w:rsidRDefault="0053780B" w:rsidP="0053780B">
            <w:pPr>
              <w:rPr>
                <w:rFonts w:ascii="Arial" w:hAnsi="Arial" w:cs="Arial"/>
                <w:snapToGrid w:val="0"/>
                <w:lang w:eastAsia="en-US"/>
              </w:rPr>
            </w:pPr>
            <w:r>
              <w:rPr>
                <w:rFonts w:ascii="Arial" w:hAnsi="Arial" w:cs="Arial"/>
                <w:snapToGrid w:val="0"/>
                <w:lang w:eastAsia="en-US"/>
              </w:rPr>
              <w:t xml:space="preserve">Solid tumours harbouring neurotrophic receptor tyrosine kinase </w:t>
            </w:r>
            <w:r w:rsidRPr="00390F55">
              <w:rPr>
                <w:rFonts w:ascii="Arial" w:hAnsi="Arial" w:cs="Arial"/>
                <w:snapToGrid w:val="0"/>
                <w:lang w:eastAsia="en-US"/>
              </w:rPr>
              <w:t>(NTRK) gene fusions</w:t>
            </w:r>
          </w:p>
        </w:tc>
        <w:tc>
          <w:tcPr>
            <w:tcW w:w="3201" w:type="dxa"/>
            <w:tcMar>
              <w:top w:w="28" w:type="dxa"/>
              <w:bottom w:w="28" w:type="dxa"/>
            </w:tcMar>
          </w:tcPr>
          <w:p w14:paraId="0DDC0F6E" w14:textId="41994ABE" w:rsidR="0053780B" w:rsidRPr="003042C5" w:rsidRDefault="0053780B" w:rsidP="0053780B">
            <w:pPr>
              <w:rPr>
                <w:rFonts w:ascii="Arial" w:hAnsi="Arial" w:cs="Arial"/>
                <w:snapToGrid w:val="0"/>
                <w:lang w:eastAsia="en-US"/>
              </w:rPr>
            </w:pPr>
            <w:r w:rsidRPr="00390F55">
              <w:rPr>
                <w:rFonts w:ascii="Arial" w:hAnsi="Arial" w:cs="Arial"/>
                <w:snapToGrid w:val="0"/>
                <w:lang w:eastAsia="en-US"/>
              </w:rPr>
              <w:t xml:space="preserve">To request a Section 100 (Highly Specialised Drugs Program) Authority Required (Written) listing for the treatment of locally advanced or metastatic solid tumours harbouring </w:t>
            </w:r>
            <w:r>
              <w:rPr>
                <w:rFonts w:ascii="Arial" w:hAnsi="Arial" w:cs="Arial"/>
                <w:snapToGrid w:val="0"/>
                <w:lang w:eastAsia="en-US"/>
              </w:rPr>
              <w:t xml:space="preserve">tropomyosin receptor kinase </w:t>
            </w:r>
            <w:r w:rsidRPr="00390F55">
              <w:rPr>
                <w:rFonts w:ascii="Arial" w:hAnsi="Arial" w:cs="Arial"/>
                <w:snapToGrid w:val="0"/>
                <w:lang w:eastAsia="en-US"/>
              </w:rPr>
              <w:t>NTRK gene fusions.</w:t>
            </w:r>
          </w:p>
        </w:tc>
        <w:tc>
          <w:tcPr>
            <w:tcW w:w="7011" w:type="dxa"/>
          </w:tcPr>
          <w:p w14:paraId="4E4899D2" w14:textId="30D54007" w:rsidR="0053780B" w:rsidRPr="003042C5" w:rsidRDefault="0053780B" w:rsidP="0053780B">
            <w:pPr>
              <w:pStyle w:val="ListParagraph"/>
              <w:spacing w:after="120"/>
              <w:ind w:left="0"/>
              <w:rPr>
                <w:rFonts w:ascii="Arial" w:hAnsi="Arial" w:cs="Arial"/>
                <w:sz w:val="20"/>
                <w:szCs w:val="20"/>
              </w:rPr>
            </w:pPr>
            <w:r w:rsidRPr="00DF4F2A">
              <w:rPr>
                <w:rFonts w:ascii="Arial" w:hAnsi="Arial" w:cs="Arial"/>
                <w:sz w:val="20"/>
                <w:szCs w:val="20"/>
              </w:rPr>
              <w:t xml:space="preserve">The PBAC deferred its decision about whether to recommend the listing of </w:t>
            </w:r>
            <w:proofErr w:type="spellStart"/>
            <w:r w:rsidRPr="00DF4F2A">
              <w:rPr>
                <w:rFonts w:ascii="Arial" w:hAnsi="Arial" w:cs="Arial"/>
                <w:sz w:val="20"/>
                <w:szCs w:val="20"/>
              </w:rPr>
              <w:t>larotrectinib</w:t>
            </w:r>
            <w:proofErr w:type="spellEnd"/>
            <w:r w:rsidRPr="00DF4F2A">
              <w:rPr>
                <w:rFonts w:ascii="Arial" w:hAnsi="Arial" w:cs="Arial"/>
                <w:sz w:val="20"/>
                <w:szCs w:val="20"/>
              </w:rPr>
              <w:t xml:space="preserve"> for the treatment of patients w</w:t>
            </w:r>
            <w:r>
              <w:rPr>
                <w:rFonts w:ascii="Arial" w:hAnsi="Arial" w:cs="Arial"/>
                <w:sz w:val="20"/>
                <w:szCs w:val="20"/>
              </w:rPr>
              <w:t>ith NTRK</w:t>
            </w:r>
            <w:r w:rsidRPr="00DF4F2A">
              <w:rPr>
                <w:rFonts w:ascii="Arial" w:hAnsi="Arial" w:cs="Arial"/>
                <w:sz w:val="20"/>
                <w:szCs w:val="20"/>
              </w:rPr>
              <w:t xml:space="preserve"> fusion tumours that are either </w:t>
            </w:r>
            <w:proofErr w:type="spellStart"/>
            <w:r w:rsidRPr="00DF4F2A">
              <w:rPr>
                <w:rFonts w:ascii="Arial" w:hAnsi="Arial" w:cs="Arial"/>
                <w:sz w:val="20"/>
                <w:szCs w:val="20"/>
              </w:rPr>
              <w:t>unresectable</w:t>
            </w:r>
            <w:proofErr w:type="spellEnd"/>
            <w:r w:rsidRPr="00DF4F2A">
              <w:rPr>
                <w:rFonts w:ascii="Arial" w:hAnsi="Arial" w:cs="Arial"/>
                <w:sz w:val="20"/>
                <w:szCs w:val="20"/>
              </w:rPr>
              <w:t xml:space="preserve"> locally advanced, metastatic, or locally advanced and would otherwise require disfiguring surgery or limb amputation to achieve a complete surgical rese</w:t>
            </w:r>
            <w:r>
              <w:rPr>
                <w:rFonts w:ascii="Arial" w:hAnsi="Arial" w:cs="Arial"/>
                <w:sz w:val="20"/>
                <w:szCs w:val="20"/>
              </w:rPr>
              <w:t xml:space="preserve">ction. </w:t>
            </w:r>
            <w:r w:rsidRPr="00DF4F2A">
              <w:rPr>
                <w:rFonts w:ascii="Arial" w:hAnsi="Arial" w:cs="Arial"/>
                <w:sz w:val="20"/>
                <w:szCs w:val="20"/>
              </w:rPr>
              <w:t>The PBAC acknowledged there is a high clinical need for effective treatments for patients with NTRK fusion tumours noting that NTRK fusions are found in</w:t>
            </w:r>
            <w:r>
              <w:rPr>
                <w:rFonts w:ascii="Arial" w:hAnsi="Arial" w:cs="Arial"/>
                <w:sz w:val="20"/>
                <w:szCs w:val="20"/>
              </w:rPr>
              <w:t xml:space="preserve"> a number of rare cancer types. </w:t>
            </w:r>
            <w:r w:rsidRPr="00DF4F2A">
              <w:rPr>
                <w:rFonts w:ascii="Arial" w:hAnsi="Arial" w:cs="Arial"/>
                <w:sz w:val="20"/>
                <w:szCs w:val="20"/>
              </w:rPr>
              <w:t xml:space="preserve">The PBAC noted that the limited clinical data suggested the potential comparative treatment benefit of </w:t>
            </w:r>
            <w:proofErr w:type="spellStart"/>
            <w:r w:rsidRPr="00DF4F2A">
              <w:rPr>
                <w:rFonts w:ascii="Arial" w:hAnsi="Arial" w:cs="Arial"/>
                <w:sz w:val="20"/>
                <w:szCs w:val="20"/>
              </w:rPr>
              <w:t>larotrectinib</w:t>
            </w:r>
            <w:proofErr w:type="spellEnd"/>
            <w:r w:rsidRPr="00DF4F2A">
              <w:rPr>
                <w:rFonts w:ascii="Arial" w:hAnsi="Arial" w:cs="Arial"/>
                <w:sz w:val="20"/>
                <w:szCs w:val="20"/>
              </w:rPr>
              <w:t xml:space="preserve"> would mostly be in paediatric patient populations and adult patients with tumours harbouring NTRK fusions at high frequency. The PBAC was of a mind to not recommend the listing of </w:t>
            </w:r>
            <w:proofErr w:type="spellStart"/>
            <w:r w:rsidRPr="00DF4F2A">
              <w:rPr>
                <w:rFonts w:ascii="Arial" w:hAnsi="Arial" w:cs="Arial"/>
                <w:sz w:val="20"/>
                <w:szCs w:val="20"/>
              </w:rPr>
              <w:t>larotrectinib</w:t>
            </w:r>
            <w:proofErr w:type="spellEnd"/>
            <w:r w:rsidRPr="00DF4F2A">
              <w:rPr>
                <w:rFonts w:ascii="Arial" w:hAnsi="Arial" w:cs="Arial"/>
                <w:sz w:val="20"/>
                <w:szCs w:val="20"/>
              </w:rPr>
              <w:t xml:space="preserve"> on the basis that the cost-effectiveness ratio was unacceptably high and u</w:t>
            </w:r>
            <w:r>
              <w:rPr>
                <w:rFonts w:ascii="Arial" w:hAnsi="Arial" w:cs="Arial"/>
                <w:sz w:val="20"/>
                <w:szCs w:val="20"/>
              </w:rPr>
              <w:t xml:space="preserve">ncertain at the price proposed. </w:t>
            </w:r>
            <w:r w:rsidRPr="00DF4F2A">
              <w:rPr>
                <w:rFonts w:ascii="Arial" w:hAnsi="Arial" w:cs="Arial"/>
                <w:sz w:val="20"/>
                <w:szCs w:val="20"/>
              </w:rPr>
              <w:t>The PBAC requested the Department approach the sponsor to seek a suitable pri</w:t>
            </w:r>
            <w:r>
              <w:rPr>
                <w:rFonts w:ascii="Arial" w:hAnsi="Arial" w:cs="Arial"/>
                <w:sz w:val="20"/>
                <w:szCs w:val="20"/>
              </w:rPr>
              <w:t xml:space="preserve">ce reduction for </w:t>
            </w:r>
            <w:proofErr w:type="spellStart"/>
            <w:r>
              <w:rPr>
                <w:rFonts w:ascii="Arial" w:hAnsi="Arial" w:cs="Arial"/>
                <w:sz w:val="20"/>
                <w:szCs w:val="20"/>
              </w:rPr>
              <w:t>larotrectinib</w:t>
            </w:r>
            <w:proofErr w:type="spellEnd"/>
            <w:r>
              <w:rPr>
                <w:rFonts w:ascii="Arial" w:hAnsi="Arial" w:cs="Arial"/>
                <w:sz w:val="20"/>
                <w:szCs w:val="20"/>
              </w:rPr>
              <w:t xml:space="preserve">. </w:t>
            </w:r>
            <w:r w:rsidRPr="00DF4F2A">
              <w:rPr>
                <w:rFonts w:ascii="Arial" w:hAnsi="Arial" w:cs="Arial"/>
                <w:sz w:val="20"/>
                <w:szCs w:val="20"/>
              </w:rPr>
              <w:t xml:space="preserve">The PBAC also advised it would await the Medical Services Advisory Committee (MSAC) advice on the funding of the </w:t>
            </w:r>
            <w:proofErr w:type="spellStart"/>
            <w:r w:rsidRPr="00DF4F2A">
              <w:rPr>
                <w:rFonts w:ascii="Arial" w:hAnsi="Arial" w:cs="Arial"/>
                <w:sz w:val="20"/>
                <w:szCs w:val="20"/>
              </w:rPr>
              <w:t>codependent</w:t>
            </w:r>
            <w:proofErr w:type="spellEnd"/>
            <w:r w:rsidRPr="00DF4F2A">
              <w:rPr>
                <w:rFonts w:ascii="Arial" w:hAnsi="Arial" w:cs="Arial"/>
                <w:sz w:val="20"/>
                <w:szCs w:val="20"/>
              </w:rPr>
              <w:t xml:space="preserve"> NTRK testing before making a final decision on PBS funding.</w:t>
            </w:r>
          </w:p>
        </w:tc>
      </w:tr>
      <w:tr w:rsidR="0053780B" w:rsidRPr="003042C5" w14:paraId="0FDA8B63" w14:textId="77777777" w:rsidTr="008E2272">
        <w:trPr>
          <w:cantSplit/>
          <w:trHeight w:val="477"/>
        </w:trPr>
        <w:tc>
          <w:tcPr>
            <w:tcW w:w="3071" w:type="dxa"/>
            <w:vMerge/>
            <w:tcMar>
              <w:top w:w="28" w:type="dxa"/>
              <w:bottom w:w="28" w:type="dxa"/>
            </w:tcMar>
          </w:tcPr>
          <w:p w14:paraId="7D0AC7B1" w14:textId="77777777" w:rsidR="0053780B" w:rsidRPr="003042C5" w:rsidRDefault="0053780B" w:rsidP="0053780B">
            <w:pPr>
              <w:widowControl w:val="0"/>
              <w:rPr>
                <w:rFonts w:ascii="Arial" w:hAnsi="Arial" w:cs="Arial"/>
                <w:snapToGrid w:val="0"/>
                <w:lang w:eastAsia="en-US"/>
              </w:rPr>
            </w:pPr>
          </w:p>
        </w:tc>
        <w:tc>
          <w:tcPr>
            <w:tcW w:w="2262" w:type="dxa"/>
            <w:vMerge/>
          </w:tcPr>
          <w:p w14:paraId="219BCA3D" w14:textId="77777777" w:rsidR="0053780B" w:rsidRPr="003042C5" w:rsidRDefault="0053780B" w:rsidP="0053780B">
            <w:pPr>
              <w:widowControl w:val="0"/>
              <w:rPr>
                <w:rFonts w:ascii="Arial" w:hAnsi="Arial" w:cs="Arial"/>
                <w:snapToGrid w:val="0"/>
                <w:lang w:eastAsia="en-US"/>
              </w:rPr>
            </w:pPr>
          </w:p>
        </w:tc>
        <w:tc>
          <w:tcPr>
            <w:tcW w:w="3201" w:type="dxa"/>
            <w:tcMar>
              <w:top w:w="28" w:type="dxa"/>
              <w:bottom w:w="28" w:type="dxa"/>
            </w:tcMar>
          </w:tcPr>
          <w:p w14:paraId="70AA403A" w14:textId="1603BF06" w:rsidR="0053780B" w:rsidRPr="003042C5" w:rsidRDefault="0053780B" w:rsidP="0053780B">
            <w:pPr>
              <w:widowControl w:val="0"/>
              <w:jc w:val="right"/>
              <w:rPr>
                <w:rFonts w:ascii="Arial" w:hAnsi="Arial" w:cs="Arial"/>
                <w:snapToGrid w:val="0"/>
                <w:lang w:eastAsia="en-US"/>
              </w:rPr>
            </w:pPr>
            <w:r>
              <w:rPr>
                <w:rFonts w:ascii="Arial" w:hAnsi="Arial" w:cs="Arial"/>
                <w:snapToGrid w:val="0"/>
                <w:lang w:eastAsia="en-US"/>
              </w:rPr>
              <w:t>Sponsor’s comment</w:t>
            </w:r>
            <w:r w:rsidRPr="003042C5">
              <w:rPr>
                <w:rFonts w:ascii="Arial" w:hAnsi="Arial" w:cs="Arial"/>
                <w:snapToGrid w:val="0"/>
                <w:lang w:eastAsia="en-US"/>
              </w:rPr>
              <w:t>:</w:t>
            </w:r>
          </w:p>
        </w:tc>
        <w:tc>
          <w:tcPr>
            <w:tcW w:w="7011" w:type="dxa"/>
          </w:tcPr>
          <w:p w14:paraId="4E6EE881" w14:textId="5A499B9D" w:rsidR="0053780B" w:rsidRPr="003042C5" w:rsidRDefault="0053780B" w:rsidP="0053780B">
            <w:pPr>
              <w:pStyle w:val="ListParagraph"/>
              <w:ind w:left="0"/>
              <w:rPr>
                <w:rFonts w:ascii="Arial" w:hAnsi="Arial" w:cs="Arial"/>
                <w:sz w:val="20"/>
                <w:szCs w:val="20"/>
              </w:rPr>
            </w:pPr>
            <w:r w:rsidRPr="00720F3E">
              <w:rPr>
                <w:rFonts w:ascii="Arial" w:hAnsi="Arial" w:cs="Arial"/>
                <w:sz w:val="20"/>
                <w:szCs w:val="20"/>
              </w:rPr>
              <w:t xml:space="preserve">Bayer continues to work collaboratively with the PBAC and the Department of Health, to achieve sustainable PBS listing conditions and to enable patients with an NTRK fusion cancer in </w:t>
            </w:r>
            <w:r>
              <w:rPr>
                <w:rFonts w:ascii="Arial" w:hAnsi="Arial" w:cs="Arial"/>
                <w:sz w:val="20"/>
                <w:szCs w:val="20"/>
              </w:rPr>
              <w:t xml:space="preserve">Australia to receive access to </w:t>
            </w:r>
            <w:proofErr w:type="spellStart"/>
            <w:r>
              <w:rPr>
                <w:rFonts w:ascii="Arial" w:hAnsi="Arial" w:cs="Arial"/>
                <w:sz w:val="20"/>
                <w:szCs w:val="20"/>
              </w:rPr>
              <w:t>l</w:t>
            </w:r>
            <w:r w:rsidRPr="00720F3E">
              <w:rPr>
                <w:rFonts w:ascii="Arial" w:hAnsi="Arial" w:cs="Arial"/>
                <w:sz w:val="20"/>
                <w:szCs w:val="20"/>
              </w:rPr>
              <w:t>arotrectinib</w:t>
            </w:r>
            <w:proofErr w:type="spellEnd"/>
            <w:r w:rsidRPr="00720F3E">
              <w:rPr>
                <w:rFonts w:ascii="Arial" w:hAnsi="Arial" w:cs="Arial"/>
                <w:sz w:val="20"/>
                <w:szCs w:val="20"/>
              </w:rPr>
              <w:t xml:space="preserve"> at the earliest opportunity.</w:t>
            </w:r>
          </w:p>
        </w:tc>
      </w:tr>
      <w:tr w:rsidR="0053780B" w:rsidRPr="003042C5" w14:paraId="7AF1CB89" w14:textId="77777777" w:rsidTr="008E2272">
        <w:trPr>
          <w:cantSplit/>
          <w:trHeight w:val="477"/>
        </w:trPr>
        <w:tc>
          <w:tcPr>
            <w:tcW w:w="3071" w:type="dxa"/>
            <w:vMerge w:val="restart"/>
            <w:tcMar>
              <w:top w:w="28" w:type="dxa"/>
              <w:bottom w:w="28" w:type="dxa"/>
            </w:tcMar>
          </w:tcPr>
          <w:p w14:paraId="67311B50" w14:textId="77777777" w:rsidR="0053780B" w:rsidRDefault="0053780B" w:rsidP="0053780B">
            <w:pPr>
              <w:widowControl w:val="0"/>
              <w:rPr>
                <w:rFonts w:ascii="Arial" w:hAnsi="Arial" w:cs="Arial"/>
                <w:snapToGrid w:val="0"/>
                <w:lang w:eastAsia="en-US"/>
              </w:rPr>
            </w:pPr>
            <w:r w:rsidRPr="00390F55">
              <w:rPr>
                <w:rFonts w:ascii="Arial" w:hAnsi="Arial" w:cs="Arial"/>
                <w:snapToGrid w:val="0"/>
                <w:lang w:eastAsia="en-US"/>
              </w:rPr>
              <w:t>OBETICHOLIC ACID</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Tablet 5 mg</w:t>
            </w:r>
            <w:r>
              <w:rPr>
                <w:rFonts w:ascii="Arial" w:hAnsi="Arial" w:cs="Arial"/>
                <w:snapToGrid w:val="0"/>
                <w:lang w:eastAsia="en-US"/>
              </w:rPr>
              <w:br/>
            </w:r>
            <w:r w:rsidRPr="00390F55">
              <w:rPr>
                <w:rFonts w:ascii="Arial" w:hAnsi="Arial" w:cs="Arial"/>
                <w:snapToGrid w:val="0"/>
                <w:lang w:eastAsia="en-US"/>
              </w:rPr>
              <w:t>Tablet 10 mg</w:t>
            </w:r>
            <w:r>
              <w:rPr>
                <w:rFonts w:ascii="Arial" w:hAnsi="Arial" w:cs="Arial"/>
                <w:snapToGrid w:val="0"/>
                <w:lang w:eastAsia="en-US"/>
              </w:rPr>
              <w:br/>
            </w:r>
          </w:p>
          <w:p w14:paraId="499241D1" w14:textId="000620B1" w:rsidR="0053780B" w:rsidRPr="003042C5" w:rsidRDefault="0053780B" w:rsidP="0053780B">
            <w:pPr>
              <w:widowControl w:val="0"/>
              <w:rPr>
                <w:rFonts w:ascii="Arial" w:hAnsi="Arial" w:cs="Arial"/>
                <w:snapToGrid w:val="0"/>
                <w:lang w:eastAsia="en-US"/>
              </w:rPr>
            </w:pPr>
            <w:proofErr w:type="spellStart"/>
            <w:r w:rsidRPr="00390F55">
              <w:rPr>
                <w:rFonts w:ascii="Arial" w:hAnsi="Arial" w:cs="Arial"/>
                <w:snapToGrid w:val="0"/>
                <w:lang w:eastAsia="en-US"/>
              </w:rPr>
              <w:t>Ocaliva</w:t>
            </w:r>
            <w:proofErr w:type="spellEnd"/>
            <w:r w:rsidRPr="00390F55">
              <w:rPr>
                <w:rFonts w:ascii="Arial" w:hAnsi="Arial" w:cs="Arial"/>
                <w:snapToGrid w:val="0"/>
                <w:lang w:eastAsia="en-US"/>
              </w:rPr>
              <w:t>®</w:t>
            </w:r>
            <w:r>
              <w:rPr>
                <w:rFonts w:ascii="Arial" w:hAnsi="Arial" w:cs="Arial"/>
                <w:snapToGrid w:val="0"/>
                <w:lang w:eastAsia="en-US"/>
              </w:rPr>
              <w:br/>
            </w:r>
            <w:r>
              <w:rPr>
                <w:rFonts w:ascii="Arial" w:hAnsi="Arial" w:cs="Arial"/>
                <w:snapToGrid w:val="0"/>
                <w:lang w:eastAsia="en-US"/>
              </w:rPr>
              <w:br/>
            </w:r>
            <w:proofErr w:type="spellStart"/>
            <w:r w:rsidRPr="00390F55">
              <w:rPr>
                <w:rFonts w:ascii="Arial" w:hAnsi="Arial" w:cs="Arial"/>
                <w:snapToGrid w:val="0"/>
                <w:lang w:eastAsia="en-US"/>
              </w:rPr>
              <w:t>Chiesi</w:t>
            </w:r>
            <w:proofErr w:type="spellEnd"/>
            <w:r w:rsidRPr="00390F55">
              <w:rPr>
                <w:rFonts w:ascii="Arial" w:hAnsi="Arial" w:cs="Arial"/>
                <w:snapToGrid w:val="0"/>
                <w:lang w:eastAsia="en-US"/>
              </w:rPr>
              <w:t xml:space="preserve"> Australia Pty Ltd</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New listing</w:t>
            </w:r>
            <w:r>
              <w:rPr>
                <w:rFonts w:ascii="Arial" w:hAnsi="Arial" w:cs="Arial"/>
                <w:snapToGrid w:val="0"/>
                <w:lang w:eastAsia="en-US"/>
              </w:rPr>
              <w:br/>
            </w:r>
            <w:r w:rsidRPr="00390F55">
              <w:rPr>
                <w:rFonts w:ascii="Arial" w:hAnsi="Arial" w:cs="Arial"/>
                <w:snapToGrid w:val="0"/>
                <w:lang w:eastAsia="en-US"/>
              </w:rPr>
              <w:t>(Major Submission)</w:t>
            </w:r>
          </w:p>
        </w:tc>
        <w:tc>
          <w:tcPr>
            <w:tcW w:w="2262" w:type="dxa"/>
            <w:vMerge w:val="restart"/>
          </w:tcPr>
          <w:p w14:paraId="0AF3DC06" w14:textId="6DE35D08" w:rsidR="0053780B" w:rsidRPr="003042C5" w:rsidRDefault="0053780B" w:rsidP="0053780B">
            <w:pPr>
              <w:widowControl w:val="0"/>
              <w:rPr>
                <w:rFonts w:ascii="Arial" w:hAnsi="Arial" w:cs="Arial"/>
                <w:snapToGrid w:val="0"/>
                <w:lang w:eastAsia="en-US"/>
              </w:rPr>
            </w:pPr>
            <w:r w:rsidRPr="00390F55">
              <w:rPr>
                <w:rFonts w:ascii="Arial" w:hAnsi="Arial" w:cs="Arial"/>
                <w:snapToGrid w:val="0"/>
                <w:lang w:eastAsia="en-US"/>
              </w:rPr>
              <w:t>Primary biliary cholangitis</w:t>
            </w:r>
          </w:p>
        </w:tc>
        <w:tc>
          <w:tcPr>
            <w:tcW w:w="3201" w:type="dxa"/>
            <w:tcMar>
              <w:top w:w="28" w:type="dxa"/>
              <w:bottom w:w="28" w:type="dxa"/>
            </w:tcMar>
          </w:tcPr>
          <w:p w14:paraId="484C97A3" w14:textId="0620D91B" w:rsidR="0053780B" w:rsidRPr="003042C5" w:rsidRDefault="0053780B" w:rsidP="0053780B">
            <w:pPr>
              <w:rPr>
                <w:rFonts w:ascii="Arial" w:hAnsi="Arial" w:cs="Arial"/>
                <w:snapToGrid w:val="0"/>
                <w:lang w:eastAsia="en-US"/>
              </w:rPr>
            </w:pPr>
            <w:r>
              <w:rPr>
                <w:rFonts w:ascii="Arial" w:hAnsi="Arial" w:cs="Arial"/>
                <w:color w:val="000000"/>
              </w:rPr>
              <w:t>Resubmission to request an Authority Required (Written) listing for the treatment of primary biliary cholangitis (PBC).</w:t>
            </w:r>
          </w:p>
        </w:tc>
        <w:tc>
          <w:tcPr>
            <w:tcW w:w="7011" w:type="dxa"/>
          </w:tcPr>
          <w:p w14:paraId="3D6230AA" w14:textId="35359A22" w:rsidR="0053780B" w:rsidRPr="003042C5" w:rsidRDefault="0053780B" w:rsidP="0053780B">
            <w:pPr>
              <w:pStyle w:val="ListParagraph"/>
              <w:spacing w:after="120"/>
              <w:ind w:left="0"/>
              <w:rPr>
                <w:rFonts w:ascii="Arial" w:hAnsi="Arial" w:cs="Arial"/>
                <w:sz w:val="20"/>
                <w:szCs w:val="20"/>
              </w:rPr>
            </w:pPr>
            <w:r w:rsidRPr="00847D36">
              <w:rPr>
                <w:rFonts w:ascii="Arial" w:hAnsi="Arial" w:cs="Arial"/>
                <w:sz w:val="20"/>
                <w:szCs w:val="20"/>
              </w:rPr>
              <w:t xml:space="preserve">The PBAC deferred making a recommendation regarding the listing of </w:t>
            </w:r>
            <w:proofErr w:type="spellStart"/>
            <w:r w:rsidRPr="00847D36">
              <w:rPr>
                <w:rFonts w:ascii="Arial" w:hAnsi="Arial" w:cs="Arial"/>
                <w:sz w:val="20"/>
                <w:szCs w:val="20"/>
              </w:rPr>
              <w:t>obeticholic</w:t>
            </w:r>
            <w:proofErr w:type="spellEnd"/>
            <w:r w:rsidRPr="00847D36">
              <w:rPr>
                <w:rFonts w:ascii="Arial" w:hAnsi="Arial" w:cs="Arial"/>
                <w:sz w:val="20"/>
                <w:szCs w:val="20"/>
              </w:rPr>
              <w:t xml:space="preserve"> acid as a second-line treatment</w:t>
            </w:r>
            <w:r>
              <w:rPr>
                <w:rFonts w:ascii="Arial" w:hAnsi="Arial" w:cs="Arial"/>
                <w:sz w:val="20"/>
                <w:szCs w:val="20"/>
              </w:rPr>
              <w:t xml:space="preserve"> of PBC</w:t>
            </w:r>
            <w:r w:rsidRPr="00847D36">
              <w:rPr>
                <w:rFonts w:ascii="Arial" w:hAnsi="Arial" w:cs="Arial"/>
                <w:sz w:val="20"/>
                <w:szCs w:val="20"/>
              </w:rPr>
              <w:t>. Although the PBAC again acknowledged that there was a clinical need for effective PBC treatments, the PBAC considered that a further price reduction would be required to address the uncertainties relating to the magnitude of the clinical benefit, the incremental cost effectiveness ratio (ICER) and the estimated financial impact.</w:t>
            </w:r>
          </w:p>
        </w:tc>
      </w:tr>
      <w:tr w:rsidR="0053780B" w:rsidRPr="003042C5" w14:paraId="7C54B6A9" w14:textId="77777777" w:rsidTr="008E2272">
        <w:trPr>
          <w:cantSplit/>
          <w:trHeight w:val="1562"/>
        </w:trPr>
        <w:tc>
          <w:tcPr>
            <w:tcW w:w="3071" w:type="dxa"/>
            <w:vMerge/>
            <w:tcMar>
              <w:top w:w="28" w:type="dxa"/>
              <w:bottom w:w="28" w:type="dxa"/>
            </w:tcMar>
          </w:tcPr>
          <w:p w14:paraId="07E65B37" w14:textId="7AF274CF" w:rsidR="0053780B" w:rsidRPr="003042C5" w:rsidRDefault="0053780B" w:rsidP="0053780B">
            <w:pPr>
              <w:widowControl w:val="0"/>
              <w:rPr>
                <w:rFonts w:ascii="Arial" w:hAnsi="Arial" w:cs="Arial"/>
                <w:snapToGrid w:val="0"/>
                <w:lang w:eastAsia="en-US"/>
              </w:rPr>
            </w:pPr>
          </w:p>
        </w:tc>
        <w:tc>
          <w:tcPr>
            <w:tcW w:w="2262" w:type="dxa"/>
            <w:vMerge/>
          </w:tcPr>
          <w:p w14:paraId="2B45F598" w14:textId="77777777" w:rsidR="0053780B" w:rsidRPr="003042C5" w:rsidRDefault="0053780B" w:rsidP="0053780B">
            <w:pPr>
              <w:widowControl w:val="0"/>
              <w:rPr>
                <w:rFonts w:ascii="Arial" w:hAnsi="Arial" w:cs="Arial"/>
                <w:snapToGrid w:val="0"/>
                <w:lang w:eastAsia="en-US"/>
              </w:rPr>
            </w:pPr>
          </w:p>
        </w:tc>
        <w:tc>
          <w:tcPr>
            <w:tcW w:w="3201" w:type="dxa"/>
            <w:tcMar>
              <w:top w:w="28" w:type="dxa"/>
              <w:bottom w:w="28" w:type="dxa"/>
            </w:tcMar>
          </w:tcPr>
          <w:p w14:paraId="35EB986E" w14:textId="3C636CF0" w:rsidR="0053780B" w:rsidRPr="003042C5" w:rsidRDefault="0053780B" w:rsidP="0053780B">
            <w:pPr>
              <w:widowControl w:val="0"/>
              <w:jc w:val="right"/>
              <w:rPr>
                <w:rFonts w:ascii="Arial" w:hAnsi="Arial" w:cs="Arial"/>
                <w:snapToGrid w:val="0"/>
                <w:lang w:eastAsia="en-US"/>
              </w:rPr>
            </w:pPr>
            <w:r>
              <w:rPr>
                <w:rFonts w:ascii="Arial" w:hAnsi="Arial" w:cs="Arial"/>
                <w:snapToGrid w:val="0"/>
                <w:lang w:eastAsia="en-US"/>
              </w:rPr>
              <w:t>Sponsor’s comment</w:t>
            </w:r>
            <w:r w:rsidRPr="003042C5">
              <w:rPr>
                <w:rFonts w:ascii="Arial" w:hAnsi="Arial" w:cs="Arial"/>
                <w:snapToGrid w:val="0"/>
                <w:lang w:eastAsia="en-US"/>
              </w:rPr>
              <w:t>:</w:t>
            </w:r>
          </w:p>
        </w:tc>
        <w:tc>
          <w:tcPr>
            <w:tcW w:w="7011" w:type="dxa"/>
          </w:tcPr>
          <w:p w14:paraId="2A438BBE" w14:textId="6AF14534" w:rsidR="0053780B" w:rsidRPr="003042C5" w:rsidRDefault="0053780B" w:rsidP="0053780B">
            <w:pPr>
              <w:pStyle w:val="ListParagraph"/>
              <w:ind w:left="0"/>
              <w:rPr>
                <w:rFonts w:ascii="Arial" w:hAnsi="Arial" w:cs="Arial"/>
                <w:sz w:val="20"/>
                <w:szCs w:val="20"/>
              </w:rPr>
            </w:pPr>
            <w:proofErr w:type="spellStart"/>
            <w:r w:rsidRPr="00325AE7">
              <w:rPr>
                <w:rFonts w:ascii="Arial" w:hAnsi="Arial" w:cs="Arial"/>
                <w:sz w:val="20"/>
                <w:szCs w:val="20"/>
              </w:rPr>
              <w:t>Chiesi</w:t>
            </w:r>
            <w:proofErr w:type="spellEnd"/>
            <w:r w:rsidRPr="00325AE7">
              <w:rPr>
                <w:rFonts w:ascii="Arial" w:hAnsi="Arial" w:cs="Arial"/>
                <w:sz w:val="20"/>
                <w:szCs w:val="20"/>
              </w:rPr>
              <w:t xml:space="preserve"> Australia welcomes the deferral and will work with the PBAC to ensure patient access to this effective medicine.</w:t>
            </w:r>
          </w:p>
        </w:tc>
      </w:tr>
      <w:tr w:rsidR="0053780B" w:rsidRPr="003042C5" w14:paraId="1C23C4D7" w14:textId="77777777" w:rsidTr="008E2272">
        <w:trPr>
          <w:trHeight w:val="477"/>
        </w:trPr>
        <w:tc>
          <w:tcPr>
            <w:tcW w:w="3071" w:type="dxa"/>
            <w:vMerge w:val="restart"/>
            <w:tcMar>
              <w:top w:w="28" w:type="dxa"/>
              <w:bottom w:w="28" w:type="dxa"/>
            </w:tcMar>
          </w:tcPr>
          <w:p w14:paraId="11153E0C" w14:textId="6466C9C2" w:rsidR="0053780B" w:rsidRPr="003042C5" w:rsidRDefault="0053780B" w:rsidP="0053780B">
            <w:pPr>
              <w:widowControl w:val="0"/>
              <w:rPr>
                <w:rFonts w:ascii="Arial" w:hAnsi="Arial" w:cs="Arial"/>
                <w:snapToGrid w:val="0"/>
                <w:lang w:eastAsia="en-US"/>
              </w:rPr>
            </w:pPr>
            <w:r w:rsidRPr="00390F55">
              <w:rPr>
                <w:rFonts w:ascii="Arial" w:hAnsi="Arial" w:cs="Arial"/>
                <w:snapToGrid w:val="0"/>
                <w:lang w:eastAsia="en-US"/>
              </w:rPr>
              <w:t>ONASEMNOGENE ABEPARVOVEC</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Solution for injection, customised based on patient weight</w:t>
            </w:r>
            <w:r>
              <w:rPr>
                <w:rFonts w:ascii="Arial" w:hAnsi="Arial" w:cs="Arial"/>
                <w:snapToGrid w:val="0"/>
                <w:lang w:eastAsia="en-US"/>
              </w:rPr>
              <w:br/>
            </w:r>
            <w:r>
              <w:rPr>
                <w:rFonts w:ascii="Arial" w:hAnsi="Arial" w:cs="Arial"/>
                <w:snapToGrid w:val="0"/>
                <w:lang w:eastAsia="en-US"/>
              </w:rPr>
              <w:br/>
            </w:r>
            <w:proofErr w:type="spellStart"/>
            <w:r w:rsidRPr="00390F55">
              <w:rPr>
                <w:rFonts w:ascii="Arial" w:hAnsi="Arial" w:cs="Arial"/>
                <w:snapToGrid w:val="0"/>
                <w:lang w:eastAsia="en-US"/>
              </w:rPr>
              <w:t>Zolgensma</w:t>
            </w:r>
            <w:proofErr w:type="spellEnd"/>
            <w:r w:rsidRPr="00390F55">
              <w:rPr>
                <w:rFonts w:ascii="Arial" w:hAnsi="Arial" w:cs="Arial"/>
                <w:snapToGrid w:val="0"/>
                <w:lang w:eastAsia="en-US"/>
              </w:rPr>
              <w:t>®</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Novartis Pharmaceuticals Australia Pty Ltd</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New listing</w:t>
            </w:r>
            <w:r>
              <w:rPr>
                <w:rFonts w:ascii="Arial" w:hAnsi="Arial" w:cs="Arial"/>
                <w:snapToGrid w:val="0"/>
                <w:lang w:eastAsia="en-US"/>
              </w:rPr>
              <w:br/>
            </w:r>
            <w:r w:rsidRPr="00390F55">
              <w:rPr>
                <w:rFonts w:ascii="Arial" w:hAnsi="Arial" w:cs="Arial"/>
                <w:snapToGrid w:val="0"/>
                <w:lang w:eastAsia="en-US"/>
              </w:rPr>
              <w:t>(Major Submission)</w:t>
            </w:r>
          </w:p>
        </w:tc>
        <w:tc>
          <w:tcPr>
            <w:tcW w:w="2262" w:type="dxa"/>
            <w:vMerge w:val="restart"/>
          </w:tcPr>
          <w:p w14:paraId="76FA102C" w14:textId="24BAB886" w:rsidR="0053780B" w:rsidRPr="003042C5" w:rsidRDefault="0053780B" w:rsidP="0053780B">
            <w:pPr>
              <w:widowControl w:val="0"/>
              <w:rPr>
                <w:rFonts w:ascii="Arial" w:hAnsi="Arial" w:cs="Arial"/>
                <w:snapToGrid w:val="0"/>
                <w:lang w:eastAsia="en-US"/>
              </w:rPr>
            </w:pPr>
            <w:r w:rsidRPr="00390F55">
              <w:rPr>
                <w:rFonts w:ascii="Arial" w:hAnsi="Arial" w:cs="Arial"/>
                <w:snapToGrid w:val="0"/>
                <w:lang w:eastAsia="en-US"/>
              </w:rPr>
              <w:t>Spinal muscular atrophy (SMA)</w:t>
            </w:r>
          </w:p>
        </w:tc>
        <w:tc>
          <w:tcPr>
            <w:tcW w:w="3201" w:type="dxa"/>
            <w:tcMar>
              <w:top w:w="28" w:type="dxa"/>
              <w:bottom w:w="28" w:type="dxa"/>
            </w:tcMar>
          </w:tcPr>
          <w:p w14:paraId="724B6290" w14:textId="56570313" w:rsidR="0053780B" w:rsidRDefault="0053780B" w:rsidP="0053780B">
            <w:pPr>
              <w:rPr>
                <w:rFonts w:ascii="Arial" w:hAnsi="Arial" w:cs="Arial"/>
                <w:snapToGrid w:val="0"/>
                <w:lang w:eastAsia="en-US"/>
              </w:rPr>
            </w:pPr>
            <w:r>
              <w:rPr>
                <w:rFonts w:ascii="Arial" w:hAnsi="Arial" w:cs="Arial"/>
                <w:color w:val="000000"/>
              </w:rPr>
              <w:t>Submission to request an Authority Required (Written) listing for the treatment of paediatric patients less than 2 years of age with Type 1 SMA.</w:t>
            </w:r>
          </w:p>
        </w:tc>
        <w:tc>
          <w:tcPr>
            <w:tcW w:w="7011" w:type="dxa"/>
          </w:tcPr>
          <w:p w14:paraId="3B8D206A" w14:textId="6F6B2417" w:rsidR="0053780B" w:rsidRPr="00847D36" w:rsidRDefault="0053780B" w:rsidP="0053780B">
            <w:pPr>
              <w:rPr>
                <w:rFonts w:ascii="Arial" w:hAnsi="Arial" w:cs="Arial"/>
              </w:rPr>
            </w:pPr>
            <w:r w:rsidRPr="00847D36">
              <w:rPr>
                <w:rFonts w:ascii="Arial" w:hAnsi="Arial" w:cs="Arial"/>
              </w:rPr>
              <w:t xml:space="preserve">The PBAC deferred making a decision on the request for PBS listing of </w:t>
            </w:r>
            <w:proofErr w:type="spellStart"/>
            <w:r w:rsidRPr="00847D36">
              <w:rPr>
                <w:rFonts w:ascii="Arial" w:hAnsi="Arial" w:cs="Arial"/>
              </w:rPr>
              <w:t>onasemnogene</w:t>
            </w:r>
            <w:proofErr w:type="spellEnd"/>
            <w:r w:rsidRPr="00847D36">
              <w:rPr>
                <w:rFonts w:ascii="Arial" w:hAnsi="Arial" w:cs="Arial"/>
              </w:rPr>
              <w:t xml:space="preserve"> </w:t>
            </w:r>
            <w:proofErr w:type="spellStart"/>
            <w:r w:rsidRPr="00847D36">
              <w:rPr>
                <w:rFonts w:ascii="Arial" w:hAnsi="Arial" w:cs="Arial"/>
              </w:rPr>
              <w:t>abeparvovec</w:t>
            </w:r>
            <w:proofErr w:type="spellEnd"/>
            <w:r w:rsidRPr="00847D36">
              <w:rPr>
                <w:rFonts w:ascii="Arial" w:hAnsi="Arial" w:cs="Arial"/>
              </w:rPr>
              <w:t xml:space="preserve"> (ONA) (</w:t>
            </w:r>
            <w:proofErr w:type="spellStart"/>
            <w:r w:rsidRPr="00847D36">
              <w:rPr>
                <w:rFonts w:ascii="Arial" w:hAnsi="Arial" w:cs="Arial"/>
              </w:rPr>
              <w:t>Zolgensma</w:t>
            </w:r>
            <w:proofErr w:type="spellEnd"/>
            <w:r w:rsidRPr="00847D36">
              <w:rPr>
                <w:rFonts w:ascii="Arial" w:hAnsi="Arial" w:cs="Arial"/>
              </w:rPr>
              <w:t>®) in patients less th</w:t>
            </w:r>
            <w:r>
              <w:rPr>
                <w:rFonts w:ascii="Arial" w:hAnsi="Arial" w:cs="Arial"/>
              </w:rPr>
              <w:t>an 2 years of age with confirmed SMA</w:t>
            </w:r>
            <w:r w:rsidRPr="00847D36">
              <w:rPr>
                <w:rFonts w:ascii="Arial" w:hAnsi="Arial" w:cs="Arial"/>
              </w:rPr>
              <w:t xml:space="preserve"> (based on genotype and phenotype) to allow:</w:t>
            </w:r>
          </w:p>
          <w:p w14:paraId="30215EF8" w14:textId="77777777" w:rsidR="0053780B" w:rsidRPr="00847D36" w:rsidRDefault="0053780B" w:rsidP="0053780B">
            <w:pPr>
              <w:rPr>
                <w:rFonts w:ascii="Arial" w:hAnsi="Arial" w:cs="Arial"/>
              </w:rPr>
            </w:pPr>
          </w:p>
          <w:p w14:paraId="0B452F7B" w14:textId="77777777" w:rsidR="0053780B" w:rsidRPr="00847D36" w:rsidRDefault="0053780B" w:rsidP="0053780B">
            <w:pPr>
              <w:rPr>
                <w:rFonts w:ascii="Arial" w:hAnsi="Arial" w:cs="Arial"/>
              </w:rPr>
            </w:pPr>
            <w:r w:rsidRPr="00847D36">
              <w:rPr>
                <w:rFonts w:ascii="Arial" w:hAnsi="Arial" w:cs="Arial"/>
              </w:rPr>
              <w:t>1. The Therapeutic Good Administration (TGA) to finalise key aspects of the indication for which the therapy will be registered including: patient age at time of treatment; number of copies of the survival motor neuron 2 (SMN2) gene; defined SMA type and symptomatic versus pre-symptomatic status. This information is essential for PBAC to provide advice on which patients should be eligible for PBS treatment and to finalise its assessment of the effectiveness and cost-effectiveness of treatment in eligible patients.</w:t>
            </w:r>
          </w:p>
          <w:p w14:paraId="7783ED0F" w14:textId="77777777" w:rsidR="0053780B" w:rsidRDefault="0053780B" w:rsidP="0053780B">
            <w:pPr>
              <w:rPr>
                <w:rFonts w:ascii="Arial" w:hAnsi="Arial" w:cs="Arial"/>
              </w:rPr>
            </w:pPr>
          </w:p>
          <w:p w14:paraId="4FB64F36" w14:textId="631DC372" w:rsidR="0053780B" w:rsidRDefault="0053780B" w:rsidP="0053780B">
            <w:pPr>
              <w:rPr>
                <w:rFonts w:ascii="Arial" w:hAnsi="Arial" w:cs="Arial"/>
              </w:rPr>
            </w:pPr>
            <w:r w:rsidRPr="00847D36">
              <w:rPr>
                <w:rFonts w:ascii="Arial" w:hAnsi="Arial" w:cs="Arial"/>
              </w:rPr>
              <w:t xml:space="preserve">2. Stakeholders to work together to develop an overall and holistic approach to the treatment pathway and clinical evidence for SMA that takes into account the new treatment options that have become available over the past five years as well as developments in newborn screening and pre-conception and early pregnancy testing. </w:t>
            </w:r>
          </w:p>
          <w:p w14:paraId="1F8EBFA8" w14:textId="77777777" w:rsidR="0053780B" w:rsidRDefault="0053780B" w:rsidP="0053780B">
            <w:pPr>
              <w:rPr>
                <w:rFonts w:ascii="Arial" w:hAnsi="Arial" w:cs="Arial"/>
              </w:rPr>
            </w:pPr>
          </w:p>
          <w:p w14:paraId="799AA01A" w14:textId="77777777" w:rsidR="0053780B" w:rsidRDefault="0053780B" w:rsidP="0053780B">
            <w:pPr>
              <w:rPr>
                <w:rFonts w:ascii="Arial" w:hAnsi="Arial" w:cs="Arial"/>
              </w:rPr>
            </w:pPr>
            <w:r w:rsidRPr="00847D36">
              <w:rPr>
                <w:rFonts w:ascii="Arial" w:hAnsi="Arial" w:cs="Arial"/>
              </w:rPr>
              <w:lastRenderedPageBreak/>
              <w:t xml:space="preserve">The PBAC noted that it first considered a subsidy proposal for the SMA treatment, </w:t>
            </w:r>
            <w:proofErr w:type="spellStart"/>
            <w:r w:rsidRPr="00847D36">
              <w:rPr>
                <w:rFonts w:ascii="Arial" w:hAnsi="Arial" w:cs="Arial"/>
              </w:rPr>
              <w:t>nusinersen</w:t>
            </w:r>
            <w:proofErr w:type="spellEnd"/>
            <w:r w:rsidRPr="00847D36">
              <w:rPr>
                <w:rFonts w:ascii="Arial" w:hAnsi="Arial" w:cs="Arial"/>
              </w:rPr>
              <w:t xml:space="preserve">, in 2017-2018. Prior to that time, there were no direct treatments for this condition. However, since that time, PBAC has considered six more SMA subsidy proposals, including the two considered at this meeting. Further subsidy proposals are expected in the near future. </w:t>
            </w:r>
          </w:p>
          <w:p w14:paraId="39116441" w14:textId="77777777" w:rsidR="0053780B" w:rsidRDefault="0053780B" w:rsidP="0053780B">
            <w:pPr>
              <w:rPr>
                <w:rFonts w:ascii="Arial" w:hAnsi="Arial" w:cs="Arial"/>
              </w:rPr>
            </w:pPr>
          </w:p>
          <w:p w14:paraId="252FFCEB" w14:textId="07DFDA90" w:rsidR="0053780B" w:rsidRDefault="0053780B" w:rsidP="0053780B">
            <w:pPr>
              <w:rPr>
                <w:rFonts w:ascii="Arial" w:hAnsi="Arial" w:cs="Arial"/>
              </w:rPr>
            </w:pPr>
            <w:r w:rsidRPr="00847D36">
              <w:rPr>
                <w:rFonts w:ascii="Arial" w:hAnsi="Arial" w:cs="Arial"/>
              </w:rPr>
              <w:t xml:space="preserve">The new subsidy proposals coming to PBAC are both for different groups of SMA patients, including pre-symptomatic and older patients, and for new treatments. The new treatments expected to become available for SMA in Australia include </w:t>
            </w:r>
            <w:proofErr w:type="spellStart"/>
            <w:r>
              <w:rPr>
                <w:rFonts w:ascii="Arial" w:hAnsi="Arial" w:cs="Arial"/>
              </w:rPr>
              <w:t>include</w:t>
            </w:r>
            <w:proofErr w:type="spellEnd"/>
            <w:r>
              <w:rPr>
                <w:rFonts w:ascii="Arial" w:hAnsi="Arial" w:cs="Arial"/>
              </w:rPr>
              <w:t xml:space="preserve"> ONA</w:t>
            </w:r>
            <w:r w:rsidRPr="00847D36">
              <w:rPr>
                <w:rFonts w:ascii="Arial" w:hAnsi="Arial" w:cs="Arial"/>
              </w:rPr>
              <w:t xml:space="preserve"> and </w:t>
            </w:r>
            <w:proofErr w:type="spellStart"/>
            <w:r w:rsidRPr="00847D36">
              <w:rPr>
                <w:rFonts w:ascii="Arial" w:hAnsi="Arial" w:cs="Arial"/>
              </w:rPr>
              <w:t>branaplam</w:t>
            </w:r>
            <w:proofErr w:type="spellEnd"/>
            <w:r w:rsidRPr="00847D36">
              <w:rPr>
                <w:rFonts w:ascii="Arial" w:hAnsi="Arial" w:cs="Arial"/>
              </w:rPr>
              <w:t xml:space="preserve"> (both Novartis products) and </w:t>
            </w:r>
            <w:proofErr w:type="spellStart"/>
            <w:r w:rsidRPr="00847D36">
              <w:rPr>
                <w:rFonts w:ascii="Arial" w:hAnsi="Arial" w:cs="Arial"/>
              </w:rPr>
              <w:t>risdiplam</w:t>
            </w:r>
            <w:proofErr w:type="spellEnd"/>
            <w:r w:rsidRPr="00847D36">
              <w:rPr>
                <w:rFonts w:ascii="Arial" w:hAnsi="Arial" w:cs="Arial"/>
              </w:rPr>
              <w:t xml:space="preserve"> (Roche).</w:t>
            </w:r>
          </w:p>
          <w:p w14:paraId="31E1019D" w14:textId="77777777" w:rsidR="0053780B" w:rsidRDefault="0053780B" w:rsidP="0053780B">
            <w:pPr>
              <w:rPr>
                <w:rFonts w:ascii="Arial" w:hAnsi="Arial" w:cs="Arial"/>
              </w:rPr>
            </w:pPr>
          </w:p>
          <w:p w14:paraId="5A058496" w14:textId="0668E275" w:rsidR="0053780B" w:rsidRDefault="0053780B" w:rsidP="0053780B">
            <w:pPr>
              <w:rPr>
                <w:rFonts w:ascii="Arial" w:hAnsi="Arial" w:cs="Arial"/>
              </w:rPr>
            </w:pPr>
            <w:r w:rsidRPr="00847D36">
              <w:rPr>
                <w:rFonts w:ascii="Arial" w:hAnsi="Arial" w:cs="Arial"/>
              </w:rPr>
              <w:t xml:space="preserve">Alongside these developments, NSW and the ACT have conducted a pilot new-born screening program for SMA, and the Medical Services Advisory Committee (MSAC) has recommended public funding for reproductive carrier testing to detect cystic fibrosis, SMA and fragile X syndrome pathogenic variants in women early in pregnancy or intending to become pregnant, and in their reproductive partners as needed (see MSAC application No. 1573 at </w:t>
            </w:r>
            <w:hyperlink r:id="rId8" w:history="1">
              <w:r w:rsidRPr="001F26E8">
                <w:rPr>
                  <w:rStyle w:val="Hyperlink"/>
                  <w:rFonts w:ascii="Arial" w:hAnsi="Arial" w:cs="Arial"/>
                </w:rPr>
                <w:t>www.msac.gov.au</w:t>
              </w:r>
            </w:hyperlink>
            <w:r w:rsidRPr="00847D36">
              <w:rPr>
                <w:rFonts w:ascii="Arial" w:hAnsi="Arial" w:cs="Arial"/>
              </w:rPr>
              <w:t>).</w:t>
            </w:r>
          </w:p>
          <w:p w14:paraId="07C24C1F" w14:textId="77777777" w:rsidR="0053780B" w:rsidRDefault="0053780B" w:rsidP="0053780B">
            <w:pPr>
              <w:rPr>
                <w:rFonts w:ascii="Arial" w:hAnsi="Arial" w:cs="Arial"/>
              </w:rPr>
            </w:pPr>
          </w:p>
          <w:p w14:paraId="71D430C6" w14:textId="77777777" w:rsidR="0053780B" w:rsidRDefault="0053780B" w:rsidP="0053780B">
            <w:pPr>
              <w:rPr>
                <w:rFonts w:ascii="Arial" w:hAnsi="Arial" w:cs="Arial"/>
              </w:rPr>
            </w:pPr>
            <w:r w:rsidRPr="00847D36">
              <w:rPr>
                <w:rFonts w:ascii="Arial" w:hAnsi="Arial" w:cs="Arial"/>
              </w:rPr>
              <w:t>In light of these rapid developments in treatment and diagnosis, the PBAC considered it was in the interests of patients and families, prescribers and payers for a decision support analysis for SMA treatment that takes into account all the currently available clinical data and informs a broader “whole of disease” economic and financial analyses.</w:t>
            </w:r>
          </w:p>
          <w:p w14:paraId="4C1C0AC6" w14:textId="77777777" w:rsidR="0053780B" w:rsidRDefault="0053780B" w:rsidP="0053780B">
            <w:pPr>
              <w:rPr>
                <w:rFonts w:ascii="Arial" w:hAnsi="Arial" w:cs="Arial"/>
              </w:rPr>
            </w:pPr>
          </w:p>
          <w:p w14:paraId="428E972B" w14:textId="1F063495" w:rsidR="0053780B" w:rsidRPr="00847D36" w:rsidRDefault="0053780B" w:rsidP="0053780B">
            <w:pPr>
              <w:rPr>
                <w:rFonts w:ascii="Arial" w:hAnsi="Arial" w:cs="Arial"/>
              </w:rPr>
            </w:pPr>
            <w:r w:rsidRPr="00847D36">
              <w:rPr>
                <w:rFonts w:ascii="Arial" w:hAnsi="Arial" w:cs="Arial"/>
              </w:rPr>
              <w:t>The PBAC requested the Department convene a stakeholder meeting in the very near future including clinical experts, consumer representatives and relevant sponsors with the intention of progressing work on this decision support analysis.</w:t>
            </w:r>
          </w:p>
          <w:p w14:paraId="11A94A70" w14:textId="77777777" w:rsidR="0053780B" w:rsidRDefault="0053780B" w:rsidP="0053780B">
            <w:pPr>
              <w:rPr>
                <w:rFonts w:ascii="Arial" w:eastAsia="SimSun" w:hAnsi="Arial" w:cs="Arial"/>
              </w:rPr>
            </w:pPr>
          </w:p>
          <w:p w14:paraId="00B4E2DC" w14:textId="25EE4B48" w:rsidR="0053780B" w:rsidRPr="00847D36" w:rsidRDefault="0053780B" w:rsidP="0053780B">
            <w:pPr>
              <w:rPr>
                <w:rFonts w:ascii="Arial" w:hAnsi="Arial" w:cs="Arial"/>
              </w:rPr>
            </w:pPr>
            <w:r w:rsidRPr="00847D36">
              <w:rPr>
                <w:rFonts w:ascii="Arial" w:hAnsi="Arial" w:cs="Arial"/>
              </w:rPr>
              <w:t xml:space="preserve">The PBAC also had a number of concerns with the current subsidy proposal for ONA. Most importantly, the PBAC did not accept the submission’s claim that ONA is superior in terms of effectiveness and safety as compared to </w:t>
            </w:r>
            <w:proofErr w:type="spellStart"/>
            <w:r>
              <w:rPr>
                <w:rFonts w:ascii="Arial" w:hAnsi="Arial" w:cs="Arial"/>
              </w:rPr>
              <w:t>nusinersen</w:t>
            </w:r>
            <w:proofErr w:type="spellEnd"/>
            <w:r w:rsidRPr="00847D36">
              <w:rPr>
                <w:rFonts w:ascii="Arial" w:hAnsi="Arial" w:cs="Arial"/>
              </w:rPr>
              <w:t xml:space="preserve">. Overall, having considered all the available evidence, PBAC concluded that, on balance ONA would likely deliver similar clinical outcomes to </w:t>
            </w:r>
            <w:proofErr w:type="spellStart"/>
            <w:r>
              <w:rPr>
                <w:rFonts w:ascii="Arial" w:hAnsi="Arial" w:cs="Arial"/>
              </w:rPr>
              <w:t>nusinersen</w:t>
            </w:r>
            <w:proofErr w:type="spellEnd"/>
            <w:r w:rsidRPr="00847D36">
              <w:rPr>
                <w:rFonts w:ascii="Arial" w:hAnsi="Arial" w:cs="Arial"/>
              </w:rPr>
              <w:t xml:space="preserve"> in matched patients. </w:t>
            </w:r>
          </w:p>
          <w:p w14:paraId="0C713FE2" w14:textId="77777777" w:rsidR="0053780B" w:rsidRDefault="0053780B" w:rsidP="0053780B">
            <w:pPr>
              <w:rPr>
                <w:rFonts w:ascii="Arial" w:eastAsia="SimSun" w:hAnsi="Arial" w:cs="Arial"/>
              </w:rPr>
            </w:pPr>
          </w:p>
          <w:p w14:paraId="511134CF" w14:textId="587E9E73" w:rsidR="0053780B" w:rsidRPr="003042C5" w:rsidRDefault="0053780B" w:rsidP="0053780B">
            <w:pPr>
              <w:spacing w:after="120"/>
              <w:rPr>
                <w:rFonts w:ascii="Arial" w:hAnsi="Arial" w:cs="Arial"/>
              </w:rPr>
            </w:pPr>
            <w:r w:rsidRPr="00847D36">
              <w:rPr>
                <w:rFonts w:ascii="Arial" w:hAnsi="Arial" w:cs="Arial"/>
              </w:rPr>
              <w:lastRenderedPageBreak/>
              <w:t xml:space="preserve">The PBAC recognised the high clinical need for effective treatments to treat Type I SMA and noted that ONA is a new in class therapy, which will expand the options available for patients and their families. The PBAC considered that in the absence of substantial new clinical data, which is unlikely to be forthcoming, a simple “frame of reference” cost-comparison with </w:t>
            </w:r>
            <w:proofErr w:type="spellStart"/>
            <w:r>
              <w:rPr>
                <w:rFonts w:ascii="Arial" w:hAnsi="Arial" w:cs="Arial"/>
              </w:rPr>
              <w:t>nusinersen</w:t>
            </w:r>
            <w:proofErr w:type="spellEnd"/>
            <w:r>
              <w:rPr>
                <w:rFonts w:ascii="Arial" w:hAnsi="Arial" w:cs="Arial"/>
              </w:rPr>
              <w:t xml:space="preserve"> </w:t>
            </w:r>
            <w:r w:rsidRPr="00847D36">
              <w:rPr>
                <w:rFonts w:ascii="Arial" w:hAnsi="Arial" w:cs="Arial"/>
              </w:rPr>
              <w:t>may provide a way forward.</w:t>
            </w:r>
          </w:p>
        </w:tc>
      </w:tr>
      <w:tr w:rsidR="0053780B" w:rsidRPr="003042C5" w14:paraId="62F4B0A8" w14:textId="77777777" w:rsidTr="008E2272">
        <w:trPr>
          <w:cantSplit/>
          <w:trHeight w:val="477"/>
        </w:trPr>
        <w:tc>
          <w:tcPr>
            <w:tcW w:w="3071" w:type="dxa"/>
            <w:vMerge/>
            <w:tcMar>
              <w:top w:w="28" w:type="dxa"/>
              <w:bottom w:w="28" w:type="dxa"/>
            </w:tcMar>
          </w:tcPr>
          <w:p w14:paraId="336B1166" w14:textId="77777777" w:rsidR="0053780B" w:rsidRPr="003042C5" w:rsidRDefault="0053780B" w:rsidP="0053780B">
            <w:pPr>
              <w:widowControl w:val="0"/>
              <w:rPr>
                <w:rFonts w:ascii="Arial" w:hAnsi="Arial" w:cs="Arial"/>
                <w:snapToGrid w:val="0"/>
                <w:lang w:eastAsia="en-US"/>
              </w:rPr>
            </w:pPr>
          </w:p>
        </w:tc>
        <w:tc>
          <w:tcPr>
            <w:tcW w:w="2262" w:type="dxa"/>
            <w:vMerge/>
          </w:tcPr>
          <w:p w14:paraId="2D8754EA" w14:textId="77777777" w:rsidR="0053780B" w:rsidRPr="003042C5" w:rsidRDefault="0053780B" w:rsidP="0053780B">
            <w:pPr>
              <w:widowControl w:val="0"/>
              <w:rPr>
                <w:rFonts w:ascii="Arial" w:hAnsi="Arial" w:cs="Arial"/>
                <w:snapToGrid w:val="0"/>
                <w:lang w:eastAsia="en-US"/>
              </w:rPr>
            </w:pPr>
          </w:p>
        </w:tc>
        <w:tc>
          <w:tcPr>
            <w:tcW w:w="3201" w:type="dxa"/>
            <w:tcMar>
              <w:top w:w="28" w:type="dxa"/>
              <w:bottom w:w="28" w:type="dxa"/>
            </w:tcMar>
          </w:tcPr>
          <w:p w14:paraId="3BD16D33" w14:textId="760B7169" w:rsidR="0053780B" w:rsidRDefault="0053780B" w:rsidP="0053780B">
            <w:pPr>
              <w:widowControl w:val="0"/>
              <w:jc w:val="right"/>
              <w:rPr>
                <w:rFonts w:ascii="Arial" w:hAnsi="Arial" w:cs="Arial"/>
                <w:snapToGrid w:val="0"/>
                <w:lang w:eastAsia="en-US"/>
              </w:rPr>
            </w:pPr>
            <w:r>
              <w:rPr>
                <w:rFonts w:ascii="Arial" w:hAnsi="Arial" w:cs="Arial"/>
                <w:snapToGrid w:val="0"/>
                <w:lang w:eastAsia="en-US"/>
              </w:rPr>
              <w:t>Sponsor’s comment</w:t>
            </w:r>
            <w:r w:rsidRPr="003042C5">
              <w:rPr>
                <w:rFonts w:ascii="Arial" w:hAnsi="Arial" w:cs="Arial"/>
                <w:snapToGrid w:val="0"/>
                <w:lang w:eastAsia="en-US"/>
              </w:rPr>
              <w:t>:</w:t>
            </w:r>
          </w:p>
        </w:tc>
        <w:tc>
          <w:tcPr>
            <w:tcW w:w="7011" w:type="dxa"/>
          </w:tcPr>
          <w:p w14:paraId="6C570F59" w14:textId="0DD4E67C" w:rsidR="0053780B" w:rsidRPr="003042C5" w:rsidRDefault="0053780B" w:rsidP="0053780B">
            <w:pPr>
              <w:pStyle w:val="ListParagraph"/>
              <w:ind w:left="0"/>
              <w:rPr>
                <w:rFonts w:ascii="Arial" w:hAnsi="Arial" w:cs="Arial"/>
                <w:sz w:val="20"/>
                <w:szCs w:val="20"/>
              </w:rPr>
            </w:pPr>
            <w:r w:rsidRPr="0027662D">
              <w:rPr>
                <w:rFonts w:ascii="Arial" w:hAnsi="Arial" w:cs="Arial"/>
                <w:sz w:val="20"/>
                <w:szCs w:val="20"/>
              </w:rPr>
              <w:t xml:space="preserve">Novartis is committed to working with the PBAC to achieve a listing for </w:t>
            </w:r>
            <w:proofErr w:type="spellStart"/>
            <w:r w:rsidRPr="0027662D">
              <w:rPr>
                <w:rFonts w:ascii="Arial" w:hAnsi="Arial" w:cs="Arial"/>
                <w:sz w:val="20"/>
                <w:szCs w:val="20"/>
              </w:rPr>
              <w:t>Zolgensma</w:t>
            </w:r>
            <w:proofErr w:type="spellEnd"/>
            <w:r w:rsidRPr="0027662D">
              <w:rPr>
                <w:rFonts w:ascii="Arial" w:hAnsi="Arial" w:cs="Arial"/>
                <w:sz w:val="20"/>
                <w:szCs w:val="20"/>
              </w:rPr>
              <w:t>.</w:t>
            </w:r>
          </w:p>
        </w:tc>
      </w:tr>
      <w:tr w:rsidR="003678B4" w:rsidRPr="003042C5" w14:paraId="0B2F68D0" w14:textId="77777777" w:rsidTr="008E2272">
        <w:trPr>
          <w:cantSplit/>
          <w:trHeight w:val="477"/>
        </w:trPr>
        <w:tc>
          <w:tcPr>
            <w:tcW w:w="3071" w:type="dxa"/>
            <w:vMerge w:val="restart"/>
            <w:tcMar>
              <w:top w:w="28" w:type="dxa"/>
              <w:bottom w:w="28" w:type="dxa"/>
            </w:tcMar>
          </w:tcPr>
          <w:p w14:paraId="311FD040" w14:textId="5062622E" w:rsidR="003678B4" w:rsidRPr="003042C5" w:rsidRDefault="003678B4" w:rsidP="0053780B">
            <w:pPr>
              <w:widowControl w:val="0"/>
              <w:rPr>
                <w:rFonts w:ascii="Arial" w:hAnsi="Arial" w:cs="Arial"/>
                <w:snapToGrid w:val="0"/>
                <w:lang w:eastAsia="en-US"/>
              </w:rPr>
            </w:pPr>
            <w:r w:rsidRPr="00390F55">
              <w:rPr>
                <w:rFonts w:ascii="Arial" w:hAnsi="Arial" w:cs="Arial"/>
                <w:snapToGrid w:val="0"/>
                <w:lang w:eastAsia="en-US"/>
              </w:rPr>
              <w:t>SAPROPTERIN</w:t>
            </w:r>
            <w:r>
              <w:rPr>
                <w:rFonts w:ascii="Arial" w:hAnsi="Arial" w:cs="Arial"/>
                <w:snapToGrid w:val="0"/>
                <w:lang w:eastAsia="en-US"/>
              </w:rPr>
              <w:br/>
            </w:r>
            <w:r>
              <w:rPr>
                <w:rFonts w:ascii="Arial" w:hAnsi="Arial" w:cs="Arial"/>
                <w:snapToGrid w:val="0"/>
                <w:lang w:eastAsia="en-US"/>
              </w:rPr>
              <w:br/>
              <w:t>Powder for oral solution 500 mg</w:t>
            </w:r>
            <w:r>
              <w:rPr>
                <w:rFonts w:ascii="Arial" w:hAnsi="Arial" w:cs="Arial"/>
                <w:snapToGrid w:val="0"/>
                <w:lang w:eastAsia="en-US"/>
              </w:rPr>
              <w:br/>
            </w:r>
            <w:r w:rsidRPr="00390F55">
              <w:rPr>
                <w:rFonts w:ascii="Arial" w:hAnsi="Arial" w:cs="Arial"/>
                <w:snapToGrid w:val="0"/>
                <w:lang w:eastAsia="en-US"/>
              </w:rPr>
              <w:t>Tablet (soluble) 100 mg</w:t>
            </w:r>
            <w:r>
              <w:rPr>
                <w:rFonts w:ascii="Arial" w:hAnsi="Arial" w:cs="Arial"/>
                <w:snapToGrid w:val="0"/>
                <w:lang w:eastAsia="en-US"/>
              </w:rPr>
              <w:br/>
            </w:r>
            <w:r>
              <w:rPr>
                <w:rFonts w:ascii="Arial" w:hAnsi="Arial" w:cs="Arial"/>
                <w:snapToGrid w:val="0"/>
                <w:lang w:eastAsia="en-US"/>
              </w:rPr>
              <w:br/>
            </w:r>
            <w:proofErr w:type="spellStart"/>
            <w:r w:rsidRPr="00390F55">
              <w:rPr>
                <w:rFonts w:ascii="Arial" w:hAnsi="Arial" w:cs="Arial"/>
                <w:snapToGrid w:val="0"/>
                <w:lang w:eastAsia="en-US"/>
              </w:rPr>
              <w:t>Kuvan</w:t>
            </w:r>
            <w:proofErr w:type="spellEnd"/>
            <w:r w:rsidRPr="00390F55">
              <w:rPr>
                <w:rFonts w:ascii="Arial" w:hAnsi="Arial" w:cs="Arial"/>
                <w:snapToGrid w:val="0"/>
                <w:lang w:eastAsia="en-US"/>
              </w:rPr>
              <w:t>®</w:t>
            </w:r>
            <w:r>
              <w:rPr>
                <w:rFonts w:ascii="Arial" w:hAnsi="Arial" w:cs="Arial"/>
                <w:snapToGrid w:val="0"/>
                <w:lang w:eastAsia="en-US"/>
              </w:rPr>
              <w:br/>
            </w:r>
            <w:r>
              <w:rPr>
                <w:rFonts w:ascii="Arial" w:hAnsi="Arial" w:cs="Arial"/>
                <w:snapToGrid w:val="0"/>
                <w:lang w:eastAsia="en-US"/>
              </w:rPr>
              <w:br/>
            </w:r>
            <w:proofErr w:type="spellStart"/>
            <w:r w:rsidRPr="00390F55">
              <w:rPr>
                <w:rFonts w:ascii="Arial" w:hAnsi="Arial" w:cs="Arial"/>
                <w:snapToGrid w:val="0"/>
                <w:lang w:eastAsia="en-US"/>
              </w:rPr>
              <w:t>Biomarin</w:t>
            </w:r>
            <w:proofErr w:type="spellEnd"/>
            <w:r w:rsidRPr="00390F55">
              <w:rPr>
                <w:rFonts w:ascii="Arial" w:hAnsi="Arial" w:cs="Arial"/>
                <w:snapToGrid w:val="0"/>
                <w:lang w:eastAsia="en-US"/>
              </w:rPr>
              <w:t xml:space="preserve"> Pharmaceutical Australia Pty Ltd</w:t>
            </w:r>
            <w:r>
              <w:rPr>
                <w:rFonts w:ascii="Arial" w:hAnsi="Arial" w:cs="Arial"/>
                <w:snapToGrid w:val="0"/>
                <w:lang w:eastAsia="en-US"/>
              </w:rPr>
              <w:br/>
            </w:r>
            <w:r>
              <w:rPr>
                <w:rFonts w:ascii="Arial" w:hAnsi="Arial" w:cs="Arial"/>
                <w:snapToGrid w:val="0"/>
                <w:lang w:eastAsia="en-US"/>
              </w:rPr>
              <w:br/>
            </w:r>
            <w:r w:rsidRPr="00390F55">
              <w:rPr>
                <w:rFonts w:ascii="Arial" w:hAnsi="Arial" w:cs="Arial"/>
                <w:snapToGrid w:val="0"/>
                <w:lang w:eastAsia="en-US"/>
              </w:rPr>
              <w:t xml:space="preserve">Change to listing </w:t>
            </w:r>
            <w:r>
              <w:rPr>
                <w:rFonts w:ascii="Arial" w:hAnsi="Arial" w:cs="Arial"/>
                <w:snapToGrid w:val="0"/>
                <w:lang w:eastAsia="en-US"/>
              </w:rPr>
              <w:br/>
            </w:r>
            <w:r w:rsidRPr="00390F55">
              <w:rPr>
                <w:rFonts w:ascii="Arial" w:hAnsi="Arial" w:cs="Arial"/>
                <w:snapToGrid w:val="0"/>
                <w:lang w:eastAsia="en-US"/>
              </w:rPr>
              <w:t>(Minor Submission)</w:t>
            </w:r>
            <w:r>
              <w:rPr>
                <w:rFonts w:ascii="Arial" w:hAnsi="Arial" w:cs="Arial"/>
                <w:snapToGrid w:val="0"/>
                <w:lang w:eastAsia="en-US"/>
              </w:rPr>
              <w:br/>
            </w:r>
          </w:p>
        </w:tc>
        <w:tc>
          <w:tcPr>
            <w:tcW w:w="2262" w:type="dxa"/>
            <w:vMerge w:val="restart"/>
          </w:tcPr>
          <w:p w14:paraId="2C84F52D" w14:textId="037A5426" w:rsidR="003678B4" w:rsidRPr="003042C5" w:rsidRDefault="003678B4" w:rsidP="0053780B">
            <w:pPr>
              <w:widowControl w:val="0"/>
              <w:rPr>
                <w:rFonts w:ascii="Arial" w:hAnsi="Arial" w:cs="Arial"/>
                <w:snapToGrid w:val="0"/>
                <w:lang w:eastAsia="en-US"/>
              </w:rPr>
            </w:pPr>
            <w:r w:rsidRPr="00390F55">
              <w:rPr>
                <w:rFonts w:ascii="Arial" w:hAnsi="Arial" w:cs="Arial"/>
                <w:snapToGrid w:val="0"/>
                <w:lang w:eastAsia="en-US"/>
              </w:rPr>
              <w:t>Maternal phenylketonuria (MPKU)</w:t>
            </w:r>
          </w:p>
        </w:tc>
        <w:tc>
          <w:tcPr>
            <w:tcW w:w="3201" w:type="dxa"/>
            <w:tcMar>
              <w:top w:w="28" w:type="dxa"/>
              <w:bottom w:w="28" w:type="dxa"/>
            </w:tcMar>
          </w:tcPr>
          <w:p w14:paraId="03BE9598" w14:textId="08512F41" w:rsidR="003678B4" w:rsidRDefault="003678B4" w:rsidP="0053780B">
            <w:pPr>
              <w:widowControl w:val="0"/>
              <w:rPr>
                <w:rFonts w:ascii="Arial" w:hAnsi="Arial" w:cs="Arial"/>
                <w:snapToGrid w:val="0"/>
                <w:lang w:eastAsia="en-US"/>
              </w:rPr>
            </w:pPr>
            <w:r w:rsidRPr="00390F55">
              <w:rPr>
                <w:rFonts w:ascii="Arial" w:hAnsi="Arial" w:cs="Arial"/>
                <w:snapToGrid w:val="0"/>
                <w:lang w:eastAsia="en-US"/>
              </w:rPr>
              <w:t>Resubmission to request an Authority Required listing in combination with a</w:t>
            </w:r>
            <w:r>
              <w:rPr>
                <w:rFonts w:ascii="Arial" w:hAnsi="Arial" w:cs="Arial"/>
                <w:snapToGrid w:val="0"/>
                <w:lang w:eastAsia="en-US"/>
              </w:rPr>
              <w:t xml:space="preserve"> phenylalanine</w:t>
            </w:r>
            <w:r w:rsidRPr="00390F55">
              <w:rPr>
                <w:rFonts w:ascii="Arial" w:hAnsi="Arial" w:cs="Arial"/>
                <w:snapToGrid w:val="0"/>
                <w:lang w:eastAsia="en-US"/>
              </w:rPr>
              <w:t xml:space="preserve"> </w:t>
            </w:r>
            <w:r>
              <w:rPr>
                <w:rFonts w:ascii="Arial" w:hAnsi="Arial" w:cs="Arial"/>
                <w:snapToGrid w:val="0"/>
                <w:lang w:eastAsia="en-US"/>
              </w:rPr>
              <w:t>(</w:t>
            </w:r>
            <w:proofErr w:type="spellStart"/>
            <w:r w:rsidRPr="00390F55">
              <w:rPr>
                <w:rFonts w:ascii="Arial" w:hAnsi="Arial" w:cs="Arial"/>
                <w:snapToGrid w:val="0"/>
                <w:lang w:eastAsia="en-US"/>
              </w:rPr>
              <w:t>Phe</w:t>
            </w:r>
            <w:proofErr w:type="spellEnd"/>
            <w:r>
              <w:rPr>
                <w:rFonts w:ascii="Arial" w:hAnsi="Arial" w:cs="Arial"/>
                <w:snapToGrid w:val="0"/>
                <w:lang w:eastAsia="en-US"/>
              </w:rPr>
              <w:t>)</w:t>
            </w:r>
            <w:r w:rsidRPr="00390F55">
              <w:rPr>
                <w:rFonts w:ascii="Arial" w:hAnsi="Arial" w:cs="Arial"/>
                <w:snapToGrid w:val="0"/>
                <w:lang w:eastAsia="en-US"/>
              </w:rPr>
              <w:t xml:space="preserve">-restricted diet for the treatment of </w:t>
            </w:r>
            <w:r>
              <w:rPr>
                <w:rFonts w:ascii="Arial" w:hAnsi="Arial" w:cs="Arial"/>
                <w:snapToGrid w:val="0"/>
                <w:lang w:eastAsia="en-US"/>
              </w:rPr>
              <w:t xml:space="preserve">MPKU </w:t>
            </w:r>
            <w:r w:rsidRPr="00390F55">
              <w:rPr>
                <w:rFonts w:ascii="Arial" w:hAnsi="Arial" w:cs="Arial"/>
                <w:snapToGrid w:val="0"/>
                <w:lang w:eastAsia="en-US"/>
              </w:rPr>
              <w:t xml:space="preserve">where a </w:t>
            </w:r>
            <w:proofErr w:type="spellStart"/>
            <w:r w:rsidRPr="00390F55">
              <w:rPr>
                <w:rFonts w:ascii="Arial" w:hAnsi="Arial" w:cs="Arial"/>
                <w:snapToGrid w:val="0"/>
                <w:lang w:eastAsia="en-US"/>
              </w:rPr>
              <w:t>Phe</w:t>
            </w:r>
            <w:proofErr w:type="spellEnd"/>
            <w:r w:rsidRPr="00390F55">
              <w:rPr>
                <w:rFonts w:ascii="Arial" w:hAnsi="Arial" w:cs="Arial"/>
                <w:snapToGrid w:val="0"/>
                <w:lang w:eastAsia="en-US"/>
              </w:rPr>
              <w:t xml:space="preserve">-restricted diet does not adequately reduce blood </w:t>
            </w:r>
            <w:proofErr w:type="spellStart"/>
            <w:r w:rsidRPr="00390F55">
              <w:rPr>
                <w:rFonts w:ascii="Arial" w:hAnsi="Arial" w:cs="Arial"/>
                <w:snapToGrid w:val="0"/>
                <w:lang w:eastAsia="en-US"/>
              </w:rPr>
              <w:t>Phe</w:t>
            </w:r>
            <w:proofErr w:type="spellEnd"/>
            <w:r w:rsidRPr="00390F55">
              <w:rPr>
                <w:rFonts w:ascii="Arial" w:hAnsi="Arial" w:cs="Arial"/>
                <w:snapToGrid w:val="0"/>
                <w:lang w:eastAsia="en-US"/>
              </w:rPr>
              <w:t xml:space="preserve"> levels.</w:t>
            </w:r>
          </w:p>
        </w:tc>
        <w:tc>
          <w:tcPr>
            <w:tcW w:w="7011" w:type="dxa"/>
          </w:tcPr>
          <w:p w14:paraId="61DF8B83" w14:textId="77777777" w:rsidR="003678B4" w:rsidRDefault="003678B4" w:rsidP="0053780B">
            <w:pPr>
              <w:rPr>
                <w:rFonts w:ascii="Arial" w:hAnsi="Arial" w:cs="Arial"/>
              </w:rPr>
            </w:pPr>
            <w:r w:rsidRPr="00847D36">
              <w:rPr>
                <w:rFonts w:ascii="Arial" w:hAnsi="Arial" w:cs="Arial"/>
              </w:rPr>
              <w:t xml:space="preserve">The PBAC deferred making a recommendation to list </w:t>
            </w:r>
            <w:proofErr w:type="spellStart"/>
            <w:r w:rsidRPr="00847D36">
              <w:rPr>
                <w:rFonts w:ascii="Arial" w:hAnsi="Arial" w:cs="Arial"/>
              </w:rPr>
              <w:t>sapropterin</w:t>
            </w:r>
            <w:proofErr w:type="spellEnd"/>
            <w:r w:rsidRPr="00847D36">
              <w:rPr>
                <w:rFonts w:ascii="Arial" w:hAnsi="Arial" w:cs="Arial"/>
              </w:rPr>
              <w:t xml:space="preserve"> in co</w:t>
            </w:r>
            <w:r>
              <w:rPr>
                <w:rFonts w:ascii="Arial" w:hAnsi="Arial" w:cs="Arial"/>
              </w:rPr>
              <w:t xml:space="preserve">mbination with a </w:t>
            </w:r>
            <w:proofErr w:type="spellStart"/>
            <w:r>
              <w:rPr>
                <w:rFonts w:ascii="Arial" w:hAnsi="Arial" w:cs="Arial"/>
              </w:rPr>
              <w:t>Phe</w:t>
            </w:r>
            <w:proofErr w:type="spellEnd"/>
            <w:r w:rsidRPr="00847D36">
              <w:rPr>
                <w:rFonts w:ascii="Arial" w:hAnsi="Arial" w:cs="Arial"/>
              </w:rPr>
              <w:t>-restricted diet for the treatme</w:t>
            </w:r>
            <w:r>
              <w:rPr>
                <w:rFonts w:ascii="Arial" w:hAnsi="Arial" w:cs="Arial"/>
              </w:rPr>
              <w:t>nt MPKU</w:t>
            </w:r>
            <w:r w:rsidRPr="00847D36">
              <w:rPr>
                <w:rFonts w:ascii="Arial" w:hAnsi="Arial" w:cs="Arial"/>
              </w:rPr>
              <w:t xml:space="preserve"> in order to consult further on the appropriate restriction, particularly: eligibility and processes for initial responsiveness testing; defining the circumstances of use post-partum; and the most equitable duration of therapy. As part of the deferral, the PBAC requested the sponsor provide further information regarding the feasibility of the proposed restrict</w:t>
            </w:r>
            <w:r>
              <w:rPr>
                <w:rFonts w:ascii="Arial" w:hAnsi="Arial" w:cs="Arial"/>
              </w:rPr>
              <w:t>ion for clinicians in practice.</w:t>
            </w:r>
          </w:p>
          <w:p w14:paraId="10B28279" w14:textId="77777777" w:rsidR="003678B4" w:rsidRDefault="003678B4" w:rsidP="0053780B">
            <w:pPr>
              <w:rPr>
                <w:rFonts w:ascii="Arial" w:hAnsi="Arial" w:cs="Arial"/>
              </w:rPr>
            </w:pPr>
          </w:p>
          <w:p w14:paraId="417D9E51" w14:textId="0B55A05E" w:rsidR="003678B4" w:rsidRPr="003042C5" w:rsidRDefault="003678B4" w:rsidP="0053780B">
            <w:pPr>
              <w:spacing w:after="120"/>
            </w:pPr>
            <w:r w:rsidRPr="00847D36">
              <w:rPr>
                <w:rFonts w:ascii="Arial" w:hAnsi="Arial" w:cs="Arial"/>
              </w:rPr>
              <w:t xml:space="preserve">The PBAC noted there was a high clinical need in a small patient population, and acknowledged the input received from individuals, organisations and health professionals. </w:t>
            </w:r>
            <w:r w:rsidRPr="00DE1DB0">
              <w:rPr>
                <w:rFonts w:ascii="Arial" w:hAnsi="Arial" w:cs="Arial"/>
              </w:rPr>
              <w:t xml:space="preserve">Further, the PBAC noted the strong consumer feedback describing the very high clinical need for access to </w:t>
            </w:r>
            <w:proofErr w:type="spellStart"/>
            <w:r w:rsidRPr="00DE1DB0">
              <w:rPr>
                <w:rFonts w:ascii="Arial" w:hAnsi="Arial" w:cs="Arial"/>
              </w:rPr>
              <w:t>sapropterin</w:t>
            </w:r>
            <w:proofErr w:type="spellEnd"/>
            <w:r w:rsidRPr="00DE1DB0">
              <w:rPr>
                <w:rFonts w:ascii="Arial" w:hAnsi="Arial" w:cs="Arial"/>
              </w:rPr>
              <w:t xml:space="preserve"> for any adult with PKU. The PBAC would welcome a major resubmission for this broader population.</w:t>
            </w:r>
          </w:p>
        </w:tc>
      </w:tr>
      <w:tr w:rsidR="003678B4" w:rsidRPr="003042C5" w14:paraId="2BE9C955" w14:textId="77777777" w:rsidTr="008E2272">
        <w:trPr>
          <w:cantSplit/>
          <w:trHeight w:val="477"/>
        </w:trPr>
        <w:tc>
          <w:tcPr>
            <w:tcW w:w="3071" w:type="dxa"/>
            <w:vMerge/>
            <w:tcMar>
              <w:top w:w="28" w:type="dxa"/>
              <w:bottom w:w="28" w:type="dxa"/>
            </w:tcMar>
          </w:tcPr>
          <w:p w14:paraId="10F7BE0A" w14:textId="77777777" w:rsidR="003678B4" w:rsidRPr="00390F55" w:rsidRDefault="003678B4" w:rsidP="0053780B">
            <w:pPr>
              <w:widowControl w:val="0"/>
              <w:rPr>
                <w:rFonts w:ascii="Arial" w:hAnsi="Arial" w:cs="Arial"/>
                <w:snapToGrid w:val="0"/>
                <w:lang w:eastAsia="en-US"/>
              </w:rPr>
            </w:pPr>
          </w:p>
        </w:tc>
        <w:tc>
          <w:tcPr>
            <w:tcW w:w="2262" w:type="dxa"/>
            <w:vMerge/>
          </w:tcPr>
          <w:p w14:paraId="0B423345" w14:textId="77777777" w:rsidR="003678B4" w:rsidRPr="00390F55" w:rsidRDefault="003678B4" w:rsidP="0053780B">
            <w:pPr>
              <w:widowControl w:val="0"/>
              <w:rPr>
                <w:rFonts w:ascii="Arial" w:hAnsi="Arial" w:cs="Arial"/>
                <w:snapToGrid w:val="0"/>
                <w:lang w:eastAsia="en-US"/>
              </w:rPr>
            </w:pPr>
          </w:p>
        </w:tc>
        <w:tc>
          <w:tcPr>
            <w:tcW w:w="3201" w:type="dxa"/>
            <w:tcMar>
              <w:top w:w="28" w:type="dxa"/>
              <w:bottom w:w="28" w:type="dxa"/>
            </w:tcMar>
          </w:tcPr>
          <w:p w14:paraId="05B582EF" w14:textId="2F4D26E9" w:rsidR="003678B4" w:rsidRPr="00390F55" w:rsidRDefault="003678B4" w:rsidP="0053780B">
            <w:pPr>
              <w:widowControl w:val="0"/>
              <w:jc w:val="right"/>
              <w:rPr>
                <w:rFonts w:ascii="Arial" w:hAnsi="Arial" w:cs="Arial"/>
                <w:snapToGrid w:val="0"/>
                <w:lang w:eastAsia="en-US"/>
              </w:rPr>
            </w:pPr>
            <w:r>
              <w:rPr>
                <w:rFonts w:ascii="Arial" w:hAnsi="Arial" w:cs="Arial"/>
                <w:snapToGrid w:val="0"/>
                <w:lang w:eastAsia="en-US"/>
              </w:rPr>
              <w:t>Sponsor’s comment</w:t>
            </w:r>
            <w:r w:rsidRPr="003042C5">
              <w:rPr>
                <w:rFonts w:ascii="Arial" w:hAnsi="Arial" w:cs="Arial"/>
                <w:snapToGrid w:val="0"/>
                <w:lang w:eastAsia="en-US"/>
              </w:rPr>
              <w:t>:</w:t>
            </w:r>
          </w:p>
        </w:tc>
        <w:tc>
          <w:tcPr>
            <w:tcW w:w="7011" w:type="dxa"/>
          </w:tcPr>
          <w:p w14:paraId="1F6CCC64" w14:textId="69D60E3A" w:rsidR="003678B4" w:rsidRPr="003042C5" w:rsidRDefault="003678B4" w:rsidP="0053780B">
            <w:pPr>
              <w:pStyle w:val="ListParagraph"/>
              <w:ind w:left="0"/>
              <w:rPr>
                <w:rFonts w:ascii="Arial" w:hAnsi="Arial" w:cs="Arial"/>
                <w:sz w:val="20"/>
                <w:szCs w:val="20"/>
              </w:rPr>
            </w:pPr>
            <w:proofErr w:type="spellStart"/>
            <w:r w:rsidRPr="00D227E0">
              <w:rPr>
                <w:rFonts w:ascii="Arial" w:hAnsi="Arial" w:cs="Arial"/>
                <w:sz w:val="20"/>
                <w:szCs w:val="20"/>
              </w:rPr>
              <w:t>BioMarin</w:t>
            </w:r>
            <w:proofErr w:type="spellEnd"/>
            <w:r w:rsidRPr="00D227E0">
              <w:rPr>
                <w:rFonts w:ascii="Arial" w:hAnsi="Arial" w:cs="Arial"/>
                <w:sz w:val="20"/>
                <w:szCs w:val="20"/>
              </w:rPr>
              <w:t xml:space="preserve"> looks forward to working with the PBAC to enable PBS access for this important patient group</w:t>
            </w:r>
            <w:r>
              <w:rPr>
                <w:rFonts w:ascii="Arial" w:hAnsi="Arial" w:cs="Arial"/>
                <w:sz w:val="20"/>
                <w:szCs w:val="20"/>
              </w:rPr>
              <w:t>.</w:t>
            </w:r>
          </w:p>
        </w:tc>
      </w:tr>
    </w:tbl>
    <w:p w14:paraId="4C6D0016" w14:textId="77777777" w:rsidR="00C26FE5" w:rsidRPr="003042C5" w:rsidRDefault="00C26FE5" w:rsidP="0065234B">
      <w:pPr>
        <w:tabs>
          <w:tab w:val="left" w:pos="5210"/>
        </w:tabs>
        <w:rPr>
          <w:rFonts w:ascii="Arial" w:hAnsi="Arial" w:cs="Arial"/>
          <w:lang w:val="en-US"/>
        </w:rPr>
      </w:pPr>
    </w:p>
    <w:sectPr w:rsidR="00C26FE5" w:rsidRPr="003042C5" w:rsidSect="00281EE0">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9CB" w14:textId="77777777" w:rsidR="00EC7CAC" w:rsidRDefault="00EC7CAC">
      <w:r>
        <w:separator/>
      </w:r>
    </w:p>
  </w:endnote>
  <w:endnote w:type="continuationSeparator" w:id="0">
    <w:p w14:paraId="50CAB0BB" w14:textId="77777777"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973"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C6493"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BB92" w14:textId="4901431F"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8B4B54">
      <w:rPr>
        <w:rStyle w:val="PageNumber"/>
        <w:rFonts w:ascii="Arial" w:hAnsi="Arial" w:cs="Arial"/>
        <w:noProof/>
      </w:rPr>
      <w:t>5</w:t>
    </w:r>
    <w:r w:rsidRPr="00287C89">
      <w:rPr>
        <w:rStyle w:val="PageNumber"/>
        <w:rFonts w:ascii="Arial" w:hAnsi="Arial" w:cs="Arial"/>
      </w:rPr>
      <w:fldChar w:fldCharType="end"/>
    </w:r>
  </w:p>
  <w:p w14:paraId="4895AC47" w14:textId="77777777" w:rsidR="005E1F3B" w:rsidRDefault="005E1F3B"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C1ED" w14:textId="77777777" w:rsidR="00EC7CAC" w:rsidRDefault="00EC7CAC">
      <w:r>
        <w:separator/>
      </w:r>
    </w:p>
  </w:footnote>
  <w:footnote w:type="continuationSeparator" w:id="0">
    <w:p w14:paraId="34207613" w14:textId="77777777" w:rsidR="00EC7CAC" w:rsidRDefault="00E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A902" w14:textId="4F01ACD7" w:rsidR="002E2D3E" w:rsidRPr="003C298A" w:rsidRDefault="007B065A" w:rsidP="002E2D3E">
    <w:pPr>
      <w:jc w:val="center"/>
      <w:rPr>
        <w:rFonts w:ascii="Arial" w:hAnsi="Arial" w:cs="Arial"/>
        <w:b/>
      </w:rPr>
    </w:pPr>
    <w:r>
      <w:rPr>
        <w:rFonts w:ascii="Arial" w:hAnsi="Arial" w:cs="Arial"/>
        <w:b/>
      </w:rPr>
      <w:t>NOVEMBER</w:t>
    </w:r>
    <w:r w:rsidR="002E2D3E">
      <w:rPr>
        <w:rFonts w:ascii="Arial" w:hAnsi="Arial" w:cs="Arial"/>
        <w:b/>
      </w:rPr>
      <w:t xml:space="preserve"> 2020</w:t>
    </w:r>
    <w:r w:rsidR="002E2D3E" w:rsidRPr="003C298A">
      <w:rPr>
        <w:rFonts w:ascii="Arial" w:hAnsi="Arial" w:cs="Arial"/>
        <w:b/>
      </w:rPr>
      <w:t xml:space="preserve"> PBAC OUTCOMES - DEFERRALS</w:t>
    </w:r>
  </w:p>
  <w:p w14:paraId="6D23513F" w14:textId="7B136369" w:rsidR="00BB0500" w:rsidRPr="002E2D3E" w:rsidRDefault="00BB0500" w:rsidP="002E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84764F"/>
    <w:multiLevelType w:val="hybridMultilevel"/>
    <w:tmpl w:val="9E20C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7"/>
  </w:num>
  <w:num w:numId="4">
    <w:abstractNumId w:val="10"/>
  </w:num>
  <w:num w:numId="5">
    <w:abstractNumId w:val="6"/>
  </w:num>
  <w:num w:numId="6">
    <w:abstractNumId w:val="2"/>
  </w:num>
  <w:num w:numId="7">
    <w:abstractNumId w:val="1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12"/>
  </w:num>
  <w:num w:numId="12">
    <w:abstractNumId w:val="15"/>
  </w:num>
  <w:num w:numId="13">
    <w:abstractNumId w:val="3"/>
  </w:num>
  <w:num w:numId="14">
    <w:abstractNumId w:val="14"/>
  </w:num>
  <w:num w:numId="15">
    <w:abstractNumId w:val="16"/>
  </w:num>
  <w:num w:numId="16">
    <w:abstractNumId w:val="11"/>
  </w:num>
  <w:num w:numId="17">
    <w:abstractNumId w:val="23"/>
  </w:num>
  <w:num w:numId="18">
    <w:abstractNumId w:val="24"/>
  </w:num>
  <w:num w:numId="19">
    <w:abstractNumId w:val="1"/>
  </w:num>
  <w:num w:numId="20">
    <w:abstractNumId w:val="7"/>
  </w:num>
  <w:num w:numId="21">
    <w:abstractNumId w:val="9"/>
  </w:num>
  <w:num w:numId="22">
    <w:abstractNumId w:val="22"/>
  </w:num>
  <w:num w:numId="23">
    <w:abstractNumId w:val="20"/>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454"/>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E7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219"/>
    <w:rsid w:val="00093960"/>
    <w:rsid w:val="0009470A"/>
    <w:rsid w:val="00095C30"/>
    <w:rsid w:val="00096B9F"/>
    <w:rsid w:val="00096E39"/>
    <w:rsid w:val="000972AC"/>
    <w:rsid w:val="0009760B"/>
    <w:rsid w:val="00097C0E"/>
    <w:rsid w:val="00097ED4"/>
    <w:rsid w:val="000A08BD"/>
    <w:rsid w:val="000A108A"/>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5C6"/>
    <w:rsid w:val="000B5B24"/>
    <w:rsid w:val="000B6487"/>
    <w:rsid w:val="000B7A91"/>
    <w:rsid w:val="000B7F45"/>
    <w:rsid w:val="000C040A"/>
    <w:rsid w:val="000C0497"/>
    <w:rsid w:val="000C0C68"/>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9A2"/>
    <w:rsid w:val="000F1D4F"/>
    <w:rsid w:val="000F2E82"/>
    <w:rsid w:val="000F305F"/>
    <w:rsid w:val="000F3A4F"/>
    <w:rsid w:val="000F3D50"/>
    <w:rsid w:val="000F5D35"/>
    <w:rsid w:val="000F5DDE"/>
    <w:rsid w:val="001000EA"/>
    <w:rsid w:val="00100B0B"/>
    <w:rsid w:val="001025E7"/>
    <w:rsid w:val="0010275F"/>
    <w:rsid w:val="001030EE"/>
    <w:rsid w:val="0010316E"/>
    <w:rsid w:val="001038BB"/>
    <w:rsid w:val="00103F76"/>
    <w:rsid w:val="00105880"/>
    <w:rsid w:val="001060D6"/>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5FC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19"/>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F2E"/>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6EF"/>
    <w:rsid w:val="001B3984"/>
    <w:rsid w:val="001B3FE9"/>
    <w:rsid w:val="001B46AE"/>
    <w:rsid w:val="001B5107"/>
    <w:rsid w:val="001B54F0"/>
    <w:rsid w:val="001B5950"/>
    <w:rsid w:val="001B6AAD"/>
    <w:rsid w:val="001B71B5"/>
    <w:rsid w:val="001B78E2"/>
    <w:rsid w:val="001B7BF2"/>
    <w:rsid w:val="001B7EED"/>
    <w:rsid w:val="001C0289"/>
    <w:rsid w:val="001C09CA"/>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6C44"/>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6F9A"/>
    <w:rsid w:val="001F7055"/>
    <w:rsid w:val="001F716B"/>
    <w:rsid w:val="001F7B95"/>
    <w:rsid w:val="001F7E44"/>
    <w:rsid w:val="001F7FE1"/>
    <w:rsid w:val="002010D3"/>
    <w:rsid w:val="00201885"/>
    <w:rsid w:val="00202757"/>
    <w:rsid w:val="0020322B"/>
    <w:rsid w:val="002032C8"/>
    <w:rsid w:val="00203A75"/>
    <w:rsid w:val="0020409B"/>
    <w:rsid w:val="002060A5"/>
    <w:rsid w:val="002070E4"/>
    <w:rsid w:val="0020721C"/>
    <w:rsid w:val="002072C3"/>
    <w:rsid w:val="00207813"/>
    <w:rsid w:val="0020790A"/>
    <w:rsid w:val="00207E86"/>
    <w:rsid w:val="00210594"/>
    <w:rsid w:val="00210F65"/>
    <w:rsid w:val="00211FCA"/>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22B"/>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251"/>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2D"/>
    <w:rsid w:val="002766B0"/>
    <w:rsid w:val="00277572"/>
    <w:rsid w:val="00277812"/>
    <w:rsid w:val="002802A1"/>
    <w:rsid w:val="002803B8"/>
    <w:rsid w:val="002808CA"/>
    <w:rsid w:val="00280926"/>
    <w:rsid w:val="00281B0A"/>
    <w:rsid w:val="00281EE0"/>
    <w:rsid w:val="00282CDE"/>
    <w:rsid w:val="00283073"/>
    <w:rsid w:val="0028348A"/>
    <w:rsid w:val="0028448C"/>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2D3E"/>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AAF"/>
    <w:rsid w:val="002F4722"/>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2C5"/>
    <w:rsid w:val="00304BF7"/>
    <w:rsid w:val="00304FE8"/>
    <w:rsid w:val="00305A72"/>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BC1"/>
    <w:rsid w:val="003225D5"/>
    <w:rsid w:val="0032271E"/>
    <w:rsid w:val="003229A0"/>
    <w:rsid w:val="003232F1"/>
    <w:rsid w:val="0032378E"/>
    <w:rsid w:val="00323C12"/>
    <w:rsid w:val="00323D04"/>
    <w:rsid w:val="003243CB"/>
    <w:rsid w:val="003245FB"/>
    <w:rsid w:val="003250E2"/>
    <w:rsid w:val="0032520A"/>
    <w:rsid w:val="0032569E"/>
    <w:rsid w:val="00325AE7"/>
    <w:rsid w:val="00326522"/>
    <w:rsid w:val="003270BF"/>
    <w:rsid w:val="00327A0C"/>
    <w:rsid w:val="003301A3"/>
    <w:rsid w:val="0033063D"/>
    <w:rsid w:val="00332129"/>
    <w:rsid w:val="0033322F"/>
    <w:rsid w:val="00333372"/>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388"/>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DC2"/>
    <w:rsid w:val="00365E78"/>
    <w:rsid w:val="00366857"/>
    <w:rsid w:val="003678B4"/>
    <w:rsid w:val="00370449"/>
    <w:rsid w:val="00370EE0"/>
    <w:rsid w:val="003713B0"/>
    <w:rsid w:val="00371B3D"/>
    <w:rsid w:val="00372F44"/>
    <w:rsid w:val="00374783"/>
    <w:rsid w:val="003750B5"/>
    <w:rsid w:val="00375135"/>
    <w:rsid w:val="00377224"/>
    <w:rsid w:val="003777B8"/>
    <w:rsid w:val="00377BAD"/>
    <w:rsid w:val="00381DCB"/>
    <w:rsid w:val="00381F87"/>
    <w:rsid w:val="003820A1"/>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0F55"/>
    <w:rsid w:val="0039142B"/>
    <w:rsid w:val="00391A35"/>
    <w:rsid w:val="00391E07"/>
    <w:rsid w:val="00393110"/>
    <w:rsid w:val="00393DD4"/>
    <w:rsid w:val="003946AC"/>
    <w:rsid w:val="003950A5"/>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98A"/>
    <w:rsid w:val="003C2F43"/>
    <w:rsid w:val="003C32FC"/>
    <w:rsid w:val="003C49A9"/>
    <w:rsid w:val="003C4EBE"/>
    <w:rsid w:val="003C558C"/>
    <w:rsid w:val="003C56DF"/>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5E8"/>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28F"/>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1FA"/>
    <w:rsid w:val="004014C9"/>
    <w:rsid w:val="00401DDB"/>
    <w:rsid w:val="00402B5F"/>
    <w:rsid w:val="00402C3D"/>
    <w:rsid w:val="00403EDA"/>
    <w:rsid w:val="00403F44"/>
    <w:rsid w:val="0040409C"/>
    <w:rsid w:val="00404844"/>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B40"/>
    <w:rsid w:val="00451F2C"/>
    <w:rsid w:val="0045203F"/>
    <w:rsid w:val="004520DB"/>
    <w:rsid w:val="00452550"/>
    <w:rsid w:val="004525A5"/>
    <w:rsid w:val="00453228"/>
    <w:rsid w:val="00453DB2"/>
    <w:rsid w:val="00453F45"/>
    <w:rsid w:val="00454D4D"/>
    <w:rsid w:val="00454F1D"/>
    <w:rsid w:val="00455817"/>
    <w:rsid w:val="00455AE4"/>
    <w:rsid w:val="0045678F"/>
    <w:rsid w:val="00457034"/>
    <w:rsid w:val="00457BAA"/>
    <w:rsid w:val="00460981"/>
    <w:rsid w:val="004609DE"/>
    <w:rsid w:val="00461DC0"/>
    <w:rsid w:val="004628F0"/>
    <w:rsid w:val="00462D54"/>
    <w:rsid w:val="00462D63"/>
    <w:rsid w:val="00463741"/>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28F"/>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80D"/>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3B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59D2"/>
    <w:rsid w:val="0051769B"/>
    <w:rsid w:val="0052052F"/>
    <w:rsid w:val="00520571"/>
    <w:rsid w:val="00522017"/>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3780B"/>
    <w:rsid w:val="005407DB"/>
    <w:rsid w:val="00540D9E"/>
    <w:rsid w:val="0054171A"/>
    <w:rsid w:val="005420CF"/>
    <w:rsid w:val="00542C2A"/>
    <w:rsid w:val="0054337D"/>
    <w:rsid w:val="005438E3"/>
    <w:rsid w:val="00543CAC"/>
    <w:rsid w:val="005440E4"/>
    <w:rsid w:val="00545BEC"/>
    <w:rsid w:val="005468A5"/>
    <w:rsid w:val="00546A16"/>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1CC5"/>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6A3"/>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4C4D"/>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0B24"/>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13E"/>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6F7C7B"/>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0F3E"/>
    <w:rsid w:val="00721887"/>
    <w:rsid w:val="007219B9"/>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64"/>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0831"/>
    <w:rsid w:val="007617E1"/>
    <w:rsid w:val="007639A5"/>
    <w:rsid w:val="00763EE9"/>
    <w:rsid w:val="00764375"/>
    <w:rsid w:val="007653BF"/>
    <w:rsid w:val="00765630"/>
    <w:rsid w:val="00765919"/>
    <w:rsid w:val="007661BB"/>
    <w:rsid w:val="0076653E"/>
    <w:rsid w:val="00766647"/>
    <w:rsid w:val="00766A13"/>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2C52"/>
    <w:rsid w:val="00783873"/>
    <w:rsid w:val="007847D1"/>
    <w:rsid w:val="00784924"/>
    <w:rsid w:val="00785D82"/>
    <w:rsid w:val="0078647B"/>
    <w:rsid w:val="0078673C"/>
    <w:rsid w:val="00786ED4"/>
    <w:rsid w:val="0078716F"/>
    <w:rsid w:val="007873C8"/>
    <w:rsid w:val="0078793D"/>
    <w:rsid w:val="00790F50"/>
    <w:rsid w:val="00791374"/>
    <w:rsid w:val="00792B66"/>
    <w:rsid w:val="0079352C"/>
    <w:rsid w:val="00793B34"/>
    <w:rsid w:val="00793B84"/>
    <w:rsid w:val="00793D87"/>
    <w:rsid w:val="0079400F"/>
    <w:rsid w:val="00794795"/>
    <w:rsid w:val="007949E6"/>
    <w:rsid w:val="00794CC2"/>
    <w:rsid w:val="00794D98"/>
    <w:rsid w:val="00794F29"/>
    <w:rsid w:val="00795A2A"/>
    <w:rsid w:val="007964B5"/>
    <w:rsid w:val="00796A72"/>
    <w:rsid w:val="007972FB"/>
    <w:rsid w:val="007A02BC"/>
    <w:rsid w:val="007A099F"/>
    <w:rsid w:val="007A0ADA"/>
    <w:rsid w:val="007A0F0F"/>
    <w:rsid w:val="007A16EB"/>
    <w:rsid w:val="007A26C4"/>
    <w:rsid w:val="007A2742"/>
    <w:rsid w:val="007A2F96"/>
    <w:rsid w:val="007A33C4"/>
    <w:rsid w:val="007A49D9"/>
    <w:rsid w:val="007A5620"/>
    <w:rsid w:val="007B01E7"/>
    <w:rsid w:val="007B065A"/>
    <w:rsid w:val="007B0810"/>
    <w:rsid w:val="007B104F"/>
    <w:rsid w:val="007B1418"/>
    <w:rsid w:val="007B1C29"/>
    <w:rsid w:val="007B2177"/>
    <w:rsid w:val="007B2FF1"/>
    <w:rsid w:val="007B533C"/>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E7D1F"/>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BC4"/>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69AD"/>
    <w:rsid w:val="008373F3"/>
    <w:rsid w:val="00837AC7"/>
    <w:rsid w:val="00840350"/>
    <w:rsid w:val="00840409"/>
    <w:rsid w:val="0084055F"/>
    <w:rsid w:val="0084098C"/>
    <w:rsid w:val="008411FD"/>
    <w:rsid w:val="0084138C"/>
    <w:rsid w:val="008427E7"/>
    <w:rsid w:val="008429DB"/>
    <w:rsid w:val="00842BA8"/>
    <w:rsid w:val="0084324E"/>
    <w:rsid w:val="00844B2A"/>
    <w:rsid w:val="00844ED2"/>
    <w:rsid w:val="0084562E"/>
    <w:rsid w:val="00845F75"/>
    <w:rsid w:val="0084736D"/>
    <w:rsid w:val="008479BC"/>
    <w:rsid w:val="00847C79"/>
    <w:rsid w:val="00847D36"/>
    <w:rsid w:val="00850A19"/>
    <w:rsid w:val="0085106C"/>
    <w:rsid w:val="008514EC"/>
    <w:rsid w:val="00851F04"/>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18C"/>
    <w:rsid w:val="008612F5"/>
    <w:rsid w:val="00861F9D"/>
    <w:rsid w:val="0086307F"/>
    <w:rsid w:val="008639AD"/>
    <w:rsid w:val="00863C1F"/>
    <w:rsid w:val="00870856"/>
    <w:rsid w:val="0087157B"/>
    <w:rsid w:val="008730C7"/>
    <w:rsid w:val="00873845"/>
    <w:rsid w:val="00876522"/>
    <w:rsid w:val="00876AE3"/>
    <w:rsid w:val="008775DB"/>
    <w:rsid w:val="00877B07"/>
    <w:rsid w:val="00877B7A"/>
    <w:rsid w:val="008801A8"/>
    <w:rsid w:val="00880EFA"/>
    <w:rsid w:val="00881705"/>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86C"/>
    <w:rsid w:val="008A5BE4"/>
    <w:rsid w:val="008A7E3B"/>
    <w:rsid w:val="008B0364"/>
    <w:rsid w:val="008B0379"/>
    <w:rsid w:val="008B0D70"/>
    <w:rsid w:val="008B0EA7"/>
    <w:rsid w:val="008B18C5"/>
    <w:rsid w:val="008B480A"/>
    <w:rsid w:val="008B4B54"/>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0F66"/>
    <w:rsid w:val="008D1097"/>
    <w:rsid w:val="008D11A8"/>
    <w:rsid w:val="008D1417"/>
    <w:rsid w:val="008D1B78"/>
    <w:rsid w:val="008D1F27"/>
    <w:rsid w:val="008D2F95"/>
    <w:rsid w:val="008D3290"/>
    <w:rsid w:val="008D384C"/>
    <w:rsid w:val="008D3EF5"/>
    <w:rsid w:val="008D483E"/>
    <w:rsid w:val="008D4B98"/>
    <w:rsid w:val="008D4BD7"/>
    <w:rsid w:val="008D56F1"/>
    <w:rsid w:val="008D6375"/>
    <w:rsid w:val="008E02E0"/>
    <w:rsid w:val="008E0670"/>
    <w:rsid w:val="008E114F"/>
    <w:rsid w:val="008E1153"/>
    <w:rsid w:val="008E1D76"/>
    <w:rsid w:val="008E2272"/>
    <w:rsid w:val="008E2594"/>
    <w:rsid w:val="008E3455"/>
    <w:rsid w:val="008E3BFB"/>
    <w:rsid w:val="008E50BD"/>
    <w:rsid w:val="008E5755"/>
    <w:rsid w:val="008E6356"/>
    <w:rsid w:val="008E6529"/>
    <w:rsid w:val="008E6C51"/>
    <w:rsid w:val="008E6F7A"/>
    <w:rsid w:val="008E7734"/>
    <w:rsid w:val="008F07ED"/>
    <w:rsid w:val="008F0E43"/>
    <w:rsid w:val="008F142D"/>
    <w:rsid w:val="008F1674"/>
    <w:rsid w:val="008F192D"/>
    <w:rsid w:val="008F2699"/>
    <w:rsid w:val="008F3FE5"/>
    <w:rsid w:val="008F42D7"/>
    <w:rsid w:val="008F4382"/>
    <w:rsid w:val="008F4CE7"/>
    <w:rsid w:val="008F5536"/>
    <w:rsid w:val="008F55D3"/>
    <w:rsid w:val="008F6537"/>
    <w:rsid w:val="008F7BE4"/>
    <w:rsid w:val="00900590"/>
    <w:rsid w:val="00901459"/>
    <w:rsid w:val="00901C47"/>
    <w:rsid w:val="0090328B"/>
    <w:rsid w:val="009032E9"/>
    <w:rsid w:val="00903EFE"/>
    <w:rsid w:val="009040EB"/>
    <w:rsid w:val="0090437C"/>
    <w:rsid w:val="0090472D"/>
    <w:rsid w:val="00904C7A"/>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28A7"/>
    <w:rsid w:val="00933665"/>
    <w:rsid w:val="00933695"/>
    <w:rsid w:val="00933CF4"/>
    <w:rsid w:val="00933F52"/>
    <w:rsid w:val="0093592D"/>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D05"/>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0D86"/>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3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A7FCD"/>
    <w:rsid w:val="009B01CF"/>
    <w:rsid w:val="009B02DB"/>
    <w:rsid w:val="009B0A50"/>
    <w:rsid w:val="009B1DA0"/>
    <w:rsid w:val="009B1F5D"/>
    <w:rsid w:val="009B2407"/>
    <w:rsid w:val="009B2C4C"/>
    <w:rsid w:val="009B3BEA"/>
    <w:rsid w:val="009B41BA"/>
    <w:rsid w:val="009B44F0"/>
    <w:rsid w:val="009B545D"/>
    <w:rsid w:val="009B5957"/>
    <w:rsid w:val="009B5C0B"/>
    <w:rsid w:val="009B62DB"/>
    <w:rsid w:val="009B7273"/>
    <w:rsid w:val="009B7356"/>
    <w:rsid w:val="009B7FAC"/>
    <w:rsid w:val="009C0C99"/>
    <w:rsid w:val="009C1122"/>
    <w:rsid w:val="009C1840"/>
    <w:rsid w:val="009C1B99"/>
    <w:rsid w:val="009C1DC2"/>
    <w:rsid w:val="009C2866"/>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1FF0"/>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39F6"/>
    <w:rsid w:val="00A542F8"/>
    <w:rsid w:val="00A55A47"/>
    <w:rsid w:val="00A574BF"/>
    <w:rsid w:val="00A579F8"/>
    <w:rsid w:val="00A57E65"/>
    <w:rsid w:val="00A605E1"/>
    <w:rsid w:val="00A6204A"/>
    <w:rsid w:val="00A62093"/>
    <w:rsid w:val="00A6310C"/>
    <w:rsid w:val="00A6316B"/>
    <w:rsid w:val="00A63679"/>
    <w:rsid w:val="00A63A8F"/>
    <w:rsid w:val="00A63B06"/>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1F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14A6"/>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5D9F"/>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174"/>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0B4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95F"/>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121"/>
    <w:rsid w:val="00B46975"/>
    <w:rsid w:val="00B472EC"/>
    <w:rsid w:val="00B52046"/>
    <w:rsid w:val="00B5259A"/>
    <w:rsid w:val="00B52B7C"/>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138"/>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97DC9"/>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4BD"/>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246"/>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DFB"/>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27E0"/>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A1"/>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57F7D"/>
    <w:rsid w:val="00D62320"/>
    <w:rsid w:val="00D6248B"/>
    <w:rsid w:val="00D62B5D"/>
    <w:rsid w:val="00D63379"/>
    <w:rsid w:val="00D635B1"/>
    <w:rsid w:val="00D639C5"/>
    <w:rsid w:val="00D63DA7"/>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6DEC"/>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4B0"/>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1431"/>
    <w:rsid w:val="00DC256C"/>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DB0"/>
    <w:rsid w:val="00DE21D2"/>
    <w:rsid w:val="00DE367F"/>
    <w:rsid w:val="00DE3E2A"/>
    <w:rsid w:val="00DE4884"/>
    <w:rsid w:val="00DE5469"/>
    <w:rsid w:val="00DE5D83"/>
    <w:rsid w:val="00DE7DBA"/>
    <w:rsid w:val="00DE7FB5"/>
    <w:rsid w:val="00DF0953"/>
    <w:rsid w:val="00DF354D"/>
    <w:rsid w:val="00DF3B05"/>
    <w:rsid w:val="00DF44BC"/>
    <w:rsid w:val="00DF46D2"/>
    <w:rsid w:val="00DF4F2A"/>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390"/>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875"/>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170"/>
    <w:rsid w:val="00E7757E"/>
    <w:rsid w:val="00E7789E"/>
    <w:rsid w:val="00E77A75"/>
    <w:rsid w:val="00E77B23"/>
    <w:rsid w:val="00E77D56"/>
    <w:rsid w:val="00E80364"/>
    <w:rsid w:val="00E80511"/>
    <w:rsid w:val="00E806BE"/>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3FCE"/>
    <w:rsid w:val="00E94584"/>
    <w:rsid w:val="00E95C26"/>
    <w:rsid w:val="00E95CEA"/>
    <w:rsid w:val="00E967F1"/>
    <w:rsid w:val="00E97FE2"/>
    <w:rsid w:val="00EA08E8"/>
    <w:rsid w:val="00EA0F7E"/>
    <w:rsid w:val="00EA1903"/>
    <w:rsid w:val="00EA1A5A"/>
    <w:rsid w:val="00EA2FC0"/>
    <w:rsid w:val="00EA3151"/>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955"/>
    <w:rsid w:val="00ED4DFC"/>
    <w:rsid w:val="00ED4E42"/>
    <w:rsid w:val="00ED5E54"/>
    <w:rsid w:val="00ED7786"/>
    <w:rsid w:val="00ED7EA9"/>
    <w:rsid w:val="00EE00E5"/>
    <w:rsid w:val="00EE0B31"/>
    <w:rsid w:val="00EE1E9C"/>
    <w:rsid w:val="00EE200B"/>
    <w:rsid w:val="00EE2083"/>
    <w:rsid w:val="00EE20A8"/>
    <w:rsid w:val="00EE21B7"/>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B22"/>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35D"/>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27F97"/>
    <w:rsid w:val="00F303B6"/>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2B0"/>
    <w:rsid w:val="00F618C5"/>
    <w:rsid w:val="00F619E0"/>
    <w:rsid w:val="00F622E5"/>
    <w:rsid w:val="00F626FF"/>
    <w:rsid w:val="00F6380C"/>
    <w:rsid w:val="00F63E23"/>
    <w:rsid w:val="00F65D31"/>
    <w:rsid w:val="00F666A7"/>
    <w:rsid w:val="00F66A2E"/>
    <w:rsid w:val="00F67F09"/>
    <w:rsid w:val="00F706A0"/>
    <w:rsid w:val="00F709F5"/>
    <w:rsid w:val="00F70D25"/>
    <w:rsid w:val="00F717CC"/>
    <w:rsid w:val="00F72F11"/>
    <w:rsid w:val="00F72F45"/>
    <w:rsid w:val="00F72F51"/>
    <w:rsid w:val="00F73999"/>
    <w:rsid w:val="00F73AB3"/>
    <w:rsid w:val="00F73AB7"/>
    <w:rsid w:val="00F7547C"/>
    <w:rsid w:val="00F7566A"/>
    <w:rsid w:val="00F76268"/>
    <w:rsid w:val="00F76CF3"/>
    <w:rsid w:val="00F76DA3"/>
    <w:rsid w:val="00F805CA"/>
    <w:rsid w:val="00F807A4"/>
    <w:rsid w:val="00F809ED"/>
    <w:rsid w:val="00F80DD8"/>
    <w:rsid w:val="00F81914"/>
    <w:rsid w:val="00F81B7D"/>
    <w:rsid w:val="00F82395"/>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4395"/>
    <w:rsid w:val="00FC54D5"/>
    <w:rsid w:val="00FC664D"/>
    <w:rsid w:val="00FC7201"/>
    <w:rsid w:val="00FC737A"/>
    <w:rsid w:val="00FC7844"/>
    <w:rsid w:val="00FD00C8"/>
    <w:rsid w:val="00FD0A8B"/>
    <w:rsid w:val="00FD1512"/>
    <w:rsid w:val="00FD1AB4"/>
    <w:rsid w:val="00FD1DDF"/>
    <w:rsid w:val="00FD28E8"/>
    <w:rsid w:val="00FD3355"/>
    <w:rsid w:val="00FD3CF7"/>
    <w:rsid w:val="00FD4FCC"/>
    <w:rsid w:val="00FD522F"/>
    <w:rsid w:val="00FD5A00"/>
    <w:rsid w:val="00FD5EA4"/>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7D2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2-SectionHeading">
    <w:name w:val="2-Section Heading"/>
    <w:qFormat/>
    <w:rsid w:val="00F70D25"/>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F70D25"/>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F70D25"/>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348">
      <w:bodyDiv w:val="1"/>
      <w:marLeft w:val="0"/>
      <w:marRight w:val="0"/>
      <w:marTop w:val="0"/>
      <w:marBottom w:val="0"/>
      <w:divBdr>
        <w:top w:val="none" w:sz="0" w:space="0" w:color="auto"/>
        <w:left w:val="none" w:sz="0" w:space="0" w:color="auto"/>
        <w:bottom w:val="none" w:sz="0" w:space="0" w:color="auto"/>
        <w:right w:val="none" w:sz="0" w:space="0" w:color="auto"/>
      </w:divBdr>
    </w:div>
    <w:div w:id="12726520">
      <w:bodyDiv w:val="1"/>
      <w:marLeft w:val="0"/>
      <w:marRight w:val="0"/>
      <w:marTop w:val="0"/>
      <w:marBottom w:val="0"/>
      <w:divBdr>
        <w:top w:val="none" w:sz="0" w:space="0" w:color="auto"/>
        <w:left w:val="none" w:sz="0" w:space="0" w:color="auto"/>
        <w:bottom w:val="none" w:sz="0" w:space="0" w:color="auto"/>
        <w:right w:val="none" w:sz="0" w:space="0" w:color="auto"/>
      </w:divBdr>
    </w:div>
    <w:div w:id="1546919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2411238">
      <w:bodyDiv w:val="1"/>
      <w:marLeft w:val="0"/>
      <w:marRight w:val="0"/>
      <w:marTop w:val="0"/>
      <w:marBottom w:val="0"/>
      <w:divBdr>
        <w:top w:val="none" w:sz="0" w:space="0" w:color="auto"/>
        <w:left w:val="none" w:sz="0" w:space="0" w:color="auto"/>
        <w:bottom w:val="none" w:sz="0" w:space="0" w:color="auto"/>
        <w:right w:val="none" w:sz="0" w:space="0" w:color="auto"/>
      </w:divBdr>
    </w:div>
    <w:div w:id="62682473">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8769">
      <w:bodyDiv w:val="1"/>
      <w:marLeft w:val="0"/>
      <w:marRight w:val="0"/>
      <w:marTop w:val="0"/>
      <w:marBottom w:val="0"/>
      <w:divBdr>
        <w:top w:val="none" w:sz="0" w:space="0" w:color="auto"/>
        <w:left w:val="none" w:sz="0" w:space="0" w:color="auto"/>
        <w:bottom w:val="none" w:sz="0" w:space="0" w:color="auto"/>
        <w:right w:val="none" w:sz="0" w:space="0" w:color="auto"/>
      </w:divBdr>
    </w:div>
    <w:div w:id="99180139">
      <w:bodyDiv w:val="1"/>
      <w:marLeft w:val="0"/>
      <w:marRight w:val="0"/>
      <w:marTop w:val="0"/>
      <w:marBottom w:val="0"/>
      <w:divBdr>
        <w:top w:val="none" w:sz="0" w:space="0" w:color="auto"/>
        <w:left w:val="none" w:sz="0" w:space="0" w:color="auto"/>
        <w:bottom w:val="none" w:sz="0" w:space="0" w:color="auto"/>
        <w:right w:val="none" w:sz="0" w:space="0" w:color="auto"/>
      </w:divBdr>
    </w:div>
    <w:div w:id="115105947">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9344460">
      <w:bodyDiv w:val="1"/>
      <w:marLeft w:val="0"/>
      <w:marRight w:val="0"/>
      <w:marTop w:val="0"/>
      <w:marBottom w:val="0"/>
      <w:divBdr>
        <w:top w:val="none" w:sz="0" w:space="0" w:color="auto"/>
        <w:left w:val="none" w:sz="0" w:space="0" w:color="auto"/>
        <w:bottom w:val="none" w:sz="0" w:space="0" w:color="auto"/>
        <w:right w:val="none" w:sz="0" w:space="0" w:color="auto"/>
      </w:divBdr>
    </w:div>
    <w:div w:id="211966048">
      <w:bodyDiv w:val="1"/>
      <w:marLeft w:val="0"/>
      <w:marRight w:val="0"/>
      <w:marTop w:val="0"/>
      <w:marBottom w:val="0"/>
      <w:divBdr>
        <w:top w:val="none" w:sz="0" w:space="0" w:color="auto"/>
        <w:left w:val="none" w:sz="0" w:space="0" w:color="auto"/>
        <w:bottom w:val="none" w:sz="0" w:space="0" w:color="auto"/>
        <w:right w:val="none" w:sz="0" w:space="0" w:color="auto"/>
      </w:divBdr>
    </w:div>
    <w:div w:id="225147309">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7588008">
      <w:bodyDiv w:val="1"/>
      <w:marLeft w:val="0"/>
      <w:marRight w:val="0"/>
      <w:marTop w:val="0"/>
      <w:marBottom w:val="0"/>
      <w:divBdr>
        <w:top w:val="none" w:sz="0" w:space="0" w:color="auto"/>
        <w:left w:val="none" w:sz="0" w:space="0" w:color="auto"/>
        <w:bottom w:val="none" w:sz="0" w:space="0" w:color="auto"/>
        <w:right w:val="none" w:sz="0" w:space="0" w:color="auto"/>
      </w:divBdr>
    </w:div>
    <w:div w:id="26916572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95379813">
      <w:bodyDiv w:val="1"/>
      <w:marLeft w:val="0"/>
      <w:marRight w:val="0"/>
      <w:marTop w:val="0"/>
      <w:marBottom w:val="0"/>
      <w:divBdr>
        <w:top w:val="none" w:sz="0" w:space="0" w:color="auto"/>
        <w:left w:val="none" w:sz="0" w:space="0" w:color="auto"/>
        <w:bottom w:val="none" w:sz="0" w:space="0" w:color="auto"/>
        <w:right w:val="none" w:sz="0" w:space="0" w:color="auto"/>
      </w:divBdr>
    </w:div>
    <w:div w:id="30258874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3534122">
      <w:bodyDiv w:val="1"/>
      <w:marLeft w:val="0"/>
      <w:marRight w:val="0"/>
      <w:marTop w:val="0"/>
      <w:marBottom w:val="0"/>
      <w:divBdr>
        <w:top w:val="none" w:sz="0" w:space="0" w:color="auto"/>
        <w:left w:val="none" w:sz="0" w:space="0" w:color="auto"/>
        <w:bottom w:val="none" w:sz="0" w:space="0" w:color="auto"/>
        <w:right w:val="none" w:sz="0" w:space="0" w:color="auto"/>
      </w:divBdr>
    </w:div>
    <w:div w:id="314725438">
      <w:bodyDiv w:val="1"/>
      <w:marLeft w:val="0"/>
      <w:marRight w:val="0"/>
      <w:marTop w:val="0"/>
      <w:marBottom w:val="0"/>
      <w:divBdr>
        <w:top w:val="none" w:sz="0" w:space="0" w:color="auto"/>
        <w:left w:val="none" w:sz="0" w:space="0" w:color="auto"/>
        <w:bottom w:val="none" w:sz="0" w:space="0" w:color="auto"/>
        <w:right w:val="none" w:sz="0" w:space="0" w:color="auto"/>
      </w:divBdr>
    </w:div>
    <w:div w:id="326440692">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440">
      <w:bodyDiv w:val="1"/>
      <w:marLeft w:val="0"/>
      <w:marRight w:val="0"/>
      <w:marTop w:val="0"/>
      <w:marBottom w:val="0"/>
      <w:divBdr>
        <w:top w:val="none" w:sz="0" w:space="0" w:color="auto"/>
        <w:left w:val="none" w:sz="0" w:space="0" w:color="auto"/>
        <w:bottom w:val="none" w:sz="0" w:space="0" w:color="auto"/>
        <w:right w:val="none" w:sz="0" w:space="0" w:color="auto"/>
      </w:divBdr>
    </w:div>
    <w:div w:id="439032208">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067078">
      <w:bodyDiv w:val="1"/>
      <w:marLeft w:val="0"/>
      <w:marRight w:val="0"/>
      <w:marTop w:val="0"/>
      <w:marBottom w:val="0"/>
      <w:divBdr>
        <w:top w:val="none" w:sz="0" w:space="0" w:color="auto"/>
        <w:left w:val="none" w:sz="0" w:space="0" w:color="auto"/>
        <w:bottom w:val="none" w:sz="0" w:space="0" w:color="auto"/>
        <w:right w:val="none" w:sz="0" w:space="0" w:color="auto"/>
      </w:divBdr>
    </w:div>
    <w:div w:id="47587900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9823038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0491925">
      <w:bodyDiv w:val="1"/>
      <w:marLeft w:val="0"/>
      <w:marRight w:val="0"/>
      <w:marTop w:val="0"/>
      <w:marBottom w:val="0"/>
      <w:divBdr>
        <w:top w:val="none" w:sz="0" w:space="0" w:color="auto"/>
        <w:left w:val="none" w:sz="0" w:space="0" w:color="auto"/>
        <w:bottom w:val="none" w:sz="0" w:space="0" w:color="auto"/>
        <w:right w:val="none" w:sz="0" w:space="0" w:color="auto"/>
      </w:divBdr>
    </w:div>
    <w:div w:id="5114094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306572">
      <w:bodyDiv w:val="1"/>
      <w:marLeft w:val="0"/>
      <w:marRight w:val="0"/>
      <w:marTop w:val="0"/>
      <w:marBottom w:val="0"/>
      <w:divBdr>
        <w:top w:val="none" w:sz="0" w:space="0" w:color="auto"/>
        <w:left w:val="none" w:sz="0" w:space="0" w:color="auto"/>
        <w:bottom w:val="none" w:sz="0" w:space="0" w:color="auto"/>
        <w:right w:val="none" w:sz="0" w:space="0" w:color="auto"/>
      </w:divBdr>
    </w:div>
    <w:div w:id="582758191">
      <w:bodyDiv w:val="1"/>
      <w:marLeft w:val="0"/>
      <w:marRight w:val="0"/>
      <w:marTop w:val="0"/>
      <w:marBottom w:val="0"/>
      <w:divBdr>
        <w:top w:val="none" w:sz="0" w:space="0" w:color="auto"/>
        <w:left w:val="none" w:sz="0" w:space="0" w:color="auto"/>
        <w:bottom w:val="none" w:sz="0" w:space="0" w:color="auto"/>
        <w:right w:val="none" w:sz="0" w:space="0" w:color="auto"/>
      </w:divBdr>
    </w:div>
    <w:div w:id="592128103">
      <w:bodyDiv w:val="1"/>
      <w:marLeft w:val="0"/>
      <w:marRight w:val="0"/>
      <w:marTop w:val="0"/>
      <w:marBottom w:val="0"/>
      <w:divBdr>
        <w:top w:val="none" w:sz="0" w:space="0" w:color="auto"/>
        <w:left w:val="none" w:sz="0" w:space="0" w:color="auto"/>
        <w:bottom w:val="none" w:sz="0" w:space="0" w:color="auto"/>
        <w:right w:val="none" w:sz="0" w:space="0" w:color="auto"/>
      </w:divBdr>
    </w:div>
    <w:div w:id="594553532">
      <w:bodyDiv w:val="1"/>
      <w:marLeft w:val="0"/>
      <w:marRight w:val="0"/>
      <w:marTop w:val="0"/>
      <w:marBottom w:val="0"/>
      <w:divBdr>
        <w:top w:val="none" w:sz="0" w:space="0" w:color="auto"/>
        <w:left w:val="none" w:sz="0" w:space="0" w:color="auto"/>
        <w:bottom w:val="none" w:sz="0" w:space="0" w:color="auto"/>
        <w:right w:val="none" w:sz="0" w:space="0" w:color="auto"/>
      </w:divBdr>
    </w:div>
    <w:div w:id="596792597">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7684592">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232091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2357976">
      <w:bodyDiv w:val="1"/>
      <w:marLeft w:val="0"/>
      <w:marRight w:val="0"/>
      <w:marTop w:val="0"/>
      <w:marBottom w:val="0"/>
      <w:divBdr>
        <w:top w:val="none" w:sz="0" w:space="0" w:color="auto"/>
        <w:left w:val="none" w:sz="0" w:space="0" w:color="auto"/>
        <w:bottom w:val="none" w:sz="0" w:space="0" w:color="auto"/>
        <w:right w:val="none" w:sz="0" w:space="0" w:color="auto"/>
      </w:divBdr>
    </w:div>
    <w:div w:id="77386918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56905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76890707">
      <w:bodyDiv w:val="1"/>
      <w:marLeft w:val="0"/>
      <w:marRight w:val="0"/>
      <w:marTop w:val="0"/>
      <w:marBottom w:val="0"/>
      <w:divBdr>
        <w:top w:val="none" w:sz="0" w:space="0" w:color="auto"/>
        <w:left w:val="none" w:sz="0" w:space="0" w:color="auto"/>
        <w:bottom w:val="none" w:sz="0" w:space="0" w:color="auto"/>
        <w:right w:val="none" w:sz="0" w:space="0" w:color="auto"/>
      </w:divBdr>
    </w:div>
    <w:div w:id="883828939">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9486125">
      <w:bodyDiv w:val="1"/>
      <w:marLeft w:val="0"/>
      <w:marRight w:val="0"/>
      <w:marTop w:val="0"/>
      <w:marBottom w:val="0"/>
      <w:divBdr>
        <w:top w:val="none" w:sz="0" w:space="0" w:color="auto"/>
        <w:left w:val="none" w:sz="0" w:space="0" w:color="auto"/>
        <w:bottom w:val="none" w:sz="0" w:space="0" w:color="auto"/>
        <w:right w:val="none" w:sz="0" w:space="0" w:color="auto"/>
      </w:divBdr>
    </w:div>
    <w:div w:id="94237491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4042709">
      <w:bodyDiv w:val="1"/>
      <w:marLeft w:val="0"/>
      <w:marRight w:val="0"/>
      <w:marTop w:val="0"/>
      <w:marBottom w:val="0"/>
      <w:divBdr>
        <w:top w:val="none" w:sz="0" w:space="0" w:color="auto"/>
        <w:left w:val="none" w:sz="0" w:space="0" w:color="auto"/>
        <w:bottom w:val="none" w:sz="0" w:space="0" w:color="auto"/>
        <w:right w:val="none" w:sz="0" w:space="0" w:color="auto"/>
      </w:divBdr>
    </w:div>
    <w:div w:id="967737016">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6857599">
      <w:bodyDiv w:val="1"/>
      <w:marLeft w:val="0"/>
      <w:marRight w:val="0"/>
      <w:marTop w:val="0"/>
      <w:marBottom w:val="0"/>
      <w:divBdr>
        <w:top w:val="none" w:sz="0" w:space="0" w:color="auto"/>
        <w:left w:val="none" w:sz="0" w:space="0" w:color="auto"/>
        <w:bottom w:val="none" w:sz="0" w:space="0" w:color="auto"/>
        <w:right w:val="none" w:sz="0" w:space="0" w:color="auto"/>
      </w:divBdr>
    </w:div>
    <w:div w:id="98712908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6416347">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9941317">
      <w:bodyDiv w:val="1"/>
      <w:marLeft w:val="0"/>
      <w:marRight w:val="0"/>
      <w:marTop w:val="0"/>
      <w:marBottom w:val="0"/>
      <w:divBdr>
        <w:top w:val="none" w:sz="0" w:space="0" w:color="auto"/>
        <w:left w:val="none" w:sz="0" w:space="0" w:color="auto"/>
        <w:bottom w:val="none" w:sz="0" w:space="0" w:color="auto"/>
        <w:right w:val="none" w:sz="0" w:space="0" w:color="auto"/>
      </w:divBdr>
    </w:div>
    <w:div w:id="10278709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4985309">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195537">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0224413">
      <w:bodyDiv w:val="1"/>
      <w:marLeft w:val="0"/>
      <w:marRight w:val="0"/>
      <w:marTop w:val="0"/>
      <w:marBottom w:val="0"/>
      <w:divBdr>
        <w:top w:val="none" w:sz="0" w:space="0" w:color="auto"/>
        <w:left w:val="none" w:sz="0" w:space="0" w:color="auto"/>
        <w:bottom w:val="none" w:sz="0" w:space="0" w:color="auto"/>
        <w:right w:val="none" w:sz="0" w:space="0" w:color="auto"/>
      </w:divBdr>
    </w:div>
    <w:div w:id="1124881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2770312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4315822">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2379559">
      <w:bodyDiv w:val="1"/>
      <w:marLeft w:val="0"/>
      <w:marRight w:val="0"/>
      <w:marTop w:val="0"/>
      <w:marBottom w:val="0"/>
      <w:divBdr>
        <w:top w:val="none" w:sz="0" w:space="0" w:color="auto"/>
        <w:left w:val="none" w:sz="0" w:space="0" w:color="auto"/>
        <w:bottom w:val="none" w:sz="0" w:space="0" w:color="auto"/>
        <w:right w:val="none" w:sz="0" w:space="0" w:color="auto"/>
      </w:divBdr>
    </w:div>
    <w:div w:id="1180123871">
      <w:bodyDiv w:val="1"/>
      <w:marLeft w:val="0"/>
      <w:marRight w:val="0"/>
      <w:marTop w:val="0"/>
      <w:marBottom w:val="0"/>
      <w:divBdr>
        <w:top w:val="none" w:sz="0" w:space="0" w:color="auto"/>
        <w:left w:val="none" w:sz="0" w:space="0" w:color="auto"/>
        <w:bottom w:val="none" w:sz="0" w:space="0" w:color="auto"/>
        <w:right w:val="none" w:sz="0" w:space="0" w:color="auto"/>
      </w:divBdr>
    </w:div>
    <w:div w:id="1183860894">
      <w:bodyDiv w:val="1"/>
      <w:marLeft w:val="0"/>
      <w:marRight w:val="0"/>
      <w:marTop w:val="0"/>
      <w:marBottom w:val="0"/>
      <w:divBdr>
        <w:top w:val="none" w:sz="0" w:space="0" w:color="auto"/>
        <w:left w:val="none" w:sz="0" w:space="0" w:color="auto"/>
        <w:bottom w:val="none" w:sz="0" w:space="0" w:color="auto"/>
        <w:right w:val="none" w:sz="0" w:space="0" w:color="auto"/>
      </w:divBdr>
    </w:div>
    <w:div w:id="1190296574">
      <w:bodyDiv w:val="1"/>
      <w:marLeft w:val="0"/>
      <w:marRight w:val="0"/>
      <w:marTop w:val="0"/>
      <w:marBottom w:val="0"/>
      <w:divBdr>
        <w:top w:val="none" w:sz="0" w:space="0" w:color="auto"/>
        <w:left w:val="none" w:sz="0" w:space="0" w:color="auto"/>
        <w:bottom w:val="none" w:sz="0" w:space="0" w:color="auto"/>
        <w:right w:val="none" w:sz="0" w:space="0" w:color="auto"/>
      </w:divBdr>
    </w:div>
    <w:div w:id="1202473056">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809788">
      <w:bodyDiv w:val="1"/>
      <w:marLeft w:val="0"/>
      <w:marRight w:val="0"/>
      <w:marTop w:val="0"/>
      <w:marBottom w:val="0"/>
      <w:divBdr>
        <w:top w:val="none" w:sz="0" w:space="0" w:color="auto"/>
        <w:left w:val="none" w:sz="0" w:space="0" w:color="auto"/>
        <w:bottom w:val="none" w:sz="0" w:space="0" w:color="auto"/>
        <w:right w:val="none" w:sz="0" w:space="0" w:color="auto"/>
      </w:divBdr>
    </w:div>
    <w:div w:id="124329748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630671">
      <w:bodyDiv w:val="1"/>
      <w:marLeft w:val="0"/>
      <w:marRight w:val="0"/>
      <w:marTop w:val="0"/>
      <w:marBottom w:val="0"/>
      <w:divBdr>
        <w:top w:val="none" w:sz="0" w:space="0" w:color="auto"/>
        <w:left w:val="none" w:sz="0" w:space="0" w:color="auto"/>
        <w:bottom w:val="none" w:sz="0" w:space="0" w:color="auto"/>
        <w:right w:val="none" w:sz="0" w:space="0" w:color="auto"/>
      </w:divBdr>
    </w:div>
    <w:div w:id="1306468304">
      <w:bodyDiv w:val="1"/>
      <w:marLeft w:val="0"/>
      <w:marRight w:val="0"/>
      <w:marTop w:val="0"/>
      <w:marBottom w:val="0"/>
      <w:divBdr>
        <w:top w:val="none" w:sz="0" w:space="0" w:color="auto"/>
        <w:left w:val="none" w:sz="0" w:space="0" w:color="auto"/>
        <w:bottom w:val="none" w:sz="0" w:space="0" w:color="auto"/>
        <w:right w:val="none" w:sz="0" w:space="0" w:color="auto"/>
      </w:divBdr>
    </w:div>
    <w:div w:id="1307398966">
      <w:bodyDiv w:val="1"/>
      <w:marLeft w:val="0"/>
      <w:marRight w:val="0"/>
      <w:marTop w:val="0"/>
      <w:marBottom w:val="0"/>
      <w:divBdr>
        <w:top w:val="none" w:sz="0" w:space="0" w:color="auto"/>
        <w:left w:val="none" w:sz="0" w:space="0" w:color="auto"/>
        <w:bottom w:val="none" w:sz="0" w:space="0" w:color="auto"/>
        <w:right w:val="none" w:sz="0" w:space="0" w:color="auto"/>
      </w:divBdr>
    </w:div>
    <w:div w:id="131040099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2918446">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8188256">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3912042">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2386448">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4617331">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6889790">
      <w:bodyDiv w:val="1"/>
      <w:marLeft w:val="0"/>
      <w:marRight w:val="0"/>
      <w:marTop w:val="0"/>
      <w:marBottom w:val="0"/>
      <w:divBdr>
        <w:top w:val="none" w:sz="0" w:space="0" w:color="auto"/>
        <w:left w:val="none" w:sz="0" w:space="0" w:color="auto"/>
        <w:bottom w:val="none" w:sz="0" w:space="0" w:color="auto"/>
        <w:right w:val="none" w:sz="0" w:space="0" w:color="auto"/>
      </w:divBdr>
    </w:div>
    <w:div w:id="1558396772">
      <w:bodyDiv w:val="1"/>
      <w:marLeft w:val="0"/>
      <w:marRight w:val="0"/>
      <w:marTop w:val="0"/>
      <w:marBottom w:val="0"/>
      <w:divBdr>
        <w:top w:val="none" w:sz="0" w:space="0" w:color="auto"/>
        <w:left w:val="none" w:sz="0" w:space="0" w:color="auto"/>
        <w:bottom w:val="none" w:sz="0" w:space="0" w:color="auto"/>
        <w:right w:val="none" w:sz="0" w:space="0" w:color="auto"/>
      </w:divBdr>
    </w:div>
    <w:div w:id="156297799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3638581">
      <w:bodyDiv w:val="1"/>
      <w:marLeft w:val="0"/>
      <w:marRight w:val="0"/>
      <w:marTop w:val="0"/>
      <w:marBottom w:val="0"/>
      <w:divBdr>
        <w:top w:val="none" w:sz="0" w:space="0" w:color="auto"/>
        <w:left w:val="none" w:sz="0" w:space="0" w:color="auto"/>
        <w:bottom w:val="none" w:sz="0" w:space="0" w:color="auto"/>
        <w:right w:val="none" w:sz="0" w:space="0" w:color="auto"/>
      </w:divBdr>
    </w:div>
    <w:div w:id="15903835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76377760">
      <w:bodyDiv w:val="1"/>
      <w:marLeft w:val="0"/>
      <w:marRight w:val="0"/>
      <w:marTop w:val="0"/>
      <w:marBottom w:val="0"/>
      <w:divBdr>
        <w:top w:val="none" w:sz="0" w:space="0" w:color="auto"/>
        <w:left w:val="none" w:sz="0" w:space="0" w:color="auto"/>
        <w:bottom w:val="none" w:sz="0" w:space="0" w:color="auto"/>
        <w:right w:val="none" w:sz="0" w:space="0" w:color="auto"/>
      </w:divBdr>
    </w:div>
    <w:div w:id="168120392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4352686">
      <w:bodyDiv w:val="1"/>
      <w:marLeft w:val="0"/>
      <w:marRight w:val="0"/>
      <w:marTop w:val="0"/>
      <w:marBottom w:val="0"/>
      <w:divBdr>
        <w:top w:val="none" w:sz="0" w:space="0" w:color="auto"/>
        <w:left w:val="none" w:sz="0" w:space="0" w:color="auto"/>
        <w:bottom w:val="none" w:sz="0" w:space="0" w:color="auto"/>
        <w:right w:val="none" w:sz="0" w:space="0" w:color="auto"/>
      </w:divBdr>
    </w:div>
    <w:div w:id="1737168061">
      <w:bodyDiv w:val="1"/>
      <w:marLeft w:val="0"/>
      <w:marRight w:val="0"/>
      <w:marTop w:val="0"/>
      <w:marBottom w:val="0"/>
      <w:divBdr>
        <w:top w:val="none" w:sz="0" w:space="0" w:color="auto"/>
        <w:left w:val="none" w:sz="0" w:space="0" w:color="auto"/>
        <w:bottom w:val="none" w:sz="0" w:space="0" w:color="auto"/>
        <w:right w:val="none" w:sz="0" w:space="0" w:color="auto"/>
      </w:divBdr>
    </w:div>
    <w:div w:id="1751123233">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3230407">
      <w:bodyDiv w:val="1"/>
      <w:marLeft w:val="0"/>
      <w:marRight w:val="0"/>
      <w:marTop w:val="0"/>
      <w:marBottom w:val="0"/>
      <w:divBdr>
        <w:top w:val="none" w:sz="0" w:space="0" w:color="auto"/>
        <w:left w:val="none" w:sz="0" w:space="0" w:color="auto"/>
        <w:bottom w:val="none" w:sz="0" w:space="0" w:color="auto"/>
        <w:right w:val="none" w:sz="0" w:space="0" w:color="auto"/>
      </w:divBdr>
    </w:div>
    <w:div w:id="1813523846">
      <w:bodyDiv w:val="1"/>
      <w:marLeft w:val="0"/>
      <w:marRight w:val="0"/>
      <w:marTop w:val="0"/>
      <w:marBottom w:val="0"/>
      <w:divBdr>
        <w:top w:val="none" w:sz="0" w:space="0" w:color="auto"/>
        <w:left w:val="none" w:sz="0" w:space="0" w:color="auto"/>
        <w:bottom w:val="none" w:sz="0" w:space="0" w:color="auto"/>
        <w:right w:val="none" w:sz="0" w:space="0" w:color="auto"/>
      </w:divBdr>
    </w:div>
    <w:div w:id="1825269744">
      <w:bodyDiv w:val="1"/>
      <w:marLeft w:val="0"/>
      <w:marRight w:val="0"/>
      <w:marTop w:val="0"/>
      <w:marBottom w:val="0"/>
      <w:divBdr>
        <w:top w:val="none" w:sz="0" w:space="0" w:color="auto"/>
        <w:left w:val="none" w:sz="0" w:space="0" w:color="auto"/>
        <w:bottom w:val="none" w:sz="0" w:space="0" w:color="auto"/>
        <w:right w:val="none" w:sz="0" w:space="0" w:color="auto"/>
      </w:divBdr>
    </w:div>
    <w:div w:id="183619162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1598011">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73494563">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15357029">
      <w:bodyDiv w:val="1"/>
      <w:marLeft w:val="0"/>
      <w:marRight w:val="0"/>
      <w:marTop w:val="0"/>
      <w:marBottom w:val="0"/>
      <w:divBdr>
        <w:top w:val="none" w:sz="0" w:space="0" w:color="auto"/>
        <w:left w:val="none" w:sz="0" w:space="0" w:color="auto"/>
        <w:bottom w:val="none" w:sz="0" w:space="0" w:color="auto"/>
        <w:right w:val="none" w:sz="0" w:space="0" w:color="auto"/>
      </w:divBdr>
    </w:div>
    <w:div w:id="1922829820">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431171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7251325">
      <w:bodyDiv w:val="1"/>
      <w:marLeft w:val="0"/>
      <w:marRight w:val="0"/>
      <w:marTop w:val="0"/>
      <w:marBottom w:val="0"/>
      <w:divBdr>
        <w:top w:val="none" w:sz="0" w:space="0" w:color="auto"/>
        <w:left w:val="none" w:sz="0" w:space="0" w:color="auto"/>
        <w:bottom w:val="none" w:sz="0" w:space="0" w:color="auto"/>
        <w:right w:val="none" w:sz="0" w:space="0" w:color="auto"/>
      </w:divBdr>
    </w:div>
    <w:div w:id="2055109324">
      <w:bodyDiv w:val="1"/>
      <w:marLeft w:val="0"/>
      <w:marRight w:val="0"/>
      <w:marTop w:val="0"/>
      <w:marBottom w:val="0"/>
      <w:divBdr>
        <w:top w:val="none" w:sz="0" w:space="0" w:color="auto"/>
        <w:left w:val="none" w:sz="0" w:space="0" w:color="auto"/>
        <w:bottom w:val="none" w:sz="0" w:space="0" w:color="auto"/>
        <w:right w:val="none" w:sz="0" w:space="0" w:color="auto"/>
      </w:divBdr>
    </w:div>
    <w:div w:id="2066878213">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99416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95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D98A-C671-4099-A48D-760D2BD3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2021-02-10T01:23:00Z</dcterms:created>
  <dcterms:modified xsi:type="dcterms:W3CDTF">2021-03-02T10:14:00Z</dcterms:modified>
</cp:coreProperties>
</file>