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2081"/>
        <w:gridCol w:w="2084"/>
        <w:gridCol w:w="3524"/>
        <w:gridCol w:w="5439"/>
      </w:tblGrid>
      <w:tr w:rsidR="00392260" w:rsidRPr="00871023" w14:paraId="64F441E0" w14:textId="77777777" w:rsidTr="00BB712B">
        <w:trPr>
          <w:cantSplit/>
          <w:tblHeader/>
        </w:trPr>
        <w:tc>
          <w:tcPr>
            <w:tcW w:w="735" w:type="pct"/>
          </w:tcPr>
          <w:p w14:paraId="203E9147" w14:textId="77777777" w:rsidR="00FE2750" w:rsidRDefault="00FE2750" w:rsidP="00D95093">
            <w:pPr>
              <w:pStyle w:val="Header"/>
              <w:spacing w:after="240"/>
              <w:contextualSpacing/>
              <w:jc w:val="center"/>
              <w:rPr>
                <w:rFonts w:ascii="Arial" w:hAnsi="Arial" w:cs="Arial"/>
                <w:b/>
                <w:snapToGrid w:val="0"/>
                <w:sz w:val="20"/>
                <w:lang w:eastAsia="en-US"/>
              </w:rPr>
            </w:pPr>
            <w:r w:rsidRPr="00871023">
              <w:rPr>
                <w:rFonts w:ascii="Arial" w:hAnsi="Arial" w:cs="Arial"/>
                <w:b/>
                <w:snapToGrid w:val="0"/>
                <w:sz w:val="20"/>
                <w:lang w:eastAsia="en-US"/>
              </w:rPr>
              <w:t>DRUG NAME, FORM(S), STRENGTH(S), SPONSOR, TYPE OF SUBMISSION</w:t>
            </w:r>
          </w:p>
          <w:p w14:paraId="1B580E63" w14:textId="77777777" w:rsidR="00FE2750" w:rsidRPr="00871023" w:rsidRDefault="00FE2750" w:rsidP="00D95093">
            <w:pPr>
              <w:pStyle w:val="Header"/>
              <w:spacing w:after="240"/>
              <w:contextualSpacing/>
              <w:jc w:val="center"/>
              <w:rPr>
                <w:rFonts w:ascii="Arial" w:hAnsi="Arial" w:cs="Arial"/>
                <w:b/>
                <w:snapToGrid w:val="0"/>
                <w:sz w:val="20"/>
                <w:lang w:eastAsia="en-US"/>
              </w:rPr>
            </w:pPr>
          </w:p>
        </w:tc>
        <w:tc>
          <w:tcPr>
            <w:tcW w:w="676" w:type="pct"/>
          </w:tcPr>
          <w:p w14:paraId="1C2CAB48" w14:textId="77777777" w:rsidR="00FE2750" w:rsidRPr="00871023" w:rsidRDefault="00FE2750" w:rsidP="00D95093">
            <w:pPr>
              <w:pStyle w:val="Header"/>
              <w:spacing w:after="240"/>
              <w:contextualSpacing/>
              <w:jc w:val="center"/>
              <w:rPr>
                <w:rFonts w:ascii="Arial" w:hAnsi="Arial" w:cs="Arial"/>
                <w:b/>
                <w:snapToGrid w:val="0"/>
                <w:sz w:val="20"/>
                <w:lang w:eastAsia="en-US"/>
              </w:rPr>
            </w:pPr>
            <w:r w:rsidRPr="00871023">
              <w:rPr>
                <w:rFonts w:ascii="Arial" w:hAnsi="Arial" w:cs="Arial"/>
                <w:b/>
                <w:snapToGrid w:val="0"/>
                <w:sz w:val="20"/>
                <w:lang w:eastAsia="en-US"/>
              </w:rPr>
              <w:t>TGA INDICATION</w:t>
            </w:r>
          </w:p>
          <w:p w14:paraId="78B3AF49" w14:textId="77777777" w:rsidR="00FE2750" w:rsidRPr="00871023" w:rsidRDefault="00FE2750" w:rsidP="00D95093">
            <w:pPr>
              <w:pStyle w:val="Header"/>
              <w:spacing w:after="240"/>
              <w:contextualSpacing/>
              <w:jc w:val="center"/>
              <w:rPr>
                <w:rFonts w:ascii="Arial" w:hAnsi="Arial" w:cs="Arial"/>
                <w:b/>
                <w:snapToGrid w:val="0"/>
                <w:sz w:val="20"/>
                <w:lang w:eastAsia="en-US"/>
              </w:rPr>
            </w:pPr>
          </w:p>
        </w:tc>
        <w:tc>
          <w:tcPr>
            <w:tcW w:w="677" w:type="pct"/>
          </w:tcPr>
          <w:p w14:paraId="20588453" w14:textId="77777777" w:rsidR="00FE2750" w:rsidRPr="00871023" w:rsidRDefault="00FE2750" w:rsidP="00D95093">
            <w:pPr>
              <w:pStyle w:val="Header"/>
              <w:spacing w:after="240"/>
              <w:contextualSpacing/>
              <w:jc w:val="center"/>
              <w:rPr>
                <w:rFonts w:ascii="Arial" w:hAnsi="Arial" w:cs="Arial"/>
                <w:b/>
                <w:snapToGrid w:val="0"/>
                <w:sz w:val="20"/>
                <w:lang w:eastAsia="en-US"/>
              </w:rPr>
            </w:pPr>
            <w:r w:rsidRPr="00871023">
              <w:rPr>
                <w:rFonts w:ascii="Arial" w:hAnsi="Arial" w:cs="Arial"/>
                <w:b/>
                <w:snapToGrid w:val="0"/>
                <w:sz w:val="20"/>
                <w:lang w:eastAsia="en-US"/>
              </w:rPr>
              <w:t>CURRENT PBS LISTING</w:t>
            </w:r>
          </w:p>
        </w:tc>
        <w:tc>
          <w:tcPr>
            <w:tcW w:w="1145" w:type="pct"/>
            <w:shd w:val="clear" w:color="auto" w:fill="auto"/>
          </w:tcPr>
          <w:p w14:paraId="7ED920EA" w14:textId="77777777" w:rsidR="00FE2750" w:rsidRPr="00871023" w:rsidRDefault="00FE2750" w:rsidP="00D95093">
            <w:pPr>
              <w:pStyle w:val="Header"/>
              <w:spacing w:after="240"/>
              <w:contextualSpacing/>
              <w:jc w:val="center"/>
              <w:rPr>
                <w:rFonts w:ascii="Arial" w:hAnsi="Arial" w:cs="Arial"/>
                <w:b/>
                <w:snapToGrid w:val="0"/>
                <w:sz w:val="20"/>
                <w:lang w:eastAsia="en-US"/>
              </w:rPr>
            </w:pPr>
            <w:r w:rsidRPr="00871023">
              <w:rPr>
                <w:rFonts w:ascii="Arial" w:hAnsi="Arial" w:cs="Arial"/>
                <w:b/>
                <w:snapToGrid w:val="0"/>
                <w:sz w:val="20"/>
                <w:lang w:eastAsia="en-US"/>
              </w:rPr>
              <w:t>LISTING REQUESTED BY SPONSOR / PURPOSE OF SUBMISSION</w:t>
            </w:r>
          </w:p>
        </w:tc>
        <w:tc>
          <w:tcPr>
            <w:tcW w:w="1767" w:type="pct"/>
          </w:tcPr>
          <w:p w14:paraId="6AD0BD1F" w14:textId="77777777" w:rsidR="00FE2750" w:rsidRPr="00871023" w:rsidRDefault="00FE2750" w:rsidP="00D95093">
            <w:pPr>
              <w:pStyle w:val="Header"/>
              <w:spacing w:after="240"/>
              <w:contextualSpacing/>
              <w:jc w:val="center"/>
              <w:rPr>
                <w:rFonts w:ascii="Arial" w:hAnsi="Arial" w:cs="Arial"/>
                <w:b/>
                <w:snapToGrid w:val="0"/>
                <w:sz w:val="20"/>
                <w:lang w:eastAsia="en-US"/>
              </w:rPr>
            </w:pPr>
            <w:r w:rsidRPr="00871023">
              <w:rPr>
                <w:rFonts w:ascii="Arial" w:hAnsi="Arial" w:cs="Arial"/>
                <w:b/>
                <w:snapToGrid w:val="0"/>
                <w:sz w:val="20"/>
                <w:lang w:eastAsia="en-US"/>
              </w:rPr>
              <w:t>PBAC OUTCOME</w:t>
            </w:r>
          </w:p>
        </w:tc>
      </w:tr>
      <w:tr w:rsidR="00A94DD0" w:rsidRPr="001835FC" w14:paraId="630E7029" w14:textId="77777777" w:rsidTr="00BB712B">
        <w:trPr>
          <w:trHeight w:val="435"/>
        </w:trPr>
        <w:tc>
          <w:tcPr>
            <w:tcW w:w="735" w:type="pct"/>
            <w:vMerge w:val="restart"/>
          </w:tcPr>
          <w:p w14:paraId="5EBA7C2E" w14:textId="77777777" w:rsidR="00A94DD0" w:rsidRDefault="00A94DD0" w:rsidP="00A94DD0">
            <w:pPr>
              <w:rPr>
                <w:rFonts w:ascii="Arial" w:hAnsi="Arial" w:cs="Arial"/>
                <w:color w:val="000000"/>
                <w:sz w:val="20"/>
              </w:rPr>
            </w:pPr>
            <w:r>
              <w:rPr>
                <w:rFonts w:ascii="Arial" w:hAnsi="Arial" w:cs="Arial"/>
                <w:color w:val="000000"/>
                <w:sz w:val="20"/>
              </w:rPr>
              <w:t>AMINO ACID FORMULA WITH CARBOHYDRATE, VITAMINS, MINERALS AND TRACE ELEMENTS WITHOUT PHENYLALANINE, SUPPLEMENTED WITH DOCOSAHEXAENOIC ACID</w:t>
            </w:r>
          </w:p>
          <w:p w14:paraId="333ADBC9" w14:textId="77777777" w:rsidR="00A94DD0" w:rsidRDefault="00A94DD0" w:rsidP="00A94DD0">
            <w:pPr>
              <w:rPr>
                <w:rFonts w:ascii="Arial" w:hAnsi="Arial" w:cs="Arial"/>
                <w:color w:val="000000"/>
                <w:sz w:val="20"/>
              </w:rPr>
            </w:pPr>
          </w:p>
          <w:p w14:paraId="740E7726" w14:textId="77777777" w:rsidR="00A94DD0" w:rsidRDefault="00A94DD0" w:rsidP="00A94DD0">
            <w:pPr>
              <w:rPr>
                <w:rFonts w:ascii="Arial" w:hAnsi="Arial" w:cs="Arial"/>
                <w:color w:val="000000"/>
                <w:sz w:val="20"/>
              </w:rPr>
            </w:pPr>
            <w:r w:rsidRPr="008F526E">
              <w:rPr>
                <w:rFonts w:ascii="Arial" w:hAnsi="Arial" w:cs="Arial"/>
                <w:color w:val="000000"/>
                <w:sz w:val="20"/>
              </w:rPr>
              <w:t>Sachets containing oral powder 33 g, 30</w:t>
            </w:r>
          </w:p>
          <w:p w14:paraId="69FDD16E" w14:textId="77777777" w:rsidR="00A94DD0" w:rsidRDefault="00A94DD0" w:rsidP="00A94DD0">
            <w:pPr>
              <w:rPr>
                <w:rFonts w:ascii="Arial" w:hAnsi="Arial" w:cs="Arial"/>
                <w:color w:val="000000"/>
                <w:sz w:val="20"/>
              </w:rPr>
            </w:pPr>
          </w:p>
          <w:p w14:paraId="49586711" w14:textId="1FC450E6" w:rsidR="00A94DD0" w:rsidRDefault="00A94DD0" w:rsidP="00A94DD0">
            <w:pPr>
              <w:rPr>
                <w:rFonts w:ascii="Arial" w:hAnsi="Arial" w:cs="Arial"/>
                <w:color w:val="000000"/>
                <w:sz w:val="20"/>
              </w:rPr>
            </w:pPr>
            <w:r>
              <w:rPr>
                <w:rFonts w:ascii="Arial" w:hAnsi="Arial" w:cs="Arial"/>
                <w:color w:val="000000"/>
                <w:sz w:val="20"/>
              </w:rPr>
              <w:t>PKU Synergy®</w:t>
            </w:r>
          </w:p>
          <w:p w14:paraId="5F76C58D" w14:textId="77777777" w:rsidR="00A94DD0" w:rsidRDefault="00A94DD0" w:rsidP="00A94DD0">
            <w:pPr>
              <w:rPr>
                <w:rFonts w:ascii="Arial" w:hAnsi="Arial" w:cs="Arial"/>
                <w:color w:val="000000"/>
                <w:sz w:val="20"/>
              </w:rPr>
            </w:pPr>
          </w:p>
          <w:p w14:paraId="33793923" w14:textId="32DCF0C6" w:rsidR="00A94DD0" w:rsidRDefault="00A94DD0" w:rsidP="00A94DD0">
            <w:pPr>
              <w:contextualSpacing/>
              <w:rPr>
                <w:rFonts w:ascii="Arial" w:hAnsi="Arial" w:cs="Arial"/>
                <w:color w:val="000000"/>
                <w:sz w:val="20"/>
              </w:rPr>
            </w:pPr>
            <w:r>
              <w:rPr>
                <w:rFonts w:ascii="Arial" w:hAnsi="Arial" w:cs="Arial"/>
                <w:color w:val="000000"/>
                <w:sz w:val="20"/>
              </w:rPr>
              <w:t>Nutricia Australia Pty Ltd</w:t>
            </w:r>
          </w:p>
          <w:p w14:paraId="610DBA30" w14:textId="0E4CECA0" w:rsidR="00A94DD0" w:rsidRDefault="00A94DD0" w:rsidP="00A94DD0">
            <w:pPr>
              <w:contextualSpacing/>
              <w:rPr>
                <w:rFonts w:ascii="Arial" w:hAnsi="Arial" w:cs="Arial"/>
                <w:color w:val="000000"/>
                <w:sz w:val="20"/>
              </w:rPr>
            </w:pPr>
          </w:p>
          <w:p w14:paraId="381E75F7" w14:textId="0EFE3466" w:rsidR="00A94DD0" w:rsidRDefault="00A94DD0" w:rsidP="00A94DD0">
            <w:pPr>
              <w:contextualSpacing/>
              <w:rPr>
                <w:rFonts w:ascii="Arial" w:hAnsi="Arial" w:cs="Arial"/>
                <w:color w:val="000000"/>
                <w:sz w:val="20"/>
              </w:rPr>
            </w:pPr>
            <w:r>
              <w:rPr>
                <w:rFonts w:ascii="Arial" w:hAnsi="Arial" w:cs="Arial"/>
                <w:color w:val="000000"/>
                <w:sz w:val="20"/>
              </w:rPr>
              <w:t xml:space="preserve">New listing </w:t>
            </w:r>
            <w:r>
              <w:rPr>
                <w:rFonts w:ascii="Arial" w:hAnsi="Arial" w:cs="Arial"/>
                <w:color w:val="000000"/>
                <w:sz w:val="20"/>
              </w:rPr>
              <w:br/>
              <w:t xml:space="preserve">(Minor Submission) </w:t>
            </w:r>
          </w:p>
          <w:p w14:paraId="4C91CC21" w14:textId="77777777" w:rsidR="00A94DD0" w:rsidRDefault="00A94DD0" w:rsidP="00A94DD0">
            <w:pPr>
              <w:contextualSpacing/>
              <w:rPr>
                <w:rFonts w:ascii="Arial" w:hAnsi="Arial" w:cs="Arial"/>
                <w:color w:val="000000"/>
                <w:sz w:val="20"/>
              </w:rPr>
            </w:pPr>
          </w:p>
          <w:p w14:paraId="1050F4B8" w14:textId="77777777" w:rsidR="00A94DD0" w:rsidRDefault="00A94DD0" w:rsidP="00A94DD0">
            <w:pPr>
              <w:contextualSpacing/>
              <w:rPr>
                <w:rFonts w:ascii="Arial" w:hAnsi="Arial" w:cs="Arial"/>
                <w:color w:val="000000"/>
                <w:sz w:val="20"/>
              </w:rPr>
            </w:pPr>
          </w:p>
          <w:p w14:paraId="0CC8EB72" w14:textId="77777777" w:rsidR="00A94DD0" w:rsidRDefault="00A94DD0" w:rsidP="00A94DD0">
            <w:pPr>
              <w:contextualSpacing/>
              <w:rPr>
                <w:rFonts w:ascii="Arial" w:hAnsi="Arial" w:cs="Arial"/>
                <w:color w:val="000000"/>
                <w:sz w:val="20"/>
              </w:rPr>
            </w:pPr>
          </w:p>
          <w:p w14:paraId="12FD3B86" w14:textId="77777777" w:rsidR="00A94DD0" w:rsidRDefault="00A94DD0" w:rsidP="00A94DD0">
            <w:pPr>
              <w:contextualSpacing/>
              <w:rPr>
                <w:rFonts w:ascii="Arial" w:hAnsi="Arial" w:cs="Arial"/>
                <w:color w:val="000000"/>
                <w:sz w:val="20"/>
              </w:rPr>
            </w:pPr>
          </w:p>
          <w:p w14:paraId="17E1459F" w14:textId="77777777" w:rsidR="00A94DD0" w:rsidRDefault="00A94DD0" w:rsidP="00A94DD0">
            <w:pPr>
              <w:contextualSpacing/>
              <w:rPr>
                <w:rFonts w:ascii="Arial" w:hAnsi="Arial" w:cs="Arial"/>
                <w:color w:val="000000"/>
                <w:sz w:val="20"/>
              </w:rPr>
            </w:pPr>
          </w:p>
          <w:p w14:paraId="3838923E" w14:textId="77777777" w:rsidR="00A94DD0" w:rsidRDefault="00A94DD0" w:rsidP="00A94DD0">
            <w:pPr>
              <w:contextualSpacing/>
              <w:rPr>
                <w:rFonts w:ascii="Arial" w:hAnsi="Arial" w:cs="Arial"/>
                <w:color w:val="000000"/>
                <w:sz w:val="20"/>
              </w:rPr>
            </w:pPr>
          </w:p>
          <w:p w14:paraId="6D4F382D" w14:textId="77777777" w:rsidR="00A94DD0" w:rsidRDefault="00A94DD0" w:rsidP="00A94DD0">
            <w:pPr>
              <w:contextualSpacing/>
              <w:rPr>
                <w:rFonts w:ascii="Arial" w:hAnsi="Arial" w:cs="Arial"/>
                <w:color w:val="000000"/>
                <w:sz w:val="20"/>
              </w:rPr>
            </w:pPr>
          </w:p>
          <w:p w14:paraId="132B0685" w14:textId="77777777" w:rsidR="00A94DD0" w:rsidRDefault="00A94DD0" w:rsidP="00A94DD0">
            <w:pPr>
              <w:contextualSpacing/>
              <w:rPr>
                <w:rFonts w:ascii="Arial" w:hAnsi="Arial" w:cs="Arial"/>
                <w:color w:val="000000"/>
                <w:sz w:val="20"/>
              </w:rPr>
            </w:pPr>
          </w:p>
          <w:p w14:paraId="74A5CCA4" w14:textId="77777777" w:rsidR="00A94DD0" w:rsidRDefault="00A94DD0" w:rsidP="00A94DD0">
            <w:pPr>
              <w:contextualSpacing/>
              <w:rPr>
                <w:rFonts w:ascii="Arial" w:hAnsi="Arial" w:cs="Arial"/>
                <w:color w:val="000000"/>
                <w:sz w:val="20"/>
              </w:rPr>
            </w:pPr>
          </w:p>
          <w:p w14:paraId="6DAD655D" w14:textId="374C914C" w:rsidR="00A94DD0" w:rsidRDefault="00A94DD0" w:rsidP="00A94DD0">
            <w:pPr>
              <w:contextualSpacing/>
              <w:rPr>
                <w:rFonts w:ascii="Arial" w:hAnsi="Arial" w:cs="Arial"/>
                <w:color w:val="000000"/>
                <w:sz w:val="20"/>
              </w:rPr>
            </w:pPr>
          </w:p>
          <w:p w14:paraId="30168DF5" w14:textId="77777777" w:rsidR="00A94DD0" w:rsidRPr="00871023" w:rsidRDefault="00A94DD0" w:rsidP="00A94DD0">
            <w:pPr>
              <w:contextualSpacing/>
              <w:rPr>
                <w:rFonts w:ascii="Arial" w:hAnsi="Arial" w:cs="Arial"/>
                <w:sz w:val="20"/>
              </w:rPr>
            </w:pPr>
          </w:p>
        </w:tc>
        <w:tc>
          <w:tcPr>
            <w:tcW w:w="676" w:type="pct"/>
            <w:vMerge w:val="restart"/>
          </w:tcPr>
          <w:p w14:paraId="6C50BC81" w14:textId="1FDD066E" w:rsidR="00A94DD0" w:rsidRPr="00861E1B" w:rsidRDefault="00A94DD0" w:rsidP="00A94DD0">
            <w:pPr>
              <w:rPr>
                <w:rFonts w:ascii="Arial" w:hAnsi="Arial" w:cs="Arial"/>
                <w:sz w:val="20"/>
              </w:rPr>
            </w:pPr>
            <w:r>
              <w:rPr>
                <w:rFonts w:ascii="Arial" w:hAnsi="Arial" w:cs="Arial"/>
                <w:color w:val="000000"/>
                <w:sz w:val="20"/>
              </w:rPr>
              <w:t>N/A</w:t>
            </w:r>
          </w:p>
        </w:tc>
        <w:tc>
          <w:tcPr>
            <w:tcW w:w="677" w:type="pct"/>
            <w:vMerge w:val="restart"/>
          </w:tcPr>
          <w:p w14:paraId="705C8C28" w14:textId="5CD98122" w:rsidR="00A94DD0" w:rsidRPr="00901BD8" w:rsidRDefault="00A94DD0" w:rsidP="00A94DD0">
            <w:pPr>
              <w:rPr>
                <w:rFonts w:ascii="Arial" w:hAnsi="Arial" w:cs="Arial"/>
                <w:sz w:val="20"/>
              </w:rPr>
            </w:pPr>
            <w:r>
              <w:rPr>
                <w:rFonts w:ascii="Arial" w:hAnsi="Arial" w:cs="Arial"/>
                <w:sz w:val="20"/>
              </w:rPr>
              <w:t xml:space="preserve">PKU Synergy® is not currently PBS listed. </w:t>
            </w:r>
          </w:p>
        </w:tc>
        <w:tc>
          <w:tcPr>
            <w:tcW w:w="1145" w:type="pct"/>
          </w:tcPr>
          <w:p w14:paraId="348727C7" w14:textId="77777777" w:rsidR="00A94DD0" w:rsidRPr="003425AC" w:rsidRDefault="00A94DD0" w:rsidP="00632E20">
            <w:pPr>
              <w:rPr>
                <w:rFonts w:ascii="Arial" w:hAnsi="Arial" w:cs="Arial"/>
                <w:sz w:val="20"/>
              </w:rPr>
            </w:pPr>
            <w:r w:rsidRPr="003425AC">
              <w:rPr>
                <w:rFonts w:ascii="Arial" w:hAnsi="Arial" w:cs="Arial"/>
                <w:sz w:val="20"/>
              </w:rPr>
              <w:t>Resubmission to request a Restricted Benefit listing for the</w:t>
            </w:r>
          </w:p>
          <w:p w14:paraId="2979DEEE" w14:textId="400DD03D" w:rsidR="00A94DD0" w:rsidRPr="00901BD8" w:rsidRDefault="00A94DD0" w:rsidP="00632E20">
            <w:pPr>
              <w:keepLines/>
              <w:rPr>
                <w:rFonts w:ascii="Arial" w:hAnsi="Arial" w:cs="Arial"/>
                <w:color w:val="000000"/>
                <w:sz w:val="20"/>
              </w:rPr>
            </w:pPr>
            <w:r w:rsidRPr="003425AC">
              <w:rPr>
                <w:rFonts w:ascii="Arial" w:hAnsi="Arial" w:cs="Arial"/>
                <w:sz w:val="20"/>
              </w:rPr>
              <w:t xml:space="preserve">dietary management of phenylketonuria (PKU) </w:t>
            </w:r>
          </w:p>
        </w:tc>
        <w:tc>
          <w:tcPr>
            <w:tcW w:w="1767" w:type="pct"/>
          </w:tcPr>
          <w:p w14:paraId="4C9CCB99" w14:textId="77777777" w:rsidR="00A94DD0" w:rsidRDefault="00A94DD0" w:rsidP="00632E20">
            <w:pPr>
              <w:rPr>
                <w:rFonts w:ascii="Arial" w:hAnsi="Arial" w:cs="Arial"/>
                <w:sz w:val="20"/>
              </w:rPr>
            </w:pPr>
            <w:r w:rsidRPr="003425AC">
              <w:rPr>
                <w:rFonts w:ascii="Arial" w:hAnsi="Arial" w:cs="Arial"/>
                <w:sz w:val="20"/>
              </w:rPr>
              <w:t>The PBAC did not recommend the listing of PKU Synergy® for the dietary man</w:t>
            </w:r>
            <w:r>
              <w:rPr>
                <w:rFonts w:ascii="Arial" w:hAnsi="Arial" w:cs="Arial"/>
                <w:sz w:val="20"/>
              </w:rPr>
              <w:t>agement of PKU</w:t>
            </w:r>
            <w:r w:rsidRPr="003425AC">
              <w:rPr>
                <w:rFonts w:ascii="Arial" w:hAnsi="Arial" w:cs="Arial"/>
                <w:sz w:val="20"/>
              </w:rPr>
              <w:t xml:space="preserve"> or </w:t>
            </w:r>
            <w:proofErr w:type="spellStart"/>
            <w:r w:rsidRPr="003425AC">
              <w:rPr>
                <w:rFonts w:ascii="Arial" w:hAnsi="Arial" w:cs="Arial"/>
                <w:sz w:val="20"/>
              </w:rPr>
              <w:t>hyperphenylalaninaemia</w:t>
            </w:r>
            <w:proofErr w:type="spellEnd"/>
            <w:r w:rsidRPr="003425AC">
              <w:rPr>
                <w:rFonts w:ascii="Arial" w:hAnsi="Arial" w:cs="Arial"/>
                <w:sz w:val="20"/>
              </w:rPr>
              <w:t xml:space="preserve"> in children from 10 years of age or adults.</w:t>
            </w:r>
            <w:r>
              <w:rPr>
                <w:rFonts w:ascii="Arial" w:hAnsi="Arial" w:cs="Arial"/>
                <w:sz w:val="20"/>
              </w:rPr>
              <w:t xml:space="preserve"> </w:t>
            </w:r>
            <w:r w:rsidRPr="003425AC">
              <w:rPr>
                <w:rFonts w:ascii="Arial" w:hAnsi="Arial" w:cs="Arial"/>
                <w:sz w:val="20"/>
              </w:rPr>
              <w:t xml:space="preserve">The PBAC maintained its previous view that there were other products with better nutritional profiles for this patient population and that there was no clinical need for this product. </w:t>
            </w:r>
          </w:p>
          <w:p w14:paraId="0494FF2F" w14:textId="5E751468" w:rsidR="00A94DD0" w:rsidRPr="00A94DD0" w:rsidRDefault="00A94DD0" w:rsidP="00632E20">
            <w:pPr>
              <w:rPr>
                <w:rFonts w:ascii="Arial" w:hAnsi="Arial" w:cs="Arial"/>
                <w:sz w:val="20"/>
              </w:rPr>
            </w:pPr>
          </w:p>
        </w:tc>
      </w:tr>
      <w:tr w:rsidR="00A94DD0" w:rsidRPr="001835FC" w14:paraId="36FCB09C" w14:textId="77777777" w:rsidTr="00BB712B">
        <w:trPr>
          <w:trHeight w:val="433"/>
        </w:trPr>
        <w:tc>
          <w:tcPr>
            <w:tcW w:w="735" w:type="pct"/>
            <w:vMerge/>
          </w:tcPr>
          <w:p w14:paraId="3BF1B6AD" w14:textId="77777777" w:rsidR="00A94DD0" w:rsidRPr="00871023" w:rsidRDefault="00A94DD0" w:rsidP="00A94DD0">
            <w:pPr>
              <w:rPr>
                <w:rFonts w:ascii="Arial" w:hAnsi="Arial" w:cs="Arial"/>
                <w:sz w:val="20"/>
              </w:rPr>
            </w:pPr>
          </w:p>
        </w:tc>
        <w:tc>
          <w:tcPr>
            <w:tcW w:w="676" w:type="pct"/>
            <w:vMerge/>
          </w:tcPr>
          <w:p w14:paraId="42F9E643" w14:textId="77777777" w:rsidR="00A94DD0" w:rsidRPr="00871023" w:rsidRDefault="00A94DD0" w:rsidP="00A94DD0">
            <w:pPr>
              <w:rPr>
                <w:rFonts w:ascii="Arial" w:hAnsi="Arial" w:cs="Arial"/>
                <w:sz w:val="20"/>
              </w:rPr>
            </w:pPr>
          </w:p>
        </w:tc>
        <w:tc>
          <w:tcPr>
            <w:tcW w:w="677" w:type="pct"/>
            <w:vMerge/>
          </w:tcPr>
          <w:p w14:paraId="080362E6" w14:textId="77777777" w:rsidR="00A94DD0" w:rsidRPr="00871023" w:rsidRDefault="00A94DD0" w:rsidP="00A94DD0">
            <w:pPr>
              <w:rPr>
                <w:rFonts w:ascii="Arial" w:hAnsi="Arial" w:cs="Arial"/>
                <w:sz w:val="20"/>
              </w:rPr>
            </w:pPr>
          </w:p>
        </w:tc>
        <w:tc>
          <w:tcPr>
            <w:tcW w:w="1145" w:type="pct"/>
          </w:tcPr>
          <w:p w14:paraId="40A51961" w14:textId="77777777" w:rsidR="00A94DD0" w:rsidRPr="003425AC" w:rsidRDefault="00A94DD0" w:rsidP="00632E20">
            <w:pPr>
              <w:snapToGrid w:val="0"/>
              <w:rPr>
                <w:rFonts w:ascii="Arial" w:hAnsi="Arial" w:cs="Arial"/>
                <w:sz w:val="20"/>
                <w:lang w:eastAsia="en-US"/>
              </w:rPr>
            </w:pPr>
            <w:r w:rsidRPr="003425AC">
              <w:rPr>
                <w:rFonts w:ascii="Arial" w:hAnsi="Arial" w:cs="Arial"/>
                <w:sz w:val="20"/>
              </w:rPr>
              <w:t>Comparator: </w:t>
            </w:r>
            <w:r w:rsidRPr="003425AC">
              <w:rPr>
                <w:rFonts w:ascii="Arial" w:hAnsi="Arial" w:cs="Arial"/>
                <w:bCs/>
                <w:sz w:val="20"/>
              </w:rPr>
              <w:t xml:space="preserve">PKU Express 20® and PKU </w:t>
            </w:r>
            <w:proofErr w:type="spellStart"/>
            <w:r w:rsidRPr="003425AC">
              <w:rPr>
                <w:rFonts w:ascii="Arial" w:hAnsi="Arial" w:cs="Arial"/>
                <w:bCs/>
                <w:sz w:val="20"/>
              </w:rPr>
              <w:t>Lophlex</w:t>
            </w:r>
            <w:proofErr w:type="spellEnd"/>
            <w:r w:rsidRPr="003425AC">
              <w:rPr>
                <w:rFonts w:ascii="Arial" w:hAnsi="Arial" w:cs="Arial"/>
                <w:bCs/>
                <w:sz w:val="20"/>
              </w:rPr>
              <w:t xml:space="preserve">® </w:t>
            </w:r>
            <w:r w:rsidRPr="003425AC">
              <w:rPr>
                <w:rFonts w:ascii="Arial" w:hAnsi="Arial" w:cs="Arial"/>
                <w:sz w:val="20"/>
              </w:rPr>
              <w:t xml:space="preserve">  </w:t>
            </w:r>
          </w:p>
          <w:p w14:paraId="682D20AD" w14:textId="77777777" w:rsidR="00A94DD0" w:rsidRPr="00871023" w:rsidRDefault="00A94DD0" w:rsidP="00632E20">
            <w:pPr>
              <w:pStyle w:val="ListBullet"/>
            </w:pPr>
          </w:p>
        </w:tc>
        <w:tc>
          <w:tcPr>
            <w:tcW w:w="1767" w:type="pct"/>
          </w:tcPr>
          <w:p w14:paraId="18CB75FB" w14:textId="162B69EE" w:rsidR="00A94DD0" w:rsidRPr="003425AC" w:rsidRDefault="00A94DD0" w:rsidP="00632E20">
            <w:pPr>
              <w:rPr>
                <w:rFonts w:ascii="Arial" w:hAnsi="Arial" w:cs="Arial"/>
                <w:sz w:val="20"/>
              </w:rPr>
            </w:pPr>
            <w:r w:rsidRPr="003425AC">
              <w:rPr>
                <w:rFonts w:ascii="Arial" w:hAnsi="Arial" w:cs="Arial"/>
                <w:bCs/>
                <w:sz w:val="20"/>
              </w:rPr>
              <w:t>The PBAC previously accepted PK</w:t>
            </w:r>
            <w:r w:rsidR="00A65A43">
              <w:rPr>
                <w:rFonts w:ascii="Arial" w:hAnsi="Arial" w:cs="Arial"/>
                <w:bCs/>
                <w:sz w:val="20"/>
              </w:rPr>
              <w:t>U Express 20</w:t>
            </w:r>
            <w:r w:rsidR="00CB7D91">
              <w:rPr>
                <w:rFonts w:ascii="Arial" w:hAnsi="Arial" w:cs="Arial"/>
                <w:bCs/>
                <w:sz w:val="20"/>
              </w:rPr>
              <w:t>®</w:t>
            </w:r>
            <w:r w:rsidR="00A65A43">
              <w:rPr>
                <w:rFonts w:ascii="Arial" w:hAnsi="Arial" w:cs="Arial"/>
                <w:bCs/>
                <w:sz w:val="20"/>
              </w:rPr>
              <w:t xml:space="preserve"> and PKU </w:t>
            </w:r>
            <w:proofErr w:type="spellStart"/>
            <w:r w:rsidR="00A65A43">
              <w:rPr>
                <w:rFonts w:ascii="Arial" w:hAnsi="Arial" w:cs="Arial"/>
                <w:bCs/>
                <w:sz w:val="20"/>
              </w:rPr>
              <w:t>Lophlex</w:t>
            </w:r>
            <w:proofErr w:type="spellEnd"/>
            <w:r w:rsidR="00CB7D91">
              <w:rPr>
                <w:rFonts w:ascii="Arial" w:hAnsi="Arial" w:cs="Arial"/>
                <w:bCs/>
                <w:sz w:val="20"/>
              </w:rPr>
              <w:t>®</w:t>
            </w:r>
            <w:r>
              <w:rPr>
                <w:rFonts w:ascii="Arial" w:hAnsi="Arial" w:cs="Arial"/>
                <w:bCs/>
                <w:sz w:val="20"/>
              </w:rPr>
              <w:t xml:space="preserve"> </w:t>
            </w:r>
            <w:r w:rsidRPr="003425AC">
              <w:rPr>
                <w:rFonts w:ascii="Arial" w:hAnsi="Arial" w:cs="Arial"/>
                <w:bCs/>
                <w:sz w:val="20"/>
              </w:rPr>
              <w:t xml:space="preserve">as appropriate comparators. </w:t>
            </w:r>
          </w:p>
          <w:p w14:paraId="264B6F61" w14:textId="77777777" w:rsidR="00A94DD0" w:rsidRPr="001835FC" w:rsidRDefault="00A94DD0" w:rsidP="00632E20">
            <w:pPr>
              <w:pStyle w:val="3-BodyText"/>
              <w:ind w:left="0" w:firstLine="0"/>
              <w:jc w:val="left"/>
              <w:rPr>
                <w:rFonts w:ascii="Arial" w:hAnsi="Arial"/>
                <w:iCs/>
                <w:sz w:val="20"/>
                <w:szCs w:val="20"/>
              </w:rPr>
            </w:pPr>
          </w:p>
        </w:tc>
      </w:tr>
      <w:tr w:rsidR="00A94DD0" w:rsidRPr="001835FC" w14:paraId="331A1DF1" w14:textId="77777777" w:rsidTr="00BB712B">
        <w:trPr>
          <w:trHeight w:val="433"/>
        </w:trPr>
        <w:tc>
          <w:tcPr>
            <w:tcW w:w="735" w:type="pct"/>
            <w:vMerge/>
          </w:tcPr>
          <w:p w14:paraId="17101862" w14:textId="77777777" w:rsidR="00A94DD0" w:rsidRPr="00871023" w:rsidRDefault="00A94DD0" w:rsidP="00A94DD0">
            <w:pPr>
              <w:rPr>
                <w:rFonts w:ascii="Arial" w:hAnsi="Arial" w:cs="Arial"/>
                <w:sz w:val="20"/>
              </w:rPr>
            </w:pPr>
          </w:p>
        </w:tc>
        <w:tc>
          <w:tcPr>
            <w:tcW w:w="676" w:type="pct"/>
            <w:vMerge/>
          </w:tcPr>
          <w:p w14:paraId="5F84148F" w14:textId="77777777" w:rsidR="00A94DD0" w:rsidRPr="00871023" w:rsidRDefault="00A94DD0" w:rsidP="00A94DD0">
            <w:pPr>
              <w:rPr>
                <w:rFonts w:ascii="Arial" w:hAnsi="Arial" w:cs="Arial"/>
                <w:sz w:val="20"/>
              </w:rPr>
            </w:pPr>
          </w:p>
        </w:tc>
        <w:tc>
          <w:tcPr>
            <w:tcW w:w="677" w:type="pct"/>
            <w:vMerge/>
          </w:tcPr>
          <w:p w14:paraId="69158B30" w14:textId="77777777" w:rsidR="00A94DD0" w:rsidRPr="00871023" w:rsidRDefault="00A94DD0" w:rsidP="00A94DD0">
            <w:pPr>
              <w:rPr>
                <w:rFonts w:ascii="Arial" w:hAnsi="Arial" w:cs="Arial"/>
                <w:sz w:val="20"/>
              </w:rPr>
            </w:pPr>
          </w:p>
        </w:tc>
        <w:tc>
          <w:tcPr>
            <w:tcW w:w="1145" w:type="pct"/>
          </w:tcPr>
          <w:p w14:paraId="2F65D988" w14:textId="41DF1780" w:rsidR="00A94DD0" w:rsidRPr="00871023" w:rsidRDefault="00A94DD0" w:rsidP="00632E20">
            <w:pPr>
              <w:pStyle w:val="ListBullet"/>
            </w:pPr>
            <w:r w:rsidRPr="003425AC">
              <w:t>Clinical claim: </w:t>
            </w:r>
            <w:r w:rsidR="000D68F5">
              <w:t xml:space="preserve">That </w:t>
            </w:r>
            <w:r w:rsidRPr="003425AC">
              <w:t>PKU Synergy</w:t>
            </w:r>
            <w:r w:rsidR="00CB7D91">
              <w:t>®</w:t>
            </w:r>
            <w:r w:rsidRPr="003425AC">
              <w:t xml:space="preserve"> will enable patients who are non-compliant in their dietary therapy and patients with a higher tolerance to phenylalanine, to meet micronutrient requirements in a smaller volume of product</w:t>
            </w:r>
            <w:r w:rsidR="00894EFB">
              <w:t>.</w:t>
            </w:r>
          </w:p>
        </w:tc>
        <w:tc>
          <w:tcPr>
            <w:tcW w:w="1767" w:type="pct"/>
          </w:tcPr>
          <w:p w14:paraId="715709A6" w14:textId="5B55B631" w:rsidR="00A94DD0" w:rsidRPr="001835FC" w:rsidRDefault="00A94DD0" w:rsidP="00632E20">
            <w:pPr>
              <w:pStyle w:val="3-BodyText"/>
              <w:spacing w:after="0"/>
              <w:ind w:left="0" w:firstLine="0"/>
              <w:jc w:val="left"/>
              <w:rPr>
                <w:rFonts w:ascii="Arial" w:eastAsia="Calibri" w:hAnsi="Arial"/>
                <w:iCs/>
                <w:sz w:val="20"/>
                <w:szCs w:val="20"/>
              </w:rPr>
            </w:pPr>
            <w:r w:rsidRPr="003425AC">
              <w:rPr>
                <w:rFonts w:ascii="Arial" w:hAnsi="Arial"/>
                <w:sz w:val="20"/>
                <w:szCs w:val="20"/>
              </w:rPr>
              <w:t>The PBAC noted the advice from the Nutritional Products Working Party</w:t>
            </w:r>
            <w:r w:rsidR="00BB712B">
              <w:rPr>
                <w:rFonts w:ascii="Arial" w:hAnsi="Arial"/>
                <w:sz w:val="20"/>
                <w:szCs w:val="20"/>
              </w:rPr>
              <w:t xml:space="preserve"> (NPWP)</w:t>
            </w:r>
            <w:r w:rsidRPr="003425AC">
              <w:rPr>
                <w:rFonts w:ascii="Arial" w:hAnsi="Arial"/>
                <w:sz w:val="20"/>
                <w:szCs w:val="20"/>
              </w:rPr>
              <w:t xml:space="preserve"> that the resubmission did not adequately address previous concerns that the product would provide enough copper and phosphorus for patients on a relaxed diet; and if diets were sufficiently relaxed to meet requirements for these nutrients, that there was no clinical need for PKU Synergy</w:t>
            </w:r>
            <w:r w:rsidR="00CB7D91">
              <w:rPr>
                <w:rFonts w:ascii="Arial" w:hAnsi="Arial"/>
                <w:sz w:val="20"/>
                <w:szCs w:val="20"/>
              </w:rPr>
              <w:t>®</w:t>
            </w:r>
            <w:r w:rsidRPr="003425AC">
              <w:rPr>
                <w:rFonts w:ascii="Arial" w:hAnsi="Arial"/>
                <w:sz w:val="20"/>
                <w:szCs w:val="20"/>
              </w:rPr>
              <w:t>.</w:t>
            </w:r>
          </w:p>
        </w:tc>
      </w:tr>
      <w:tr w:rsidR="00A94DD0" w:rsidRPr="00871023" w14:paraId="15E2F862" w14:textId="77777777" w:rsidTr="00BB712B">
        <w:trPr>
          <w:trHeight w:val="793"/>
        </w:trPr>
        <w:tc>
          <w:tcPr>
            <w:tcW w:w="735" w:type="pct"/>
            <w:vMerge/>
          </w:tcPr>
          <w:p w14:paraId="0BFB6B1D" w14:textId="77777777" w:rsidR="00A94DD0" w:rsidRPr="00871023" w:rsidRDefault="00A94DD0" w:rsidP="00A94DD0">
            <w:pPr>
              <w:rPr>
                <w:rFonts w:ascii="Arial" w:hAnsi="Arial" w:cs="Arial"/>
                <w:sz w:val="20"/>
              </w:rPr>
            </w:pPr>
          </w:p>
        </w:tc>
        <w:tc>
          <w:tcPr>
            <w:tcW w:w="676" w:type="pct"/>
            <w:vMerge/>
          </w:tcPr>
          <w:p w14:paraId="4748F2BA" w14:textId="77777777" w:rsidR="00A94DD0" w:rsidRPr="00871023" w:rsidRDefault="00A94DD0" w:rsidP="00A94DD0">
            <w:pPr>
              <w:rPr>
                <w:rFonts w:ascii="Arial" w:hAnsi="Arial" w:cs="Arial"/>
                <w:sz w:val="20"/>
              </w:rPr>
            </w:pPr>
          </w:p>
        </w:tc>
        <w:tc>
          <w:tcPr>
            <w:tcW w:w="677" w:type="pct"/>
            <w:vMerge/>
          </w:tcPr>
          <w:p w14:paraId="5494B671" w14:textId="77777777" w:rsidR="00A94DD0" w:rsidRPr="00871023" w:rsidRDefault="00A94DD0" w:rsidP="00A94DD0">
            <w:pPr>
              <w:rPr>
                <w:rFonts w:ascii="Arial" w:hAnsi="Arial" w:cs="Arial"/>
                <w:sz w:val="20"/>
              </w:rPr>
            </w:pPr>
          </w:p>
        </w:tc>
        <w:tc>
          <w:tcPr>
            <w:tcW w:w="1145" w:type="pct"/>
          </w:tcPr>
          <w:p w14:paraId="54196E50" w14:textId="4435F930" w:rsidR="00A94DD0" w:rsidRPr="003425AC" w:rsidRDefault="00A94DD0" w:rsidP="00632E20">
            <w:pPr>
              <w:snapToGrid w:val="0"/>
              <w:rPr>
                <w:rFonts w:ascii="Arial" w:hAnsi="Arial" w:cs="Arial"/>
                <w:sz w:val="20"/>
                <w:lang w:eastAsia="en-US"/>
              </w:rPr>
            </w:pPr>
            <w:r w:rsidRPr="003425AC">
              <w:rPr>
                <w:rFonts w:ascii="Arial" w:hAnsi="Arial" w:cs="Arial"/>
                <w:sz w:val="20"/>
              </w:rPr>
              <w:t>Economic claim:</w:t>
            </w:r>
            <w:r w:rsidRPr="003425AC">
              <w:rPr>
                <w:rFonts w:ascii="Arial" w:hAnsi="Arial" w:cs="Arial"/>
                <w:color w:val="000000"/>
                <w:sz w:val="20"/>
              </w:rPr>
              <w:t xml:space="preserve"> </w:t>
            </w:r>
            <w:r>
              <w:rPr>
                <w:rFonts w:ascii="Arial" w:hAnsi="Arial" w:cs="Arial"/>
                <w:sz w:val="20"/>
              </w:rPr>
              <w:t>C</w:t>
            </w:r>
            <w:r w:rsidRPr="003425AC">
              <w:rPr>
                <w:rFonts w:ascii="Arial" w:hAnsi="Arial" w:cs="Arial"/>
                <w:sz w:val="20"/>
              </w:rPr>
              <w:t xml:space="preserve">ost-minimisation versus </w:t>
            </w:r>
            <w:r w:rsidR="00894EFB">
              <w:rPr>
                <w:rFonts w:ascii="Arial" w:hAnsi="Arial" w:cs="Arial"/>
                <w:bCs/>
                <w:sz w:val="20"/>
              </w:rPr>
              <w:t>PKU Express 20</w:t>
            </w:r>
            <w:r w:rsidR="00CB7D91">
              <w:rPr>
                <w:rFonts w:ascii="Arial" w:hAnsi="Arial" w:cs="Arial"/>
                <w:bCs/>
                <w:sz w:val="20"/>
              </w:rPr>
              <w:t>®</w:t>
            </w:r>
            <w:r w:rsidR="00894EFB">
              <w:rPr>
                <w:rFonts w:ascii="Arial" w:hAnsi="Arial" w:cs="Arial"/>
                <w:bCs/>
                <w:sz w:val="20"/>
              </w:rPr>
              <w:t xml:space="preserve"> and PKU </w:t>
            </w:r>
            <w:proofErr w:type="spellStart"/>
            <w:r w:rsidR="00894EFB">
              <w:rPr>
                <w:rFonts w:ascii="Arial" w:hAnsi="Arial" w:cs="Arial"/>
                <w:bCs/>
                <w:sz w:val="20"/>
              </w:rPr>
              <w:t>Lophlex</w:t>
            </w:r>
            <w:proofErr w:type="spellEnd"/>
            <w:r w:rsidR="00CB7D91">
              <w:rPr>
                <w:rFonts w:ascii="Arial" w:hAnsi="Arial" w:cs="Arial"/>
                <w:bCs/>
                <w:sz w:val="20"/>
              </w:rPr>
              <w:t>®</w:t>
            </w:r>
          </w:p>
          <w:p w14:paraId="62CCBB85" w14:textId="77777777" w:rsidR="00A94DD0" w:rsidRPr="00871023" w:rsidRDefault="00A94DD0" w:rsidP="00632E20">
            <w:pPr>
              <w:pStyle w:val="ListBullet"/>
            </w:pPr>
          </w:p>
        </w:tc>
        <w:tc>
          <w:tcPr>
            <w:tcW w:w="1767" w:type="pct"/>
          </w:tcPr>
          <w:p w14:paraId="6342D49A" w14:textId="77A70BF4" w:rsidR="00A94DD0" w:rsidRPr="00871023" w:rsidRDefault="00A94DD0" w:rsidP="004039DB">
            <w:pPr>
              <w:pStyle w:val="ListParagraph"/>
              <w:spacing w:after="120"/>
              <w:ind w:left="0"/>
              <w:rPr>
                <w:rFonts w:ascii="Arial" w:hAnsi="Arial" w:cs="Arial"/>
                <w:sz w:val="20"/>
                <w:szCs w:val="20"/>
              </w:rPr>
            </w:pPr>
            <w:r w:rsidRPr="003425AC">
              <w:rPr>
                <w:rFonts w:ascii="Arial" w:hAnsi="Arial" w:cs="Arial"/>
                <w:sz w:val="20"/>
                <w:szCs w:val="20"/>
                <w:lang w:eastAsia="en-US"/>
              </w:rPr>
              <w:t>The PBAC noted the resubmission did not provide a rationale for requesting a higher</w:t>
            </w:r>
            <w:r w:rsidR="004039DB">
              <w:rPr>
                <w:rFonts w:ascii="Arial" w:hAnsi="Arial" w:cs="Arial"/>
                <w:sz w:val="20"/>
                <w:szCs w:val="20"/>
                <w:lang w:eastAsia="en-US"/>
              </w:rPr>
              <w:t xml:space="preserve"> approved ex-manufacturer price</w:t>
            </w:r>
            <w:r w:rsidRPr="003425AC">
              <w:rPr>
                <w:rFonts w:ascii="Arial" w:hAnsi="Arial" w:cs="Arial"/>
                <w:sz w:val="20"/>
                <w:szCs w:val="20"/>
                <w:lang w:eastAsia="en-US"/>
              </w:rPr>
              <w:t xml:space="preserve"> per </w:t>
            </w:r>
            <w:r w:rsidR="0004714E">
              <w:rPr>
                <w:rFonts w:ascii="Arial" w:hAnsi="Arial" w:cs="Arial"/>
                <w:sz w:val="20"/>
                <w:szCs w:val="20"/>
                <w:lang w:eastAsia="en-US"/>
              </w:rPr>
              <w:t>g</w:t>
            </w:r>
            <w:r w:rsidR="004039DB">
              <w:rPr>
                <w:rFonts w:ascii="Arial" w:hAnsi="Arial" w:cs="Arial"/>
                <w:sz w:val="20"/>
                <w:szCs w:val="20"/>
                <w:lang w:eastAsia="en-US"/>
              </w:rPr>
              <w:t>ram of</w:t>
            </w:r>
            <w:r w:rsidR="0004714E">
              <w:rPr>
                <w:rFonts w:ascii="Arial" w:hAnsi="Arial" w:cs="Arial"/>
                <w:sz w:val="20"/>
                <w:szCs w:val="20"/>
                <w:lang w:eastAsia="en-US"/>
              </w:rPr>
              <w:t xml:space="preserve"> protein equivalent compared with </w:t>
            </w:r>
            <w:r w:rsidRPr="003425AC">
              <w:rPr>
                <w:rFonts w:ascii="Arial" w:hAnsi="Arial" w:cs="Arial"/>
                <w:sz w:val="20"/>
                <w:szCs w:val="20"/>
                <w:lang w:eastAsia="en-US"/>
              </w:rPr>
              <w:t>the comparators.</w:t>
            </w:r>
          </w:p>
        </w:tc>
      </w:tr>
      <w:tr w:rsidR="00A94DD0" w:rsidRPr="00871023" w14:paraId="4BFF0277" w14:textId="77777777" w:rsidTr="00BB712B">
        <w:trPr>
          <w:trHeight w:val="433"/>
        </w:trPr>
        <w:tc>
          <w:tcPr>
            <w:tcW w:w="735" w:type="pct"/>
            <w:vMerge/>
          </w:tcPr>
          <w:p w14:paraId="3F5F7250" w14:textId="77777777" w:rsidR="00A94DD0" w:rsidRPr="00871023" w:rsidRDefault="00A94DD0" w:rsidP="00A94DD0">
            <w:pPr>
              <w:rPr>
                <w:rFonts w:ascii="Arial" w:hAnsi="Arial" w:cs="Arial"/>
                <w:sz w:val="20"/>
              </w:rPr>
            </w:pPr>
          </w:p>
        </w:tc>
        <w:tc>
          <w:tcPr>
            <w:tcW w:w="676" w:type="pct"/>
            <w:vMerge/>
          </w:tcPr>
          <w:p w14:paraId="4BB12F11" w14:textId="77777777" w:rsidR="00A94DD0" w:rsidRPr="00871023" w:rsidRDefault="00A94DD0" w:rsidP="00A94DD0">
            <w:pPr>
              <w:rPr>
                <w:rFonts w:ascii="Arial" w:hAnsi="Arial" w:cs="Arial"/>
                <w:sz w:val="20"/>
              </w:rPr>
            </w:pPr>
          </w:p>
        </w:tc>
        <w:tc>
          <w:tcPr>
            <w:tcW w:w="677" w:type="pct"/>
            <w:vMerge/>
          </w:tcPr>
          <w:p w14:paraId="67678E5E" w14:textId="77777777" w:rsidR="00A94DD0" w:rsidRPr="00871023" w:rsidRDefault="00A94DD0" w:rsidP="00A94DD0">
            <w:pPr>
              <w:rPr>
                <w:rFonts w:ascii="Arial" w:hAnsi="Arial" w:cs="Arial"/>
                <w:sz w:val="20"/>
              </w:rPr>
            </w:pPr>
          </w:p>
        </w:tc>
        <w:tc>
          <w:tcPr>
            <w:tcW w:w="1145" w:type="pct"/>
          </w:tcPr>
          <w:p w14:paraId="4560FE06" w14:textId="77777777" w:rsidR="00A94DD0" w:rsidRPr="003425AC" w:rsidRDefault="00A94DD0" w:rsidP="00A94DD0">
            <w:pPr>
              <w:snapToGrid w:val="0"/>
              <w:jc w:val="right"/>
              <w:rPr>
                <w:rFonts w:ascii="Arial" w:hAnsi="Arial" w:cs="Arial"/>
                <w:sz w:val="20"/>
              </w:rPr>
            </w:pPr>
            <w:r w:rsidRPr="003425AC">
              <w:rPr>
                <w:rFonts w:ascii="Arial" w:hAnsi="Arial" w:cs="Arial"/>
                <w:sz w:val="20"/>
              </w:rPr>
              <w:t>Sponsor’s comment:</w:t>
            </w:r>
          </w:p>
          <w:p w14:paraId="0ACD9B45" w14:textId="04517E25" w:rsidR="00A94DD0" w:rsidRPr="00871023" w:rsidRDefault="00A94DD0" w:rsidP="00632E20">
            <w:pPr>
              <w:pStyle w:val="ListBullet"/>
              <w:rPr>
                <w:highlight w:val="red"/>
              </w:rPr>
            </w:pPr>
          </w:p>
        </w:tc>
        <w:tc>
          <w:tcPr>
            <w:tcW w:w="1767" w:type="pct"/>
          </w:tcPr>
          <w:p w14:paraId="3A925F3F" w14:textId="79303191" w:rsidR="00A94DD0" w:rsidRPr="00CB7D91" w:rsidRDefault="00E90974" w:rsidP="00CB7D91">
            <w:pPr>
              <w:pStyle w:val="Default"/>
              <w:rPr>
                <w:rFonts w:ascii="Arial" w:hAnsi="Arial" w:cs="Arial"/>
                <w:color w:val="auto"/>
                <w:sz w:val="20"/>
                <w:szCs w:val="20"/>
              </w:rPr>
            </w:pPr>
            <w:r>
              <w:rPr>
                <w:rFonts w:ascii="Arial" w:hAnsi="Arial" w:cs="Arial"/>
                <w:color w:val="auto"/>
                <w:sz w:val="20"/>
                <w:szCs w:val="20"/>
              </w:rPr>
              <w:t xml:space="preserve">Nutricia </w:t>
            </w:r>
            <w:r w:rsidR="00BB712B" w:rsidRPr="00BB712B">
              <w:rPr>
                <w:rFonts w:ascii="Arial" w:hAnsi="Arial" w:cs="Arial"/>
                <w:color w:val="auto"/>
                <w:sz w:val="20"/>
                <w:szCs w:val="20"/>
              </w:rPr>
              <w:t>would lik</w:t>
            </w:r>
            <w:r w:rsidR="00BB712B">
              <w:rPr>
                <w:rFonts w:ascii="Arial" w:hAnsi="Arial" w:cs="Arial"/>
                <w:color w:val="auto"/>
                <w:sz w:val="20"/>
                <w:szCs w:val="20"/>
              </w:rPr>
              <w:t>e to thank the PBAC and the NPWP</w:t>
            </w:r>
            <w:r w:rsidR="00BB712B" w:rsidRPr="00BB712B">
              <w:rPr>
                <w:rFonts w:ascii="Arial" w:hAnsi="Arial" w:cs="Arial"/>
                <w:color w:val="auto"/>
                <w:sz w:val="20"/>
                <w:szCs w:val="20"/>
              </w:rPr>
              <w:t xml:space="preserve"> for the opportunity </w:t>
            </w:r>
            <w:r w:rsidR="00BB712B">
              <w:rPr>
                <w:rFonts w:ascii="Arial" w:hAnsi="Arial" w:cs="Arial"/>
                <w:color w:val="auto"/>
                <w:sz w:val="20"/>
                <w:szCs w:val="20"/>
              </w:rPr>
              <w:t xml:space="preserve">to comment on the PBAC outcome. </w:t>
            </w:r>
            <w:r w:rsidR="00BB712B" w:rsidRPr="00BB712B">
              <w:rPr>
                <w:rFonts w:ascii="Arial" w:hAnsi="Arial" w:cs="Arial"/>
                <w:color w:val="auto"/>
                <w:sz w:val="20"/>
                <w:szCs w:val="20"/>
              </w:rPr>
              <w:t>Nutricia are disappointed that the NPWP was not supportive of, and the PBAC did not recomme</w:t>
            </w:r>
            <w:r w:rsidR="00BB712B">
              <w:rPr>
                <w:rFonts w:ascii="Arial" w:hAnsi="Arial" w:cs="Arial"/>
                <w:color w:val="auto"/>
                <w:sz w:val="20"/>
                <w:szCs w:val="20"/>
              </w:rPr>
              <w:t>nd, the listing of PKU Synergy</w:t>
            </w:r>
            <w:r w:rsidR="00CB7D91">
              <w:rPr>
                <w:rFonts w:ascii="Arial" w:hAnsi="Arial" w:cs="Arial"/>
                <w:color w:val="auto"/>
                <w:sz w:val="20"/>
                <w:szCs w:val="20"/>
              </w:rPr>
              <w:t>®</w:t>
            </w:r>
            <w:r w:rsidR="00BB712B">
              <w:rPr>
                <w:rFonts w:ascii="Arial" w:hAnsi="Arial" w:cs="Arial"/>
                <w:color w:val="auto"/>
                <w:sz w:val="20"/>
                <w:szCs w:val="20"/>
              </w:rPr>
              <w:t xml:space="preserve">. </w:t>
            </w:r>
            <w:r w:rsidR="00BB712B">
              <w:rPr>
                <w:rFonts w:ascii="Arial" w:hAnsi="Arial" w:cs="Arial"/>
                <w:color w:val="auto"/>
                <w:sz w:val="20"/>
                <w:szCs w:val="20"/>
              </w:rPr>
              <w:br/>
            </w:r>
            <w:r w:rsidR="00BB712B">
              <w:rPr>
                <w:rFonts w:ascii="Arial" w:hAnsi="Arial" w:cs="Arial"/>
                <w:color w:val="auto"/>
                <w:sz w:val="20"/>
                <w:szCs w:val="20"/>
              </w:rPr>
              <w:br/>
            </w:r>
            <w:r w:rsidR="00BB712B" w:rsidRPr="00BB712B">
              <w:rPr>
                <w:rFonts w:ascii="Arial" w:hAnsi="Arial" w:cs="Arial"/>
                <w:color w:val="auto"/>
                <w:sz w:val="20"/>
                <w:szCs w:val="20"/>
              </w:rPr>
              <w:t>Nutricia does not share the concerns raised by PBAC and the NPWP, namely that PKU Synergy</w:t>
            </w:r>
            <w:r w:rsidR="00CB7D91">
              <w:rPr>
                <w:rFonts w:ascii="Arial" w:hAnsi="Arial" w:cs="Arial"/>
                <w:color w:val="auto"/>
                <w:sz w:val="20"/>
                <w:szCs w:val="20"/>
              </w:rPr>
              <w:t>®</w:t>
            </w:r>
            <w:r w:rsidR="00BB712B" w:rsidRPr="00BB712B">
              <w:rPr>
                <w:rFonts w:ascii="Arial" w:hAnsi="Arial" w:cs="Arial"/>
                <w:color w:val="auto"/>
                <w:sz w:val="20"/>
                <w:szCs w:val="20"/>
              </w:rPr>
              <w:t xml:space="preserve"> does not provide sufficient copper and phosphorous</w:t>
            </w:r>
            <w:r w:rsidR="00BB712B">
              <w:rPr>
                <w:rFonts w:ascii="Arial" w:hAnsi="Arial" w:cs="Arial"/>
                <w:color w:val="auto"/>
                <w:sz w:val="20"/>
                <w:szCs w:val="20"/>
              </w:rPr>
              <w:t>,</w:t>
            </w:r>
            <w:r w:rsidR="00BB712B" w:rsidRPr="00BB712B">
              <w:rPr>
                <w:rFonts w:ascii="Arial" w:hAnsi="Arial" w:cs="Arial"/>
                <w:color w:val="auto"/>
                <w:sz w:val="20"/>
                <w:szCs w:val="20"/>
              </w:rPr>
              <w:t xml:space="preserve"> and a one sachet dose </w:t>
            </w:r>
            <w:r w:rsidR="00BB712B">
              <w:rPr>
                <w:rFonts w:ascii="Arial" w:hAnsi="Arial" w:cs="Arial"/>
                <w:color w:val="auto"/>
                <w:sz w:val="20"/>
                <w:szCs w:val="20"/>
              </w:rPr>
              <w:t xml:space="preserve">would be confusing to patients. </w:t>
            </w:r>
            <w:r w:rsidR="00BB712B" w:rsidRPr="00BB712B">
              <w:rPr>
                <w:rFonts w:ascii="Arial" w:hAnsi="Arial" w:cs="Arial"/>
                <w:color w:val="auto"/>
                <w:sz w:val="20"/>
                <w:szCs w:val="20"/>
              </w:rPr>
              <w:t>However</w:t>
            </w:r>
            <w:r w:rsidR="00BB712B">
              <w:rPr>
                <w:rFonts w:ascii="Arial" w:hAnsi="Arial" w:cs="Arial"/>
                <w:color w:val="auto"/>
                <w:sz w:val="20"/>
                <w:szCs w:val="20"/>
              </w:rPr>
              <w:t>,</w:t>
            </w:r>
            <w:r w:rsidR="00BB712B" w:rsidRPr="00BB712B">
              <w:rPr>
                <w:rFonts w:ascii="Arial" w:hAnsi="Arial" w:cs="Arial"/>
                <w:color w:val="auto"/>
                <w:sz w:val="20"/>
                <w:szCs w:val="20"/>
              </w:rPr>
              <w:t xml:space="preserve"> in light of these concerns, Nutricia has undertaken a new clinical trial using </w:t>
            </w:r>
            <w:r w:rsidR="00BB712B">
              <w:rPr>
                <w:rFonts w:ascii="Arial" w:hAnsi="Arial" w:cs="Arial"/>
                <w:color w:val="auto"/>
                <w:sz w:val="20"/>
                <w:szCs w:val="20"/>
              </w:rPr>
              <w:lastRenderedPageBreak/>
              <w:t>PKU Synergy</w:t>
            </w:r>
            <w:r w:rsidR="00DD24B0">
              <w:rPr>
                <w:rFonts w:ascii="Arial" w:hAnsi="Arial" w:cs="Arial"/>
                <w:color w:val="auto"/>
                <w:sz w:val="20"/>
                <w:szCs w:val="20"/>
              </w:rPr>
              <w:t>®</w:t>
            </w:r>
            <w:r w:rsidR="00BB712B" w:rsidRPr="00BB712B">
              <w:rPr>
                <w:rFonts w:ascii="Arial" w:hAnsi="Arial" w:cs="Arial"/>
                <w:color w:val="auto"/>
                <w:sz w:val="20"/>
                <w:szCs w:val="20"/>
              </w:rPr>
              <w:t xml:space="preserve"> in patients taking </w:t>
            </w:r>
            <w:proofErr w:type="spellStart"/>
            <w:r w:rsidR="00BB712B" w:rsidRPr="00BB712B">
              <w:rPr>
                <w:rFonts w:ascii="Arial" w:hAnsi="Arial" w:cs="Arial"/>
                <w:color w:val="auto"/>
                <w:sz w:val="20"/>
                <w:szCs w:val="20"/>
              </w:rPr>
              <w:t>Kuvan</w:t>
            </w:r>
            <w:proofErr w:type="spellEnd"/>
            <w:r w:rsidR="00BB712B">
              <w:rPr>
                <w:rFonts w:ascii="Arial" w:hAnsi="Arial" w:cs="Arial"/>
                <w:color w:val="auto"/>
                <w:sz w:val="20"/>
                <w:szCs w:val="20"/>
              </w:rPr>
              <w:t>®</w:t>
            </w:r>
            <w:r w:rsidR="00BB712B" w:rsidRPr="00BB712B">
              <w:rPr>
                <w:rFonts w:ascii="Arial" w:hAnsi="Arial" w:cs="Arial"/>
                <w:color w:val="auto"/>
                <w:sz w:val="20"/>
                <w:szCs w:val="20"/>
              </w:rPr>
              <w:t xml:space="preserve"> (BH4) for at least one year, which should be sufficiently long term to address the PBACs concerns and prove the efficacy of the product. </w:t>
            </w:r>
            <w:r w:rsidR="00BB712B" w:rsidRPr="00BB712B">
              <w:rPr>
                <w:rFonts w:ascii="Arial" w:hAnsi="Arial" w:cs="Arial"/>
                <w:sz w:val="20"/>
              </w:rPr>
              <w:t>Nutricia will then consider a reapplication to the PBAC</w:t>
            </w:r>
            <w:r w:rsidR="00BB712B">
              <w:rPr>
                <w:sz w:val="22"/>
                <w:szCs w:val="22"/>
              </w:rPr>
              <w:t>.</w:t>
            </w:r>
          </w:p>
          <w:p w14:paraId="0CCA67DB" w14:textId="4F66ECAC" w:rsidR="00BB712B" w:rsidRPr="00871023" w:rsidRDefault="00BB712B" w:rsidP="00BB712B">
            <w:pPr>
              <w:rPr>
                <w:rFonts w:ascii="Arial" w:hAnsi="Arial" w:cs="Arial"/>
                <w:sz w:val="20"/>
              </w:rPr>
            </w:pPr>
          </w:p>
        </w:tc>
      </w:tr>
      <w:tr w:rsidR="00BB712B" w:rsidRPr="00871023" w14:paraId="2DF29721" w14:textId="77777777" w:rsidTr="00BB712B">
        <w:trPr>
          <w:trHeight w:val="4052"/>
        </w:trPr>
        <w:tc>
          <w:tcPr>
            <w:tcW w:w="735" w:type="pct"/>
            <w:vMerge w:val="restart"/>
          </w:tcPr>
          <w:p w14:paraId="11DEBA3B" w14:textId="77777777" w:rsidR="00BB712B" w:rsidRPr="00BB712B" w:rsidRDefault="00BB712B" w:rsidP="00BB712B">
            <w:pPr>
              <w:contextualSpacing/>
              <w:rPr>
                <w:rFonts w:ascii="Arial" w:hAnsi="Arial" w:cs="Arial"/>
                <w:color w:val="000000"/>
                <w:sz w:val="20"/>
              </w:rPr>
            </w:pPr>
            <w:r w:rsidRPr="00BB712B">
              <w:rPr>
                <w:rFonts w:ascii="Arial" w:hAnsi="Arial" w:cs="Arial"/>
                <w:color w:val="000000"/>
                <w:sz w:val="20"/>
              </w:rPr>
              <w:lastRenderedPageBreak/>
              <w:t>BELIMUMAB</w:t>
            </w:r>
            <w:r w:rsidRPr="00BB712B">
              <w:rPr>
                <w:rFonts w:ascii="Arial" w:hAnsi="Arial" w:cs="Arial"/>
                <w:color w:val="000000"/>
                <w:sz w:val="20"/>
              </w:rPr>
              <w:br/>
            </w:r>
            <w:r w:rsidRPr="00BB712B">
              <w:rPr>
                <w:rFonts w:ascii="Arial" w:hAnsi="Arial" w:cs="Arial"/>
                <w:color w:val="000000"/>
                <w:sz w:val="20"/>
              </w:rPr>
              <w:br/>
              <w:t>Injection 200 mg in 1 mL pre-filled pen</w:t>
            </w:r>
            <w:r w:rsidRPr="00BB712B">
              <w:rPr>
                <w:rFonts w:ascii="Arial" w:hAnsi="Arial" w:cs="Arial"/>
                <w:color w:val="000000"/>
                <w:sz w:val="20"/>
              </w:rPr>
              <w:br/>
            </w:r>
            <w:r w:rsidRPr="00BB712B">
              <w:rPr>
                <w:rFonts w:ascii="Arial" w:hAnsi="Arial" w:cs="Arial"/>
                <w:color w:val="000000"/>
                <w:sz w:val="20"/>
              </w:rPr>
              <w:br/>
            </w:r>
            <w:proofErr w:type="spellStart"/>
            <w:r w:rsidRPr="00BB712B">
              <w:rPr>
                <w:rFonts w:ascii="Arial" w:hAnsi="Arial" w:cs="Arial"/>
                <w:color w:val="000000"/>
                <w:sz w:val="20"/>
              </w:rPr>
              <w:t>Benlysta</w:t>
            </w:r>
            <w:proofErr w:type="spellEnd"/>
            <w:r w:rsidRPr="00BB712B">
              <w:rPr>
                <w:rFonts w:ascii="Arial" w:hAnsi="Arial" w:cs="Arial"/>
                <w:color w:val="000000"/>
                <w:sz w:val="20"/>
              </w:rPr>
              <w:t>®</w:t>
            </w:r>
            <w:r w:rsidRPr="00BB712B">
              <w:rPr>
                <w:rFonts w:ascii="Arial" w:hAnsi="Arial" w:cs="Arial"/>
                <w:color w:val="000000"/>
                <w:sz w:val="20"/>
              </w:rPr>
              <w:br/>
            </w:r>
            <w:r w:rsidRPr="00BB712B">
              <w:rPr>
                <w:rFonts w:ascii="Arial" w:hAnsi="Arial" w:cs="Arial"/>
                <w:color w:val="000000"/>
                <w:sz w:val="20"/>
              </w:rPr>
              <w:br/>
              <w:t>GlaxoSmithKline Australia Pty Ltd</w:t>
            </w:r>
          </w:p>
          <w:p w14:paraId="289B2467" w14:textId="77777777" w:rsidR="00BB712B" w:rsidRPr="00BB712B" w:rsidRDefault="00BB712B" w:rsidP="00BB712B">
            <w:pPr>
              <w:contextualSpacing/>
              <w:rPr>
                <w:rFonts w:ascii="Arial" w:hAnsi="Arial" w:cs="Arial"/>
                <w:color w:val="000000"/>
                <w:sz w:val="20"/>
              </w:rPr>
            </w:pPr>
          </w:p>
          <w:p w14:paraId="62D05B62" w14:textId="77777777" w:rsidR="00BB712B" w:rsidRPr="00BB712B" w:rsidRDefault="00BB712B" w:rsidP="00BB712B">
            <w:pPr>
              <w:contextualSpacing/>
              <w:rPr>
                <w:rFonts w:ascii="Arial" w:hAnsi="Arial" w:cs="Arial"/>
                <w:color w:val="000000"/>
                <w:sz w:val="20"/>
              </w:rPr>
            </w:pPr>
            <w:r w:rsidRPr="00BB712B">
              <w:rPr>
                <w:rFonts w:ascii="Arial" w:hAnsi="Arial" w:cs="Arial"/>
                <w:color w:val="000000"/>
                <w:sz w:val="20"/>
              </w:rPr>
              <w:t>New listing</w:t>
            </w:r>
            <w:r w:rsidRPr="00BB712B">
              <w:rPr>
                <w:rFonts w:ascii="Arial" w:hAnsi="Arial" w:cs="Arial"/>
                <w:color w:val="000000"/>
                <w:sz w:val="20"/>
              </w:rPr>
              <w:br/>
              <w:t>(Major Submission)</w:t>
            </w:r>
          </w:p>
          <w:p w14:paraId="6E4EA1E1" w14:textId="77777777" w:rsidR="00BB712B" w:rsidRPr="00BB712B" w:rsidRDefault="00BB712B" w:rsidP="00BB712B">
            <w:pPr>
              <w:contextualSpacing/>
              <w:rPr>
                <w:rFonts w:ascii="Arial" w:hAnsi="Arial" w:cs="Arial"/>
                <w:color w:val="000000"/>
                <w:sz w:val="20"/>
              </w:rPr>
            </w:pPr>
          </w:p>
          <w:p w14:paraId="6BFF0623" w14:textId="690D343F" w:rsidR="00BB712B" w:rsidRPr="00BB712B" w:rsidRDefault="00BB712B" w:rsidP="00BB712B">
            <w:pPr>
              <w:contextualSpacing/>
              <w:rPr>
                <w:rFonts w:ascii="Arial" w:hAnsi="Arial" w:cs="Arial"/>
                <w:color w:val="000000"/>
                <w:sz w:val="20"/>
              </w:rPr>
            </w:pPr>
          </w:p>
          <w:p w14:paraId="319B6A39" w14:textId="77777777" w:rsidR="00BB712B" w:rsidRPr="00BB712B" w:rsidRDefault="00BB712B" w:rsidP="00BB712B">
            <w:pPr>
              <w:contextualSpacing/>
              <w:rPr>
                <w:rFonts w:ascii="Arial" w:hAnsi="Arial" w:cs="Arial"/>
                <w:color w:val="000000"/>
                <w:sz w:val="20"/>
              </w:rPr>
            </w:pPr>
          </w:p>
          <w:p w14:paraId="3246C9C6" w14:textId="77777777" w:rsidR="00BB712B" w:rsidRPr="00BB712B" w:rsidRDefault="00BB712B" w:rsidP="00BB712B">
            <w:pPr>
              <w:contextualSpacing/>
              <w:rPr>
                <w:rFonts w:ascii="Arial" w:hAnsi="Arial" w:cs="Arial"/>
                <w:color w:val="000000"/>
                <w:sz w:val="20"/>
              </w:rPr>
            </w:pPr>
          </w:p>
          <w:p w14:paraId="7C76DE0B" w14:textId="77777777" w:rsidR="00BB712B" w:rsidRPr="00BB712B" w:rsidRDefault="00BB712B" w:rsidP="00BB712B">
            <w:pPr>
              <w:rPr>
                <w:rFonts w:ascii="Arial" w:hAnsi="Arial" w:cs="Arial"/>
                <w:sz w:val="20"/>
              </w:rPr>
            </w:pPr>
          </w:p>
        </w:tc>
        <w:tc>
          <w:tcPr>
            <w:tcW w:w="676" w:type="pct"/>
            <w:vMerge w:val="restart"/>
          </w:tcPr>
          <w:p w14:paraId="60B78C31" w14:textId="77777777" w:rsidR="00BB712B" w:rsidRPr="00BB712B" w:rsidRDefault="00BB712B" w:rsidP="00BB712B">
            <w:pPr>
              <w:autoSpaceDE w:val="0"/>
              <w:autoSpaceDN w:val="0"/>
              <w:adjustRightInd w:val="0"/>
              <w:rPr>
                <w:rFonts w:ascii="Arial" w:hAnsi="Arial" w:cs="Arial"/>
                <w:sz w:val="20"/>
              </w:rPr>
            </w:pPr>
            <w:proofErr w:type="spellStart"/>
            <w:r w:rsidRPr="00BB712B">
              <w:rPr>
                <w:rFonts w:ascii="Arial" w:hAnsi="Arial" w:cs="Arial"/>
                <w:sz w:val="20"/>
              </w:rPr>
              <w:t>Belimumab</w:t>
            </w:r>
            <w:proofErr w:type="spellEnd"/>
            <w:r w:rsidRPr="00BB712B">
              <w:rPr>
                <w:rFonts w:ascii="Arial" w:hAnsi="Arial" w:cs="Arial"/>
                <w:sz w:val="20"/>
              </w:rPr>
              <w:t xml:space="preserve"> is indicated as add-on therapy for reducing disease activity in adult patients with active, autoantibody-positive systemic lupus erythematosus</w:t>
            </w:r>
          </w:p>
          <w:p w14:paraId="7C8A16C7" w14:textId="77777777" w:rsidR="00BB712B" w:rsidRPr="00BB712B" w:rsidRDefault="00BB712B" w:rsidP="00BB712B">
            <w:pPr>
              <w:autoSpaceDE w:val="0"/>
              <w:autoSpaceDN w:val="0"/>
              <w:adjustRightInd w:val="0"/>
              <w:rPr>
                <w:rFonts w:ascii="Arial" w:hAnsi="Arial" w:cs="Arial"/>
                <w:sz w:val="20"/>
              </w:rPr>
            </w:pPr>
            <w:r w:rsidRPr="00BB712B">
              <w:rPr>
                <w:rFonts w:ascii="Arial" w:hAnsi="Arial" w:cs="Arial"/>
                <w:sz w:val="20"/>
              </w:rPr>
              <w:t>(SLE) with a high degree of disease activity despite standard therapy.</w:t>
            </w:r>
          </w:p>
          <w:p w14:paraId="5898CE79" w14:textId="77777777" w:rsidR="00BB712B" w:rsidRPr="00BB712B" w:rsidRDefault="00BB712B" w:rsidP="00BB712B">
            <w:pPr>
              <w:autoSpaceDE w:val="0"/>
              <w:autoSpaceDN w:val="0"/>
              <w:adjustRightInd w:val="0"/>
              <w:rPr>
                <w:rFonts w:ascii="Arial" w:hAnsi="Arial" w:cs="Arial"/>
                <w:sz w:val="20"/>
              </w:rPr>
            </w:pPr>
          </w:p>
          <w:p w14:paraId="77313F62" w14:textId="77777777" w:rsidR="00BB712B" w:rsidRPr="00BB712B" w:rsidRDefault="00BB712B" w:rsidP="00BB712B">
            <w:pPr>
              <w:rPr>
                <w:rFonts w:ascii="Arial" w:hAnsi="Arial" w:cs="Arial"/>
                <w:sz w:val="20"/>
              </w:rPr>
            </w:pPr>
          </w:p>
        </w:tc>
        <w:tc>
          <w:tcPr>
            <w:tcW w:w="677" w:type="pct"/>
            <w:vMerge w:val="restart"/>
          </w:tcPr>
          <w:p w14:paraId="37598851" w14:textId="7935CD4C" w:rsidR="00BB712B" w:rsidRPr="00BB712B" w:rsidRDefault="00BB712B" w:rsidP="00BB712B">
            <w:pPr>
              <w:rPr>
                <w:rFonts w:ascii="Arial" w:hAnsi="Arial" w:cs="Arial"/>
                <w:sz w:val="20"/>
              </w:rPr>
            </w:pPr>
            <w:proofErr w:type="spellStart"/>
            <w:r w:rsidRPr="00BB712B">
              <w:rPr>
                <w:rFonts w:ascii="Arial" w:hAnsi="Arial" w:cs="Arial"/>
                <w:sz w:val="20"/>
              </w:rPr>
              <w:t>Belimumab</w:t>
            </w:r>
            <w:proofErr w:type="spellEnd"/>
            <w:r w:rsidRPr="00BB712B">
              <w:rPr>
                <w:rFonts w:ascii="Arial" w:hAnsi="Arial" w:cs="Arial"/>
                <w:sz w:val="20"/>
              </w:rPr>
              <w:t xml:space="preserve"> is not currently PBS listed. </w:t>
            </w:r>
          </w:p>
        </w:tc>
        <w:tc>
          <w:tcPr>
            <w:tcW w:w="1145" w:type="pct"/>
          </w:tcPr>
          <w:p w14:paraId="00CF4CB1" w14:textId="2011D88B" w:rsidR="00BB712B" w:rsidRPr="00BB712B" w:rsidRDefault="00BB712B" w:rsidP="00BB712B">
            <w:pPr>
              <w:snapToGrid w:val="0"/>
              <w:rPr>
                <w:rFonts w:ascii="Arial" w:hAnsi="Arial" w:cs="Arial"/>
                <w:sz w:val="20"/>
              </w:rPr>
            </w:pPr>
            <w:r w:rsidRPr="00BB712B">
              <w:rPr>
                <w:rFonts w:ascii="Arial" w:hAnsi="Arial" w:cs="Arial"/>
                <w:sz w:val="20"/>
              </w:rPr>
              <w:t>Resubmission to request a Section 100 (Highly Specialised Drugs Program) Authority Required listing for the treatment of patients with active autoantibody-positive SLE with a high degree of disease activity, despite defined ongoing standard therapy.</w:t>
            </w:r>
          </w:p>
        </w:tc>
        <w:tc>
          <w:tcPr>
            <w:tcW w:w="1767" w:type="pct"/>
          </w:tcPr>
          <w:p w14:paraId="67AD10C1" w14:textId="77777777" w:rsidR="00BB712B" w:rsidRPr="00BB712B" w:rsidRDefault="00BB712B" w:rsidP="00BB712B">
            <w:pPr>
              <w:rPr>
                <w:rFonts w:ascii="Arial" w:hAnsi="Arial" w:cs="Arial"/>
                <w:bCs/>
                <w:sz w:val="20"/>
                <w:lang w:val="en-GB"/>
              </w:rPr>
            </w:pPr>
            <w:r w:rsidRPr="00BB712B">
              <w:rPr>
                <w:rFonts w:ascii="Arial" w:hAnsi="Arial" w:cs="Arial"/>
                <w:bCs/>
                <w:sz w:val="20"/>
                <w:lang w:val="en-GB"/>
              </w:rPr>
              <w:t xml:space="preserve">The PBAC did not recommend </w:t>
            </w:r>
            <w:proofErr w:type="spellStart"/>
            <w:r w:rsidRPr="00BB712B">
              <w:rPr>
                <w:rFonts w:ascii="Arial" w:hAnsi="Arial" w:cs="Arial"/>
                <w:bCs/>
                <w:sz w:val="20"/>
                <w:lang w:val="en-GB"/>
              </w:rPr>
              <w:t>belimumab</w:t>
            </w:r>
            <w:proofErr w:type="spellEnd"/>
            <w:r w:rsidRPr="00BB712B">
              <w:rPr>
                <w:rFonts w:ascii="Arial" w:hAnsi="Arial" w:cs="Arial"/>
                <w:bCs/>
                <w:sz w:val="20"/>
                <w:lang w:val="en-GB"/>
              </w:rPr>
              <w:t xml:space="preserve"> for the treatment of patients with active autoantibody-positive SLE with a high degree of disease activity despite ongoing standard therapy. </w:t>
            </w:r>
          </w:p>
          <w:p w14:paraId="7568A828" w14:textId="77777777" w:rsidR="00BB712B" w:rsidRPr="00BB712B" w:rsidRDefault="00BB712B" w:rsidP="00BB712B">
            <w:pPr>
              <w:rPr>
                <w:rFonts w:ascii="Arial" w:hAnsi="Arial" w:cs="Arial"/>
                <w:bCs/>
                <w:sz w:val="20"/>
                <w:lang w:val="en-GB"/>
              </w:rPr>
            </w:pPr>
            <w:r w:rsidRPr="00BB712B">
              <w:rPr>
                <w:rFonts w:ascii="Arial" w:hAnsi="Arial" w:cs="Arial"/>
                <w:bCs/>
                <w:sz w:val="20"/>
                <w:lang w:val="en-GB"/>
              </w:rPr>
              <w:br/>
              <w:t xml:space="preserve">The PBAC considered there is a clinical need for effective and safe treatments for SLE, particularly for patients with severe active disease who have failed, or are intolerant to, other therapies. </w:t>
            </w:r>
          </w:p>
          <w:p w14:paraId="2BBDDDCC" w14:textId="4B0803E3" w:rsidR="00BB712B" w:rsidRPr="00BB712B" w:rsidRDefault="00BB712B" w:rsidP="00BB712B">
            <w:pPr>
              <w:pStyle w:val="Default"/>
              <w:rPr>
                <w:rFonts w:ascii="Arial" w:hAnsi="Arial" w:cs="Arial"/>
                <w:color w:val="auto"/>
                <w:sz w:val="20"/>
                <w:szCs w:val="20"/>
              </w:rPr>
            </w:pPr>
            <w:r w:rsidRPr="00BB712B">
              <w:rPr>
                <w:rFonts w:ascii="Arial" w:hAnsi="Arial" w:cs="Arial"/>
                <w:bCs/>
                <w:sz w:val="20"/>
                <w:szCs w:val="20"/>
                <w:lang w:val="en-GB"/>
              </w:rPr>
              <w:br/>
              <w:t xml:space="preserve">The PBAC maintained its view from November 2019 that the evidence demonstrated a modest clinical benefit in a subset of patients. The PBAC considered that the incremental cost effectiveness ratio (ICER) was likely to </w:t>
            </w:r>
            <w:proofErr w:type="gramStart"/>
            <w:r w:rsidRPr="00BB712B">
              <w:rPr>
                <w:rFonts w:ascii="Arial" w:hAnsi="Arial" w:cs="Arial"/>
                <w:bCs/>
                <w:sz w:val="20"/>
                <w:szCs w:val="20"/>
                <w:lang w:val="en-GB"/>
              </w:rPr>
              <w:t>have been underestimated</w:t>
            </w:r>
            <w:proofErr w:type="gramEnd"/>
            <w:r w:rsidRPr="00BB712B">
              <w:rPr>
                <w:rFonts w:ascii="Arial" w:hAnsi="Arial" w:cs="Arial"/>
                <w:bCs/>
                <w:sz w:val="20"/>
                <w:szCs w:val="20"/>
                <w:lang w:val="en-GB"/>
              </w:rPr>
              <w:t xml:space="preserve"> by the submission, and that </w:t>
            </w:r>
            <w:proofErr w:type="spellStart"/>
            <w:r w:rsidRPr="00BB712B">
              <w:rPr>
                <w:rFonts w:ascii="Arial" w:hAnsi="Arial" w:cs="Arial"/>
                <w:bCs/>
                <w:sz w:val="20"/>
                <w:szCs w:val="20"/>
                <w:lang w:val="en-GB"/>
              </w:rPr>
              <w:t>belimumab</w:t>
            </w:r>
            <w:proofErr w:type="spellEnd"/>
            <w:r w:rsidRPr="00BB712B">
              <w:rPr>
                <w:rFonts w:ascii="Arial" w:hAnsi="Arial" w:cs="Arial"/>
                <w:bCs/>
                <w:sz w:val="20"/>
                <w:szCs w:val="20"/>
                <w:lang w:val="en-GB"/>
              </w:rPr>
              <w:t xml:space="preserve"> was not suitably cost-effective at the price proposed in the resubmission.</w:t>
            </w:r>
          </w:p>
        </w:tc>
      </w:tr>
      <w:tr w:rsidR="00BB712B" w:rsidRPr="00871023" w14:paraId="3ADA7586" w14:textId="77777777" w:rsidTr="00BB712B">
        <w:trPr>
          <w:trHeight w:val="433"/>
        </w:trPr>
        <w:tc>
          <w:tcPr>
            <w:tcW w:w="735" w:type="pct"/>
            <w:vMerge/>
          </w:tcPr>
          <w:p w14:paraId="16E3DD5F" w14:textId="77777777" w:rsidR="00BB712B" w:rsidRPr="00BB712B" w:rsidRDefault="00BB712B" w:rsidP="00BB712B">
            <w:pPr>
              <w:rPr>
                <w:rFonts w:ascii="Arial" w:hAnsi="Arial" w:cs="Arial"/>
                <w:sz w:val="20"/>
              </w:rPr>
            </w:pPr>
          </w:p>
        </w:tc>
        <w:tc>
          <w:tcPr>
            <w:tcW w:w="676" w:type="pct"/>
            <w:vMerge/>
          </w:tcPr>
          <w:p w14:paraId="3EB03A26" w14:textId="77777777" w:rsidR="00BB712B" w:rsidRPr="00BB712B" w:rsidRDefault="00BB712B" w:rsidP="00BB712B">
            <w:pPr>
              <w:rPr>
                <w:rFonts w:ascii="Arial" w:hAnsi="Arial" w:cs="Arial"/>
                <w:sz w:val="20"/>
              </w:rPr>
            </w:pPr>
          </w:p>
        </w:tc>
        <w:tc>
          <w:tcPr>
            <w:tcW w:w="677" w:type="pct"/>
            <w:vMerge/>
          </w:tcPr>
          <w:p w14:paraId="09B3A195" w14:textId="77777777" w:rsidR="00BB712B" w:rsidRPr="00BB712B" w:rsidRDefault="00BB712B" w:rsidP="00BB712B">
            <w:pPr>
              <w:rPr>
                <w:rFonts w:ascii="Arial" w:hAnsi="Arial" w:cs="Arial"/>
                <w:sz w:val="20"/>
              </w:rPr>
            </w:pPr>
          </w:p>
        </w:tc>
        <w:tc>
          <w:tcPr>
            <w:tcW w:w="1145" w:type="pct"/>
          </w:tcPr>
          <w:p w14:paraId="4B4A7DC9" w14:textId="0D89F0F6" w:rsidR="00BB712B" w:rsidRPr="00BB712B" w:rsidRDefault="00BB712B" w:rsidP="00BB712B">
            <w:pPr>
              <w:snapToGrid w:val="0"/>
              <w:rPr>
                <w:rFonts w:ascii="Arial" w:hAnsi="Arial" w:cs="Arial"/>
                <w:sz w:val="20"/>
              </w:rPr>
            </w:pPr>
            <w:r w:rsidRPr="00BB712B">
              <w:rPr>
                <w:rFonts w:ascii="Arial" w:hAnsi="Arial" w:cs="Arial"/>
                <w:sz w:val="20"/>
              </w:rPr>
              <w:t>Comparator: Placebo/standard of care (SOC)</w:t>
            </w:r>
          </w:p>
        </w:tc>
        <w:tc>
          <w:tcPr>
            <w:tcW w:w="1767" w:type="pct"/>
          </w:tcPr>
          <w:p w14:paraId="03C86BC1" w14:textId="7FEDCA81" w:rsidR="00BB712B" w:rsidRPr="00BB712B" w:rsidRDefault="00BB712B" w:rsidP="00BB712B">
            <w:pPr>
              <w:pStyle w:val="Default"/>
              <w:rPr>
                <w:rFonts w:ascii="Arial" w:hAnsi="Arial" w:cs="Arial"/>
                <w:color w:val="auto"/>
                <w:sz w:val="20"/>
                <w:szCs w:val="20"/>
              </w:rPr>
            </w:pPr>
            <w:r w:rsidRPr="00BB712B">
              <w:rPr>
                <w:rFonts w:ascii="Arial" w:hAnsi="Arial" w:cs="Arial"/>
                <w:sz w:val="20"/>
                <w:szCs w:val="20"/>
              </w:rPr>
              <w:t>The PBAC accepted that SOC was an appropriate comparator, consistent with the November 2019 PBAC meeting.</w:t>
            </w:r>
          </w:p>
        </w:tc>
      </w:tr>
      <w:tr w:rsidR="00BB712B" w:rsidRPr="00871023" w14:paraId="20FCCF73" w14:textId="77777777" w:rsidTr="00BB712B">
        <w:trPr>
          <w:trHeight w:val="433"/>
        </w:trPr>
        <w:tc>
          <w:tcPr>
            <w:tcW w:w="735" w:type="pct"/>
            <w:vMerge/>
          </w:tcPr>
          <w:p w14:paraId="1251C000" w14:textId="77777777" w:rsidR="00BB712B" w:rsidRPr="00BB712B" w:rsidRDefault="00BB712B" w:rsidP="00BB712B">
            <w:pPr>
              <w:rPr>
                <w:rFonts w:ascii="Arial" w:hAnsi="Arial" w:cs="Arial"/>
                <w:sz w:val="20"/>
              </w:rPr>
            </w:pPr>
          </w:p>
        </w:tc>
        <w:tc>
          <w:tcPr>
            <w:tcW w:w="676" w:type="pct"/>
            <w:vMerge/>
          </w:tcPr>
          <w:p w14:paraId="653F6B62" w14:textId="77777777" w:rsidR="00BB712B" w:rsidRPr="00BB712B" w:rsidRDefault="00BB712B" w:rsidP="00BB712B">
            <w:pPr>
              <w:rPr>
                <w:rFonts w:ascii="Arial" w:hAnsi="Arial" w:cs="Arial"/>
                <w:sz w:val="20"/>
              </w:rPr>
            </w:pPr>
          </w:p>
        </w:tc>
        <w:tc>
          <w:tcPr>
            <w:tcW w:w="677" w:type="pct"/>
            <w:vMerge/>
          </w:tcPr>
          <w:p w14:paraId="4D076EF5" w14:textId="77777777" w:rsidR="00BB712B" w:rsidRPr="00BB712B" w:rsidRDefault="00BB712B" w:rsidP="00BB712B">
            <w:pPr>
              <w:rPr>
                <w:rFonts w:ascii="Arial" w:hAnsi="Arial" w:cs="Arial"/>
                <w:sz w:val="20"/>
              </w:rPr>
            </w:pPr>
          </w:p>
        </w:tc>
        <w:tc>
          <w:tcPr>
            <w:tcW w:w="1145" w:type="pct"/>
          </w:tcPr>
          <w:p w14:paraId="31389D79" w14:textId="607EBF75" w:rsidR="00BB712B" w:rsidRPr="00BB712B" w:rsidRDefault="00BB712B" w:rsidP="00BB712B">
            <w:pPr>
              <w:snapToGrid w:val="0"/>
              <w:rPr>
                <w:rFonts w:ascii="Arial" w:hAnsi="Arial" w:cs="Arial"/>
                <w:sz w:val="20"/>
              </w:rPr>
            </w:pPr>
            <w:r w:rsidRPr="00BB712B">
              <w:rPr>
                <w:rFonts w:ascii="Arial" w:hAnsi="Arial" w:cs="Arial"/>
                <w:sz w:val="20"/>
              </w:rPr>
              <w:t>Clinical claim: Superior effectiveness and inferior safety compared with SOC</w:t>
            </w:r>
          </w:p>
        </w:tc>
        <w:tc>
          <w:tcPr>
            <w:tcW w:w="1767" w:type="pct"/>
          </w:tcPr>
          <w:p w14:paraId="63FDF715" w14:textId="7983CA6F" w:rsidR="00BB712B" w:rsidRPr="00BB712B" w:rsidRDefault="00BB712B" w:rsidP="00BB712B">
            <w:pPr>
              <w:pStyle w:val="Default"/>
              <w:rPr>
                <w:rFonts w:ascii="Arial" w:hAnsi="Arial" w:cs="Arial"/>
                <w:color w:val="auto"/>
                <w:sz w:val="20"/>
                <w:szCs w:val="20"/>
              </w:rPr>
            </w:pPr>
            <w:r w:rsidRPr="00BB712B">
              <w:rPr>
                <w:rFonts w:ascii="Arial" w:hAnsi="Arial" w:cs="Arial"/>
                <w:bCs/>
                <w:sz w:val="20"/>
                <w:szCs w:val="20"/>
                <w:lang w:val="en-GB"/>
              </w:rPr>
              <w:t xml:space="preserve">The PBAC noted that the BLISS-SC trial found that </w:t>
            </w:r>
            <w:proofErr w:type="spellStart"/>
            <w:r w:rsidRPr="00BB712B">
              <w:rPr>
                <w:rFonts w:ascii="Arial" w:hAnsi="Arial" w:cs="Arial"/>
                <w:bCs/>
                <w:sz w:val="20"/>
                <w:szCs w:val="20"/>
                <w:lang w:val="en-GB"/>
              </w:rPr>
              <w:t>belimumab</w:t>
            </w:r>
            <w:proofErr w:type="spellEnd"/>
            <w:r w:rsidRPr="00BB712B">
              <w:rPr>
                <w:rFonts w:ascii="Arial" w:hAnsi="Arial" w:cs="Arial"/>
                <w:bCs/>
                <w:sz w:val="20"/>
                <w:szCs w:val="20"/>
                <w:lang w:val="en-GB"/>
              </w:rPr>
              <w:t xml:space="preserve"> plus SOC resulted in a 13% increase in the proportion of Systemic Lupus Erythematosus Responder Index responders at Week 52 compared with placebo plus SOC (RD = 0.13; 95% CI: 0.06, 0.20). </w:t>
            </w:r>
            <w:r w:rsidRPr="00BB712B">
              <w:rPr>
                <w:rFonts w:ascii="Arial" w:hAnsi="Arial" w:cs="Arial"/>
                <w:sz w:val="20"/>
                <w:szCs w:val="20"/>
              </w:rPr>
              <w:t xml:space="preserve">The PBAC considered that the claim of superior effectiveness compared to SOC </w:t>
            </w:r>
            <w:proofErr w:type="gramStart"/>
            <w:r w:rsidRPr="00BB712B">
              <w:rPr>
                <w:rFonts w:ascii="Arial" w:hAnsi="Arial" w:cs="Arial"/>
                <w:sz w:val="20"/>
                <w:szCs w:val="20"/>
              </w:rPr>
              <w:t>was supported</w:t>
            </w:r>
            <w:proofErr w:type="gramEnd"/>
            <w:r w:rsidRPr="00BB712B">
              <w:rPr>
                <w:rFonts w:ascii="Arial" w:hAnsi="Arial" w:cs="Arial"/>
                <w:sz w:val="20"/>
                <w:szCs w:val="20"/>
              </w:rPr>
              <w:t xml:space="preserve"> by </w:t>
            </w:r>
            <w:r w:rsidRPr="00BB712B">
              <w:rPr>
                <w:rFonts w:ascii="Arial" w:hAnsi="Arial" w:cs="Arial"/>
                <w:bCs/>
                <w:sz w:val="20"/>
                <w:szCs w:val="20"/>
                <w:lang w:val="en-GB"/>
              </w:rPr>
              <w:t xml:space="preserve">a modest clinical </w:t>
            </w:r>
            <w:r w:rsidRPr="00BB712B">
              <w:rPr>
                <w:rFonts w:ascii="Arial" w:hAnsi="Arial" w:cs="Arial"/>
                <w:bCs/>
                <w:sz w:val="20"/>
                <w:szCs w:val="20"/>
                <w:lang w:val="en-GB"/>
              </w:rPr>
              <w:lastRenderedPageBreak/>
              <w:t>benefit in a subset of patients</w:t>
            </w:r>
            <w:r w:rsidRPr="00BB712B">
              <w:rPr>
                <w:rFonts w:ascii="Arial" w:hAnsi="Arial" w:cs="Arial"/>
                <w:sz w:val="20"/>
                <w:szCs w:val="20"/>
              </w:rPr>
              <w:t>, and the claim of inferior safety was reasonable.</w:t>
            </w:r>
          </w:p>
        </w:tc>
      </w:tr>
      <w:tr w:rsidR="00BB712B" w:rsidRPr="00871023" w14:paraId="0C182A58" w14:textId="77777777" w:rsidTr="00BB712B">
        <w:trPr>
          <w:trHeight w:val="433"/>
        </w:trPr>
        <w:tc>
          <w:tcPr>
            <w:tcW w:w="735" w:type="pct"/>
            <w:vMerge/>
          </w:tcPr>
          <w:p w14:paraId="7DBC7EA8" w14:textId="77777777" w:rsidR="00BB712B" w:rsidRPr="00BB712B" w:rsidRDefault="00BB712B" w:rsidP="00BB712B">
            <w:pPr>
              <w:rPr>
                <w:rFonts w:ascii="Arial" w:hAnsi="Arial" w:cs="Arial"/>
                <w:sz w:val="20"/>
              </w:rPr>
            </w:pPr>
          </w:p>
        </w:tc>
        <w:tc>
          <w:tcPr>
            <w:tcW w:w="676" w:type="pct"/>
            <w:vMerge/>
          </w:tcPr>
          <w:p w14:paraId="4353F4BB" w14:textId="77777777" w:rsidR="00BB712B" w:rsidRPr="00BB712B" w:rsidRDefault="00BB712B" w:rsidP="00BB712B">
            <w:pPr>
              <w:rPr>
                <w:rFonts w:ascii="Arial" w:hAnsi="Arial" w:cs="Arial"/>
                <w:sz w:val="20"/>
              </w:rPr>
            </w:pPr>
          </w:p>
        </w:tc>
        <w:tc>
          <w:tcPr>
            <w:tcW w:w="677" w:type="pct"/>
            <w:vMerge/>
          </w:tcPr>
          <w:p w14:paraId="06E093F6" w14:textId="77777777" w:rsidR="00BB712B" w:rsidRPr="00BB712B" w:rsidRDefault="00BB712B" w:rsidP="00BB712B">
            <w:pPr>
              <w:rPr>
                <w:rFonts w:ascii="Arial" w:hAnsi="Arial" w:cs="Arial"/>
                <w:sz w:val="20"/>
              </w:rPr>
            </w:pPr>
          </w:p>
        </w:tc>
        <w:tc>
          <w:tcPr>
            <w:tcW w:w="1145" w:type="pct"/>
          </w:tcPr>
          <w:p w14:paraId="7098F8AA" w14:textId="4FFA09D9" w:rsidR="00BB712B" w:rsidRPr="00BB712B" w:rsidRDefault="00BB712B" w:rsidP="00BB712B">
            <w:pPr>
              <w:snapToGrid w:val="0"/>
              <w:rPr>
                <w:rFonts w:ascii="Arial" w:hAnsi="Arial" w:cs="Arial"/>
                <w:sz w:val="20"/>
              </w:rPr>
            </w:pPr>
            <w:r w:rsidRPr="00BB712B">
              <w:rPr>
                <w:rFonts w:ascii="Arial" w:hAnsi="Arial" w:cs="Arial"/>
                <w:sz w:val="20"/>
              </w:rPr>
              <w:t>Economic claim: Cost-effectiveness and a cost-utility analysis compared with SOC</w:t>
            </w:r>
          </w:p>
        </w:tc>
        <w:tc>
          <w:tcPr>
            <w:tcW w:w="1767" w:type="pct"/>
          </w:tcPr>
          <w:p w14:paraId="378889B8" w14:textId="465897AF" w:rsidR="00BB712B" w:rsidRPr="00BB712B" w:rsidRDefault="00BB712B" w:rsidP="00BB712B">
            <w:pPr>
              <w:pStyle w:val="Default"/>
              <w:rPr>
                <w:rFonts w:ascii="Arial" w:hAnsi="Arial" w:cs="Arial"/>
                <w:color w:val="auto"/>
                <w:sz w:val="20"/>
                <w:szCs w:val="20"/>
              </w:rPr>
            </w:pPr>
            <w:r w:rsidRPr="00BB712B">
              <w:rPr>
                <w:rFonts w:ascii="Arial" w:hAnsi="Arial" w:cs="Arial"/>
                <w:bCs/>
                <w:sz w:val="20"/>
                <w:szCs w:val="20"/>
                <w:lang w:val="en-GB"/>
              </w:rPr>
              <w:t xml:space="preserve">The PBAC considered that the ICER was likely to </w:t>
            </w:r>
            <w:proofErr w:type="gramStart"/>
            <w:r w:rsidRPr="00BB712B">
              <w:rPr>
                <w:rFonts w:ascii="Arial" w:hAnsi="Arial" w:cs="Arial"/>
                <w:bCs/>
                <w:sz w:val="20"/>
                <w:szCs w:val="20"/>
                <w:lang w:val="en-GB"/>
              </w:rPr>
              <w:t>have been underestimated</w:t>
            </w:r>
            <w:proofErr w:type="gramEnd"/>
            <w:r w:rsidRPr="00BB712B">
              <w:rPr>
                <w:rFonts w:ascii="Arial" w:hAnsi="Arial" w:cs="Arial"/>
                <w:bCs/>
                <w:sz w:val="20"/>
                <w:szCs w:val="20"/>
                <w:lang w:val="en-GB"/>
              </w:rPr>
              <w:t xml:space="preserve"> by the submission, as some of the assumptions applied in the economic model may not be reasonable and likely favoured </w:t>
            </w:r>
            <w:proofErr w:type="spellStart"/>
            <w:r w:rsidRPr="00BB712B">
              <w:rPr>
                <w:rFonts w:ascii="Arial" w:hAnsi="Arial" w:cs="Arial"/>
                <w:bCs/>
                <w:sz w:val="20"/>
                <w:szCs w:val="20"/>
                <w:lang w:val="en-GB"/>
              </w:rPr>
              <w:t>belimumab</w:t>
            </w:r>
            <w:proofErr w:type="spellEnd"/>
            <w:r w:rsidRPr="00BB712B">
              <w:rPr>
                <w:rFonts w:ascii="Arial" w:hAnsi="Arial" w:cs="Arial"/>
                <w:bCs/>
                <w:sz w:val="20"/>
                <w:szCs w:val="20"/>
                <w:lang w:val="en-GB"/>
              </w:rPr>
              <w:t xml:space="preserve">. </w:t>
            </w:r>
          </w:p>
        </w:tc>
      </w:tr>
      <w:tr w:rsidR="00BB712B" w:rsidRPr="00871023" w14:paraId="11E33595" w14:textId="77777777" w:rsidTr="00BB712B">
        <w:trPr>
          <w:trHeight w:val="433"/>
        </w:trPr>
        <w:tc>
          <w:tcPr>
            <w:tcW w:w="735" w:type="pct"/>
            <w:vMerge/>
          </w:tcPr>
          <w:p w14:paraId="7F99C96A" w14:textId="77777777" w:rsidR="00BB712B" w:rsidRPr="00BB712B" w:rsidRDefault="00BB712B" w:rsidP="00BB712B">
            <w:pPr>
              <w:rPr>
                <w:rFonts w:ascii="Arial" w:hAnsi="Arial" w:cs="Arial"/>
                <w:sz w:val="20"/>
              </w:rPr>
            </w:pPr>
          </w:p>
        </w:tc>
        <w:tc>
          <w:tcPr>
            <w:tcW w:w="676" w:type="pct"/>
            <w:vMerge/>
          </w:tcPr>
          <w:p w14:paraId="49D0F3EC" w14:textId="77777777" w:rsidR="00BB712B" w:rsidRPr="00BB712B" w:rsidRDefault="00BB712B" w:rsidP="00BB712B">
            <w:pPr>
              <w:rPr>
                <w:rFonts w:ascii="Arial" w:hAnsi="Arial" w:cs="Arial"/>
                <w:sz w:val="20"/>
              </w:rPr>
            </w:pPr>
          </w:p>
        </w:tc>
        <w:tc>
          <w:tcPr>
            <w:tcW w:w="677" w:type="pct"/>
            <w:vMerge/>
          </w:tcPr>
          <w:p w14:paraId="702A8DDB" w14:textId="77777777" w:rsidR="00BB712B" w:rsidRPr="00BB712B" w:rsidRDefault="00BB712B" w:rsidP="00BB712B">
            <w:pPr>
              <w:rPr>
                <w:rFonts w:ascii="Arial" w:hAnsi="Arial" w:cs="Arial"/>
                <w:sz w:val="20"/>
              </w:rPr>
            </w:pPr>
          </w:p>
        </w:tc>
        <w:tc>
          <w:tcPr>
            <w:tcW w:w="1145" w:type="pct"/>
          </w:tcPr>
          <w:p w14:paraId="2B9104B1" w14:textId="4FBFE3D9" w:rsidR="00BB712B" w:rsidRPr="00BB712B" w:rsidRDefault="00BB712B" w:rsidP="00BB712B">
            <w:pPr>
              <w:snapToGrid w:val="0"/>
              <w:jc w:val="right"/>
              <w:rPr>
                <w:rFonts w:ascii="Arial" w:hAnsi="Arial" w:cs="Arial"/>
                <w:sz w:val="20"/>
              </w:rPr>
            </w:pPr>
            <w:r w:rsidRPr="00BB712B">
              <w:rPr>
                <w:rFonts w:ascii="Arial" w:hAnsi="Arial" w:cs="Arial"/>
                <w:sz w:val="20"/>
              </w:rPr>
              <w:t>Sponsor’s comment:</w:t>
            </w:r>
          </w:p>
        </w:tc>
        <w:tc>
          <w:tcPr>
            <w:tcW w:w="1767" w:type="pct"/>
          </w:tcPr>
          <w:p w14:paraId="679AC8F9" w14:textId="7D67504E" w:rsidR="0011587E" w:rsidRPr="00F13F3C" w:rsidRDefault="00F13F3C" w:rsidP="00BB712B">
            <w:pPr>
              <w:rPr>
                <w:rFonts w:ascii="Arial" w:hAnsi="Arial" w:cs="Arial"/>
                <w:sz w:val="20"/>
              </w:rPr>
            </w:pPr>
            <w:r w:rsidRPr="00F13F3C">
              <w:rPr>
                <w:rFonts w:ascii="Arial" w:hAnsi="Arial" w:cs="Arial"/>
                <w:iCs/>
                <w:sz w:val="20"/>
              </w:rPr>
              <w:t xml:space="preserve">GSK </w:t>
            </w:r>
            <w:proofErr w:type="gramStart"/>
            <w:r w:rsidRPr="00F13F3C">
              <w:rPr>
                <w:rFonts w:ascii="Arial" w:hAnsi="Arial" w:cs="Arial"/>
                <w:iCs/>
                <w:sz w:val="20"/>
              </w:rPr>
              <w:t>is disappointed</w:t>
            </w:r>
            <w:proofErr w:type="gramEnd"/>
            <w:r w:rsidRPr="00F13F3C">
              <w:rPr>
                <w:rFonts w:ascii="Arial" w:hAnsi="Arial" w:cs="Arial"/>
                <w:iCs/>
                <w:sz w:val="20"/>
              </w:rPr>
              <w:t xml:space="preserve"> by the PBAC’s decision not to recommend </w:t>
            </w:r>
            <w:proofErr w:type="spellStart"/>
            <w:r w:rsidRPr="00F13F3C">
              <w:rPr>
                <w:rFonts w:ascii="Arial" w:hAnsi="Arial" w:cs="Arial"/>
                <w:iCs/>
                <w:sz w:val="20"/>
              </w:rPr>
              <w:t>Benlysta</w:t>
            </w:r>
            <w:proofErr w:type="spellEnd"/>
            <w:r>
              <w:rPr>
                <w:rFonts w:ascii="Arial" w:hAnsi="Arial" w:cs="Arial"/>
                <w:iCs/>
                <w:sz w:val="20"/>
              </w:rPr>
              <w:t>®</w:t>
            </w:r>
            <w:r w:rsidRPr="00F13F3C">
              <w:rPr>
                <w:rFonts w:ascii="Arial" w:hAnsi="Arial" w:cs="Arial"/>
                <w:iCs/>
                <w:sz w:val="20"/>
              </w:rPr>
              <w:t xml:space="preserve"> (</w:t>
            </w:r>
            <w:proofErr w:type="spellStart"/>
            <w:r w:rsidRPr="00F13F3C">
              <w:rPr>
                <w:rFonts w:ascii="Arial" w:hAnsi="Arial" w:cs="Arial"/>
                <w:iCs/>
                <w:sz w:val="20"/>
              </w:rPr>
              <w:t>belimumab</w:t>
            </w:r>
            <w:proofErr w:type="spellEnd"/>
            <w:r w:rsidRPr="00F13F3C">
              <w:rPr>
                <w:rFonts w:ascii="Arial" w:hAnsi="Arial" w:cs="Arial"/>
                <w:iCs/>
                <w:sz w:val="20"/>
              </w:rPr>
              <w:t>) for the treatment of patients wit</w:t>
            </w:r>
            <w:r>
              <w:rPr>
                <w:rFonts w:ascii="Arial" w:hAnsi="Arial" w:cs="Arial"/>
                <w:iCs/>
                <w:sz w:val="20"/>
              </w:rPr>
              <w:t>h SLE</w:t>
            </w:r>
            <w:r w:rsidRPr="00F13F3C">
              <w:rPr>
                <w:rFonts w:ascii="Arial" w:hAnsi="Arial" w:cs="Arial"/>
                <w:iCs/>
                <w:sz w:val="20"/>
              </w:rPr>
              <w:t>, which is the only new clinically effective therapy to be approved for this indicat</w:t>
            </w:r>
            <w:r>
              <w:rPr>
                <w:rFonts w:ascii="Arial" w:hAnsi="Arial" w:cs="Arial"/>
                <w:iCs/>
                <w:sz w:val="20"/>
              </w:rPr>
              <w:t>ion in 50 years. GSK</w:t>
            </w:r>
            <w:r w:rsidRPr="00F13F3C">
              <w:rPr>
                <w:rFonts w:ascii="Arial" w:hAnsi="Arial" w:cs="Arial"/>
                <w:iCs/>
                <w:sz w:val="20"/>
              </w:rPr>
              <w:t xml:space="preserve"> welcome</w:t>
            </w:r>
            <w:r>
              <w:rPr>
                <w:rFonts w:ascii="Arial" w:hAnsi="Arial" w:cs="Arial"/>
                <w:iCs/>
                <w:sz w:val="20"/>
              </w:rPr>
              <w:t>s</w:t>
            </w:r>
            <w:r w:rsidRPr="00F13F3C">
              <w:rPr>
                <w:rFonts w:ascii="Arial" w:hAnsi="Arial" w:cs="Arial"/>
                <w:iCs/>
                <w:sz w:val="20"/>
              </w:rPr>
              <w:t xml:space="preserve"> the PBAC’s acknowledgement of the clinical need for effective treatments for SLE, particularly for the group of patients who are not responding to current therapies, given the debilitating impact this condition can have on people’s lives and specifically thei</w:t>
            </w:r>
            <w:r>
              <w:rPr>
                <w:rFonts w:ascii="Arial" w:hAnsi="Arial" w:cs="Arial"/>
                <w:iCs/>
                <w:sz w:val="20"/>
              </w:rPr>
              <w:t>r individual quality of life. GSK</w:t>
            </w:r>
            <w:r w:rsidRPr="00F13F3C">
              <w:rPr>
                <w:rFonts w:ascii="Arial" w:hAnsi="Arial" w:cs="Arial"/>
                <w:iCs/>
                <w:sz w:val="20"/>
              </w:rPr>
              <w:t xml:space="preserve"> will now review the feedback from the PBAC and consider our position.</w:t>
            </w:r>
          </w:p>
          <w:p w14:paraId="756DD722" w14:textId="77777777" w:rsidR="00BB712B" w:rsidRPr="00E90974" w:rsidRDefault="00BB712B" w:rsidP="00BB712B">
            <w:pPr>
              <w:pStyle w:val="Default"/>
              <w:rPr>
                <w:rFonts w:ascii="Arial" w:hAnsi="Arial" w:cs="Arial"/>
                <w:color w:val="auto"/>
                <w:sz w:val="20"/>
                <w:szCs w:val="20"/>
              </w:rPr>
            </w:pPr>
          </w:p>
        </w:tc>
      </w:tr>
      <w:tr w:rsidR="00BB712B" w:rsidRPr="00871023" w14:paraId="5403AEF1" w14:textId="77777777" w:rsidTr="00BB712B">
        <w:trPr>
          <w:trHeight w:val="433"/>
        </w:trPr>
        <w:tc>
          <w:tcPr>
            <w:tcW w:w="735" w:type="pct"/>
            <w:vMerge w:val="restart"/>
          </w:tcPr>
          <w:p w14:paraId="31E7DA6A" w14:textId="77777777" w:rsidR="00BB712B" w:rsidRPr="00BB712B" w:rsidRDefault="00BB712B" w:rsidP="00BB712B">
            <w:pPr>
              <w:rPr>
                <w:rFonts w:ascii="Arial" w:hAnsi="Arial" w:cs="Arial"/>
                <w:color w:val="000000"/>
                <w:sz w:val="20"/>
              </w:rPr>
            </w:pPr>
            <w:r w:rsidRPr="00BB712B">
              <w:rPr>
                <w:rFonts w:ascii="Arial" w:hAnsi="Arial" w:cs="Arial"/>
                <w:color w:val="000000"/>
                <w:sz w:val="20"/>
              </w:rPr>
              <w:t>BROLUCIZUMAB</w:t>
            </w:r>
          </w:p>
          <w:p w14:paraId="26B2E788" w14:textId="77777777" w:rsidR="00BB712B" w:rsidRPr="00BB712B" w:rsidRDefault="00BB712B" w:rsidP="00BB712B">
            <w:pPr>
              <w:rPr>
                <w:rFonts w:ascii="Arial" w:hAnsi="Arial" w:cs="Arial"/>
                <w:color w:val="000000"/>
                <w:sz w:val="20"/>
              </w:rPr>
            </w:pPr>
          </w:p>
          <w:p w14:paraId="386909C6" w14:textId="77777777" w:rsidR="00BB712B" w:rsidRPr="00BB712B" w:rsidRDefault="00BB712B" w:rsidP="00BB712B">
            <w:pPr>
              <w:rPr>
                <w:rFonts w:ascii="Arial" w:hAnsi="Arial" w:cs="Arial"/>
                <w:color w:val="000000"/>
                <w:sz w:val="20"/>
              </w:rPr>
            </w:pPr>
            <w:r w:rsidRPr="00BB712B">
              <w:rPr>
                <w:rFonts w:ascii="Arial" w:hAnsi="Arial" w:cs="Arial"/>
                <w:color w:val="000000"/>
                <w:sz w:val="20"/>
              </w:rPr>
              <w:t xml:space="preserve">Solution for </w:t>
            </w:r>
            <w:proofErr w:type="spellStart"/>
            <w:r w:rsidRPr="00BB712B">
              <w:rPr>
                <w:rFonts w:ascii="Arial" w:hAnsi="Arial" w:cs="Arial"/>
                <w:color w:val="000000"/>
                <w:sz w:val="20"/>
              </w:rPr>
              <w:t>intravitreal</w:t>
            </w:r>
            <w:proofErr w:type="spellEnd"/>
            <w:r w:rsidRPr="00BB712B">
              <w:rPr>
                <w:rFonts w:ascii="Arial" w:hAnsi="Arial" w:cs="Arial"/>
                <w:color w:val="000000"/>
                <w:sz w:val="20"/>
              </w:rPr>
              <w:t xml:space="preserve"> injection 19.8 mg in 0.165 mL pre-filled syringe</w:t>
            </w:r>
          </w:p>
          <w:p w14:paraId="30A8C1B4" w14:textId="77777777" w:rsidR="00BB712B" w:rsidRPr="00BB712B" w:rsidRDefault="00BB712B" w:rsidP="00BB712B">
            <w:pPr>
              <w:rPr>
                <w:rFonts w:ascii="Arial" w:hAnsi="Arial" w:cs="Arial"/>
                <w:color w:val="000000"/>
                <w:sz w:val="20"/>
              </w:rPr>
            </w:pPr>
          </w:p>
          <w:p w14:paraId="551BE8E3" w14:textId="77777777" w:rsidR="00BB712B" w:rsidRPr="00BB712B" w:rsidRDefault="00BB712B" w:rsidP="00BB712B">
            <w:pPr>
              <w:rPr>
                <w:rFonts w:ascii="Arial" w:hAnsi="Arial" w:cs="Arial"/>
                <w:color w:val="000000"/>
                <w:sz w:val="20"/>
              </w:rPr>
            </w:pPr>
            <w:proofErr w:type="spellStart"/>
            <w:r w:rsidRPr="00BB712B">
              <w:rPr>
                <w:rFonts w:ascii="Arial" w:hAnsi="Arial" w:cs="Arial"/>
                <w:color w:val="000000"/>
                <w:sz w:val="20"/>
              </w:rPr>
              <w:t>Beovu</w:t>
            </w:r>
            <w:proofErr w:type="spellEnd"/>
            <w:r w:rsidRPr="00BB712B">
              <w:rPr>
                <w:rFonts w:ascii="Arial" w:hAnsi="Arial" w:cs="Arial"/>
                <w:color w:val="000000"/>
                <w:sz w:val="20"/>
              </w:rPr>
              <w:t>®</w:t>
            </w:r>
          </w:p>
          <w:p w14:paraId="2AC225C8" w14:textId="77777777" w:rsidR="00BB712B" w:rsidRPr="00BB712B" w:rsidRDefault="00BB712B" w:rsidP="00BB712B">
            <w:pPr>
              <w:rPr>
                <w:rFonts w:ascii="Arial" w:hAnsi="Arial" w:cs="Arial"/>
                <w:color w:val="000000"/>
                <w:sz w:val="20"/>
              </w:rPr>
            </w:pPr>
          </w:p>
          <w:p w14:paraId="753030E9" w14:textId="77777777" w:rsidR="00BB712B" w:rsidRPr="00BB712B" w:rsidRDefault="00BB712B" w:rsidP="00BB712B">
            <w:pPr>
              <w:rPr>
                <w:rFonts w:ascii="Arial" w:hAnsi="Arial" w:cs="Arial"/>
                <w:color w:val="000000"/>
                <w:sz w:val="20"/>
              </w:rPr>
            </w:pPr>
            <w:r w:rsidRPr="00BB712B">
              <w:rPr>
                <w:rFonts w:ascii="Arial" w:hAnsi="Arial" w:cs="Arial"/>
                <w:color w:val="000000"/>
                <w:sz w:val="20"/>
              </w:rPr>
              <w:t>Novartis Pharmaceuticals Australia Pty Ltd</w:t>
            </w:r>
          </w:p>
          <w:p w14:paraId="54D150E1" w14:textId="77777777" w:rsidR="00BB712B" w:rsidRPr="00BB712B" w:rsidRDefault="00BB712B" w:rsidP="00BB712B">
            <w:pPr>
              <w:rPr>
                <w:rFonts w:ascii="Arial" w:hAnsi="Arial" w:cs="Arial"/>
                <w:color w:val="000000"/>
                <w:sz w:val="20"/>
              </w:rPr>
            </w:pPr>
          </w:p>
          <w:p w14:paraId="10FBDC0E" w14:textId="7D18B9DA" w:rsidR="00BB712B" w:rsidRPr="00BB712B" w:rsidRDefault="00BB712B" w:rsidP="00BB712B">
            <w:pPr>
              <w:rPr>
                <w:rFonts w:ascii="Arial" w:hAnsi="Arial" w:cs="Arial"/>
                <w:sz w:val="20"/>
              </w:rPr>
            </w:pPr>
            <w:r w:rsidRPr="00BB712B">
              <w:rPr>
                <w:rFonts w:ascii="Arial" w:hAnsi="Arial" w:cs="Arial"/>
                <w:color w:val="000000"/>
                <w:sz w:val="20"/>
              </w:rPr>
              <w:t xml:space="preserve">New listing </w:t>
            </w:r>
            <w:r w:rsidRPr="00BB712B">
              <w:rPr>
                <w:rFonts w:ascii="Arial" w:hAnsi="Arial" w:cs="Arial"/>
                <w:color w:val="000000"/>
                <w:sz w:val="20"/>
              </w:rPr>
              <w:br/>
              <w:t xml:space="preserve">(Minor Submission) </w:t>
            </w:r>
          </w:p>
        </w:tc>
        <w:tc>
          <w:tcPr>
            <w:tcW w:w="676" w:type="pct"/>
            <w:vMerge w:val="restart"/>
          </w:tcPr>
          <w:p w14:paraId="389ED289" w14:textId="77777777" w:rsidR="00BB712B" w:rsidRPr="00BB712B" w:rsidRDefault="00BB712B" w:rsidP="00BB712B">
            <w:pPr>
              <w:autoSpaceDE w:val="0"/>
              <w:autoSpaceDN w:val="0"/>
              <w:adjustRightInd w:val="0"/>
              <w:rPr>
                <w:rFonts w:ascii="Arial" w:eastAsia="CIDFont+F3" w:hAnsi="Arial" w:cs="Arial"/>
                <w:sz w:val="20"/>
              </w:rPr>
            </w:pPr>
            <w:r w:rsidRPr="00BB712B">
              <w:rPr>
                <w:rFonts w:ascii="Arial" w:eastAsia="CIDFont+F3" w:hAnsi="Arial" w:cs="Arial"/>
                <w:sz w:val="20"/>
              </w:rPr>
              <w:t>Brolucizumab is</w:t>
            </w:r>
          </w:p>
          <w:p w14:paraId="3FFFB2CD" w14:textId="77777777" w:rsidR="00BB712B" w:rsidRPr="00BB712B" w:rsidRDefault="00BB712B" w:rsidP="00BB712B">
            <w:pPr>
              <w:autoSpaceDE w:val="0"/>
              <w:autoSpaceDN w:val="0"/>
              <w:adjustRightInd w:val="0"/>
              <w:rPr>
                <w:rFonts w:ascii="Arial" w:eastAsia="CIDFont+F3" w:hAnsi="Arial" w:cs="Arial"/>
                <w:sz w:val="20"/>
              </w:rPr>
            </w:pPr>
            <w:r w:rsidRPr="00BB712B">
              <w:rPr>
                <w:rFonts w:ascii="Arial" w:eastAsia="CIDFont+F3" w:hAnsi="Arial" w:cs="Arial"/>
                <w:sz w:val="20"/>
              </w:rPr>
              <w:t>indicated for the</w:t>
            </w:r>
          </w:p>
          <w:p w14:paraId="4F7B44EE" w14:textId="77777777" w:rsidR="00BB712B" w:rsidRPr="00BB712B" w:rsidRDefault="00BB712B" w:rsidP="00BB712B">
            <w:pPr>
              <w:autoSpaceDE w:val="0"/>
              <w:autoSpaceDN w:val="0"/>
              <w:adjustRightInd w:val="0"/>
              <w:rPr>
                <w:rFonts w:ascii="Arial" w:eastAsia="CIDFont+F3" w:hAnsi="Arial" w:cs="Arial"/>
                <w:sz w:val="20"/>
              </w:rPr>
            </w:pPr>
            <w:r w:rsidRPr="00BB712B">
              <w:rPr>
                <w:rFonts w:ascii="Arial" w:eastAsia="CIDFont+F3" w:hAnsi="Arial" w:cs="Arial"/>
                <w:sz w:val="20"/>
              </w:rPr>
              <w:t>treatment of</w:t>
            </w:r>
          </w:p>
          <w:p w14:paraId="47102BDD" w14:textId="77777777" w:rsidR="00BB712B" w:rsidRPr="00BB712B" w:rsidRDefault="00BB712B" w:rsidP="00BB712B">
            <w:pPr>
              <w:autoSpaceDE w:val="0"/>
              <w:autoSpaceDN w:val="0"/>
              <w:adjustRightInd w:val="0"/>
              <w:rPr>
                <w:rFonts w:ascii="Arial" w:eastAsia="CIDFont+F3" w:hAnsi="Arial" w:cs="Arial"/>
                <w:sz w:val="20"/>
              </w:rPr>
            </w:pPr>
            <w:proofErr w:type="spellStart"/>
            <w:r w:rsidRPr="00BB712B">
              <w:rPr>
                <w:rFonts w:ascii="Arial" w:eastAsia="CIDFont+F3" w:hAnsi="Arial" w:cs="Arial"/>
                <w:sz w:val="20"/>
              </w:rPr>
              <w:t>neovascular</w:t>
            </w:r>
            <w:proofErr w:type="spellEnd"/>
            <w:r w:rsidRPr="00BB712B">
              <w:rPr>
                <w:rFonts w:ascii="Arial" w:eastAsia="CIDFont+F3" w:hAnsi="Arial" w:cs="Arial"/>
                <w:sz w:val="20"/>
              </w:rPr>
              <w:t xml:space="preserve"> (wet)</w:t>
            </w:r>
          </w:p>
          <w:p w14:paraId="526F891D" w14:textId="77777777" w:rsidR="00BB712B" w:rsidRPr="00BB712B" w:rsidRDefault="00BB712B" w:rsidP="00BB712B">
            <w:pPr>
              <w:autoSpaceDE w:val="0"/>
              <w:autoSpaceDN w:val="0"/>
              <w:adjustRightInd w:val="0"/>
              <w:rPr>
                <w:rFonts w:ascii="Arial" w:eastAsia="CIDFont+F3" w:hAnsi="Arial" w:cs="Arial"/>
                <w:sz w:val="20"/>
              </w:rPr>
            </w:pPr>
            <w:r w:rsidRPr="00BB712B">
              <w:rPr>
                <w:rFonts w:ascii="Arial" w:eastAsia="CIDFont+F3" w:hAnsi="Arial" w:cs="Arial"/>
                <w:sz w:val="20"/>
              </w:rPr>
              <w:t>age-related macular</w:t>
            </w:r>
          </w:p>
          <w:p w14:paraId="2935B198" w14:textId="1BEBF07C" w:rsidR="00BB712B" w:rsidRPr="00BB712B" w:rsidRDefault="00BB712B" w:rsidP="00BB712B">
            <w:pPr>
              <w:rPr>
                <w:rFonts w:ascii="Arial" w:hAnsi="Arial" w:cs="Arial"/>
                <w:sz w:val="20"/>
              </w:rPr>
            </w:pPr>
            <w:proofErr w:type="gramStart"/>
            <w:r w:rsidRPr="00BB712B">
              <w:rPr>
                <w:rFonts w:ascii="Arial" w:eastAsia="CIDFont+F3" w:hAnsi="Arial" w:cs="Arial"/>
                <w:sz w:val="20"/>
              </w:rPr>
              <w:t>degeneration</w:t>
            </w:r>
            <w:proofErr w:type="gramEnd"/>
            <w:r w:rsidRPr="00BB712B">
              <w:rPr>
                <w:rFonts w:ascii="Arial" w:eastAsia="CIDFont+F3" w:hAnsi="Arial" w:cs="Arial"/>
                <w:sz w:val="20"/>
              </w:rPr>
              <w:t xml:space="preserve"> (AMD).</w:t>
            </w:r>
          </w:p>
        </w:tc>
        <w:tc>
          <w:tcPr>
            <w:tcW w:w="677" w:type="pct"/>
            <w:vMerge w:val="restart"/>
          </w:tcPr>
          <w:p w14:paraId="0BEAEA04" w14:textId="45757B72" w:rsidR="00BB712B" w:rsidRPr="00BB712B" w:rsidRDefault="00BB712B" w:rsidP="00BB712B">
            <w:pPr>
              <w:rPr>
                <w:rFonts w:ascii="Arial" w:hAnsi="Arial" w:cs="Arial"/>
                <w:sz w:val="20"/>
              </w:rPr>
            </w:pPr>
            <w:r w:rsidRPr="00BB712B">
              <w:rPr>
                <w:rFonts w:ascii="Arial" w:hAnsi="Arial" w:cs="Arial"/>
                <w:sz w:val="20"/>
              </w:rPr>
              <w:t xml:space="preserve">Brolucizumab is not currently PBS listed. </w:t>
            </w:r>
          </w:p>
        </w:tc>
        <w:tc>
          <w:tcPr>
            <w:tcW w:w="1145" w:type="pct"/>
          </w:tcPr>
          <w:p w14:paraId="470D994F" w14:textId="77777777" w:rsidR="00BB712B" w:rsidRPr="00BB712B" w:rsidRDefault="00BB712B" w:rsidP="00BB712B">
            <w:pPr>
              <w:pStyle w:val="ListBullet"/>
            </w:pPr>
            <w:r w:rsidRPr="00BB712B">
              <w:t xml:space="preserve">Resubmission to request the Authority Required PBS listing for the treatment of patients with </w:t>
            </w:r>
            <w:proofErr w:type="spellStart"/>
            <w:r w:rsidRPr="00BB712B">
              <w:t>subfoveal</w:t>
            </w:r>
            <w:proofErr w:type="spellEnd"/>
            <w:r w:rsidRPr="00BB712B">
              <w:t xml:space="preserve"> choroidal neovascularisation (CNV) due to AMD. </w:t>
            </w:r>
          </w:p>
          <w:p w14:paraId="4E204E1B" w14:textId="77777777" w:rsidR="00BB712B" w:rsidRPr="00BB712B" w:rsidRDefault="00BB712B" w:rsidP="00BB712B">
            <w:pPr>
              <w:snapToGrid w:val="0"/>
              <w:jc w:val="right"/>
              <w:rPr>
                <w:rFonts w:ascii="Arial" w:hAnsi="Arial" w:cs="Arial"/>
                <w:sz w:val="20"/>
              </w:rPr>
            </w:pPr>
          </w:p>
        </w:tc>
        <w:tc>
          <w:tcPr>
            <w:tcW w:w="1767" w:type="pct"/>
          </w:tcPr>
          <w:p w14:paraId="4861338E" w14:textId="6FBF3DD1" w:rsidR="00BB712B" w:rsidRPr="00BB712B" w:rsidRDefault="00BB712B" w:rsidP="00BB712B">
            <w:pPr>
              <w:rPr>
                <w:rFonts w:ascii="Arial" w:hAnsi="Arial" w:cs="Arial"/>
                <w:iCs/>
                <w:sz w:val="20"/>
                <w:highlight w:val="yellow"/>
              </w:rPr>
            </w:pPr>
            <w:r w:rsidRPr="00BB712B">
              <w:rPr>
                <w:rFonts w:ascii="Arial" w:hAnsi="Arial" w:cs="Arial"/>
                <w:bCs/>
                <w:sz w:val="20"/>
                <w:lang w:val="en-GB"/>
              </w:rPr>
              <w:t xml:space="preserve">The PBAC did not recommend brolucizumab for the treatment of patients with </w:t>
            </w:r>
            <w:proofErr w:type="spellStart"/>
            <w:r w:rsidRPr="00BB712B">
              <w:rPr>
                <w:rFonts w:ascii="Arial" w:hAnsi="Arial" w:cs="Arial"/>
                <w:sz w:val="20"/>
              </w:rPr>
              <w:t>subfoveal</w:t>
            </w:r>
            <w:proofErr w:type="spellEnd"/>
            <w:r w:rsidRPr="00BB712B">
              <w:rPr>
                <w:rFonts w:ascii="Arial" w:hAnsi="Arial" w:cs="Arial"/>
                <w:sz w:val="20"/>
              </w:rPr>
              <w:t xml:space="preserve"> CNV due to AMD. The PBAC considered brolucizumab is likely inferior to aflibercept in terms of comparative safety. The PBAC recalled it had previously considered brolucizumab was non-inferior in terms of comparative efficacy but did not accept that the evidence supported less frequent dosing.</w:t>
            </w:r>
          </w:p>
        </w:tc>
      </w:tr>
      <w:tr w:rsidR="00BB712B" w:rsidRPr="00871023" w14:paraId="26A9D932" w14:textId="77777777" w:rsidTr="00BB712B">
        <w:trPr>
          <w:trHeight w:val="433"/>
        </w:trPr>
        <w:tc>
          <w:tcPr>
            <w:tcW w:w="735" w:type="pct"/>
            <w:vMerge/>
          </w:tcPr>
          <w:p w14:paraId="5253C184" w14:textId="77777777" w:rsidR="00BB712B" w:rsidRPr="00BB712B" w:rsidRDefault="00BB712B" w:rsidP="00BB712B">
            <w:pPr>
              <w:rPr>
                <w:rFonts w:ascii="Arial" w:hAnsi="Arial" w:cs="Arial"/>
                <w:sz w:val="20"/>
              </w:rPr>
            </w:pPr>
          </w:p>
        </w:tc>
        <w:tc>
          <w:tcPr>
            <w:tcW w:w="676" w:type="pct"/>
            <w:vMerge/>
          </w:tcPr>
          <w:p w14:paraId="7233B700" w14:textId="77777777" w:rsidR="00BB712B" w:rsidRPr="00BB712B" w:rsidRDefault="00BB712B" w:rsidP="00BB712B">
            <w:pPr>
              <w:rPr>
                <w:rFonts w:ascii="Arial" w:hAnsi="Arial" w:cs="Arial"/>
                <w:sz w:val="20"/>
              </w:rPr>
            </w:pPr>
          </w:p>
        </w:tc>
        <w:tc>
          <w:tcPr>
            <w:tcW w:w="677" w:type="pct"/>
            <w:vMerge/>
          </w:tcPr>
          <w:p w14:paraId="450067DF" w14:textId="77777777" w:rsidR="00BB712B" w:rsidRPr="00BB712B" w:rsidRDefault="00BB712B" w:rsidP="00BB712B">
            <w:pPr>
              <w:rPr>
                <w:rFonts w:ascii="Arial" w:hAnsi="Arial" w:cs="Arial"/>
                <w:sz w:val="20"/>
              </w:rPr>
            </w:pPr>
          </w:p>
        </w:tc>
        <w:tc>
          <w:tcPr>
            <w:tcW w:w="1145" w:type="pct"/>
          </w:tcPr>
          <w:p w14:paraId="16B37E21" w14:textId="77777777" w:rsidR="00BB712B" w:rsidRPr="00BB712B" w:rsidRDefault="00BB712B" w:rsidP="00BB712B">
            <w:pPr>
              <w:autoSpaceDE w:val="0"/>
              <w:autoSpaceDN w:val="0"/>
              <w:adjustRightInd w:val="0"/>
              <w:rPr>
                <w:rFonts w:ascii="Arial" w:eastAsia="CIDFont+F3" w:hAnsi="Arial" w:cs="Arial"/>
                <w:sz w:val="20"/>
              </w:rPr>
            </w:pPr>
            <w:r w:rsidRPr="00BB712B">
              <w:rPr>
                <w:rFonts w:ascii="Arial" w:hAnsi="Arial" w:cs="Arial"/>
                <w:sz w:val="20"/>
              </w:rPr>
              <w:t xml:space="preserve">Comparator: </w:t>
            </w:r>
            <w:r w:rsidRPr="00BB712B">
              <w:rPr>
                <w:rFonts w:ascii="Arial" w:eastAsia="CIDFont+F3" w:hAnsi="Arial" w:cs="Arial"/>
                <w:sz w:val="20"/>
              </w:rPr>
              <w:t>Aflibercept (main),</w:t>
            </w:r>
          </w:p>
          <w:p w14:paraId="3B9DAD01" w14:textId="7EFA6D8F" w:rsidR="00BB712B" w:rsidRPr="00BB712B" w:rsidRDefault="00BB712B" w:rsidP="00BB712B">
            <w:pPr>
              <w:snapToGrid w:val="0"/>
              <w:rPr>
                <w:rFonts w:ascii="Arial" w:hAnsi="Arial" w:cs="Arial"/>
                <w:sz w:val="20"/>
              </w:rPr>
            </w:pPr>
            <w:r w:rsidRPr="00BB712B">
              <w:rPr>
                <w:rFonts w:ascii="Arial" w:eastAsia="CIDFont+F3" w:hAnsi="Arial" w:cs="Arial"/>
                <w:sz w:val="20"/>
              </w:rPr>
              <w:t>ranibizumab (secondary)</w:t>
            </w:r>
          </w:p>
        </w:tc>
        <w:tc>
          <w:tcPr>
            <w:tcW w:w="1767" w:type="pct"/>
          </w:tcPr>
          <w:p w14:paraId="2B02D4C8" w14:textId="684A0247" w:rsidR="00BB712B" w:rsidRPr="00BB712B" w:rsidRDefault="00BB712B" w:rsidP="00BB712B">
            <w:pPr>
              <w:rPr>
                <w:rFonts w:ascii="Arial" w:hAnsi="Arial" w:cs="Arial"/>
                <w:iCs/>
                <w:sz w:val="20"/>
                <w:highlight w:val="yellow"/>
              </w:rPr>
            </w:pPr>
            <w:r w:rsidRPr="00BB712B">
              <w:rPr>
                <w:rFonts w:ascii="Arial" w:hAnsi="Arial" w:cs="Arial"/>
                <w:sz w:val="20"/>
              </w:rPr>
              <w:t>The PBAC accepted that aflibercept and ranibizumab were appropriate comparators, consistent with the November 2019 PBAC meeting.</w:t>
            </w:r>
          </w:p>
        </w:tc>
      </w:tr>
      <w:tr w:rsidR="00BB712B" w:rsidRPr="00871023" w14:paraId="45DC3C3A" w14:textId="77777777" w:rsidTr="00BB712B">
        <w:trPr>
          <w:trHeight w:val="433"/>
        </w:trPr>
        <w:tc>
          <w:tcPr>
            <w:tcW w:w="735" w:type="pct"/>
            <w:vMerge/>
          </w:tcPr>
          <w:p w14:paraId="134EE869" w14:textId="77777777" w:rsidR="00BB712B" w:rsidRPr="00BB712B" w:rsidRDefault="00BB712B" w:rsidP="00BB712B">
            <w:pPr>
              <w:rPr>
                <w:rFonts w:ascii="Arial" w:hAnsi="Arial" w:cs="Arial"/>
                <w:sz w:val="20"/>
              </w:rPr>
            </w:pPr>
          </w:p>
        </w:tc>
        <w:tc>
          <w:tcPr>
            <w:tcW w:w="676" w:type="pct"/>
            <w:vMerge/>
          </w:tcPr>
          <w:p w14:paraId="5536AEA1" w14:textId="77777777" w:rsidR="00BB712B" w:rsidRPr="00BB712B" w:rsidRDefault="00BB712B" w:rsidP="00BB712B">
            <w:pPr>
              <w:rPr>
                <w:rFonts w:ascii="Arial" w:hAnsi="Arial" w:cs="Arial"/>
                <w:sz w:val="20"/>
              </w:rPr>
            </w:pPr>
          </w:p>
        </w:tc>
        <w:tc>
          <w:tcPr>
            <w:tcW w:w="677" w:type="pct"/>
            <w:vMerge/>
          </w:tcPr>
          <w:p w14:paraId="2DD62FF4" w14:textId="77777777" w:rsidR="00BB712B" w:rsidRPr="00BB712B" w:rsidRDefault="00BB712B" w:rsidP="00BB712B">
            <w:pPr>
              <w:rPr>
                <w:rFonts w:ascii="Arial" w:hAnsi="Arial" w:cs="Arial"/>
                <w:sz w:val="20"/>
              </w:rPr>
            </w:pPr>
          </w:p>
        </w:tc>
        <w:tc>
          <w:tcPr>
            <w:tcW w:w="1145" w:type="pct"/>
          </w:tcPr>
          <w:p w14:paraId="7A465D65" w14:textId="77777777" w:rsidR="00BB712B" w:rsidRPr="00BB712B" w:rsidRDefault="00BB712B" w:rsidP="00BB712B">
            <w:pPr>
              <w:autoSpaceDE w:val="0"/>
              <w:autoSpaceDN w:val="0"/>
              <w:adjustRightInd w:val="0"/>
              <w:rPr>
                <w:rFonts w:ascii="Arial" w:eastAsia="CIDFont+F3" w:hAnsi="Arial" w:cs="Arial"/>
                <w:sz w:val="20"/>
              </w:rPr>
            </w:pPr>
            <w:r w:rsidRPr="00BB712B">
              <w:rPr>
                <w:rFonts w:ascii="Arial" w:hAnsi="Arial" w:cs="Arial"/>
                <w:sz w:val="20"/>
              </w:rPr>
              <w:t xml:space="preserve">Clinical claim: </w:t>
            </w:r>
            <w:r w:rsidRPr="00BB712B">
              <w:rPr>
                <w:rFonts w:ascii="Arial" w:eastAsia="CIDFont+F3" w:hAnsi="Arial" w:cs="Arial"/>
                <w:sz w:val="20"/>
              </w:rPr>
              <w:t>Non-inferior</w:t>
            </w:r>
          </w:p>
          <w:p w14:paraId="7879D257" w14:textId="77777777" w:rsidR="00BB712B" w:rsidRPr="00BB712B" w:rsidRDefault="00BB712B" w:rsidP="00BB712B">
            <w:pPr>
              <w:autoSpaceDE w:val="0"/>
              <w:autoSpaceDN w:val="0"/>
              <w:adjustRightInd w:val="0"/>
              <w:rPr>
                <w:rFonts w:ascii="Arial" w:eastAsia="CIDFont+F3" w:hAnsi="Arial" w:cs="Arial"/>
                <w:sz w:val="20"/>
              </w:rPr>
            </w:pPr>
            <w:r w:rsidRPr="00BB712B">
              <w:rPr>
                <w:rFonts w:ascii="Arial" w:eastAsia="CIDFont+F3" w:hAnsi="Arial" w:cs="Arial"/>
                <w:sz w:val="20"/>
              </w:rPr>
              <w:t>effectiveness and safety compared with aflibercept</w:t>
            </w:r>
          </w:p>
          <w:p w14:paraId="74874E1C" w14:textId="77777777" w:rsidR="00BB712B" w:rsidRPr="00BB712B" w:rsidRDefault="00BB712B" w:rsidP="00BB712B">
            <w:pPr>
              <w:pStyle w:val="ListBullet"/>
            </w:pPr>
          </w:p>
          <w:p w14:paraId="0CFA78D6" w14:textId="77777777" w:rsidR="00BB712B" w:rsidRPr="00BB712B" w:rsidRDefault="00BB712B" w:rsidP="00BB712B">
            <w:pPr>
              <w:snapToGrid w:val="0"/>
              <w:rPr>
                <w:rFonts w:ascii="Arial" w:hAnsi="Arial" w:cs="Arial"/>
                <w:sz w:val="20"/>
              </w:rPr>
            </w:pPr>
          </w:p>
        </w:tc>
        <w:tc>
          <w:tcPr>
            <w:tcW w:w="1767" w:type="pct"/>
          </w:tcPr>
          <w:p w14:paraId="7FFA715F" w14:textId="05CC87C7" w:rsidR="00BB712B" w:rsidRPr="00BB712B" w:rsidRDefault="00BB712B" w:rsidP="00BB712B">
            <w:pPr>
              <w:rPr>
                <w:rFonts w:ascii="Arial" w:hAnsi="Arial" w:cs="Arial"/>
                <w:iCs/>
                <w:sz w:val="20"/>
                <w:highlight w:val="yellow"/>
              </w:rPr>
            </w:pPr>
            <w:r w:rsidRPr="00BB712B">
              <w:rPr>
                <w:rFonts w:ascii="Arial" w:hAnsi="Arial" w:cs="Arial"/>
                <w:sz w:val="20"/>
              </w:rPr>
              <w:t>The PBAC considered that the claim of non-inferior effectiveness compared with aflibercept was reasonable, consistent with the November 2019 PBAC meeting, but did not accept that the evidence supported less frequent dosing. The PBAC considered brolucizumab is likely inferior to aflibercept in terms of comparative safety, b</w:t>
            </w:r>
            <w:r w:rsidRPr="00BB712B">
              <w:rPr>
                <w:rFonts w:ascii="Arial" w:eastAsiaTheme="minorHAnsi" w:hAnsi="Arial" w:cs="Arial"/>
                <w:sz w:val="20"/>
              </w:rPr>
              <w:t xml:space="preserve">ased </w:t>
            </w:r>
            <w:r w:rsidRPr="00BB712B">
              <w:rPr>
                <w:rFonts w:ascii="Arial" w:eastAsiaTheme="minorHAnsi" w:hAnsi="Arial" w:cs="Arial"/>
                <w:sz w:val="20"/>
              </w:rPr>
              <w:lastRenderedPageBreak/>
              <w:t>on the clinical trial evidence of a significant difference in serious adverse events between brolucizumab and aflibercept, and changes made to the approved Product Information to reflect an emerging safety signal of retinal vasculitis and/or retinal vascular occlusion.</w:t>
            </w:r>
          </w:p>
        </w:tc>
      </w:tr>
      <w:tr w:rsidR="00BB712B" w:rsidRPr="00871023" w14:paraId="4AE52B7E" w14:textId="77777777" w:rsidTr="00BB712B">
        <w:trPr>
          <w:trHeight w:val="433"/>
        </w:trPr>
        <w:tc>
          <w:tcPr>
            <w:tcW w:w="735" w:type="pct"/>
            <w:vMerge/>
          </w:tcPr>
          <w:p w14:paraId="5CFBBFD7" w14:textId="77777777" w:rsidR="00BB712B" w:rsidRPr="00BB712B" w:rsidRDefault="00BB712B" w:rsidP="00BB712B">
            <w:pPr>
              <w:rPr>
                <w:rFonts w:ascii="Arial" w:hAnsi="Arial" w:cs="Arial"/>
                <w:sz w:val="20"/>
              </w:rPr>
            </w:pPr>
          </w:p>
        </w:tc>
        <w:tc>
          <w:tcPr>
            <w:tcW w:w="676" w:type="pct"/>
            <w:vMerge/>
          </w:tcPr>
          <w:p w14:paraId="40FB8B20" w14:textId="77777777" w:rsidR="00BB712B" w:rsidRPr="00BB712B" w:rsidRDefault="00BB712B" w:rsidP="00BB712B">
            <w:pPr>
              <w:rPr>
                <w:rFonts w:ascii="Arial" w:hAnsi="Arial" w:cs="Arial"/>
                <w:sz w:val="20"/>
              </w:rPr>
            </w:pPr>
          </w:p>
        </w:tc>
        <w:tc>
          <w:tcPr>
            <w:tcW w:w="677" w:type="pct"/>
            <w:vMerge/>
          </w:tcPr>
          <w:p w14:paraId="0D15134F" w14:textId="77777777" w:rsidR="00BB712B" w:rsidRPr="00BB712B" w:rsidRDefault="00BB712B" w:rsidP="00BB712B">
            <w:pPr>
              <w:rPr>
                <w:rFonts w:ascii="Arial" w:hAnsi="Arial" w:cs="Arial"/>
                <w:sz w:val="20"/>
              </w:rPr>
            </w:pPr>
          </w:p>
        </w:tc>
        <w:tc>
          <w:tcPr>
            <w:tcW w:w="1145" w:type="pct"/>
          </w:tcPr>
          <w:p w14:paraId="12819DA9" w14:textId="77777777" w:rsidR="00BB712B" w:rsidRPr="00BB712B" w:rsidRDefault="00BB712B" w:rsidP="00BB712B">
            <w:pPr>
              <w:autoSpaceDE w:val="0"/>
              <w:autoSpaceDN w:val="0"/>
              <w:adjustRightInd w:val="0"/>
              <w:rPr>
                <w:rFonts w:ascii="Arial" w:eastAsia="CIDFont+F3" w:hAnsi="Arial" w:cs="Arial"/>
                <w:sz w:val="20"/>
              </w:rPr>
            </w:pPr>
            <w:r w:rsidRPr="00BB712B">
              <w:rPr>
                <w:rFonts w:ascii="Arial" w:hAnsi="Arial" w:cs="Arial"/>
                <w:sz w:val="20"/>
              </w:rPr>
              <w:t xml:space="preserve">Economic claim: </w:t>
            </w:r>
            <w:r w:rsidRPr="00BB712B">
              <w:rPr>
                <w:rFonts w:ascii="Arial" w:eastAsia="CIDFont+F3" w:hAnsi="Arial" w:cs="Arial"/>
                <w:sz w:val="20"/>
              </w:rPr>
              <w:t>Cost-minimisation</w:t>
            </w:r>
          </w:p>
          <w:p w14:paraId="7C927884" w14:textId="118A10FF" w:rsidR="00BB712B" w:rsidRPr="00BB712B" w:rsidRDefault="00BB712B" w:rsidP="00BB712B">
            <w:pPr>
              <w:snapToGrid w:val="0"/>
              <w:rPr>
                <w:rFonts w:ascii="Arial" w:hAnsi="Arial" w:cs="Arial"/>
                <w:sz w:val="20"/>
              </w:rPr>
            </w:pPr>
            <w:r w:rsidRPr="00BB712B">
              <w:rPr>
                <w:rFonts w:ascii="Arial" w:eastAsia="CIDFont+F3" w:hAnsi="Arial" w:cs="Arial"/>
                <w:sz w:val="20"/>
              </w:rPr>
              <w:t>versus ranibizumab</w:t>
            </w:r>
          </w:p>
        </w:tc>
        <w:tc>
          <w:tcPr>
            <w:tcW w:w="1767" w:type="pct"/>
          </w:tcPr>
          <w:p w14:paraId="1A265059" w14:textId="78BACDBE" w:rsidR="00BB712B" w:rsidRPr="00BB712B" w:rsidRDefault="00BB712B" w:rsidP="00BB712B">
            <w:pPr>
              <w:rPr>
                <w:rFonts w:ascii="Arial" w:hAnsi="Arial" w:cs="Arial"/>
                <w:iCs/>
                <w:sz w:val="20"/>
                <w:highlight w:val="yellow"/>
              </w:rPr>
            </w:pPr>
            <w:r w:rsidRPr="00BB712B">
              <w:rPr>
                <w:rFonts w:ascii="Arial" w:hAnsi="Arial" w:cs="Arial"/>
                <w:sz w:val="20"/>
              </w:rPr>
              <w:t xml:space="preserve">The PBAC considered the cost-minimisation analysis was not adequately </w:t>
            </w:r>
            <w:proofErr w:type="gramStart"/>
            <w:r w:rsidRPr="00BB712B">
              <w:rPr>
                <w:rFonts w:ascii="Arial" w:hAnsi="Arial" w:cs="Arial"/>
                <w:sz w:val="20"/>
              </w:rPr>
              <w:t>supported</w:t>
            </w:r>
            <w:proofErr w:type="gramEnd"/>
            <w:r w:rsidRPr="00BB712B">
              <w:rPr>
                <w:rFonts w:ascii="Arial" w:hAnsi="Arial" w:cs="Arial"/>
                <w:sz w:val="20"/>
              </w:rPr>
              <w:t xml:space="preserve"> as the claim of non-inferior safety of brolucizumab was uncertain.</w:t>
            </w:r>
          </w:p>
        </w:tc>
      </w:tr>
      <w:tr w:rsidR="00BB712B" w:rsidRPr="00871023" w14:paraId="09F1235D" w14:textId="77777777" w:rsidTr="00BB712B">
        <w:trPr>
          <w:trHeight w:val="433"/>
        </w:trPr>
        <w:tc>
          <w:tcPr>
            <w:tcW w:w="735" w:type="pct"/>
            <w:vMerge/>
          </w:tcPr>
          <w:p w14:paraId="3F3C2D17" w14:textId="77777777" w:rsidR="00BB712B" w:rsidRPr="00BB712B" w:rsidRDefault="00BB712B" w:rsidP="00BB712B">
            <w:pPr>
              <w:rPr>
                <w:rFonts w:ascii="Arial" w:hAnsi="Arial" w:cs="Arial"/>
                <w:sz w:val="20"/>
              </w:rPr>
            </w:pPr>
          </w:p>
        </w:tc>
        <w:tc>
          <w:tcPr>
            <w:tcW w:w="676" w:type="pct"/>
            <w:vMerge/>
          </w:tcPr>
          <w:p w14:paraId="029A9E4E" w14:textId="77777777" w:rsidR="00BB712B" w:rsidRPr="00BB712B" w:rsidRDefault="00BB712B" w:rsidP="00BB712B">
            <w:pPr>
              <w:rPr>
                <w:rFonts w:ascii="Arial" w:hAnsi="Arial" w:cs="Arial"/>
                <w:sz w:val="20"/>
              </w:rPr>
            </w:pPr>
          </w:p>
        </w:tc>
        <w:tc>
          <w:tcPr>
            <w:tcW w:w="677" w:type="pct"/>
            <w:vMerge/>
          </w:tcPr>
          <w:p w14:paraId="00B7CCBD" w14:textId="77777777" w:rsidR="00BB712B" w:rsidRPr="00BB712B" w:rsidRDefault="00BB712B" w:rsidP="00BB712B">
            <w:pPr>
              <w:rPr>
                <w:rFonts w:ascii="Arial" w:hAnsi="Arial" w:cs="Arial"/>
                <w:sz w:val="20"/>
              </w:rPr>
            </w:pPr>
          </w:p>
        </w:tc>
        <w:tc>
          <w:tcPr>
            <w:tcW w:w="1145" w:type="pct"/>
          </w:tcPr>
          <w:p w14:paraId="3173DA53" w14:textId="77777777" w:rsidR="00BB712B" w:rsidRPr="00BB712B" w:rsidRDefault="00BB712B" w:rsidP="00BB712B">
            <w:pPr>
              <w:snapToGrid w:val="0"/>
              <w:jc w:val="right"/>
              <w:rPr>
                <w:rFonts w:ascii="Arial" w:hAnsi="Arial" w:cs="Arial"/>
                <w:sz w:val="20"/>
              </w:rPr>
            </w:pPr>
            <w:r w:rsidRPr="00BB712B">
              <w:rPr>
                <w:rFonts w:ascii="Arial" w:hAnsi="Arial" w:cs="Arial"/>
                <w:sz w:val="20"/>
              </w:rPr>
              <w:t>Sponsor’s comment:</w:t>
            </w:r>
          </w:p>
          <w:p w14:paraId="448B75FF" w14:textId="77777777" w:rsidR="00BB712B" w:rsidRPr="00BB712B" w:rsidRDefault="00BB712B" w:rsidP="00BB712B">
            <w:pPr>
              <w:pStyle w:val="ListBullet"/>
            </w:pPr>
          </w:p>
          <w:p w14:paraId="26361D32" w14:textId="77777777" w:rsidR="00BB712B" w:rsidRPr="00BB712B" w:rsidRDefault="00BB712B" w:rsidP="00BB712B">
            <w:pPr>
              <w:snapToGrid w:val="0"/>
              <w:jc w:val="right"/>
              <w:rPr>
                <w:rFonts w:ascii="Arial" w:hAnsi="Arial" w:cs="Arial"/>
                <w:sz w:val="20"/>
              </w:rPr>
            </w:pPr>
          </w:p>
        </w:tc>
        <w:tc>
          <w:tcPr>
            <w:tcW w:w="1767" w:type="pct"/>
          </w:tcPr>
          <w:p w14:paraId="38460757" w14:textId="337FC3FB" w:rsidR="00BB712B" w:rsidRPr="00CD0E5A" w:rsidRDefault="00CD0E5A" w:rsidP="00CD0E5A">
            <w:pPr>
              <w:rPr>
                <w:color w:val="1F497D"/>
                <w:sz w:val="20"/>
                <w:lang w:val="en-US"/>
              </w:rPr>
            </w:pPr>
            <w:r w:rsidRPr="00CD0E5A">
              <w:rPr>
                <w:rFonts w:ascii="Arial" w:hAnsi="Arial" w:cs="Arial"/>
                <w:color w:val="000000"/>
                <w:sz w:val="20"/>
              </w:rPr>
              <w:t xml:space="preserve">Novartis disagrees with </w:t>
            </w:r>
            <w:r>
              <w:rPr>
                <w:rFonts w:ascii="Arial" w:hAnsi="Arial" w:cs="Arial"/>
                <w:color w:val="000000"/>
                <w:sz w:val="20"/>
              </w:rPr>
              <w:t>the decision of the PBAC</w:t>
            </w:r>
            <w:r w:rsidRPr="00CD0E5A">
              <w:rPr>
                <w:rFonts w:ascii="Arial" w:hAnsi="Arial" w:cs="Arial"/>
                <w:color w:val="000000"/>
                <w:sz w:val="20"/>
              </w:rPr>
              <w:t xml:space="preserve"> not to recommend the listing of </w:t>
            </w:r>
            <w:proofErr w:type="spellStart"/>
            <w:r w:rsidRPr="00CD0E5A">
              <w:rPr>
                <w:rFonts w:ascii="Arial" w:hAnsi="Arial" w:cs="Arial"/>
                <w:color w:val="000000"/>
                <w:sz w:val="20"/>
              </w:rPr>
              <w:t>Beovu</w:t>
            </w:r>
            <w:proofErr w:type="spellEnd"/>
            <w:r>
              <w:rPr>
                <w:rFonts w:ascii="Arial" w:hAnsi="Arial" w:cs="Arial"/>
                <w:color w:val="000000"/>
                <w:sz w:val="20"/>
              </w:rPr>
              <w:t>® on the PBS</w:t>
            </w:r>
            <w:r w:rsidRPr="00CD0E5A">
              <w:rPr>
                <w:rFonts w:ascii="Arial" w:hAnsi="Arial" w:cs="Arial"/>
                <w:color w:val="000000"/>
                <w:sz w:val="20"/>
              </w:rPr>
              <w:t xml:space="preserve"> for the treatment of wet </w:t>
            </w:r>
            <w:r>
              <w:rPr>
                <w:rFonts w:ascii="Arial" w:hAnsi="Arial" w:cs="Arial"/>
                <w:color w:val="000000"/>
                <w:sz w:val="20"/>
              </w:rPr>
              <w:t xml:space="preserve">AMD. </w:t>
            </w:r>
            <w:proofErr w:type="spellStart"/>
            <w:r w:rsidRPr="00CD0E5A">
              <w:rPr>
                <w:rFonts w:ascii="Arial" w:hAnsi="Arial" w:cs="Arial"/>
                <w:color w:val="000000"/>
                <w:sz w:val="20"/>
              </w:rPr>
              <w:t>Beovu</w:t>
            </w:r>
            <w:proofErr w:type="spellEnd"/>
            <w:r>
              <w:rPr>
                <w:rFonts w:ascii="Arial" w:hAnsi="Arial" w:cs="Arial"/>
                <w:color w:val="000000"/>
                <w:sz w:val="20"/>
              </w:rPr>
              <w:t>®</w:t>
            </w:r>
            <w:r w:rsidRPr="00CD0E5A">
              <w:rPr>
                <w:rFonts w:ascii="Arial" w:hAnsi="Arial" w:cs="Arial"/>
                <w:color w:val="000000"/>
                <w:sz w:val="20"/>
              </w:rPr>
              <w:t xml:space="preserve"> has now been approved in more than 30 countries, including all major </w:t>
            </w:r>
            <w:proofErr w:type="gramStart"/>
            <w:r w:rsidRPr="00CD0E5A">
              <w:rPr>
                <w:rFonts w:ascii="Arial" w:hAnsi="Arial" w:cs="Arial"/>
                <w:color w:val="000000"/>
                <w:sz w:val="20"/>
              </w:rPr>
              <w:t>markets,</w:t>
            </w:r>
            <w:proofErr w:type="gramEnd"/>
            <w:r w:rsidRPr="00CD0E5A">
              <w:rPr>
                <w:rFonts w:ascii="Arial" w:hAnsi="Arial" w:cs="Arial"/>
                <w:color w:val="000000"/>
                <w:sz w:val="20"/>
              </w:rPr>
              <w:t xml:space="preserve"> and Novartis and Australian clinicians believe that </w:t>
            </w:r>
            <w:proofErr w:type="spellStart"/>
            <w:r w:rsidRPr="00CD0E5A">
              <w:rPr>
                <w:rFonts w:ascii="Arial" w:hAnsi="Arial" w:cs="Arial"/>
                <w:color w:val="000000"/>
                <w:sz w:val="20"/>
              </w:rPr>
              <w:t>Beovu</w:t>
            </w:r>
            <w:proofErr w:type="spellEnd"/>
            <w:r>
              <w:rPr>
                <w:rFonts w:ascii="Arial" w:hAnsi="Arial" w:cs="Arial"/>
                <w:color w:val="000000"/>
                <w:sz w:val="20"/>
              </w:rPr>
              <w:t>®</w:t>
            </w:r>
            <w:r w:rsidRPr="00CD0E5A">
              <w:rPr>
                <w:rFonts w:ascii="Arial" w:hAnsi="Arial" w:cs="Arial"/>
                <w:color w:val="000000"/>
                <w:sz w:val="20"/>
              </w:rPr>
              <w:t xml:space="preserve"> represents an important treatment option for patients with wet </w:t>
            </w:r>
            <w:r>
              <w:rPr>
                <w:rFonts w:ascii="Arial" w:hAnsi="Arial" w:cs="Arial"/>
                <w:color w:val="000000"/>
                <w:sz w:val="20"/>
              </w:rPr>
              <w:t>AMD</w:t>
            </w:r>
            <w:r w:rsidRPr="00CD0E5A">
              <w:rPr>
                <w:rFonts w:ascii="Arial" w:hAnsi="Arial" w:cs="Arial"/>
                <w:color w:val="000000"/>
                <w:sz w:val="20"/>
              </w:rPr>
              <w:t>, with an overall favo</w:t>
            </w:r>
            <w:r>
              <w:rPr>
                <w:rFonts w:ascii="Arial" w:hAnsi="Arial" w:cs="Arial"/>
                <w:color w:val="000000"/>
                <w:sz w:val="20"/>
              </w:rPr>
              <w:t>u</w:t>
            </w:r>
            <w:r w:rsidRPr="00CD0E5A">
              <w:rPr>
                <w:rFonts w:ascii="Arial" w:hAnsi="Arial" w:cs="Arial"/>
                <w:color w:val="000000"/>
                <w:sz w:val="20"/>
              </w:rPr>
              <w:t>rable benefit-risk profile</w:t>
            </w:r>
            <w:r>
              <w:rPr>
                <w:rFonts w:ascii="Arial" w:hAnsi="Arial" w:cs="Arial"/>
                <w:color w:val="000000"/>
                <w:sz w:val="20"/>
                <w:lang w:val="en-US"/>
              </w:rPr>
              <w:t xml:space="preserve">. </w:t>
            </w:r>
            <w:r w:rsidRPr="00CD0E5A">
              <w:rPr>
                <w:rFonts w:ascii="Arial" w:hAnsi="Arial" w:cs="Arial"/>
                <w:color w:val="000000"/>
                <w:sz w:val="20"/>
              </w:rPr>
              <w:t xml:space="preserve">Novartis will continue to work collaboratively with the PBAC, the Department of Health and the Federal Government to help ensure that Australians with wet AMD receive access to </w:t>
            </w:r>
            <w:proofErr w:type="spellStart"/>
            <w:r w:rsidRPr="00CD0E5A">
              <w:rPr>
                <w:rFonts w:ascii="Arial" w:hAnsi="Arial" w:cs="Arial"/>
                <w:color w:val="000000"/>
                <w:sz w:val="20"/>
              </w:rPr>
              <w:t>Beovu</w:t>
            </w:r>
            <w:proofErr w:type="spellEnd"/>
            <w:r>
              <w:rPr>
                <w:rFonts w:ascii="Arial" w:hAnsi="Arial" w:cs="Arial"/>
                <w:color w:val="000000"/>
                <w:sz w:val="20"/>
              </w:rPr>
              <w:t>® through the PBS</w:t>
            </w:r>
            <w:r w:rsidRPr="00CD0E5A">
              <w:rPr>
                <w:rFonts w:ascii="Arial" w:hAnsi="Arial" w:cs="Arial"/>
                <w:color w:val="000000"/>
                <w:sz w:val="20"/>
              </w:rPr>
              <w:t xml:space="preserve"> at the earliest opportunity</w:t>
            </w:r>
            <w:r>
              <w:rPr>
                <w:rFonts w:ascii="Arial" w:hAnsi="Arial" w:cs="Arial"/>
                <w:color w:val="000000"/>
                <w:sz w:val="20"/>
              </w:rPr>
              <w:t>.</w:t>
            </w:r>
          </w:p>
          <w:p w14:paraId="050AC9EC" w14:textId="77777777" w:rsidR="00BB712B" w:rsidRPr="00BB712B" w:rsidRDefault="00BB712B" w:rsidP="00BB712B">
            <w:pPr>
              <w:rPr>
                <w:rFonts w:ascii="Arial" w:hAnsi="Arial" w:cs="Arial"/>
                <w:iCs/>
                <w:sz w:val="20"/>
                <w:highlight w:val="yellow"/>
              </w:rPr>
            </w:pPr>
          </w:p>
        </w:tc>
      </w:tr>
      <w:tr w:rsidR="0011587E" w:rsidRPr="00871023" w14:paraId="5E3BC6A6" w14:textId="77777777" w:rsidTr="00BB712B">
        <w:trPr>
          <w:trHeight w:val="433"/>
        </w:trPr>
        <w:tc>
          <w:tcPr>
            <w:tcW w:w="735" w:type="pct"/>
            <w:vMerge w:val="restart"/>
          </w:tcPr>
          <w:p w14:paraId="6D0ABB07" w14:textId="77777777" w:rsidR="0011587E" w:rsidRDefault="0011587E" w:rsidP="0011587E">
            <w:pPr>
              <w:rPr>
                <w:rFonts w:ascii="Arial" w:hAnsi="Arial" w:cs="Arial"/>
                <w:color w:val="000000"/>
                <w:sz w:val="20"/>
              </w:rPr>
            </w:pPr>
            <w:r>
              <w:rPr>
                <w:rFonts w:ascii="Arial" w:hAnsi="Arial" w:cs="Arial"/>
                <w:color w:val="000000"/>
                <w:sz w:val="20"/>
              </w:rPr>
              <w:t>OCRELIZUMAB</w:t>
            </w:r>
            <w:r>
              <w:rPr>
                <w:rFonts w:ascii="Arial" w:hAnsi="Arial" w:cs="Arial"/>
                <w:color w:val="000000"/>
                <w:sz w:val="20"/>
              </w:rPr>
              <w:br/>
            </w:r>
            <w:r>
              <w:rPr>
                <w:rFonts w:ascii="Arial" w:hAnsi="Arial" w:cs="Arial"/>
                <w:color w:val="000000"/>
                <w:sz w:val="20"/>
              </w:rPr>
              <w:br/>
              <w:t>Solution concentrate for I.V. infusion 300 mg in 10 mL</w:t>
            </w:r>
            <w:r>
              <w:rPr>
                <w:rFonts w:ascii="Arial" w:hAnsi="Arial" w:cs="Arial"/>
                <w:color w:val="000000"/>
                <w:sz w:val="20"/>
              </w:rPr>
              <w:br/>
            </w:r>
            <w:r>
              <w:rPr>
                <w:rFonts w:ascii="Arial" w:hAnsi="Arial" w:cs="Arial"/>
                <w:color w:val="000000"/>
                <w:sz w:val="20"/>
              </w:rPr>
              <w:br/>
            </w:r>
            <w:proofErr w:type="spellStart"/>
            <w:r>
              <w:rPr>
                <w:rFonts w:ascii="Arial" w:hAnsi="Arial" w:cs="Arial"/>
                <w:color w:val="000000"/>
                <w:sz w:val="20"/>
              </w:rPr>
              <w:t>Ocrevus</w:t>
            </w:r>
            <w:proofErr w:type="spellEnd"/>
            <w:r>
              <w:rPr>
                <w:rFonts w:ascii="Arial" w:hAnsi="Arial" w:cs="Arial"/>
                <w:color w:val="000000"/>
                <w:sz w:val="20"/>
              </w:rPr>
              <w:t>®</w:t>
            </w:r>
            <w:r>
              <w:rPr>
                <w:rFonts w:ascii="Arial" w:hAnsi="Arial" w:cs="Arial"/>
                <w:color w:val="000000"/>
                <w:sz w:val="20"/>
              </w:rPr>
              <w:br/>
            </w:r>
            <w:r>
              <w:rPr>
                <w:rFonts w:ascii="Arial" w:hAnsi="Arial" w:cs="Arial"/>
                <w:color w:val="000000"/>
                <w:sz w:val="20"/>
              </w:rPr>
              <w:br/>
              <w:t>Roche Products Pty Ltd</w:t>
            </w:r>
          </w:p>
          <w:p w14:paraId="4FB5FA79" w14:textId="77777777" w:rsidR="0011587E" w:rsidRDefault="0011587E" w:rsidP="0011587E">
            <w:pPr>
              <w:rPr>
                <w:rFonts w:ascii="Arial" w:hAnsi="Arial" w:cs="Arial"/>
                <w:color w:val="000000"/>
                <w:sz w:val="20"/>
              </w:rPr>
            </w:pPr>
          </w:p>
          <w:p w14:paraId="1356C269" w14:textId="77777777" w:rsidR="0011587E" w:rsidRDefault="0011587E" w:rsidP="0011587E">
            <w:pPr>
              <w:rPr>
                <w:rFonts w:ascii="Arial" w:hAnsi="Arial" w:cs="Arial"/>
                <w:color w:val="000000"/>
                <w:sz w:val="20"/>
              </w:rPr>
            </w:pPr>
            <w:r>
              <w:rPr>
                <w:rFonts w:ascii="Arial" w:hAnsi="Arial" w:cs="Arial"/>
                <w:color w:val="000000"/>
                <w:sz w:val="20"/>
              </w:rPr>
              <w:t xml:space="preserve">New listing </w:t>
            </w:r>
          </w:p>
          <w:p w14:paraId="5DF822C5" w14:textId="026CF071" w:rsidR="0011587E" w:rsidRPr="00BB712B" w:rsidRDefault="0011587E" w:rsidP="0011587E">
            <w:pPr>
              <w:rPr>
                <w:rFonts w:ascii="Arial" w:hAnsi="Arial" w:cs="Arial"/>
                <w:sz w:val="20"/>
              </w:rPr>
            </w:pPr>
            <w:r>
              <w:rPr>
                <w:rFonts w:ascii="Arial" w:hAnsi="Arial" w:cs="Arial"/>
                <w:color w:val="000000"/>
                <w:sz w:val="20"/>
              </w:rPr>
              <w:lastRenderedPageBreak/>
              <w:t xml:space="preserve">(Major Submission) </w:t>
            </w:r>
            <w:r>
              <w:rPr>
                <w:rFonts w:ascii="Arial" w:hAnsi="Arial" w:cs="Arial"/>
                <w:color w:val="000000"/>
                <w:sz w:val="20"/>
              </w:rPr>
              <w:br/>
            </w:r>
          </w:p>
        </w:tc>
        <w:tc>
          <w:tcPr>
            <w:tcW w:w="676" w:type="pct"/>
            <w:vMerge w:val="restart"/>
          </w:tcPr>
          <w:p w14:paraId="135ACD1D" w14:textId="2850DEAB" w:rsidR="0011587E" w:rsidRPr="00BB712B" w:rsidRDefault="0011587E" w:rsidP="0011587E">
            <w:pPr>
              <w:rPr>
                <w:rFonts w:ascii="Arial" w:hAnsi="Arial" w:cs="Arial"/>
                <w:sz w:val="20"/>
              </w:rPr>
            </w:pPr>
            <w:proofErr w:type="spellStart"/>
            <w:r w:rsidRPr="002C62BF">
              <w:rPr>
                <w:rFonts w:ascii="Arial" w:hAnsi="Arial"/>
                <w:sz w:val="20"/>
              </w:rPr>
              <w:lastRenderedPageBreak/>
              <w:t>Ocrelizumab</w:t>
            </w:r>
            <w:proofErr w:type="spellEnd"/>
            <w:r w:rsidRPr="002C62BF">
              <w:rPr>
                <w:rFonts w:ascii="Arial" w:hAnsi="Arial"/>
                <w:sz w:val="20"/>
              </w:rPr>
              <w:t xml:space="preserve"> is indicated for the treatment of patients with primary progressive multiple sclerosis (PPMS) to delay the progression of physical disability.</w:t>
            </w:r>
            <w:r>
              <w:rPr>
                <w:rFonts w:ascii="Arial" w:hAnsi="Arial"/>
                <w:sz w:val="20"/>
              </w:rPr>
              <w:br/>
            </w:r>
            <w:r>
              <w:rPr>
                <w:rFonts w:ascii="Arial" w:hAnsi="Arial"/>
                <w:sz w:val="20"/>
              </w:rPr>
              <w:br/>
            </w:r>
            <w:proofErr w:type="spellStart"/>
            <w:r w:rsidRPr="002C62BF">
              <w:rPr>
                <w:rFonts w:ascii="Arial" w:hAnsi="Arial"/>
                <w:sz w:val="20"/>
              </w:rPr>
              <w:t>Ocrelizumab</w:t>
            </w:r>
            <w:proofErr w:type="spellEnd"/>
            <w:r w:rsidRPr="002C62BF">
              <w:rPr>
                <w:rFonts w:ascii="Arial" w:hAnsi="Arial"/>
                <w:sz w:val="20"/>
              </w:rPr>
              <w:t xml:space="preserve"> </w:t>
            </w:r>
            <w:proofErr w:type="gramStart"/>
            <w:r w:rsidRPr="002C62BF">
              <w:rPr>
                <w:rFonts w:ascii="Arial" w:hAnsi="Arial"/>
                <w:sz w:val="20"/>
              </w:rPr>
              <w:t>is also indicated</w:t>
            </w:r>
            <w:proofErr w:type="gramEnd"/>
            <w:r w:rsidRPr="002C62BF">
              <w:rPr>
                <w:rFonts w:ascii="Arial" w:hAnsi="Arial"/>
                <w:sz w:val="20"/>
              </w:rPr>
              <w:t xml:space="preserve"> for the treatment of patients </w:t>
            </w:r>
            <w:r w:rsidRPr="002C62BF">
              <w:rPr>
                <w:rFonts w:ascii="Arial" w:hAnsi="Arial"/>
                <w:sz w:val="20"/>
              </w:rPr>
              <w:lastRenderedPageBreak/>
              <w:t>with relapsing forms of multiple sclerosis (RMS) to the delay the progression of physical disability and to reduce the frequency of relapse.</w:t>
            </w:r>
          </w:p>
        </w:tc>
        <w:tc>
          <w:tcPr>
            <w:tcW w:w="677" w:type="pct"/>
            <w:vMerge w:val="restart"/>
          </w:tcPr>
          <w:p w14:paraId="1D7B9A71" w14:textId="417B01C4" w:rsidR="0011587E" w:rsidRPr="00BB712B" w:rsidRDefault="0011587E" w:rsidP="0011587E">
            <w:pPr>
              <w:rPr>
                <w:rFonts w:ascii="Arial" w:hAnsi="Arial" w:cs="Arial"/>
                <w:sz w:val="20"/>
              </w:rPr>
            </w:pPr>
            <w:proofErr w:type="spellStart"/>
            <w:r w:rsidRPr="002C62BF">
              <w:rPr>
                <w:rFonts w:ascii="Arial" w:hAnsi="Arial"/>
                <w:sz w:val="20"/>
              </w:rPr>
              <w:lastRenderedPageBreak/>
              <w:t>Ocrelizumab</w:t>
            </w:r>
            <w:proofErr w:type="spellEnd"/>
            <w:r w:rsidRPr="002C62BF">
              <w:rPr>
                <w:rFonts w:ascii="Arial" w:hAnsi="Arial"/>
                <w:sz w:val="20"/>
              </w:rPr>
              <w:t xml:space="preserve"> is</w:t>
            </w:r>
            <w:r>
              <w:rPr>
                <w:rFonts w:ascii="Arial" w:hAnsi="Arial"/>
                <w:sz w:val="20"/>
              </w:rPr>
              <w:t xml:space="preserve"> currently</w:t>
            </w:r>
            <w:r w:rsidRPr="002C62BF">
              <w:rPr>
                <w:rFonts w:ascii="Arial" w:hAnsi="Arial"/>
                <w:sz w:val="20"/>
              </w:rPr>
              <w:t xml:space="preserve"> PBS listed for relapsing-remitting multiple sclerosis (RRMS).</w:t>
            </w:r>
          </w:p>
        </w:tc>
        <w:tc>
          <w:tcPr>
            <w:tcW w:w="1145" w:type="pct"/>
          </w:tcPr>
          <w:p w14:paraId="26FF9D2A" w14:textId="77777777" w:rsidR="0011587E" w:rsidRDefault="0011587E" w:rsidP="0011587E">
            <w:pPr>
              <w:pStyle w:val="ListBullet"/>
            </w:pPr>
            <w:r>
              <w:t xml:space="preserve">Resubmission to request a Section 100 (Highly Specialised Drugs Program – Public and Private Hospitals) Authority </w:t>
            </w:r>
            <w:proofErr w:type="gramStart"/>
            <w:r>
              <w:t>Required</w:t>
            </w:r>
            <w:proofErr w:type="gramEnd"/>
            <w:r>
              <w:t xml:space="preserve"> listing for the treatment of adult patients with PPMS in certain circumstances.</w:t>
            </w:r>
          </w:p>
          <w:p w14:paraId="29E0B0C7" w14:textId="77777777" w:rsidR="0011587E" w:rsidRPr="00BB712B" w:rsidRDefault="0011587E" w:rsidP="0011587E">
            <w:pPr>
              <w:snapToGrid w:val="0"/>
              <w:jc w:val="right"/>
              <w:rPr>
                <w:rFonts w:ascii="Arial" w:hAnsi="Arial" w:cs="Arial"/>
                <w:sz w:val="20"/>
              </w:rPr>
            </w:pPr>
          </w:p>
        </w:tc>
        <w:tc>
          <w:tcPr>
            <w:tcW w:w="1767" w:type="pct"/>
          </w:tcPr>
          <w:p w14:paraId="2BEA7FF6" w14:textId="373D0962" w:rsidR="0011587E" w:rsidRPr="00BB712B" w:rsidRDefault="0011587E" w:rsidP="0011587E">
            <w:pPr>
              <w:widowControl w:val="0"/>
              <w:rPr>
                <w:rFonts w:ascii="Arial" w:hAnsi="Arial" w:cs="Arial"/>
                <w:iCs/>
                <w:sz w:val="20"/>
                <w:highlight w:val="yellow"/>
              </w:rPr>
            </w:pPr>
            <w:r w:rsidRPr="002C62BF">
              <w:rPr>
                <w:rFonts w:ascii="Arial" w:hAnsi="Arial"/>
                <w:sz w:val="20"/>
              </w:rPr>
              <w:t xml:space="preserve">The PBAC did not recommend extending the listing of </w:t>
            </w:r>
            <w:proofErr w:type="spellStart"/>
            <w:r w:rsidRPr="002C62BF">
              <w:rPr>
                <w:rFonts w:ascii="Arial" w:hAnsi="Arial"/>
                <w:sz w:val="20"/>
              </w:rPr>
              <w:t>ocrelizumab</w:t>
            </w:r>
            <w:proofErr w:type="spellEnd"/>
            <w:r w:rsidRPr="002C62BF">
              <w:rPr>
                <w:rFonts w:ascii="Arial" w:hAnsi="Arial"/>
                <w:sz w:val="20"/>
              </w:rPr>
              <w:t xml:space="preserve"> to include patients with early,</w:t>
            </w:r>
            <w:r>
              <w:rPr>
                <w:rFonts w:ascii="Arial" w:hAnsi="Arial"/>
                <w:sz w:val="20"/>
              </w:rPr>
              <w:t xml:space="preserve"> MRI-active PPMS</w:t>
            </w:r>
            <w:r w:rsidRPr="002C62BF">
              <w:rPr>
                <w:rFonts w:ascii="Arial" w:hAnsi="Arial"/>
                <w:sz w:val="20"/>
              </w:rPr>
              <w:t xml:space="preserve">. </w:t>
            </w:r>
            <w:r w:rsidRPr="005A7BAD">
              <w:rPr>
                <w:rFonts w:ascii="Arial" w:hAnsi="Arial"/>
                <w:sz w:val="20"/>
              </w:rPr>
              <w:t xml:space="preserve">The PBAC considered that the key subgroup analysis that </w:t>
            </w:r>
            <w:proofErr w:type="gramStart"/>
            <w:r w:rsidRPr="005A7BAD">
              <w:rPr>
                <w:rFonts w:ascii="Arial" w:hAnsi="Arial"/>
                <w:sz w:val="20"/>
              </w:rPr>
              <w:t>was relied on</w:t>
            </w:r>
            <w:proofErr w:type="gramEnd"/>
            <w:r w:rsidRPr="005A7BAD">
              <w:rPr>
                <w:rFonts w:ascii="Arial" w:hAnsi="Arial"/>
                <w:sz w:val="20"/>
              </w:rPr>
              <w:t xml:space="preserve"> in the submission was inconsistent with the requested PBS </w:t>
            </w:r>
            <w:r>
              <w:rPr>
                <w:rFonts w:ascii="Arial" w:hAnsi="Arial"/>
                <w:sz w:val="20"/>
              </w:rPr>
              <w:t xml:space="preserve">population, </w:t>
            </w:r>
            <w:r w:rsidRPr="005A7BAD">
              <w:rPr>
                <w:rFonts w:ascii="Arial" w:hAnsi="Arial"/>
                <w:sz w:val="20"/>
              </w:rPr>
              <w:t xml:space="preserve">which led to difficulties in assessing the cost-effectiveness of </w:t>
            </w:r>
            <w:proofErr w:type="spellStart"/>
            <w:r w:rsidRPr="005A7BAD">
              <w:rPr>
                <w:rFonts w:ascii="Arial" w:hAnsi="Arial"/>
                <w:sz w:val="20"/>
              </w:rPr>
              <w:t>ocrelizumab</w:t>
            </w:r>
            <w:proofErr w:type="spellEnd"/>
            <w:r w:rsidRPr="005A7BAD">
              <w:rPr>
                <w:rFonts w:ascii="Arial" w:hAnsi="Arial"/>
                <w:sz w:val="20"/>
              </w:rPr>
              <w:t>. The PBAC considered that the economic model had likely underestimated the</w:t>
            </w:r>
            <w:r>
              <w:rPr>
                <w:rFonts w:ascii="Arial" w:hAnsi="Arial"/>
                <w:sz w:val="20"/>
              </w:rPr>
              <w:t xml:space="preserve"> incremental cost-effectiveness ratio</w:t>
            </w:r>
            <w:r w:rsidRPr="005A7BAD">
              <w:rPr>
                <w:rFonts w:ascii="Arial" w:hAnsi="Arial"/>
                <w:sz w:val="20"/>
              </w:rPr>
              <w:t xml:space="preserve"> </w:t>
            </w:r>
            <w:r>
              <w:rPr>
                <w:rFonts w:ascii="Arial" w:hAnsi="Arial"/>
                <w:sz w:val="20"/>
              </w:rPr>
              <w:t>(</w:t>
            </w:r>
            <w:r w:rsidRPr="005A7BAD">
              <w:rPr>
                <w:rFonts w:ascii="Arial" w:hAnsi="Arial"/>
                <w:sz w:val="20"/>
              </w:rPr>
              <w:t>ICER</w:t>
            </w:r>
            <w:r>
              <w:rPr>
                <w:rFonts w:ascii="Arial" w:hAnsi="Arial"/>
                <w:sz w:val="20"/>
              </w:rPr>
              <w:t>)</w:t>
            </w:r>
            <w:r w:rsidRPr="005A7BAD">
              <w:rPr>
                <w:rFonts w:ascii="Arial" w:hAnsi="Arial"/>
                <w:sz w:val="20"/>
              </w:rPr>
              <w:t xml:space="preserve"> as the likely t</w:t>
            </w:r>
            <w:r>
              <w:rPr>
                <w:rFonts w:ascii="Arial" w:hAnsi="Arial"/>
                <w:sz w:val="20"/>
              </w:rPr>
              <w:t>reatment effect and residential</w:t>
            </w:r>
            <w:r w:rsidRPr="005A7BAD">
              <w:rPr>
                <w:rFonts w:ascii="Arial" w:hAnsi="Arial"/>
                <w:sz w:val="20"/>
              </w:rPr>
              <w:t xml:space="preserve"> care costs had been overestimated.</w:t>
            </w:r>
            <w:r>
              <w:rPr>
                <w:rFonts w:ascii="Arial" w:hAnsi="Arial"/>
                <w:sz w:val="20"/>
              </w:rPr>
              <w:br/>
            </w:r>
            <w:r>
              <w:rPr>
                <w:rFonts w:ascii="Arial" w:hAnsi="Arial"/>
                <w:sz w:val="20"/>
              </w:rPr>
              <w:br/>
            </w:r>
            <w:r w:rsidRPr="002C62BF">
              <w:rPr>
                <w:rFonts w:ascii="Arial" w:hAnsi="Arial"/>
                <w:sz w:val="20"/>
              </w:rPr>
              <w:t>The PBAC noted the high clinical need for effective treatments to delay the progression of disability in PPMS</w:t>
            </w:r>
            <w:r>
              <w:rPr>
                <w:rFonts w:ascii="Arial" w:hAnsi="Arial"/>
                <w:sz w:val="20"/>
              </w:rPr>
              <w:t>.</w:t>
            </w:r>
          </w:p>
        </w:tc>
      </w:tr>
      <w:tr w:rsidR="0011587E" w:rsidRPr="00871023" w14:paraId="1B3AAA7F" w14:textId="77777777" w:rsidTr="00BB712B">
        <w:trPr>
          <w:trHeight w:val="433"/>
        </w:trPr>
        <w:tc>
          <w:tcPr>
            <w:tcW w:w="735" w:type="pct"/>
            <w:vMerge/>
          </w:tcPr>
          <w:p w14:paraId="0D67CCD7" w14:textId="77777777" w:rsidR="0011587E" w:rsidRPr="00BB712B" w:rsidRDefault="0011587E" w:rsidP="0011587E">
            <w:pPr>
              <w:rPr>
                <w:rFonts w:ascii="Arial" w:hAnsi="Arial" w:cs="Arial"/>
                <w:sz w:val="20"/>
              </w:rPr>
            </w:pPr>
          </w:p>
        </w:tc>
        <w:tc>
          <w:tcPr>
            <w:tcW w:w="676" w:type="pct"/>
            <w:vMerge/>
          </w:tcPr>
          <w:p w14:paraId="622A13CB" w14:textId="77777777" w:rsidR="0011587E" w:rsidRPr="00BB712B" w:rsidRDefault="0011587E" w:rsidP="0011587E">
            <w:pPr>
              <w:rPr>
                <w:rFonts w:ascii="Arial" w:hAnsi="Arial" w:cs="Arial"/>
                <w:sz w:val="20"/>
              </w:rPr>
            </w:pPr>
          </w:p>
        </w:tc>
        <w:tc>
          <w:tcPr>
            <w:tcW w:w="677" w:type="pct"/>
            <w:vMerge/>
          </w:tcPr>
          <w:p w14:paraId="03463BBA" w14:textId="77777777" w:rsidR="0011587E" w:rsidRPr="00BB712B" w:rsidRDefault="0011587E" w:rsidP="0011587E">
            <w:pPr>
              <w:rPr>
                <w:rFonts w:ascii="Arial" w:hAnsi="Arial" w:cs="Arial"/>
                <w:sz w:val="20"/>
              </w:rPr>
            </w:pPr>
          </w:p>
        </w:tc>
        <w:tc>
          <w:tcPr>
            <w:tcW w:w="1145" w:type="pct"/>
          </w:tcPr>
          <w:p w14:paraId="3B9DC620" w14:textId="77777777" w:rsidR="0011587E" w:rsidRDefault="0011587E" w:rsidP="0011587E">
            <w:pPr>
              <w:pStyle w:val="ListBullet"/>
            </w:pPr>
            <w:r w:rsidRPr="00871023">
              <w:t>C</w:t>
            </w:r>
            <w:r>
              <w:t xml:space="preserve">omparator: </w:t>
            </w:r>
            <w:r w:rsidRPr="002C62BF">
              <w:t>Best supportive care (BSC)</w:t>
            </w:r>
          </w:p>
          <w:p w14:paraId="386DEE0A" w14:textId="77777777" w:rsidR="0011587E" w:rsidRPr="00BB712B" w:rsidRDefault="0011587E" w:rsidP="0011587E">
            <w:pPr>
              <w:snapToGrid w:val="0"/>
              <w:jc w:val="right"/>
              <w:rPr>
                <w:rFonts w:ascii="Arial" w:hAnsi="Arial" w:cs="Arial"/>
                <w:sz w:val="20"/>
              </w:rPr>
            </w:pPr>
          </w:p>
        </w:tc>
        <w:tc>
          <w:tcPr>
            <w:tcW w:w="1767" w:type="pct"/>
          </w:tcPr>
          <w:p w14:paraId="2EC68514" w14:textId="77777777" w:rsidR="0011587E" w:rsidRDefault="0011587E" w:rsidP="0011587E">
            <w:pPr>
              <w:widowControl w:val="0"/>
              <w:rPr>
                <w:rFonts w:ascii="Arial" w:hAnsi="Arial"/>
                <w:sz w:val="20"/>
              </w:rPr>
            </w:pPr>
            <w:r w:rsidRPr="002C62BF">
              <w:rPr>
                <w:rFonts w:ascii="Arial" w:hAnsi="Arial"/>
                <w:sz w:val="20"/>
              </w:rPr>
              <w:t>The PBAC reaffirmed its view expressed in its November 2017 consideration that BSC was the appropriate comparator.</w:t>
            </w:r>
          </w:p>
          <w:p w14:paraId="6C51DA90" w14:textId="77777777" w:rsidR="0011587E" w:rsidRPr="00BB712B" w:rsidRDefault="0011587E" w:rsidP="0011587E">
            <w:pPr>
              <w:widowControl w:val="0"/>
              <w:rPr>
                <w:rFonts w:ascii="Arial" w:hAnsi="Arial" w:cs="Arial"/>
                <w:iCs/>
                <w:sz w:val="20"/>
                <w:highlight w:val="yellow"/>
              </w:rPr>
            </w:pPr>
          </w:p>
        </w:tc>
      </w:tr>
      <w:tr w:rsidR="0011587E" w:rsidRPr="00871023" w14:paraId="0B3F1943" w14:textId="77777777" w:rsidTr="00BB712B">
        <w:trPr>
          <w:trHeight w:val="433"/>
        </w:trPr>
        <w:tc>
          <w:tcPr>
            <w:tcW w:w="735" w:type="pct"/>
            <w:vMerge/>
          </w:tcPr>
          <w:p w14:paraId="4E7F1494" w14:textId="77777777" w:rsidR="0011587E" w:rsidRPr="00BB712B" w:rsidRDefault="0011587E" w:rsidP="0011587E">
            <w:pPr>
              <w:rPr>
                <w:rFonts w:ascii="Arial" w:hAnsi="Arial" w:cs="Arial"/>
                <w:sz w:val="20"/>
              </w:rPr>
            </w:pPr>
          </w:p>
        </w:tc>
        <w:tc>
          <w:tcPr>
            <w:tcW w:w="676" w:type="pct"/>
            <w:vMerge/>
          </w:tcPr>
          <w:p w14:paraId="7C4556FE" w14:textId="77777777" w:rsidR="0011587E" w:rsidRPr="00BB712B" w:rsidRDefault="0011587E" w:rsidP="0011587E">
            <w:pPr>
              <w:rPr>
                <w:rFonts w:ascii="Arial" w:hAnsi="Arial" w:cs="Arial"/>
                <w:sz w:val="20"/>
              </w:rPr>
            </w:pPr>
          </w:p>
        </w:tc>
        <w:tc>
          <w:tcPr>
            <w:tcW w:w="677" w:type="pct"/>
            <w:vMerge/>
          </w:tcPr>
          <w:p w14:paraId="0B273754" w14:textId="77777777" w:rsidR="0011587E" w:rsidRPr="00BB712B" w:rsidRDefault="0011587E" w:rsidP="0011587E">
            <w:pPr>
              <w:rPr>
                <w:rFonts w:ascii="Arial" w:hAnsi="Arial" w:cs="Arial"/>
                <w:sz w:val="20"/>
              </w:rPr>
            </w:pPr>
          </w:p>
        </w:tc>
        <w:tc>
          <w:tcPr>
            <w:tcW w:w="1145" w:type="pct"/>
          </w:tcPr>
          <w:p w14:paraId="10EC26BC" w14:textId="77777777" w:rsidR="0011587E" w:rsidRDefault="0011587E" w:rsidP="0011587E">
            <w:pPr>
              <w:pStyle w:val="ListBullet"/>
            </w:pPr>
            <w:r w:rsidRPr="00871023">
              <w:t xml:space="preserve">Clinical claim: </w:t>
            </w:r>
            <w:r>
              <w:t xml:space="preserve">Superior comparative effectiveness and inferior comparative safety compared with placebo </w:t>
            </w:r>
          </w:p>
          <w:p w14:paraId="4E96C54D" w14:textId="77777777" w:rsidR="0011587E" w:rsidRDefault="0011587E" w:rsidP="0011587E">
            <w:pPr>
              <w:pStyle w:val="ListBullet"/>
            </w:pPr>
          </w:p>
          <w:p w14:paraId="091BEDFF" w14:textId="77777777" w:rsidR="0011587E" w:rsidRDefault="0011587E" w:rsidP="0011587E">
            <w:pPr>
              <w:pStyle w:val="ListBullet"/>
            </w:pPr>
          </w:p>
          <w:p w14:paraId="7A82381A" w14:textId="77777777" w:rsidR="0011587E" w:rsidRPr="00BB712B" w:rsidRDefault="0011587E" w:rsidP="0011587E">
            <w:pPr>
              <w:snapToGrid w:val="0"/>
              <w:jc w:val="right"/>
              <w:rPr>
                <w:rFonts w:ascii="Arial" w:hAnsi="Arial" w:cs="Arial"/>
                <w:sz w:val="20"/>
              </w:rPr>
            </w:pPr>
          </w:p>
        </w:tc>
        <w:tc>
          <w:tcPr>
            <w:tcW w:w="1767" w:type="pct"/>
          </w:tcPr>
          <w:p w14:paraId="70AF2C30" w14:textId="0F860D02" w:rsidR="0011587E" w:rsidRPr="00BB712B" w:rsidRDefault="0011587E" w:rsidP="0011587E">
            <w:pPr>
              <w:widowControl w:val="0"/>
              <w:rPr>
                <w:rFonts w:ascii="Arial" w:hAnsi="Arial" w:cs="Arial"/>
                <w:iCs/>
                <w:sz w:val="20"/>
                <w:highlight w:val="yellow"/>
              </w:rPr>
            </w:pPr>
            <w:proofErr w:type="gramStart"/>
            <w:r w:rsidRPr="002C62BF">
              <w:rPr>
                <w:rFonts w:ascii="Arial" w:hAnsi="Arial"/>
                <w:sz w:val="20"/>
              </w:rPr>
              <w:t>The PBAC considered that the claim of superior comparative effectiveness in the early and MRI-active population was adequately supported, but that subgroup results applied in the economic model likely overestimated the magnitude of the benefit in the requested PBS population (due to limitations of the subgroup data and the potential lack of applicability of the subgroup results to the requested listing).</w:t>
            </w:r>
            <w:r>
              <w:rPr>
                <w:rFonts w:ascii="Arial" w:hAnsi="Arial"/>
                <w:sz w:val="20"/>
              </w:rPr>
              <w:br/>
            </w:r>
            <w:r>
              <w:rPr>
                <w:rFonts w:ascii="Arial" w:hAnsi="Arial"/>
                <w:sz w:val="20"/>
              </w:rPr>
              <w:br/>
            </w:r>
            <w:proofErr w:type="gramEnd"/>
            <w:r w:rsidRPr="002C62BF">
              <w:rPr>
                <w:rFonts w:ascii="Arial" w:hAnsi="Arial"/>
                <w:sz w:val="20"/>
              </w:rPr>
              <w:t xml:space="preserve">The PBAC reaffirmed its view expressed at its November 2017 meeting that </w:t>
            </w:r>
            <w:proofErr w:type="spellStart"/>
            <w:r w:rsidRPr="002C62BF">
              <w:rPr>
                <w:rFonts w:ascii="Arial" w:hAnsi="Arial"/>
                <w:sz w:val="20"/>
              </w:rPr>
              <w:t>ocrelizumab</w:t>
            </w:r>
            <w:proofErr w:type="spellEnd"/>
            <w:r w:rsidRPr="002C62BF">
              <w:rPr>
                <w:rFonts w:ascii="Arial" w:hAnsi="Arial"/>
                <w:sz w:val="20"/>
              </w:rPr>
              <w:t xml:space="preserve"> is of inferior comparative safety to placebo.</w:t>
            </w:r>
          </w:p>
        </w:tc>
      </w:tr>
      <w:tr w:rsidR="0011587E" w:rsidRPr="00871023" w14:paraId="03324A6E" w14:textId="77777777" w:rsidTr="00BB712B">
        <w:trPr>
          <w:trHeight w:val="433"/>
        </w:trPr>
        <w:tc>
          <w:tcPr>
            <w:tcW w:w="735" w:type="pct"/>
            <w:vMerge/>
          </w:tcPr>
          <w:p w14:paraId="41565B4C" w14:textId="77777777" w:rsidR="0011587E" w:rsidRPr="00BB712B" w:rsidRDefault="0011587E" w:rsidP="0011587E">
            <w:pPr>
              <w:rPr>
                <w:rFonts w:ascii="Arial" w:hAnsi="Arial" w:cs="Arial"/>
                <w:sz w:val="20"/>
              </w:rPr>
            </w:pPr>
          </w:p>
        </w:tc>
        <w:tc>
          <w:tcPr>
            <w:tcW w:w="676" w:type="pct"/>
            <w:vMerge/>
          </w:tcPr>
          <w:p w14:paraId="28F936F2" w14:textId="77777777" w:rsidR="0011587E" w:rsidRPr="00BB712B" w:rsidRDefault="0011587E" w:rsidP="0011587E">
            <w:pPr>
              <w:rPr>
                <w:rFonts w:ascii="Arial" w:hAnsi="Arial" w:cs="Arial"/>
                <w:sz w:val="20"/>
              </w:rPr>
            </w:pPr>
          </w:p>
        </w:tc>
        <w:tc>
          <w:tcPr>
            <w:tcW w:w="677" w:type="pct"/>
            <w:vMerge/>
          </w:tcPr>
          <w:p w14:paraId="7BBDAE90" w14:textId="77777777" w:rsidR="0011587E" w:rsidRPr="00BB712B" w:rsidRDefault="0011587E" w:rsidP="0011587E">
            <w:pPr>
              <w:rPr>
                <w:rFonts w:ascii="Arial" w:hAnsi="Arial" w:cs="Arial"/>
                <w:sz w:val="20"/>
              </w:rPr>
            </w:pPr>
          </w:p>
        </w:tc>
        <w:tc>
          <w:tcPr>
            <w:tcW w:w="1145" w:type="pct"/>
          </w:tcPr>
          <w:p w14:paraId="24ADB023" w14:textId="77777777" w:rsidR="0011587E" w:rsidRDefault="0011587E" w:rsidP="0011587E">
            <w:pPr>
              <w:pStyle w:val="ListBullet"/>
            </w:pPr>
            <w:r w:rsidRPr="00871023">
              <w:t xml:space="preserve">Economic claim: </w:t>
            </w:r>
            <w:r>
              <w:t xml:space="preserve">Cost-effectiveness basis compared with BSC </w:t>
            </w:r>
          </w:p>
          <w:p w14:paraId="364B0136" w14:textId="77777777" w:rsidR="0011587E" w:rsidRDefault="0011587E" w:rsidP="0011587E">
            <w:pPr>
              <w:pStyle w:val="ListBullet"/>
            </w:pPr>
          </w:p>
          <w:p w14:paraId="767A4DEE" w14:textId="77777777" w:rsidR="0011587E" w:rsidRDefault="0011587E" w:rsidP="0011587E">
            <w:pPr>
              <w:pStyle w:val="ListBullet"/>
            </w:pPr>
          </w:p>
          <w:p w14:paraId="4D0C9115" w14:textId="77777777" w:rsidR="0011587E" w:rsidRDefault="0011587E" w:rsidP="0011587E">
            <w:pPr>
              <w:pStyle w:val="ListBullet"/>
            </w:pPr>
          </w:p>
          <w:p w14:paraId="36DEC38C" w14:textId="77777777" w:rsidR="0011587E" w:rsidRPr="00BB712B" w:rsidRDefault="0011587E" w:rsidP="0011587E">
            <w:pPr>
              <w:snapToGrid w:val="0"/>
              <w:jc w:val="right"/>
              <w:rPr>
                <w:rFonts w:ascii="Arial" w:hAnsi="Arial" w:cs="Arial"/>
                <w:sz w:val="20"/>
              </w:rPr>
            </w:pPr>
          </w:p>
        </w:tc>
        <w:tc>
          <w:tcPr>
            <w:tcW w:w="1767" w:type="pct"/>
          </w:tcPr>
          <w:p w14:paraId="1B00A7CE" w14:textId="7626A293" w:rsidR="0011587E" w:rsidRPr="00BB712B" w:rsidRDefault="0011587E" w:rsidP="0011587E">
            <w:pPr>
              <w:widowControl w:val="0"/>
              <w:rPr>
                <w:rFonts w:ascii="Arial" w:hAnsi="Arial" w:cs="Arial"/>
                <w:iCs/>
                <w:sz w:val="20"/>
                <w:highlight w:val="yellow"/>
              </w:rPr>
            </w:pPr>
            <w:r w:rsidRPr="002C62BF">
              <w:rPr>
                <w:rFonts w:ascii="Arial" w:hAnsi="Arial"/>
                <w:sz w:val="20"/>
              </w:rPr>
              <w:t xml:space="preserve">The PBAC considered that the economic model had likely underestimated the ICER as the likely treatment effect and </w:t>
            </w:r>
            <w:r>
              <w:rPr>
                <w:rFonts w:ascii="Arial" w:hAnsi="Arial"/>
                <w:sz w:val="20"/>
              </w:rPr>
              <w:t>the residential</w:t>
            </w:r>
            <w:r w:rsidRPr="002C62BF">
              <w:rPr>
                <w:rFonts w:ascii="Arial" w:hAnsi="Arial"/>
                <w:sz w:val="20"/>
              </w:rPr>
              <w:t xml:space="preserve"> care costs had been overestimated.</w:t>
            </w:r>
            <w:r>
              <w:rPr>
                <w:rFonts w:ascii="Arial" w:hAnsi="Arial"/>
                <w:sz w:val="20"/>
              </w:rPr>
              <w:br/>
            </w:r>
            <w:r>
              <w:rPr>
                <w:rFonts w:ascii="Arial" w:hAnsi="Arial"/>
                <w:sz w:val="20"/>
              </w:rPr>
              <w:br/>
            </w:r>
            <w:r w:rsidRPr="002C62BF">
              <w:rPr>
                <w:rFonts w:ascii="Arial" w:hAnsi="Arial"/>
                <w:sz w:val="20"/>
              </w:rPr>
              <w:t>The PBAC also considered that it would also be informative to include the impact of appropriate discontinuation criteria in the economic model.</w:t>
            </w:r>
          </w:p>
        </w:tc>
      </w:tr>
      <w:tr w:rsidR="0011587E" w:rsidRPr="00871023" w14:paraId="13A7F337" w14:textId="77777777" w:rsidTr="00BB712B">
        <w:trPr>
          <w:trHeight w:val="433"/>
        </w:trPr>
        <w:tc>
          <w:tcPr>
            <w:tcW w:w="735" w:type="pct"/>
            <w:vMerge/>
          </w:tcPr>
          <w:p w14:paraId="7CC4FE09" w14:textId="77777777" w:rsidR="0011587E" w:rsidRPr="00BB712B" w:rsidRDefault="0011587E" w:rsidP="0011587E">
            <w:pPr>
              <w:rPr>
                <w:rFonts w:ascii="Arial" w:hAnsi="Arial" w:cs="Arial"/>
                <w:sz w:val="20"/>
              </w:rPr>
            </w:pPr>
            <w:bookmarkStart w:id="0" w:name="_GoBack" w:colFirst="0" w:colLast="5"/>
          </w:p>
        </w:tc>
        <w:tc>
          <w:tcPr>
            <w:tcW w:w="676" w:type="pct"/>
            <w:vMerge/>
          </w:tcPr>
          <w:p w14:paraId="2C529E0D" w14:textId="77777777" w:rsidR="0011587E" w:rsidRPr="00BB712B" w:rsidRDefault="0011587E" w:rsidP="0011587E">
            <w:pPr>
              <w:rPr>
                <w:rFonts w:ascii="Arial" w:hAnsi="Arial" w:cs="Arial"/>
                <w:sz w:val="20"/>
              </w:rPr>
            </w:pPr>
          </w:p>
        </w:tc>
        <w:tc>
          <w:tcPr>
            <w:tcW w:w="677" w:type="pct"/>
            <w:vMerge/>
          </w:tcPr>
          <w:p w14:paraId="78861915" w14:textId="77777777" w:rsidR="0011587E" w:rsidRPr="00BB712B" w:rsidRDefault="0011587E" w:rsidP="0011587E">
            <w:pPr>
              <w:rPr>
                <w:rFonts w:ascii="Arial" w:hAnsi="Arial" w:cs="Arial"/>
                <w:sz w:val="20"/>
              </w:rPr>
            </w:pPr>
          </w:p>
        </w:tc>
        <w:tc>
          <w:tcPr>
            <w:tcW w:w="1145" w:type="pct"/>
          </w:tcPr>
          <w:p w14:paraId="4337DA56" w14:textId="77777777" w:rsidR="0011587E" w:rsidRPr="003425AC" w:rsidRDefault="0011587E" w:rsidP="0011587E">
            <w:pPr>
              <w:snapToGrid w:val="0"/>
              <w:jc w:val="right"/>
              <w:rPr>
                <w:rFonts w:ascii="Arial" w:hAnsi="Arial" w:cs="Arial"/>
                <w:sz w:val="20"/>
              </w:rPr>
            </w:pPr>
            <w:r w:rsidRPr="003425AC">
              <w:rPr>
                <w:rFonts w:ascii="Arial" w:hAnsi="Arial" w:cs="Arial"/>
                <w:sz w:val="20"/>
              </w:rPr>
              <w:t>Sponsor’s comment:</w:t>
            </w:r>
          </w:p>
          <w:p w14:paraId="50BFF5AD" w14:textId="77777777" w:rsidR="0011587E" w:rsidRDefault="0011587E" w:rsidP="0011587E">
            <w:pPr>
              <w:pStyle w:val="ListBullet"/>
            </w:pPr>
          </w:p>
          <w:p w14:paraId="6F40BEEB" w14:textId="77777777" w:rsidR="0011587E" w:rsidRDefault="0011587E" w:rsidP="0011587E">
            <w:pPr>
              <w:pStyle w:val="ListBullet"/>
            </w:pPr>
          </w:p>
          <w:p w14:paraId="4B7D3BF4" w14:textId="77777777" w:rsidR="0011587E" w:rsidRPr="00BB712B" w:rsidRDefault="0011587E" w:rsidP="0011587E">
            <w:pPr>
              <w:snapToGrid w:val="0"/>
              <w:jc w:val="right"/>
              <w:rPr>
                <w:rFonts w:ascii="Arial" w:hAnsi="Arial" w:cs="Arial"/>
                <w:sz w:val="20"/>
              </w:rPr>
            </w:pPr>
          </w:p>
        </w:tc>
        <w:tc>
          <w:tcPr>
            <w:tcW w:w="1767" w:type="pct"/>
          </w:tcPr>
          <w:p w14:paraId="1E71ED43" w14:textId="7FBEBBD5" w:rsidR="0011587E" w:rsidRPr="00A53823" w:rsidRDefault="00DB598A" w:rsidP="00A53823">
            <w:pPr>
              <w:rPr>
                <w:rFonts w:ascii="Arial" w:hAnsi="Arial" w:cs="Arial"/>
                <w:sz w:val="20"/>
              </w:rPr>
            </w:pPr>
            <w:r w:rsidRPr="00DB598A">
              <w:rPr>
                <w:rFonts w:ascii="Arial" w:hAnsi="Arial" w:cs="Arial"/>
                <w:iCs/>
                <w:sz w:val="20"/>
              </w:rPr>
              <w:t xml:space="preserve">Roche is disappointed with the outcome given the genuine unmet need for an effective treatment option for patients with PPMS. Roche will continue to support the MS community in Australia whilst we evaluate the options available within the parameters of the existing data to find a suitable path forward. Roche would like to take this opportunity to thank the many healthcare professionals, and broader members of the MS community, </w:t>
            </w:r>
            <w:r>
              <w:rPr>
                <w:rFonts w:ascii="Arial" w:hAnsi="Arial" w:cs="Arial"/>
                <w:iCs/>
                <w:sz w:val="20"/>
              </w:rPr>
              <w:t>who supported the resubmission.</w:t>
            </w:r>
          </w:p>
        </w:tc>
      </w:tr>
      <w:bookmarkEnd w:id="0"/>
    </w:tbl>
    <w:p w14:paraId="3C261F02" w14:textId="1A867D97" w:rsidR="00BB712B" w:rsidRDefault="00BB712B"/>
    <w:p w14:paraId="121C0FA1" w14:textId="77777777" w:rsidR="0078027D" w:rsidRPr="00871023" w:rsidRDefault="0078027D" w:rsidP="002A7FDE">
      <w:pPr>
        <w:pStyle w:val="Title"/>
        <w:jc w:val="left"/>
        <w:rPr>
          <w:rFonts w:cs="Arial"/>
        </w:rPr>
      </w:pPr>
    </w:p>
    <w:sectPr w:rsidR="0078027D" w:rsidRPr="00871023" w:rsidSect="00DA049A">
      <w:headerReference w:type="default" r:id="rId7"/>
      <w:footerReference w:type="default" r:id="rId8"/>
      <w:headerReference w:type="first" r:id="rId9"/>
      <w:footerReference w:type="first" r:id="rId10"/>
      <w:pgSz w:w="16840" w:h="11907"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C47D5" w14:textId="77777777" w:rsidR="003419C9" w:rsidRDefault="003419C9">
      <w:r>
        <w:separator/>
      </w:r>
    </w:p>
  </w:endnote>
  <w:endnote w:type="continuationSeparator" w:id="0">
    <w:p w14:paraId="66B033FF" w14:textId="77777777" w:rsidR="003419C9" w:rsidRDefault="0034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F31B" w14:textId="77777777" w:rsidR="000805C6" w:rsidRDefault="000805C6" w:rsidP="000805C6">
    <w:pPr>
      <w:pStyle w:val="Footer"/>
      <w:jc w:val="right"/>
    </w:pPr>
  </w:p>
  <w:p w14:paraId="6DF70921" w14:textId="341E5B44"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A53823">
      <w:rPr>
        <w:rFonts w:ascii="Arial" w:hAnsi="Arial" w:cs="Arial"/>
        <w:noProof/>
        <w:sz w:val="22"/>
      </w:rPr>
      <w:t>5</w:t>
    </w:r>
    <w:r w:rsidRPr="000805C6">
      <w:rPr>
        <w:rFonts w:ascii="Arial" w:hAnsi="Arial" w:cs="Arial"/>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5109" w14:textId="77777777" w:rsidR="000805C6" w:rsidRDefault="000805C6">
    <w:pPr>
      <w:pStyle w:val="Footer"/>
      <w:jc w:val="right"/>
    </w:pPr>
  </w:p>
  <w:p w14:paraId="530F7B3E" w14:textId="77777777"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DA049A">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CB49" w14:textId="77777777" w:rsidR="003419C9" w:rsidRDefault="003419C9">
      <w:r>
        <w:separator/>
      </w:r>
    </w:p>
  </w:footnote>
  <w:footnote w:type="continuationSeparator" w:id="0">
    <w:p w14:paraId="282BAAE3" w14:textId="77777777" w:rsidR="003419C9" w:rsidRDefault="0034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70044" w14:textId="4E6F5E27" w:rsidR="000805C6" w:rsidRDefault="00FE2750" w:rsidP="000805C6">
    <w:pPr>
      <w:pStyle w:val="Header"/>
      <w:jc w:val="center"/>
      <w:rPr>
        <w:rFonts w:ascii="Arial" w:hAnsi="Arial" w:cs="Arial"/>
        <w:b/>
        <w:sz w:val="20"/>
      </w:rPr>
    </w:pPr>
    <w:r>
      <w:rPr>
        <w:rFonts w:ascii="Arial" w:hAnsi="Arial" w:cs="Arial"/>
        <w:b/>
        <w:sz w:val="20"/>
      </w:rPr>
      <w:t xml:space="preserve">JULY </w:t>
    </w:r>
    <w:r w:rsidR="008555E7">
      <w:rPr>
        <w:rFonts w:ascii="Arial" w:hAnsi="Arial" w:cs="Arial"/>
        <w:b/>
        <w:sz w:val="20"/>
      </w:rPr>
      <w:t>2020</w:t>
    </w:r>
    <w:r w:rsidR="0090223A">
      <w:rPr>
        <w:rFonts w:ascii="Arial" w:hAnsi="Arial" w:cs="Arial"/>
        <w:b/>
        <w:sz w:val="20"/>
      </w:rPr>
      <w:t xml:space="preserve"> </w:t>
    </w:r>
    <w:r w:rsidR="000805C6">
      <w:rPr>
        <w:rFonts w:ascii="Arial" w:hAnsi="Arial" w:cs="Arial"/>
        <w:b/>
        <w:sz w:val="20"/>
      </w:rPr>
      <w:t>PBAC OUTCOMES – SUBSEQUENT</w:t>
    </w:r>
    <w:r w:rsidR="000805C6" w:rsidRPr="004C071C">
      <w:rPr>
        <w:rFonts w:ascii="Arial" w:hAnsi="Arial" w:cs="Arial"/>
        <w:b/>
        <w:sz w:val="20"/>
      </w:rPr>
      <w:t xml:space="preserve"> DECISIONS NOT TO RECOMMEND</w:t>
    </w:r>
  </w:p>
  <w:p w14:paraId="5D220093" w14:textId="77777777" w:rsidR="000805C6" w:rsidRPr="004C071C" w:rsidRDefault="000805C6" w:rsidP="000805C6">
    <w:pPr>
      <w:pStyle w:val="Header"/>
      <w:jc w:val="center"/>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190A" w14:textId="77777777" w:rsidR="00613975" w:rsidRDefault="00A24F2E" w:rsidP="00613975">
    <w:pPr>
      <w:pStyle w:val="Header"/>
      <w:jc w:val="center"/>
      <w:rPr>
        <w:rFonts w:ascii="Arial" w:hAnsi="Arial" w:cs="Arial"/>
        <w:b/>
        <w:sz w:val="20"/>
      </w:rPr>
    </w:pPr>
    <w:r w:rsidRPr="00A24F2E">
      <w:rPr>
        <w:rFonts w:ascii="Arial" w:hAnsi="Arial" w:cs="Arial"/>
        <w:b/>
        <w:sz w:val="20"/>
      </w:rPr>
      <w:t xml:space="preserve">MONTH YEAR PBAC MEETING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14:paraId="10684ABC" w14:textId="77777777"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C0525D"/>
    <w:multiLevelType w:val="hybridMultilevel"/>
    <w:tmpl w:val="20384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369DA"/>
    <w:multiLevelType w:val="hybridMultilevel"/>
    <w:tmpl w:val="87A2DA9E"/>
    <w:lvl w:ilvl="0" w:tplc="0C090005">
      <w:start w:val="1"/>
      <w:numFmt w:val="bullet"/>
      <w:lvlText w:val=""/>
      <w:lvlJc w:val="left"/>
      <w:pPr>
        <w:ind w:left="577" w:hanging="360"/>
      </w:pPr>
      <w:rPr>
        <w:rFonts w:ascii="Wingdings" w:hAnsi="Wingdings" w:hint="default"/>
      </w:rPr>
    </w:lvl>
    <w:lvl w:ilvl="1" w:tplc="0C090003">
      <w:start w:val="1"/>
      <w:numFmt w:val="bullet"/>
      <w:lvlText w:val="o"/>
      <w:lvlJc w:val="left"/>
      <w:pPr>
        <w:ind w:left="1297" w:hanging="360"/>
      </w:pPr>
      <w:rPr>
        <w:rFonts w:ascii="Courier New" w:hAnsi="Courier New" w:cs="Courier New" w:hint="default"/>
      </w:rPr>
    </w:lvl>
    <w:lvl w:ilvl="2" w:tplc="0C090005">
      <w:start w:val="1"/>
      <w:numFmt w:val="bullet"/>
      <w:lvlText w:val=""/>
      <w:lvlJc w:val="left"/>
      <w:pPr>
        <w:ind w:left="2017" w:hanging="360"/>
      </w:pPr>
      <w:rPr>
        <w:rFonts w:ascii="Wingdings" w:hAnsi="Wingdings" w:hint="default"/>
      </w:rPr>
    </w:lvl>
    <w:lvl w:ilvl="3" w:tplc="0C090001">
      <w:start w:val="1"/>
      <w:numFmt w:val="bullet"/>
      <w:lvlText w:val=""/>
      <w:lvlJc w:val="left"/>
      <w:pPr>
        <w:ind w:left="2737" w:hanging="360"/>
      </w:pPr>
      <w:rPr>
        <w:rFonts w:ascii="Symbol" w:hAnsi="Symbol" w:hint="default"/>
      </w:rPr>
    </w:lvl>
    <w:lvl w:ilvl="4" w:tplc="0C090003">
      <w:start w:val="1"/>
      <w:numFmt w:val="bullet"/>
      <w:lvlText w:val="o"/>
      <w:lvlJc w:val="left"/>
      <w:pPr>
        <w:ind w:left="3457" w:hanging="360"/>
      </w:pPr>
      <w:rPr>
        <w:rFonts w:ascii="Courier New" w:hAnsi="Courier New" w:cs="Courier New" w:hint="default"/>
      </w:rPr>
    </w:lvl>
    <w:lvl w:ilvl="5" w:tplc="0C090005">
      <w:start w:val="1"/>
      <w:numFmt w:val="bullet"/>
      <w:lvlText w:val=""/>
      <w:lvlJc w:val="left"/>
      <w:pPr>
        <w:ind w:left="4177" w:hanging="360"/>
      </w:pPr>
      <w:rPr>
        <w:rFonts w:ascii="Wingdings" w:hAnsi="Wingdings" w:hint="default"/>
      </w:rPr>
    </w:lvl>
    <w:lvl w:ilvl="6" w:tplc="0C090001">
      <w:start w:val="1"/>
      <w:numFmt w:val="bullet"/>
      <w:lvlText w:val=""/>
      <w:lvlJc w:val="left"/>
      <w:pPr>
        <w:ind w:left="4897" w:hanging="360"/>
      </w:pPr>
      <w:rPr>
        <w:rFonts w:ascii="Symbol" w:hAnsi="Symbol" w:hint="default"/>
      </w:rPr>
    </w:lvl>
    <w:lvl w:ilvl="7" w:tplc="0C090003">
      <w:start w:val="1"/>
      <w:numFmt w:val="bullet"/>
      <w:lvlText w:val="o"/>
      <w:lvlJc w:val="left"/>
      <w:pPr>
        <w:ind w:left="5617" w:hanging="360"/>
      </w:pPr>
      <w:rPr>
        <w:rFonts w:ascii="Courier New" w:hAnsi="Courier New" w:cs="Courier New" w:hint="default"/>
      </w:rPr>
    </w:lvl>
    <w:lvl w:ilvl="8" w:tplc="0C090005">
      <w:start w:val="1"/>
      <w:numFmt w:val="bullet"/>
      <w:lvlText w:val=""/>
      <w:lvlJc w:val="left"/>
      <w:pPr>
        <w:ind w:left="6337" w:hanging="360"/>
      </w:pPr>
      <w:rPr>
        <w:rFonts w:ascii="Wingdings" w:hAnsi="Wingdings" w:hint="default"/>
      </w:rPr>
    </w:lvl>
  </w:abstractNum>
  <w:abstractNum w:abstractNumId="10" w15:restartNumberingAfterBreak="0">
    <w:nsid w:val="458D67A6"/>
    <w:multiLevelType w:val="hybridMultilevel"/>
    <w:tmpl w:val="DEA2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8241825"/>
    <w:multiLevelType w:val="hybridMultilevel"/>
    <w:tmpl w:val="FF5065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AB76158"/>
    <w:multiLevelType w:val="hybridMultilevel"/>
    <w:tmpl w:val="5D6A4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5" w15:restartNumberingAfterBreak="0">
    <w:nsid w:val="666A383F"/>
    <w:multiLevelType w:val="hybridMultilevel"/>
    <w:tmpl w:val="EEB63D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11"/>
  </w:num>
  <w:num w:numId="4">
    <w:abstractNumId w:val="8"/>
  </w:num>
  <w:num w:numId="5">
    <w:abstractNumId w:val="3"/>
  </w:num>
  <w:num w:numId="6">
    <w:abstractNumId w:val="16"/>
  </w:num>
  <w:num w:numId="7">
    <w:abstractNumId w:val="6"/>
  </w:num>
  <w:num w:numId="8">
    <w:abstractNumId w:val="4"/>
  </w:num>
  <w:num w:numId="9">
    <w:abstractNumId w:val="1"/>
  </w:num>
  <w:num w:numId="10">
    <w:abstractNumId w:val="7"/>
  </w:num>
  <w:num w:numId="11">
    <w:abstractNumId w:val="5"/>
  </w:num>
  <w:num w:numId="12">
    <w:abstractNumId w:val="15"/>
  </w:num>
  <w:num w:numId="13">
    <w:abstractNumId w:val="9"/>
  </w:num>
  <w:num w:numId="14">
    <w:abstractNumId w:val="10"/>
  </w:num>
  <w:num w:numId="15">
    <w:abstractNumId w:val="13"/>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4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7D"/>
    <w:rsid w:val="0000028A"/>
    <w:rsid w:val="0001162E"/>
    <w:rsid w:val="0001397B"/>
    <w:rsid w:val="00014389"/>
    <w:rsid w:val="00016ABD"/>
    <w:rsid w:val="00024634"/>
    <w:rsid w:val="00024F1C"/>
    <w:rsid w:val="00030555"/>
    <w:rsid w:val="00031E49"/>
    <w:rsid w:val="00046D30"/>
    <w:rsid w:val="0004714E"/>
    <w:rsid w:val="000632B7"/>
    <w:rsid w:val="00063F01"/>
    <w:rsid w:val="000703F3"/>
    <w:rsid w:val="000708D5"/>
    <w:rsid w:val="000744C2"/>
    <w:rsid w:val="000805C6"/>
    <w:rsid w:val="0009305C"/>
    <w:rsid w:val="000A5553"/>
    <w:rsid w:val="000B2AF9"/>
    <w:rsid w:val="000B3369"/>
    <w:rsid w:val="000B4313"/>
    <w:rsid w:val="000B4F11"/>
    <w:rsid w:val="000B6738"/>
    <w:rsid w:val="000D1304"/>
    <w:rsid w:val="000D28C0"/>
    <w:rsid w:val="000D3208"/>
    <w:rsid w:val="000D3717"/>
    <w:rsid w:val="000D68F5"/>
    <w:rsid w:val="000E406F"/>
    <w:rsid w:val="000E52C4"/>
    <w:rsid w:val="000E7183"/>
    <w:rsid w:val="000F05D5"/>
    <w:rsid w:val="000F6967"/>
    <w:rsid w:val="0010394D"/>
    <w:rsid w:val="001047FA"/>
    <w:rsid w:val="00106998"/>
    <w:rsid w:val="0011320E"/>
    <w:rsid w:val="0011587E"/>
    <w:rsid w:val="00120488"/>
    <w:rsid w:val="0013119F"/>
    <w:rsid w:val="00140CC3"/>
    <w:rsid w:val="00144E78"/>
    <w:rsid w:val="00170906"/>
    <w:rsid w:val="00171D23"/>
    <w:rsid w:val="001734E5"/>
    <w:rsid w:val="001738F0"/>
    <w:rsid w:val="001810B2"/>
    <w:rsid w:val="001835FC"/>
    <w:rsid w:val="001904F9"/>
    <w:rsid w:val="001A29AB"/>
    <w:rsid w:val="001C0908"/>
    <w:rsid w:val="001C5F44"/>
    <w:rsid w:val="001D38D0"/>
    <w:rsid w:val="001E1FE3"/>
    <w:rsid w:val="001E68AD"/>
    <w:rsid w:val="001F5344"/>
    <w:rsid w:val="001F59E9"/>
    <w:rsid w:val="002007BA"/>
    <w:rsid w:val="00204DB4"/>
    <w:rsid w:val="002075FB"/>
    <w:rsid w:val="00211150"/>
    <w:rsid w:val="002150CF"/>
    <w:rsid w:val="00216150"/>
    <w:rsid w:val="00220228"/>
    <w:rsid w:val="00220C3F"/>
    <w:rsid w:val="00223C4D"/>
    <w:rsid w:val="002335F9"/>
    <w:rsid w:val="002341B8"/>
    <w:rsid w:val="00237031"/>
    <w:rsid w:val="00241E9E"/>
    <w:rsid w:val="002440EA"/>
    <w:rsid w:val="002460D4"/>
    <w:rsid w:val="00250988"/>
    <w:rsid w:val="00255313"/>
    <w:rsid w:val="00256ACE"/>
    <w:rsid w:val="002743B5"/>
    <w:rsid w:val="002861D6"/>
    <w:rsid w:val="00287BC5"/>
    <w:rsid w:val="002943DE"/>
    <w:rsid w:val="002A12A4"/>
    <w:rsid w:val="002A1CF2"/>
    <w:rsid w:val="002A38E4"/>
    <w:rsid w:val="002A42C5"/>
    <w:rsid w:val="002A46E6"/>
    <w:rsid w:val="002A489D"/>
    <w:rsid w:val="002A5152"/>
    <w:rsid w:val="002A7FDE"/>
    <w:rsid w:val="002B7E02"/>
    <w:rsid w:val="002D7DE4"/>
    <w:rsid w:val="002E3BD6"/>
    <w:rsid w:val="002E5B33"/>
    <w:rsid w:val="002F02D9"/>
    <w:rsid w:val="002F0F71"/>
    <w:rsid w:val="002F5086"/>
    <w:rsid w:val="002F62A6"/>
    <w:rsid w:val="00302B1F"/>
    <w:rsid w:val="00303527"/>
    <w:rsid w:val="00305656"/>
    <w:rsid w:val="00312E87"/>
    <w:rsid w:val="00320F76"/>
    <w:rsid w:val="00322CA5"/>
    <w:rsid w:val="00324A59"/>
    <w:rsid w:val="003335F7"/>
    <w:rsid w:val="00337EC3"/>
    <w:rsid w:val="003419C9"/>
    <w:rsid w:val="00347546"/>
    <w:rsid w:val="00353068"/>
    <w:rsid w:val="00354EC5"/>
    <w:rsid w:val="00367958"/>
    <w:rsid w:val="00367CA3"/>
    <w:rsid w:val="00372FDE"/>
    <w:rsid w:val="00380699"/>
    <w:rsid w:val="003875C3"/>
    <w:rsid w:val="00392260"/>
    <w:rsid w:val="0039594A"/>
    <w:rsid w:val="0039641E"/>
    <w:rsid w:val="003B0143"/>
    <w:rsid w:val="003B6CFA"/>
    <w:rsid w:val="003C19F8"/>
    <w:rsid w:val="003C3009"/>
    <w:rsid w:val="003C3492"/>
    <w:rsid w:val="003E2DEC"/>
    <w:rsid w:val="003E3C69"/>
    <w:rsid w:val="003E5ACC"/>
    <w:rsid w:val="003F12A1"/>
    <w:rsid w:val="003F7763"/>
    <w:rsid w:val="00400291"/>
    <w:rsid w:val="004037A1"/>
    <w:rsid w:val="004039DB"/>
    <w:rsid w:val="004074CD"/>
    <w:rsid w:val="00416C9D"/>
    <w:rsid w:val="00432A2F"/>
    <w:rsid w:val="0043706A"/>
    <w:rsid w:val="00446F57"/>
    <w:rsid w:val="0044777F"/>
    <w:rsid w:val="0045488C"/>
    <w:rsid w:val="00462DAC"/>
    <w:rsid w:val="004638C9"/>
    <w:rsid w:val="00467522"/>
    <w:rsid w:val="00475539"/>
    <w:rsid w:val="00477C5E"/>
    <w:rsid w:val="00482284"/>
    <w:rsid w:val="004874F1"/>
    <w:rsid w:val="00494A29"/>
    <w:rsid w:val="0049673E"/>
    <w:rsid w:val="004968F4"/>
    <w:rsid w:val="004A47FF"/>
    <w:rsid w:val="004A7506"/>
    <w:rsid w:val="004A76AD"/>
    <w:rsid w:val="004C071C"/>
    <w:rsid w:val="004C0A09"/>
    <w:rsid w:val="004C3700"/>
    <w:rsid w:val="004C3BA5"/>
    <w:rsid w:val="004D08BF"/>
    <w:rsid w:val="004D2DFC"/>
    <w:rsid w:val="004D3785"/>
    <w:rsid w:val="004E4BB3"/>
    <w:rsid w:val="004E58AE"/>
    <w:rsid w:val="004E61E5"/>
    <w:rsid w:val="004E7F92"/>
    <w:rsid w:val="004F22AF"/>
    <w:rsid w:val="004F53A2"/>
    <w:rsid w:val="005060C3"/>
    <w:rsid w:val="005156A1"/>
    <w:rsid w:val="00524927"/>
    <w:rsid w:val="005334F6"/>
    <w:rsid w:val="00533EC6"/>
    <w:rsid w:val="00551121"/>
    <w:rsid w:val="00555CC5"/>
    <w:rsid w:val="00556A91"/>
    <w:rsid w:val="0056006F"/>
    <w:rsid w:val="00565922"/>
    <w:rsid w:val="00566485"/>
    <w:rsid w:val="00575B97"/>
    <w:rsid w:val="00576AE4"/>
    <w:rsid w:val="00583A1F"/>
    <w:rsid w:val="00591511"/>
    <w:rsid w:val="005A4700"/>
    <w:rsid w:val="005B1359"/>
    <w:rsid w:val="005C51C0"/>
    <w:rsid w:val="005C529C"/>
    <w:rsid w:val="005C583B"/>
    <w:rsid w:val="005D0350"/>
    <w:rsid w:val="005D06F6"/>
    <w:rsid w:val="005F0519"/>
    <w:rsid w:val="00606B1D"/>
    <w:rsid w:val="00606D5B"/>
    <w:rsid w:val="00607CF8"/>
    <w:rsid w:val="00613975"/>
    <w:rsid w:val="0062060A"/>
    <w:rsid w:val="00620C2B"/>
    <w:rsid w:val="006227C5"/>
    <w:rsid w:val="00632E20"/>
    <w:rsid w:val="00636B27"/>
    <w:rsid w:val="006378CF"/>
    <w:rsid w:val="00637912"/>
    <w:rsid w:val="00651D78"/>
    <w:rsid w:val="00655D5C"/>
    <w:rsid w:val="00670168"/>
    <w:rsid w:val="00674FEC"/>
    <w:rsid w:val="00680915"/>
    <w:rsid w:val="00695D28"/>
    <w:rsid w:val="006A4BE8"/>
    <w:rsid w:val="006C196C"/>
    <w:rsid w:val="006C1CD8"/>
    <w:rsid w:val="006E0C7B"/>
    <w:rsid w:val="006F223F"/>
    <w:rsid w:val="006F3F91"/>
    <w:rsid w:val="006F40D1"/>
    <w:rsid w:val="00702619"/>
    <w:rsid w:val="007042B6"/>
    <w:rsid w:val="00704ABF"/>
    <w:rsid w:val="00704E74"/>
    <w:rsid w:val="00706EFA"/>
    <w:rsid w:val="00713AE1"/>
    <w:rsid w:val="00717D24"/>
    <w:rsid w:val="00720097"/>
    <w:rsid w:val="00735D52"/>
    <w:rsid w:val="00742251"/>
    <w:rsid w:val="00743998"/>
    <w:rsid w:val="00751128"/>
    <w:rsid w:val="0075364D"/>
    <w:rsid w:val="0075656A"/>
    <w:rsid w:val="007572F6"/>
    <w:rsid w:val="00757A9A"/>
    <w:rsid w:val="007605AB"/>
    <w:rsid w:val="0076473F"/>
    <w:rsid w:val="00770B47"/>
    <w:rsid w:val="0078027D"/>
    <w:rsid w:val="00784382"/>
    <w:rsid w:val="00784C6F"/>
    <w:rsid w:val="0079164A"/>
    <w:rsid w:val="00794439"/>
    <w:rsid w:val="007A244F"/>
    <w:rsid w:val="007A29FA"/>
    <w:rsid w:val="007A361E"/>
    <w:rsid w:val="007A73D0"/>
    <w:rsid w:val="007C0EDE"/>
    <w:rsid w:val="007D085A"/>
    <w:rsid w:val="007D6662"/>
    <w:rsid w:val="0080031A"/>
    <w:rsid w:val="0080046E"/>
    <w:rsid w:val="008068F2"/>
    <w:rsid w:val="00815D6B"/>
    <w:rsid w:val="0081702A"/>
    <w:rsid w:val="00821E75"/>
    <w:rsid w:val="008240F8"/>
    <w:rsid w:val="00826000"/>
    <w:rsid w:val="008261B0"/>
    <w:rsid w:val="00842F8C"/>
    <w:rsid w:val="00850073"/>
    <w:rsid w:val="008555E7"/>
    <w:rsid w:val="00861E1B"/>
    <w:rsid w:val="0086299E"/>
    <w:rsid w:val="0086603E"/>
    <w:rsid w:val="00871023"/>
    <w:rsid w:val="0088217A"/>
    <w:rsid w:val="00894749"/>
    <w:rsid w:val="00894EFB"/>
    <w:rsid w:val="008A2AB1"/>
    <w:rsid w:val="008A5929"/>
    <w:rsid w:val="008B0E06"/>
    <w:rsid w:val="008B0E22"/>
    <w:rsid w:val="008B2F05"/>
    <w:rsid w:val="008B7160"/>
    <w:rsid w:val="008C185A"/>
    <w:rsid w:val="008C6E23"/>
    <w:rsid w:val="008D676E"/>
    <w:rsid w:val="008D72BA"/>
    <w:rsid w:val="008E0965"/>
    <w:rsid w:val="008E0ECF"/>
    <w:rsid w:val="008F3700"/>
    <w:rsid w:val="00901BD8"/>
    <w:rsid w:val="0090223A"/>
    <w:rsid w:val="0090275A"/>
    <w:rsid w:val="009044AF"/>
    <w:rsid w:val="009075BC"/>
    <w:rsid w:val="009224BE"/>
    <w:rsid w:val="00924932"/>
    <w:rsid w:val="00934AD5"/>
    <w:rsid w:val="00947987"/>
    <w:rsid w:val="00952903"/>
    <w:rsid w:val="00957F9F"/>
    <w:rsid w:val="0096598E"/>
    <w:rsid w:val="00965B48"/>
    <w:rsid w:val="00972B1B"/>
    <w:rsid w:val="0098248A"/>
    <w:rsid w:val="009913E2"/>
    <w:rsid w:val="00991AFC"/>
    <w:rsid w:val="009B2F04"/>
    <w:rsid w:val="009B506A"/>
    <w:rsid w:val="009B6E95"/>
    <w:rsid w:val="009B735A"/>
    <w:rsid w:val="009B7CBE"/>
    <w:rsid w:val="009C73A4"/>
    <w:rsid w:val="009C7FD0"/>
    <w:rsid w:val="009D1D30"/>
    <w:rsid w:val="009E299C"/>
    <w:rsid w:val="009E4F41"/>
    <w:rsid w:val="009E6539"/>
    <w:rsid w:val="009F0ED6"/>
    <w:rsid w:val="009F1DCB"/>
    <w:rsid w:val="009F42BE"/>
    <w:rsid w:val="009F5E7E"/>
    <w:rsid w:val="00A019A3"/>
    <w:rsid w:val="00A02424"/>
    <w:rsid w:val="00A07C14"/>
    <w:rsid w:val="00A12FBF"/>
    <w:rsid w:val="00A24F2E"/>
    <w:rsid w:val="00A2554D"/>
    <w:rsid w:val="00A26805"/>
    <w:rsid w:val="00A30C67"/>
    <w:rsid w:val="00A32110"/>
    <w:rsid w:val="00A42840"/>
    <w:rsid w:val="00A42D88"/>
    <w:rsid w:val="00A43287"/>
    <w:rsid w:val="00A53823"/>
    <w:rsid w:val="00A55002"/>
    <w:rsid w:val="00A56ED7"/>
    <w:rsid w:val="00A61170"/>
    <w:rsid w:val="00A62091"/>
    <w:rsid w:val="00A6292D"/>
    <w:rsid w:val="00A62D7E"/>
    <w:rsid w:val="00A65A43"/>
    <w:rsid w:val="00A66732"/>
    <w:rsid w:val="00A706C5"/>
    <w:rsid w:val="00A72468"/>
    <w:rsid w:val="00A74BD3"/>
    <w:rsid w:val="00A808EE"/>
    <w:rsid w:val="00A85771"/>
    <w:rsid w:val="00A90F44"/>
    <w:rsid w:val="00A913CA"/>
    <w:rsid w:val="00A94DD0"/>
    <w:rsid w:val="00A9721F"/>
    <w:rsid w:val="00AA1F67"/>
    <w:rsid w:val="00AA6D36"/>
    <w:rsid w:val="00AA6F27"/>
    <w:rsid w:val="00AB06AE"/>
    <w:rsid w:val="00AC7A6D"/>
    <w:rsid w:val="00AD3357"/>
    <w:rsid w:val="00AE346B"/>
    <w:rsid w:val="00AE3F52"/>
    <w:rsid w:val="00AF4A3C"/>
    <w:rsid w:val="00B006A1"/>
    <w:rsid w:val="00B10521"/>
    <w:rsid w:val="00B22BA3"/>
    <w:rsid w:val="00B26FF7"/>
    <w:rsid w:val="00B43E46"/>
    <w:rsid w:val="00B44CA8"/>
    <w:rsid w:val="00B67244"/>
    <w:rsid w:val="00B77A97"/>
    <w:rsid w:val="00B80FE3"/>
    <w:rsid w:val="00BA3F70"/>
    <w:rsid w:val="00BA5A7D"/>
    <w:rsid w:val="00BB712B"/>
    <w:rsid w:val="00BC0474"/>
    <w:rsid w:val="00BC1FB7"/>
    <w:rsid w:val="00BC513E"/>
    <w:rsid w:val="00BC55C3"/>
    <w:rsid w:val="00BD3C79"/>
    <w:rsid w:val="00BD6EBF"/>
    <w:rsid w:val="00BE32A3"/>
    <w:rsid w:val="00BE58B8"/>
    <w:rsid w:val="00BE7D88"/>
    <w:rsid w:val="00BF684D"/>
    <w:rsid w:val="00BF6FDE"/>
    <w:rsid w:val="00C110F0"/>
    <w:rsid w:val="00C2561B"/>
    <w:rsid w:val="00C26A1C"/>
    <w:rsid w:val="00C3248D"/>
    <w:rsid w:val="00C333D1"/>
    <w:rsid w:val="00C355A7"/>
    <w:rsid w:val="00C4326C"/>
    <w:rsid w:val="00C44762"/>
    <w:rsid w:val="00C464A5"/>
    <w:rsid w:val="00C50B10"/>
    <w:rsid w:val="00C637FB"/>
    <w:rsid w:val="00C7082F"/>
    <w:rsid w:val="00C847AD"/>
    <w:rsid w:val="00C91B1E"/>
    <w:rsid w:val="00C9315F"/>
    <w:rsid w:val="00C9450F"/>
    <w:rsid w:val="00C94D2C"/>
    <w:rsid w:val="00CA0C65"/>
    <w:rsid w:val="00CA2B5C"/>
    <w:rsid w:val="00CB7D91"/>
    <w:rsid w:val="00CD0E5A"/>
    <w:rsid w:val="00CD3345"/>
    <w:rsid w:val="00CE363F"/>
    <w:rsid w:val="00CE3D26"/>
    <w:rsid w:val="00CF4E65"/>
    <w:rsid w:val="00D06895"/>
    <w:rsid w:val="00D1123D"/>
    <w:rsid w:val="00D15B5D"/>
    <w:rsid w:val="00D22393"/>
    <w:rsid w:val="00D230A2"/>
    <w:rsid w:val="00D3127D"/>
    <w:rsid w:val="00D45E00"/>
    <w:rsid w:val="00D46559"/>
    <w:rsid w:val="00D5330C"/>
    <w:rsid w:val="00D54EAF"/>
    <w:rsid w:val="00D641C2"/>
    <w:rsid w:val="00D65DDC"/>
    <w:rsid w:val="00D85166"/>
    <w:rsid w:val="00D87943"/>
    <w:rsid w:val="00D905C6"/>
    <w:rsid w:val="00D93415"/>
    <w:rsid w:val="00D95CFA"/>
    <w:rsid w:val="00DA049A"/>
    <w:rsid w:val="00DA0B64"/>
    <w:rsid w:val="00DB0BAD"/>
    <w:rsid w:val="00DB17AB"/>
    <w:rsid w:val="00DB3394"/>
    <w:rsid w:val="00DB589E"/>
    <w:rsid w:val="00DB598A"/>
    <w:rsid w:val="00DB63C7"/>
    <w:rsid w:val="00DC3F72"/>
    <w:rsid w:val="00DC6B74"/>
    <w:rsid w:val="00DD24B0"/>
    <w:rsid w:val="00DD5B1D"/>
    <w:rsid w:val="00DD66E2"/>
    <w:rsid w:val="00DD675E"/>
    <w:rsid w:val="00DE5D27"/>
    <w:rsid w:val="00DE6421"/>
    <w:rsid w:val="00DE6C5F"/>
    <w:rsid w:val="00DF599B"/>
    <w:rsid w:val="00DF703C"/>
    <w:rsid w:val="00E05DC5"/>
    <w:rsid w:val="00E069A5"/>
    <w:rsid w:val="00E118C7"/>
    <w:rsid w:val="00E16367"/>
    <w:rsid w:val="00E224FF"/>
    <w:rsid w:val="00E229AC"/>
    <w:rsid w:val="00E239BA"/>
    <w:rsid w:val="00E331E0"/>
    <w:rsid w:val="00E47E9A"/>
    <w:rsid w:val="00E508BC"/>
    <w:rsid w:val="00E60ACD"/>
    <w:rsid w:val="00E7686D"/>
    <w:rsid w:val="00E77EAA"/>
    <w:rsid w:val="00E86609"/>
    <w:rsid w:val="00E90974"/>
    <w:rsid w:val="00E95308"/>
    <w:rsid w:val="00EA02A3"/>
    <w:rsid w:val="00EA54DE"/>
    <w:rsid w:val="00EA6994"/>
    <w:rsid w:val="00EB0142"/>
    <w:rsid w:val="00EB0C3C"/>
    <w:rsid w:val="00EE1E21"/>
    <w:rsid w:val="00EE1E65"/>
    <w:rsid w:val="00EE5442"/>
    <w:rsid w:val="00EF026E"/>
    <w:rsid w:val="00F04BCB"/>
    <w:rsid w:val="00F13F3C"/>
    <w:rsid w:val="00F20487"/>
    <w:rsid w:val="00F215D2"/>
    <w:rsid w:val="00F23F38"/>
    <w:rsid w:val="00F25545"/>
    <w:rsid w:val="00F40665"/>
    <w:rsid w:val="00F43732"/>
    <w:rsid w:val="00F50BDE"/>
    <w:rsid w:val="00F52E0A"/>
    <w:rsid w:val="00F562A0"/>
    <w:rsid w:val="00F605F7"/>
    <w:rsid w:val="00F72B54"/>
    <w:rsid w:val="00F75206"/>
    <w:rsid w:val="00F82673"/>
    <w:rsid w:val="00F83FA8"/>
    <w:rsid w:val="00F924D9"/>
    <w:rsid w:val="00FC4900"/>
    <w:rsid w:val="00FD6C20"/>
    <w:rsid w:val="00FD7D78"/>
    <w:rsid w:val="00FE2750"/>
    <w:rsid w:val="00FE52DE"/>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2DE3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paragraph" w:styleId="Heading8">
    <w:name w:val="heading 8"/>
    <w:basedOn w:val="Normal"/>
    <w:next w:val="Normal"/>
    <w:link w:val="Heading8Char"/>
    <w:rsid w:val="00702619"/>
    <w:pPr>
      <w:keepNext/>
      <w:widowControl w:val="0"/>
      <w:jc w:val="right"/>
      <w:outlineLvl w:val="7"/>
    </w:pPr>
    <w:rPr>
      <w:rFonts w:ascii="Calibri" w:hAnsi="Calibri" w:cs="Arial"/>
      <w:b/>
      <w:snapToGrid w:val="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632E20"/>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link w:val="TitleChar"/>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aliases w:val="Numbered para,BulletPoints,V5.0 Exec bullet List 1,Footnote,Bullet point,List Paragraph1,List Paragraph11,Recommendation,ES Paragraph,PBAC ES Paragraph,PBAC normal points,Bullet List,Bullets Points,Styl moj,Akapit z listą1,Section heading"/>
    <w:basedOn w:val="Normal"/>
    <w:link w:val="ListParagraphChar"/>
    <w:uiPriority w:val="34"/>
    <w:qFormat/>
    <w:rsid w:val="001810B2"/>
    <w:pPr>
      <w:ind w:left="720"/>
      <w:contextualSpacing/>
    </w:pPr>
    <w:rPr>
      <w:szCs w:val="24"/>
    </w:rPr>
  </w:style>
  <w:style w:type="character" w:customStyle="1" w:styleId="ListParagraphChar">
    <w:name w:val="List Paragraph Char"/>
    <w:aliases w:val="Numbered para Char,BulletPoints Char,V5.0 Exec bullet List 1 Char,Footnote Char,Bullet point Char,List Paragraph1 Char,List Paragraph11 Char,Recommendation Char,ES Paragraph Char,PBAC ES Paragraph Char,PBAC normal points Char"/>
    <w:link w:val="ListParagraph"/>
    <w:uiPriority w:val="34"/>
    <w:qFormat/>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basedOn w:val="DefaultParagraphFont"/>
    <w:semiHidden/>
    <w:unhideWhenUsed/>
    <w:rsid w:val="00D22393"/>
    <w:rPr>
      <w:sz w:val="16"/>
      <w:szCs w:val="16"/>
    </w:rPr>
  </w:style>
  <w:style w:type="paragraph" w:styleId="CommentText">
    <w:name w:val="annotation text"/>
    <w:basedOn w:val="Normal"/>
    <w:link w:val="CommentTextChar"/>
    <w:semiHidden/>
    <w:unhideWhenUsed/>
    <w:rsid w:val="00D22393"/>
    <w:rPr>
      <w:sz w:val="20"/>
    </w:rPr>
  </w:style>
  <w:style w:type="character" w:customStyle="1" w:styleId="CommentTextChar">
    <w:name w:val="Comment Text Char"/>
    <w:basedOn w:val="DefaultParagraphFont"/>
    <w:link w:val="CommentText"/>
    <w:semiHidden/>
    <w:rsid w:val="00D22393"/>
  </w:style>
  <w:style w:type="paragraph" w:styleId="CommentSubject">
    <w:name w:val="annotation subject"/>
    <w:basedOn w:val="CommentText"/>
    <w:next w:val="CommentText"/>
    <w:link w:val="CommentSubjectChar"/>
    <w:semiHidden/>
    <w:unhideWhenUsed/>
    <w:rsid w:val="00D22393"/>
    <w:rPr>
      <w:b/>
      <w:bCs/>
    </w:rPr>
  </w:style>
  <w:style w:type="character" w:customStyle="1" w:styleId="CommentSubjectChar">
    <w:name w:val="Comment Subject Char"/>
    <w:basedOn w:val="CommentTextChar"/>
    <w:link w:val="CommentSubject"/>
    <w:semiHidden/>
    <w:rsid w:val="00D22393"/>
    <w:rPr>
      <w:b/>
      <w:bCs/>
    </w:rPr>
  </w:style>
  <w:style w:type="character" w:customStyle="1" w:styleId="Heading8Char">
    <w:name w:val="Heading 8 Char"/>
    <w:basedOn w:val="DefaultParagraphFont"/>
    <w:link w:val="Heading8"/>
    <w:rsid w:val="00702619"/>
    <w:rPr>
      <w:rFonts w:ascii="Calibri" w:hAnsi="Calibri" w:cs="Arial"/>
      <w:b/>
      <w:snapToGrid w:val="0"/>
      <w:sz w:val="24"/>
      <w:szCs w:val="22"/>
      <w:lang w:eastAsia="en-US"/>
    </w:rPr>
  </w:style>
  <w:style w:type="paragraph" w:customStyle="1" w:styleId="2Sections">
    <w:name w:val="2. Sections"/>
    <w:qFormat/>
    <w:rsid w:val="00566485"/>
    <w:pPr>
      <w:tabs>
        <w:tab w:val="num" w:pos="360"/>
      </w:tabs>
      <w:spacing w:before="240" w:after="120"/>
      <w:outlineLvl w:val="0"/>
    </w:pPr>
    <w:rPr>
      <w:rFonts w:ascii="Calibri" w:hAnsi="Calibri" w:cs="Arial"/>
      <w:b/>
      <w:snapToGrid w:val="0"/>
      <w:sz w:val="32"/>
      <w:szCs w:val="32"/>
      <w:lang w:eastAsia="en-US"/>
    </w:rPr>
  </w:style>
  <w:style w:type="paragraph" w:customStyle="1" w:styleId="3Bodytext">
    <w:name w:val="3. Body text"/>
    <w:basedOn w:val="ListParagraph"/>
    <w:link w:val="3BodytextChar"/>
    <w:qFormat/>
    <w:rsid w:val="00566485"/>
    <w:pPr>
      <w:spacing w:after="120"/>
      <w:ind w:hanging="720"/>
      <w:contextualSpacing w:val="0"/>
      <w:jc w:val="both"/>
    </w:pPr>
    <w:rPr>
      <w:rFonts w:ascii="Calibri" w:eastAsia="Calibri" w:hAnsi="Calibri"/>
      <w:szCs w:val="22"/>
      <w:lang w:eastAsia="en-US"/>
    </w:rPr>
  </w:style>
  <w:style w:type="character" w:customStyle="1" w:styleId="3BodytextChar">
    <w:name w:val="3. Body text Char"/>
    <w:link w:val="3Bodytext"/>
    <w:rsid w:val="00566485"/>
    <w:rPr>
      <w:rFonts w:ascii="Calibri" w:eastAsia="Calibri" w:hAnsi="Calibri"/>
      <w:sz w:val="24"/>
      <w:szCs w:val="22"/>
      <w:lang w:eastAsia="en-US"/>
    </w:rPr>
  </w:style>
  <w:style w:type="paragraph" w:customStyle="1" w:styleId="2-SectionHeading">
    <w:name w:val="2-Section Heading"/>
    <w:qFormat/>
    <w:rsid w:val="00DF599B"/>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DF599B"/>
    <w:pPr>
      <w:spacing w:after="120"/>
      <w:ind w:hanging="720"/>
      <w:contextualSpacing w:val="0"/>
      <w:jc w:val="both"/>
    </w:pPr>
    <w:rPr>
      <w:rFonts w:asciiTheme="minorHAnsi" w:hAnsiTheme="minorHAnsi" w:cs="Arial"/>
      <w:snapToGrid w:val="0"/>
    </w:rPr>
  </w:style>
  <w:style w:type="character" w:customStyle="1" w:styleId="3-BodyTextChar">
    <w:name w:val="3-Body Text Char"/>
    <w:basedOn w:val="DefaultParagraphFont"/>
    <w:link w:val="3-BodyText"/>
    <w:rsid w:val="00DF599B"/>
    <w:rPr>
      <w:rFonts w:asciiTheme="minorHAnsi" w:hAnsiTheme="minorHAnsi" w:cs="Arial"/>
      <w:snapToGrid w:val="0"/>
      <w:sz w:val="24"/>
      <w:szCs w:val="24"/>
    </w:rPr>
  </w:style>
  <w:style w:type="character" w:customStyle="1" w:styleId="TitleChar">
    <w:name w:val="Title Char"/>
    <w:basedOn w:val="DefaultParagraphFont"/>
    <w:link w:val="Title"/>
    <w:rsid w:val="001904F9"/>
    <w:rPr>
      <w:rFonts w:ascii="Arial" w:hAnsi="Arial"/>
      <w:b/>
    </w:rPr>
  </w:style>
  <w:style w:type="character" w:styleId="FollowedHyperlink">
    <w:name w:val="FollowedHyperlink"/>
    <w:basedOn w:val="DefaultParagraphFont"/>
    <w:semiHidden/>
    <w:unhideWhenUsed/>
    <w:rsid w:val="002A12A4"/>
    <w:rPr>
      <w:color w:val="800080" w:themeColor="followedHyperlink"/>
      <w:u w:val="single"/>
    </w:rPr>
  </w:style>
  <w:style w:type="paragraph" w:customStyle="1" w:styleId="Default">
    <w:name w:val="Default"/>
    <w:rsid w:val="00BB712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407">
      <w:bodyDiv w:val="1"/>
      <w:marLeft w:val="0"/>
      <w:marRight w:val="0"/>
      <w:marTop w:val="0"/>
      <w:marBottom w:val="0"/>
      <w:divBdr>
        <w:top w:val="none" w:sz="0" w:space="0" w:color="auto"/>
        <w:left w:val="none" w:sz="0" w:space="0" w:color="auto"/>
        <w:bottom w:val="none" w:sz="0" w:space="0" w:color="auto"/>
        <w:right w:val="none" w:sz="0" w:space="0" w:color="auto"/>
      </w:divBdr>
    </w:div>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308173203">
      <w:bodyDiv w:val="1"/>
      <w:marLeft w:val="0"/>
      <w:marRight w:val="0"/>
      <w:marTop w:val="0"/>
      <w:marBottom w:val="0"/>
      <w:divBdr>
        <w:top w:val="none" w:sz="0" w:space="0" w:color="auto"/>
        <w:left w:val="none" w:sz="0" w:space="0" w:color="auto"/>
        <w:bottom w:val="none" w:sz="0" w:space="0" w:color="auto"/>
        <w:right w:val="none" w:sz="0" w:space="0" w:color="auto"/>
      </w:divBdr>
    </w:div>
    <w:div w:id="371346629">
      <w:bodyDiv w:val="1"/>
      <w:marLeft w:val="0"/>
      <w:marRight w:val="0"/>
      <w:marTop w:val="0"/>
      <w:marBottom w:val="0"/>
      <w:divBdr>
        <w:top w:val="none" w:sz="0" w:space="0" w:color="auto"/>
        <w:left w:val="none" w:sz="0" w:space="0" w:color="auto"/>
        <w:bottom w:val="none" w:sz="0" w:space="0" w:color="auto"/>
        <w:right w:val="none" w:sz="0" w:space="0" w:color="auto"/>
      </w:divBdr>
    </w:div>
    <w:div w:id="501899143">
      <w:bodyDiv w:val="1"/>
      <w:marLeft w:val="0"/>
      <w:marRight w:val="0"/>
      <w:marTop w:val="0"/>
      <w:marBottom w:val="0"/>
      <w:divBdr>
        <w:top w:val="none" w:sz="0" w:space="0" w:color="auto"/>
        <w:left w:val="none" w:sz="0" w:space="0" w:color="auto"/>
        <w:bottom w:val="none" w:sz="0" w:space="0" w:color="auto"/>
        <w:right w:val="none" w:sz="0" w:space="0" w:color="auto"/>
      </w:divBdr>
    </w:div>
    <w:div w:id="510484548">
      <w:bodyDiv w:val="1"/>
      <w:marLeft w:val="0"/>
      <w:marRight w:val="0"/>
      <w:marTop w:val="0"/>
      <w:marBottom w:val="0"/>
      <w:divBdr>
        <w:top w:val="none" w:sz="0" w:space="0" w:color="auto"/>
        <w:left w:val="none" w:sz="0" w:space="0" w:color="auto"/>
        <w:bottom w:val="none" w:sz="0" w:space="0" w:color="auto"/>
        <w:right w:val="none" w:sz="0" w:space="0" w:color="auto"/>
      </w:divBdr>
    </w:div>
    <w:div w:id="533423563">
      <w:bodyDiv w:val="1"/>
      <w:marLeft w:val="0"/>
      <w:marRight w:val="0"/>
      <w:marTop w:val="0"/>
      <w:marBottom w:val="0"/>
      <w:divBdr>
        <w:top w:val="none" w:sz="0" w:space="0" w:color="auto"/>
        <w:left w:val="none" w:sz="0" w:space="0" w:color="auto"/>
        <w:bottom w:val="none" w:sz="0" w:space="0" w:color="auto"/>
        <w:right w:val="none" w:sz="0" w:space="0" w:color="auto"/>
      </w:divBdr>
    </w:div>
    <w:div w:id="565528882">
      <w:bodyDiv w:val="1"/>
      <w:marLeft w:val="0"/>
      <w:marRight w:val="0"/>
      <w:marTop w:val="0"/>
      <w:marBottom w:val="0"/>
      <w:divBdr>
        <w:top w:val="none" w:sz="0" w:space="0" w:color="auto"/>
        <w:left w:val="none" w:sz="0" w:space="0" w:color="auto"/>
        <w:bottom w:val="none" w:sz="0" w:space="0" w:color="auto"/>
        <w:right w:val="none" w:sz="0" w:space="0" w:color="auto"/>
      </w:divBdr>
    </w:div>
    <w:div w:id="679549730">
      <w:bodyDiv w:val="1"/>
      <w:marLeft w:val="0"/>
      <w:marRight w:val="0"/>
      <w:marTop w:val="0"/>
      <w:marBottom w:val="0"/>
      <w:divBdr>
        <w:top w:val="none" w:sz="0" w:space="0" w:color="auto"/>
        <w:left w:val="none" w:sz="0" w:space="0" w:color="auto"/>
        <w:bottom w:val="none" w:sz="0" w:space="0" w:color="auto"/>
        <w:right w:val="none" w:sz="0" w:space="0" w:color="auto"/>
      </w:divBdr>
    </w:div>
    <w:div w:id="690763098">
      <w:bodyDiv w:val="1"/>
      <w:marLeft w:val="0"/>
      <w:marRight w:val="0"/>
      <w:marTop w:val="0"/>
      <w:marBottom w:val="0"/>
      <w:divBdr>
        <w:top w:val="none" w:sz="0" w:space="0" w:color="auto"/>
        <w:left w:val="none" w:sz="0" w:space="0" w:color="auto"/>
        <w:bottom w:val="none" w:sz="0" w:space="0" w:color="auto"/>
        <w:right w:val="none" w:sz="0" w:space="0" w:color="auto"/>
      </w:divBdr>
    </w:div>
    <w:div w:id="733892412">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744038516">
      <w:bodyDiv w:val="1"/>
      <w:marLeft w:val="0"/>
      <w:marRight w:val="0"/>
      <w:marTop w:val="0"/>
      <w:marBottom w:val="0"/>
      <w:divBdr>
        <w:top w:val="none" w:sz="0" w:space="0" w:color="auto"/>
        <w:left w:val="none" w:sz="0" w:space="0" w:color="auto"/>
        <w:bottom w:val="none" w:sz="0" w:space="0" w:color="auto"/>
        <w:right w:val="none" w:sz="0" w:space="0" w:color="auto"/>
      </w:divBdr>
    </w:div>
    <w:div w:id="800415593">
      <w:bodyDiv w:val="1"/>
      <w:marLeft w:val="0"/>
      <w:marRight w:val="0"/>
      <w:marTop w:val="0"/>
      <w:marBottom w:val="0"/>
      <w:divBdr>
        <w:top w:val="none" w:sz="0" w:space="0" w:color="auto"/>
        <w:left w:val="none" w:sz="0" w:space="0" w:color="auto"/>
        <w:bottom w:val="none" w:sz="0" w:space="0" w:color="auto"/>
        <w:right w:val="none" w:sz="0" w:space="0" w:color="auto"/>
      </w:divBdr>
    </w:div>
    <w:div w:id="812605568">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876116522">
      <w:bodyDiv w:val="1"/>
      <w:marLeft w:val="0"/>
      <w:marRight w:val="0"/>
      <w:marTop w:val="0"/>
      <w:marBottom w:val="0"/>
      <w:divBdr>
        <w:top w:val="none" w:sz="0" w:space="0" w:color="auto"/>
        <w:left w:val="none" w:sz="0" w:space="0" w:color="auto"/>
        <w:bottom w:val="none" w:sz="0" w:space="0" w:color="auto"/>
        <w:right w:val="none" w:sz="0" w:space="0" w:color="auto"/>
      </w:divBdr>
    </w:div>
    <w:div w:id="892497857">
      <w:bodyDiv w:val="1"/>
      <w:marLeft w:val="0"/>
      <w:marRight w:val="0"/>
      <w:marTop w:val="0"/>
      <w:marBottom w:val="0"/>
      <w:divBdr>
        <w:top w:val="none" w:sz="0" w:space="0" w:color="auto"/>
        <w:left w:val="none" w:sz="0" w:space="0" w:color="auto"/>
        <w:bottom w:val="none" w:sz="0" w:space="0" w:color="auto"/>
        <w:right w:val="none" w:sz="0" w:space="0" w:color="auto"/>
      </w:divBdr>
    </w:div>
    <w:div w:id="949552994">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047990280">
      <w:bodyDiv w:val="1"/>
      <w:marLeft w:val="0"/>
      <w:marRight w:val="0"/>
      <w:marTop w:val="0"/>
      <w:marBottom w:val="0"/>
      <w:divBdr>
        <w:top w:val="none" w:sz="0" w:space="0" w:color="auto"/>
        <w:left w:val="none" w:sz="0" w:space="0" w:color="auto"/>
        <w:bottom w:val="none" w:sz="0" w:space="0" w:color="auto"/>
        <w:right w:val="none" w:sz="0" w:space="0" w:color="auto"/>
      </w:divBdr>
    </w:div>
    <w:div w:id="1051613013">
      <w:bodyDiv w:val="1"/>
      <w:marLeft w:val="0"/>
      <w:marRight w:val="0"/>
      <w:marTop w:val="0"/>
      <w:marBottom w:val="0"/>
      <w:divBdr>
        <w:top w:val="none" w:sz="0" w:space="0" w:color="auto"/>
        <w:left w:val="none" w:sz="0" w:space="0" w:color="auto"/>
        <w:bottom w:val="none" w:sz="0" w:space="0" w:color="auto"/>
        <w:right w:val="none" w:sz="0" w:space="0" w:color="auto"/>
      </w:divBdr>
    </w:div>
    <w:div w:id="1312367795">
      <w:bodyDiv w:val="1"/>
      <w:marLeft w:val="0"/>
      <w:marRight w:val="0"/>
      <w:marTop w:val="0"/>
      <w:marBottom w:val="0"/>
      <w:divBdr>
        <w:top w:val="none" w:sz="0" w:space="0" w:color="auto"/>
        <w:left w:val="none" w:sz="0" w:space="0" w:color="auto"/>
        <w:bottom w:val="none" w:sz="0" w:space="0" w:color="auto"/>
        <w:right w:val="none" w:sz="0" w:space="0" w:color="auto"/>
      </w:divBdr>
    </w:div>
    <w:div w:id="1359544503">
      <w:bodyDiv w:val="1"/>
      <w:marLeft w:val="0"/>
      <w:marRight w:val="0"/>
      <w:marTop w:val="0"/>
      <w:marBottom w:val="0"/>
      <w:divBdr>
        <w:top w:val="none" w:sz="0" w:space="0" w:color="auto"/>
        <w:left w:val="none" w:sz="0" w:space="0" w:color="auto"/>
        <w:bottom w:val="none" w:sz="0" w:space="0" w:color="auto"/>
        <w:right w:val="none" w:sz="0" w:space="0" w:color="auto"/>
      </w:divBdr>
    </w:div>
    <w:div w:id="1434059502">
      <w:bodyDiv w:val="1"/>
      <w:marLeft w:val="0"/>
      <w:marRight w:val="0"/>
      <w:marTop w:val="0"/>
      <w:marBottom w:val="0"/>
      <w:divBdr>
        <w:top w:val="none" w:sz="0" w:space="0" w:color="auto"/>
        <w:left w:val="none" w:sz="0" w:space="0" w:color="auto"/>
        <w:bottom w:val="none" w:sz="0" w:space="0" w:color="auto"/>
        <w:right w:val="none" w:sz="0" w:space="0" w:color="auto"/>
      </w:divBdr>
    </w:div>
    <w:div w:id="1553155223">
      <w:bodyDiv w:val="1"/>
      <w:marLeft w:val="0"/>
      <w:marRight w:val="0"/>
      <w:marTop w:val="0"/>
      <w:marBottom w:val="0"/>
      <w:divBdr>
        <w:top w:val="none" w:sz="0" w:space="0" w:color="auto"/>
        <w:left w:val="none" w:sz="0" w:space="0" w:color="auto"/>
        <w:bottom w:val="none" w:sz="0" w:space="0" w:color="auto"/>
        <w:right w:val="none" w:sz="0" w:space="0" w:color="auto"/>
      </w:divBdr>
    </w:div>
    <w:div w:id="1570380896">
      <w:bodyDiv w:val="1"/>
      <w:marLeft w:val="0"/>
      <w:marRight w:val="0"/>
      <w:marTop w:val="0"/>
      <w:marBottom w:val="0"/>
      <w:divBdr>
        <w:top w:val="none" w:sz="0" w:space="0" w:color="auto"/>
        <w:left w:val="none" w:sz="0" w:space="0" w:color="auto"/>
        <w:bottom w:val="none" w:sz="0" w:space="0" w:color="auto"/>
        <w:right w:val="none" w:sz="0" w:space="0" w:color="auto"/>
      </w:divBdr>
    </w:div>
    <w:div w:id="1577931382">
      <w:bodyDiv w:val="1"/>
      <w:marLeft w:val="0"/>
      <w:marRight w:val="0"/>
      <w:marTop w:val="0"/>
      <w:marBottom w:val="0"/>
      <w:divBdr>
        <w:top w:val="none" w:sz="0" w:space="0" w:color="auto"/>
        <w:left w:val="none" w:sz="0" w:space="0" w:color="auto"/>
        <w:bottom w:val="none" w:sz="0" w:space="0" w:color="auto"/>
        <w:right w:val="none" w:sz="0" w:space="0" w:color="auto"/>
      </w:divBdr>
    </w:div>
    <w:div w:id="1652756315">
      <w:bodyDiv w:val="1"/>
      <w:marLeft w:val="0"/>
      <w:marRight w:val="0"/>
      <w:marTop w:val="0"/>
      <w:marBottom w:val="0"/>
      <w:divBdr>
        <w:top w:val="none" w:sz="0" w:space="0" w:color="auto"/>
        <w:left w:val="none" w:sz="0" w:space="0" w:color="auto"/>
        <w:bottom w:val="none" w:sz="0" w:space="0" w:color="auto"/>
        <w:right w:val="none" w:sz="0" w:space="0" w:color="auto"/>
      </w:divBdr>
    </w:div>
    <w:div w:id="1658876172">
      <w:bodyDiv w:val="1"/>
      <w:marLeft w:val="0"/>
      <w:marRight w:val="0"/>
      <w:marTop w:val="0"/>
      <w:marBottom w:val="0"/>
      <w:divBdr>
        <w:top w:val="none" w:sz="0" w:space="0" w:color="auto"/>
        <w:left w:val="none" w:sz="0" w:space="0" w:color="auto"/>
        <w:bottom w:val="none" w:sz="0" w:space="0" w:color="auto"/>
        <w:right w:val="none" w:sz="0" w:space="0" w:color="auto"/>
      </w:divBdr>
    </w:div>
    <w:div w:id="1670794569">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98408">
      <w:bodyDiv w:val="1"/>
      <w:marLeft w:val="0"/>
      <w:marRight w:val="0"/>
      <w:marTop w:val="0"/>
      <w:marBottom w:val="0"/>
      <w:divBdr>
        <w:top w:val="none" w:sz="0" w:space="0" w:color="auto"/>
        <w:left w:val="none" w:sz="0" w:space="0" w:color="auto"/>
        <w:bottom w:val="none" w:sz="0" w:space="0" w:color="auto"/>
        <w:right w:val="none" w:sz="0" w:space="0" w:color="auto"/>
      </w:divBdr>
    </w:div>
    <w:div w:id="1857110476">
      <w:bodyDiv w:val="1"/>
      <w:marLeft w:val="0"/>
      <w:marRight w:val="0"/>
      <w:marTop w:val="0"/>
      <w:marBottom w:val="0"/>
      <w:divBdr>
        <w:top w:val="none" w:sz="0" w:space="0" w:color="auto"/>
        <w:left w:val="none" w:sz="0" w:space="0" w:color="auto"/>
        <w:bottom w:val="none" w:sz="0" w:space="0" w:color="auto"/>
        <w:right w:val="none" w:sz="0" w:space="0" w:color="auto"/>
      </w:divBdr>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075201895">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2020-04-16T10:24:00Z</dcterms:created>
  <dcterms:modified xsi:type="dcterms:W3CDTF">2020-08-19T02:58:00Z</dcterms:modified>
</cp:coreProperties>
</file>