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B0EE" w14:textId="77777777" w:rsidR="00D7136A" w:rsidRDefault="00464DA0" w:rsidP="00267A9D">
      <w:pPr>
        <w:contextualSpacing/>
        <w:jc w:val="both"/>
        <w:rPr>
          <w:rFonts w:ascii="Arial" w:hAnsi="Arial" w:cs="Arial"/>
          <w:b/>
          <w:szCs w:val="20"/>
          <w:lang w:val="en-AU" w:eastAsia="en-AU"/>
        </w:rPr>
      </w:pPr>
      <w:r>
        <w:rPr>
          <w:rFonts w:ascii="Arial" w:hAnsi="Arial" w:cs="Arial"/>
          <w:b/>
          <w:sz w:val="28"/>
          <w:lang w:val="en-AU"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val="en-AU" w:eastAsia="en-AU"/>
        </w:rPr>
        <w:t>REPORT</w:t>
      </w:r>
      <w:r w:rsidR="00267A9D">
        <w:rPr>
          <w:rFonts w:ascii="Arial" w:hAnsi="Arial" w:cs="Arial"/>
          <w:b/>
          <w:sz w:val="28"/>
          <w:lang w:val="en-AU"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val="en-AU" w:eastAsia="en-AU"/>
        </w:rPr>
        <w:t>UTILISATION SUB-COMMITTEE</w:t>
      </w:r>
    </w:p>
    <w:p w14:paraId="7F124E9C" w14:textId="77777777" w:rsidR="00D7136A" w:rsidRPr="006951BF" w:rsidRDefault="00D7136A" w:rsidP="00D7136A">
      <w:pPr>
        <w:jc w:val="both"/>
        <w:rPr>
          <w:rFonts w:ascii="Arial" w:hAnsi="Arial" w:cs="Arial"/>
          <w:b/>
          <w:sz w:val="28"/>
          <w:szCs w:val="20"/>
          <w:lang w:val="en-AU" w:eastAsia="en-AU"/>
        </w:rPr>
      </w:pPr>
    </w:p>
    <w:p w14:paraId="7C5EA0B1" w14:textId="70BECD83" w:rsidR="00D7136A" w:rsidRPr="006951BF" w:rsidRDefault="00D7136A" w:rsidP="008866E8">
      <w:pPr>
        <w:contextualSpacing/>
        <w:jc w:val="both"/>
        <w:rPr>
          <w:rFonts w:ascii="Arial" w:hAnsi="Arial" w:cs="Arial"/>
          <w:color w:val="A6A6A6"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The PBAC noted utilisation reports with associated stakeholder responses from the </w:t>
      </w:r>
      <w:r w:rsidR="00AF6DA0">
        <w:rPr>
          <w:rFonts w:ascii="Arial" w:hAnsi="Arial" w:cs="Arial"/>
          <w:sz w:val="22"/>
          <w:lang w:val="en-AU" w:eastAsia="en-AU"/>
        </w:rPr>
        <w:t>June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 </w:t>
      </w:r>
      <w:r w:rsidR="00DB4B4C">
        <w:rPr>
          <w:rFonts w:ascii="Arial" w:hAnsi="Arial" w:cs="Arial"/>
          <w:sz w:val="22"/>
          <w:lang w:val="en-AU" w:eastAsia="en-AU"/>
        </w:rPr>
        <w:t xml:space="preserve">2020 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Drug Utilisation Sub-Committee (DUSC) </w:t>
      </w:r>
      <w:r w:rsidRPr="006951BF">
        <w:rPr>
          <w:rFonts w:ascii="Arial" w:hAnsi="Arial" w:cs="Arial"/>
          <w:sz w:val="22"/>
          <w:lang w:val="en-AU" w:eastAsia="en-AU"/>
        </w:rPr>
        <w:t>meeting, which were provided in Item</w:t>
      </w:r>
      <w:r w:rsidR="00A31269" w:rsidRPr="006951BF">
        <w:rPr>
          <w:rFonts w:ascii="Arial" w:hAnsi="Arial" w:cs="Arial"/>
          <w:sz w:val="22"/>
          <w:lang w:val="en-AU" w:eastAsia="en-AU"/>
        </w:rPr>
        <w:t>s 10.0</w:t>
      </w:r>
      <w:r w:rsidR="00AF6DA0">
        <w:rPr>
          <w:rFonts w:ascii="Arial" w:hAnsi="Arial" w:cs="Arial"/>
          <w:sz w:val="22"/>
          <w:lang w:val="en-AU" w:eastAsia="en-AU"/>
        </w:rPr>
        <w:t>5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 to 10.0</w:t>
      </w:r>
      <w:r w:rsidR="00F8213A">
        <w:rPr>
          <w:rFonts w:ascii="Arial" w:hAnsi="Arial" w:cs="Arial"/>
          <w:sz w:val="22"/>
          <w:lang w:val="en-AU" w:eastAsia="en-AU"/>
        </w:rPr>
        <w:t>7</w:t>
      </w:r>
      <w:r w:rsidRPr="006951BF">
        <w:rPr>
          <w:rFonts w:ascii="Arial" w:hAnsi="Arial" w:cs="Arial"/>
          <w:sz w:val="22"/>
          <w:lang w:val="en-AU" w:eastAsia="en-AU"/>
        </w:rPr>
        <w:t xml:space="preserve"> of the PBAC Agenda. </w:t>
      </w:r>
      <w:r w:rsidR="00A31269" w:rsidRPr="006951BF">
        <w:rPr>
          <w:rFonts w:ascii="Arial" w:hAnsi="Arial" w:cs="Arial"/>
          <w:sz w:val="22"/>
          <w:lang w:val="en-AU" w:eastAsia="en-AU"/>
        </w:rPr>
        <w:t>DUSC minutes relating to these items were provided to the PBAC</w:t>
      </w:r>
      <w:r w:rsidR="00F8213A">
        <w:rPr>
          <w:rFonts w:ascii="Arial" w:hAnsi="Arial" w:cs="Arial"/>
          <w:sz w:val="22"/>
          <w:lang w:val="en-AU" w:eastAsia="en-AU"/>
        </w:rPr>
        <w:t>. The outcomes of the DUSC consideration of these items are available in</w:t>
      </w:r>
      <w:r w:rsidR="00CB6BC5">
        <w:rPr>
          <w:rFonts w:ascii="Arial" w:hAnsi="Arial" w:cs="Arial"/>
          <w:sz w:val="22"/>
          <w:lang w:val="en-AU" w:eastAsia="en-AU"/>
        </w:rPr>
        <w:t xml:space="preserve"> the </w:t>
      </w:r>
      <w:hyperlink r:id="rId8" w:history="1">
        <w:r w:rsidR="00AF6DA0">
          <w:rPr>
            <w:rStyle w:val="Hyperlink"/>
            <w:rFonts w:ascii="Arial" w:hAnsi="Arial" w:cs="Arial"/>
            <w:sz w:val="22"/>
            <w:lang w:val="en-AU" w:eastAsia="en-AU"/>
          </w:rPr>
          <w:t>June 2020 DUSC outcome statement</w:t>
        </w:r>
      </w:hyperlink>
      <w:r w:rsidR="00A31269" w:rsidRPr="006951BF">
        <w:rPr>
          <w:rFonts w:ascii="Arial" w:hAnsi="Arial" w:cs="Arial"/>
          <w:sz w:val="22"/>
          <w:lang w:val="en-AU" w:eastAsia="en-AU"/>
        </w:rPr>
        <w:t>.</w:t>
      </w:r>
    </w:p>
    <w:p w14:paraId="2BEF9007" w14:textId="25603A75" w:rsidR="005616CC" w:rsidRPr="006951BF" w:rsidRDefault="005616CC" w:rsidP="008866E8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</w:p>
    <w:p w14:paraId="38EDF30F" w14:textId="169E5645" w:rsidR="007C758A" w:rsidRPr="006951BF" w:rsidRDefault="008934F5" w:rsidP="001F312C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  <w:r>
        <w:rPr>
          <w:rFonts w:ascii="Arial" w:hAnsi="Arial" w:cs="Arial"/>
          <w:b/>
          <w:sz w:val="22"/>
          <w:lang w:val="en-AU" w:eastAsia="en-AU"/>
        </w:rPr>
        <w:t>Nivolumab</w:t>
      </w:r>
      <w:r w:rsidR="00D03290">
        <w:rPr>
          <w:rFonts w:ascii="Arial" w:hAnsi="Arial" w:cs="Arial"/>
          <w:b/>
          <w:sz w:val="22"/>
          <w:lang w:val="en-AU" w:eastAsia="en-AU"/>
        </w:rPr>
        <w:t xml:space="preserve"> for </w:t>
      </w:r>
      <w:proofErr w:type="gramStart"/>
      <w:r>
        <w:rPr>
          <w:rFonts w:ascii="Arial" w:hAnsi="Arial" w:cs="Arial"/>
          <w:b/>
          <w:sz w:val="22"/>
          <w:lang w:val="en-AU" w:eastAsia="en-AU"/>
        </w:rPr>
        <w:t>non-small cell lung cancer</w:t>
      </w:r>
      <w:proofErr w:type="gramEnd"/>
    </w:p>
    <w:p w14:paraId="1B925BB8" w14:textId="77777777" w:rsidR="00B13AD3" w:rsidRPr="006951BF" w:rsidRDefault="00B13AD3" w:rsidP="008866E8">
      <w:pPr>
        <w:contextualSpacing/>
        <w:jc w:val="both"/>
        <w:rPr>
          <w:rFonts w:ascii="Arial" w:hAnsi="Arial" w:cs="Arial"/>
          <w:sz w:val="22"/>
          <w:lang w:val="en-AU" w:eastAsia="en-AU"/>
        </w:rPr>
      </w:pPr>
    </w:p>
    <w:p w14:paraId="58D57071" w14:textId="2002646B" w:rsidR="00B1693A" w:rsidRPr="00D03290" w:rsidRDefault="00B13AD3" w:rsidP="008866E8">
      <w:pPr>
        <w:contextualSpacing/>
        <w:jc w:val="both"/>
        <w:rPr>
          <w:rFonts w:ascii="Arial" w:hAnsi="Arial" w:cs="Arial"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This report considered </w:t>
      </w:r>
      <w:r w:rsidR="008934F5">
        <w:rPr>
          <w:rFonts w:ascii="Arial" w:hAnsi="Arial"/>
          <w:sz w:val="22"/>
        </w:rPr>
        <w:t>the utilisation</w:t>
      </w:r>
      <w:r w:rsidR="008934F5" w:rsidRPr="00DE388A">
        <w:rPr>
          <w:rFonts w:ascii="Arial" w:hAnsi="Arial"/>
          <w:sz w:val="22"/>
        </w:rPr>
        <w:t xml:space="preserve"> of nivolumab for non-small cell lung cancer</w:t>
      </w:r>
      <w:r w:rsidR="003A5A66">
        <w:rPr>
          <w:rFonts w:ascii="Arial" w:hAnsi="Arial"/>
          <w:sz w:val="22"/>
        </w:rPr>
        <w:t xml:space="preserve"> (NSCLC)</w:t>
      </w:r>
      <w:bookmarkStart w:id="0" w:name="_GoBack"/>
      <w:bookmarkEnd w:id="0"/>
      <w:r w:rsidR="008934F5">
        <w:rPr>
          <w:rFonts w:ascii="Arial" w:hAnsi="Arial"/>
          <w:sz w:val="22"/>
        </w:rPr>
        <w:t>.</w:t>
      </w:r>
    </w:p>
    <w:p w14:paraId="0F478DA6" w14:textId="77777777" w:rsidR="00A31269" w:rsidRPr="006951BF" w:rsidRDefault="00A31269" w:rsidP="008866E8">
      <w:pPr>
        <w:contextualSpacing/>
        <w:jc w:val="both"/>
        <w:rPr>
          <w:rFonts w:ascii="Arial" w:hAnsi="Arial" w:cs="Arial"/>
          <w:color w:val="A6A6A6"/>
          <w:sz w:val="22"/>
          <w:lang w:val="en-AU" w:eastAsia="en-AU"/>
        </w:rPr>
      </w:pPr>
    </w:p>
    <w:p w14:paraId="4711D0AD" w14:textId="77777777" w:rsidR="00A31269" w:rsidRPr="006951BF" w:rsidRDefault="00A31269" w:rsidP="001F312C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  <w:r w:rsidRPr="006951BF">
        <w:rPr>
          <w:rFonts w:ascii="Arial" w:hAnsi="Arial" w:cs="Arial"/>
          <w:i/>
          <w:sz w:val="22"/>
          <w:lang w:val="en-AU" w:eastAsia="en-AU"/>
        </w:rPr>
        <w:t>Outcome</w:t>
      </w:r>
    </w:p>
    <w:p w14:paraId="3E64F3C6" w14:textId="64D08793" w:rsidR="005616CC" w:rsidRPr="006951BF" w:rsidRDefault="005616CC" w:rsidP="008866E8">
      <w:pPr>
        <w:contextualSpacing/>
        <w:jc w:val="both"/>
        <w:rPr>
          <w:rFonts w:ascii="Arial" w:hAnsi="Arial" w:cs="Arial"/>
          <w:sz w:val="22"/>
          <w:lang w:val="en-AU" w:eastAsia="en-AU"/>
        </w:rPr>
      </w:pPr>
    </w:p>
    <w:p w14:paraId="4761B55A" w14:textId="77777777" w:rsidR="008934F5" w:rsidRPr="001F312C" w:rsidRDefault="008934F5" w:rsidP="00400159">
      <w:pPr>
        <w:spacing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>PBAC noted that flat dosing may be changing prescribing, as it appeared that more patients were being supplied higher doses less often in recent months.</w:t>
      </w:r>
    </w:p>
    <w:p w14:paraId="0A771D15" w14:textId="5471F862" w:rsidR="008934F5" w:rsidRPr="001F312C" w:rsidRDefault="008934F5" w:rsidP="008934F5">
      <w:pPr>
        <w:spacing w:before="120"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>PBAC noted that alternative immunotherapies (atezolizumab, pembrolizumab and durvalumab) were gaining market share. H</w:t>
      </w:r>
      <w:r w:rsidR="00400159" w:rsidRPr="001F312C">
        <w:rPr>
          <w:rFonts w:ascii="Arial" w:hAnsi="Arial" w:cs="Arial"/>
          <w:sz w:val="22"/>
          <w:szCs w:val="22"/>
        </w:rPr>
        <w:t>owever 99.6 percent</w:t>
      </w:r>
      <w:r w:rsidRPr="001F312C">
        <w:rPr>
          <w:rFonts w:ascii="Arial" w:hAnsi="Arial" w:cs="Arial"/>
          <w:sz w:val="22"/>
          <w:szCs w:val="22"/>
        </w:rPr>
        <w:t xml:space="preserve"> of patients treated with an immunotherapy for NSCLC had not switched to a second immunotherapy which PBAC considered was a good outcome.</w:t>
      </w:r>
    </w:p>
    <w:p w14:paraId="16A36AE0" w14:textId="0CCCF65D" w:rsidR="008934F5" w:rsidRPr="001F312C" w:rsidRDefault="008934F5" w:rsidP="008934F5">
      <w:pPr>
        <w:spacing w:before="120"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 xml:space="preserve">PBAC noted that over </w:t>
      </w:r>
      <w:r w:rsidR="00400159" w:rsidRPr="001F312C">
        <w:rPr>
          <w:rFonts w:ascii="Arial" w:hAnsi="Arial" w:cs="Arial"/>
          <w:sz w:val="22"/>
          <w:szCs w:val="22"/>
        </w:rPr>
        <w:t>90 percent</w:t>
      </w:r>
      <w:r w:rsidRPr="001F312C">
        <w:rPr>
          <w:rFonts w:ascii="Arial" w:hAnsi="Arial" w:cs="Arial"/>
          <w:sz w:val="22"/>
          <w:szCs w:val="22"/>
        </w:rPr>
        <w:t xml:space="preserve"> of patients treated with nivolumab for NSCLC had at least one prior platinum based chemotherapy supply.</w:t>
      </w:r>
    </w:p>
    <w:p w14:paraId="4372418C" w14:textId="77777777" w:rsidR="003A5A66" w:rsidRDefault="003A5A66" w:rsidP="003A5A66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  <w:r>
        <w:rPr>
          <w:rFonts w:ascii="Arial" w:hAnsi="Arial" w:cs="Arial"/>
          <w:b/>
          <w:sz w:val="22"/>
          <w:lang w:val="en-AU" w:eastAsia="en-AU"/>
        </w:rPr>
        <w:br/>
      </w:r>
      <w:r w:rsidR="00400159">
        <w:rPr>
          <w:rFonts w:ascii="Arial" w:hAnsi="Arial" w:cs="Arial"/>
          <w:b/>
          <w:sz w:val="22"/>
          <w:lang w:val="en-AU" w:eastAsia="en-AU"/>
        </w:rPr>
        <w:t>Nivolumab for renal cell cancer</w:t>
      </w:r>
    </w:p>
    <w:p w14:paraId="4C0A2579" w14:textId="77777777" w:rsidR="003A5A66" w:rsidRDefault="003A5A66" w:rsidP="003A5A66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</w:p>
    <w:p w14:paraId="4B9FD2F0" w14:textId="170593F7" w:rsidR="00400159" w:rsidRPr="003A5A66" w:rsidRDefault="00400159" w:rsidP="003A5A66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This report considered </w:t>
      </w:r>
      <w:r>
        <w:rPr>
          <w:rFonts w:ascii="Arial" w:hAnsi="Arial"/>
          <w:sz w:val="22"/>
        </w:rPr>
        <w:t>the utilisation</w:t>
      </w:r>
      <w:r w:rsidRPr="00DE388A">
        <w:rPr>
          <w:rFonts w:ascii="Arial" w:hAnsi="Arial"/>
          <w:sz w:val="22"/>
        </w:rPr>
        <w:t xml:space="preserve"> of nivoluma</w:t>
      </w:r>
      <w:r>
        <w:rPr>
          <w:rFonts w:ascii="Arial" w:hAnsi="Arial"/>
          <w:sz w:val="22"/>
        </w:rPr>
        <w:t>b for renal cell cancer.</w:t>
      </w:r>
    </w:p>
    <w:p w14:paraId="085F07D0" w14:textId="77777777" w:rsidR="003A5A66" w:rsidRDefault="003A5A66" w:rsidP="001F312C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</w:p>
    <w:p w14:paraId="00AC6BE6" w14:textId="77777777" w:rsidR="003A5A66" w:rsidRDefault="00400159" w:rsidP="003A5A66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  <w:r w:rsidRPr="006951BF">
        <w:rPr>
          <w:rFonts w:ascii="Arial" w:hAnsi="Arial" w:cs="Arial"/>
          <w:i/>
          <w:sz w:val="22"/>
          <w:lang w:val="en-AU" w:eastAsia="en-AU"/>
        </w:rPr>
        <w:t>Outcome</w:t>
      </w:r>
    </w:p>
    <w:p w14:paraId="1AF94047" w14:textId="77777777" w:rsidR="003A5A66" w:rsidRDefault="003A5A66" w:rsidP="003A5A66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</w:p>
    <w:p w14:paraId="111C8DB3" w14:textId="4992ACBA" w:rsidR="00400159" w:rsidRPr="003A5A66" w:rsidRDefault="00400159" w:rsidP="003A5A66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  <w:r w:rsidRPr="001F312C">
        <w:rPr>
          <w:rFonts w:ascii="Arial" w:hAnsi="Arial" w:cs="Arial"/>
          <w:sz w:val="22"/>
          <w:szCs w:val="22"/>
        </w:rPr>
        <w:t>PBAC noted that the duration of treatment with nivolumab was similar to that observed in the clinical trial.</w:t>
      </w:r>
    </w:p>
    <w:p w14:paraId="51131684" w14:textId="77777777" w:rsidR="003A5A66" w:rsidRDefault="003A5A66" w:rsidP="003A5A66">
      <w:pPr>
        <w:spacing w:before="120" w:after="120"/>
        <w:rPr>
          <w:rFonts w:ascii="Arial" w:hAnsi="Arial" w:cs="Arial"/>
          <w:sz w:val="22"/>
          <w:szCs w:val="22"/>
          <w:lang w:eastAsia="en-AU"/>
        </w:rPr>
      </w:pPr>
      <w:r w:rsidRPr="003A5A66">
        <w:rPr>
          <w:rFonts w:ascii="Arial" w:hAnsi="Arial" w:cs="Arial"/>
          <w:sz w:val="22"/>
          <w:szCs w:val="22"/>
        </w:rPr>
        <w:t xml:space="preserve">PBAC noted that 42 percent of patients treated with nivolumab were deceased at the end of the data analysis period. </w:t>
      </w:r>
      <w:r w:rsidRPr="003A5A66">
        <w:rPr>
          <w:rFonts w:ascii="Arial" w:hAnsi="Arial" w:cs="Arial"/>
          <w:iCs/>
          <w:sz w:val="22"/>
          <w:szCs w:val="22"/>
        </w:rPr>
        <w:t xml:space="preserve">Of these patients, PBAC noted that 55 percent that died had their last nivolumab prescription within the last three fortnights before death. PBAC considered this </w:t>
      </w:r>
      <w:proofErr w:type="gramStart"/>
      <w:r w:rsidRPr="003A5A66">
        <w:rPr>
          <w:rFonts w:ascii="Arial" w:hAnsi="Arial" w:cs="Arial"/>
          <w:iCs/>
          <w:sz w:val="22"/>
          <w:szCs w:val="22"/>
        </w:rPr>
        <w:t>may</w:t>
      </w:r>
      <w:proofErr w:type="gramEnd"/>
      <w:r w:rsidRPr="003A5A66">
        <w:rPr>
          <w:rFonts w:ascii="Arial" w:hAnsi="Arial" w:cs="Arial"/>
          <w:iCs/>
          <w:sz w:val="22"/>
          <w:szCs w:val="22"/>
        </w:rPr>
        <w:t xml:space="preserve"> indicate that some patients were treated beyond disease progression which was outside the PBS restriction.</w:t>
      </w:r>
    </w:p>
    <w:p w14:paraId="4FD34EF8" w14:textId="77777777" w:rsidR="003A5A66" w:rsidRDefault="003A5A66" w:rsidP="003A5A66">
      <w:pPr>
        <w:rPr>
          <w:rFonts w:ascii="Arial" w:hAnsi="Arial" w:cs="Arial"/>
          <w:sz w:val="22"/>
          <w:szCs w:val="22"/>
          <w:lang w:eastAsia="en-AU"/>
        </w:rPr>
      </w:pPr>
    </w:p>
    <w:p w14:paraId="211CB400" w14:textId="19F464FF" w:rsidR="001F312C" w:rsidRPr="003A5A66" w:rsidRDefault="001F312C" w:rsidP="003A5A66">
      <w:pPr>
        <w:rPr>
          <w:rFonts w:ascii="Arial" w:hAnsi="Arial" w:cs="Arial"/>
          <w:sz w:val="22"/>
          <w:szCs w:val="22"/>
          <w:lang w:eastAsia="en-AU"/>
        </w:rPr>
      </w:pPr>
      <w:proofErr w:type="spellStart"/>
      <w:r>
        <w:rPr>
          <w:rFonts w:ascii="Arial" w:hAnsi="Arial" w:cs="Arial"/>
          <w:b/>
          <w:sz w:val="22"/>
          <w:lang w:val="en-AU" w:eastAsia="en-AU"/>
        </w:rPr>
        <w:t>Omalizumab</w:t>
      </w:r>
      <w:proofErr w:type="spellEnd"/>
      <w:r>
        <w:rPr>
          <w:rFonts w:ascii="Arial" w:hAnsi="Arial" w:cs="Arial"/>
          <w:b/>
          <w:sz w:val="22"/>
          <w:lang w:val="en-AU" w:eastAsia="en-AU"/>
        </w:rPr>
        <w:t xml:space="preserve"> for chronic spontaneous </w:t>
      </w:r>
      <w:proofErr w:type="spellStart"/>
      <w:r>
        <w:rPr>
          <w:rFonts w:ascii="Arial" w:hAnsi="Arial" w:cs="Arial"/>
          <w:b/>
          <w:sz w:val="22"/>
          <w:lang w:val="en-AU" w:eastAsia="en-AU"/>
        </w:rPr>
        <w:t>urticaria</w:t>
      </w:r>
      <w:proofErr w:type="spellEnd"/>
      <w:r w:rsidR="003A5A66">
        <w:rPr>
          <w:rFonts w:ascii="Arial" w:hAnsi="Arial" w:cs="Arial"/>
          <w:b/>
          <w:sz w:val="22"/>
          <w:lang w:val="en-AU" w:eastAsia="en-AU"/>
        </w:rPr>
        <w:br/>
      </w:r>
    </w:p>
    <w:p w14:paraId="657BF67D" w14:textId="77777777" w:rsidR="003A5A66" w:rsidRDefault="001F312C" w:rsidP="003A5A66">
      <w:pPr>
        <w:rPr>
          <w:rFonts w:ascii="Arial" w:hAnsi="Arial"/>
          <w:sz w:val="22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This report considered </w:t>
      </w:r>
      <w:r>
        <w:rPr>
          <w:rFonts w:ascii="Arial" w:hAnsi="Arial"/>
          <w:sz w:val="22"/>
        </w:rPr>
        <w:t>the utilisation</w:t>
      </w:r>
      <w:r w:rsidRPr="00DE388A">
        <w:rPr>
          <w:rFonts w:ascii="Arial" w:hAnsi="Arial"/>
          <w:sz w:val="22"/>
        </w:rPr>
        <w:t xml:space="preserve"> of</w:t>
      </w:r>
      <w:r>
        <w:rPr>
          <w:rFonts w:ascii="Arial" w:hAnsi="Arial"/>
          <w:sz w:val="22"/>
        </w:rPr>
        <w:t xml:space="preserve"> omalizumab fo</w:t>
      </w:r>
      <w:r w:rsidR="000413ED">
        <w:rPr>
          <w:rFonts w:ascii="Arial" w:hAnsi="Arial"/>
          <w:sz w:val="22"/>
        </w:rPr>
        <w:t xml:space="preserve">r chronic spontaneous </w:t>
      </w:r>
      <w:proofErr w:type="spellStart"/>
      <w:r w:rsidR="000413ED">
        <w:rPr>
          <w:rFonts w:ascii="Arial" w:hAnsi="Arial"/>
          <w:sz w:val="22"/>
        </w:rPr>
        <w:t>urticaria</w:t>
      </w:r>
      <w:proofErr w:type="spellEnd"/>
      <w:r>
        <w:rPr>
          <w:rFonts w:ascii="Arial" w:hAnsi="Arial"/>
          <w:sz w:val="22"/>
        </w:rPr>
        <w:t>.</w:t>
      </w:r>
    </w:p>
    <w:p w14:paraId="5E4009BC" w14:textId="77777777" w:rsidR="003A5A66" w:rsidRDefault="003A5A66" w:rsidP="003A5A66">
      <w:pPr>
        <w:rPr>
          <w:rFonts w:ascii="Arial" w:hAnsi="Arial"/>
          <w:sz w:val="22"/>
        </w:rPr>
      </w:pPr>
    </w:p>
    <w:p w14:paraId="3FDB0D27" w14:textId="77777777" w:rsidR="003A5A66" w:rsidRDefault="001F312C" w:rsidP="003A5A66">
      <w:pPr>
        <w:rPr>
          <w:rFonts w:ascii="Arial" w:hAnsi="Arial"/>
          <w:sz w:val="22"/>
        </w:rPr>
      </w:pPr>
      <w:r w:rsidRPr="006951BF">
        <w:rPr>
          <w:rFonts w:ascii="Arial" w:hAnsi="Arial" w:cs="Arial"/>
          <w:i/>
          <w:sz w:val="22"/>
          <w:lang w:val="en-AU" w:eastAsia="en-AU"/>
        </w:rPr>
        <w:t>Outcome</w:t>
      </w:r>
    </w:p>
    <w:p w14:paraId="21C0D4ED" w14:textId="77777777" w:rsidR="003A5A66" w:rsidRDefault="003A5A66" w:rsidP="003A5A66">
      <w:pPr>
        <w:rPr>
          <w:rFonts w:ascii="Arial" w:hAnsi="Arial"/>
          <w:sz w:val="22"/>
        </w:rPr>
      </w:pPr>
    </w:p>
    <w:p w14:paraId="3B77532C" w14:textId="1D3BFF60" w:rsidR="001F312C" w:rsidRPr="003A5A66" w:rsidRDefault="001F312C" w:rsidP="003A5A66">
      <w:pPr>
        <w:rPr>
          <w:rFonts w:ascii="Arial" w:hAnsi="Arial"/>
          <w:sz w:val="22"/>
        </w:rPr>
      </w:pPr>
      <w:r w:rsidRPr="001F312C">
        <w:rPr>
          <w:rFonts w:ascii="Arial" w:hAnsi="Arial" w:cs="Arial"/>
          <w:sz w:val="22"/>
          <w:szCs w:val="22"/>
        </w:rPr>
        <w:t xml:space="preserve">PBAC noted that most patients were supplied a dose of 300 mg and patients were not being titrated down to a lower dose. PBAC further noted that patients were supplied less prescriptions than predicted. </w:t>
      </w:r>
    </w:p>
    <w:p w14:paraId="6BBE9FA4" w14:textId="77777777" w:rsidR="001F312C" w:rsidRPr="001F312C" w:rsidRDefault="001F312C" w:rsidP="001F312C">
      <w:pPr>
        <w:spacing w:before="120"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 xml:space="preserve">PBAC noted advice from the Australasian Society of Clinical Immunology and Allergy (ASCIA) that dosing intervals may be lengthened to reduce the dose. </w:t>
      </w:r>
    </w:p>
    <w:p w14:paraId="0AFF3C8F" w14:textId="77777777" w:rsidR="001F312C" w:rsidRPr="001F312C" w:rsidRDefault="001F312C" w:rsidP="001F312C">
      <w:pPr>
        <w:spacing w:before="120"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>PBAC noted that the number of prevalent patients was increasing at a level that was greater than predicted.</w:t>
      </w:r>
    </w:p>
    <w:p w14:paraId="03FC874F" w14:textId="77777777" w:rsidR="001F312C" w:rsidRDefault="001F312C" w:rsidP="001F312C">
      <w:pPr>
        <w:spacing w:after="120"/>
        <w:rPr>
          <w:rFonts w:ascii="Arial" w:hAnsi="Arial" w:cs="Arial"/>
          <w:sz w:val="22"/>
          <w:lang w:val="en-AU" w:eastAsia="en-AU"/>
        </w:rPr>
      </w:pPr>
    </w:p>
    <w:p w14:paraId="709D0950" w14:textId="77777777" w:rsidR="001D0ACE" w:rsidRPr="006D0A58" w:rsidRDefault="001D0ACE" w:rsidP="00EF7DF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D0ACE" w:rsidRPr="006D0A58" w:rsidSect="007A2421">
      <w:headerReference w:type="default" r:id="rId9"/>
      <w:footerReference w:type="default" r:id="rId10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FFAC" w14:textId="77777777" w:rsidR="001F312C" w:rsidRDefault="001F312C">
      <w:r>
        <w:separator/>
      </w:r>
    </w:p>
  </w:endnote>
  <w:endnote w:type="continuationSeparator" w:id="0">
    <w:p w14:paraId="1EBA2AEF" w14:textId="77777777" w:rsidR="001F312C" w:rsidRDefault="001F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F5BA" w14:textId="77777777" w:rsidR="001F312C" w:rsidRPr="004630FE" w:rsidRDefault="001F312C">
    <w:pPr>
      <w:pStyle w:val="Footer"/>
      <w:jc w:val="center"/>
      <w:rPr>
        <w:rFonts w:ascii="Arial" w:hAnsi="Arial" w:cs="Arial"/>
        <w:sz w:val="22"/>
      </w:rPr>
    </w:pPr>
  </w:p>
  <w:p w14:paraId="2DAABEFB" w14:textId="527B07DF" w:rsidR="001F312C" w:rsidRPr="004630FE" w:rsidRDefault="001F312C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3A5A66">
      <w:rPr>
        <w:rFonts w:ascii="Arial" w:hAnsi="Arial" w:cs="Arial"/>
        <w:noProof/>
        <w:sz w:val="22"/>
      </w:rPr>
      <w:t>2</w:t>
    </w:r>
    <w:r w:rsidRPr="004630FE">
      <w:rPr>
        <w:rFonts w:ascii="Arial" w:hAnsi="Arial" w:cs="Arial"/>
        <w:noProof/>
        <w:sz w:val="22"/>
      </w:rPr>
      <w:fldChar w:fldCharType="end"/>
    </w:r>
  </w:p>
  <w:p w14:paraId="0A6D77EE" w14:textId="77777777" w:rsidR="001F312C" w:rsidRDefault="001F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734C" w14:textId="77777777" w:rsidR="001F312C" w:rsidRDefault="001F312C">
      <w:r>
        <w:separator/>
      </w:r>
    </w:p>
  </w:footnote>
  <w:footnote w:type="continuationSeparator" w:id="0">
    <w:p w14:paraId="13C39C5A" w14:textId="77777777" w:rsidR="001F312C" w:rsidRDefault="001F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87D6" w14:textId="6AA04EEE" w:rsidR="001F312C" w:rsidRPr="00520B6E" w:rsidRDefault="00CB4FA8" w:rsidP="004630FE">
    <w:pPr>
      <w:tabs>
        <w:tab w:val="center" w:pos="4153"/>
        <w:tab w:val="right" w:pos="8306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JULY</w:t>
    </w:r>
    <w:r w:rsidR="001F312C">
      <w:rPr>
        <w:rFonts w:ascii="Arial" w:hAnsi="Arial" w:cs="Arial"/>
        <w:b/>
        <w:sz w:val="20"/>
      </w:rPr>
      <w:t xml:space="preserve"> 2020</w:t>
    </w:r>
    <w:r w:rsidR="001F312C" w:rsidRPr="00341E66">
      <w:rPr>
        <w:rFonts w:ascii="Arial" w:hAnsi="Arial" w:cs="Arial"/>
        <w:b/>
        <w:sz w:val="20"/>
      </w:rPr>
      <w:t xml:space="preserve"> </w:t>
    </w:r>
    <w:r w:rsidR="001F312C" w:rsidRPr="00520B6E">
      <w:rPr>
        <w:rFonts w:ascii="Arial" w:hAnsi="Arial" w:cs="Arial"/>
        <w:b/>
        <w:sz w:val="20"/>
      </w:rPr>
      <w:t>PBAC M</w:t>
    </w:r>
    <w:r w:rsidR="001F312C">
      <w:rPr>
        <w:rFonts w:ascii="Arial" w:hAnsi="Arial" w:cs="Arial"/>
        <w:b/>
        <w:sz w:val="20"/>
      </w:rPr>
      <w:t>EETING – CONSIDERATION OF THE</w:t>
    </w:r>
    <w:r w:rsidR="001F312C" w:rsidRPr="00520B6E">
      <w:rPr>
        <w:rFonts w:ascii="Arial" w:hAnsi="Arial" w:cs="Arial"/>
        <w:b/>
        <w:sz w:val="20"/>
      </w:rPr>
      <w:t xml:space="preserve"> </w:t>
    </w:r>
    <w:r w:rsidR="001F312C">
      <w:rPr>
        <w:rFonts w:ascii="Arial" w:hAnsi="Arial" w:cs="Arial"/>
        <w:b/>
        <w:sz w:val="20"/>
      </w:rPr>
      <w:t>REPORT OF THE DRUG UTILISATION SUB</w:t>
    </w:r>
    <w:r w:rsidR="001F312C">
      <w:rPr>
        <w:rFonts w:ascii="Arial" w:hAnsi="Arial" w:cs="Arial"/>
        <w:b/>
        <w:sz w:val="20"/>
      </w:rPr>
      <w:noBreakHyphen/>
      <w:t>COMMITTEE</w:t>
    </w:r>
  </w:p>
  <w:p w14:paraId="6758E2CC" w14:textId="77777777" w:rsidR="001F312C" w:rsidRDefault="001F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16DE"/>
    <w:multiLevelType w:val="multilevel"/>
    <w:tmpl w:val="51AA4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A"/>
    <w:rsid w:val="0002143A"/>
    <w:rsid w:val="00034F16"/>
    <w:rsid w:val="000413ED"/>
    <w:rsid w:val="00046F5C"/>
    <w:rsid w:val="0006056A"/>
    <w:rsid w:val="00060A45"/>
    <w:rsid w:val="00095F78"/>
    <w:rsid w:val="000A2CDC"/>
    <w:rsid w:val="000B2DD0"/>
    <w:rsid w:val="000C6902"/>
    <w:rsid w:val="0014056F"/>
    <w:rsid w:val="001416A4"/>
    <w:rsid w:val="00156D69"/>
    <w:rsid w:val="00176F11"/>
    <w:rsid w:val="001D0ACE"/>
    <w:rsid w:val="001D0B69"/>
    <w:rsid w:val="001D45AF"/>
    <w:rsid w:val="001E7E86"/>
    <w:rsid w:val="001F0355"/>
    <w:rsid w:val="001F312C"/>
    <w:rsid w:val="00250A1C"/>
    <w:rsid w:val="00251848"/>
    <w:rsid w:val="00265781"/>
    <w:rsid w:val="00267A9D"/>
    <w:rsid w:val="0028590B"/>
    <w:rsid w:val="002D4006"/>
    <w:rsid w:val="002F7591"/>
    <w:rsid w:val="002F775E"/>
    <w:rsid w:val="003172AB"/>
    <w:rsid w:val="00326328"/>
    <w:rsid w:val="00341E66"/>
    <w:rsid w:val="00385940"/>
    <w:rsid w:val="00397836"/>
    <w:rsid w:val="003A5A66"/>
    <w:rsid w:val="003B79EE"/>
    <w:rsid w:val="003C2B83"/>
    <w:rsid w:val="00400159"/>
    <w:rsid w:val="0040140B"/>
    <w:rsid w:val="00407FAA"/>
    <w:rsid w:val="004630FE"/>
    <w:rsid w:val="00464B70"/>
    <w:rsid w:val="00464DA0"/>
    <w:rsid w:val="004669DB"/>
    <w:rsid w:val="004A1627"/>
    <w:rsid w:val="004D4DEE"/>
    <w:rsid w:val="004E76AE"/>
    <w:rsid w:val="00507F23"/>
    <w:rsid w:val="00514593"/>
    <w:rsid w:val="005166A6"/>
    <w:rsid w:val="00553E58"/>
    <w:rsid w:val="005616CC"/>
    <w:rsid w:val="005642B3"/>
    <w:rsid w:val="00565336"/>
    <w:rsid w:val="005732A3"/>
    <w:rsid w:val="00575B2C"/>
    <w:rsid w:val="00582F85"/>
    <w:rsid w:val="005C202C"/>
    <w:rsid w:val="005D081A"/>
    <w:rsid w:val="005F2273"/>
    <w:rsid w:val="006102C6"/>
    <w:rsid w:val="00641F0C"/>
    <w:rsid w:val="00647788"/>
    <w:rsid w:val="00652D57"/>
    <w:rsid w:val="00666863"/>
    <w:rsid w:val="00677683"/>
    <w:rsid w:val="006847AC"/>
    <w:rsid w:val="006951BF"/>
    <w:rsid w:val="006A2EB2"/>
    <w:rsid w:val="006D0A58"/>
    <w:rsid w:val="006D36DC"/>
    <w:rsid w:val="006D593A"/>
    <w:rsid w:val="006E57A3"/>
    <w:rsid w:val="0070348A"/>
    <w:rsid w:val="007178BA"/>
    <w:rsid w:val="0073297F"/>
    <w:rsid w:val="00793AF0"/>
    <w:rsid w:val="007A2421"/>
    <w:rsid w:val="007C758A"/>
    <w:rsid w:val="007F4E20"/>
    <w:rsid w:val="00801B19"/>
    <w:rsid w:val="00816A6C"/>
    <w:rsid w:val="00842ABA"/>
    <w:rsid w:val="008545D1"/>
    <w:rsid w:val="008842CE"/>
    <w:rsid w:val="008866E8"/>
    <w:rsid w:val="00890D53"/>
    <w:rsid w:val="008934F5"/>
    <w:rsid w:val="008A4311"/>
    <w:rsid w:val="008A4B6F"/>
    <w:rsid w:val="008B4388"/>
    <w:rsid w:val="008D020C"/>
    <w:rsid w:val="008E354F"/>
    <w:rsid w:val="00922E47"/>
    <w:rsid w:val="00925E21"/>
    <w:rsid w:val="00933952"/>
    <w:rsid w:val="009E2E31"/>
    <w:rsid w:val="009E7E00"/>
    <w:rsid w:val="00A03E25"/>
    <w:rsid w:val="00A0539F"/>
    <w:rsid w:val="00A25973"/>
    <w:rsid w:val="00A31269"/>
    <w:rsid w:val="00A32269"/>
    <w:rsid w:val="00A47E2F"/>
    <w:rsid w:val="00A70179"/>
    <w:rsid w:val="00A74CCD"/>
    <w:rsid w:val="00A76D1B"/>
    <w:rsid w:val="00A9331B"/>
    <w:rsid w:val="00AC0FFB"/>
    <w:rsid w:val="00AD2551"/>
    <w:rsid w:val="00AD37E5"/>
    <w:rsid w:val="00AF2F79"/>
    <w:rsid w:val="00AF3B3E"/>
    <w:rsid w:val="00AF6DA0"/>
    <w:rsid w:val="00B13AD3"/>
    <w:rsid w:val="00B1693A"/>
    <w:rsid w:val="00B20C0D"/>
    <w:rsid w:val="00B26B58"/>
    <w:rsid w:val="00B445D9"/>
    <w:rsid w:val="00B50A69"/>
    <w:rsid w:val="00B532C3"/>
    <w:rsid w:val="00B94AFC"/>
    <w:rsid w:val="00B95F3B"/>
    <w:rsid w:val="00BA0860"/>
    <w:rsid w:val="00BC3BE5"/>
    <w:rsid w:val="00BD4745"/>
    <w:rsid w:val="00BE182E"/>
    <w:rsid w:val="00BE4405"/>
    <w:rsid w:val="00C22340"/>
    <w:rsid w:val="00C22AB9"/>
    <w:rsid w:val="00C636C2"/>
    <w:rsid w:val="00CB4FA8"/>
    <w:rsid w:val="00CB56CD"/>
    <w:rsid w:val="00CB6BC5"/>
    <w:rsid w:val="00CD04DF"/>
    <w:rsid w:val="00CD2ADF"/>
    <w:rsid w:val="00CD4158"/>
    <w:rsid w:val="00D03290"/>
    <w:rsid w:val="00D47451"/>
    <w:rsid w:val="00D7136A"/>
    <w:rsid w:val="00D72D36"/>
    <w:rsid w:val="00DA2A81"/>
    <w:rsid w:val="00DB4B4C"/>
    <w:rsid w:val="00DC7A41"/>
    <w:rsid w:val="00DE6CA5"/>
    <w:rsid w:val="00E11B1E"/>
    <w:rsid w:val="00E16015"/>
    <w:rsid w:val="00E24412"/>
    <w:rsid w:val="00E25A33"/>
    <w:rsid w:val="00E37984"/>
    <w:rsid w:val="00E659DB"/>
    <w:rsid w:val="00E65BFD"/>
    <w:rsid w:val="00EA43F8"/>
    <w:rsid w:val="00EB38E2"/>
    <w:rsid w:val="00ED0E5B"/>
    <w:rsid w:val="00EE68E4"/>
    <w:rsid w:val="00EF7DF2"/>
    <w:rsid w:val="00F32FEB"/>
    <w:rsid w:val="00F514E4"/>
    <w:rsid w:val="00F628C7"/>
    <w:rsid w:val="00F66E50"/>
    <w:rsid w:val="00F8213A"/>
    <w:rsid w:val="00F87883"/>
    <w:rsid w:val="00FA4D8A"/>
    <w:rsid w:val="00FB5E27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val="en-AU"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31269"/>
    <w:pPr>
      <w:ind w:left="720" w:hanging="720"/>
      <w:contextualSpacing/>
    </w:pPr>
    <w:rPr>
      <w:rFonts w:ascii="Arial" w:hAnsi="Arial"/>
      <w:sz w:val="22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70179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gov.au/info/industry/listing/elements/dusc-meetings/d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0C4D-9D3B-42EA-ACCA-52CE6C89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2020-08-13T23:45:00Z</dcterms:created>
  <dcterms:modified xsi:type="dcterms:W3CDTF">2020-08-19T02:01:00Z</dcterms:modified>
</cp:coreProperties>
</file>