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2119"/>
        <w:gridCol w:w="2118"/>
        <w:gridCol w:w="3558"/>
        <w:gridCol w:w="5476"/>
      </w:tblGrid>
      <w:tr w:rsidR="0010394D" w:rsidRPr="00871023" w14:paraId="704C1A44" w14:textId="77777777" w:rsidTr="00106998">
        <w:trPr>
          <w:cantSplit/>
          <w:tblHeader/>
        </w:trPr>
        <w:tc>
          <w:tcPr>
            <w:tcW w:w="688" w:type="pct"/>
          </w:tcPr>
          <w:p w14:paraId="3095695F" w14:textId="77777777" w:rsidR="0010394D" w:rsidRDefault="001047FA" w:rsidP="001047FA">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DRUG NAME, FORM(S), STRENGTH(S), SPONSOR, TYPE OF SUBMISSION</w:t>
            </w:r>
          </w:p>
          <w:p w14:paraId="6219EDBF" w14:textId="5FC20061" w:rsidR="002A489D" w:rsidRPr="00871023" w:rsidRDefault="002A489D" w:rsidP="001047FA">
            <w:pPr>
              <w:pStyle w:val="Header"/>
              <w:spacing w:after="240"/>
              <w:contextualSpacing/>
              <w:jc w:val="center"/>
              <w:rPr>
                <w:rFonts w:ascii="Arial" w:hAnsi="Arial" w:cs="Arial"/>
                <w:b/>
                <w:snapToGrid w:val="0"/>
                <w:sz w:val="20"/>
                <w:lang w:eastAsia="en-US"/>
              </w:rPr>
            </w:pPr>
          </w:p>
        </w:tc>
        <w:tc>
          <w:tcPr>
            <w:tcW w:w="688" w:type="pct"/>
          </w:tcPr>
          <w:p w14:paraId="17C2ADCD" w14:textId="77777777" w:rsidR="001047FA" w:rsidRPr="00871023" w:rsidRDefault="001047FA" w:rsidP="001047FA">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TGA INDICATION</w:t>
            </w:r>
          </w:p>
          <w:p w14:paraId="22925D27" w14:textId="77777777" w:rsidR="0010394D" w:rsidRPr="00871023" w:rsidRDefault="0010394D" w:rsidP="001047FA">
            <w:pPr>
              <w:pStyle w:val="Header"/>
              <w:spacing w:after="240"/>
              <w:contextualSpacing/>
              <w:jc w:val="center"/>
              <w:rPr>
                <w:rFonts w:ascii="Arial" w:hAnsi="Arial" w:cs="Arial"/>
                <w:b/>
                <w:snapToGrid w:val="0"/>
                <w:sz w:val="20"/>
                <w:lang w:eastAsia="en-US"/>
              </w:rPr>
            </w:pPr>
          </w:p>
        </w:tc>
        <w:tc>
          <w:tcPr>
            <w:tcW w:w="688" w:type="pct"/>
          </w:tcPr>
          <w:p w14:paraId="640C662D" w14:textId="77777777" w:rsidR="0010394D" w:rsidRPr="00871023" w:rsidRDefault="001047FA" w:rsidP="001047FA">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CURRENT PBS LISTING</w:t>
            </w:r>
          </w:p>
        </w:tc>
        <w:tc>
          <w:tcPr>
            <w:tcW w:w="1156" w:type="pct"/>
            <w:shd w:val="clear" w:color="auto" w:fill="auto"/>
          </w:tcPr>
          <w:p w14:paraId="4AB8B15A" w14:textId="77777777" w:rsidR="0010394D" w:rsidRPr="00871023" w:rsidRDefault="001047FA" w:rsidP="001047FA">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LISTING REQUESTED BY SPONSOR / PURPOSE OF SUBMISSION</w:t>
            </w:r>
          </w:p>
        </w:tc>
        <w:tc>
          <w:tcPr>
            <w:tcW w:w="1779" w:type="pct"/>
          </w:tcPr>
          <w:p w14:paraId="2A789DD7" w14:textId="77777777" w:rsidR="0010394D" w:rsidRPr="00871023" w:rsidRDefault="0010394D" w:rsidP="001047FA">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 xml:space="preserve">PBAC </w:t>
            </w:r>
            <w:r w:rsidR="001047FA" w:rsidRPr="00871023">
              <w:rPr>
                <w:rFonts w:ascii="Arial" w:hAnsi="Arial" w:cs="Arial"/>
                <w:b/>
                <w:snapToGrid w:val="0"/>
                <w:sz w:val="20"/>
                <w:lang w:eastAsia="en-US"/>
              </w:rPr>
              <w:t>OUTCOME</w:t>
            </w:r>
          </w:p>
        </w:tc>
      </w:tr>
      <w:tr w:rsidR="00DF599B" w:rsidRPr="00871023" w14:paraId="03C93FBB" w14:textId="77777777" w:rsidTr="00106998">
        <w:trPr>
          <w:trHeight w:val="435"/>
        </w:trPr>
        <w:tc>
          <w:tcPr>
            <w:tcW w:w="688" w:type="pct"/>
            <w:vMerge w:val="restart"/>
          </w:tcPr>
          <w:p w14:paraId="1B55D04D" w14:textId="77777777" w:rsidR="00DF599B" w:rsidRPr="00871023" w:rsidRDefault="00DF599B" w:rsidP="00DF599B">
            <w:pPr>
              <w:rPr>
                <w:rFonts w:ascii="Arial" w:hAnsi="Arial" w:cs="Arial"/>
                <w:color w:val="000000"/>
                <w:sz w:val="20"/>
              </w:rPr>
            </w:pPr>
            <w:r w:rsidRPr="00871023">
              <w:rPr>
                <w:rFonts w:ascii="Arial" w:hAnsi="Arial" w:cs="Arial"/>
                <w:color w:val="000000"/>
                <w:sz w:val="20"/>
              </w:rPr>
              <w:t>BEZLOTOXUMAB</w:t>
            </w:r>
            <w:r w:rsidRPr="00871023">
              <w:rPr>
                <w:rFonts w:ascii="Arial" w:hAnsi="Arial" w:cs="Arial"/>
                <w:color w:val="000000"/>
                <w:sz w:val="20"/>
              </w:rPr>
              <w:br/>
            </w:r>
            <w:r w:rsidRPr="00871023">
              <w:rPr>
                <w:rFonts w:ascii="Arial" w:hAnsi="Arial" w:cs="Arial"/>
                <w:color w:val="000000"/>
                <w:sz w:val="20"/>
              </w:rPr>
              <w:br/>
              <w:t>Solution concentrate for I.V. infusion 1000 mg in 40 mL</w:t>
            </w:r>
            <w:r w:rsidRPr="00871023">
              <w:rPr>
                <w:rFonts w:ascii="Arial" w:hAnsi="Arial" w:cs="Arial"/>
                <w:color w:val="000000"/>
                <w:sz w:val="20"/>
              </w:rPr>
              <w:br/>
            </w:r>
            <w:r w:rsidRPr="00871023">
              <w:rPr>
                <w:rFonts w:ascii="Arial" w:hAnsi="Arial" w:cs="Arial"/>
                <w:color w:val="000000"/>
                <w:sz w:val="20"/>
              </w:rPr>
              <w:br/>
              <w:t>Zinplava®</w:t>
            </w:r>
            <w:r w:rsidRPr="00871023">
              <w:rPr>
                <w:rFonts w:ascii="Arial" w:hAnsi="Arial" w:cs="Arial"/>
                <w:color w:val="000000"/>
                <w:sz w:val="20"/>
              </w:rPr>
              <w:br/>
            </w:r>
            <w:r w:rsidRPr="00871023">
              <w:rPr>
                <w:rFonts w:ascii="Arial" w:hAnsi="Arial" w:cs="Arial"/>
                <w:color w:val="000000"/>
                <w:sz w:val="20"/>
              </w:rPr>
              <w:br/>
              <w:t>Merck Sharp &amp; Dohme (Australia) Pty Ltd</w:t>
            </w:r>
            <w:r w:rsidRPr="00871023">
              <w:rPr>
                <w:rFonts w:ascii="Arial" w:hAnsi="Arial" w:cs="Arial"/>
                <w:color w:val="000000"/>
                <w:sz w:val="20"/>
              </w:rPr>
              <w:br/>
            </w:r>
            <w:r w:rsidRPr="00871023">
              <w:rPr>
                <w:rFonts w:ascii="Arial" w:hAnsi="Arial" w:cs="Arial"/>
                <w:color w:val="000000"/>
                <w:sz w:val="20"/>
              </w:rPr>
              <w:br/>
              <w:t>New listing</w:t>
            </w:r>
            <w:r w:rsidRPr="00871023">
              <w:rPr>
                <w:rFonts w:ascii="Arial" w:hAnsi="Arial" w:cs="Arial"/>
                <w:color w:val="000000"/>
                <w:sz w:val="20"/>
              </w:rPr>
              <w:br/>
              <w:t>(Major Submission)</w:t>
            </w:r>
          </w:p>
          <w:p w14:paraId="3298A8C0" w14:textId="71E32BC5" w:rsidR="00DF599B" w:rsidRPr="00871023" w:rsidRDefault="00DF599B" w:rsidP="00DF599B">
            <w:pPr>
              <w:contextualSpacing/>
              <w:rPr>
                <w:rFonts w:ascii="Arial" w:hAnsi="Arial" w:cs="Arial"/>
                <w:sz w:val="20"/>
              </w:rPr>
            </w:pPr>
          </w:p>
        </w:tc>
        <w:tc>
          <w:tcPr>
            <w:tcW w:w="688" w:type="pct"/>
            <w:vMerge w:val="restart"/>
          </w:tcPr>
          <w:p w14:paraId="1E2D6D79" w14:textId="50659B64" w:rsidR="00324A59" w:rsidRPr="00901BD8" w:rsidRDefault="00324A59" w:rsidP="00324A59">
            <w:pPr>
              <w:rPr>
                <w:rFonts w:ascii="Arial" w:hAnsi="Arial" w:cs="Arial"/>
                <w:sz w:val="20"/>
              </w:rPr>
            </w:pPr>
            <w:r w:rsidRPr="00901BD8">
              <w:rPr>
                <w:rFonts w:ascii="Arial" w:hAnsi="Arial" w:cs="Arial"/>
                <w:sz w:val="20"/>
              </w:rPr>
              <w:t>B</w:t>
            </w:r>
            <w:r w:rsidR="00A808EE" w:rsidRPr="002150CF">
              <w:rPr>
                <w:rFonts w:ascii="Arial" w:hAnsi="Arial" w:cs="Arial"/>
                <w:sz w:val="20"/>
              </w:rPr>
              <w:t>ezlotoxuma</w:t>
            </w:r>
            <w:r w:rsidR="00A808EE">
              <w:rPr>
                <w:rFonts w:ascii="Arial" w:hAnsi="Arial" w:cs="Arial"/>
                <w:sz w:val="20"/>
              </w:rPr>
              <w:t>b</w:t>
            </w:r>
            <w:r w:rsidRPr="00901BD8">
              <w:rPr>
                <w:rFonts w:ascii="Arial" w:hAnsi="Arial" w:cs="Arial"/>
                <w:sz w:val="20"/>
              </w:rPr>
              <w:t xml:space="preserve"> is indicated for the prevention of recurrence of </w:t>
            </w:r>
            <w:r w:rsidRPr="00901BD8">
              <w:rPr>
                <w:rFonts w:ascii="Arial" w:hAnsi="Arial" w:cs="Arial"/>
                <w:i/>
                <w:sz w:val="20"/>
              </w:rPr>
              <w:t>Clostridium difficile</w:t>
            </w:r>
          </w:p>
          <w:p w14:paraId="4FCD9000" w14:textId="77777777" w:rsidR="00324A59" w:rsidRPr="00901BD8" w:rsidRDefault="00324A59" w:rsidP="00324A59">
            <w:pPr>
              <w:rPr>
                <w:rFonts w:ascii="Arial" w:hAnsi="Arial" w:cs="Arial"/>
                <w:sz w:val="20"/>
              </w:rPr>
            </w:pPr>
            <w:r w:rsidRPr="00901BD8">
              <w:rPr>
                <w:rFonts w:ascii="Arial" w:hAnsi="Arial" w:cs="Arial"/>
                <w:sz w:val="20"/>
              </w:rPr>
              <w:t>infection (CDI) in adult patients 18 years or older at high risk for recurrence of CDI who are</w:t>
            </w:r>
          </w:p>
          <w:p w14:paraId="258EA5F1" w14:textId="1C1A3010" w:rsidR="00DF599B" w:rsidRPr="00861E1B" w:rsidRDefault="00324A59" w:rsidP="00324A59">
            <w:pPr>
              <w:rPr>
                <w:rFonts w:ascii="Arial" w:hAnsi="Arial" w:cs="Arial"/>
                <w:sz w:val="20"/>
              </w:rPr>
            </w:pPr>
            <w:r w:rsidRPr="00901BD8">
              <w:rPr>
                <w:rFonts w:ascii="Arial" w:hAnsi="Arial" w:cs="Arial"/>
                <w:sz w:val="20"/>
              </w:rPr>
              <w:t>receiving antibiotic therapy for CDI</w:t>
            </w:r>
          </w:p>
        </w:tc>
        <w:tc>
          <w:tcPr>
            <w:tcW w:w="688" w:type="pct"/>
            <w:vMerge w:val="restart"/>
          </w:tcPr>
          <w:p w14:paraId="6C80E05F" w14:textId="71943B1D" w:rsidR="00DF599B" w:rsidRPr="00901BD8" w:rsidRDefault="00324A59" w:rsidP="00DF599B">
            <w:pPr>
              <w:rPr>
                <w:rFonts w:ascii="Arial" w:hAnsi="Arial" w:cs="Arial"/>
                <w:sz w:val="20"/>
              </w:rPr>
            </w:pPr>
            <w:r w:rsidRPr="00901BD8">
              <w:rPr>
                <w:rFonts w:ascii="Arial" w:hAnsi="Arial" w:cs="Arial"/>
                <w:sz w:val="20"/>
              </w:rPr>
              <w:t>B</w:t>
            </w:r>
            <w:r w:rsidR="00A808EE" w:rsidRPr="002150CF">
              <w:rPr>
                <w:rFonts w:ascii="Arial" w:hAnsi="Arial" w:cs="Arial"/>
                <w:sz w:val="20"/>
              </w:rPr>
              <w:t>ezlotoxumab</w:t>
            </w:r>
            <w:r w:rsidRPr="00901BD8">
              <w:rPr>
                <w:rFonts w:ascii="Arial" w:hAnsi="Arial" w:cs="Arial"/>
                <w:sz w:val="20"/>
              </w:rPr>
              <w:t xml:space="preserve"> is not currently PBS listed.</w:t>
            </w:r>
          </w:p>
        </w:tc>
        <w:tc>
          <w:tcPr>
            <w:tcW w:w="1156" w:type="pct"/>
          </w:tcPr>
          <w:p w14:paraId="272C83D7" w14:textId="445F97E0" w:rsidR="00DF599B" w:rsidRPr="00901BD8" w:rsidRDefault="00DF599B" w:rsidP="009913E2">
            <w:pPr>
              <w:keepLines/>
              <w:rPr>
                <w:rFonts w:ascii="Arial" w:hAnsi="Arial" w:cs="Arial"/>
                <w:color w:val="000000"/>
                <w:sz w:val="20"/>
              </w:rPr>
            </w:pPr>
            <w:r w:rsidRPr="00871023">
              <w:rPr>
                <w:rFonts w:ascii="Arial" w:hAnsi="Arial" w:cs="Arial"/>
                <w:color w:val="000000"/>
                <w:sz w:val="20"/>
              </w:rPr>
              <w:t xml:space="preserve">Resubmission to request a Section 100 </w:t>
            </w:r>
            <w:r w:rsidR="00901BD8">
              <w:rPr>
                <w:rFonts w:ascii="Arial" w:hAnsi="Arial" w:cs="Arial"/>
                <w:color w:val="000000"/>
                <w:sz w:val="20"/>
              </w:rPr>
              <w:t xml:space="preserve">(Highly Specialised Drugs Program) </w:t>
            </w:r>
            <w:r w:rsidRPr="00871023">
              <w:rPr>
                <w:rFonts w:ascii="Arial" w:hAnsi="Arial" w:cs="Arial"/>
                <w:color w:val="000000"/>
                <w:sz w:val="20"/>
              </w:rPr>
              <w:t xml:space="preserve">Authority required listing for the </w:t>
            </w:r>
            <w:r w:rsidR="00861E1B">
              <w:rPr>
                <w:rFonts w:ascii="Arial" w:hAnsi="Arial" w:cs="Arial"/>
                <w:color w:val="000000"/>
                <w:sz w:val="20"/>
              </w:rPr>
              <w:t xml:space="preserve">treatment of </w:t>
            </w:r>
            <w:r w:rsidRPr="009913E2">
              <w:rPr>
                <w:rFonts w:ascii="Arial" w:hAnsi="Arial" w:cs="Arial"/>
                <w:color w:val="000000"/>
                <w:sz w:val="20"/>
              </w:rPr>
              <w:t xml:space="preserve">patients at high risk </w:t>
            </w:r>
            <w:r w:rsidRPr="00871023">
              <w:rPr>
                <w:rFonts w:ascii="Arial" w:hAnsi="Arial" w:cs="Arial"/>
                <w:color w:val="000000"/>
                <w:sz w:val="20"/>
              </w:rPr>
              <w:t>of recurrence</w:t>
            </w:r>
            <w:r w:rsidR="009913E2">
              <w:rPr>
                <w:rFonts w:ascii="Arial" w:hAnsi="Arial" w:cs="Arial"/>
                <w:color w:val="000000"/>
                <w:sz w:val="20"/>
              </w:rPr>
              <w:t xml:space="preserve">, </w:t>
            </w:r>
            <w:r w:rsidR="009913E2" w:rsidRPr="00901BD8">
              <w:rPr>
                <w:rFonts w:ascii="Arial" w:hAnsi="Arial" w:cs="Arial"/>
                <w:color w:val="000000"/>
                <w:sz w:val="20"/>
              </w:rPr>
              <w:t>defined as ≥1 of 3 risk factors (age ≥65 years; history of CDI in past 6 months; immunocompromised due to haematopoi</w:t>
            </w:r>
            <w:r w:rsidR="009913E2" w:rsidRPr="009913E2">
              <w:rPr>
                <w:rFonts w:ascii="Arial" w:hAnsi="Arial" w:cs="Arial"/>
                <w:color w:val="000000"/>
                <w:sz w:val="20"/>
              </w:rPr>
              <w:t>etic stem cell transplant or solid organ transplant</w:t>
            </w:r>
            <w:r w:rsidR="00606D5B">
              <w:rPr>
                <w:rFonts w:ascii="Arial" w:hAnsi="Arial" w:cs="Arial"/>
                <w:color w:val="000000"/>
                <w:sz w:val="20"/>
              </w:rPr>
              <w:t>)</w:t>
            </w:r>
            <w:r w:rsidR="00861E1B">
              <w:rPr>
                <w:rFonts w:ascii="Arial" w:hAnsi="Arial" w:cs="Arial"/>
                <w:color w:val="000000"/>
                <w:sz w:val="20"/>
              </w:rPr>
              <w:t>.</w:t>
            </w:r>
            <w:r w:rsidRPr="00871023">
              <w:rPr>
                <w:rFonts w:ascii="Arial" w:hAnsi="Arial" w:cs="Arial"/>
                <w:color w:val="000000"/>
                <w:sz w:val="20"/>
              </w:rPr>
              <w:t xml:space="preserve"> </w:t>
            </w:r>
          </w:p>
        </w:tc>
        <w:tc>
          <w:tcPr>
            <w:tcW w:w="1779" w:type="pct"/>
          </w:tcPr>
          <w:p w14:paraId="71CA9529" w14:textId="47BB7214" w:rsidR="00DF599B" w:rsidRPr="001835FC" w:rsidRDefault="00DF599B" w:rsidP="00B006A1">
            <w:pPr>
              <w:widowControl w:val="0"/>
              <w:rPr>
                <w:rFonts w:ascii="Arial" w:hAnsi="Arial" w:cs="Arial"/>
                <w:bCs/>
                <w:snapToGrid w:val="0"/>
                <w:sz w:val="20"/>
                <w:lang w:val="en-GB"/>
              </w:rPr>
            </w:pPr>
            <w:r w:rsidRPr="00871023">
              <w:rPr>
                <w:rFonts w:ascii="Arial" w:hAnsi="Arial" w:cs="Arial"/>
                <w:bCs/>
                <w:snapToGrid w:val="0"/>
                <w:sz w:val="20"/>
                <w:lang w:val="en-GB"/>
              </w:rPr>
              <w:t xml:space="preserve">The PBAC did not recommend the listing of bezlotoxumab on the PBS for the prevention of </w:t>
            </w:r>
            <w:r w:rsidRPr="00871023">
              <w:rPr>
                <w:rFonts w:ascii="Arial" w:hAnsi="Arial" w:cs="Arial"/>
                <w:bCs/>
                <w:i/>
                <w:snapToGrid w:val="0"/>
                <w:sz w:val="20"/>
                <w:lang w:val="en-GB"/>
              </w:rPr>
              <w:t xml:space="preserve">Clostridium difficile </w:t>
            </w:r>
            <w:r w:rsidRPr="00871023">
              <w:rPr>
                <w:rFonts w:ascii="Arial" w:hAnsi="Arial" w:cs="Arial"/>
                <w:bCs/>
                <w:snapToGrid w:val="0"/>
                <w:sz w:val="20"/>
                <w:lang w:val="en-GB"/>
              </w:rPr>
              <w:t>infection</w:t>
            </w:r>
            <w:bookmarkStart w:id="0" w:name="_GoBack"/>
            <w:bookmarkEnd w:id="0"/>
            <w:r w:rsidRPr="00871023">
              <w:rPr>
                <w:rFonts w:ascii="Arial" w:hAnsi="Arial" w:cs="Arial"/>
                <w:bCs/>
                <w:snapToGrid w:val="0"/>
                <w:sz w:val="20"/>
                <w:lang w:val="en-GB"/>
              </w:rPr>
              <w:t xml:space="preserve"> (CDI) on the basis of uncertain clinical need, its modest effectiveness and concerns regarding safety, along with an uncertain incremental cost-effectiveness ratio. </w:t>
            </w:r>
          </w:p>
        </w:tc>
      </w:tr>
      <w:tr w:rsidR="00DF599B" w:rsidRPr="00871023" w14:paraId="07BCFF2E" w14:textId="77777777" w:rsidTr="00106998">
        <w:trPr>
          <w:trHeight w:val="433"/>
        </w:trPr>
        <w:tc>
          <w:tcPr>
            <w:tcW w:w="688" w:type="pct"/>
            <w:vMerge/>
          </w:tcPr>
          <w:p w14:paraId="5A9EA9E5" w14:textId="77777777" w:rsidR="00DF599B" w:rsidRPr="00871023" w:rsidRDefault="00DF599B" w:rsidP="00DF599B">
            <w:pPr>
              <w:rPr>
                <w:rFonts w:ascii="Arial" w:hAnsi="Arial" w:cs="Arial"/>
                <w:sz w:val="20"/>
              </w:rPr>
            </w:pPr>
          </w:p>
        </w:tc>
        <w:tc>
          <w:tcPr>
            <w:tcW w:w="688" w:type="pct"/>
            <w:vMerge/>
          </w:tcPr>
          <w:p w14:paraId="13E8A28A" w14:textId="77777777" w:rsidR="00DF599B" w:rsidRPr="00871023" w:rsidRDefault="00DF599B" w:rsidP="00DF599B">
            <w:pPr>
              <w:rPr>
                <w:rFonts w:ascii="Arial" w:hAnsi="Arial" w:cs="Arial"/>
                <w:sz w:val="20"/>
              </w:rPr>
            </w:pPr>
          </w:p>
        </w:tc>
        <w:tc>
          <w:tcPr>
            <w:tcW w:w="688" w:type="pct"/>
            <w:vMerge/>
          </w:tcPr>
          <w:p w14:paraId="5EB054A2" w14:textId="77777777" w:rsidR="00DF599B" w:rsidRPr="00871023" w:rsidRDefault="00DF599B" w:rsidP="00DF599B">
            <w:pPr>
              <w:rPr>
                <w:rFonts w:ascii="Arial" w:hAnsi="Arial" w:cs="Arial"/>
                <w:sz w:val="20"/>
              </w:rPr>
            </w:pPr>
          </w:p>
        </w:tc>
        <w:tc>
          <w:tcPr>
            <w:tcW w:w="1156" w:type="pct"/>
          </w:tcPr>
          <w:p w14:paraId="2F77ADD7" w14:textId="41EC4DF0" w:rsidR="00DF599B" w:rsidRPr="00871023" w:rsidRDefault="00DF599B" w:rsidP="00DF599B">
            <w:pPr>
              <w:pStyle w:val="ListBullet"/>
            </w:pPr>
            <w:r w:rsidRPr="00871023">
              <w:t>Comparator: Standard of care (SoC)</w:t>
            </w:r>
          </w:p>
        </w:tc>
        <w:tc>
          <w:tcPr>
            <w:tcW w:w="1779" w:type="pct"/>
          </w:tcPr>
          <w:p w14:paraId="5D89BA4D" w14:textId="0945732B" w:rsidR="00DF599B" w:rsidRPr="001835FC" w:rsidRDefault="00DF599B" w:rsidP="001835FC">
            <w:pPr>
              <w:pStyle w:val="3-BodyText"/>
              <w:ind w:left="0" w:firstLine="0"/>
              <w:rPr>
                <w:rFonts w:ascii="Arial" w:hAnsi="Arial"/>
                <w:iCs/>
                <w:sz w:val="20"/>
                <w:szCs w:val="20"/>
              </w:rPr>
            </w:pPr>
            <w:r w:rsidRPr="00871023">
              <w:rPr>
                <w:rFonts w:ascii="Arial" w:hAnsi="Arial"/>
                <w:iCs/>
                <w:sz w:val="20"/>
                <w:szCs w:val="20"/>
              </w:rPr>
              <w:t xml:space="preserve">The PBAC considered that due to a recent shift in the clinical management algorithm the nominated comparator does not accurately reflect current clinical practice where </w:t>
            </w:r>
            <w:r w:rsidRPr="00871023">
              <w:rPr>
                <w:rFonts w:ascii="Arial" w:hAnsi="Arial"/>
                <w:sz w:val="20"/>
                <w:szCs w:val="20"/>
              </w:rPr>
              <w:t xml:space="preserve">faecal microbiota transplantation is a preferred treatment option in recurrent CDI. </w:t>
            </w:r>
          </w:p>
        </w:tc>
      </w:tr>
      <w:tr w:rsidR="00DF599B" w:rsidRPr="00871023" w14:paraId="56C196C7" w14:textId="77777777" w:rsidTr="00106998">
        <w:trPr>
          <w:trHeight w:val="433"/>
        </w:trPr>
        <w:tc>
          <w:tcPr>
            <w:tcW w:w="688" w:type="pct"/>
            <w:vMerge/>
          </w:tcPr>
          <w:p w14:paraId="78964E11" w14:textId="77777777" w:rsidR="00DF599B" w:rsidRPr="00871023" w:rsidRDefault="00DF599B" w:rsidP="00DF599B">
            <w:pPr>
              <w:rPr>
                <w:rFonts w:ascii="Arial" w:hAnsi="Arial" w:cs="Arial"/>
                <w:sz w:val="20"/>
              </w:rPr>
            </w:pPr>
          </w:p>
        </w:tc>
        <w:tc>
          <w:tcPr>
            <w:tcW w:w="688" w:type="pct"/>
            <w:vMerge/>
          </w:tcPr>
          <w:p w14:paraId="393DD185" w14:textId="77777777" w:rsidR="00DF599B" w:rsidRPr="00871023" w:rsidRDefault="00DF599B" w:rsidP="00DF599B">
            <w:pPr>
              <w:rPr>
                <w:rFonts w:ascii="Arial" w:hAnsi="Arial" w:cs="Arial"/>
                <w:sz w:val="20"/>
              </w:rPr>
            </w:pPr>
          </w:p>
        </w:tc>
        <w:tc>
          <w:tcPr>
            <w:tcW w:w="688" w:type="pct"/>
            <w:vMerge/>
          </w:tcPr>
          <w:p w14:paraId="139BB229" w14:textId="77777777" w:rsidR="00DF599B" w:rsidRPr="00871023" w:rsidRDefault="00DF599B" w:rsidP="00DF599B">
            <w:pPr>
              <w:rPr>
                <w:rFonts w:ascii="Arial" w:hAnsi="Arial" w:cs="Arial"/>
                <w:sz w:val="20"/>
              </w:rPr>
            </w:pPr>
          </w:p>
        </w:tc>
        <w:tc>
          <w:tcPr>
            <w:tcW w:w="1156" w:type="pct"/>
          </w:tcPr>
          <w:p w14:paraId="65ABC5A7" w14:textId="5A3864BB" w:rsidR="00DF599B" w:rsidRPr="00871023" w:rsidRDefault="00DF599B" w:rsidP="009913E2">
            <w:pPr>
              <w:pStyle w:val="ListBullet"/>
              <w:spacing w:after="120"/>
            </w:pPr>
            <w:r w:rsidRPr="00871023">
              <w:t xml:space="preserve">Clinical claim: </w:t>
            </w:r>
            <w:r w:rsidRPr="00871023">
              <w:rPr>
                <w:color w:val="000000"/>
              </w:rPr>
              <w:t>Superior comparative effectiveness and non-inferior comparative safety compared to SoC</w:t>
            </w:r>
          </w:p>
        </w:tc>
        <w:tc>
          <w:tcPr>
            <w:tcW w:w="1779" w:type="pct"/>
          </w:tcPr>
          <w:p w14:paraId="3447DDAB" w14:textId="6014D180" w:rsidR="00DF599B" w:rsidRPr="00871023" w:rsidRDefault="00DF599B" w:rsidP="00B006A1">
            <w:pPr>
              <w:pStyle w:val="3-BodyText"/>
              <w:spacing w:after="0"/>
              <w:ind w:left="0" w:firstLine="0"/>
              <w:rPr>
                <w:rFonts w:ascii="Arial" w:eastAsia="Calibri" w:hAnsi="Arial"/>
                <w:iCs/>
                <w:sz w:val="20"/>
                <w:szCs w:val="20"/>
              </w:rPr>
            </w:pPr>
            <w:r w:rsidRPr="00871023">
              <w:rPr>
                <w:rFonts w:ascii="Arial" w:eastAsia="Calibri" w:hAnsi="Arial"/>
                <w:iCs/>
                <w:sz w:val="20"/>
                <w:szCs w:val="20"/>
              </w:rPr>
              <w:t>The PBAC considered that the claim of superior comparative effectiveness was reasonable for patients with ≥1 of 2 risk factors (age ≥65 years or history of CDI in the past 6 months). However, the PBAC reiterated its previous advice that the overall benefit remained modest and the clinical relevance of the benefit unclear.</w:t>
            </w:r>
          </w:p>
          <w:p w14:paraId="4740ADAD" w14:textId="77777777" w:rsidR="00B006A1" w:rsidRDefault="00B006A1" w:rsidP="00B006A1">
            <w:pPr>
              <w:pStyle w:val="3-BodyText"/>
              <w:spacing w:after="0"/>
              <w:ind w:left="0" w:firstLine="0"/>
              <w:rPr>
                <w:rFonts w:ascii="Arial" w:eastAsia="Calibri" w:hAnsi="Arial"/>
                <w:iCs/>
                <w:sz w:val="20"/>
                <w:szCs w:val="20"/>
              </w:rPr>
            </w:pPr>
          </w:p>
          <w:p w14:paraId="3834A598" w14:textId="2D5F976B" w:rsidR="00DF599B" w:rsidRPr="001835FC" w:rsidRDefault="00DF599B" w:rsidP="00B006A1">
            <w:pPr>
              <w:pStyle w:val="3-BodyText"/>
              <w:spacing w:after="0"/>
              <w:ind w:left="0" w:firstLine="0"/>
              <w:rPr>
                <w:rFonts w:ascii="Arial" w:eastAsia="Calibri" w:hAnsi="Arial"/>
                <w:iCs/>
                <w:sz w:val="20"/>
                <w:szCs w:val="20"/>
              </w:rPr>
            </w:pPr>
            <w:r w:rsidRPr="00871023">
              <w:rPr>
                <w:rFonts w:ascii="Arial" w:eastAsia="Calibri" w:hAnsi="Arial"/>
                <w:iCs/>
                <w:sz w:val="20"/>
                <w:szCs w:val="20"/>
              </w:rPr>
              <w:t>The PBAC considered that the claim of non-inferior comparative safety was not adequately supported by the data.</w:t>
            </w:r>
          </w:p>
        </w:tc>
      </w:tr>
      <w:tr w:rsidR="00DF599B" w:rsidRPr="00871023" w14:paraId="6817D51E" w14:textId="77777777" w:rsidTr="00106998">
        <w:trPr>
          <w:trHeight w:val="433"/>
        </w:trPr>
        <w:tc>
          <w:tcPr>
            <w:tcW w:w="688" w:type="pct"/>
            <w:vMerge/>
          </w:tcPr>
          <w:p w14:paraId="5BC232F9" w14:textId="77777777" w:rsidR="00DF599B" w:rsidRPr="00871023" w:rsidRDefault="00DF599B" w:rsidP="00DF599B">
            <w:pPr>
              <w:rPr>
                <w:rFonts w:ascii="Arial" w:hAnsi="Arial" w:cs="Arial"/>
                <w:sz w:val="20"/>
              </w:rPr>
            </w:pPr>
          </w:p>
        </w:tc>
        <w:tc>
          <w:tcPr>
            <w:tcW w:w="688" w:type="pct"/>
            <w:vMerge/>
          </w:tcPr>
          <w:p w14:paraId="442A5CC3" w14:textId="77777777" w:rsidR="00DF599B" w:rsidRPr="00871023" w:rsidRDefault="00DF599B" w:rsidP="00DF599B">
            <w:pPr>
              <w:rPr>
                <w:rFonts w:ascii="Arial" w:hAnsi="Arial" w:cs="Arial"/>
                <w:sz w:val="20"/>
              </w:rPr>
            </w:pPr>
          </w:p>
        </w:tc>
        <w:tc>
          <w:tcPr>
            <w:tcW w:w="688" w:type="pct"/>
            <w:vMerge/>
          </w:tcPr>
          <w:p w14:paraId="28358AAB" w14:textId="77777777" w:rsidR="00DF599B" w:rsidRPr="00871023" w:rsidRDefault="00DF599B" w:rsidP="00DF599B">
            <w:pPr>
              <w:rPr>
                <w:rFonts w:ascii="Arial" w:hAnsi="Arial" w:cs="Arial"/>
                <w:sz w:val="20"/>
              </w:rPr>
            </w:pPr>
          </w:p>
        </w:tc>
        <w:tc>
          <w:tcPr>
            <w:tcW w:w="1156" w:type="pct"/>
          </w:tcPr>
          <w:p w14:paraId="3C2FA7FF" w14:textId="650E6EC1" w:rsidR="00DF599B" w:rsidRPr="00871023" w:rsidRDefault="00DF599B" w:rsidP="00DF599B">
            <w:pPr>
              <w:pStyle w:val="ListBullet"/>
            </w:pPr>
            <w:r w:rsidRPr="00871023">
              <w:t xml:space="preserve">Economic claim: </w:t>
            </w:r>
            <w:r w:rsidRPr="00871023">
              <w:rPr>
                <w:color w:val="000000"/>
              </w:rPr>
              <w:t>Cost-effectiveness basis compared to SoC</w:t>
            </w:r>
          </w:p>
        </w:tc>
        <w:tc>
          <w:tcPr>
            <w:tcW w:w="1779" w:type="pct"/>
          </w:tcPr>
          <w:p w14:paraId="1B3F57CB" w14:textId="2F32FCC3" w:rsidR="00DF599B" w:rsidRPr="00871023" w:rsidRDefault="00DF599B" w:rsidP="00A2554D">
            <w:pPr>
              <w:pStyle w:val="ListParagraph"/>
              <w:spacing w:after="120"/>
              <w:ind w:left="0"/>
              <w:rPr>
                <w:rFonts w:ascii="Arial" w:hAnsi="Arial" w:cs="Arial"/>
                <w:sz w:val="20"/>
                <w:szCs w:val="20"/>
              </w:rPr>
            </w:pPr>
            <w:r w:rsidRPr="00871023">
              <w:rPr>
                <w:rFonts w:ascii="Arial" w:hAnsi="Arial" w:cs="Arial"/>
                <w:sz w:val="20"/>
                <w:szCs w:val="20"/>
              </w:rPr>
              <w:t xml:space="preserve">The PBAC acknowledged the resubmission attempted to address previous concerns with the economic model and noted this included a lower effective price per bezlotoxumab vial. However, PBAC considered the ICER remained sensitive to the CDI recurrence rate, the assumed mortality benefit, the proportion of recurrences requiring hospitalisation, and the relative efficacy of bezlotoxumab in the proposed patient population. As such, the PBAC considered that the </w:t>
            </w:r>
            <w:r w:rsidR="00A2554D">
              <w:rPr>
                <w:rFonts w:ascii="Arial" w:hAnsi="Arial" w:cs="Arial"/>
                <w:sz w:val="20"/>
                <w:szCs w:val="20"/>
              </w:rPr>
              <w:t>incremental cost-</w:t>
            </w:r>
            <w:r w:rsidR="00A2554D">
              <w:rPr>
                <w:rFonts w:ascii="Arial" w:hAnsi="Arial" w:cs="Arial"/>
                <w:sz w:val="20"/>
                <w:szCs w:val="20"/>
              </w:rPr>
              <w:lastRenderedPageBreak/>
              <w:t>effectiveness ratio</w:t>
            </w:r>
            <w:r w:rsidR="00A2554D" w:rsidRPr="00871023">
              <w:rPr>
                <w:rFonts w:ascii="Arial" w:hAnsi="Arial" w:cs="Arial"/>
                <w:sz w:val="20"/>
                <w:szCs w:val="20"/>
              </w:rPr>
              <w:t xml:space="preserve"> </w:t>
            </w:r>
            <w:r w:rsidRPr="00871023">
              <w:rPr>
                <w:rFonts w:ascii="Arial" w:hAnsi="Arial" w:cs="Arial"/>
                <w:sz w:val="20"/>
                <w:szCs w:val="20"/>
              </w:rPr>
              <w:t>remains uncertain and likely higher than proposed.</w:t>
            </w:r>
          </w:p>
        </w:tc>
      </w:tr>
      <w:tr w:rsidR="00DF599B" w:rsidRPr="00871023" w14:paraId="36D58A7A" w14:textId="77777777" w:rsidTr="00106998">
        <w:trPr>
          <w:trHeight w:val="433"/>
        </w:trPr>
        <w:tc>
          <w:tcPr>
            <w:tcW w:w="688" w:type="pct"/>
            <w:vMerge/>
          </w:tcPr>
          <w:p w14:paraId="7557DFF3" w14:textId="77777777" w:rsidR="00DF599B" w:rsidRPr="00871023" w:rsidRDefault="00DF599B" w:rsidP="00DF599B">
            <w:pPr>
              <w:rPr>
                <w:rFonts w:ascii="Arial" w:hAnsi="Arial" w:cs="Arial"/>
                <w:sz w:val="20"/>
              </w:rPr>
            </w:pPr>
          </w:p>
        </w:tc>
        <w:tc>
          <w:tcPr>
            <w:tcW w:w="688" w:type="pct"/>
            <w:vMerge/>
          </w:tcPr>
          <w:p w14:paraId="47375760" w14:textId="77777777" w:rsidR="00DF599B" w:rsidRPr="00871023" w:rsidRDefault="00DF599B" w:rsidP="00DF599B">
            <w:pPr>
              <w:rPr>
                <w:rFonts w:ascii="Arial" w:hAnsi="Arial" w:cs="Arial"/>
                <w:sz w:val="20"/>
              </w:rPr>
            </w:pPr>
          </w:p>
        </w:tc>
        <w:tc>
          <w:tcPr>
            <w:tcW w:w="688" w:type="pct"/>
            <w:vMerge/>
          </w:tcPr>
          <w:p w14:paraId="311FDF82" w14:textId="77777777" w:rsidR="00DF599B" w:rsidRPr="00871023" w:rsidRDefault="00DF599B" w:rsidP="00DF599B">
            <w:pPr>
              <w:rPr>
                <w:rFonts w:ascii="Arial" w:hAnsi="Arial" w:cs="Arial"/>
                <w:sz w:val="20"/>
              </w:rPr>
            </w:pPr>
          </w:p>
        </w:tc>
        <w:tc>
          <w:tcPr>
            <w:tcW w:w="1156" w:type="pct"/>
          </w:tcPr>
          <w:p w14:paraId="3B3B0B30" w14:textId="5F4C1F2B" w:rsidR="00DF599B" w:rsidRPr="00871023" w:rsidRDefault="00DF599B" w:rsidP="00DF599B">
            <w:pPr>
              <w:pStyle w:val="ListBullet"/>
              <w:jc w:val="right"/>
              <w:rPr>
                <w:highlight w:val="red"/>
              </w:rPr>
            </w:pPr>
            <w:r w:rsidRPr="00871023">
              <w:t>Sponsor’s comment:</w:t>
            </w:r>
          </w:p>
        </w:tc>
        <w:tc>
          <w:tcPr>
            <w:tcW w:w="1779" w:type="pct"/>
          </w:tcPr>
          <w:p w14:paraId="0CF9544A" w14:textId="77DD8EA6" w:rsidR="007042B6" w:rsidRDefault="007042B6" w:rsidP="007042B6">
            <w:pPr>
              <w:rPr>
                <w:rFonts w:ascii="Arial" w:hAnsi="Arial" w:cs="Arial"/>
                <w:sz w:val="20"/>
              </w:rPr>
            </w:pPr>
            <w:r w:rsidRPr="00871023">
              <w:rPr>
                <w:rFonts w:ascii="Arial" w:hAnsi="Arial" w:cs="Arial"/>
                <w:color w:val="000000"/>
                <w:sz w:val="20"/>
              </w:rPr>
              <w:t>Merck Sharp &amp; Dohme</w:t>
            </w:r>
            <w:r>
              <w:rPr>
                <w:rFonts w:ascii="Arial" w:hAnsi="Arial" w:cs="Arial"/>
                <w:sz w:val="20"/>
              </w:rPr>
              <w:t xml:space="preserve"> disagrees with the PBAC’s claim that there has been a recent shift in the clinical management of CDI, given that faecal microbiota transplantation is not yet established throughout Australia and there is a paucity of evidence in the specific populations that were the subject of this resubmission. </w:t>
            </w:r>
          </w:p>
          <w:p w14:paraId="54235EFE" w14:textId="77777777" w:rsidR="007042B6" w:rsidRDefault="007042B6" w:rsidP="007042B6">
            <w:pPr>
              <w:rPr>
                <w:rFonts w:ascii="Arial" w:hAnsi="Arial" w:cs="Arial"/>
                <w:sz w:val="20"/>
              </w:rPr>
            </w:pPr>
          </w:p>
          <w:p w14:paraId="6328FF43" w14:textId="3AC116B7" w:rsidR="00DF599B" w:rsidRPr="00871023" w:rsidRDefault="007042B6" w:rsidP="007042B6">
            <w:pPr>
              <w:rPr>
                <w:rFonts w:ascii="Arial" w:hAnsi="Arial" w:cs="Arial"/>
                <w:sz w:val="20"/>
              </w:rPr>
            </w:pPr>
            <w:r w:rsidRPr="00871023">
              <w:rPr>
                <w:rFonts w:ascii="Arial" w:hAnsi="Arial" w:cs="Arial"/>
                <w:color w:val="000000"/>
                <w:sz w:val="20"/>
              </w:rPr>
              <w:t>Merck Sharp &amp; Dohme</w:t>
            </w:r>
            <w:r>
              <w:rPr>
                <w:rFonts w:ascii="Arial" w:hAnsi="Arial" w:cs="Arial"/>
                <w:sz w:val="20"/>
              </w:rPr>
              <w:t xml:space="preserve"> is disappointed that this fourth major submission was unsuccessful. This experience has reaffirmed our position that the ongoing Streamlined Pathways project is pivotal in ensuring that PBAC processes adapt to improve timely access for patients.</w:t>
            </w:r>
          </w:p>
        </w:tc>
      </w:tr>
      <w:tr w:rsidR="00DF599B" w:rsidRPr="00871023" w14:paraId="032C9B39" w14:textId="77777777" w:rsidTr="00106998">
        <w:trPr>
          <w:trHeight w:val="433"/>
        </w:trPr>
        <w:tc>
          <w:tcPr>
            <w:tcW w:w="688" w:type="pct"/>
            <w:vMerge w:val="restart"/>
          </w:tcPr>
          <w:p w14:paraId="6A394542" w14:textId="0A7FC1C0" w:rsidR="00DF599B" w:rsidRPr="00871023" w:rsidRDefault="00DF599B" w:rsidP="00DF599B">
            <w:pPr>
              <w:spacing w:after="120"/>
              <w:rPr>
                <w:rFonts w:ascii="Arial" w:hAnsi="Arial" w:cs="Arial"/>
                <w:sz w:val="20"/>
              </w:rPr>
            </w:pPr>
            <w:r w:rsidRPr="00871023">
              <w:rPr>
                <w:rFonts w:ascii="Arial" w:hAnsi="Arial" w:cs="Arial"/>
                <w:color w:val="000000"/>
                <w:sz w:val="20"/>
              </w:rPr>
              <w:t>BROLUCIZUMAB</w:t>
            </w:r>
            <w:r w:rsidRPr="00871023">
              <w:rPr>
                <w:rFonts w:ascii="Arial" w:hAnsi="Arial" w:cs="Arial"/>
                <w:color w:val="000000"/>
                <w:sz w:val="20"/>
              </w:rPr>
              <w:br/>
            </w:r>
            <w:r w:rsidRPr="00871023">
              <w:rPr>
                <w:rFonts w:ascii="Arial" w:hAnsi="Arial" w:cs="Arial"/>
                <w:color w:val="000000"/>
                <w:sz w:val="20"/>
              </w:rPr>
              <w:br/>
              <w:t>Solution for intravitreal injection 19.8 mg in 0.165 mL pre-filled syringe</w:t>
            </w:r>
            <w:r w:rsidRPr="00871023">
              <w:rPr>
                <w:rFonts w:ascii="Arial" w:hAnsi="Arial" w:cs="Arial"/>
                <w:color w:val="000000"/>
                <w:sz w:val="20"/>
              </w:rPr>
              <w:br/>
            </w:r>
            <w:r w:rsidRPr="00871023">
              <w:rPr>
                <w:rFonts w:ascii="Arial" w:hAnsi="Arial" w:cs="Arial"/>
                <w:color w:val="000000"/>
                <w:sz w:val="20"/>
              </w:rPr>
              <w:br/>
              <w:t>Beovu®</w:t>
            </w:r>
            <w:r w:rsidRPr="00871023">
              <w:rPr>
                <w:rFonts w:ascii="Arial" w:hAnsi="Arial" w:cs="Arial"/>
                <w:color w:val="000000"/>
                <w:sz w:val="20"/>
              </w:rPr>
              <w:br/>
            </w:r>
            <w:r w:rsidRPr="00871023">
              <w:rPr>
                <w:rFonts w:ascii="Arial" w:hAnsi="Arial" w:cs="Arial"/>
                <w:color w:val="000000"/>
                <w:sz w:val="20"/>
              </w:rPr>
              <w:br/>
              <w:t>Novartis Pharmaceuticals Australia Pty Limited</w:t>
            </w:r>
            <w:r w:rsidRPr="00871023">
              <w:rPr>
                <w:rFonts w:ascii="Arial" w:hAnsi="Arial" w:cs="Arial"/>
                <w:color w:val="000000"/>
                <w:sz w:val="20"/>
              </w:rPr>
              <w:br/>
            </w:r>
            <w:r w:rsidRPr="00871023">
              <w:rPr>
                <w:rFonts w:ascii="Arial" w:hAnsi="Arial" w:cs="Arial"/>
                <w:color w:val="000000"/>
                <w:sz w:val="20"/>
              </w:rPr>
              <w:br/>
              <w:t>New listing</w:t>
            </w:r>
            <w:r w:rsidRPr="00871023">
              <w:rPr>
                <w:rFonts w:ascii="Arial" w:hAnsi="Arial" w:cs="Arial"/>
                <w:color w:val="000000"/>
                <w:sz w:val="20"/>
              </w:rPr>
              <w:br/>
              <w:t>(Minor Submission)</w:t>
            </w:r>
          </w:p>
        </w:tc>
        <w:tc>
          <w:tcPr>
            <w:tcW w:w="688" w:type="pct"/>
            <w:vMerge w:val="restart"/>
          </w:tcPr>
          <w:p w14:paraId="3222E7B1" w14:textId="60C3321E" w:rsidR="00DF599B" w:rsidRPr="00871023" w:rsidRDefault="00DF599B" w:rsidP="00DF599B">
            <w:pPr>
              <w:spacing w:after="120"/>
              <w:rPr>
                <w:rFonts w:ascii="Arial" w:hAnsi="Arial" w:cs="Arial"/>
                <w:sz w:val="20"/>
              </w:rPr>
            </w:pPr>
            <w:r w:rsidRPr="00871023">
              <w:rPr>
                <w:rFonts w:ascii="Arial" w:hAnsi="Arial" w:cs="Arial"/>
                <w:sz w:val="20"/>
              </w:rPr>
              <w:t>B</w:t>
            </w:r>
            <w:r w:rsidR="00A808EE" w:rsidRPr="00871023">
              <w:rPr>
                <w:rFonts w:ascii="Arial" w:hAnsi="Arial" w:cs="Arial"/>
                <w:sz w:val="20"/>
              </w:rPr>
              <w:t>rolucizumab</w:t>
            </w:r>
            <w:r w:rsidRPr="00871023">
              <w:rPr>
                <w:rFonts w:ascii="Arial" w:hAnsi="Arial" w:cs="Arial"/>
                <w:sz w:val="20"/>
              </w:rPr>
              <w:t xml:space="preserve"> is indicated for the treatment of neovascular (wet) age-related macular degeneration (AMD).</w:t>
            </w:r>
          </w:p>
        </w:tc>
        <w:tc>
          <w:tcPr>
            <w:tcW w:w="688" w:type="pct"/>
            <w:vMerge w:val="restart"/>
          </w:tcPr>
          <w:p w14:paraId="3F876B14" w14:textId="7D5AE220" w:rsidR="00DF599B" w:rsidRPr="00871023" w:rsidRDefault="00DF599B" w:rsidP="00DF599B">
            <w:pPr>
              <w:rPr>
                <w:rFonts w:ascii="Arial" w:hAnsi="Arial" w:cs="Arial"/>
                <w:sz w:val="20"/>
              </w:rPr>
            </w:pPr>
            <w:r w:rsidRPr="00871023">
              <w:rPr>
                <w:rFonts w:ascii="Arial" w:hAnsi="Arial" w:cs="Arial"/>
                <w:sz w:val="20"/>
              </w:rPr>
              <w:t>B</w:t>
            </w:r>
            <w:r w:rsidR="000B3369" w:rsidRPr="00871023">
              <w:rPr>
                <w:rFonts w:ascii="Arial" w:hAnsi="Arial" w:cs="Arial"/>
                <w:sz w:val="20"/>
              </w:rPr>
              <w:t>rolucizumab</w:t>
            </w:r>
          </w:p>
          <w:p w14:paraId="001F4EAA" w14:textId="68685C57" w:rsidR="00DF599B" w:rsidRPr="00871023" w:rsidRDefault="00DF599B" w:rsidP="00DF599B">
            <w:pPr>
              <w:spacing w:after="120"/>
              <w:rPr>
                <w:rFonts w:ascii="Arial" w:hAnsi="Arial" w:cs="Arial"/>
                <w:sz w:val="20"/>
              </w:rPr>
            </w:pPr>
            <w:r w:rsidRPr="00871023">
              <w:rPr>
                <w:rFonts w:ascii="Arial" w:hAnsi="Arial" w:cs="Arial"/>
                <w:sz w:val="20"/>
              </w:rPr>
              <w:t>is not currently PBS listed.</w:t>
            </w:r>
          </w:p>
        </w:tc>
        <w:tc>
          <w:tcPr>
            <w:tcW w:w="1156" w:type="pct"/>
          </w:tcPr>
          <w:p w14:paraId="4C198FAC" w14:textId="061C167F" w:rsidR="00DF599B" w:rsidRPr="00871023" w:rsidRDefault="00DF599B" w:rsidP="00DF599B">
            <w:pPr>
              <w:pStyle w:val="ListBullet"/>
              <w:spacing w:after="120"/>
            </w:pPr>
            <w:r w:rsidRPr="00871023">
              <w:t>Resubmission to request an Authority Required listing for the treatment of patients with choroidal neovascularisation (CNV) due to AMD.</w:t>
            </w:r>
          </w:p>
        </w:tc>
        <w:tc>
          <w:tcPr>
            <w:tcW w:w="1779" w:type="pct"/>
          </w:tcPr>
          <w:p w14:paraId="305D2B94" w14:textId="77777777" w:rsidR="00DF599B" w:rsidRPr="00871023" w:rsidRDefault="00DF599B" w:rsidP="00DF599B">
            <w:pPr>
              <w:rPr>
                <w:rFonts w:ascii="Arial" w:hAnsi="Arial" w:cs="Arial"/>
                <w:sz w:val="20"/>
              </w:rPr>
            </w:pPr>
            <w:r w:rsidRPr="00871023">
              <w:rPr>
                <w:rFonts w:ascii="Arial" w:hAnsi="Arial" w:cs="Arial"/>
                <w:sz w:val="20"/>
              </w:rPr>
              <w:t>The PBAC did not recommend brolucizumab for the treatment of patients with CNV due to AMD.</w:t>
            </w:r>
          </w:p>
          <w:p w14:paraId="015DA616" w14:textId="77777777" w:rsidR="00DF599B" w:rsidRPr="00871023" w:rsidRDefault="00DF599B" w:rsidP="00DF599B">
            <w:pPr>
              <w:rPr>
                <w:rFonts w:ascii="Arial" w:hAnsi="Arial" w:cs="Arial"/>
                <w:sz w:val="20"/>
              </w:rPr>
            </w:pPr>
          </w:p>
          <w:p w14:paraId="0BA99101" w14:textId="00B93AE4" w:rsidR="00DF599B" w:rsidRPr="00871023" w:rsidRDefault="00DF599B" w:rsidP="00DF599B">
            <w:pPr>
              <w:spacing w:after="120"/>
              <w:rPr>
                <w:rFonts w:ascii="Arial" w:hAnsi="Arial" w:cs="Arial"/>
                <w:sz w:val="20"/>
                <w:highlight w:val="yellow"/>
              </w:rPr>
            </w:pPr>
            <w:r w:rsidRPr="00871023">
              <w:rPr>
                <w:rFonts w:ascii="Arial" w:hAnsi="Arial" w:cs="Arial"/>
                <w:sz w:val="20"/>
              </w:rPr>
              <w:t>While the PBAC considered that the claim of non-inferior efficacy was reasonable, it considered the claim of non-inferior safety remained uncertain. The PBAC considered the cost-minimisation analysis for this comparison was not adequately supported.</w:t>
            </w:r>
          </w:p>
        </w:tc>
      </w:tr>
      <w:tr w:rsidR="00DF599B" w:rsidRPr="00871023" w14:paraId="7831E6A5" w14:textId="77777777" w:rsidTr="00106998">
        <w:trPr>
          <w:trHeight w:val="433"/>
        </w:trPr>
        <w:tc>
          <w:tcPr>
            <w:tcW w:w="688" w:type="pct"/>
            <w:vMerge/>
          </w:tcPr>
          <w:p w14:paraId="7E18AC27" w14:textId="77777777" w:rsidR="00DF599B" w:rsidRPr="00871023" w:rsidRDefault="00DF599B" w:rsidP="00DF599B">
            <w:pPr>
              <w:rPr>
                <w:rFonts w:ascii="Arial" w:hAnsi="Arial" w:cs="Arial"/>
                <w:sz w:val="20"/>
              </w:rPr>
            </w:pPr>
          </w:p>
        </w:tc>
        <w:tc>
          <w:tcPr>
            <w:tcW w:w="688" w:type="pct"/>
            <w:vMerge/>
          </w:tcPr>
          <w:p w14:paraId="13915C51" w14:textId="77777777" w:rsidR="00DF599B" w:rsidRPr="00871023" w:rsidRDefault="00DF599B" w:rsidP="00DF599B">
            <w:pPr>
              <w:rPr>
                <w:rFonts w:ascii="Arial" w:hAnsi="Arial" w:cs="Arial"/>
                <w:sz w:val="20"/>
              </w:rPr>
            </w:pPr>
          </w:p>
        </w:tc>
        <w:tc>
          <w:tcPr>
            <w:tcW w:w="688" w:type="pct"/>
            <w:vMerge/>
          </w:tcPr>
          <w:p w14:paraId="4A8F448D" w14:textId="77777777" w:rsidR="00DF599B" w:rsidRPr="00871023" w:rsidRDefault="00DF599B" w:rsidP="00DF599B">
            <w:pPr>
              <w:rPr>
                <w:rFonts w:ascii="Arial" w:hAnsi="Arial" w:cs="Arial"/>
                <w:sz w:val="20"/>
              </w:rPr>
            </w:pPr>
          </w:p>
        </w:tc>
        <w:tc>
          <w:tcPr>
            <w:tcW w:w="1156" w:type="pct"/>
          </w:tcPr>
          <w:p w14:paraId="7545A6BE" w14:textId="68C2D443" w:rsidR="00DF599B" w:rsidRPr="00871023" w:rsidRDefault="00DF599B" w:rsidP="00DF599B">
            <w:pPr>
              <w:pStyle w:val="ListBullet"/>
              <w:spacing w:after="120"/>
            </w:pPr>
            <w:r w:rsidRPr="00871023">
              <w:t>Comparator: Aflibercept (main), ranibizumab (secondary)</w:t>
            </w:r>
          </w:p>
        </w:tc>
        <w:tc>
          <w:tcPr>
            <w:tcW w:w="1779" w:type="pct"/>
          </w:tcPr>
          <w:p w14:paraId="293B55A1" w14:textId="77777777" w:rsidR="00DF599B" w:rsidRDefault="00DF599B" w:rsidP="001835FC">
            <w:pPr>
              <w:rPr>
                <w:rFonts w:ascii="Arial" w:hAnsi="Arial" w:cs="Arial"/>
                <w:sz w:val="20"/>
              </w:rPr>
            </w:pPr>
            <w:r w:rsidRPr="00871023">
              <w:rPr>
                <w:rFonts w:ascii="Arial" w:hAnsi="Arial" w:cs="Arial"/>
                <w:sz w:val="20"/>
              </w:rPr>
              <w:t>The PBAC accepted that aflibercept and ranibizumab were appropriate comparators, consistent with the November 2019 PBAC meeting.</w:t>
            </w:r>
          </w:p>
          <w:p w14:paraId="0C1AB8D8" w14:textId="26EE90F2" w:rsidR="001835FC" w:rsidRPr="001835FC" w:rsidRDefault="001835FC" w:rsidP="001835FC">
            <w:pPr>
              <w:rPr>
                <w:rFonts w:ascii="Arial" w:hAnsi="Arial" w:cs="Arial"/>
                <w:sz w:val="20"/>
              </w:rPr>
            </w:pPr>
          </w:p>
        </w:tc>
      </w:tr>
      <w:tr w:rsidR="00DF599B" w:rsidRPr="00871023" w14:paraId="2891A217" w14:textId="77777777" w:rsidTr="00106998">
        <w:trPr>
          <w:trHeight w:val="433"/>
        </w:trPr>
        <w:tc>
          <w:tcPr>
            <w:tcW w:w="688" w:type="pct"/>
            <w:vMerge/>
          </w:tcPr>
          <w:p w14:paraId="471D2CBF" w14:textId="77777777" w:rsidR="00DF599B" w:rsidRPr="00871023" w:rsidRDefault="00DF599B" w:rsidP="00DF599B">
            <w:pPr>
              <w:rPr>
                <w:rFonts w:ascii="Arial" w:hAnsi="Arial" w:cs="Arial"/>
                <w:sz w:val="20"/>
              </w:rPr>
            </w:pPr>
          </w:p>
        </w:tc>
        <w:tc>
          <w:tcPr>
            <w:tcW w:w="688" w:type="pct"/>
            <w:vMerge/>
          </w:tcPr>
          <w:p w14:paraId="454A7334" w14:textId="77777777" w:rsidR="00DF599B" w:rsidRPr="00871023" w:rsidRDefault="00DF599B" w:rsidP="00DF599B">
            <w:pPr>
              <w:rPr>
                <w:rFonts w:ascii="Arial" w:hAnsi="Arial" w:cs="Arial"/>
                <w:sz w:val="20"/>
              </w:rPr>
            </w:pPr>
          </w:p>
        </w:tc>
        <w:tc>
          <w:tcPr>
            <w:tcW w:w="688" w:type="pct"/>
            <w:vMerge/>
          </w:tcPr>
          <w:p w14:paraId="5432673C" w14:textId="77777777" w:rsidR="00DF599B" w:rsidRPr="00871023" w:rsidRDefault="00DF599B" w:rsidP="00DF599B">
            <w:pPr>
              <w:rPr>
                <w:rFonts w:ascii="Arial" w:hAnsi="Arial" w:cs="Arial"/>
                <w:sz w:val="20"/>
              </w:rPr>
            </w:pPr>
          </w:p>
        </w:tc>
        <w:tc>
          <w:tcPr>
            <w:tcW w:w="1156" w:type="pct"/>
          </w:tcPr>
          <w:p w14:paraId="2CAF3E5E" w14:textId="5FA45F5C" w:rsidR="00DF599B" w:rsidRPr="00871023" w:rsidRDefault="00DF599B" w:rsidP="004C3BA5">
            <w:pPr>
              <w:pStyle w:val="ListBullet"/>
              <w:spacing w:after="120"/>
            </w:pPr>
            <w:r w:rsidRPr="00871023">
              <w:t xml:space="preserve">Clinical claim: Non-inferior effectiveness and safety compared to aflibercept  </w:t>
            </w:r>
          </w:p>
        </w:tc>
        <w:tc>
          <w:tcPr>
            <w:tcW w:w="1779" w:type="pct"/>
          </w:tcPr>
          <w:p w14:paraId="59F86042" w14:textId="1353144E" w:rsidR="00DF599B" w:rsidRPr="00871023" w:rsidRDefault="00DF599B" w:rsidP="004C3BA5">
            <w:pPr>
              <w:spacing w:after="120"/>
              <w:rPr>
                <w:rFonts w:ascii="Arial" w:hAnsi="Arial" w:cs="Arial"/>
                <w:sz w:val="20"/>
                <w:highlight w:val="yellow"/>
              </w:rPr>
            </w:pPr>
            <w:r w:rsidRPr="00871023">
              <w:rPr>
                <w:rFonts w:ascii="Arial" w:hAnsi="Arial" w:cs="Arial"/>
                <w:sz w:val="20"/>
              </w:rPr>
              <w:t xml:space="preserve">The PBAC considered that the claim of non-inferior efficacy compared with aflibercept was reasonable, consistent with the November 2019 PBAC meeting. </w:t>
            </w:r>
            <w:r w:rsidR="004C3BA5">
              <w:rPr>
                <w:rFonts w:ascii="Arial" w:hAnsi="Arial" w:cs="Arial"/>
                <w:sz w:val="20"/>
              </w:rPr>
              <w:t>T</w:t>
            </w:r>
            <w:r w:rsidRPr="00871023">
              <w:rPr>
                <w:rFonts w:ascii="Arial" w:hAnsi="Arial" w:cs="Arial"/>
                <w:sz w:val="20"/>
              </w:rPr>
              <w:t xml:space="preserve">he PBAC </w:t>
            </w:r>
            <w:r w:rsidR="004C3BA5">
              <w:rPr>
                <w:rFonts w:ascii="Arial" w:hAnsi="Arial" w:cs="Arial"/>
                <w:sz w:val="20"/>
              </w:rPr>
              <w:t>considered</w:t>
            </w:r>
            <w:r w:rsidR="004C3BA5" w:rsidRPr="00871023">
              <w:rPr>
                <w:rFonts w:ascii="Arial" w:hAnsi="Arial" w:cs="Arial"/>
                <w:sz w:val="20"/>
              </w:rPr>
              <w:t xml:space="preserve"> </w:t>
            </w:r>
            <w:r w:rsidRPr="00871023">
              <w:rPr>
                <w:rFonts w:ascii="Arial" w:hAnsi="Arial" w:cs="Arial"/>
                <w:sz w:val="20"/>
              </w:rPr>
              <w:t>the claim of non-inferior safety</w:t>
            </w:r>
            <w:r w:rsidR="004C3BA5">
              <w:rPr>
                <w:rFonts w:ascii="Arial" w:hAnsi="Arial" w:cs="Arial"/>
                <w:sz w:val="20"/>
              </w:rPr>
              <w:t xml:space="preserve"> was not adequately supported</w:t>
            </w:r>
            <w:r w:rsidRPr="00871023">
              <w:rPr>
                <w:rFonts w:ascii="Arial" w:hAnsi="Arial" w:cs="Arial"/>
                <w:sz w:val="20"/>
              </w:rPr>
              <w:t xml:space="preserve"> due to the higher incidence of ocular serious adverse events reported for brolucizumab in clinical studies. The PBAC noted the American Society of Retinal </w:t>
            </w:r>
            <w:r w:rsidRPr="00871023">
              <w:rPr>
                <w:rFonts w:ascii="Arial" w:hAnsi="Arial" w:cs="Arial"/>
                <w:sz w:val="20"/>
              </w:rPr>
              <w:lastRenderedPageBreak/>
              <w:t>Specialists had received anecdotal reports of retinal artery occlusion and intraocular inflammation following approval in the United States and considered this increased the uncertainty regarding comparative safety.</w:t>
            </w:r>
          </w:p>
        </w:tc>
      </w:tr>
      <w:tr w:rsidR="00DF599B" w:rsidRPr="00871023" w14:paraId="08BE699B" w14:textId="77777777" w:rsidTr="00106998">
        <w:trPr>
          <w:trHeight w:val="433"/>
        </w:trPr>
        <w:tc>
          <w:tcPr>
            <w:tcW w:w="688" w:type="pct"/>
            <w:vMerge/>
          </w:tcPr>
          <w:p w14:paraId="22DB0089" w14:textId="77777777" w:rsidR="00DF599B" w:rsidRPr="00871023" w:rsidRDefault="00DF599B" w:rsidP="00DF599B">
            <w:pPr>
              <w:rPr>
                <w:rFonts w:ascii="Arial" w:hAnsi="Arial" w:cs="Arial"/>
                <w:sz w:val="20"/>
              </w:rPr>
            </w:pPr>
          </w:p>
        </w:tc>
        <w:tc>
          <w:tcPr>
            <w:tcW w:w="688" w:type="pct"/>
            <w:vMerge/>
          </w:tcPr>
          <w:p w14:paraId="46B05937" w14:textId="77777777" w:rsidR="00DF599B" w:rsidRPr="00871023" w:rsidRDefault="00DF599B" w:rsidP="00DF599B">
            <w:pPr>
              <w:rPr>
                <w:rFonts w:ascii="Arial" w:hAnsi="Arial" w:cs="Arial"/>
                <w:sz w:val="20"/>
              </w:rPr>
            </w:pPr>
          </w:p>
        </w:tc>
        <w:tc>
          <w:tcPr>
            <w:tcW w:w="688" w:type="pct"/>
            <w:vMerge/>
          </w:tcPr>
          <w:p w14:paraId="765B7DD3" w14:textId="77777777" w:rsidR="00DF599B" w:rsidRPr="00871023" w:rsidRDefault="00DF599B" w:rsidP="00DF599B">
            <w:pPr>
              <w:rPr>
                <w:rFonts w:ascii="Arial" w:hAnsi="Arial" w:cs="Arial"/>
                <w:sz w:val="20"/>
              </w:rPr>
            </w:pPr>
          </w:p>
        </w:tc>
        <w:tc>
          <w:tcPr>
            <w:tcW w:w="1156" w:type="pct"/>
          </w:tcPr>
          <w:p w14:paraId="2EF7089B" w14:textId="408D2A40" w:rsidR="00DF599B" w:rsidRPr="00871023" w:rsidRDefault="00DF599B" w:rsidP="004C3BA5">
            <w:pPr>
              <w:pStyle w:val="ListBullet"/>
              <w:spacing w:after="120"/>
            </w:pPr>
            <w:r w:rsidRPr="00871023">
              <w:t>Economic claim: Cost-minimisation versus ranibizumab</w:t>
            </w:r>
          </w:p>
        </w:tc>
        <w:tc>
          <w:tcPr>
            <w:tcW w:w="1779" w:type="pct"/>
          </w:tcPr>
          <w:p w14:paraId="7CAB6803" w14:textId="12408233" w:rsidR="00DF599B" w:rsidRDefault="00DF599B" w:rsidP="00DF599B">
            <w:pPr>
              <w:rPr>
                <w:rFonts w:ascii="Arial" w:hAnsi="Arial" w:cs="Arial"/>
                <w:sz w:val="20"/>
              </w:rPr>
            </w:pPr>
            <w:r w:rsidRPr="00871023">
              <w:rPr>
                <w:rFonts w:ascii="Arial" w:hAnsi="Arial" w:cs="Arial"/>
                <w:sz w:val="20"/>
              </w:rPr>
              <w:t>The PBAC considered the cost-minimisation analysis was not adequately supported as the claim of non-inferior safety of brolucizumab was uncertain.</w:t>
            </w:r>
          </w:p>
          <w:p w14:paraId="5611ED03" w14:textId="1D8E71AB" w:rsidR="001835FC" w:rsidRPr="00871023" w:rsidRDefault="001835FC" w:rsidP="00DF599B">
            <w:pPr>
              <w:rPr>
                <w:rFonts w:ascii="Arial" w:hAnsi="Arial" w:cs="Arial"/>
                <w:color w:val="1F497D"/>
                <w:sz w:val="20"/>
              </w:rPr>
            </w:pPr>
          </w:p>
        </w:tc>
      </w:tr>
      <w:tr w:rsidR="00DF599B" w:rsidRPr="00871023" w14:paraId="709553D2" w14:textId="77777777" w:rsidTr="00106998">
        <w:trPr>
          <w:trHeight w:val="433"/>
        </w:trPr>
        <w:tc>
          <w:tcPr>
            <w:tcW w:w="688" w:type="pct"/>
            <w:vMerge/>
          </w:tcPr>
          <w:p w14:paraId="728DCB3D" w14:textId="77777777" w:rsidR="00DF599B" w:rsidRPr="00871023" w:rsidRDefault="00DF599B" w:rsidP="00DF599B">
            <w:pPr>
              <w:rPr>
                <w:rFonts w:ascii="Arial" w:hAnsi="Arial" w:cs="Arial"/>
                <w:sz w:val="20"/>
              </w:rPr>
            </w:pPr>
          </w:p>
        </w:tc>
        <w:tc>
          <w:tcPr>
            <w:tcW w:w="688" w:type="pct"/>
            <w:vMerge/>
          </w:tcPr>
          <w:p w14:paraId="44BAE9A8" w14:textId="77777777" w:rsidR="00DF599B" w:rsidRPr="00871023" w:rsidRDefault="00DF599B" w:rsidP="00DF599B">
            <w:pPr>
              <w:rPr>
                <w:rFonts w:ascii="Arial" w:hAnsi="Arial" w:cs="Arial"/>
                <w:sz w:val="20"/>
              </w:rPr>
            </w:pPr>
          </w:p>
        </w:tc>
        <w:tc>
          <w:tcPr>
            <w:tcW w:w="688" w:type="pct"/>
            <w:vMerge/>
          </w:tcPr>
          <w:p w14:paraId="51A2ADAB" w14:textId="77777777" w:rsidR="00DF599B" w:rsidRPr="00871023" w:rsidRDefault="00DF599B" w:rsidP="00DF599B">
            <w:pPr>
              <w:rPr>
                <w:rFonts w:ascii="Arial" w:hAnsi="Arial" w:cs="Arial"/>
                <w:sz w:val="20"/>
              </w:rPr>
            </w:pPr>
          </w:p>
        </w:tc>
        <w:tc>
          <w:tcPr>
            <w:tcW w:w="1156" w:type="pct"/>
          </w:tcPr>
          <w:p w14:paraId="68ED5894" w14:textId="0DFF94DF" w:rsidR="00DF599B" w:rsidRPr="00871023" w:rsidRDefault="00DF599B" w:rsidP="00DF599B">
            <w:pPr>
              <w:pStyle w:val="ListBullet"/>
              <w:jc w:val="right"/>
              <w:rPr>
                <w:highlight w:val="yellow"/>
              </w:rPr>
            </w:pPr>
            <w:r w:rsidRPr="00871023">
              <w:t xml:space="preserve">Sponsor’s comment: </w:t>
            </w:r>
          </w:p>
        </w:tc>
        <w:tc>
          <w:tcPr>
            <w:tcW w:w="1779" w:type="pct"/>
          </w:tcPr>
          <w:p w14:paraId="746C0F56" w14:textId="52BEAEBD" w:rsidR="00DF599B" w:rsidRPr="002B7E02" w:rsidRDefault="002B7E02" w:rsidP="00482284">
            <w:pPr>
              <w:rPr>
                <w:rFonts w:ascii="Arial" w:hAnsi="Arial" w:cs="Arial"/>
                <w:sz w:val="20"/>
              </w:rPr>
            </w:pPr>
            <w:r>
              <w:rPr>
                <w:rFonts w:ascii="Arial" w:hAnsi="Arial" w:cs="Arial"/>
                <w:sz w:val="20"/>
              </w:rPr>
              <w:t>Novartis is disappointed with the PBAC outcome but will continue to work collaboratively with the PBAC, the Department of Health and Federal Government to ensure that Australians with age-related macular degeneration receive access to Beovu</w:t>
            </w:r>
            <w:r w:rsidR="00482284" w:rsidRPr="009075BC">
              <w:rPr>
                <w:rFonts w:ascii="Arial" w:hAnsi="Arial" w:cs="Arial"/>
                <w:sz w:val="20"/>
              </w:rPr>
              <w:t>®</w:t>
            </w:r>
            <w:r>
              <w:rPr>
                <w:rFonts w:ascii="Arial" w:hAnsi="Arial" w:cs="Arial"/>
                <w:sz w:val="20"/>
              </w:rPr>
              <w:t> through the Pharmaceutical Benefits Scheme at the earliest opportunity.</w:t>
            </w:r>
          </w:p>
        </w:tc>
      </w:tr>
      <w:tr w:rsidR="00555CC5" w:rsidRPr="00871023" w14:paraId="4F50982E" w14:textId="77777777" w:rsidTr="00106998">
        <w:trPr>
          <w:trHeight w:val="433"/>
        </w:trPr>
        <w:tc>
          <w:tcPr>
            <w:tcW w:w="688" w:type="pct"/>
            <w:vMerge w:val="restart"/>
          </w:tcPr>
          <w:p w14:paraId="0A916E8C" w14:textId="10EA7AE0" w:rsidR="00555CC5" w:rsidRPr="00871023" w:rsidRDefault="00555CC5" w:rsidP="00555CC5">
            <w:pPr>
              <w:contextualSpacing/>
              <w:rPr>
                <w:rFonts w:ascii="Arial" w:hAnsi="Arial" w:cs="Arial"/>
                <w:color w:val="000000"/>
                <w:sz w:val="20"/>
              </w:rPr>
            </w:pPr>
            <w:r w:rsidRPr="00871023">
              <w:rPr>
                <w:rFonts w:ascii="Arial" w:hAnsi="Arial" w:cs="Arial"/>
                <w:color w:val="000000"/>
                <w:sz w:val="20"/>
              </w:rPr>
              <w:t>BUPRENORPHINE + NALOXONE</w:t>
            </w:r>
            <w:r w:rsidRPr="00871023">
              <w:rPr>
                <w:rFonts w:ascii="Arial" w:hAnsi="Arial" w:cs="Arial"/>
                <w:color w:val="000000"/>
                <w:sz w:val="20"/>
              </w:rPr>
              <w:br/>
            </w:r>
            <w:r w:rsidRPr="00871023">
              <w:rPr>
                <w:rFonts w:ascii="Arial" w:hAnsi="Arial" w:cs="Arial"/>
                <w:color w:val="000000"/>
                <w:sz w:val="20"/>
              </w:rPr>
              <w:br/>
              <w:t>Tablet (sublingual) containing  0.7 mg buprenorphine hydrochloride with 0.18 mg naloxone hydrochloride</w:t>
            </w:r>
            <w:r w:rsidRPr="00871023">
              <w:rPr>
                <w:rFonts w:ascii="Arial" w:hAnsi="Arial" w:cs="Arial"/>
                <w:color w:val="000000"/>
                <w:sz w:val="20"/>
              </w:rPr>
              <w:br/>
              <w:t>Tablet (sublingual) containing  1.4 mg buprenorphine hydrochloride and 0.36 mg naloxone hydrochloride</w:t>
            </w:r>
            <w:r w:rsidRPr="00871023">
              <w:rPr>
                <w:rFonts w:ascii="Arial" w:hAnsi="Arial" w:cs="Arial"/>
                <w:color w:val="000000"/>
                <w:sz w:val="20"/>
              </w:rPr>
              <w:br/>
              <w:t xml:space="preserve">Tablet (sublingual) containing 2.9 mg buprenorphine </w:t>
            </w:r>
            <w:r w:rsidRPr="00871023">
              <w:rPr>
                <w:rFonts w:ascii="Arial" w:hAnsi="Arial" w:cs="Arial"/>
                <w:color w:val="000000"/>
                <w:sz w:val="20"/>
              </w:rPr>
              <w:lastRenderedPageBreak/>
              <w:t>hydrochloride and 0.71</w:t>
            </w:r>
            <w:r w:rsidR="00250988">
              <w:rPr>
                <w:rFonts w:ascii="Arial" w:hAnsi="Arial" w:cs="Arial"/>
                <w:color w:val="000000"/>
                <w:sz w:val="20"/>
              </w:rPr>
              <w:t xml:space="preserve"> </w:t>
            </w:r>
            <w:r w:rsidRPr="00871023">
              <w:rPr>
                <w:rFonts w:ascii="Arial" w:hAnsi="Arial" w:cs="Arial"/>
                <w:color w:val="000000"/>
                <w:sz w:val="20"/>
              </w:rPr>
              <w:t>mg naloxone hydrochloride</w:t>
            </w:r>
            <w:r w:rsidRPr="00871023">
              <w:rPr>
                <w:rFonts w:ascii="Arial" w:hAnsi="Arial" w:cs="Arial"/>
                <w:color w:val="000000"/>
                <w:sz w:val="20"/>
              </w:rPr>
              <w:br/>
              <w:t>Tablet (sublingual) containing 5.7 mg buprenorphine hydrochloride and 1.4 mg naloxone hydrochloride</w:t>
            </w:r>
            <w:r w:rsidRPr="00871023">
              <w:rPr>
                <w:rFonts w:ascii="Arial" w:hAnsi="Arial" w:cs="Arial"/>
                <w:color w:val="000000"/>
                <w:sz w:val="20"/>
              </w:rPr>
              <w:br/>
              <w:t>Tablet (sublingual) containing 8.6 mg and 2.1</w:t>
            </w:r>
            <w:r w:rsidR="00250988">
              <w:rPr>
                <w:rFonts w:ascii="Arial" w:hAnsi="Arial" w:cs="Arial"/>
                <w:color w:val="000000"/>
                <w:sz w:val="20"/>
              </w:rPr>
              <w:t xml:space="preserve"> </w:t>
            </w:r>
            <w:r w:rsidRPr="00871023">
              <w:rPr>
                <w:rFonts w:ascii="Arial" w:hAnsi="Arial" w:cs="Arial"/>
                <w:color w:val="000000"/>
                <w:sz w:val="20"/>
              </w:rPr>
              <w:t>mg naloxone</w:t>
            </w:r>
          </w:p>
          <w:p w14:paraId="6EF8032D" w14:textId="24ABDDF7" w:rsidR="00555CC5" w:rsidRPr="00871023" w:rsidRDefault="00555CC5" w:rsidP="00555CC5">
            <w:pPr>
              <w:contextualSpacing/>
              <w:rPr>
                <w:rFonts w:ascii="Arial" w:hAnsi="Arial" w:cs="Arial"/>
                <w:sz w:val="20"/>
                <w:highlight w:val="yellow"/>
              </w:rPr>
            </w:pPr>
            <w:r w:rsidRPr="00871023">
              <w:rPr>
                <w:rFonts w:ascii="Arial" w:hAnsi="Arial" w:cs="Arial"/>
                <w:color w:val="000000"/>
                <w:sz w:val="20"/>
              </w:rPr>
              <w:t>hydrochloride</w:t>
            </w:r>
            <w:r w:rsidRPr="00871023">
              <w:rPr>
                <w:rFonts w:ascii="Arial" w:hAnsi="Arial" w:cs="Arial"/>
                <w:color w:val="000000"/>
                <w:sz w:val="20"/>
              </w:rPr>
              <w:br/>
              <w:t>Tablet (sublingual) containing  11.4 mg buprenorphine hydrochloride and 2.9 mg naloxone hydrochloride</w:t>
            </w:r>
            <w:r w:rsidRPr="00871023">
              <w:rPr>
                <w:rFonts w:ascii="Arial" w:hAnsi="Arial" w:cs="Arial"/>
                <w:color w:val="000000"/>
                <w:sz w:val="20"/>
              </w:rPr>
              <w:br/>
            </w:r>
            <w:r w:rsidRPr="00871023">
              <w:rPr>
                <w:rFonts w:ascii="Arial" w:hAnsi="Arial" w:cs="Arial"/>
                <w:color w:val="000000"/>
                <w:sz w:val="20"/>
              </w:rPr>
              <w:br/>
            </w:r>
            <w:r w:rsidRPr="00871023">
              <w:rPr>
                <w:rFonts w:ascii="Arial" w:hAnsi="Arial" w:cs="Arial"/>
                <w:color w:val="000000"/>
                <w:sz w:val="20"/>
              </w:rPr>
              <w:br/>
              <w:t>Zubsolv®</w:t>
            </w:r>
            <w:r w:rsidRPr="00871023">
              <w:rPr>
                <w:rFonts w:ascii="Arial" w:hAnsi="Arial" w:cs="Arial"/>
                <w:color w:val="000000"/>
                <w:sz w:val="20"/>
              </w:rPr>
              <w:br/>
            </w:r>
            <w:r w:rsidRPr="00871023">
              <w:rPr>
                <w:rFonts w:ascii="Arial" w:hAnsi="Arial" w:cs="Arial"/>
                <w:color w:val="000000"/>
                <w:sz w:val="20"/>
              </w:rPr>
              <w:br/>
              <w:t>Mundipharma Pty Ltd</w:t>
            </w:r>
            <w:r w:rsidRPr="00871023">
              <w:rPr>
                <w:rFonts w:ascii="Arial" w:hAnsi="Arial" w:cs="Arial"/>
                <w:color w:val="000000"/>
                <w:sz w:val="20"/>
              </w:rPr>
              <w:br/>
            </w:r>
            <w:r w:rsidRPr="00871023">
              <w:rPr>
                <w:rFonts w:ascii="Arial" w:hAnsi="Arial" w:cs="Arial"/>
                <w:color w:val="000000"/>
                <w:sz w:val="20"/>
              </w:rPr>
              <w:br/>
              <w:t>New listing</w:t>
            </w:r>
            <w:r w:rsidRPr="00871023">
              <w:rPr>
                <w:rFonts w:ascii="Arial" w:hAnsi="Arial" w:cs="Arial"/>
                <w:color w:val="000000"/>
                <w:sz w:val="20"/>
              </w:rPr>
              <w:br/>
              <w:t>(Minor Submission)</w:t>
            </w:r>
          </w:p>
        </w:tc>
        <w:tc>
          <w:tcPr>
            <w:tcW w:w="688" w:type="pct"/>
            <w:vMerge w:val="restart"/>
          </w:tcPr>
          <w:p w14:paraId="3B9EB854" w14:textId="17DECD6F" w:rsidR="00555CC5" w:rsidRPr="00871023" w:rsidRDefault="002150CF" w:rsidP="002150CF">
            <w:pPr>
              <w:rPr>
                <w:rFonts w:ascii="Arial" w:hAnsi="Arial" w:cs="Arial"/>
                <w:sz w:val="20"/>
                <w:highlight w:val="yellow"/>
              </w:rPr>
            </w:pPr>
            <w:r w:rsidRPr="00901BD8">
              <w:rPr>
                <w:rFonts w:ascii="Arial" w:hAnsi="Arial" w:cs="Arial"/>
                <w:sz w:val="20"/>
              </w:rPr>
              <w:lastRenderedPageBreak/>
              <w:t>Buprenorphine + naloxone</w:t>
            </w:r>
            <w:r w:rsidRPr="00871023">
              <w:rPr>
                <w:rFonts w:ascii="Arial" w:hAnsi="Arial" w:cs="Arial"/>
                <w:sz w:val="20"/>
              </w:rPr>
              <w:t xml:space="preserve"> </w:t>
            </w:r>
            <w:r>
              <w:rPr>
                <w:rFonts w:ascii="Arial" w:hAnsi="Arial" w:cs="Arial"/>
                <w:sz w:val="20"/>
              </w:rPr>
              <w:t>is indicated for the t</w:t>
            </w:r>
            <w:r w:rsidR="00555CC5" w:rsidRPr="00871023">
              <w:rPr>
                <w:rFonts w:ascii="Arial" w:hAnsi="Arial" w:cs="Arial"/>
                <w:sz w:val="20"/>
              </w:rPr>
              <w:t>reatment of opioid dependence, within a framework of medical, social and psychological treatment</w:t>
            </w:r>
            <w:r w:rsidR="000B3369">
              <w:rPr>
                <w:rFonts w:ascii="Arial" w:hAnsi="Arial" w:cs="Arial"/>
                <w:sz w:val="20"/>
              </w:rPr>
              <w:t>.</w:t>
            </w:r>
          </w:p>
        </w:tc>
        <w:tc>
          <w:tcPr>
            <w:tcW w:w="688" w:type="pct"/>
            <w:vMerge w:val="restart"/>
          </w:tcPr>
          <w:p w14:paraId="53124668" w14:textId="5FBE3D78" w:rsidR="00555CC5" w:rsidRPr="00871023" w:rsidRDefault="009075BC" w:rsidP="00555CC5">
            <w:pPr>
              <w:rPr>
                <w:rFonts w:ascii="Arial" w:hAnsi="Arial" w:cs="Arial"/>
                <w:sz w:val="20"/>
                <w:highlight w:val="yellow"/>
              </w:rPr>
            </w:pPr>
            <w:r w:rsidRPr="00901BD8">
              <w:rPr>
                <w:rFonts w:ascii="Arial" w:hAnsi="Arial" w:cs="Arial"/>
                <w:sz w:val="20"/>
              </w:rPr>
              <w:t>B</w:t>
            </w:r>
            <w:r w:rsidR="000B3369" w:rsidRPr="00901BD8">
              <w:rPr>
                <w:rFonts w:ascii="Arial" w:hAnsi="Arial" w:cs="Arial"/>
                <w:sz w:val="20"/>
              </w:rPr>
              <w:t>uprenorphine + naloxone</w:t>
            </w:r>
            <w:r w:rsidR="00F50BDE" w:rsidRPr="00901BD8">
              <w:rPr>
                <w:rFonts w:ascii="Arial" w:hAnsi="Arial" w:cs="Arial"/>
                <w:sz w:val="20"/>
              </w:rPr>
              <w:t xml:space="preserve"> sublingual tablets</w:t>
            </w:r>
            <w:r w:rsidRPr="00901BD8">
              <w:rPr>
                <w:rFonts w:ascii="Arial" w:hAnsi="Arial" w:cs="Arial"/>
                <w:sz w:val="20"/>
              </w:rPr>
              <w:br/>
              <w:t>is not currently PBS listed.</w:t>
            </w:r>
          </w:p>
        </w:tc>
        <w:tc>
          <w:tcPr>
            <w:tcW w:w="1156" w:type="pct"/>
          </w:tcPr>
          <w:p w14:paraId="7F23E017" w14:textId="4DCCC7AE" w:rsidR="00555CC5" w:rsidRPr="00871023" w:rsidRDefault="00555CC5" w:rsidP="00555CC5">
            <w:pPr>
              <w:keepLines/>
              <w:spacing w:after="120"/>
              <w:rPr>
                <w:rFonts w:ascii="Arial" w:hAnsi="Arial" w:cs="Arial"/>
                <w:sz w:val="20"/>
              </w:rPr>
            </w:pPr>
            <w:r w:rsidRPr="00871023">
              <w:rPr>
                <w:rFonts w:ascii="Arial" w:hAnsi="Arial" w:cs="Arial"/>
                <w:sz w:val="20"/>
              </w:rPr>
              <w:t>Resubmission to request a Section 100 (Opiate Dependence Treatment Program) Restricted Benefit listing for the treatment of patients with opiate dependence.</w:t>
            </w:r>
          </w:p>
        </w:tc>
        <w:tc>
          <w:tcPr>
            <w:tcW w:w="1779" w:type="pct"/>
          </w:tcPr>
          <w:p w14:paraId="1E58CA2B" w14:textId="4D88ECEC" w:rsidR="009075BC" w:rsidRPr="00871023" w:rsidRDefault="009075BC" w:rsidP="002150CF">
            <w:pPr>
              <w:spacing w:after="120"/>
              <w:rPr>
                <w:rFonts w:ascii="Arial" w:hAnsi="Arial" w:cs="Arial"/>
                <w:sz w:val="20"/>
                <w:highlight w:val="yellow"/>
              </w:rPr>
            </w:pPr>
            <w:r w:rsidRPr="009075BC">
              <w:rPr>
                <w:rFonts w:ascii="Arial" w:hAnsi="Arial" w:cs="Arial"/>
                <w:sz w:val="20"/>
              </w:rPr>
              <w:t xml:space="preserve">The PBAC did not recommend the listing of buprenorphine with naloxone sublingual tablets (Zubsolv®) for the treatment of patients with opioid dependence. The PBAC considered that no further evidence was provided in the resubmission to address the previous concerns raised regarding the uncertain equi-effective dose to </w:t>
            </w:r>
            <w:r w:rsidR="00F605F7">
              <w:rPr>
                <w:rFonts w:ascii="Arial" w:hAnsi="Arial" w:cs="Arial"/>
                <w:sz w:val="20"/>
              </w:rPr>
              <w:t>b</w:t>
            </w:r>
            <w:r w:rsidR="00F605F7" w:rsidRPr="00F605F7">
              <w:rPr>
                <w:rFonts w:ascii="Arial" w:hAnsi="Arial" w:cs="Arial"/>
                <w:sz w:val="20"/>
              </w:rPr>
              <w:t xml:space="preserve">uprenorphine with naloxone sublingual film </w:t>
            </w:r>
            <w:r w:rsidR="00F605F7">
              <w:rPr>
                <w:rFonts w:ascii="Arial" w:hAnsi="Arial" w:cs="Arial"/>
                <w:sz w:val="20"/>
              </w:rPr>
              <w:t>(</w:t>
            </w:r>
            <w:r w:rsidRPr="009075BC">
              <w:rPr>
                <w:rFonts w:ascii="Arial" w:hAnsi="Arial" w:cs="Arial"/>
                <w:sz w:val="20"/>
              </w:rPr>
              <w:t>Suboxone</w:t>
            </w:r>
            <w:r w:rsidR="000B3369" w:rsidRPr="009075BC">
              <w:rPr>
                <w:rFonts w:ascii="Arial" w:hAnsi="Arial" w:cs="Arial"/>
                <w:sz w:val="20"/>
              </w:rPr>
              <w:t>®</w:t>
            </w:r>
            <w:r w:rsidR="00F605F7">
              <w:rPr>
                <w:rFonts w:ascii="Arial" w:hAnsi="Arial" w:cs="Arial"/>
                <w:sz w:val="20"/>
              </w:rPr>
              <w:t>)</w:t>
            </w:r>
            <w:r w:rsidRPr="009075BC">
              <w:rPr>
                <w:rFonts w:ascii="Arial" w:hAnsi="Arial" w:cs="Arial"/>
                <w:sz w:val="20"/>
              </w:rPr>
              <w:t>, unclear clinical need and significant quality use of medicines issues.</w:t>
            </w:r>
          </w:p>
        </w:tc>
      </w:tr>
      <w:tr w:rsidR="00555CC5" w:rsidRPr="00871023" w14:paraId="4FA750D5" w14:textId="77777777" w:rsidTr="00106998">
        <w:trPr>
          <w:trHeight w:val="433"/>
        </w:trPr>
        <w:tc>
          <w:tcPr>
            <w:tcW w:w="688" w:type="pct"/>
            <w:vMerge/>
          </w:tcPr>
          <w:p w14:paraId="61EAFE44" w14:textId="77777777" w:rsidR="00555CC5" w:rsidRPr="00871023" w:rsidRDefault="00555CC5" w:rsidP="00555CC5">
            <w:pPr>
              <w:rPr>
                <w:rFonts w:ascii="Arial" w:hAnsi="Arial" w:cs="Arial"/>
                <w:sz w:val="20"/>
              </w:rPr>
            </w:pPr>
          </w:p>
        </w:tc>
        <w:tc>
          <w:tcPr>
            <w:tcW w:w="688" w:type="pct"/>
            <w:vMerge/>
          </w:tcPr>
          <w:p w14:paraId="0F296394" w14:textId="77777777" w:rsidR="00555CC5" w:rsidRPr="00871023" w:rsidRDefault="00555CC5" w:rsidP="00555CC5">
            <w:pPr>
              <w:rPr>
                <w:rFonts w:ascii="Arial" w:hAnsi="Arial" w:cs="Arial"/>
                <w:sz w:val="20"/>
              </w:rPr>
            </w:pPr>
          </w:p>
        </w:tc>
        <w:tc>
          <w:tcPr>
            <w:tcW w:w="688" w:type="pct"/>
            <w:vMerge/>
          </w:tcPr>
          <w:p w14:paraId="41DDD552" w14:textId="77777777" w:rsidR="00555CC5" w:rsidRPr="00871023" w:rsidRDefault="00555CC5" w:rsidP="00555CC5">
            <w:pPr>
              <w:rPr>
                <w:rFonts w:ascii="Arial" w:hAnsi="Arial" w:cs="Arial"/>
                <w:sz w:val="20"/>
              </w:rPr>
            </w:pPr>
          </w:p>
        </w:tc>
        <w:tc>
          <w:tcPr>
            <w:tcW w:w="1156" w:type="pct"/>
          </w:tcPr>
          <w:p w14:paraId="1530F9D2" w14:textId="340193B2" w:rsidR="00555CC5" w:rsidRPr="00871023" w:rsidRDefault="00555CC5" w:rsidP="00555CC5">
            <w:pPr>
              <w:pStyle w:val="ListBullet"/>
              <w:spacing w:after="120"/>
            </w:pPr>
            <w:r w:rsidRPr="00871023">
              <w:t xml:space="preserve">Comparator: </w:t>
            </w:r>
            <w:r w:rsidR="00F605F7" w:rsidRPr="009075BC">
              <w:t>Suboxone®</w:t>
            </w:r>
          </w:p>
        </w:tc>
        <w:tc>
          <w:tcPr>
            <w:tcW w:w="1779" w:type="pct"/>
          </w:tcPr>
          <w:p w14:paraId="1CB7BBAB" w14:textId="735EB5AD" w:rsidR="00555CC5" w:rsidRPr="00871023" w:rsidRDefault="000B3369" w:rsidP="00555CC5">
            <w:pPr>
              <w:spacing w:after="120"/>
              <w:rPr>
                <w:rFonts w:ascii="Arial" w:hAnsi="Arial" w:cs="Arial"/>
                <w:sz w:val="20"/>
              </w:rPr>
            </w:pPr>
            <w:r w:rsidRPr="000B3369">
              <w:rPr>
                <w:rFonts w:ascii="Arial" w:hAnsi="Arial" w:cs="Arial"/>
                <w:sz w:val="20"/>
              </w:rPr>
              <w:t xml:space="preserve">The PBAC accepted that </w:t>
            </w:r>
            <w:r w:rsidRPr="009075BC">
              <w:rPr>
                <w:rFonts w:ascii="Arial" w:hAnsi="Arial" w:cs="Arial"/>
                <w:sz w:val="20"/>
              </w:rPr>
              <w:t>Suboxone®</w:t>
            </w:r>
            <w:r>
              <w:rPr>
                <w:rFonts w:ascii="Arial" w:hAnsi="Arial" w:cs="Arial"/>
                <w:sz w:val="20"/>
              </w:rPr>
              <w:t xml:space="preserve"> was an appropriate comparator</w:t>
            </w:r>
            <w:r w:rsidRPr="000B3369">
              <w:rPr>
                <w:rFonts w:ascii="Arial" w:hAnsi="Arial" w:cs="Arial"/>
                <w:sz w:val="20"/>
              </w:rPr>
              <w:t>, consistent with the November 2019 PBAC meeting.</w:t>
            </w:r>
          </w:p>
        </w:tc>
      </w:tr>
      <w:tr w:rsidR="00555CC5" w:rsidRPr="00871023" w14:paraId="0358325A" w14:textId="77777777" w:rsidTr="00106998">
        <w:trPr>
          <w:trHeight w:val="433"/>
        </w:trPr>
        <w:tc>
          <w:tcPr>
            <w:tcW w:w="688" w:type="pct"/>
            <w:vMerge/>
          </w:tcPr>
          <w:p w14:paraId="60D4E0AE" w14:textId="77777777" w:rsidR="00555CC5" w:rsidRPr="00871023" w:rsidRDefault="00555CC5" w:rsidP="00555CC5">
            <w:pPr>
              <w:rPr>
                <w:rFonts w:ascii="Arial" w:hAnsi="Arial" w:cs="Arial"/>
                <w:sz w:val="20"/>
              </w:rPr>
            </w:pPr>
          </w:p>
        </w:tc>
        <w:tc>
          <w:tcPr>
            <w:tcW w:w="688" w:type="pct"/>
            <w:vMerge/>
          </w:tcPr>
          <w:p w14:paraId="61BC633A" w14:textId="77777777" w:rsidR="00555CC5" w:rsidRPr="00871023" w:rsidRDefault="00555CC5" w:rsidP="00555CC5">
            <w:pPr>
              <w:rPr>
                <w:rFonts w:ascii="Arial" w:hAnsi="Arial" w:cs="Arial"/>
                <w:sz w:val="20"/>
              </w:rPr>
            </w:pPr>
          </w:p>
        </w:tc>
        <w:tc>
          <w:tcPr>
            <w:tcW w:w="688" w:type="pct"/>
            <w:vMerge/>
          </w:tcPr>
          <w:p w14:paraId="1337971E" w14:textId="77777777" w:rsidR="00555CC5" w:rsidRPr="00871023" w:rsidRDefault="00555CC5" w:rsidP="00555CC5">
            <w:pPr>
              <w:rPr>
                <w:rFonts w:ascii="Arial" w:hAnsi="Arial" w:cs="Arial"/>
                <w:sz w:val="20"/>
              </w:rPr>
            </w:pPr>
          </w:p>
        </w:tc>
        <w:tc>
          <w:tcPr>
            <w:tcW w:w="1156" w:type="pct"/>
          </w:tcPr>
          <w:p w14:paraId="4900A0DF" w14:textId="742449DE" w:rsidR="00555CC5" w:rsidRPr="00871023" w:rsidRDefault="00555CC5" w:rsidP="00555CC5">
            <w:pPr>
              <w:pStyle w:val="ListBullet"/>
              <w:spacing w:after="120"/>
            </w:pPr>
            <w:r w:rsidRPr="00871023">
              <w:t xml:space="preserve">Clinical claim: </w:t>
            </w:r>
            <w:r w:rsidR="00EE1E21" w:rsidRPr="00871023">
              <w:t xml:space="preserve">Non-inferior safety and efficacy to </w:t>
            </w:r>
            <w:r w:rsidR="00EB0C3C" w:rsidRPr="009075BC">
              <w:t>Suboxone®</w:t>
            </w:r>
          </w:p>
        </w:tc>
        <w:tc>
          <w:tcPr>
            <w:tcW w:w="1779" w:type="pct"/>
          </w:tcPr>
          <w:p w14:paraId="762F5E2A" w14:textId="1AEA48D7" w:rsidR="009075BC" w:rsidRDefault="009075BC" w:rsidP="00EA54DE">
            <w:pPr>
              <w:spacing w:after="120"/>
              <w:rPr>
                <w:rFonts w:ascii="Arial" w:hAnsi="Arial" w:cs="Arial"/>
                <w:sz w:val="20"/>
              </w:rPr>
            </w:pPr>
            <w:r>
              <w:rPr>
                <w:rFonts w:ascii="Arial" w:hAnsi="Arial" w:cs="Arial"/>
                <w:sz w:val="20"/>
              </w:rPr>
              <w:t xml:space="preserve">The PBAC noted the single arm extension study (OX219-008) that reported urine drug screen results up to 24 weeks, however considered that the updated data did not provide more certainty of non-inferiority beyond 15 days. Therefore, the PBAC maintained that the data presented </w:t>
            </w:r>
            <w:r>
              <w:rPr>
                <w:rFonts w:ascii="Arial" w:hAnsi="Arial" w:cs="Arial"/>
                <w:sz w:val="20"/>
              </w:rPr>
              <w:lastRenderedPageBreak/>
              <w:t>did not adequately establish non-inferiority between Zubsolv</w:t>
            </w:r>
            <w:r w:rsidR="00EA54DE" w:rsidRPr="009075BC">
              <w:rPr>
                <w:rFonts w:ascii="Arial" w:hAnsi="Arial" w:cs="Arial"/>
                <w:sz w:val="20"/>
              </w:rPr>
              <w:t>®</w:t>
            </w:r>
            <w:r>
              <w:rPr>
                <w:rFonts w:ascii="Arial" w:hAnsi="Arial" w:cs="Arial"/>
                <w:sz w:val="20"/>
              </w:rPr>
              <w:t xml:space="preserve"> and </w:t>
            </w:r>
            <w:r w:rsidR="00EA54DE" w:rsidRPr="009075BC">
              <w:rPr>
                <w:rFonts w:ascii="Arial" w:hAnsi="Arial" w:cs="Arial"/>
                <w:sz w:val="20"/>
              </w:rPr>
              <w:t>Suboxone®</w:t>
            </w:r>
            <w:r>
              <w:rPr>
                <w:rFonts w:ascii="Arial" w:hAnsi="Arial" w:cs="Arial"/>
                <w:sz w:val="20"/>
              </w:rPr>
              <w:t>.</w:t>
            </w:r>
          </w:p>
          <w:p w14:paraId="38287689" w14:textId="09810F92" w:rsidR="009075BC" w:rsidRPr="00871023" w:rsidRDefault="009075BC" w:rsidP="00555CC5">
            <w:pPr>
              <w:spacing w:after="120"/>
              <w:rPr>
                <w:rFonts w:ascii="Arial" w:hAnsi="Arial" w:cs="Arial"/>
                <w:sz w:val="20"/>
              </w:rPr>
            </w:pPr>
          </w:p>
        </w:tc>
      </w:tr>
      <w:tr w:rsidR="00555CC5" w:rsidRPr="00871023" w14:paraId="3FF7F9D0" w14:textId="77777777" w:rsidTr="00106998">
        <w:trPr>
          <w:trHeight w:val="433"/>
        </w:trPr>
        <w:tc>
          <w:tcPr>
            <w:tcW w:w="688" w:type="pct"/>
            <w:vMerge/>
          </w:tcPr>
          <w:p w14:paraId="69904C3B" w14:textId="77777777" w:rsidR="00555CC5" w:rsidRPr="00871023" w:rsidRDefault="00555CC5" w:rsidP="00555CC5">
            <w:pPr>
              <w:rPr>
                <w:rFonts w:ascii="Arial" w:hAnsi="Arial" w:cs="Arial"/>
                <w:sz w:val="20"/>
              </w:rPr>
            </w:pPr>
          </w:p>
        </w:tc>
        <w:tc>
          <w:tcPr>
            <w:tcW w:w="688" w:type="pct"/>
            <w:vMerge/>
          </w:tcPr>
          <w:p w14:paraId="5FC973B6" w14:textId="77777777" w:rsidR="00555CC5" w:rsidRPr="00871023" w:rsidRDefault="00555CC5" w:rsidP="00555CC5">
            <w:pPr>
              <w:rPr>
                <w:rFonts w:ascii="Arial" w:hAnsi="Arial" w:cs="Arial"/>
                <w:sz w:val="20"/>
              </w:rPr>
            </w:pPr>
          </w:p>
        </w:tc>
        <w:tc>
          <w:tcPr>
            <w:tcW w:w="688" w:type="pct"/>
            <w:vMerge/>
          </w:tcPr>
          <w:p w14:paraId="4E68E5C2" w14:textId="77777777" w:rsidR="00555CC5" w:rsidRPr="00871023" w:rsidRDefault="00555CC5" w:rsidP="00555CC5">
            <w:pPr>
              <w:rPr>
                <w:rFonts w:ascii="Arial" w:hAnsi="Arial" w:cs="Arial"/>
                <w:sz w:val="20"/>
              </w:rPr>
            </w:pPr>
          </w:p>
        </w:tc>
        <w:tc>
          <w:tcPr>
            <w:tcW w:w="1156" w:type="pct"/>
          </w:tcPr>
          <w:p w14:paraId="0E1925FD" w14:textId="58E0EDD2" w:rsidR="00555CC5" w:rsidRPr="00871023" w:rsidRDefault="00555CC5" w:rsidP="00555CC5">
            <w:pPr>
              <w:pStyle w:val="ListBullet"/>
              <w:spacing w:after="120"/>
            </w:pPr>
            <w:r w:rsidRPr="00871023">
              <w:t xml:space="preserve">Economic claim: </w:t>
            </w:r>
            <w:r w:rsidR="00EE1E21" w:rsidRPr="00871023">
              <w:t xml:space="preserve">Cost-minimisation analysis compared to </w:t>
            </w:r>
            <w:r w:rsidR="008A2AB1">
              <w:t>Suboxone</w:t>
            </w:r>
            <w:r w:rsidR="00EA54DE" w:rsidRPr="00EA54DE">
              <w:t>®</w:t>
            </w:r>
            <w:r w:rsidR="00EE1E21" w:rsidRPr="00871023">
              <w:t>.</w:t>
            </w:r>
          </w:p>
        </w:tc>
        <w:tc>
          <w:tcPr>
            <w:tcW w:w="1779" w:type="pct"/>
          </w:tcPr>
          <w:p w14:paraId="75D32323" w14:textId="277F072E" w:rsidR="009075BC" w:rsidRPr="00871023" w:rsidRDefault="009075BC" w:rsidP="00555CC5">
            <w:pPr>
              <w:pStyle w:val="ListParagraph"/>
              <w:spacing w:after="120"/>
              <w:ind w:left="0"/>
              <w:rPr>
                <w:rFonts w:ascii="Arial" w:hAnsi="Arial" w:cs="Arial"/>
                <w:sz w:val="20"/>
                <w:szCs w:val="20"/>
              </w:rPr>
            </w:pPr>
            <w:r>
              <w:rPr>
                <w:rFonts w:ascii="Arial" w:hAnsi="Arial" w:cs="Arial"/>
                <w:sz w:val="20"/>
                <w:szCs w:val="20"/>
              </w:rPr>
              <w:t>The PBAC noted the revised pricing structure proposed in the resubmission, but did not accept that this was sufficient to overcome the uncertainties in relation to dose equivalence between Zubsolv</w:t>
            </w:r>
            <w:r w:rsidR="008A2AB1" w:rsidRPr="009075BC">
              <w:rPr>
                <w:rFonts w:ascii="Arial" w:hAnsi="Arial" w:cs="Arial"/>
                <w:sz w:val="20"/>
              </w:rPr>
              <w:t>®</w:t>
            </w:r>
            <w:r>
              <w:rPr>
                <w:rFonts w:ascii="Arial" w:hAnsi="Arial" w:cs="Arial"/>
                <w:sz w:val="20"/>
                <w:szCs w:val="20"/>
              </w:rPr>
              <w:t xml:space="preserve"> and Suboxone</w:t>
            </w:r>
            <w:r w:rsidR="008A2AB1" w:rsidRPr="009075BC">
              <w:rPr>
                <w:rFonts w:ascii="Arial" w:hAnsi="Arial" w:cs="Arial"/>
                <w:sz w:val="20"/>
              </w:rPr>
              <w:t>®</w:t>
            </w:r>
            <w:r>
              <w:rPr>
                <w:rFonts w:ascii="Arial" w:hAnsi="Arial" w:cs="Arial"/>
                <w:sz w:val="20"/>
                <w:szCs w:val="20"/>
              </w:rPr>
              <w:t xml:space="preserve"> that was outlined in the November 2019 consideration.</w:t>
            </w:r>
          </w:p>
        </w:tc>
      </w:tr>
      <w:tr w:rsidR="00555CC5" w:rsidRPr="00871023" w14:paraId="70EEBED6" w14:textId="77777777" w:rsidTr="00106998">
        <w:trPr>
          <w:trHeight w:val="474"/>
        </w:trPr>
        <w:tc>
          <w:tcPr>
            <w:tcW w:w="688" w:type="pct"/>
            <w:vMerge/>
          </w:tcPr>
          <w:p w14:paraId="27378365" w14:textId="77777777" w:rsidR="00555CC5" w:rsidRPr="00871023" w:rsidRDefault="00555CC5" w:rsidP="00555CC5">
            <w:pPr>
              <w:rPr>
                <w:rFonts w:ascii="Arial" w:hAnsi="Arial" w:cs="Arial"/>
                <w:sz w:val="20"/>
              </w:rPr>
            </w:pPr>
          </w:p>
        </w:tc>
        <w:tc>
          <w:tcPr>
            <w:tcW w:w="688" w:type="pct"/>
            <w:vMerge/>
          </w:tcPr>
          <w:p w14:paraId="17B88393" w14:textId="77777777" w:rsidR="00555CC5" w:rsidRPr="00871023" w:rsidRDefault="00555CC5" w:rsidP="00555CC5">
            <w:pPr>
              <w:rPr>
                <w:rFonts w:ascii="Arial" w:hAnsi="Arial" w:cs="Arial"/>
                <w:sz w:val="20"/>
              </w:rPr>
            </w:pPr>
          </w:p>
        </w:tc>
        <w:tc>
          <w:tcPr>
            <w:tcW w:w="688" w:type="pct"/>
            <w:vMerge/>
          </w:tcPr>
          <w:p w14:paraId="1C9C55A1" w14:textId="77777777" w:rsidR="00555CC5" w:rsidRPr="00871023" w:rsidRDefault="00555CC5" w:rsidP="00555CC5">
            <w:pPr>
              <w:rPr>
                <w:rFonts w:ascii="Arial" w:hAnsi="Arial" w:cs="Arial"/>
                <w:sz w:val="20"/>
              </w:rPr>
            </w:pPr>
          </w:p>
        </w:tc>
        <w:tc>
          <w:tcPr>
            <w:tcW w:w="1156" w:type="pct"/>
          </w:tcPr>
          <w:p w14:paraId="3AA3A211" w14:textId="5521B369" w:rsidR="00555CC5" w:rsidRPr="00871023" w:rsidRDefault="00555CC5" w:rsidP="00555CC5">
            <w:pPr>
              <w:pStyle w:val="ListBullet"/>
              <w:jc w:val="right"/>
            </w:pPr>
            <w:r w:rsidRPr="00871023">
              <w:t xml:space="preserve">Sponsor’s comment: </w:t>
            </w:r>
          </w:p>
        </w:tc>
        <w:tc>
          <w:tcPr>
            <w:tcW w:w="1779" w:type="pct"/>
          </w:tcPr>
          <w:p w14:paraId="328D4722" w14:textId="4DA8B8A0" w:rsidR="00555CC5" w:rsidRPr="00D45E00" w:rsidRDefault="00D45E00" w:rsidP="00555CC5">
            <w:pPr>
              <w:rPr>
                <w:rFonts w:ascii="Arial" w:hAnsi="Arial" w:cs="Arial"/>
                <w:sz w:val="20"/>
              </w:rPr>
            </w:pPr>
            <w:r w:rsidRPr="00D45E00">
              <w:rPr>
                <w:rFonts w:ascii="Arial" w:hAnsi="Arial" w:cs="Arial"/>
                <w:iCs/>
                <w:sz w:val="20"/>
              </w:rPr>
              <w:t>The sponsor had no comment.</w:t>
            </w:r>
          </w:p>
        </w:tc>
      </w:tr>
      <w:tr w:rsidR="00555CC5" w:rsidRPr="00871023" w14:paraId="255BCE39" w14:textId="77777777" w:rsidTr="00106998">
        <w:trPr>
          <w:trHeight w:val="433"/>
        </w:trPr>
        <w:tc>
          <w:tcPr>
            <w:tcW w:w="688" w:type="pct"/>
            <w:vMerge w:val="restart"/>
          </w:tcPr>
          <w:p w14:paraId="6A27CDC0" w14:textId="505AFA8C" w:rsidR="00F04BCB" w:rsidRPr="00871023" w:rsidRDefault="00F04BCB" w:rsidP="00F04BCB">
            <w:pPr>
              <w:rPr>
                <w:rFonts w:ascii="Arial" w:hAnsi="Arial" w:cs="Arial"/>
                <w:color w:val="000000"/>
                <w:sz w:val="20"/>
              </w:rPr>
            </w:pPr>
            <w:r w:rsidRPr="00871023">
              <w:rPr>
                <w:rFonts w:ascii="Arial" w:hAnsi="Arial" w:cs="Arial"/>
                <w:color w:val="000000"/>
                <w:sz w:val="20"/>
              </w:rPr>
              <w:t>CABOZANTINIB</w:t>
            </w:r>
            <w:r w:rsidRPr="00871023">
              <w:rPr>
                <w:rFonts w:ascii="Arial" w:hAnsi="Arial" w:cs="Arial"/>
                <w:color w:val="000000"/>
                <w:sz w:val="20"/>
              </w:rPr>
              <w:br/>
            </w:r>
            <w:r w:rsidRPr="00871023">
              <w:rPr>
                <w:rFonts w:ascii="Arial" w:hAnsi="Arial" w:cs="Arial"/>
                <w:color w:val="000000"/>
                <w:sz w:val="20"/>
              </w:rPr>
              <w:br/>
              <w:t>Tablet 20 mg</w:t>
            </w:r>
            <w:r w:rsidRPr="00871023">
              <w:rPr>
                <w:rFonts w:ascii="Arial" w:hAnsi="Arial" w:cs="Arial"/>
                <w:color w:val="000000"/>
                <w:sz w:val="20"/>
              </w:rPr>
              <w:br/>
              <w:t>Tablet 40 mg</w:t>
            </w:r>
            <w:r w:rsidRPr="00871023">
              <w:rPr>
                <w:rFonts w:ascii="Arial" w:hAnsi="Arial" w:cs="Arial"/>
                <w:color w:val="000000"/>
                <w:sz w:val="20"/>
              </w:rPr>
              <w:br/>
              <w:t>Tablet 60 mg</w:t>
            </w:r>
            <w:r w:rsidRPr="00871023">
              <w:rPr>
                <w:rFonts w:ascii="Arial" w:hAnsi="Arial" w:cs="Arial"/>
                <w:color w:val="000000"/>
                <w:sz w:val="20"/>
              </w:rPr>
              <w:br/>
            </w:r>
            <w:r w:rsidRPr="00871023">
              <w:rPr>
                <w:rFonts w:ascii="Arial" w:hAnsi="Arial" w:cs="Arial"/>
                <w:color w:val="000000"/>
                <w:sz w:val="20"/>
              </w:rPr>
              <w:br/>
              <w:t>Cabometyx</w:t>
            </w:r>
            <w:r w:rsidR="0045488C" w:rsidRPr="00871023">
              <w:rPr>
                <w:rFonts w:ascii="Arial" w:hAnsi="Arial" w:cs="Arial"/>
                <w:color w:val="000000"/>
                <w:sz w:val="20"/>
              </w:rPr>
              <w:t>®</w:t>
            </w:r>
            <w:r w:rsidRPr="00871023">
              <w:rPr>
                <w:rFonts w:ascii="Arial" w:hAnsi="Arial" w:cs="Arial"/>
                <w:color w:val="000000"/>
                <w:sz w:val="20"/>
              </w:rPr>
              <w:br/>
            </w:r>
            <w:r w:rsidRPr="00871023">
              <w:rPr>
                <w:rFonts w:ascii="Arial" w:hAnsi="Arial" w:cs="Arial"/>
                <w:color w:val="000000"/>
                <w:sz w:val="20"/>
              </w:rPr>
              <w:br/>
            </w:r>
            <w:r w:rsidRPr="00871023">
              <w:rPr>
                <w:rFonts w:ascii="Arial" w:hAnsi="Arial" w:cs="Arial"/>
                <w:color w:val="000000"/>
                <w:sz w:val="20"/>
              </w:rPr>
              <w:lastRenderedPageBreak/>
              <w:t>Ipsen Pty Ltd</w:t>
            </w:r>
            <w:r w:rsidRPr="00871023">
              <w:rPr>
                <w:rFonts w:ascii="Arial" w:hAnsi="Arial" w:cs="Arial"/>
                <w:color w:val="000000"/>
                <w:sz w:val="20"/>
              </w:rPr>
              <w:br/>
            </w:r>
            <w:r w:rsidRPr="00871023">
              <w:rPr>
                <w:rFonts w:ascii="Arial" w:hAnsi="Arial" w:cs="Arial"/>
                <w:color w:val="000000"/>
                <w:sz w:val="20"/>
              </w:rPr>
              <w:br/>
              <w:t>Change to listing</w:t>
            </w:r>
            <w:r w:rsidRPr="00871023">
              <w:rPr>
                <w:rFonts w:ascii="Arial" w:hAnsi="Arial" w:cs="Arial"/>
                <w:color w:val="000000"/>
                <w:sz w:val="20"/>
              </w:rPr>
              <w:br/>
              <w:t>(Major Submission)</w:t>
            </w:r>
          </w:p>
          <w:p w14:paraId="1913AACC" w14:textId="77777777" w:rsidR="00555CC5" w:rsidRPr="00871023" w:rsidRDefault="00555CC5" w:rsidP="00F04BCB">
            <w:pPr>
              <w:rPr>
                <w:rFonts w:ascii="Arial" w:hAnsi="Arial" w:cs="Arial"/>
                <w:sz w:val="20"/>
                <w:highlight w:val="yellow"/>
              </w:rPr>
            </w:pPr>
          </w:p>
        </w:tc>
        <w:tc>
          <w:tcPr>
            <w:tcW w:w="688" w:type="pct"/>
            <w:vMerge w:val="restart"/>
          </w:tcPr>
          <w:p w14:paraId="37CF2179" w14:textId="698218BF" w:rsidR="00F04BCB" w:rsidRPr="00871023" w:rsidRDefault="00F04BCB" w:rsidP="00F04BCB">
            <w:pPr>
              <w:rPr>
                <w:rFonts w:ascii="Arial" w:hAnsi="Arial" w:cs="Arial"/>
                <w:snapToGrid w:val="0"/>
                <w:sz w:val="20"/>
                <w:lang w:eastAsia="en-US"/>
              </w:rPr>
            </w:pPr>
            <w:r w:rsidRPr="00871023">
              <w:rPr>
                <w:rFonts w:ascii="Arial" w:hAnsi="Arial" w:cs="Arial"/>
                <w:snapToGrid w:val="0"/>
                <w:sz w:val="20"/>
                <w:lang w:eastAsia="en-US"/>
              </w:rPr>
              <w:lastRenderedPageBreak/>
              <w:t>C</w:t>
            </w:r>
            <w:r w:rsidR="00F50BDE" w:rsidRPr="00871023">
              <w:rPr>
                <w:rFonts w:ascii="Arial" w:hAnsi="Arial" w:cs="Arial"/>
                <w:snapToGrid w:val="0"/>
                <w:sz w:val="20"/>
                <w:lang w:eastAsia="en-US"/>
              </w:rPr>
              <w:t>abozantinib</w:t>
            </w:r>
            <w:r w:rsidRPr="00871023">
              <w:rPr>
                <w:rFonts w:ascii="Arial" w:hAnsi="Arial" w:cs="Arial"/>
                <w:snapToGrid w:val="0"/>
                <w:sz w:val="20"/>
                <w:lang w:eastAsia="en-US"/>
              </w:rPr>
              <w:t xml:space="preserve"> is indicated for the treatment of advanced renal cell carcinoma (RCC): </w:t>
            </w:r>
          </w:p>
          <w:p w14:paraId="2043F7F9" w14:textId="77777777" w:rsidR="00F04BCB" w:rsidRPr="00871023" w:rsidRDefault="00F04BCB" w:rsidP="00F04BCB">
            <w:pPr>
              <w:pStyle w:val="ListParagraph"/>
              <w:numPr>
                <w:ilvl w:val="0"/>
                <w:numId w:val="15"/>
              </w:numPr>
              <w:spacing w:after="120"/>
              <w:ind w:left="205" w:hanging="205"/>
              <w:contextualSpacing w:val="0"/>
              <w:rPr>
                <w:rFonts w:ascii="Arial" w:hAnsi="Arial" w:cs="Arial"/>
                <w:sz w:val="20"/>
                <w:szCs w:val="20"/>
                <w:lang w:eastAsia="en-US"/>
              </w:rPr>
            </w:pPr>
            <w:r w:rsidRPr="00871023">
              <w:rPr>
                <w:rFonts w:ascii="Arial" w:hAnsi="Arial" w:cs="Arial"/>
                <w:sz w:val="20"/>
                <w:szCs w:val="20"/>
                <w:lang w:eastAsia="en-US"/>
              </w:rPr>
              <w:t xml:space="preserve">in treatment-naive adults with </w:t>
            </w:r>
            <w:r w:rsidRPr="00871023">
              <w:rPr>
                <w:rFonts w:ascii="Arial" w:hAnsi="Arial" w:cs="Arial"/>
                <w:sz w:val="20"/>
                <w:szCs w:val="20"/>
                <w:lang w:eastAsia="en-US"/>
              </w:rPr>
              <w:lastRenderedPageBreak/>
              <w:t>intermediate or poor risk</w:t>
            </w:r>
          </w:p>
          <w:p w14:paraId="6A8CDD34" w14:textId="77777777" w:rsidR="00F04BCB" w:rsidRPr="00871023" w:rsidRDefault="00F04BCB" w:rsidP="00F04BCB">
            <w:pPr>
              <w:pStyle w:val="ListParagraph"/>
              <w:numPr>
                <w:ilvl w:val="0"/>
                <w:numId w:val="15"/>
              </w:numPr>
              <w:spacing w:after="120"/>
              <w:ind w:left="205" w:hanging="205"/>
              <w:contextualSpacing w:val="0"/>
              <w:rPr>
                <w:rFonts w:ascii="Arial" w:hAnsi="Arial" w:cs="Arial"/>
                <w:sz w:val="20"/>
                <w:szCs w:val="20"/>
                <w:lang w:eastAsia="en-US"/>
              </w:rPr>
            </w:pPr>
            <w:r w:rsidRPr="00871023">
              <w:rPr>
                <w:rFonts w:ascii="Arial" w:hAnsi="Arial" w:cs="Arial"/>
                <w:sz w:val="20"/>
                <w:szCs w:val="20"/>
                <w:lang w:eastAsia="en-US"/>
              </w:rPr>
              <w:t xml:space="preserve">in adults following prior treatment with vascular endothelial growth factor targeted therapy </w:t>
            </w:r>
          </w:p>
          <w:p w14:paraId="228C0531" w14:textId="77777777" w:rsidR="00555CC5" w:rsidRPr="00871023" w:rsidRDefault="00555CC5" w:rsidP="00555CC5">
            <w:pPr>
              <w:rPr>
                <w:rFonts w:ascii="Arial" w:hAnsi="Arial" w:cs="Arial"/>
                <w:sz w:val="20"/>
                <w:highlight w:val="yellow"/>
              </w:rPr>
            </w:pPr>
          </w:p>
        </w:tc>
        <w:tc>
          <w:tcPr>
            <w:tcW w:w="688" w:type="pct"/>
            <w:vMerge w:val="restart"/>
          </w:tcPr>
          <w:p w14:paraId="70AFDB4D" w14:textId="3215995B" w:rsidR="00555CC5" w:rsidRPr="00871023" w:rsidRDefault="00F04BCB" w:rsidP="00555CC5">
            <w:pPr>
              <w:rPr>
                <w:rFonts w:ascii="Arial" w:hAnsi="Arial" w:cs="Arial"/>
                <w:sz w:val="20"/>
                <w:highlight w:val="yellow"/>
              </w:rPr>
            </w:pPr>
            <w:r w:rsidRPr="00871023">
              <w:rPr>
                <w:rFonts w:ascii="Arial" w:hAnsi="Arial" w:cs="Arial"/>
                <w:sz w:val="20"/>
              </w:rPr>
              <w:lastRenderedPageBreak/>
              <w:t>C</w:t>
            </w:r>
            <w:r w:rsidR="008A2AB1" w:rsidRPr="00871023">
              <w:rPr>
                <w:rFonts w:ascii="Arial" w:hAnsi="Arial" w:cs="Arial"/>
                <w:sz w:val="20"/>
              </w:rPr>
              <w:t xml:space="preserve">abozantinib </w:t>
            </w:r>
            <w:r w:rsidRPr="00871023">
              <w:rPr>
                <w:rFonts w:ascii="Arial" w:hAnsi="Arial" w:cs="Arial"/>
                <w:sz w:val="20"/>
              </w:rPr>
              <w:t xml:space="preserve">is currently PBS listed for the treatment of RCC in patients who have progressive disease following prior treatment with a </w:t>
            </w:r>
            <w:r w:rsidRPr="00871023">
              <w:rPr>
                <w:rFonts w:ascii="Arial" w:hAnsi="Arial" w:cs="Arial"/>
                <w:sz w:val="20"/>
              </w:rPr>
              <w:lastRenderedPageBreak/>
              <w:t>tyrosine kinase inhibitor (TKI)</w:t>
            </w:r>
          </w:p>
        </w:tc>
        <w:tc>
          <w:tcPr>
            <w:tcW w:w="1156" w:type="pct"/>
          </w:tcPr>
          <w:p w14:paraId="257D0326" w14:textId="5AC50083" w:rsidR="00555CC5" w:rsidRPr="00871023" w:rsidRDefault="009B506A" w:rsidP="00555CC5">
            <w:pPr>
              <w:keepLines/>
              <w:spacing w:after="120"/>
              <w:rPr>
                <w:rFonts w:ascii="Arial" w:hAnsi="Arial" w:cs="Arial"/>
                <w:sz w:val="20"/>
              </w:rPr>
            </w:pPr>
            <w:r w:rsidRPr="00871023">
              <w:rPr>
                <w:rFonts w:ascii="Arial" w:hAnsi="Arial" w:cs="Arial"/>
                <w:sz w:val="20"/>
              </w:rPr>
              <w:lastRenderedPageBreak/>
              <w:t>Resubmission to request an extension to the current Authority Required (STREAMLINED) listing for the treatment of Stage IV clear cell variant RCC to include patients who have not been previously treated with a TKI.</w:t>
            </w:r>
          </w:p>
        </w:tc>
        <w:tc>
          <w:tcPr>
            <w:tcW w:w="1779" w:type="pct"/>
          </w:tcPr>
          <w:p w14:paraId="47EE8B1E" w14:textId="2AB5BB7D" w:rsidR="00555CC5" w:rsidRPr="00871023" w:rsidRDefault="009B506A" w:rsidP="007A244F">
            <w:pPr>
              <w:spacing w:after="120"/>
              <w:rPr>
                <w:rFonts w:ascii="Arial" w:hAnsi="Arial" w:cs="Arial"/>
                <w:sz w:val="20"/>
                <w:highlight w:val="yellow"/>
              </w:rPr>
            </w:pPr>
            <w:r w:rsidRPr="00871023">
              <w:rPr>
                <w:rFonts w:ascii="Arial" w:hAnsi="Arial" w:cs="Arial"/>
                <w:sz w:val="20"/>
              </w:rPr>
              <w:t xml:space="preserve">The PBAC did not recommend the listing of cabozantinib for the treatment of patients with stage IV clear cell variant RCC who have not previously been treated with a TKI. The PBAC considered that the comparative clinical benefit was small and uncertain, and the incremental cost-effectiveness ratio was significantly underestimated due to the inclusion of an overall survival benefit that was not supported by the clinical evidence. The PBAC considered that the overall </w:t>
            </w:r>
            <w:r w:rsidRPr="00871023">
              <w:rPr>
                <w:rFonts w:ascii="Arial" w:hAnsi="Arial" w:cs="Arial"/>
                <w:sz w:val="20"/>
              </w:rPr>
              <w:lastRenderedPageBreak/>
              <w:t>financial impact, including reductions in the use of cabozantinib in its existing later-line setting, were not reliably estimated in the resubmission.</w:t>
            </w:r>
          </w:p>
        </w:tc>
      </w:tr>
      <w:tr w:rsidR="00555CC5" w:rsidRPr="00871023" w14:paraId="2C11B9E1" w14:textId="77777777" w:rsidTr="00106998">
        <w:trPr>
          <w:trHeight w:val="433"/>
        </w:trPr>
        <w:tc>
          <w:tcPr>
            <w:tcW w:w="688" w:type="pct"/>
            <w:vMerge/>
          </w:tcPr>
          <w:p w14:paraId="4E032FC1" w14:textId="77777777" w:rsidR="00555CC5" w:rsidRPr="00871023" w:rsidRDefault="00555CC5" w:rsidP="00555CC5">
            <w:pPr>
              <w:rPr>
                <w:rFonts w:ascii="Arial" w:hAnsi="Arial" w:cs="Arial"/>
                <w:sz w:val="20"/>
              </w:rPr>
            </w:pPr>
          </w:p>
        </w:tc>
        <w:tc>
          <w:tcPr>
            <w:tcW w:w="688" w:type="pct"/>
            <w:vMerge/>
          </w:tcPr>
          <w:p w14:paraId="6B4BF127" w14:textId="77777777" w:rsidR="00555CC5" w:rsidRPr="00871023" w:rsidRDefault="00555CC5" w:rsidP="00555CC5">
            <w:pPr>
              <w:rPr>
                <w:rFonts w:ascii="Arial" w:hAnsi="Arial" w:cs="Arial"/>
                <w:sz w:val="20"/>
              </w:rPr>
            </w:pPr>
          </w:p>
        </w:tc>
        <w:tc>
          <w:tcPr>
            <w:tcW w:w="688" w:type="pct"/>
            <w:vMerge/>
          </w:tcPr>
          <w:p w14:paraId="5B6F508A" w14:textId="77777777" w:rsidR="00555CC5" w:rsidRPr="00871023" w:rsidRDefault="00555CC5" w:rsidP="00555CC5">
            <w:pPr>
              <w:rPr>
                <w:rFonts w:ascii="Arial" w:hAnsi="Arial" w:cs="Arial"/>
                <w:sz w:val="20"/>
              </w:rPr>
            </w:pPr>
          </w:p>
        </w:tc>
        <w:tc>
          <w:tcPr>
            <w:tcW w:w="1156" w:type="pct"/>
          </w:tcPr>
          <w:p w14:paraId="5871A336" w14:textId="600BCC2B" w:rsidR="00555CC5" w:rsidRPr="00871023" w:rsidRDefault="00555CC5" w:rsidP="00555CC5">
            <w:pPr>
              <w:pStyle w:val="ListBullet"/>
              <w:spacing w:after="120"/>
            </w:pPr>
            <w:r w:rsidRPr="00871023">
              <w:t xml:space="preserve">Comparator: </w:t>
            </w:r>
            <w:r w:rsidR="009B506A" w:rsidRPr="00871023">
              <w:t>Sunitinib</w:t>
            </w:r>
          </w:p>
          <w:p w14:paraId="1A8F29BC" w14:textId="77777777" w:rsidR="00555CC5" w:rsidRPr="00871023" w:rsidRDefault="00555CC5" w:rsidP="00555CC5">
            <w:pPr>
              <w:pStyle w:val="ListBullet"/>
              <w:spacing w:after="120"/>
            </w:pPr>
          </w:p>
        </w:tc>
        <w:tc>
          <w:tcPr>
            <w:tcW w:w="1779" w:type="pct"/>
          </w:tcPr>
          <w:p w14:paraId="0140BFFB" w14:textId="376AA712" w:rsidR="00555CC5" w:rsidRPr="00871023" w:rsidRDefault="009B506A" w:rsidP="009B506A">
            <w:pPr>
              <w:spacing w:after="120"/>
              <w:rPr>
                <w:rFonts w:ascii="Arial" w:hAnsi="Arial" w:cs="Arial"/>
                <w:sz w:val="20"/>
                <w:highlight w:val="yellow"/>
              </w:rPr>
            </w:pPr>
            <w:r w:rsidRPr="00871023">
              <w:rPr>
                <w:rFonts w:ascii="Arial" w:hAnsi="Arial" w:cs="Arial"/>
                <w:sz w:val="20"/>
              </w:rPr>
              <w:t>The PBAC considered that sunitinib and pazopanib are the appropriate main comparators, and that sunitinib was a reasonable proxy for pazopanib in terms of the clinical evidence presented</w:t>
            </w:r>
            <w:r w:rsidR="00462DAC">
              <w:rPr>
                <w:rFonts w:ascii="Arial" w:hAnsi="Arial" w:cs="Arial"/>
                <w:sz w:val="20"/>
              </w:rPr>
              <w:t>.</w:t>
            </w:r>
          </w:p>
        </w:tc>
      </w:tr>
      <w:tr w:rsidR="009B506A" w:rsidRPr="00871023" w14:paraId="7DD92B9B" w14:textId="77777777" w:rsidTr="00106998">
        <w:trPr>
          <w:trHeight w:val="433"/>
        </w:trPr>
        <w:tc>
          <w:tcPr>
            <w:tcW w:w="688" w:type="pct"/>
            <w:vMerge/>
          </w:tcPr>
          <w:p w14:paraId="3F14C155" w14:textId="77777777" w:rsidR="009B506A" w:rsidRPr="00871023" w:rsidRDefault="009B506A" w:rsidP="009B506A">
            <w:pPr>
              <w:rPr>
                <w:rFonts w:ascii="Arial" w:hAnsi="Arial" w:cs="Arial"/>
                <w:sz w:val="20"/>
              </w:rPr>
            </w:pPr>
          </w:p>
        </w:tc>
        <w:tc>
          <w:tcPr>
            <w:tcW w:w="688" w:type="pct"/>
            <w:vMerge/>
          </w:tcPr>
          <w:p w14:paraId="1A49C1FF" w14:textId="77777777" w:rsidR="009B506A" w:rsidRPr="00871023" w:rsidRDefault="009B506A" w:rsidP="009B506A">
            <w:pPr>
              <w:rPr>
                <w:rFonts w:ascii="Arial" w:hAnsi="Arial" w:cs="Arial"/>
                <w:sz w:val="20"/>
              </w:rPr>
            </w:pPr>
          </w:p>
        </w:tc>
        <w:tc>
          <w:tcPr>
            <w:tcW w:w="688" w:type="pct"/>
            <w:vMerge/>
          </w:tcPr>
          <w:p w14:paraId="1AA402D8" w14:textId="77777777" w:rsidR="009B506A" w:rsidRPr="00871023" w:rsidRDefault="009B506A" w:rsidP="009B506A">
            <w:pPr>
              <w:rPr>
                <w:rFonts w:ascii="Arial" w:hAnsi="Arial" w:cs="Arial"/>
                <w:sz w:val="20"/>
              </w:rPr>
            </w:pPr>
          </w:p>
        </w:tc>
        <w:tc>
          <w:tcPr>
            <w:tcW w:w="1156" w:type="pct"/>
          </w:tcPr>
          <w:p w14:paraId="210DDC95" w14:textId="105E6D88" w:rsidR="009B506A" w:rsidRPr="00871023" w:rsidRDefault="009B506A" w:rsidP="009B506A">
            <w:pPr>
              <w:pStyle w:val="ListBullet"/>
              <w:spacing w:after="120"/>
            </w:pPr>
            <w:r w:rsidRPr="00871023">
              <w:t>Clinical claim: Superior efficacy and different but broadly comparable safety compared with sunitinib</w:t>
            </w:r>
          </w:p>
        </w:tc>
        <w:tc>
          <w:tcPr>
            <w:tcW w:w="1779" w:type="pct"/>
          </w:tcPr>
          <w:p w14:paraId="587E49C5" w14:textId="518E16CA" w:rsidR="009B506A" w:rsidRPr="00871023" w:rsidRDefault="009B506A" w:rsidP="009B506A">
            <w:pPr>
              <w:rPr>
                <w:rFonts w:ascii="Arial" w:hAnsi="Arial" w:cs="Arial"/>
                <w:sz w:val="20"/>
              </w:rPr>
            </w:pPr>
            <w:r w:rsidRPr="00871023">
              <w:rPr>
                <w:rFonts w:ascii="Arial" w:hAnsi="Arial" w:cs="Arial"/>
                <w:sz w:val="20"/>
              </w:rPr>
              <w:t xml:space="preserve">In the treatment-naïve setting, the PBAC considered that cabozantinib was associated with superior </w:t>
            </w:r>
            <w:r w:rsidR="00462DAC">
              <w:rPr>
                <w:rFonts w:ascii="Arial" w:hAnsi="Arial" w:cs="Arial"/>
                <w:sz w:val="20"/>
              </w:rPr>
              <w:t>progression free survival</w:t>
            </w:r>
            <w:r w:rsidR="00462DAC" w:rsidRPr="00871023">
              <w:rPr>
                <w:rFonts w:ascii="Arial" w:hAnsi="Arial" w:cs="Arial"/>
                <w:sz w:val="20"/>
              </w:rPr>
              <w:t xml:space="preserve"> </w:t>
            </w:r>
            <w:r w:rsidRPr="00871023">
              <w:rPr>
                <w:rFonts w:ascii="Arial" w:hAnsi="Arial" w:cs="Arial"/>
                <w:sz w:val="20"/>
              </w:rPr>
              <w:t>but considered the magnitude was uncertain and likely overestimated given the small number of patients enrolled and the high potential risk of bias</w:t>
            </w:r>
            <w:r w:rsidR="002D7DE4" w:rsidRPr="00871023">
              <w:rPr>
                <w:rFonts w:ascii="Arial" w:hAnsi="Arial" w:cs="Arial"/>
                <w:sz w:val="20"/>
              </w:rPr>
              <w:t xml:space="preserve"> in the pivotal study, CABOSUN</w:t>
            </w:r>
            <w:r w:rsidRPr="00871023">
              <w:rPr>
                <w:rFonts w:ascii="Arial" w:hAnsi="Arial" w:cs="Arial"/>
                <w:sz w:val="20"/>
              </w:rPr>
              <w:t>.</w:t>
            </w:r>
          </w:p>
          <w:p w14:paraId="2BD3F7E1" w14:textId="49C05C43" w:rsidR="009B506A" w:rsidRPr="00871023" w:rsidRDefault="009B506A" w:rsidP="002D7DE4">
            <w:pPr>
              <w:rPr>
                <w:rFonts w:ascii="Arial" w:hAnsi="Arial" w:cs="Arial"/>
                <w:sz w:val="20"/>
              </w:rPr>
            </w:pPr>
            <w:r w:rsidRPr="00871023">
              <w:rPr>
                <w:rFonts w:ascii="Arial" w:hAnsi="Arial" w:cs="Arial"/>
                <w:sz w:val="20"/>
              </w:rPr>
              <w:t xml:space="preserve">In the TKI-naive post-immunotherapy setting, the PBAC considered that the claim of </w:t>
            </w:r>
            <w:r w:rsidR="002D7DE4" w:rsidRPr="00871023">
              <w:rPr>
                <w:rFonts w:ascii="Arial" w:hAnsi="Arial" w:cs="Arial"/>
                <w:sz w:val="20"/>
              </w:rPr>
              <w:t>superior</w:t>
            </w:r>
            <w:r w:rsidRPr="00871023">
              <w:rPr>
                <w:rFonts w:ascii="Arial" w:hAnsi="Arial" w:cs="Arial"/>
                <w:sz w:val="20"/>
              </w:rPr>
              <w:t xml:space="preserve"> comparative effectiveness </w:t>
            </w:r>
            <w:r w:rsidR="002D7DE4" w:rsidRPr="00871023">
              <w:rPr>
                <w:rFonts w:ascii="Arial" w:hAnsi="Arial" w:cs="Arial"/>
                <w:sz w:val="20"/>
              </w:rPr>
              <w:t xml:space="preserve">versus sunitinib </w:t>
            </w:r>
            <w:r w:rsidRPr="00871023">
              <w:rPr>
                <w:rFonts w:ascii="Arial" w:hAnsi="Arial" w:cs="Arial"/>
                <w:sz w:val="20"/>
              </w:rPr>
              <w:t>was not adequately supported given the paucity of data that were specific to this setting, and the uncertain applicability of the CABOSUN trial to this setting. In both settings, the PBAC considered that the claim of different but broadly comparable safety compared with sunitinib was reasonable.</w:t>
            </w:r>
          </w:p>
        </w:tc>
      </w:tr>
      <w:tr w:rsidR="009B506A" w:rsidRPr="00871023" w14:paraId="3586E696" w14:textId="77777777" w:rsidTr="00106998">
        <w:trPr>
          <w:trHeight w:val="433"/>
        </w:trPr>
        <w:tc>
          <w:tcPr>
            <w:tcW w:w="688" w:type="pct"/>
            <w:vMerge/>
          </w:tcPr>
          <w:p w14:paraId="0F6AD458" w14:textId="77777777" w:rsidR="009B506A" w:rsidRPr="00871023" w:rsidRDefault="009B506A" w:rsidP="009B506A">
            <w:pPr>
              <w:rPr>
                <w:rFonts w:ascii="Arial" w:hAnsi="Arial" w:cs="Arial"/>
                <w:sz w:val="20"/>
              </w:rPr>
            </w:pPr>
          </w:p>
        </w:tc>
        <w:tc>
          <w:tcPr>
            <w:tcW w:w="688" w:type="pct"/>
            <w:vMerge/>
          </w:tcPr>
          <w:p w14:paraId="1060F157" w14:textId="77777777" w:rsidR="009B506A" w:rsidRPr="00871023" w:rsidRDefault="009B506A" w:rsidP="009B506A">
            <w:pPr>
              <w:rPr>
                <w:rFonts w:ascii="Arial" w:hAnsi="Arial" w:cs="Arial"/>
                <w:sz w:val="20"/>
              </w:rPr>
            </w:pPr>
          </w:p>
        </w:tc>
        <w:tc>
          <w:tcPr>
            <w:tcW w:w="688" w:type="pct"/>
            <w:vMerge/>
          </w:tcPr>
          <w:p w14:paraId="72174103" w14:textId="77777777" w:rsidR="009B506A" w:rsidRPr="00871023" w:rsidRDefault="009B506A" w:rsidP="009B506A">
            <w:pPr>
              <w:rPr>
                <w:rFonts w:ascii="Arial" w:hAnsi="Arial" w:cs="Arial"/>
                <w:sz w:val="20"/>
              </w:rPr>
            </w:pPr>
          </w:p>
        </w:tc>
        <w:tc>
          <w:tcPr>
            <w:tcW w:w="1156" w:type="pct"/>
          </w:tcPr>
          <w:p w14:paraId="012608F4" w14:textId="4CCDB1F4" w:rsidR="009B506A" w:rsidRPr="00871023" w:rsidRDefault="009B506A" w:rsidP="009B506A">
            <w:pPr>
              <w:pStyle w:val="ListBullet"/>
              <w:spacing w:after="120"/>
            </w:pPr>
            <w:r w:rsidRPr="00871023">
              <w:t>Economic claim: Cost-utility analysis versus sunitinib</w:t>
            </w:r>
          </w:p>
          <w:p w14:paraId="2B322BAB" w14:textId="77777777" w:rsidR="009B506A" w:rsidRPr="00871023" w:rsidRDefault="009B506A" w:rsidP="009B506A">
            <w:pPr>
              <w:pStyle w:val="ListBullet"/>
              <w:spacing w:after="120"/>
            </w:pPr>
          </w:p>
        </w:tc>
        <w:tc>
          <w:tcPr>
            <w:tcW w:w="1779" w:type="pct"/>
          </w:tcPr>
          <w:p w14:paraId="3EC20D59" w14:textId="03861A29" w:rsidR="009B506A" w:rsidRPr="00871023" w:rsidRDefault="009B506A" w:rsidP="00462DAC">
            <w:pPr>
              <w:pStyle w:val="ListParagraph"/>
              <w:spacing w:after="120"/>
              <w:ind w:left="0"/>
              <w:rPr>
                <w:rFonts w:ascii="Arial" w:hAnsi="Arial" w:cs="Arial"/>
                <w:sz w:val="20"/>
                <w:szCs w:val="20"/>
                <w:highlight w:val="yellow"/>
              </w:rPr>
            </w:pPr>
            <w:r w:rsidRPr="00871023">
              <w:rPr>
                <w:rFonts w:ascii="Arial" w:hAnsi="Arial" w:cs="Arial"/>
                <w:sz w:val="20"/>
                <w:szCs w:val="20"/>
              </w:rPr>
              <w:t xml:space="preserve">The PBAC considered that the resubmission had significantly underestimated the </w:t>
            </w:r>
            <w:r w:rsidR="00462DAC">
              <w:rPr>
                <w:rFonts w:ascii="Arial" w:hAnsi="Arial" w:cs="Arial"/>
                <w:sz w:val="20"/>
                <w:szCs w:val="20"/>
              </w:rPr>
              <w:t>incremental cost-effectiveness ratio</w:t>
            </w:r>
            <w:r w:rsidR="00462DAC" w:rsidRPr="00871023">
              <w:rPr>
                <w:rFonts w:ascii="Arial" w:hAnsi="Arial" w:cs="Arial"/>
                <w:sz w:val="20"/>
                <w:szCs w:val="20"/>
              </w:rPr>
              <w:t xml:space="preserve"> </w:t>
            </w:r>
            <w:r w:rsidRPr="00871023">
              <w:rPr>
                <w:rFonts w:ascii="Arial" w:hAnsi="Arial" w:cs="Arial"/>
                <w:sz w:val="20"/>
                <w:szCs w:val="20"/>
              </w:rPr>
              <w:t>due to the inclusion of an overall survival benefit that was not supported by the clinical evidence</w:t>
            </w:r>
            <w:r w:rsidR="00462DAC">
              <w:rPr>
                <w:rFonts w:ascii="Arial" w:hAnsi="Arial" w:cs="Arial"/>
                <w:sz w:val="20"/>
                <w:szCs w:val="20"/>
              </w:rPr>
              <w:t>,</w:t>
            </w:r>
            <w:r w:rsidRPr="00871023">
              <w:rPr>
                <w:rFonts w:ascii="Arial" w:hAnsi="Arial" w:cs="Arial"/>
                <w:sz w:val="20"/>
                <w:szCs w:val="20"/>
              </w:rPr>
              <w:t xml:space="preserve"> and post-progression costs that were inadequately supported.</w:t>
            </w:r>
          </w:p>
        </w:tc>
      </w:tr>
      <w:tr w:rsidR="009B506A" w:rsidRPr="00871023" w14:paraId="4536C9AB" w14:textId="77777777" w:rsidTr="00106998">
        <w:trPr>
          <w:trHeight w:val="474"/>
        </w:trPr>
        <w:tc>
          <w:tcPr>
            <w:tcW w:w="688" w:type="pct"/>
            <w:vMerge/>
          </w:tcPr>
          <w:p w14:paraId="1348E329" w14:textId="77777777" w:rsidR="009B506A" w:rsidRPr="00871023" w:rsidRDefault="009B506A" w:rsidP="009B506A">
            <w:pPr>
              <w:rPr>
                <w:rFonts w:ascii="Arial" w:hAnsi="Arial" w:cs="Arial"/>
                <w:sz w:val="20"/>
              </w:rPr>
            </w:pPr>
          </w:p>
        </w:tc>
        <w:tc>
          <w:tcPr>
            <w:tcW w:w="688" w:type="pct"/>
            <w:vMerge/>
          </w:tcPr>
          <w:p w14:paraId="6E3F4720" w14:textId="77777777" w:rsidR="009B506A" w:rsidRPr="00871023" w:rsidRDefault="009B506A" w:rsidP="009B506A">
            <w:pPr>
              <w:rPr>
                <w:rFonts w:ascii="Arial" w:hAnsi="Arial" w:cs="Arial"/>
                <w:sz w:val="20"/>
              </w:rPr>
            </w:pPr>
          </w:p>
        </w:tc>
        <w:tc>
          <w:tcPr>
            <w:tcW w:w="688" w:type="pct"/>
            <w:vMerge/>
          </w:tcPr>
          <w:p w14:paraId="0C988F6A" w14:textId="77777777" w:rsidR="009B506A" w:rsidRPr="00871023" w:rsidRDefault="009B506A" w:rsidP="009B506A">
            <w:pPr>
              <w:rPr>
                <w:rFonts w:ascii="Arial" w:hAnsi="Arial" w:cs="Arial"/>
                <w:sz w:val="20"/>
              </w:rPr>
            </w:pPr>
          </w:p>
        </w:tc>
        <w:tc>
          <w:tcPr>
            <w:tcW w:w="1156" w:type="pct"/>
          </w:tcPr>
          <w:p w14:paraId="53C2817D" w14:textId="77777777" w:rsidR="009B506A" w:rsidRPr="00871023" w:rsidRDefault="009B506A" w:rsidP="009B506A">
            <w:pPr>
              <w:pStyle w:val="ListBullet"/>
              <w:jc w:val="right"/>
            </w:pPr>
            <w:r w:rsidRPr="00871023">
              <w:t xml:space="preserve">Sponsor’s comment: </w:t>
            </w:r>
          </w:p>
        </w:tc>
        <w:tc>
          <w:tcPr>
            <w:tcW w:w="1779" w:type="pct"/>
          </w:tcPr>
          <w:p w14:paraId="67EE8A26" w14:textId="2698986C" w:rsidR="009B506A" w:rsidRPr="00871023" w:rsidRDefault="00D45E00" w:rsidP="009B506A">
            <w:pPr>
              <w:rPr>
                <w:rFonts w:ascii="Arial" w:hAnsi="Arial" w:cs="Arial"/>
                <w:sz w:val="20"/>
              </w:rPr>
            </w:pPr>
            <w:r w:rsidRPr="00D45E00">
              <w:rPr>
                <w:rFonts w:ascii="Arial" w:hAnsi="Arial" w:cs="Arial"/>
                <w:iCs/>
                <w:sz w:val="20"/>
              </w:rPr>
              <w:t>The sponsor had no comment.</w:t>
            </w:r>
          </w:p>
        </w:tc>
      </w:tr>
      <w:tr w:rsidR="009F1DCB" w:rsidRPr="00871023" w14:paraId="5BD51DCE" w14:textId="77777777" w:rsidTr="00106998">
        <w:trPr>
          <w:trHeight w:val="433"/>
        </w:trPr>
        <w:tc>
          <w:tcPr>
            <w:tcW w:w="688" w:type="pct"/>
            <w:vMerge w:val="restart"/>
          </w:tcPr>
          <w:p w14:paraId="53AD1F85" w14:textId="77777777" w:rsidR="009F1DCB" w:rsidRPr="00871023" w:rsidRDefault="009F1DCB" w:rsidP="009F1DCB">
            <w:pPr>
              <w:rPr>
                <w:rFonts w:ascii="Arial" w:hAnsi="Arial" w:cs="Arial"/>
                <w:color w:val="000000"/>
                <w:sz w:val="20"/>
              </w:rPr>
            </w:pPr>
            <w:r w:rsidRPr="00871023">
              <w:rPr>
                <w:rFonts w:ascii="Arial" w:hAnsi="Arial" w:cs="Arial"/>
                <w:color w:val="000000"/>
                <w:sz w:val="20"/>
              </w:rPr>
              <w:lastRenderedPageBreak/>
              <w:t>NABIXIMOLS</w:t>
            </w:r>
            <w:r w:rsidRPr="00871023">
              <w:rPr>
                <w:rFonts w:ascii="Arial" w:hAnsi="Arial" w:cs="Arial"/>
                <w:color w:val="000000"/>
                <w:sz w:val="20"/>
              </w:rPr>
              <w:br/>
            </w:r>
            <w:r w:rsidRPr="00871023">
              <w:rPr>
                <w:rFonts w:ascii="Arial" w:hAnsi="Arial" w:cs="Arial"/>
                <w:color w:val="000000"/>
                <w:sz w:val="20"/>
              </w:rPr>
              <w:br/>
              <w:t>Oromucosal spray, 8 mg per dose, 90 doses</w:t>
            </w:r>
            <w:r w:rsidRPr="00871023">
              <w:rPr>
                <w:rFonts w:ascii="Arial" w:hAnsi="Arial" w:cs="Arial"/>
                <w:color w:val="000000"/>
                <w:sz w:val="20"/>
              </w:rPr>
              <w:br/>
            </w:r>
            <w:r w:rsidRPr="00871023">
              <w:rPr>
                <w:rFonts w:ascii="Arial" w:hAnsi="Arial" w:cs="Arial"/>
                <w:color w:val="000000"/>
                <w:sz w:val="20"/>
              </w:rPr>
              <w:br/>
              <w:t>Sativex®</w:t>
            </w:r>
            <w:r w:rsidRPr="00871023">
              <w:rPr>
                <w:rFonts w:ascii="Arial" w:hAnsi="Arial" w:cs="Arial"/>
                <w:color w:val="000000"/>
                <w:sz w:val="20"/>
              </w:rPr>
              <w:br/>
            </w:r>
            <w:r w:rsidRPr="00871023">
              <w:rPr>
                <w:rFonts w:ascii="Arial" w:hAnsi="Arial" w:cs="Arial"/>
                <w:color w:val="000000"/>
                <w:sz w:val="20"/>
              </w:rPr>
              <w:br/>
              <w:t>Emerge Health Pty Ltd</w:t>
            </w:r>
            <w:r w:rsidRPr="00871023">
              <w:rPr>
                <w:rFonts w:ascii="Arial" w:hAnsi="Arial" w:cs="Arial"/>
                <w:color w:val="000000"/>
                <w:sz w:val="20"/>
              </w:rPr>
              <w:br/>
            </w:r>
            <w:r w:rsidRPr="00871023">
              <w:rPr>
                <w:rFonts w:ascii="Arial" w:hAnsi="Arial" w:cs="Arial"/>
                <w:color w:val="000000"/>
                <w:sz w:val="20"/>
              </w:rPr>
              <w:br/>
              <w:t>New listing</w:t>
            </w:r>
            <w:r w:rsidRPr="00871023">
              <w:rPr>
                <w:rFonts w:ascii="Arial" w:hAnsi="Arial" w:cs="Arial"/>
                <w:color w:val="000000"/>
                <w:sz w:val="20"/>
              </w:rPr>
              <w:br/>
              <w:t>(Major Submission)</w:t>
            </w:r>
          </w:p>
          <w:p w14:paraId="657E8356" w14:textId="77777777" w:rsidR="009F1DCB" w:rsidRPr="00871023" w:rsidRDefault="009F1DCB" w:rsidP="009F1DCB">
            <w:pPr>
              <w:spacing w:after="120"/>
              <w:rPr>
                <w:rFonts w:ascii="Arial" w:hAnsi="Arial" w:cs="Arial"/>
                <w:sz w:val="20"/>
              </w:rPr>
            </w:pPr>
          </w:p>
        </w:tc>
        <w:tc>
          <w:tcPr>
            <w:tcW w:w="688" w:type="pct"/>
            <w:vMerge w:val="restart"/>
          </w:tcPr>
          <w:p w14:paraId="4181561B" w14:textId="07780C1A" w:rsidR="009F1DCB" w:rsidRPr="00871023" w:rsidRDefault="009F1DCB" w:rsidP="009F1DCB">
            <w:pPr>
              <w:spacing w:after="120"/>
              <w:rPr>
                <w:rFonts w:ascii="Arial" w:hAnsi="Arial" w:cs="Arial"/>
                <w:sz w:val="20"/>
              </w:rPr>
            </w:pPr>
            <w:r w:rsidRPr="00A67611">
              <w:rPr>
                <w:rFonts w:ascii="Arial" w:hAnsi="Arial"/>
                <w:color w:val="000000"/>
                <w:sz w:val="20"/>
              </w:rPr>
              <w:t>Nabiximols is indicated for symptom improvement in patients with moderate-to-severe spasticity due to multiple sclerosis (MS) who have not responded adequately to other anti-spasticity medication and who demonstrate clinically significant improvement in spasticity related symptoms during an initial trial of therapy.</w:t>
            </w:r>
          </w:p>
        </w:tc>
        <w:tc>
          <w:tcPr>
            <w:tcW w:w="688" w:type="pct"/>
            <w:vMerge w:val="restart"/>
          </w:tcPr>
          <w:p w14:paraId="19D117D0" w14:textId="1CAA8897" w:rsidR="009F1DCB" w:rsidRPr="00871023" w:rsidRDefault="009F1DCB" w:rsidP="009F1DCB">
            <w:pPr>
              <w:spacing w:after="120"/>
              <w:rPr>
                <w:rFonts w:ascii="Arial" w:hAnsi="Arial" w:cs="Arial"/>
                <w:sz w:val="20"/>
              </w:rPr>
            </w:pPr>
            <w:r w:rsidRPr="00A67611">
              <w:rPr>
                <w:rFonts w:ascii="Arial" w:hAnsi="Arial"/>
                <w:color w:val="000000"/>
                <w:sz w:val="20"/>
              </w:rPr>
              <w:t>Nabiximols is not currently listed on the PBS.</w:t>
            </w:r>
          </w:p>
        </w:tc>
        <w:tc>
          <w:tcPr>
            <w:tcW w:w="1156" w:type="pct"/>
          </w:tcPr>
          <w:p w14:paraId="058B3D6A" w14:textId="2313F2F7" w:rsidR="009F1DCB" w:rsidRPr="00871023" w:rsidRDefault="009F1DCB" w:rsidP="002150CF">
            <w:pPr>
              <w:pStyle w:val="ListBullet"/>
              <w:spacing w:after="120"/>
            </w:pPr>
            <w:r w:rsidRPr="00A67611">
              <w:t xml:space="preserve">Resubmission to request an Authority Required (STREAMLINED) listing of nabiximols for the adjunctive treatment of moderate to severe spasticity in patients with MS who have not adequately responded to oral anti-spasticity agents.  </w:t>
            </w:r>
          </w:p>
        </w:tc>
        <w:tc>
          <w:tcPr>
            <w:tcW w:w="1779" w:type="pct"/>
          </w:tcPr>
          <w:p w14:paraId="4755DA9A" w14:textId="7040D210" w:rsidR="009F1DCB" w:rsidRDefault="009F1DCB" w:rsidP="009F1DCB">
            <w:pPr>
              <w:spacing w:after="120"/>
              <w:rPr>
                <w:rFonts w:ascii="Arial" w:hAnsi="Arial"/>
                <w:sz w:val="20"/>
              </w:rPr>
            </w:pPr>
            <w:r w:rsidRPr="00A67611">
              <w:rPr>
                <w:rFonts w:ascii="Arial" w:hAnsi="Arial"/>
                <w:sz w:val="20"/>
              </w:rPr>
              <w:t>The PBAC did not recommend the listing of nabiximols</w:t>
            </w:r>
            <w:r>
              <w:rPr>
                <w:rFonts w:ascii="Arial" w:hAnsi="Arial"/>
                <w:sz w:val="20"/>
              </w:rPr>
              <w:t xml:space="preserve"> as an adjunctive</w:t>
            </w:r>
            <w:r w:rsidRPr="00A67611">
              <w:rPr>
                <w:rFonts w:ascii="Arial" w:hAnsi="Arial"/>
                <w:sz w:val="20"/>
              </w:rPr>
              <w:t xml:space="preserve"> treatment of </w:t>
            </w:r>
            <w:r>
              <w:rPr>
                <w:rFonts w:ascii="Arial" w:hAnsi="Arial"/>
                <w:sz w:val="20"/>
              </w:rPr>
              <w:t xml:space="preserve">moderate to severe </w:t>
            </w:r>
            <w:r w:rsidRPr="00A67611">
              <w:rPr>
                <w:rFonts w:ascii="Arial" w:hAnsi="Arial"/>
                <w:sz w:val="20"/>
              </w:rPr>
              <w:t xml:space="preserve">spasticity </w:t>
            </w:r>
            <w:r>
              <w:rPr>
                <w:rFonts w:ascii="Arial" w:hAnsi="Arial"/>
                <w:sz w:val="20"/>
              </w:rPr>
              <w:t xml:space="preserve">due to </w:t>
            </w:r>
            <w:r w:rsidRPr="00A67611">
              <w:rPr>
                <w:rFonts w:ascii="Arial" w:hAnsi="Arial"/>
                <w:sz w:val="20"/>
              </w:rPr>
              <w:t>MS.</w:t>
            </w:r>
          </w:p>
          <w:p w14:paraId="43B0228F" w14:textId="77777777" w:rsidR="009F1DCB" w:rsidRDefault="009F1DCB" w:rsidP="009F1DCB">
            <w:pPr>
              <w:spacing w:after="120"/>
              <w:rPr>
                <w:rFonts w:ascii="Arial" w:hAnsi="Arial"/>
                <w:sz w:val="20"/>
              </w:rPr>
            </w:pPr>
            <w:r w:rsidRPr="003E541A">
              <w:rPr>
                <w:rFonts w:ascii="Arial" w:hAnsi="Arial"/>
                <w:sz w:val="20"/>
              </w:rPr>
              <w:t>The key clinical trial (Markovà 2019) presented in the resubmission used an enriched population design</w:t>
            </w:r>
            <w:r>
              <w:rPr>
                <w:rFonts w:ascii="Arial" w:hAnsi="Arial"/>
                <w:sz w:val="20"/>
              </w:rPr>
              <w:t xml:space="preserve"> in which</w:t>
            </w:r>
            <w:r w:rsidRPr="003E541A">
              <w:rPr>
                <w:rFonts w:ascii="Arial" w:hAnsi="Arial"/>
                <w:sz w:val="20"/>
              </w:rPr>
              <w:t xml:space="preserve"> non-responders</w:t>
            </w:r>
            <w:r>
              <w:rPr>
                <w:rFonts w:ascii="Arial" w:hAnsi="Arial"/>
                <w:sz w:val="20"/>
              </w:rPr>
              <w:t xml:space="preserve"> to nabiximols</w:t>
            </w:r>
            <w:r w:rsidRPr="003E541A">
              <w:rPr>
                <w:rFonts w:ascii="Arial" w:hAnsi="Arial"/>
                <w:sz w:val="20"/>
              </w:rPr>
              <w:t xml:space="preserve"> were excluded from participation in the </w:t>
            </w:r>
            <w:r>
              <w:rPr>
                <w:rFonts w:ascii="Arial" w:hAnsi="Arial"/>
                <w:sz w:val="20"/>
              </w:rPr>
              <w:t xml:space="preserve">randomised phase of the </w:t>
            </w:r>
            <w:r w:rsidRPr="003E541A">
              <w:rPr>
                <w:rFonts w:ascii="Arial" w:hAnsi="Arial"/>
                <w:sz w:val="20"/>
              </w:rPr>
              <w:t>study. The PBAC considered that, while the trial design was reasonable, it was likely to result in an overestimate of the clinical benefit and an underestimate of the adverse events for nabiximols</w:t>
            </w:r>
            <w:r>
              <w:rPr>
                <w:rFonts w:ascii="Arial" w:hAnsi="Arial"/>
                <w:sz w:val="20"/>
              </w:rPr>
              <w:t>.</w:t>
            </w:r>
          </w:p>
          <w:p w14:paraId="49BFBD7C" w14:textId="6082616A" w:rsidR="009F1DCB" w:rsidRPr="00871023" w:rsidRDefault="009F1DCB" w:rsidP="009F1DCB">
            <w:pPr>
              <w:spacing w:after="120"/>
              <w:rPr>
                <w:rFonts w:ascii="Arial" w:hAnsi="Arial" w:cs="Arial"/>
                <w:sz w:val="20"/>
                <w:highlight w:val="yellow"/>
              </w:rPr>
            </w:pPr>
            <w:r w:rsidRPr="003E541A">
              <w:rPr>
                <w:rFonts w:ascii="Arial" w:hAnsi="Arial"/>
                <w:sz w:val="20"/>
              </w:rPr>
              <w:t xml:space="preserve">The </w:t>
            </w:r>
            <w:r>
              <w:rPr>
                <w:rFonts w:ascii="Arial" w:hAnsi="Arial"/>
                <w:sz w:val="20"/>
              </w:rPr>
              <w:t xml:space="preserve">PBAC considered the exclusion of non-responders also impacted on the </w:t>
            </w:r>
            <w:r w:rsidRPr="003E541A">
              <w:rPr>
                <w:rFonts w:ascii="Arial" w:hAnsi="Arial"/>
                <w:sz w:val="20"/>
              </w:rPr>
              <w:t xml:space="preserve">generalisability of the trial </w:t>
            </w:r>
            <w:r>
              <w:rPr>
                <w:rFonts w:ascii="Arial" w:hAnsi="Arial"/>
                <w:sz w:val="20"/>
              </w:rPr>
              <w:t xml:space="preserve">results </w:t>
            </w:r>
            <w:r w:rsidRPr="003E541A">
              <w:rPr>
                <w:rFonts w:ascii="Arial" w:hAnsi="Arial"/>
                <w:sz w:val="20"/>
              </w:rPr>
              <w:t xml:space="preserve">to the broader population </w:t>
            </w:r>
            <w:r>
              <w:rPr>
                <w:rFonts w:ascii="Arial" w:hAnsi="Arial"/>
                <w:sz w:val="20"/>
              </w:rPr>
              <w:t>of treated patients.</w:t>
            </w:r>
          </w:p>
        </w:tc>
      </w:tr>
      <w:tr w:rsidR="009F1DCB" w:rsidRPr="00871023" w14:paraId="0F66D95C" w14:textId="77777777" w:rsidTr="00106998">
        <w:trPr>
          <w:trHeight w:val="433"/>
        </w:trPr>
        <w:tc>
          <w:tcPr>
            <w:tcW w:w="688" w:type="pct"/>
            <w:vMerge/>
          </w:tcPr>
          <w:p w14:paraId="19E546EC" w14:textId="77777777" w:rsidR="009F1DCB" w:rsidRPr="00871023" w:rsidRDefault="009F1DCB" w:rsidP="009F1DCB">
            <w:pPr>
              <w:rPr>
                <w:rFonts w:ascii="Arial" w:hAnsi="Arial" w:cs="Arial"/>
                <w:sz w:val="20"/>
              </w:rPr>
            </w:pPr>
          </w:p>
        </w:tc>
        <w:tc>
          <w:tcPr>
            <w:tcW w:w="688" w:type="pct"/>
            <w:vMerge/>
          </w:tcPr>
          <w:p w14:paraId="0BDE9278" w14:textId="77777777" w:rsidR="009F1DCB" w:rsidRPr="00871023" w:rsidRDefault="009F1DCB" w:rsidP="009F1DCB">
            <w:pPr>
              <w:rPr>
                <w:rFonts w:ascii="Arial" w:hAnsi="Arial" w:cs="Arial"/>
                <w:sz w:val="20"/>
              </w:rPr>
            </w:pPr>
          </w:p>
        </w:tc>
        <w:tc>
          <w:tcPr>
            <w:tcW w:w="688" w:type="pct"/>
            <w:vMerge/>
          </w:tcPr>
          <w:p w14:paraId="74A5CB0D" w14:textId="77777777" w:rsidR="009F1DCB" w:rsidRPr="00871023" w:rsidRDefault="009F1DCB" w:rsidP="009F1DCB">
            <w:pPr>
              <w:rPr>
                <w:rFonts w:ascii="Arial" w:hAnsi="Arial" w:cs="Arial"/>
                <w:sz w:val="20"/>
              </w:rPr>
            </w:pPr>
          </w:p>
        </w:tc>
        <w:tc>
          <w:tcPr>
            <w:tcW w:w="1156" w:type="pct"/>
          </w:tcPr>
          <w:p w14:paraId="176B9A2D" w14:textId="59DFE467" w:rsidR="009F1DCB" w:rsidRPr="00871023" w:rsidRDefault="009F1DCB" w:rsidP="009F1DCB">
            <w:pPr>
              <w:pStyle w:val="ListBullet"/>
              <w:spacing w:after="120"/>
            </w:pPr>
            <w:r w:rsidRPr="00871023">
              <w:t>Comparator:</w:t>
            </w:r>
            <w:r>
              <w:t xml:space="preserve"> </w:t>
            </w:r>
            <w:r w:rsidRPr="00A67611">
              <w:t xml:space="preserve">Standard care (current </w:t>
            </w:r>
            <w:r>
              <w:t xml:space="preserve">oral </w:t>
            </w:r>
            <w:r w:rsidRPr="00A67611">
              <w:t>anti-spasticity medication)</w:t>
            </w:r>
          </w:p>
        </w:tc>
        <w:tc>
          <w:tcPr>
            <w:tcW w:w="1779" w:type="pct"/>
          </w:tcPr>
          <w:p w14:paraId="16066BEB" w14:textId="5FE1577B" w:rsidR="009F1DCB" w:rsidRPr="00871023" w:rsidRDefault="009F1DCB" w:rsidP="002150CF">
            <w:pPr>
              <w:spacing w:after="120"/>
              <w:rPr>
                <w:rFonts w:ascii="Arial" w:hAnsi="Arial" w:cs="Arial"/>
                <w:sz w:val="20"/>
                <w:highlight w:val="yellow"/>
              </w:rPr>
            </w:pPr>
            <w:r w:rsidRPr="00A67611">
              <w:rPr>
                <w:rFonts w:ascii="Arial" w:hAnsi="Arial"/>
                <w:sz w:val="20"/>
              </w:rPr>
              <w:t>The PBAC considered the nominated comparator was reasonable.</w:t>
            </w:r>
          </w:p>
        </w:tc>
      </w:tr>
      <w:tr w:rsidR="009F1DCB" w:rsidRPr="00871023" w14:paraId="00616E6A" w14:textId="77777777" w:rsidTr="00106998">
        <w:trPr>
          <w:trHeight w:val="433"/>
        </w:trPr>
        <w:tc>
          <w:tcPr>
            <w:tcW w:w="688" w:type="pct"/>
            <w:vMerge/>
          </w:tcPr>
          <w:p w14:paraId="77AD60BB" w14:textId="77777777" w:rsidR="009F1DCB" w:rsidRPr="00871023" w:rsidRDefault="009F1DCB" w:rsidP="009F1DCB">
            <w:pPr>
              <w:rPr>
                <w:rFonts w:ascii="Arial" w:hAnsi="Arial" w:cs="Arial"/>
                <w:sz w:val="20"/>
              </w:rPr>
            </w:pPr>
          </w:p>
        </w:tc>
        <w:tc>
          <w:tcPr>
            <w:tcW w:w="688" w:type="pct"/>
            <w:vMerge/>
          </w:tcPr>
          <w:p w14:paraId="5164DC9F" w14:textId="77777777" w:rsidR="009F1DCB" w:rsidRPr="00871023" w:rsidRDefault="009F1DCB" w:rsidP="009F1DCB">
            <w:pPr>
              <w:rPr>
                <w:rFonts w:ascii="Arial" w:hAnsi="Arial" w:cs="Arial"/>
                <w:sz w:val="20"/>
              </w:rPr>
            </w:pPr>
          </w:p>
        </w:tc>
        <w:tc>
          <w:tcPr>
            <w:tcW w:w="688" w:type="pct"/>
            <w:vMerge/>
          </w:tcPr>
          <w:p w14:paraId="25708ED0" w14:textId="77777777" w:rsidR="009F1DCB" w:rsidRPr="00871023" w:rsidRDefault="009F1DCB" w:rsidP="009F1DCB">
            <w:pPr>
              <w:rPr>
                <w:rFonts w:ascii="Arial" w:hAnsi="Arial" w:cs="Arial"/>
                <w:sz w:val="20"/>
              </w:rPr>
            </w:pPr>
          </w:p>
        </w:tc>
        <w:tc>
          <w:tcPr>
            <w:tcW w:w="1156" w:type="pct"/>
          </w:tcPr>
          <w:p w14:paraId="6A238D3D" w14:textId="2FC3C3F2" w:rsidR="009F1DCB" w:rsidRPr="00871023" w:rsidRDefault="009F1DCB" w:rsidP="009F1DCB">
            <w:pPr>
              <w:pStyle w:val="ListBullet"/>
              <w:spacing w:after="120"/>
            </w:pPr>
            <w:r w:rsidRPr="00871023">
              <w:t>Clinical claim:</w:t>
            </w:r>
            <w:r>
              <w:t xml:space="preserve"> </w:t>
            </w:r>
            <w:r w:rsidRPr="00A67611">
              <w:t xml:space="preserve">The submission claimed nabiximols, in combination with other oral anti-spasticity medication (standard care), was of superior effectiveness and inferior safety to </w:t>
            </w:r>
            <w:r>
              <w:t>standard care</w:t>
            </w:r>
            <w:r w:rsidRPr="00A67611">
              <w:t xml:space="preserve"> alone.</w:t>
            </w:r>
          </w:p>
        </w:tc>
        <w:tc>
          <w:tcPr>
            <w:tcW w:w="1779" w:type="pct"/>
          </w:tcPr>
          <w:p w14:paraId="48D77787" w14:textId="77777777" w:rsidR="009F1DCB" w:rsidRPr="00A67611" w:rsidRDefault="009F1DCB" w:rsidP="009F1DCB">
            <w:pPr>
              <w:spacing w:after="120"/>
              <w:rPr>
                <w:rFonts w:ascii="Arial" w:hAnsi="Arial"/>
                <w:sz w:val="20"/>
              </w:rPr>
            </w:pPr>
            <w:r w:rsidRPr="00A67611">
              <w:rPr>
                <w:rFonts w:ascii="Arial" w:hAnsi="Arial"/>
                <w:sz w:val="20"/>
              </w:rPr>
              <w:t>The PBAC considered the clinical claim of superior comparative effectiveness of nabiximols + standard care over standard care alone was reasonable, however considered the magnitude of benefit was uncertain and likely to be modest.</w:t>
            </w:r>
          </w:p>
          <w:p w14:paraId="70EE4888" w14:textId="0D1148B1" w:rsidR="009F1DCB" w:rsidRPr="00871023" w:rsidRDefault="009F1DCB" w:rsidP="009F1DCB">
            <w:pPr>
              <w:spacing w:after="120"/>
              <w:rPr>
                <w:rFonts w:ascii="Arial" w:hAnsi="Arial" w:cs="Arial"/>
                <w:sz w:val="20"/>
                <w:highlight w:val="yellow"/>
              </w:rPr>
            </w:pPr>
            <w:r w:rsidRPr="00A67611">
              <w:rPr>
                <w:rFonts w:ascii="Arial" w:hAnsi="Arial"/>
                <w:sz w:val="20"/>
              </w:rPr>
              <w:t>The PBAC considered the clinical claim of in</w:t>
            </w:r>
            <w:r>
              <w:rPr>
                <w:rFonts w:ascii="Arial" w:hAnsi="Arial"/>
                <w:sz w:val="20"/>
              </w:rPr>
              <w:t>ferior comparative safety</w:t>
            </w:r>
            <w:r w:rsidRPr="00A67611">
              <w:rPr>
                <w:rFonts w:ascii="Arial" w:hAnsi="Arial"/>
                <w:sz w:val="20"/>
              </w:rPr>
              <w:t xml:space="preserve"> to standard care alone was reasonable.</w:t>
            </w:r>
          </w:p>
        </w:tc>
      </w:tr>
      <w:tr w:rsidR="009F1DCB" w:rsidRPr="00871023" w14:paraId="244A513C" w14:textId="77777777" w:rsidTr="00106998">
        <w:trPr>
          <w:trHeight w:val="433"/>
        </w:trPr>
        <w:tc>
          <w:tcPr>
            <w:tcW w:w="688" w:type="pct"/>
            <w:vMerge/>
          </w:tcPr>
          <w:p w14:paraId="34D5864A" w14:textId="77777777" w:rsidR="009F1DCB" w:rsidRPr="00871023" w:rsidRDefault="009F1DCB" w:rsidP="009F1DCB">
            <w:pPr>
              <w:rPr>
                <w:rFonts w:ascii="Arial" w:hAnsi="Arial" w:cs="Arial"/>
                <w:sz w:val="20"/>
              </w:rPr>
            </w:pPr>
          </w:p>
        </w:tc>
        <w:tc>
          <w:tcPr>
            <w:tcW w:w="688" w:type="pct"/>
            <w:vMerge/>
          </w:tcPr>
          <w:p w14:paraId="7E8D9E0C" w14:textId="77777777" w:rsidR="009F1DCB" w:rsidRPr="00871023" w:rsidRDefault="009F1DCB" w:rsidP="009F1DCB">
            <w:pPr>
              <w:rPr>
                <w:rFonts w:ascii="Arial" w:hAnsi="Arial" w:cs="Arial"/>
                <w:sz w:val="20"/>
              </w:rPr>
            </w:pPr>
          </w:p>
        </w:tc>
        <w:tc>
          <w:tcPr>
            <w:tcW w:w="688" w:type="pct"/>
            <w:vMerge/>
          </w:tcPr>
          <w:p w14:paraId="19F5206F" w14:textId="77777777" w:rsidR="009F1DCB" w:rsidRPr="00871023" w:rsidRDefault="009F1DCB" w:rsidP="009F1DCB">
            <w:pPr>
              <w:rPr>
                <w:rFonts w:ascii="Arial" w:hAnsi="Arial" w:cs="Arial"/>
                <w:sz w:val="20"/>
              </w:rPr>
            </w:pPr>
          </w:p>
        </w:tc>
        <w:tc>
          <w:tcPr>
            <w:tcW w:w="1156" w:type="pct"/>
          </w:tcPr>
          <w:p w14:paraId="6BE9EF5B" w14:textId="16BB08F3" w:rsidR="009F1DCB" w:rsidRPr="00871023" w:rsidRDefault="009F1DCB" w:rsidP="009F1DCB">
            <w:pPr>
              <w:pStyle w:val="ListBullet"/>
              <w:spacing w:after="120"/>
            </w:pPr>
            <w:r w:rsidRPr="00871023">
              <w:t>Economic claim:</w:t>
            </w:r>
            <w:r w:rsidRPr="00F03D00">
              <w:t xml:space="preserve"> cost-effectiveness and a cost-utility analysis</w:t>
            </w:r>
            <w:r>
              <w:t xml:space="preserve"> compared to standard care alone.</w:t>
            </w:r>
          </w:p>
        </w:tc>
        <w:tc>
          <w:tcPr>
            <w:tcW w:w="1779" w:type="pct"/>
          </w:tcPr>
          <w:p w14:paraId="4452B91E" w14:textId="77777777" w:rsidR="009F1DCB" w:rsidRPr="00F03D00" w:rsidRDefault="009F1DCB" w:rsidP="009F1DCB">
            <w:pPr>
              <w:spacing w:after="120"/>
              <w:rPr>
                <w:rFonts w:ascii="Arial" w:hAnsi="Arial"/>
                <w:sz w:val="20"/>
              </w:rPr>
            </w:pPr>
            <w:r w:rsidRPr="00F03D00">
              <w:rPr>
                <w:rFonts w:ascii="Arial" w:hAnsi="Arial"/>
                <w:sz w:val="20"/>
              </w:rPr>
              <w:t xml:space="preserve">The PBAC </w:t>
            </w:r>
            <w:r>
              <w:rPr>
                <w:rFonts w:ascii="Arial" w:hAnsi="Arial"/>
                <w:sz w:val="20"/>
              </w:rPr>
              <w:t xml:space="preserve">considered </w:t>
            </w:r>
            <w:r w:rsidRPr="00F03D00">
              <w:rPr>
                <w:rFonts w:ascii="Arial" w:hAnsi="Arial"/>
                <w:sz w:val="20"/>
              </w:rPr>
              <w:t>the economic model to be</w:t>
            </w:r>
            <w:r>
              <w:rPr>
                <w:rFonts w:ascii="Arial" w:hAnsi="Arial"/>
                <w:sz w:val="20"/>
              </w:rPr>
              <w:t xml:space="preserve"> unreliable </w:t>
            </w:r>
            <w:r w:rsidRPr="00F03D00">
              <w:rPr>
                <w:rFonts w:ascii="Arial" w:hAnsi="Arial"/>
                <w:sz w:val="20"/>
              </w:rPr>
              <w:t>for decision making because</w:t>
            </w:r>
            <w:r>
              <w:rPr>
                <w:rFonts w:ascii="Arial" w:hAnsi="Arial"/>
                <w:sz w:val="20"/>
              </w:rPr>
              <w:t>:</w:t>
            </w:r>
          </w:p>
          <w:p w14:paraId="34949BAD" w14:textId="77777777" w:rsidR="009F1DCB" w:rsidRDefault="009F1DCB" w:rsidP="009F1DCB">
            <w:pPr>
              <w:numPr>
                <w:ilvl w:val="0"/>
                <w:numId w:val="16"/>
              </w:numPr>
              <w:ind w:left="349" w:hanging="283"/>
              <w:rPr>
                <w:rFonts w:ascii="Arial" w:hAnsi="Arial"/>
                <w:bCs/>
                <w:sz w:val="20"/>
              </w:rPr>
            </w:pPr>
            <w:r w:rsidRPr="00A67611">
              <w:rPr>
                <w:rFonts w:ascii="Arial" w:hAnsi="Arial"/>
                <w:bCs/>
                <w:sz w:val="20"/>
              </w:rPr>
              <w:t>The model structure was overly simplistic</w:t>
            </w:r>
            <w:r>
              <w:rPr>
                <w:rFonts w:ascii="Arial" w:hAnsi="Arial"/>
                <w:bCs/>
                <w:sz w:val="20"/>
              </w:rPr>
              <w:t xml:space="preserve"> </w:t>
            </w:r>
            <w:r w:rsidRPr="00F0000C">
              <w:rPr>
                <w:rFonts w:ascii="Arial" w:hAnsi="Arial"/>
                <w:bCs/>
                <w:sz w:val="20"/>
              </w:rPr>
              <w:t>and did not capture the complexity of MS-related spasticity</w:t>
            </w:r>
            <w:r>
              <w:rPr>
                <w:rFonts w:ascii="Arial" w:hAnsi="Arial"/>
                <w:bCs/>
                <w:sz w:val="20"/>
              </w:rPr>
              <w:t>.</w:t>
            </w:r>
          </w:p>
          <w:p w14:paraId="44250547" w14:textId="77777777" w:rsidR="009F1DCB" w:rsidRPr="003B6AB2" w:rsidRDefault="009F1DCB" w:rsidP="009F1DCB">
            <w:pPr>
              <w:numPr>
                <w:ilvl w:val="0"/>
                <w:numId w:val="16"/>
              </w:numPr>
              <w:ind w:left="349" w:hanging="283"/>
              <w:rPr>
                <w:rFonts w:ascii="Arial" w:hAnsi="Arial"/>
                <w:bCs/>
                <w:sz w:val="20"/>
              </w:rPr>
            </w:pPr>
            <w:r w:rsidRPr="003B6AB2">
              <w:rPr>
                <w:rFonts w:ascii="Arial" w:hAnsi="Arial"/>
                <w:bCs/>
                <w:sz w:val="20"/>
              </w:rPr>
              <w:t>The clinical data that informs the model (Markova 2019) is likely to overestimate the clinical benefit and underestimate the adverse events for nabiximols.</w:t>
            </w:r>
          </w:p>
          <w:p w14:paraId="5B484EEE" w14:textId="77777777" w:rsidR="009F1DCB" w:rsidRPr="00F03D00" w:rsidRDefault="009F1DCB" w:rsidP="009F1DCB">
            <w:pPr>
              <w:numPr>
                <w:ilvl w:val="0"/>
                <w:numId w:val="16"/>
              </w:numPr>
              <w:spacing w:after="120"/>
              <w:ind w:left="349" w:hanging="283"/>
              <w:rPr>
                <w:rFonts w:ascii="Arial" w:hAnsi="Arial"/>
                <w:bCs/>
                <w:sz w:val="20"/>
              </w:rPr>
            </w:pPr>
            <w:r w:rsidRPr="00A67611">
              <w:rPr>
                <w:rFonts w:ascii="Arial" w:hAnsi="Arial"/>
                <w:bCs/>
                <w:sz w:val="20"/>
              </w:rPr>
              <w:lastRenderedPageBreak/>
              <w:t xml:space="preserve">The cost offsets in the model were unrealistic and substantially overestimated as they assumed a majority of health system costs associated with management of MS would be avoided. The PBAC considered it was reasonable to assume </w:t>
            </w:r>
            <w:r>
              <w:rPr>
                <w:rFonts w:ascii="Arial" w:hAnsi="Arial"/>
                <w:bCs/>
                <w:sz w:val="20"/>
              </w:rPr>
              <w:t xml:space="preserve">only </w:t>
            </w:r>
            <w:r w:rsidRPr="00A67611">
              <w:rPr>
                <w:rFonts w:ascii="Arial" w:hAnsi="Arial"/>
                <w:bCs/>
                <w:sz w:val="20"/>
              </w:rPr>
              <w:t>a portion of costs associated with the management of MS-related spasticity would be offset.</w:t>
            </w:r>
          </w:p>
          <w:p w14:paraId="08905645" w14:textId="6A85D41F" w:rsidR="009F1DCB" w:rsidRPr="00871023" w:rsidRDefault="009F1DCB" w:rsidP="002943DE">
            <w:pPr>
              <w:rPr>
                <w:rFonts w:ascii="Arial" w:hAnsi="Arial" w:cs="Arial"/>
                <w:color w:val="1F497D"/>
                <w:sz w:val="20"/>
              </w:rPr>
            </w:pPr>
            <w:r>
              <w:rPr>
                <w:rFonts w:ascii="Arial" w:hAnsi="Arial"/>
                <w:bCs/>
                <w:sz w:val="20"/>
              </w:rPr>
              <w:t>The PBAC</w:t>
            </w:r>
            <w:r w:rsidRPr="00F0000C">
              <w:rPr>
                <w:rFonts w:ascii="Arial" w:hAnsi="Arial"/>
                <w:bCs/>
                <w:sz w:val="20"/>
              </w:rPr>
              <w:t xml:space="preserve"> considered that while the economic model presented in the resubmission was unreliable, it was likely to have substantially underestimated the </w:t>
            </w:r>
            <w:r w:rsidR="00462DAC">
              <w:rPr>
                <w:rFonts w:ascii="Arial" w:hAnsi="Arial"/>
                <w:bCs/>
                <w:sz w:val="20"/>
              </w:rPr>
              <w:t>incremental cost-effectiveness ratio</w:t>
            </w:r>
            <w:r w:rsidR="00462DAC" w:rsidRPr="00F0000C">
              <w:rPr>
                <w:rFonts w:ascii="Arial" w:hAnsi="Arial"/>
                <w:bCs/>
                <w:sz w:val="20"/>
              </w:rPr>
              <w:t xml:space="preserve"> </w:t>
            </w:r>
            <w:r w:rsidRPr="00F0000C">
              <w:rPr>
                <w:rFonts w:ascii="Arial" w:hAnsi="Arial"/>
                <w:bCs/>
                <w:sz w:val="20"/>
              </w:rPr>
              <w:t xml:space="preserve">and considered a reasonable re-specified economic model would likely require the price of nabiximols to be reduced substantially to achieve a reasonable </w:t>
            </w:r>
            <w:r w:rsidR="002943DE">
              <w:rPr>
                <w:rFonts w:ascii="Arial" w:hAnsi="Arial"/>
                <w:bCs/>
                <w:sz w:val="20"/>
              </w:rPr>
              <w:t>ratio</w:t>
            </w:r>
            <w:r w:rsidRPr="00F0000C">
              <w:rPr>
                <w:rFonts w:ascii="Arial" w:hAnsi="Arial"/>
                <w:bCs/>
                <w:sz w:val="20"/>
              </w:rPr>
              <w:t xml:space="preserve">.  </w:t>
            </w:r>
          </w:p>
        </w:tc>
      </w:tr>
      <w:tr w:rsidR="009F1DCB" w:rsidRPr="00871023" w14:paraId="4BA31FBD" w14:textId="77777777" w:rsidTr="00106998">
        <w:trPr>
          <w:trHeight w:val="433"/>
        </w:trPr>
        <w:tc>
          <w:tcPr>
            <w:tcW w:w="688" w:type="pct"/>
            <w:vMerge/>
          </w:tcPr>
          <w:p w14:paraId="521B3F2A" w14:textId="77777777" w:rsidR="009F1DCB" w:rsidRPr="00871023" w:rsidRDefault="009F1DCB" w:rsidP="009F1DCB">
            <w:pPr>
              <w:rPr>
                <w:rFonts w:ascii="Arial" w:hAnsi="Arial" w:cs="Arial"/>
                <w:sz w:val="20"/>
              </w:rPr>
            </w:pPr>
          </w:p>
        </w:tc>
        <w:tc>
          <w:tcPr>
            <w:tcW w:w="688" w:type="pct"/>
            <w:vMerge/>
          </w:tcPr>
          <w:p w14:paraId="7A531C53" w14:textId="77777777" w:rsidR="009F1DCB" w:rsidRPr="00871023" w:rsidRDefault="009F1DCB" w:rsidP="009F1DCB">
            <w:pPr>
              <w:rPr>
                <w:rFonts w:ascii="Arial" w:hAnsi="Arial" w:cs="Arial"/>
                <w:sz w:val="20"/>
              </w:rPr>
            </w:pPr>
          </w:p>
        </w:tc>
        <w:tc>
          <w:tcPr>
            <w:tcW w:w="688" w:type="pct"/>
            <w:vMerge/>
          </w:tcPr>
          <w:p w14:paraId="617295D6" w14:textId="77777777" w:rsidR="009F1DCB" w:rsidRPr="00871023" w:rsidRDefault="009F1DCB" w:rsidP="009F1DCB">
            <w:pPr>
              <w:rPr>
                <w:rFonts w:ascii="Arial" w:hAnsi="Arial" w:cs="Arial"/>
                <w:sz w:val="20"/>
              </w:rPr>
            </w:pPr>
          </w:p>
        </w:tc>
        <w:tc>
          <w:tcPr>
            <w:tcW w:w="1156" w:type="pct"/>
          </w:tcPr>
          <w:p w14:paraId="03EB0BFC" w14:textId="77777777" w:rsidR="009F1DCB" w:rsidRPr="00871023" w:rsidRDefault="009F1DCB" w:rsidP="009F1DCB">
            <w:pPr>
              <w:pStyle w:val="ListBullet"/>
              <w:jc w:val="right"/>
              <w:rPr>
                <w:highlight w:val="yellow"/>
              </w:rPr>
            </w:pPr>
            <w:r w:rsidRPr="00871023">
              <w:t xml:space="preserve">Sponsor’s comment: </w:t>
            </w:r>
          </w:p>
        </w:tc>
        <w:tc>
          <w:tcPr>
            <w:tcW w:w="1779" w:type="pct"/>
          </w:tcPr>
          <w:p w14:paraId="6B3782D5" w14:textId="0E21E0B9" w:rsidR="009F1DCB" w:rsidRPr="00E229AC" w:rsidRDefault="00E229AC" w:rsidP="009F1DCB">
            <w:pPr>
              <w:rPr>
                <w:rFonts w:ascii="Arial" w:hAnsi="Arial" w:cs="Arial"/>
                <w:sz w:val="20"/>
                <w:lang w:val="en-US"/>
              </w:rPr>
            </w:pPr>
            <w:r w:rsidRPr="00E229AC">
              <w:rPr>
                <w:rFonts w:ascii="Arial" w:hAnsi="Arial" w:cs="Arial"/>
                <w:iCs/>
                <w:sz w:val="20"/>
                <w:lang w:val="en-US"/>
              </w:rPr>
              <w:t>Emerge Health look</w:t>
            </w:r>
            <w:r w:rsidR="004638C9">
              <w:rPr>
                <w:rFonts w:ascii="Arial" w:hAnsi="Arial" w:cs="Arial"/>
                <w:iCs/>
                <w:sz w:val="20"/>
                <w:lang w:val="en-US"/>
              </w:rPr>
              <w:t>s</w:t>
            </w:r>
            <w:r w:rsidRPr="00E229AC">
              <w:rPr>
                <w:rFonts w:ascii="Arial" w:hAnsi="Arial" w:cs="Arial"/>
                <w:iCs/>
                <w:sz w:val="20"/>
                <w:lang w:val="en-US"/>
              </w:rPr>
              <w:t xml:space="preserve"> forward to further constructive dialogues with the PBAC, to make this therapy available to patients on the PBS in the very near future.</w:t>
            </w:r>
          </w:p>
        </w:tc>
      </w:tr>
      <w:tr w:rsidR="009F1DCB" w:rsidRPr="00871023" w14:paraId="27C77ABB" w14:textId="77777777" w:rsidTr="00106998">
        <w:trPr>
          <w:trHeight w:val="433"/>
        </w:trPr>
        <w:tc>
          <w:tcPr>
            <w:tcW w:w="688" w:type="pct"/>
            <w:vMerge w:val="restart"/>
          </w:tcPr>
          <w:p w14:paraId="0705B718" w14:textId="669B92EF" w:rsidR="009F1DCB" w:rsidRPr="00871023" w:rsidRDefault="009F1DCB" w:rsidP="009F1DCB">
            <w:pPr>
              <w:rPr>
                <w:rFonts w:ascii="Arial" w:hAnsi="Arial" w:cs="Arial"/>
                <w:color w:val="000000"/>
                <w:sz w:val="20"/>
              </w:rPr>
            </w:pPr>
            <w:r w:rsidRPr="00871023">
              <w:rPr>
                <w:rFonts w:ascii="Arial" w:hAnsi="Arial" w:cs="Arial"/>
                <w:color w:val="000000"/>
                <w:sz w:val="20"/>
              </w:rPr>
              <w:t>PLITIDEPSIN</w:t>
            </w:r>
            <w:r w:rsidRPr="00871023">
              <w:rPr>
                <w:rFonts w:ascii="Arial" w:hAnsi="Arial" w:cs="Arial"/>
                <w:color w:val="000000"/>
                <w:sz w:val="20"/>
              </w:rPr>
              <w:br/>
            </w:r>
            <w:r w:rsidRPr="00871023">
              <w:rPr>
                <w:rFonts w:ascii="Arial" w:hAnsi="Arial" w:cs="Arial"/>
                <w:color w:val="000000"/>
                <w:sz w:val="20"/>
              </w:rPr>
              <w:br/>
              <w:t>Powder for IV infusion 2 mg with 4</w:t>
            </w:r>
            <w:r w:rsidR="002943DE">
              <w:rPr>
                <w:rFonts w:ascii="Arial" w:hAnsi="Arial" w:cs="Arial"/>
                <w:color w:val="000000"/>
                <w:sz w:val="20"/>
              </w:rPr>
              <w:t> </w:t>
            </w:r>
            <w:r w:rsidRPr="00871023">
              <w:rPr>
                <w:rFonts w:ascii="Arial" w:hAnsi="Arial" w:cs="Arial"/>
                <w:color w:val="000000"/>
                <w:sz w:val="20"/>
              </w:rPr>
              <w:t>mL solvent</w:t>
            </w:r>
            <w:r w:rsidRPr="00871023">
              <w:rPr>
                <w:rFonts w:ascii="Arial" w:hAnsi="Arial" w:cs="Arial"/>
                <w:color w:val="000000"/>
                <w:sz w:val="20"/>
              </w:rPr>
              <w:br/>
            </w:r>
            <w:r w:rsidRPr="00871023">
              <w:rPr>
                <w:rFonts w:ascii="Arial" w:hAnsi="Arial" w:cs="Arial"/>
                <w:color w:val="000000"/>
                <w:sz w:val="20"/>
              </w:rPr>
              <w:br/>
              <w:t>Aplidin®</w:t>
            </w:r>
            <w:r w:rsidRPr="00871023">
              <w:rPr>
                <w:rFonts w:ascii="Arial" w:hAnsi="Arial" w:cs="Arial"/>
                <w:color w:val="000000"/>
                <w:sz w:val="20"/>
              </w:rPr>
              <w:br/>
            </w:r>
            <w:r w:rsidRPr="00871023">
              <w:rPr>
                <w:rFonts w:ascii="Arial" w:hAnsi="Arial" w:cs="Arial"/>
                <w:color w:val="000000"/>
                <w:sz w:val="20"/>
              </w:rPr>
              <w:br/>
              <w:t>Specialised Therapeutics Pharma Pty Ltd</w:t>
            </w:r>
            <w:r w:rsidRPr="00871023">
              <w:rPr>
                <w:rFonts w:ascii="Arial" w:hAnsi="Arial" w:cs="Arial"/>
                <w:color w:val="000000"/>
                <w:sz w:val="20"/>
              </w:rPr>
              <w:br/>
            </w:r>
            <w:r w:rsidRPr="00871023">
              <w:rPr>
                <w:rFonts w:ascii="Arial" w:hAnsi="Arial" w:cs="Arial"/>
                <w:color w:val="000000"/>
                <w:sz w:val="20"/>
              </w:rPr>
              <w:br/>
              <w:t>New listing</w:t>
            </w:r>
            <w:r w:rsidRPr="00871023">
              <w:rPr>
                <w:rFonts w:ascii="Arial" w:hAnsi="Arial" w:cs="Arial"/>
                <w:color w:val="000000"/>
                <w:sz w:val="20"/>
              </w:rPr>
              <w:br/>
              <w:t>(Major Submission)</w:t>
            </w:r>
          </w:p>
          <w:p w14:paraId="4C0560F6" w14:textId="77777777" w:rsidR="009F1DCB" w:rsidRPr="00871023" w:rsidRDefault="009F1DCB" w:rsidP="009F1DCB">
            <w:pPr>
              <w:contextualSpacing/>
              <w:rPr>
                <w:rFonts w:ascii="Arial" w:hAnsi="Arial" w:cs="Arial"/>
                <w:sz w:val="20"/>
                <w:highlight w:val="yellow"/>
              </w:rPr>
            </w:pPr>
          </w:p>
        </w:tc>
        <w:tc>
          <w:tcPr>
            <w:tcW w:w="688" w:type="pct"/>
            <w:vMerge w:val="restart"/>
          </w:tcPr>
          <w:p w14:paraId="21CB4EAD" w14:textId="49BA370D" w:rsidR="009F1DCB" w:rsidRPr="00871023" w:rsidRDefault="009F1DCB" w:rsidP="009F1DCB">
            <w:pPr>
              <w:rPr>
                <w:rFonts w:ascii="Arial" w:hAnsi="Arial" w:cs="Arial"/>
                <w:sz w:val="20"/>
              </w:rPr>
            </w:pPr>
            <w:r w:rsidRPr="00871023">
              <w:rPr>
                <w:rFonts w:ascii="Arial" w:hAnsi="Arial" w:cs="Arial"/>
                <w:sz w:val="20"/>
              </w:rPr>
              <w:t>P</w:t>
            </w:r>
            <w:r w:rsidR="00A85771" w:rsidRPr="00871023">
              <w:rPr>
                <w:rFonts w:ascii="Arial" w:hAnsi="Arial" w:cs="Arial"/>
                <w:sz w:val="20"/>
              </w:rPr>
              <w:t>litidepsin</w:t>
            </w:r>
            <w:r w:rsidRPr="00871023">
              <w:rPr>
                <w:rFonts w:ascii="Arial" w:hAnsi="Arial" w:cs="Arial"/>
                <w:sz w:val="20"/>
              </w:rPr>
              <w:t>, in combination with dexamethasone, is indicated for the treatment of patients with relapsed</w:t>
            </w:r>
          </w:p>
          <w:p w14:paraId="0F960AB5" w14:textId="77777777" w:rsidR="009F1DCB" w:rsidRPr="00871023" w:rsidRDefault="009F1DCB" w:rsidP="009F1DCB">
            <w:pPr>
              <w:rPr>
                <w:rFonts w:ascii="Arial" w:hAnsi="Arial" w:cs="Arial"/>
                <w:sz w:val="20"/>
              </w:rPr>
            </w:pPr>
            <w:r w:rsidRPr="00871023">
              <w:rPr>
                <w:rFonts w:ascii="Arial" w:hAnsi="Arial" w:cs="Arial"/>
                <w:sz w:val="20"/>
              </w:rPr>
              <w:t>and refractory multiple myeloma (RRMM) who have received at least two prior treatment regimens, including</w:t>
            </w:r>
          </w:p>
          <w:p w14:paraId="0565AC44" w14:textId="6D91D4BB" w:rsidR="009F1DCB" w:rsidRPr="00871023" w:rsidRDefault="009F1DCB" w:rsidP="00D15B5D">
            <w:pPr>
              <w:rPr>
                <w:rFonts w:ascii="Arial" w:hAnsi="Arial" w:cs="Arial"/>
                <w:sz w:val="20"/>
                <w:highlight w:val="yellow"/>
              </w:rPr>
            </w:pPr>
            <w:r w:rsidRPr="00871023">
              <w:rPr>
                <w:rFonts w:ascii="Arial" w:hAnsi="Arial" w:cs="Arial"/>
                <w:sz w:val="20"/>
              </w:rPr>
              <w:t>both a proteosome inhibitor (PI) and an immunomodulator (IMiD).</w:t>
            </w:r>
            <w:r w:rsidR="00D15B5D">
              <w:rPr>
                <w:rFonts w:ascii="Arial" w:hAnsi="Arial" w:cs="Arial"/>
                <w:sz w:val="20"/>
              </w:rPr>
              <w:t xml:space="preserve"> </w:t>
            </w:r>
          </w:p>
        </w:tc>
        <w:tc>
          <w:tcPr>
            <w:tcW w:w="688" w:type="pct"/>
            <w:vMerge w:val="restart"/>
          </w:tcPr>
          <w:p w14:paraId="38DA1719" w14:textId="4D18484F" w:rsidR="009F1DCB" w:rsidRPr="00871023" w:rsidRDefault="009F1DCB" w:rsidP="009F1DCB">
            <w:pPr>
              <w:rPr>
                <w:rFonts w:ascii="Arial" w:hAnsi="Arial" w:cs="Arial"/>
                <w:sz w:val="20"/>
              </w:rPr>
            </w:pPr>
            <w:r w:rsidRPr="00871023">
              <w:rPr>
                <w:rFonts w:ascii="Arial" w:hAnsi="Arial" w:cs="Arial"/>
                <w:sz w:val="20"/>
              </w:rPr>
              <w:t>P</w:t>
            </w:r>
            <w:r w:rsidR="00A85771" w:rsidRPr="00871023">
              <w:rPr>
                <w:rFonts w:ascii="Arial" w:hAnsi="Arial" w:cs="Arial"/>
                <w:sz w:val="20"/>
              </w:rPr>
              <w:t>litidepsin</w:t>
            </w:r>
          </w:p>
          <w:p w14:paraId="288E5996" w14:textId="21B4DD25" w:rsidR="009F1DCB" w:rsidRPr="00871023" w:rsidRDefault="009F1DCB" w:rsidP="009F1DCB">
            <w:pPr>
              <w:rPr>
                <w:rFonts w:ascii="Arial" w:hAnsi="Arial" w:cs="Arial"/>
                <w:sz w:val="20"/>
                <w:highlight w:val="yellow"/>
              </w:rPr>
            </w:pPr>
            <w:r w:rsidRPr="00871023">
              <w:rPr>
                <w:rFonts w:ascii="Arial" w:hAnsi="Arial" w:cs="Arial"/>
                <w:sz w:val="20"/>
              </w:rPr>
              <w:t>is not currently PBS listed</w:t>
            </w:r>
          </w:p>
        </w:tc>
        <w:tc>
          <w:tcPr>
            <w:tcW w:w="1156" w:type="pct"/>
          </w:tcPr>
          <w:p w14:paraId="780FA1C3" w14:textId="557D2DE5" w:rsidR="009F1DCB" w:rsidRPr="00871023" w:rsidRDefault="009F1DCB" w:rsidP="009F1DCB">
            <w:pPr>
              <w:keepLines/>
              <w:spacing w:after="120"/>
              <w:rPr>
                <w:rFonts w:ascii="Arial" w:hAnsi="Arial" w:cs="Arial"/>
                <w:sz w:val="20"/>
              </w:rPr>
            </w:pPr>
            <w:r w:rsidRPr="00871023">
              <w:rPr>
                <w:rFonts w:ascii="Arial" w:hAnsi="Arial" w:cs="Arial"/>
                <w:sz w:val="20"/>
              </w:rPr>
              <w:t>Resubmission to request a Section 100</w:t>
            </w:r>
            <w:r w:rsidR="00901BD8">
              <w:rPr>
                <w:rFonts w:ascii="Arial" w:hAnsi="Arial" w:cs="Arial"/>
                <w:sz w:val="20"/>
              </w:rPr>
              <w:t xml:space="preserve"> (</w:t>
            </w:r>
            <w:r w:rsidR="00901BD8" w:rsidRPr="00901BD8">
              <w:rPr>
                <w:rFonts w:ascii="Arial" w:hAnsi="Arial" w:cs="Arial"/>
                <w:sz w:val="20"/>
              </w:rPr>
              <w:t>Efficient Funding of Chemotherapy</w:t>
            </w:r>
            <w:r w:rsidR="00901BD8">
              <w:rPr>
                <w:rFonts w:ascii="Arial" w:hAnsi="Arial" w:cs="Arial"/>
                <w:sz w:val="20"/>
              </w:rPr>
              <w:t>)</w:t>
            </w:r>
            <w:r w:rsidRPr="00871023">
              <w:rPr>
                <w:rFonts w:ascii="Arial" w:hAnsi="Arial" w:cs="Arial"/>
                <w:sz w:val="20"/>
              </w:rPr>
              <w:t xml:space="preserve"> Authority required listing for the treatment of patients with RRMM who are refractory to a PI and an IMiD (third-line) or in patients who have received at least three prior treatment regimens including both a PI and an IMiD (fourth-line).</w:t>
            </w:r>
          </w:p>
        </w:tc>
        <w:tc>
          <w:tcPr>
            <w:tcW w:w="1779" w:type="pct"/>
          </w:tcPr>
          <w:p w14:paraId="0ABDA09E" w14:textId="129E1FD1" w:rsidR="009F1DCB" w:rsidRPr="00871023" w:rsidRDefault="009F1DCB" w:rsidP="00901BD8">
            <w:pPr>
              <w:rPr>
                <w:rFonts w:ascii="Arial" w:hAnsi="Arial" w:cs="Arial"/>
                <w:sz w:val="20"/>
              </w:rPr>
            </w:pPr>
            <w:r w:rsidRPr="00871023">
              <w:rPr>
                <w:rFonts w:ascii="Arial" w:hAnsi="Arial" w:cs="Arial"/>
                <w:sz w:val="20"/>
              </w:rPr>
              <w:t>The PBAC did not recommend plitidepsin in combination with dexamethasone for the treatment of patients with RRMM.</w:t>
            </w:r>
            <w:r w:rsidR="00C3248D">
              <w:rPr>
                <w:rFonts w:ascii="Arial" w:hAnsi="Arial" w:cs="Arial"/>
                <w:sz w:val="20"/>
              </w:rPr>
              <w:t xml:space="preserve"> The PBAC considered</w:t>
            </w:r>
            <w:r w:rsidR="008E0ECF">
              <w:rPr>
                <w:rFonts w:ascii="Arial" w:hAnsi="Arial" w:cs="Arial"/>
                <w:sz w:val="20"/>
              </w:rPr>
              <w:t xml:space="preserve"> non-inferiority versus pomalidomide was not demonstrated in the third-line setting. The PBAC considered cost-effectiveness</w:t>
            </w:r>
            <w:r w:rsidR="00A2554D">
              <w:rPr>
                <w:rFonts w:ascii="Arial" w:hAnsi="Arial" w:cs="Arial"/>
                <w:sz w:val="20"/>
              </w:rPr>
              <w:t xml:space="preserve"> of plitidepsin was not demonstrated</w:t>
            </w:r>
            <w:r w:rsidR="008E0ECF">
              <w:rPr>
                <w:rFonts w:ascii="Arial" w:hAnsi="Arial" w:cs="Arial"/>
                <w:sz w:val="20"/>
              </w:rPr>
              <w:t xml:space="preserve"> in the fourth-line setting. </w:t>
            </w:r>
          </w:p>
        </w:tc>
      </w:tr>
      <w:tr w:rsidR="009F1DCB" w:rsidRPr="00871023" w14:paraId="730D7C29" w14:textId="77777777" w:rsidTr="00106998">
        <w:trPr>
          <w:trHeight w:val="433"/>
        </w:trPr>
        <w:tc>
          <w:tcPr>
            <w:tcW w:w="688" w:type="pct"/>
            <w:vMerge/>
          </w:tcPr>
          <w:p w14:paraId="2ABC2DA7" w14:textId="77777777" w:rsidR="009F1DCB" w:rsidRPr="00871023" w:rsidRDefault="009F1DCB" w:rsidP="009F1DCB">
            <w:pPr>
              <w:rPr>
                <w:rFonts w:ascii="Arial" w:hAnsi="Arial" w:cs="Arial"/>
                <w:sz w:val="20"/>
              </w:rPr>
            </w:pPr>
          </w:p>
        </w:tc>
        <w:tc>
          <w:tcPr>
            <w:tcW w:w="688" w:type="pct"/>
            <w:vMerge/>
          </w:tcPr>
          <w:p w14:paraId="103031B8" w14:textId="77777777" w:rsidR="009F1DCB" w:rsidRPr="00871023" w:rsidRDefault="009F1DCB" w:rsidP="009F1DCB">
            <w:pPr>
              <w:rPr>
                <w:rFonts w:ascii="Arial" w:hAnsi="Arial" w:cs="Arial"/>
                <w:sz w:val="20"/>
              </w:rPr>
            </w:pPr>
          </w:p>
        </w:tc>
        <w:tc>
          <w:tcPr>
            <w:tcW w:w="688" w:type="pct"/>
            <w:vMerge/>
          </w:tcPr>
          <w:p w14:paraId="23F00F5A" w14:textId="77777777" w:rsidR="009F1DCB" w:rsidRPr="00871023" w:rsidRDefault="009F1DCB" w:rsidP="009F1DCB">
            <w:pPr>
              <w:rPr>
                <w:rFonts w:ascii="Arial" w:hAnsi="Arial" w:cs="Arial"/>
                <w:sz w:val="20"/>
              </w:rPr>
            </w:pPr>
          </w:p>
        </w:tc>
        <w:tc>
          <w:tcPr>
            <w:tcW w:w="1156" w:type="pct"/>
          </w:tcPr>
          <w:p w14:paraId="7B31560C" w14:textId="47907E25" w:rsidR="009F1DCB" w:rsidRPr="00871023" w:rsidRDefault="009F1DCB" w:rsidP="009F1DCB">
            <w:pPr>
              <w:pStyle w:val="ListBullet"/>
              <w:spacing w:after="120"/>
            </w:pPr>
            <w:r w:rsidRPr="00871023">
              <w:t>Comparator: Dexamethasone monotherapy (fourth-line) and pomalidomide with dexamethasone (third-line)</w:t>
            </w:r>
          </w:p>
        </w:tc>
        <w:tc>
          <w:tcPr>
            <w:tcW w:w="1779" w:type="pct"/>
          </w:tcPr>
          <w:p w14:paraId="2EBF1175" w14:textId="4BDFE7ED" w:rsidR="009F1DCB" w:rsidRPr="00871023" w:rsidRDefault="009F1DCB" w:rsidP="002943DE">
            <w:pPr>
              <w:spacing w:after="120"/>
              <w:rPr>
                <w:rFonts w:ascii="Arial" w:hAnsi="Arial" w:cs="Arial"/>
                <w:sz w:val="20"/>
                <w:highlight w:val="yellow"/>
              </w:rPr>
            </w:pPr>
            <w:r w:rsidRPr="00871023">
              <w:rPr>
                <w:rFonts w:ascii="Arial" w:hAnsi="Arial" w:cs="Arial"/>
                <w:sz w:val="20"/>
              </w:rPr>
              <w:t>The PBAC accepted that dexamethasone monotherapy (fourth-line) and pomalidomide with dexamethasone (third</w:t>
            </w:r>
            <w:r w:rsidR="002943DE">
              <w:rPr>
                <w:rFonts w:ascii="Arial" w:hAnsi="Arial" w:cs="Arial"/>
                <w:sz w:val="20"/>
              </w:rPr>
              <w:t>-</w:t>
            </w:r>
            <w:r w:rsidRPr="00871023">
              <w:rPr>
                <w:rFonts w:ascii="Arial" w:hAnsi="Arial" w:cs="Arial"/>
                <w:sz w:val="20"/>
              </w:rPr>
              <w:t>line) were appropriate comparators, consistent with the July 2019 PBAC meeting.</w:t>
            </w:r>
          </w:p>
        </w:tc>
      </w:tr>
      <w:tr w:rsidR="009F1DCB" w:rsidRPr="00871023" w14:paraId="7DD70F08" w14:textId="77777777" w:rsidTr="00106998">
        <w:trPr>
          <w:trHeight w:val="433"/>
        </w:trPr>
        <w:tc>
          <w:tcPr>
            <w:tcW w:w="688" w:type="pct"/>
            <w:vMerge/>
          </w:tcPr>
          <w:p w14:paraId="676115BF" w14:textId="77777777" w:rsidR="009F1DCB" w:rsidRPr="00871023" w:rsidRDefault="009F1DCB" w:rsidP="009F1DCB">
            <w:pPr>
              <w:rPr>
                <w:rFonts w:ascii="Arial" w:hAnsi="Arial" w:cs="Arial"/>
                <w:sz w:val="20"/>
              </w:rPr>
            </w:pPr>
          </w:p>
        </w:tc>
        <w:tc>
          <w:tcPr>
            <w:tcW w:w="688" w:type="pct"/>
            <w:vMerge/>
          </w:tcPr>
          <w:p w14:paraId="128C2D1C" w14:textId="77777777" w:rsidR="009F1DCB" w:rsidRPr="00871023" w:rsidRDefault="009F1DCB" w:rsidP="009F1DCB">
            <w:pPr>
              <w:rPr>
                <w:rFonts w:ascii="Arial" w:hAnsi="Arial" w:cs="Arial"/>
                <w:sz w:val="20"/>
              </w:rPr>
            </w:pPr>
          </w:p>
        </w:tc>
        <w:tc>
          <w:tcPr>
            <w:tcW w:w="688" w:type="pct"/>
            <w:vMerge/>
          </w:tcPr>
          <w:p w14:paraId="26AB5427" w14:textId="77777777" w:rsidR="009F1DCB" w:rsidRPr="00871023" w:rsidRDefault="009F1DCB" w:rsidP="009F1DCB">
            <w:pPr>
              <w:rPr>
                <w:rFonts w:ascii="Arial" w:hAnsi="Arial" w:cs="Arial"/>
                <w:sz w:val="20"/>
              </w:rPr>
            </w:pPr>
          </w:p>
        </w:tc>
        <w:tc>
          <w:tcPr>
            <w:tcW w:w="1156" w:type="pct"/>
          </w:tcPr>
          <w:p w14:paraId="7696C0D7" w14:textId="77777777" w:rsidR="009F1DCB" w:rsidRPr="00871023" w:rsidRDefault="009F1DCB" w:rsidP="009F1DCB">
            <w:pPr>
              <w:pStyle w:val="ListBullet"/>
            </w:pPr>
            <w:r w:rsidRPr="00871023">
              <w:t xml:space="preserve">Clinical claim: Superior effectiveness and inferior safety compared to </w:t>
            </w:r>
            <w:r w:rsidRPr="00871023">
              <w:lastRenderedPageBreak/>
              <w:t>dexamethasone monotherapy (fourth-line).</w:t>
            </w:r>
          </w:p>
          <w:p w14:paraId="15C832DD" w14:textId="1070F4A4" w:rsidR="009F1DCB" w:rsidRPr="00871023" w:rsidRDefault="009F1DCB" w:rsidP="009F1DCB">
            <w:pPr>
              <w:pStyle w:val="ListBullet"/>
              <w:spacing w:after="120"/>
            </w:pPr>
            <w:r w:rsidRPr="00871023">
              <w:t>Non-inferior effectiveness and safety compared to pomalidomide with dexamethasone (third-line).</w:t>
            </w:r>
          </w:p>
        </w:tc>
        <w:tc>
          <w:tcPr>
            <w:tcW w:w="1779" w:type="pct"/>
          </w:tcPr>
          <w:p w14:paraId="5A828EBA" w14:textId="6BB0D96F" w:rsidR="009F1DCB" w:rsidRPr="00871023" w:rsidRDefault="009F1DCB" w:rsidP="009F1DCB">
            <w:pPr>
              <w:rPr>
                <w:rFonts w:ascii="Arial" w:hAnsi="Arial" w:cs="Arial"/>
                <w:sz w:val="20"/>
                <w:highlight w:val="lightGray"/>
              </w:rPr>
            </w:pPr>
            <w:r w:rsidRPr="00871023">
              <w:rPr>
                <w:rFonts w:ascii="Arial" w:hAnsi="Arial" w:cs="Arial"/>
                <w:sz w:val="20"/>
              </w:rPr>
              <w:lastRenderedPageBreak/>
              <w:t xml:space="preserve">The PBAC considered the treatment comparison against dexamethasone monotherapy demonstrated only a marginal benefit in terms of </w:t>
            </w:r>
            <w:r w:rsidR="002943DE">
              <w:rPr>
                <w:rFonts w:ascii="Arial" w:hAnsi="Arial" w:cs="Arial"/>
                <w:sz w:val="20"/>
              </w:rPr>
              <w:t>progression free survival (PFS)</w:t>
            </w:r>
            <w:r w:rsidR="002943DE" w:rsidRPr="00871023">
              <w:rPr>
                <w:rFonts w:ascii="Arial" w:hAnsi="Arial" w:cs="Arial"/>
                <w:sz w:val="20"/>
              </w:rPr>
              <w:t xml:space="preserve"> </w:t>
            </w:r>
            <w:r w:rsidRPr="00871023">
              <w:rPr>
                <w:rFonts w:ascii="Arial" w:hAnsi="Arial" w:cs="Arial"/>
                <w:sz w:val="20"/>
              </w:rPr>
              <w:lastRenderedPageBreak/>
              <w:t xml:space="preserve">without progressive disease (PD) confirmation, and the clinical benefit attributed to PFS with PD confirmation was not reliable. The PBAC considered the </w:t>
            </w:r>
            <w:r w:rsidR="002943DE">
              <w:rPr>
                <w:rFonts w:ascii="Arial" w:hAnsi="Arial" w:cs="Arial"/>
                <w:sz w:val="20"/>
              </w:rPr>
              <w:t>overall survival</w:t>
            </w:r>
            <w:r w:rsidR="002943DE" w:rsidRPr="00871023">
              <w:rPr>
                <w:rFonts w:ascii="Arial" w:hAnsi="Arial" w:cs="Arial"/>
                <w:sz w:val="20"/>
              </w:rPr>
              <w:t xml:space="preserve"> </w:t>
            </w:r>
            <w:r w:rsidRPr="00871023">
              <w:rPr>
                <w:rFonts w:ascii="Arial" w:hAnsi="Arial" w:cs="Arial"/>
                <w:sz w:val="20"/>
              </w:rPr>
              <w:t>gain was uncertain given it was statistically significant only when adjusted for cross-over. The PBAC agreed with the claim of inferior safety.</w:t>
            </w:r>
          </w:p>
          <w:p w14:paraId="5DAA4B36" w14:textId="77777777" w:rsidR="009F1DCB" w:rsidRPr="00871023" w:rsidRDefault="009F1DCB" w:rsidP="009F1DCB">
            <w:pPr>
              <w:rPr>
                <w:rFonts w:ascii="Arial" w:hAnsi="Arial" w:cs="Arial"/>
                <w:sz w:val="20"/>
                <w:highlight w:val="lightGray"/>
              </w:rPr>
            </w:pPr>
          </w:p>
          <w:p w14:paraId="3C5401D5" w14:textId="52C068CE" w:rsidR="009F1DCB" w:rsidRPr="00871023" w:rsidRDefault="009F1DCB" w:rsidP="002943DE">
            <w:pPr>
              <w:spacing w:after="120"/>
              <w:rPr>
                <w:rFonts w:ascii="Arial" w:hAnsi="Arial" w:cs="Arial"/>
                <w:sz w:val="20"/>
                <w:highlight w:val="yellow"/>
              </w:rPr>
            </w:pPr>
            <w:r w:rsidRPr="00871023">
              <w:rPr>
                <w:rFonts w:ascii="Arial" w:hAnsi="Arial" w:cs="Arial"/>
                <w:sz w:val="20"/>
              </w:rPr>
              <w:t xml:space="preserve">The PBAC considered that, for the indirect comparison against pomalidomide with dexamethasone, the claim of non-inferior efficacy was uncertain, as a non-inferiority margin was not proposed, the point estimates of the hazard ratios from the indirect comparison favoured pomalidomide, and the 95% confidence intervals were wide. The PBAC </w:t>
            </w:r>
            <w:r w:rsidR="002943DE">
              <w:rPr>
                <w:rFonts w:ascii="Arial" w:hAnsi="Arial" w:cs="Arial"/>
                <w:sz w:val="20"/>
              </w:rPr>
              <w:t>considered</w:t>
            </w:r>
            <w:r w:rsidR="002943DE" w:rsidRPr="00871023">
              <w:rPr>
                <w:rFonts w:ascii="Arial" w:hAnsi="Arial" w:cs="Arial"/>
                <w:sz w:val="20"/>
              </w:rPr>
              <w:t xml:space="preserve"> </w:t>
            </w:r>
            <w:r w:rsidRPr="00871023">
              <w:rPr>
                <w:rFonts w:ascii="Arial" w:hAnsi="Arial" w:cs="Arial"/>
                <w:sz w:val="20"/>
              </w:rPr>
              <w:t>the claim of non-inferior safety</w:t>
            </w:r>
            <w:r w:rsidR="002943DE">
              <w:rPr>
                <w:rFonts w:ascii="Arial" w:hAnsi="Arial" w:cs="Arial"/>
                <w:sz w:val="20"/>
              </w:rPr>
              <w:t xml:space="preserve"> was not adequately supported</w:t>
            </w:r>
            <w:r w:rsidRPr="00871023">
              <w:rPr>
                <w:rFonts w:ascii="Arial" w:hAnsi="Arial" w:cs="Arial"/>
                <w:sz w:val="20"/>
              </w:rPr>
              <w:t>.</w:t>
            </w:r>
          </w:p>
        </w:tc>
      </w:tr>
      <w:tr w:rsidR="009F1DCB" w:rsidRPr="00871023" w14:paraId="2544DD93" w14:textId="77777777" w:rsidTr="00106998">
        <w:trPr>
          <w:trHeight w:val="433"/>
        </w:trPr>
        <w:tc>
          <w:tcPr>
            <w:tcW w:w="688" w:type="pct"/>
            <w:vMerge/>
          </w:tcPr>
          <w:p w14:paraId="3E68B120" w14:textId="77777777" w:rsidR="009F1DCB" w:rsidRPr="00871023" w:rsidRDefault="009F1DCB" w:rsidP="009F1DCB">
            <w:pPr>
              <w:rPr>
                <w:rFonts w:ascii="Arial" w:hAnsi="Arial" w:cs="Arial"/>
                <w:sz w:val="20"/>
              </w:rPr>
            </w:pPr>
          </w:p>
        </w:tc>
        <w:tc>
          <w:tcPr>
            <w:tcW w:w="688" w:type="pct"/>
            <w:vMerge/>
          </w:tcPr>
          <w:p w14:paraId="515FDEFB" w14:textId="77777777" w:rsidR="009F1DCB" w:rsidRPr="00871023" w:rsidRDefault="009F1DCB" w:rsidP="009F1DCB">
            <w:pPr>
              <w:rPr>
                <w:rFonts w:ascii="Arial" w:hAnsi="Arial" w:cs="Arial"/>
                <w:sz w:val="20"/>
              </w:rPr>
            </w:pPr>
          </w:p>
        </w:tc>
        <w:tc>
          <w:tcPr>
            <w:tcW w:w="688" w:type="pct"/>
            <w:vMerge/>
          </w:tcPr>
          <w:p w14:paraId="65FA3286" w14:textId="77777777" w:rsidR="009F1DCB" w:rsidRPr="00871023" w:rsidRDefault="009F1DCB" w:rsidP="009F1DCB">
            <w:pPr>
              <w:rPr>
                <w:rFonts w:ascii="Arial" w:hAnsi="Arial" w:cs="Arial"/>
                <w:sz w:val="20"/>
              </w:rPr>
            </w:pPr>
          </w:p>
        </w:tc>
        <w:tc>
          <w:tcPr>
            <w:tcW w:w="1156" w:type="pct"/>
          </w:tcPr>
          <w:p w14:paraId="1ACCCCD9" w14:textId="77777777" w:rsidR="009F1DCB" w:rsidRPr="00871023" w:rsidRDefault="009F1DCB" w:rsidP="009F1DCB">
            <w:pPr>
              <w:pStyle w:val="ListBullet"/>
            </w:pPr>
            <w:r w:rsidRPr="00871023">
              <w:t>Economic claim: Cost-effectiveness versus dexamethasone monotherapy (fourth-line).</w:t>
            </w:r>
          </w:p>
          <w:p w14:paraId="4A713BBC" w14:textId="3DDB71E8" w:rsidR="009F1DCB" w:rsidRPr="00871023" w:rsidRDefault="009F1DCB" w:rsidP="009F1DCB">
            <w:pPr>
              <w:pStyle w:val="ListBullet"/>
              <w:spacing w:after="120"/>
            </w:pPr>
            <w:r w:rsidRPr="00871023">
              <w:t>Cost-minimisation versus pomalidomide with dexamethasone (third-line).</w:t>
            </w:r>
          </w:p>
          <w:p w14:paraId="750D7B34" w14:textId="77777777" w:rsidR="009F1DCB" w:rsidRPr="00871023" w:rsidRDefault="009F1DCB" w:rsidP="009F1DCB">
            <w:pPr>
              <w:pStyle w:val="ListBullet"/>
              <w:spacing w:after="120"/>
            </w:pPr>
          </w:p>
        </w:tc>
        <w:tc>
          <w:tcPr>
            <w:tcW w:w="1779" w:type="pct"/>
          </w:tcPr>
          <w:p w14:paraId="7C76435B" w14:textId="707A87AC" w:rsidR="009F1DCB" w:rsidRPr="00871023" w:rsidRDefault="009F1DCB" w:rsidP="009F1DCB">
            <w:pPr>
              <w:rPr>
                <w:rFonts w:ascii="Arial" w:hAnsi="Arial" w:cs="Arial"/>
                <w:sz w:val="20"/>
                <w:highlight w:val="lightGray"/>
              </w:rPr>
            </w:pPr>
            <w:r w:rsidRPr="00871023">
              <w:rPr>
                <w:rFonts w:ascii="Arial" w:hAnsi="Arial" w:cs="Arial"/>
                <w:sz w:val="20"/>
              </w:rPr>
              <w:t>The PBAC considered there were significant issues with the base case of the economic model for the cost-utility analy</w:t>
            </w:r>
            <w:r w:rsidR="002943DE">
              <w:rPr>
                <w:rFonts w:ascii="Arial" w:hAnsi="Arial" w:cs="Arial"/>
                <w:sz w:val="20"/>
              </w:rPr>
              <w:t>s</w:t>
            </w:r>
            <w:r w:rsidRPr="00871023">
              <w:rPr>
                <w:rFonts w:ascii="Arial" w:hAnsi="Arial" w:cs="Arial"/>
                <w:sz w:val="20"/>
              </w:rPr>
              <w:t xml:space="preserve">is against dexamethasone monotherapy, leading to an underestimation of the </w:t>
            </w:r>
            <w:r w:rsidR="002943DE">
              <w:rPr>
                <w:rFonts w:ascii="Arial" w:hAnsi="Arial" w:cs="Arial"/>
                <w:sz w:val="20"/>
              </w:rPr>
              <w:t>incremental cost-effectiveness ratio</w:t>
            </w:r>
            <w:r w:rsidR="002943DE" w:rsidRPr="00871023">
              <w:rPr>
                <w:rFonts w:ascii="Arial" w:hAnsi="Arial" w:cs="Arial"/>
                <w:sz w:val="20"/>
              </w:rPr>
              <w:t xml:space="preserve"> </w:t>
            </w:r>
            <w:r w:rsidRPr="00871023">
              <w:rPr>
                <w:rFonts w:ascii="Arial" w:hAnsi="Arial" w:cs="Arial"/>
                <w:sz w:val="20"/>
              </w:rPr>
              <w:t>in relation to: post-progression treatment costs, the PFS outcome used, and the source of utilities.</w:t>
            </w:r>
          </w:p>
          <w:p w14:paraId="6003019A" w14:textId="77777777" w:rsidR="009F1DCB" w:rsidRPr="00871023" w:rsidRDefault="009F1DCB" w:rsidP="009F1DCB">
            <w:pPr>
              <w:rPr>
                <w:rFonts w:ascii="Arial" w:hAnsi="Arial" w:cs="Arial"/>
                <w:sz w:val="20"/>
                <w:highlight w:val="lightGray"/>
              </w:rPr>
            </w:pPr>
          </w:p>
          <w:p w14:paraId="213C66EA" w14:textId="27B3BA3C" w:rsidR="009F1DCB" w:rsidRPr="00871023" w:rsidRDefault="009F1DCB" w:rsidP="002943DE">
            <w:pPr>
              <w:pStyle w:val="ListParagraph"/>
              <w:spacing w:after="120"/>
              <w:ind w:left="0"/>
              <w:rPr>
                <w:rFonts w:ascii="Arial" w:hAnsi="Arial" w:cs="Arial"/>
                <w:sz w:val="20"/>
                <w:szCs w:val="20"/>
                <w:highlight w:val="yellow"/>
              </w:rPr>
            </w:pPr>
            <w:r w:rsidRPr="00871023">
              <w:rPr>
                <w:rFonts w:ascii="Arial" w:hAnsi="Arial" w:cs="Arial"/>
                <w:sz w:val="20"/>
                <w:szCs w:val="20"/>
              </w:rPr>
              <w:t xml:space="preserve">The PBAC considered the </w:t>
            </w:r>
            <w:r w:rsidR="002943DE">
              <w:rPr>
                <w:rFonts w:ascii="Arial" w:hAnsi="Arial" w:cs="Arial"/>
                <w:sz w:val="20"/>
                <w:szCs w:val="20"/>
              </w:rPr>
              <w:t xml:space="preserve">clinical basis for the </w:t>
            </w:r>
            <w:r w:rsidRPr="00871023">
              <w:rPr>
                <w:rFonts w:ascii="Arial" w:hAnsi="Arial" w:cs="Arial"/>
                <w:sz w:val="20"/>
                <w:szCs w:val="20"/>
              </w:rPr>
              <w:t>cost-minimisation analysis against pomalidomide with dexamethasone was not adequately supported.</w:t>
            </w:r>
          </w:p>
        </w:tc>
      </w:tr>
      <w:tr w:rsidR="009F1DCB" w:rsidRPr="00871023" w14:paraId="0CFB6D38" w14:textId="77777777" w:rsidTr="00106998">
        <w:trPr>
          <w:trHeight w:val="474"/>
        </w:trPr>
        <w:tc>
          <w:tcPr>
            <w:tcW w:w="688" w:type="pct"/>
            <w:vMerge/>
          </w:tcPr>
          <w:p w14:paraId="5DF51D94" w14:textId="77777777" w:rsidR="009F1DCB" w:rsidRPr="00871023" w:rsidRDefault="009F1DCB" w:rsidP="009F1DCB">
            <w:pPr>
              <w:rPr>
                <w:rFonts w:ascii="Arial" w:hAnsi="Arial" w:cs="Arial"/>
                <w:sz w:val="20"/>
              </w:rPr>
            </w:pPr>
          </w:p>
        </w:tc>
        <w:tc>
          <w:tcPr>
            <w:tcW w:w="688" w:type="pct"/>
            <w:vMerge/>
          </w:tcPr>
          <w:p w14:paraId="1F7C940E" w14:textId="77777777" w:rsidR="009F1DCB" w:rsidRPr="00871023" w:rsidRDefault="009F1DCB" w:rsidP="009F1DCB">
            <w:pPr>
              <w:rPr>
                <w:rFonts w:ascii="Arial" w:hAnsi="Arial" w:cs="Arial"/>
                <w:sz w:val="20"/>
              </w:rPr>
            </w:pPr>
          </w:p>
        </w:tc>
        <w:tc>
          <w:tcPr>
            <w:tcW w:w="688" w:type="pct"/>
            <w:vMerge/>
          </w:tcPr>
          <w:p w14:paraId="09489609" w14:textId="77777777" w:rsidR="009F1DCB" w:rsidRPr="00871023" w:rsidRDefault="009F1DCB" w:rsidP="009F1DCB">
            <w:pPr>
              <w:rPr>
                <w:rFonts w:ascii="Arial" w:hAnsi="Arial" w:cs="Arial"/>
                <w:sz w:val="20"/>
              </w:rPr>
            </w:pPr>
          </w:p>
        </w:tc>
        <w:tc>
          <w:tcPr>
            <w:tcW w:w="1156" w:type="pct"/>
          </w:tcPr>
          <w:p w14:paraId="40B08C8B" w14:textId="77777777" w:rsidR="009F1DCB" w:rsidRPr="00871023" w:rsidRDefault="009F1DCB" w:rsidP="009F1DCB">
            <w:pPr>
              <w:pStyle w:val="ListBullet"/>
              <w:jc w:val="right"/>
            </w:pPr>
            <w:r w:rsidRPr="00871023">
              <w:t xml:space="preserve">Sponsor’s comment: </w:t>
            </w:r>
          </w:p>
        </w:tc>
        <w:tc>
          <w:tcPr>
            <w:tcW w:w="1779" w:type="pct"/>
          </w:tcPr>
          <w:p w14:paraId="500C8FF4" w14:textId="61596279" w:rsidR="009F1DCB" w:rsidRPr="00871023" w:rsidRDefault="00D45E00" w:rsidP="009F1DCB">
            <w:pPr>
              <w:rPr>
                <w:rFonts w:ascii="Arial" w:hAnsi="Arial" w:cs="Arial"/>
                <w:sz w:val="20"/>
              </w:rPr>
            </w:pPr>
            <w:r w:rsidRPr="00D45E00">
              <w:rPr>
                <w:rFonts w:ascii="Arial" w:hAnsi="Arial" w:cs="Arial"/>
                <w:iCs/>
                <w:sz w:val="20"/>
              </w:rPr>
              <w:t>The sponsor had no comment.</w:t>
            </w:r>
          </w:p>
        </w:tc>
      </w:tr>
    </w:tbl>
    <w:p w14:paraId="121C0FA1" w14:textId="77777777" w:rsidR="0078027D" w:rsidRPr="00871023" w:rsidRDefault="0078027D" w:rsidP="002A7FDE">
      <w:pPr>
        <w:pStyle w:val="Title"/>
        <w:jc w:val="left"/>
        <w:rPr>
          <w:rFonts w:cs="Arial"/>
        </w:rPr>
      </w:pPr>
    </w:p>
    <w:sectPr w:rsidR="0078027D" w:rsidRPr="00871023" w:rsidSect="00DA049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47D5" w14:textId="77777777" w:rsidR="003419C9" w:rsidRDefault="003419C9">
      <w:r>
        <w:separator/>
      </w:r>
    </w:p>
  </w:endnote>
  <w:endnote w:type="continuationSeparator" w:id="0">
    <w:p w14:paraId="66B033FF" w14:textId="77777777"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9872" w14:textId="77777777" w:rsidR="008555E7" w:rsidRDefault="00855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F31B" w14:textId="77777777" w:rsidR="000805C6" w:rsidRDefault="000805C6" w:rsidP="000805C6">
    <w:pPr>
      <w:pStyle w:val="Footer"/>
      <w:jc w:val="right"/>
    </w:pPr>
  </w:p>
  <w:p w14:paraId="6DF70921" w14:textId="07C20575"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106998">
      <w:rPr>
        <w:rFonts w:ascii="Arial" w:hAnsi="Arial" w:cs="Arial"/>
        <w:noProof/>
        <w:sz w:val="22"/>
      </w:rPr>
      <w:t>8</w:t>
    </w:r>
    <w:r w:rsidRPr="000805C6">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5109" w14:textId="77777777" w:rsidR="000805C6" w:rsidRDefault="000805C6">
    <w:pPr>
      <w:pStyle w:val="Footer"/>
      <w:jc w:val="right"/>
    </w:pPr>
  </w:p>
  <w:p w14:paraId="530F7B3E" w14:textId="77777777"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A049A">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B49" w14:textId="77777777" w:rsidR="003419C9" w:rsidRDefault="003419C9">
      <w:r>
        <w:separator/>
      </w:r>
    </w:p>
  </w:footnote>
  <w:footnote w:type="continuationSeparator" w:id="0">
    <w:p w14:paraId="282BAAE3" w14:textId="77777777" w:rsidR="003419C9" w:rsidRDefault="0034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498E" w14:textId="77777777" w:rsidR="008555E7" w:rsidRDefault="00855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0044" w14:textId="627AFBDD" w:rsidR="000805C6" w:rsidRDefault="008555E7" w:rsidP="000805C6">
    <w:pPr>
      <w:pStyle w:val="Header"/>
      <w:jc w:val="center"/>
      <w:rPr>
        <w:rFonts w:ascii="Arial" w:hAnsi="Arial" w:cs="Arial"/>
        <w:b/>
        <w:sz w:val="20"/>
      </w:rPr>
    </w:pPr>
    <w:r>
      <w:rPr>
        <w:rFonts w:ascii="Arial" w:hAnsi="Arial" w:cs="Arial"/>
        <w:b/>
        <w:sz w:val="20"/>
      </w:rPr>
      <w:t>MARCH 2020</w:t>
    </w:r>
    <w:r w:rsidR="0090223A">
      <w:rPr>
        <w:rFonts w:ascii="Arial" w:hAnsi="Arial" w:cs="Arial"/>
        <w:b/>
        <w:sz w:val="20"/>
      </w:rPr>
      <w:t xml:space="preserve">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14:paraId="5D220093" w14:textId="77777777"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190A" w14:textId="77777777" w:rsidR="00613975" w:rsidRDefault="00A24F2E" w:rsidP="00613975">
    <w:pPr>
      <w:pStyle w:val="Header"/>
      <w:jc w:val="center"/>
      <w:rPr>
        <w:rFonts w:ascii="Arial" w:hAnsi="Arial" w:cs="Arial"/>
        <w:b/>
        <w:sz w:val="20"/>
      </w:rPr>
    </w:pPr>
    <w:r w:rsidRPr="00A24F2E">
      <w:rPr>
        <w:rFonts w:ascii="Arial" w:hAnsi="Arial" w:cs="Arial"/>
        <w:b/>
        <w:sz w:val="20"/>
      </w:rPr>
      <w:t xml:space="preserve">MONTH YEAR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14:paraId="10684ABC" w14:textId="77777777"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0525D"/>
    <w:multiLevelType w:val="hybridMultilevel"/>
    <w:tmpl w:val="2038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369DA"/>
    <w:multiLevelType w:val="hybridMultilevel"/>
    <w:tmpl w:val="87A2DA9E"/>
    <w:lvl w:ilvl="0" w:tplc="0C090005">
      <w:start w:val="1"/>
      <w:numFmt w:val="bullet"/>
      <w:lvlText w:val=""/>
      <w:lvlJc w:val="left"/>
      <w:pPr>
        <w:ind w:left="577" w:hanging="360"/>
      </w:pPr>
      <w:rPr>
        <w:rFonts w:ascii="Wingdings" w:hAnsi="Wingdings" w:hint="default"/>
      </w:rPr>
    </w:lvl>
    <w:lvl w:ilvl="1" w:tplc="0C090003">
      <w:start w:val="1"/>
      <w:numFmt w:val="bullet"/>
      <w:lvlText w:val="o"/>
      <w:lvlJc w:val="left"/>
      <w:pPr>
        <w:ind w:left="1297" w:hanging="360"/>
      </w:pPr>
      <w:rPr>
        <w:rFonts w:ascii="Courier New" w:hAnsi="Courier New" w:cs="Courier New" w:hint="default"/>
      </w:rPr>
    </w:lvl>
    <w:lvl w:ilvl="2" w:tplc="0C090005">
      <w:start w:val="1"/>
      <w:numFmt w:val="bullet"/>
      <w:lvlText w:val=""/>
      <w:lvlJc w:val="left"/>
      <w:pPr>
        <w:ind w:left="2017" w:hanging="360"/>
      </w:pPr>
      <w:rPr>
        <w:rFonts w:ascii="Wingdings" w:hAnsi="Wingdings" w:hint="default"/>
      </w:rPr>
    </w:lvl>
    <w:lvl w:ilvl="3" w:tplc="0C090001">
      <w:start w:val="1"/>
      <w:numFmt w:val="bullet"/>
      <w:lvlText w:val=""/>
      <w:lvlJc w:val="left"/>
      <w:pPr>
        <w:ind w:left="2737" w:hanging="360"/>
      </w:pPr>
      <w:rPr>
        <w:rFonts w:ascii="Symbol" w:hAnsi="Symbol" w:hint="default"/>
      </w:rPr>
    </w:lvl>
    <w:lvl w:ilvl="4" w:tplc="0C090003">
      <w:start w:val="1"/>
      <w:numFmt w:val="bullet"/>
      <w:lvlText w:val="o"/>
      <w:lvlJc w:val="left"/>
      <w:pPr>
        <w:ind w:left="3457" w:hanging="360"/>
      </w:pPr>
      <w:rPr>
        <w:rFonts w:ascii="Courier New" w:hAnsi="Courier New" w:cs="Courier New" w:hint="default"/>
      </w:rPr>
    </w:lvl>
    <w:lvl w:ilvl="5" w:tplc="0C090005">
      <w:start w:val="1"/>
      <w:numFmt w:val="bullet"/>
      <w:lvlText w:val=""/>
      <w:lvlJc w:val="left"/>
      <w:pPr>
        <w:ind w:left="4177" w:hanging="360"/>
      </w:pPr>
      <w:rPr>
        <w:rFonts w:ascii="Wingdings" w:hAnsi="Wingdings" w:hint="default"/>
      </w:rPr>
    </w:lvl>
    <w:lvl w:ilvl="6" w:tplc="0C090001">
      <w:start w:val="1"/>
      <w:numFmt w:val="bullet"/>
      <w:lvlText w:val=""/>
      <w:lvlJc w:val="left"/>
      <w:pPr>
        <w:ind w:left="4897" w:hanging="360"/>
      </w:pPr>
      <w:rPr>
        <w:rFonts w:ascii="Symbol" w:hAnsi="Symbol" w:hint="default"/>
      </w:rPr>
    </w:lvl>
    <w:lvl w:ilvl="7" w:tplc="0C090003">
      <w:start w:val="1"/>
      <w:numFmt w:val="bullet"/>
      <w:lvlText w:val="o"/>
      <w:lvlJc w:val="left"/>
      <w:pPr>
        <w:ind w:left="5617" w:hanging="360"/>
      </w:pPr>
      <w:rPr>
        <w:rFonts w:ascii="Courier New" w:hAnsi="Courier New" w:cs="Courier New" w:hint="default"/>
      </w:rPr>
    </w:lvl>
    <w:lvl w:ilvl="8" w:tplc="0C090005">
      <w:start w:val="1"/>
      <w:numFmt w:val="bullet"/>
      <w:lvlText w:val=""/>
      <w:lvlJc w:val="left"/>
      <w:pPr>
        <w:ind w:left="6337" w:hanging="360"/>
      </w:pPr>
      <w:rPr>
        <w:rFonts w:ascii="Wingdings" w:hAnsi="Wingdings" w:hint="default"/>
      </w:rPr>
    </w:lvl>
  </w:abstractNum>
  <w:abstractNum w:abstractNumId="10" w15:restartNumberingAfterBreak="0">
    <w:nsid w:val="458D67A6"/>
    <w:multiLevelType w:val="hybridMultilevel"/>
    <w:tmpl w:val="DEA2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241825"/>
    <w:multiLevelType w:val="hybridMultilevel"/>
    <w:tmpl w:val="FF5065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B76158"/>
    <w:multiLevelType w:val="hybridMultilevel"/>
    <w:tmpl w:val="5D6A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666A383F"/>
    <w:multiLevelType w:val="hybridMultilevel"/>
    <w:tmpl w:val="EEB63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1"/>
  </w:num>
  <w:num w:numId="4">
    <w:abstractNumId w:val="8"/>
  </w:num>
  <w:num w:numId="5">
    <w:abstractNumId w:val="3"/>
  </w:num>
  <w:num w:numId="6">
    <w:abstractNumId w:val="16"/>
  </w:num>
  <w:num w:numId="7">
    <w:abstractNumId w:val="6"/>
  </w:num>
  <w:num w:numId="8">
    <w:abstractNumId w:val="4"/>
  </w:num>
  <w:num w:numId="9">
    <w:abstractNumId w:val="1"/>
  </w:num>
  <w:num w:numId="10">
    <w:abstractNumId w:val="7"/>
  </w:num>
  <w:num w:numId="11">
    <w:abstractNumId w:val="5"/>
  </w:num>
  <w:num w:numId="12">
    <w:abstractNumId w:val="15"/>
  </w:num>
  <w:num w:numId="13">
    <w:abstractNumId w:val="9"/>
  </w:num>
  <w:num w:numId="14">
    <w:abstractNumId w:val="10"/>
  </w:num>
  <w:num w:numId="15">
    <w:abstractNumId w:val="13"/>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36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7D"/>
    <w:rsid w:val="0000028A"/>
    <w:rsid w:val="0001162E"/>
    <w:rsid w:val="0001397B"/>
    <w:rsid w:val="00014389"/>
    <w:rsid w:val="00016ABD"/>
    <w:rsid w:val="00024634"/>
    <w:rsid w:val="00024F1C"/>
    <w:rsid w:val="00030555"/>
    <w:rsid w:val="00031E49"/>
    <w:rsid w:val="00046D30"/>
    <w:rsid w:val="000632B7"/>
    <w:rsid w:val="00063F01"/>
    <w:rsid w:val="000703F3"/>
    <w:rsid w:val="000708D5"/>
    <w:rsid w:val="000744C2"/>
    <w:rsid w:val="000805C6"/>
    <w:rsid w:val="0009305C"/>
    <w:rsid w:val="000A5553"/>
    <w:rsid w:val="000B2AF9"/>
    <w:rsid w:val="000B3369"/>
    <w:rsid w:val="000B4313"/>
    <w:rsid w:val="000B4F11"/>
    <w:rsid w:val="000B6738"/>
    <w:rsid w:val="000D1304"/>
    <w:rsid w:val="000D3208"/>
    <w:rsid w:val="000D3717"/>
    <w:rsid w:val="000E406F"/>
    <w:rsid w:val="000E52C4"/>
    <w:rsid w:val="000E7183"/>
    <w:rsid w:val="000F05D5"/>
    <w:rsid w:val="000F6967"/>
    <w:rsid w:val="0010394D"/>
    <w:rsid w:val="001047FA"/>
    <w:rsid w:val="00106998"/>
    <w:rsid w:val="0011320E"/>
    <w:rsid w:val="00120488"/>
    <w:rsid w:val="0013119F"/>
    <w:rsid w:val="00140CC3"/>
    <w:rsid w:val="00144E78"/>
    <w:rsid w:val="00170906"/>
    <w:rsid w:val="00171D23"/>
    <w:rsid w:val="001738F0"/>
    <w:rsid w:val="001810B2"/>
    <w:rsid w:val="001835FC"/>
    <w:rsid w:val="001904F9"/>
    <w:rsid w:val="001A29AB"/>
    <w:rsid w:val="001C0908"/>
    <w:rsid w:val="001C5F44"/>
    <w:rsid w:val="001D38D0"/>
    <w:rsid w:val="001E1FE3"/>
    <w:rsid w:val="001E68AD"/>
    <w:rsid w:val="001F5344"/>
    <w:rsid w:val="001F59E9"/>
    <w:rsid w:val="002007BA"/>
    <w:rsid w:val="00204DB4"/>
    <w:rsid w:val="002075FB"/>
    <w:rsid w:val="00211150"/>
    <w:rsid w:val="002150CF"/>
    <w:rsid w:val="00216150"/>
    <w:rsid w:val="00220228"/>
    <w:rsid w:val="00220C3F"/>
    <w:rsid w:val="00223C4D"/>
    <w:rsid w:val="002335F9"/>
    <w:rsid w:val="002341B8"/>
    <w:rsid w:val="00237031"/>
    <w:rsid w:val="00241E9E"/>
    <w:rsid w:val="002440EA"/>
    <w:rsid w:val="002460D4"/>
    <w:rsid w:val="00250988"/>
    <w:rsid w:val="00255313"/>
    <w:rsid w:val="00256ACE"/>
    <w:rsid w:val="002743B5"/>
    <w:rsid w:val="002861D6"/>
    <w:rsid w:val="00287BC5"/>
    <w:rsid w:val="002943DE"/>
    <w:rsid w:val="002A12A4"/>
    <w:rsid w:val="002A1CF2"/>
    <w:rsid w:val="002A38E4"/>
    <w:rsid w:val="002A42C5"/>
    <w:rsid w:val="002A46E6"/>
    <w:rsid w:val="002A489D"/>
    <w:rsid w:val="002A5152"/>
    <w:rsid w:val="002A7FDE"/>
    <w:rsid w:val="002B7E02"/>
    <w:rsid w:val="002D7DE4"/>
    <w:rsid w:val="002E3BD6"/>
    <w:rsid w:val="002E5B33"/>
    <w:rsid w:val="002F0F71"/>
    <w:rsid w:val="002F5086"/>
    <w:rsid w:val="002F62A6"/>
    <w:rsid w:val="00302B1F"/>
    <w:rsid w:val="00303527"/>
    <w:rsid w:val="00305656"/>
    <w:rsid w:val="00312E87"/>
    <w:rsid w:val="00320F76"/>
    <w:rsid w:val="00322CA5"/>
    <w:rsid w:val="00324A59"/>
    <w:rsid w:val="003335F7"/>
    <w:rsid w:val="00337EC3"/>
    <w:rsid w:val="003419C9"/>
    <w:rsid w:val="00347546"/>
    <w:rsid w:val="00353068"/>
    <w:rsid w:val="00367958"/>
    <w:rsid w:val="00367CA3"/>
    <w:rsid w:val="00372FDE"/>
    <w:rsid w:val="00380699"/>
    <w:rsid w:val="0039594A"/>
    <w:rsid w:val="0039641E"/>
    <w:rsid w:val="003B0143"/>
    <w:rsid w:val="003B6CFA"/>
    <w:rsid w:val="003C19F8"/>
    <w:rsid w:val="003C3492"/>
    <w:rsid w:val="003E2DEC"/>
    <w:rsid w:val="003E3C69"/>
    <w:rsid w:val="003E5ACC"/>
    <w:rsid w:val="003F12A1"/>
    <w:rsid w:val="003F7763"/>
    <w:rsid w:val="00400291"/>
    <w:rsid w:val="004037A1"/>
    <w:rsid w:val="004074CD"/>
    <w:rsid w:val="00416C9D"/>
    <w:rsid w:val="00432A2F"/>
    <w:rsid w:val="0043706A"/>
    <w:rsid w:val="00446F57"/>
    <w:rsid w:val="0044777F"/>
    <w:rsid w:val="0045488C"/>
    <w:rsid w:val="00462DAC"/>
    <w:rsid w:val="004638C9"/>
    <w:rsid w:val="00467522"/>
    <w:rsid w:val="00475539"/>
    <w:rsid w:val="00477C5E"/>
    <w:rsid w:val="00482284"/>
    <w:rsid w:val="004874F1"/>
    <w:rsid w:val="0049673E"/>
    <w:rsid w:val="004968F4"/>
    <w:rsid w:val="004A47FF"/>
    <w:rsid w:val="004A7506"/>
    <w:rsid w:val="004A76AD"/>
    <w:rsid w:val="004C071C"/>
    <w:rsid w:val="004C0A09"/>
    <w:rsid w:val="004C3700"/>
    <w:rsid w:val="004C3BA5"/>
    <w:rsid w:val="004D08BF"/>
    <w:rsid w:val="004D2DFC"/>
    <w:rsid w:val="004D3785"/>
    <w:rsid w:val="004E4BB3"/>
    <w:rsid w:val="004E58AE"/>
    <w:rsid w:val="004E61E5"/>
    <w:rsid w:val="004E7F92"/>
    <w:rsid w:val="004F22AF"/>
    <w:rsid w:val="004F53A2"/>
    <w:rsid w:val="005060C3"/>
    <w:rsid w:val="005156A1"/>
    <w:rsid w:val="00524927"/>
    <w:rsid w:val="005334F6"/>
    <w:rsid w:val="00533EC6"/>
    <w:rsid w:val="00551121"/>
    <w:rsid w:val="00555CC5"/>
    <w:rsid w:val="00556A91"/>
    <w:rsid w:val="0056006F"/>
    <w:rsid w:val="00565922"/>
    <w:rsid w:val="00566485"/>
    <w:rsid w:val="00575B97"/>
    <w:rsid w:val="00576AE4"/>
    <w:rsid w:val="00583A1F"/>
    <w:rsid w:val="00591511"/>
    <w:rsid w:val="005A4700"/>
    <w:rsid w:val="005B1359"/>
    <w:rsid w:val="005C51C0"/>
    <w:rsid w:val="005C529C"/>
    <w:rsid w:val="005C583B"/>
    <w:rsid w:val="005D0350"/>
    <w:rsid w:val="005D06F6"/>
    <w:rsid w:val="005F0519"/>
    <w:rsid w:val="00606B1D"/>
    <w:rsid w:val="00606D5B"/>
    <w:rsid w:val="00607CF8"/>
    <w:rsid w:val="00613975"/>
    <w:rsid w:val="0062060A"/>
    <w:rsid w:val="00620C2B"/>
    <w:rsid w:val="006227C5"/>
    <w:rsid w:val="00636B27"/>
    <w:rsid w:val="006378CF"/>
    <w:rsid w:val="00637912"/>
    <w:rsid w:val="00651D78"/>
    <w:rsid w:val="00655D5C"/>
    <w:rsid w:val="00670168"/>
    <w:rsid w:val="00674FEC"/>
    <w:rsid w:val="00680915"/>
    <w:rsid w:val="00695D28"/>
    <w:rsid w:val="006A4BE8"/>
    <w:rsid w:val="006C196C"/>
    <w:rsid w:val="006C1CD8"/>
    <w:rsid w:val="006E0C7B"/>
    <w:rsid w:val="006F3F91"/>
    <w:rsid w:val="006F40D1"/>
    <w:rsid w:val="00702619"/>
    <w:rsid w:val="007042B6"/>
    <w:rsid w:val="00704ABF"/>
    <w:rsid w:val="00704E74"/>
    <w:rsid w:val="00706EFA"/>
    <w:rsid w:val="00713AE1"/>
    <w:rsid w:val="00717D24"/>
    <w:rsid w:val="00720097"/>
    <w:rsid w:val="00735D52"/>
    <w:rsid w:val="00743998"/>
    <w:rsid w:val="00751128"/>
    <w:rsid w:val="0075364D"/>
    <w:rsid w:val="0075656A"/>
    <w:rsid w:val="007572F6"/>
    <w:rsid w:val="00757A9A"/>
    <w:rsid w:val="007605AB"/>
    <w:rsid w:val="0076473F"/>
    <w:rsid w:val="00770B47"/>
    <w:rsid w:val="0078027D"/>
    <w:rsid w:val="00784382"/>
    <w:rsid w:val="00784C6F"/>
    <w:rsid w:val="0079164A"/>
    <w:rsid w:val="00794439"/>
    <w:rsid w:val="007A244F"/>
    <w:rsid w:val="007A29FA"/>
    <w:rsid w:val="007A361E"/>
    <w:rsid w:val="007A73D0"/>
    <w:rsid w:val="007C0EDE"/>
    <w:rsid w:val="007D085A"/>
    <w:rsid w:val="007D6662"/>
    <w:rsid w:val="0080031A"/>
    <w:rsid w:val="0080046E"/>
    <w:rsid w:val="008068F2"/>
    <w:rsid w:val="00815D6B"/>
    <w:rsid w:val="0081702A"/>
    <w:rsid w:val="00821E75"/>
    <w:rsid w:val="008240F8"/>
    <w:rsid w:val="00826000"/>
    <w:rsid w:val="008261B0"/>
    <w:rsid w:val="00842F8C"/>
    <w:rsid w:val="00850073"/>
    <w:rsid w:val="008555E7"/>
    <w:rsid w:val="00861E1B"/>
    <w:rsid w:val="0086299E"/>
    <w:rsid w:val="0086603E"/>
    <w:rsid w:val="00871023"/>
    <w:rsid w:val="0088217A"/>
    <w:rsid w:val="00894749"/>
    <w:rsid w:val="008A2AB1"/>
    <w:rsid w:val="008A5929"/>
    <w:rsid w:val="008B0E06"/>
    <w:rsid w:val="008B0E22"/>
    <w:rsid w:val="008B7160"/>
    <w:rsid w:val="008C185A"/>
    <w:rsid w:val="008C6E23"/>
    <w:rsid w:val="008D676E"/>
    <w:rsid w:val="008D72BA"/>
    <w:rsid w:val="008E0965"/>
    <w:rsid w:val="008E0ECF"/>
    <w:rsid w:val="008F3700"/>
    <w:rsid w:val="00901BD8"/>
    <w:rsid w:val="0090223A"/>
    <w:rsid w:val="009044AF"/>
    <w:rsid w:val="009075BC"/>
    <w:rsid w:val="009224BE"/>
    <w:rsid w:val="00924932"/>
    <w:rsid w:val="00934AD5"/>
    <w:rsid w:val="00947987"/>
    <w:rsid w:val="00952903"/>
    <w:rsid w:val="00957F9F"/>
    <w:rsid w:val="00965B48"/>
    <w:rsid w:val="00972B1B"/>
    <w:rsid w:val="0098248A"/>
    <w:rsid w:val="009913E2"/>
    <w:rsid w:val="00991AFC"/>
    <w:rsid w:val="009B2F04"/>
    <w:rsid w:val="009B506A"/>
    <w:rsid w:val="009B6E95"/>
    <w:rsid w:val="009B735A"/>
    <w:rsid w:val="009B7CBE"/>
    <w:rsid w:val="009C73A4"/>
    <w:rsid w:val="009C7FD0"/>
    <w:rsid w:val="009D1D30"/>
    <w:rsid w:val="009E299C"/>
    <w:rsid w:val="009E4F41"/>
    <w:rsid w:val="009E6539"/>
    <w:rsid w:val="009F0ED6"/>
    <w:rsid w:val="009F1DCB"/>
    <w:rsid w:val="009F42BE"/>
    <w:rsid w:val="009F5E7E"/>
    <w:rsid w:val="00A019A3"/>
    <w:rsid w:val="00A02424"/>
    <w:rsid w:val="00A07C14"/>
    <w:rsid w:val="00A12FBF"/>
    <w:rsid w:val="00A24F2E"/>
    <w:rsid w:val="00A2554D"/>
    <w:rsid w:val="00A26805"/>
    <w:rsid w:val="00A30C67"/>
    <w:rsid w:val="00A32110"/>
    <w:rsid w:val="00A42840"/>
    <w:rsid w:val="00A42D88"/>
    <w:rsid w:val="00A55002"/>
    <w:rsid w:val="00A56ED7"/>
    <w:rsid w:val="00A61170"/>
    <w:rsid w:val="00A62091"/>
    <w:rsid w:val="00A6292D"/>
    <w:rsid w:val="00A62D7E"/>
    <w:rsid w:val="00A66732"/>
    <w:rsid w:val="00A706C5"/>
    <w:rsid w:val="00A72468"/>
    <w:rsid w:val="00A74BD3"/>
    <w:rsid w:val="00A808EE"/>
    <w:rsid w:val="00A85771"/>
    <w:rsid w:val="00A90F44"/>
    <w:rsid w:val="00A913CA"/>
    <w:rsid w:val="00A9721F"/>
    <w:rsid w:val="00AA6D36"/>
    <w:rsid w:val="00AA6F27"/>
    <w:rsid w:val="00AB06AE"/>
    <w:rsid w:val="00AC7A6D"/>
    <w:rsid w:val="00AD3357"/>
    <w:rsid w:val="00AE346B"/>
    <w:rsid w:val="00AE3F52"/>
    <w:rsid w:val="00AF4A3C"/>
    <w:rsid w:val="00B006A1"/>
    <w:rsid w:val="00B10521"/>
    <w:rsid w:val="00B22BA3"/>
    <w:rsid w:val="00B26FF7"/>
    <w:rsid w:val="00B43E46"/>
    <w:rsid w:val="00B44CA8"/>
    <w:rsid w:val="00B67244"/>
    <w:rsid w:val="00B77A97"/>
    <w:rsid w:val="00B80FE3"/>
    <w:rsid w:val="00BA3F70"/>
    <w:rsid w:val="00BA5A7D"/>
    <w:rsid w:val="00BC0474"/>
    <w:rsid w:val="00BC1FB7"/>
    <w:rsid w:val="00BC55C3"/>
    <w:rsid w:val="00BD3C79"/>
    <w:rsid w:val="00BD6EBF"/>
    <w:rsid w:val="00BE32A3"/>
    <w:rsid w:val="00BE58B8"/>
    <w:rsid w:val="00BE7D88"/>
    <w:rsid w:val="00BF684D"/>
    <w:rsid w:val="00C110F0"/>
    <w:rsid w:val="00C2561B"/>
    <w:rsid w:val="00C26A1C"/>
    <w:rsid w:val="00C3248D"/>
    <w:rsid w:val="00C333D1"/>
    <w:rsid w:val="00C355A7"/>
    <w:rsid w:val="00C4326C"/>
    <w:rsid w:val="00C44762"/>
    <w:rsid w:val="00C464A5"/>
    <w:rsid w:val="00C847AD"/>
    <w:rsid w:val="00C91B1E"/>
    <w:rsid w:val="00C9315F"/>
    <w:rsid w:val="00C9450F"/>
    <w:rsid w:val="00C94D2C"/>
    <w:rsid w:val="00CA0C65"/>
    <w:rsid w:val="00CA2B5C"/>
    <w:rsid w:val="00CD3345"/>
    <w:rsid w:val="00CE363F"/>
    <w:rsid w:val="00CE3D26"/>
    <w:rsid w:val="00CF4E65"/>
    <w:rsid w:val="00D06895"/>
    <w:rsid w:val="00D1123D"/>
    <w:rsid w:val="00D15B5D"/>
    <w:rsid w:val="00D22393"/>
    <w:rsid w:val="00D230A2"/>
    <w:rsid w:val="00D3127D"/>
    <w:rsid w:val="00D45E00"/>
    <w:rsid w:val="00D46559"/>
    <w:rsid w:val="00D5330C"/>
    <w:rsid w:val="00D54EAF"/>
    <w:rsid w:val="00D641C2"/>
    <w:rsid w:val="00D65DDC"/>
    <w:rsid w:val="00D85166"/>
    <w:rsid w:val="00D87943"/>
    <w:rsid w:val="00D905C6"/>
    <w:rsid w:val="00D93415"/>
    <w:rsid w:val="00D95CFA"/>
    <w:rsid w:val="00DA049A"/>
    <w:rsid w:val="00DA0B64"/>
    <w:rsid w:val="00DB0BAD"/>
    <w:rsid w:val="00DB17AB"/>
    <w:rsid w:val="00DB3394"/>
    <w:rsid w:val="00DB589E"/>
    <w:rsid w:val="00DB63C7"/>
    <w:rsid w:val="00DC3F72"/>
    <w:rsid w:val="00DC6B74"/>
    <w:rsid w:val="00DD5B1D"/>
    <w:rsid w:val="00DD66E2"/>
    <w:rsid w:val="00DD675E"/>
    <w:rsid w:val="00DE5D27"/>
    <w:rsid w:val="00DE6421"/>
    <w:rsid w:val="00DE6C5F"/>
    <w:rsid w:val="00DF599B"/>
    <w:rsid w:val="00DF703C"/>
    <w:rsid w:val="00E05DC5"/>
    <w:rsid w:val="00E118C7"/>
    <w:rsid w:val="00E16367"/>
    <w:rsid w:val="00E224FF"/>
    <w:rsid w:val="00E229AC"/>
    <w:rsid w:val="00E239BA"/>
    <w:rsid w:val="00E331E0"/>
    <w:rsid w:val="00E47E9A"/>
    <w:rsid w:val="00E508BC"/>
    <w:rsid w:val="00E60ACD"/>
    <w:rsid w:val="00E7686D"/>
    <w:rsid w:val="00E77EAA"/>
    <w:rsid w:val="00E86609"/>
    <w:rsid w:val="00E95308"/>
    <w:rsid w:val="00EA02A3"/>
    <w:rsid w:val="00EA54DE"/>
    <w:rsid w:val="00EA6994"/>
    <w:rsid w:val="00EB0142"/>
    <w:rsid w:val="00EB0C3C"/>
    <w:rsid w:val="00EE1E21"/>
    <w:rsid w:val="00EE1E65"/>
    <w:rsid w:val="00EE5442"/>
    <w:rsid w:val="00EF026E"/>
    <w:rsid w:val="00F04BCB"/>
    <w:rsid w:val="00F20487"/>
    <w:rsid w:val="00F215D2"/>
    <w:rsid w:val="00F23F38"/>
    <w:rsid w:val="00F25545"/>
    <w:rsid w:val="00F40665"/>
    <w:rsid w:val="00F43732"/>
    <w:rsid w:val="00F50BDE"/>
    <w:rsid w:val="00F52E0A"/>
    <w:rsid w:val="00F562A0"/>
    <w:rsid w:val="00F605F7"/>
    <w:rsid w:val="00F72B54"/>
    <w:rsid w:val="00F75206"/>
    <w:rsid w:val="00F82673"/>
    <w:rsid w:val="00F83FA8"/>
    <w:rsid w:val="00F924D9"/>
    <w:rsid w:val="00FC4900"/>
    <w:rsid w:val="00FD6C20"/>
    <w:rsid w:val="00FD7D78"/>
    <w:rsid w:val="00FE52DE"/>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2DE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8">
    <w:name w:val="heading 8"/>
    <w:basedOn w:val="Normal"/>
    <w:next w:val="Normal"/>
    <w:link w:val="Heading8Char"/>
    <w:rsid w:val="00702619"/>
    <w:pPr>
      <w:keepNext/>
      <w:widowControl w:val="0"/>
      <w:jc w:val="right"/>
      <w:outlineLvl w:val="7"/>
    </w:pPr>
    <w:rPr>
      <w:rFonts w:ascii="Calibri" w:hAnsi="Calibri" w:cs="Arial"/>
      <w:b/>
      <w:snapToGrid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Numbered para,BulletPoints,V5.0 Exec bullet List 1,Footnote,Bullet point,List Paragraph1,List Paragraph11,Recommendation,ES Paragraph,PBAC ES Paragraph,PBAC normal points,Bullet List,Bullets Points,Styl moj,Akapit z listą1,Section heading"/>
    <w:basedOn w:val="Normal"/>
    <w:link w:val="ListParagraphChar"/>
    <w:uiPriority w:val="34"/>
    <w:qFormat/>
    <w:rsid w:val="001810B2"/>
    <w:pPr>
      <w:ind w:left="720"/>
      <w:contextualSpacing/>
    </w:pPr>
    <w:rPr>
      <w:szCs w:val="24"/>
    </w:rPr>
  </w:style>
  <w:style w:type="character" w:customStyle="1" w:styleId="ListParagraphChar">
    <w:name w:val="List Paragraph Char"/>
    <w:aliases w:val="Numbered para Char,BulletPoints Char,V5.0 Exec bullet List 1 Char,Footnote Char,Bullet point Char,List Paragraph1 Char,List Paragraph11 Char,Recommendation Char,ES Paragraph Char,PBAC ES Paragraph Char,PBAC normal points Char"/>
    <w:link w:val="ListParagraph"/>
    <w:uiPriority w:val="34"/>
    <w:qFormat/>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semiHidden/>
    <w:unhideWhenUsed/>
    <w:rsid w:val="00D22393"/>
    <w:rPr>
      <w:sz w:val="16"/>
      <w:szCs w:val="16"/>
    </w:rPr>
  </w:style>
  <w:style w:type="paragraph" w:styleId="CommentText">
    <w:name w:val="annotation text"/>
    <w:basedOn w:val="Normal"/>
    <w:link w:val="CommentTextChar"/>
    <w:semiHidden/>
    <w:unhideWhenUsed/>
    <w:rsid w:val="00D22393"/>
    <w:rPr>
      <w:sz w:val="20"/>
    </w:rPr>
  </w:style>
  <w:style w:type="character" w:customStyle="1" w:styleId="CommentTextChar">
    <w:name w:val="Comment Text Char"/>
    <w:basedOn w:val="DefaultParagraphFont"/>
    <w:link w:val="CommentText"/>
    <w:semiHidden/>
    <w:rsid w:val="00D22393"/>
  </w:style>
  <w:style w:type="paragraph" w:styleId="CommentSubject">
    <w:name w:val="annotation subject"/>
    <w:basedOn w:val="CommentText"/>
    <w:next w:val="CommentText"/>
    <w:link w:val="CommentSubjectChar"/>
    <w:semiHidden/>
    <w:unhideWhenUsed/>
    <w:rsid w:val="00D22393"/>
    <w:rPr>
      <w:b/>
      <w:bCs/>
    </w:rPr>
  </w:style>
  <w:style w:type="character" w:customStyle="1" w:styleId="CommentSubjectChar">
    <w:name w:val="Comment Subject Char"/>
    <w:basedOn w:val="CommentTextChar"/>
    <w:link w:val="CommentSubject"/>
    <w:semiHidden/>
    <w:rsid w:val="00D22393"/>
    <w:rPr>
      <w:b/>
      <w:bCs/>
    </w:rPr>
  </w:style>
  <w:style w:type="character" w:customStyle="1" w:styleId="Heading8Char">
    <w:name w:val="Heading 8 Char"/>
    <w:basedOn w:val="DefaultParagraphFont"/>
    <w:link w:val="Heading8"/>
    <w:rsid w:val="00702619"/>
    <w:rPr>
      <w:rFonts w:ascii="Calibri" w:hAnsi="Calibri" w:cs="Arial"/>
      <w:b/>
      <w:snapToGrid w:val="0"/>
      <w:sz w:val="24"/>
      <w:szCs w:val="22"/>
      <w:lang w:eastAsia="en-US"/>
    </w:rPr>
  </w:style>
  <w:style w:type="paragraph" w:customStyle="1" w:styleId="2Sections">
    <w:name w:val="2. Sections"/>
    <w:qFormat/>
    <w:rsid w:val="00566485"/>
    <w:pPr>
      <w:tabs>
        <w:tab w:val="num" w:pos="360"/>
      </w:tabs>
      <w:spacing w:before="240" w:after="120"/>
      <w:outlineLvl w:val="0"/>
    </w:pPr>
    <w:rPr>
      <w:rFonts w:ascii="Calibri" w:hAnsi="Calibri" w:cs="Arial"/>
      <w:b/>
      <w:snapToGrid w:val="0"/>
      <w:sz w:val="32"/>
      <w:szCs w:val="32"/>
      <w:lang w:eastAsia="en-US"/>
    </w:rPr>
  </w:style>
  <w:style w:type="paragraph" w:customStyle="1" w:styleId="3Bodytext">
    <w:name w:val="3. Body text"/>
    <w:basedOn w:val="ListParagraph"/>
    <w:link w:val="3BodytextChar"/>
    <w:qFormat/>
    <w:rsid w:val="00566485"/>
    <w:pPr>
      <w:spacing w:after="120"/>
      <w:ind w:hanging="720"/>
      <w:contextualSpacing w:val="0"/>
      <w:jc w:val="both"/>
    </w:pPr>
    <w:rPr>
      <w:rFonts w:ascii="Calibri" w:eastAsia="Calibri" w:hAnsi="Calibri"/>
      <w:szCs w:val="22"/>
      <w:lang w:eastAsia="en-US"/>
    </w:rPr>
  </w:style>
  <w:style w:type="character" w:customStyle="1" w:styleId="3BodytextChar">
    <w:name w:val="3. Body text Char"/>
    <w:link w:val="3Bodytext"/>
    <w:rsid w:val="00566485"/>
    <w:rPr>
      <w:rFonts w:ascii="Calibri" w:eastAsia="Calibri" w:hAnsi="Calibri"/>
      <w:sz w:val="24"/>
      <w:szCs w:val="22"/>
      <w:lang w:eastAsia="en-US"/>
    </w:rPr>
  </w:style>
  <w:style w:type="paragraph" w:customStyle="1" w:styleId="2-SectionHeading">
    <w:name w:val="2-Section Heading"/>
    <w:qFormat/>
    <w:rsid w:val="00DF599B"/>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DF599B"/>
    <w:pPr>
      <w:spacing w:after="120"/>
      <w:ind w:hanging="720"/>
      <w:contextualSpacing w:val="0"/>
      <w:jc w:val="both"/>
    </w:pPr>
    <w:rPr>
      <w:rFonts w:asciiTheme="minorHAnsi" w:hAnsiTheme="minorHAnsi" w:cs="Arial"/>
      <w:snapToGrid w:val="0"/>
    </w:rPr>
  </w:style>
  <w:style w:type="character" w:customStyle="1" w:styleId="3-BodyTextChar">
    <w:name w:val="3-Body Text Char"/>
    <w:basedOn w:val="DefaultParagraphFont"/>
    <w:link w:val="3-BodyText"/>
    <w:rsid w:val="00DF599B"/>
    <w:rPr>
      <w:rFonts w:asciiTheme="minorHAnsi" w:hAnsiTheme="minorHAnsi" w:cs="Arial"/>
      <w:snapToGrid w:val="0"/>
      <w:sz w:val="24"/>
      <w:szCs w:val="24"/>
    </w:rPr>
  </w:style>
  <w:style w:type="character" w:customStyle="1" w:styleId="TitleChar">
    <w:name w:val="Title Char"/>
    <w:basedOn w:val="DefaultParagraphFont"/>
    <w:link w:val="Title"/>
    <w:rsid w:val="001904F9"/>
    <w:rPr>
      <w:rFonts w:ascii="Arial" w:hAnsi="Arial"/>
      <w:b/>
    </w:rPr>
  </w:style>
  <w:style w:type="character" w:styleId="FollowedHyperlink">
    <w:name w:val="FollowedHyperlink"/>
    <w:basedOn w:val="DefaultParagraphFont"/>
    <w:semiHidden/>
    <w:unhideWhenUsed/>
    <w:rsid w:val="002A1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407">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308173203">
      <w:bodyDiv w:val="1"/>
      <w:marLeft w:val="0"/>
      <w:marRight w:val="0"/>
      <w:marTop w:val="0"/>
      <w:marBottom w:val="0"/>
      <w:divBdr>
        <w:top w:val="none" w:sz="0" w:space="0" w:color="auto"/>
        <w:left w:val="none" w:sz="0" w:space="0" w:color="auto"/>
        <w:bottom w:val="none" w:sz="0" w:space="0" w:color="auto"/>
        <w:right w:val="none" w:sz="0" w:space="0" w:color="auto"/>
      </w:divBdr>
    </w:div>
    <w:div w:id="371346629">
      <w:bodyDiv w:val="1"/>
      <w:marLeft w:val="0"/>
      <w:marRight w:val="0"/>
      <w:marTop w:val="0"/>
      <w:marBottom w:val="0"/>
      <w:divBdr>
        <w:top w:val="none" w:sz="0" w:space="0" w:color="auto"/>
        <w:left w:val="none" w:sz="0" w:space="0" w:color="auto"/>
        <w:bottom w:val="none" w:sz="0" w:space="0" w:color="auto"/>
        <w:right w:val="none" w:sz="0" w:space="0" w:color="auto"/>
      </w:divBdr>
    </w:div>
    <w:div w:id="501899143">
      <w:bodyDiv w:val="1"/>
      <w:marLeft w:val="0"/>
      <w:marRight w:val="0"/>
      <w:marTop w:val="0"/>
      <w:marBottom w:val="0"/>
      <w:divBdr>
        <w:top w:val="none" w:sz="0" w:space="0" w:color="auto"/>
        <w:left w:val="none" w:sz="0" w:space="0" w:color="auto"/>
        <w:bottom w:val="none" w:sz="0" w:space="0" w:color="auto"/>
        <w:right w:val="none" w:sz="0" w:space="0" w:color="auto"/>
      </w:divBdr>
    </w:div>
    <w:div w:id="510484548">
      <w:bodyDiv w:val="1"/>
      <w:marLeft w:val="0"/>
      <w:marRight w:val="0"/>
      <w:marTop w:val="0"/>
      <w:marBottom w:val="0"/>
      <w:divBdr>
        <w:top w:val="none" w:sz="0" w:space="0" w:color="auto"/>
        <w:left w:val="none" w:sz="0" w:space="0" w:color="auto"/>
        <w:bottom w:val="none" w:sz="0" w:space="0" w:color="auto"/>
        <w:right w:val="none" w:sz="0" w:space="0" w:color="auto"/>
      </w:divBdr>
    </w:div>
    <w:div w:id="533423563">
      <w:bodyDiv w:val="1"/>
      <w:marLeft w:val="0"/>
      <w:marRight w:val="0"/>
      <w:marTop w:val="0"/>
      <w:marBottom w:val="0"/>
      <w:divBdr>
        <w:top w:val="none" w:sz="0" w:space="0" w:color="auto"/>
        <w:left w:val="none" w:sz="0" w:space="0" w:color="auto"/>
        <w:bottom w:val="none" w:sz="0" w:space="0" w:color="auto"/>
        <w:right w:val="none" w:sz="0" w:space="0" w:color="auto"/>
      </w:divBdr>
    </w:div>
    <w:div w:id="565528882">
      <w:bodyDiv w:val="1"/>
      <w:marLeft w:val="0"/>
      <w:marRight w:val="0"/>
      <w:marTop w:val="0"/>
      <w:marBottom w:val="0"/>
      <w:divBdr>
        <w:top w:val="none" w:sz="0" w:space="0" w:color="auto"/>
        <w:left w:val="none" w:sz="0" w:space="0" w:color="auto"/>
        <w:bottom w:val="none" w:sz="0" w:space="0" w:color="auto"/>
        <w:right w:val="none" w:sz="0" w:space="0" w:color="auto"/>
      </w:divBdr>
    </w:div>
    <w:div w:id="679549730">
      <w:bodyDiv w:val="1"/>
      <w:marLeft w:val="0"/>
      <w:marRight w:val="0"/>
      <w:marTop w:val="0"/>
      <w:marBottom w:val="0"/>
      <w:divBdr>
        <w:top w:val="none" w:sz="0" w:space="0" w:color="auto"/>
        <w:left w:val="none" w:sz="0" w:space="0" w:color="auto"/>
        <w:bottom w:val="none" w:sz="0" w:space="0" w:color="auto"/>
        <w:right w:val="none" w:sz="0" w:space="0" w:color="auto"/>
      </w:divBdr>
    </w:div>
    <w:div w:id="690763098">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44038516">
      <w:bodyDiv w:val="1"/>
      <w:marLeft w:val="0"/>
      <w:marRight w:val="0"/>
      <w:marTop w:val="0"/>
      <w:marBottom w:val="0"/>
      <w:divBdr>
        <w:top w:val="none" w:sz="0" w:space="0" w:color="auto"/>
        <w:left w:val="none" w:sz="0" w:space="0" w:color="auto"/>
        <w:bottom w:val="none" w:sz="0" w:space="0" w:color="auto"/>
        <w:right w:val="none" w:sz="0" w:space="0" w:color="auto"/>
      </w:divBdr>
    </w:div>
    <w:div w:id="800415593">
      <w:bodyDiv w:val="1"/>
      <w:marLeft w:val="0"/>
      <w:marRight w:val="0"/>
      <w:marTop w:val="0"/>
      <w:marBottom w:val="0"/>
      <w:divBdr>
        <w:top w:val="none" w:sz="0" w:space="0" w:color="auto"/>
        <w:left w:val="none" w:sz="0" w:space="0" w:color="auto"/>
        <w:bottom w:val="none" w:sz="0" w:space="0" w:color="auto"/>
        <w:right w:val="none" w:sz="0" w:space="0" w:color="auto"/>
      </w:divBdr>
    </w:div>
    <w:div w:id="8126055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76116522">
      <w:bodyDiv w:val="1"/>
      <w:marLeft w:val="0"/>
      <w:marRight w:val="0"/>
      <w:marTop w:val="0"/>
      <w:marBottom w:val="0"/>
      <w:divBdr>
        <w:top w:val="none" w:sz="0" w:space="0" w:color="auto"/>
        <w:left w:val="none" w:sz="0" w:space="0" w:color="auto"/>
        <w:bottom w:val="none" w:sz="0" w:space="0" w:color="auto"/>
        <w:right w:val="none" w:sz="0" w:space="0" w:color="auto"/>
      </w:divBdr>
    </w:div>
    <w:div w:id="892497857">
      <w:bodyDiv w:val="1"/>
      <w:marLeft w:val="0"/>
      <w:marRight w:val="0"/>
      <w:marTop w:val="0"/>
      <w:marBottom w:val="0"/>
      <w:divBdr>
        <w:top w:val="none" w:sz="0" w:space="0" w:color="auto"/>
        <w:left w:val="none" w:sz="0" w:space="0" w:color="auto"/>
        <w:bottom w:val="none" w:sz="0" w:space="0" w:color="auto"/>
        <w:right w:val="none" w:sz="0" w:space="0" w:color="auto"/>
      </w:divBdr>
    </w:div>
    <w:div w:id="949552994">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47990280">
      <w:bodyDiv w:val="1"/>
      <w:marLeft w:val="0"/>
      <w:marRight w:val="0"/>
      <w:marTop w:val="0"/>
      <w:marBottom w:val="0"/>
      <w:divBdr>
        <w:top w:val="none" w:sz="0" w:space="0" w:color="auto"/>
        <w:left w:val="none" w:sz="0" w:space="0" w:color="auto"/>
        <w:bottom w:val="none" w:sz="0" w:space="0" w:color="auto"/>
        <w:right w:val="none" w:sz="0" w:space="0" w:color="auto"/>
      </w:divBdr>
    </w:div>
    <w:div w:id="1051613013">
      <w:bodyDiv w:val="1"/>
      <w:marLeft w:val="0"/>
      <w:marRight w:val="0"/>
      <w:marTop w:val="0"/>
      <w:marBottom w:val="0"/>
      <w:divBdr>
        <w:top w:val="none" w:sz="0" w:space="0" w:color="auto"/>
        <w:left w:val="none" w:sz="0" w:space="0" w:color="auto"/>
        <w:bottom w:val="none" w:sz="0" w:space="0" w:color="auto"/>
        <w:right w:val="none" w:sz="0" w:space="0" w:color="auto"/>
      </w:divBdr>
    </w:div>
    <w:div w:id="1312367795">
      <w:bodyDiv w:val="1"/>
      <w:marLeft w:val="0"/>
      <w:marRight w:val="0"/>
      <w:marTop w:val="0"/>
      <w:marBottom w:val="0"/>
      <w:divBdr>
        <w:top w:val="none" w:sz="0" w:space="0" w:color="auto"/>
        <w:left w:val="none" w:sz="0" w:space="0" w:color="auto"/>
        <w:bottom w:val="none" w:sz="0" w:space="0" w:color="auto"/>
        <w:right w:val="none" w:sz="0" w:space="0" w:color="auto"/>
      </w:divBdr>
    </w:div>
    <w:div w:id="1359544503">
      <w:bodyDiv w:val="1"/>
      <w:marLeft w:val="0"/>
      <w:marRight w:val="0"/>
      <w:marTop w:val="0"/>
      <w:marBottom w:val="0"/>
      <w:divBdr>
        <w:top w:val="none" w:sz="0" w:space="0" w:color="auto"/>
        <w:left w:val="none" w:sz="0" w:space="0" w:color="auto"/>
        <w:bottom w:val="none" w:sz="0" w:space="0" w:color="auto"/>
        <w:right w:val="none" w:sz="0" w:space="0" w:color="auto"/>
      </w:divBdr>
    </w:div>
    <w:div w:id="1434059502">
      <w:bodyDiv w:val="1"/>
      <w:marLeft w:val="0"/>
      <w:marRight w:val="0"/>
      <w:marTop w:val="0"/>
      <w:marBottom w:val="0"/>
      <w:divBdr>
        <w:top w:val="none" w:sz="0" w:space="0" w:color="auto"/>
        <w:left w:val="none" w:sz="0" w:space="0" w:color="auto"/>
        <w:bottom w:val="none" w:sz="0" w:space="0" w:color="auto"/>
        <w:right w:val="none" w:sz="0" w:space="0" w:color="auto"/>
      </w:divBdr>
    </w:div>
    <w:div w:id="1553155223">
      <w:bodyDiv w:val="1"/>
      <w:marLeft w:val="0"/>
      <w:marRight w:val="0"/>
      <w:marTop w:val="0"/>
      <w:marBottom w:val="0"/>
      <w:divBdr>
        <w:top w:val="none" w:sz="0" w:space="0" w:color="auto"/>
        <w:left w:val="none" w:sz="0" w:space="0" w:color="auto"/>
        <w:bottom w:val="none" w:sz="0" w:space="0" w:color="auto"/>
        <w:right w:val="none" w:sz="0" w:space="0" w:color="auto"/>
      </w:divBdr>
    </w:div>
    <w:div w:id="1570380896">
      <w:bodyDiv w:val="1"/>
      <w:marLeft w:val="0"/>
      <w:marRight w:val="0"/>
      <w:marTop w:val="0"/>
      <w:marBottom w:val="0"/>
      <w:divBdr>
        <w:top w:val="none" w:sz="0" w:space="0" w:color="auto"/>
        <w:left w:val="none" w:sz="0" w:space="0" w:color="auto"/>
        <w:bottom w:val="none" w:sz="0" w:space="0" w:color="auto"/>
        <w:right w:val="none" w:sz="0" w:space="0" w:color="auto"/>
      </w:divBdr>
    </w:div>
    <w:div w:id="1577931382">
      <w:bodyDiv w:val="1"/>
      <w:marLeft w:val="0"/>
      <w:marRight w:val="0"/>
      <w:marTop w:val="0"/>
      <w:marBottom w:val="0"/>
      <w:divBdr>
        <w:top w:val="none" w:sz="0" w:space="0" w:color="auto"/>
        <w:left w:val="none" w:sz="0" w:space="0" w:color="auto"/>
        <w:bottom w:val="none" w:sz="0" w:space="0" w:color="auto"/>
        <w:right w:val="none" w:sz="0" w:space="0" w:color="auto"/>
      </w:divBdr>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58876172">
      <w:bodyDiv w:val="1"/>
      <w:marLeft w:val="0"/>
      <w:marRight w:val="0"/>
      <w:marTop w:val="0"/>
      <w:marBottom w:val="0"/>
      <w:divBdr>
        <w:top w:val="none" w:sz="0" w:space="0" w:color="auto"/>
        <w:left w:val="none" w:sz="0" w:space="0" w:color="auto"/>
        <w:bottom w:val="none" w:sz="0" w:space="0" w:color="auto"/>
        <w:right w:val="none" w:sz="0" w:space="0" w:color="auto"/>
      </w:divBdr>
    </w:div>
    <w:div w:id="1670794569">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75201895">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2020-04-16T10:24:00Z</dcterms:created>
  <dcterms:modified xsi:type="dcterms:W3CDTF">2020-04-23T05:45:00Z</dcterms:modified>
</cp:coreProperties>
</file>